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4253" w:rsidRPr="00D30CA9" w:rsidRDefault="00180F6C" w:rsidP="00D30CA9">
      <w:pPr>
        <w:pStyle w:val="Title"/>
      </w:pPr>
      <w:r w:rsidRPr="00D30CA9">
        <w:t>5.31</w:t>
      </w:r>
      <w:r w:rsidR="007C0F57" w:rsidRPr="00D30CA9">
        <w:tab/>
      </w:r>
      <w:r w:rsidR="002B03DC" w:rsidRPr="00D30CA9">
        <w:t>INSULIN GLARGINE</w:t>
      </w:r>
    </w:p>
    <w:p w:rsidR="00014253" w:rsidRPr="00D30CA9" w:rsidRDefault="004E5163" w:rsidP="00D01EF5">
      <w:pPr>
        <w:pStyle w:val="Title"/>
        <w:ind w:firstLine="0"/>
      </w:pPr>
      <w:r w:rsidRPr="00D30CA9">
        <w:t>3</w:t>
      </w:r>
      <w:r w:rsidR="00C67257" w:rsidRPr="00D30CA9">
        <w:t xml:space="preserve"> </w:t>
      </w:r>
      <w:r w:rsidRPr="00D30CA9">
        <w:t>mL cartridges</w:t>
      </w:r>
      <w:r w:rsidR="0004240E" w:rsidRPr="00D30CA9">
        <w:t xml:space="preserve">, </w:t>
      </w:r>
      <w:r w:rsidRPr="00D30CA9">
        <w:t>100</w:t>
      </w:r>
      <w:r w:rsidR="00C67257" w:rsidRPr="00D30CA9">
        <w:t xml:space="preserve"> </w:t>
      </w:r>
      <w:r w:rsidRPr="00D30CA9">
        <w:t>IU/m</w:t>
      </w:r>
      <w:r w:rsidR="00C67257" w:rsidRPr="00D30CA9">
        <w:t>L</w:t>
      </w:r>
      <w:r w:rsidR="00014253" w:rsidRPr="00D30CA9">
        <w:t>;</w:t>
      </w:r>
    </w:p>
    <w:p w:rsidR="00D3280C" w:rsidRPr="00D30CA9" w:rsidRDefault="002B03DC" w:rsidP="00D01EF5">
      <w:pPr>
        <w:pStyle w:val="Title"/>
        <w:ind w:firstLine="0"/>
      </w:pPr>
      <w:r w:rsidRPr="00D30CA9">
        <w:t>Basaglar</w:t>
      </w:r>
      <w:r w:rsidR="0004240E" w:rsidRPr="00D30CA9">
        <w:t>®</w:t>
      </w:r>
      <w:r w:rsidR="00014253" w:rsidRPr="00D30CA9">
        <w:t>;</w:t>
      </w:r>
      <w:r w:rsidR="00EF44A0" w:rsidRPr="00D30CA9">
        <w:t xml:space="preserve"> </w:t>
      </w:r>
      <w:r w:rsidRPr="00D30CA9">
        <w:t>Eli Lilly</w:t>
      </w:r>
      <w:r w:rsidR="00014253" w:rsidRPr="00D30CA9">
        <w:t>.</w:t>
      </w:r>
    </w:p>
    <w:p w:rsidR="0004159D" w:rsidRPr="00260B02" w:rsidRDefault="0004159D" w:rsidP="00A5273B">
      <w:pPr>
        <w:rPr>
          <w:rFonts w:ascii="Arial" w:hAnsi="Arial"/>
          <w:b/>
        </w:rPr>
      </w:pPr>
    </w:p>
    <w:p w:rsidR="0004159D" w:rsidRPr="00260B02" w:rsidRDefault="0004159D" w:rsidP="00A5273B">
      <w:pPr>
        <w:rPr>
          <w:rFonts w:ascii="Arial" w:hAnsi="Arial"/>
          <w:b/>
        </w:rPr>
      </w:pPr>
    </w:p>
    <w:p w:rsidR="00CE10C4" w:rsidRPr="00D30CA9" w:rsidRDefault="00CE10C4" w:rsidP="00D30CA9">
      <w:pPr>
        <w:pStyle w:val="PBACheading1"/>
      </w:pPr>
      <w:r w:rsidRPr="00D30CA9">
        <w:t xml:space="preserve">Purpose of </w:t>
      </w:r>
      <w:r w:rsidR="0004240E" w:rsidRPr="00D30CA9">
        <w:t>Application</w:t>
      </w:r>
    </w:p>
    <w:p w:rsidR="006A12A5" w:rsidRPr="00260B02" w:rsidRDefault="006A12A5" w:rsidP="00882085">
      <w:pPr>
        <w:jc w:val="both"/>
        <w:rPr>
          <w:rFonts w:ascii="Arial" w:hAnsi="Arial"/>
          <w:sz w:val="22"/>
          <w:szCs w:val="22"/>
        </w:rPr>
      </w:pPr>
    </w:p>
    <w:p w:rsidR="0064151A" w:rsidRPr="00260B02" w:rsidRDefault="002B03DC" w:rsidP="00F9629A">
      <w:pPr>
        <w:pStyle w:val="ListParagraph"/>
        <w:numPr>
          <w:ilvl w:val="1"/>
          <w:numId w:val="25"/>
        </w:numPr>
        <w:jc w:val="both"/>
        <w:rPr>
          <w:rFonts w:ascii="Arial" w:hAnsi="Arial"/>
          <w:sz w:val="22"/>
          <w:szCs w:val="22"/>
        </w:rPr>
      </w:pPr>
      <w:r w:rsidRPr="00260B02">
        <w:rPr>
          <w:rFonts w:ascii="Arial" w:hAnsi="Arial"/>
          <w:sz w:val="22"/>
          <w:szCs w:val="22"/>
        </w:rPr>
        <w:t xml:space="preserve">The </w:t>
      </w:r>
      <w:r w:rsidR="0064151A" w:rsidRPr="00260B02">
        <w:rPr>
          <w:rFonts w:ascii="Arial" w:hAnsi="Arial"/>
          <w:sz w:val="22"/>
          <w:szCs w:val="22"/>
        </w:rPr>
        <w:t xml:space="preserve">PBAC </w:t>
      </w:r>
      <w:r w:rsidR="00747962" w:rsidRPr="00260B02">
        <w:rPr>
          <w:rFonts w:ascii="Arial" w:hAnsi="Arial"/>
          <w:sz w:val="22"/>
          <w:szCs w:val="22"/>
        </w:rPr>
        <w:t>was</w:t>
      </w:r>
      <w:r w:rsidR="004E5163" w:rsidRPr="00260B02">
        <w:rPr>
          <w:rFonts w:ascii="Arial" w:hAnsi="Arial"/>
          <w:sz w:val="22"/>
          <w:szCs w:val="22"/>
        </w:rPr>
        <w:t xml:space="preserve"> requested to </w:t>
      </w:r>
      <w:r w:rsidR="0064151A" w:rsidRPr="00260B02">
        <w:rPr>
          <w:rFonts w:ascii="Arial" w:hAnsi="Arial"/>
          <w:sz w:val="22"/>
          <w:szCs w:val="22"/>
        </w:rPr>
        <w:t>consider:</w:t>
      </w:r>
    </w:p>
    <w:p w:rsidR="00EF44A0" w:rsidRPr="00260B02" w:rsidRDefault="0064151A" w:rsidP="00E657AC">
      <w:pPr>
        <w:pStyle w:val="ListParagraph"/>
        <w:numPr>
          <w:ilvl w:val="0"/>
          <w:numId w:val="43"/>
        </w:numPr>
        <w:jc w:val="both"/>
        <w:rPr>
          <w:rFonts w:ascii="Arial" w:hAnsi="Arial"/>
          <w:sz w:val="22"/>
          <w:szCs w:val="22"/>
        </w:rPr>
      </w:pPr>
      <w:r w:rsidRPr="00260B02">
        <w:rPr>
          <w:rFonts w:ascii="Arial" w:hAnsi="Arial"/>
          <w:sz w:val="22"/>
          <w:szCs w:val="22"/>
        </w:rPr>
        <w:t xml:space="preserve">The </w:t>
      </w:r>
      <w:r w:rsidR="00180F6C" w:rsidRPr="00260B02">
        <w:rPr>
          <w:rFonts w:ascii="Arial" w:hAnsi="Arial"/>
          <w:sz w:val="22"/>
          <w:szCs w:val="22"/>
        </w:rPr>
        <w:t>unrestricted benefit listing of insulin glargine (Basaglar</w:t>
      </w:r>
      <w:r w:rsidR="00020678" w:rsidRPr="00260B02">
        <w:rPr>
          <w:rFonts w:ascii="Arial" w:hAnsi="Arial"/>
          <w:sz w:val="22"/>
          <w:szCs w:val="22"/>
          <w:vertAlign w:val="superscript"/>
        </w:rPr>
        <w:t>®</w:t>
      </w:r>
      <w:r w:rsidR="00180F6C" w:rsidRPr="00260B02">
        <w:rPr>
          <w:rFonts w:ascii="Arial" w:hAnsi="Arial"/>
          <w:sz w:val="22"/>
          <w:szCs w:val="22"/>
        </w:rPr>
        <w:t>), a biosimilar</w:t>
      </w:r>
      <w:r w:rsidR="002B03DC" w:rsidRPr="00260B02">
        <w:rPr>
          <w:rFonts w:ascii="Arial" w:hAnsi="Arial"/>
          <w:sz w:val="22"/>
          <w:szCs w:val="22"/>
        </w:rPr>
        <w:t xml:space="preserve"> of</w:t>
      </w:r>
      <w:r w:rsidR="00180F6C" w:rsidRPr="00260B02">
        <w:rPr>
          <w:rFonts w:ascii="Arial" w:hAnsi="Arial"/>
          <w:sz w:val="22"/>
          <w:szCs w:val="22"/>
        </w:rPr>
        <w:t xml:space="preserve"> the PBS-listed insulin glargine, Lantus</w:t>
      </w:r>
      <w:r w:rsidR="00180F6C" w:rsidRPr="00260B02">
        <w:rPr>
          <w:rFonts w:ascii="Arial" w:hAnsi="Arial"/>
          <w:sz w:val="22"/>
          <w:szCs w:val="28"/>
          <w:vertAlign w:val="superscript"/>
        </w:rPr>
        <w:t>®</w:t>
      </w:r>
      <w:r w:rsidR="00180F6C" w:rsidRPr="00260B02">
        <w:rPr>
          <w:rFonts w:ascii="Arial" w:hAnsi="Arial"/>
          <w:sz w:val="22"/>
          <w:szCs w:val="22"/>
        </w:rPr>
        <w:t>.</w:t>
      </w:r>
      <w:r w:rsidR="002B03DC" w:rsidRPr="00260B02">
        <w:rPr>
          <w:rFonts w:ascii="Arial" w:hAnsi="Arial"/>
          <w:sz w:val="22"/>
          <w:szCs w:val="22"/>
        </w:rPr>
        <w:t xml:space="preserve"> </w:t>
      </w:r>
    </w:p>
    <w:p w:rsidR="0064151A" w:rsidRPr="00260B02" w:rsidRDefault="004D4565" w:rsidP="00FF6F58">
      <w:pPr>
        <w:pStyle w:val="ListParagraph"/>
        <w:numPr>
          <w:ilvl w:val="0"/>
          <w:numId w:val="43"/>
        </w:numPr>
        <w:jc w:val="both"/>
        <w:rPr>
          <w:rFonts w:ascii="Arial" w:hAnsi="Arial"/>
          <w:sz w:val="22"/>
          <w:szCs w:val="22"/>
        </w:rPr>
      </w:pPr>
      <w:r w:rsidRPr="00260B02">
        <w:rPr>
          <w:rFonts w:ascii="Arial" w:hAnsi="Arial"/>
          <w:sz w:val="22"/>
          <w:szCs w:val="22"/>
        </w:rPr>
        <w:t>The</w:t>
      </w:r>
      <w:r w:rsidR="000354A1" w:rsidRPr="00260B02">
        <w:rPr>
          <w:rFonts w:ascii="Arial" w:hAnsi="Arial"/>
          <w:sz w:val="22"/>
          <w:szCs w:val="22"/>
        </w:rPr>
        <w:t xml:space="preserve"> marking as equivalent (i.e. “a” flagging)</w:t>
      </w:r>
      <w:r w:rsidRPr="00260B02">
        <w:rPr>
          <w:rFonts w:ascii="Arial" w:hAnsi="Arial"/>
          <w:sz w:val="22"/>
          <w:szCs w:val="22"/>
        </w:rPr>
        <w:t xml:space="preserve"> </w:t>
      </w:r>
      <w:r w:rsidR="000354A1" w:rsidRPr="00260B02">
        <w:rPr>
          <w:rFonts w:ascii="Arial" w:hAnsi="Arial"/>
          <w:sz w:val="22"/>
          <w:szCs w:val="22"/>
        </w:rPr>
        <w:t>in the Schedule of Pharmaceutical Benefits</w:t>
      </w:r>
      <w:r w:rsidR="00B51161" w:rsidRPr="00260B02">
        <w:rPr>
          <w:rFonts w:ascii="Arial" w:hAnsi="Arial"/>
          <w:sz w:val="22"/>
          <w:szCs w:val="22"/>
        </w:rPr>
        <w:t xml:space="preserve"> (the Schedule)</w:t>
      </w:r>
      <w:r w:rsidR="000354A1" w:rsidRPr="00260B02">
        <w:rPr>
          <w:rFonts w:ascii="Arial" w:hAnsi="Arial"/>
          <w:sz w:val="22"/>
          <w:szCs w:val="22"/>
        </w:rPr>
        <w:t xml:space="preserve"> </w:t>
      </w:r>
      <w:r w:rsidRPr="00260B02">
        <w:rPr>
          <w:rFonts w:ascii="Arial" w:hAnsi="Arial"/>
          <w:sz w:val="22"/>
          <w:szCs w:val="22"/>
        </w:rPr>
        <w:t xml:space="preserve">of </w:t>
      </w:r>
      <w:r w:rsidR="000354A1" w:rsidRPr="00260B02">
        <w:rPr>
          <w:rFonts w:ascii="Arial" w:hAnsi="Arial"/>
          <w:sz w:val="22"/>
          <w:szCs w:val="22"/>
        </w:rPr>
        <w:t xml:space="preserve">the </w:t>
      </w:r>
      <w:r w:rsidR="0064151A" w:rsidRPr="00260B02">
        <w:rPr>
          <w:rFonts w:ascii="Arial" w:hAnsi="Arial"/>
          <w:sz w:val="22"/>
          <w:szCs w:val="22"/>
        </w:rPr>
        <w:t xml:space="preserve">insulin </w:t>
      </w:r>
      <w:r w:rsidR="00DF4A0B" w:rsidRPr="00260B02">
        <w:rPr>
          <w:rFonts w:ascii="Arial" w:hAnsi="Arial"/>
          <w:sz w:val="22"/>
          <w:szCs w:val="22"/>
        </w:rPr>
        <w:t>glargine products, Basa</w:t>
      </w:r>
      <w:r w:rsidR="0064151A" w:rsidRPr="00260B02">
        <w:rPr>
          <w:rFonts w:ascii="Arial" w:hAnsi="Arial"/>
          <w:sz w:val="22"/>
          <w:szCs w:val="22"/>
        </w:rPr>
        <w:t>g</w:t>
      </w:r>
      <w:r w:rsidR="00DF4A0B" w:rsidRPr="00260B02">
        <w:rPr>
          <w:rFonts w:ascii="Arial" w:hAnsi="Arial"/>
          <w:sz w:val="22"/>
          <w:szCs w:val="22"/>
        </w:rPr>
        <w:t>l</w:t>
      </w:r>
      <w:r w:rsidR="0064151A" w:rsidRPr="00260B02">
        <w:rPr>
          <w:rFonts w:ascii="Arial" w:hAnsi="Arial"/>
          <w:sz w:val="22"/>
          <w:szCs w:val="22"/>
        </w:rPr>
        <w:t>ar and Lantus.</w:t>
      </w:r>
    </w:p>
    <w:p w:rsidR="00F9629A" w:rsidRPr="00260B02" w:rsidRDefault="00F9629A" w:rsidP="007B6795">
      <w:pPr>
        <w:jc w:val="both"/>
        <w:rPr>
          <w:rFonts w:ascii="Arial" w:hAnsi="Arial"/>
          <w:sz w:val="22"/>
          <w:szCs w:val="22"/>
        </w:rPr>
      </w:pPr>
    </w:p>
    <w:p w:rsidR="00852A14" w:rsidRPr="00260B02" w:rsidRDefault="00852A14" w:rsidP="002825DB">
      <w:pPr>
        <w:pStyle w:val="ListParagraph"/>
        <w:numPr>
          <w:ilvl w:val="1"/>
          <w:numId w:val="25"/>
        </w:numPr>
        <w:jc w:val="both"/>
        <w:rPr>
          <w:rFonts w:ascii="Arial" w:hAnsi="Arial"/>
          <w:sz w:val="22"/>
          <w:szCs w:val="22"/>
        </w:rPr>
      </w:pPr>
      <w:r w:rsidRPr="00260B02">
        <w:rPr>
          <w:rFonts w:ascii="Arial" w:hAnsi="Arial"/>
          <w:sz w:val="22"/>
          <w:szCs w:val="22"/>
        </w:rPr>
        <w:t xml:space="preserve">Note: the sponsor’s submission </w:t>
      </w:r>
      <w:r w:rsidR="00747962" w:rsidRPr="00260B02">
        <w:rPr>
          <w:rFonts w:ascii="Arial" w:hAnsi="Arial"/>
          <w:sz w:val="22"/>
          <w:szCs w:val="22"/>
        </w:rPr>
        <w:t>did not</w:t>
      </w:r>
      <w:r w:rsidRPr="00260B02">
        <w:rPr>
          <w:rFonts w:ascii="Arial" w:hAnsi="Arial"/>
          <w:sz w:val="22"/>
          <w:szCs w:val="22"/>
        </w:rPr>
        <w:t xml:space="preserve"> request an “a” flag. The Minister (delegate) ha</w:t>
      </w:r>
      <w:r w:rsidR="00747962" w:rsidRPr="00260B02">
        <w:rPr>
          <w:rFonts w:ascii="Arial" w:hAnsi="Arial"/>
          <w:sz w:val="22"/>
          <w:szCs w:val="22"/>
        </w:rPr>
        <w:t>d</w:t>
      </w:r>
      <w:r w:rsidRPr="00260B02">
        <w:rPr>
          <w:rFonts w:ascii="Arial" w:hAnsi="Arial"/>
          <w:sz w:val="22"/>
          <w:szCs w:val="22"/>
        </w:rPr>
        <w:t xml:space="preserve"> requested PBAC</w:t>
      </w:r>
      <w:r w:rsidR="00747962" w:rsidRPr="00260B02">
        <w:rPr>
          <w:rFonts w:ascii="Arial" w:hAnsi="Arial"/>
          <w:sz w:val="22"/>
          <w:szCs w:val="22"/>
        </w:rPr>
        <w:t xml:space="preserve"> to</w:t>
      </w:r>
      <w:r w:rsidRPr="00260B02">
        <w:rPr>
          <w:rFonts w:ascii="Arial" w:hAnsi="Arial"/>
          <w:sz w:val="22"/>
          <w:szCs w:val="22"/>
        </w:rPr>
        <w:t xml:space="preserve"> provide advice on this matter under section 101(3) of the </w:t>
      </w:r>
      <w:r w:rsidRPr="00260B02">
        <w:rPr>
          <w:rFonts w:ascii="Arial" w:hAnsi="Arial"/>
          <w:i/>
          <w:sz w:val="22"/>
          <w:szCs w:val="22"/>
        </w:rPr>
        <w:t>National Health Act 1953</w:t>
      </w:r>
      <w:r w:rsidRPr="00260B02">
        <w:rPr>
          <w:rFonts w:ascii="Arial" w:hAnsi="Arial"/>
          <w:sz w:val="22"/>
          <w:szCs w:val="22"/>
        </w:rPr>
        <w:t xml:space="preserve"> (the Act)</w:t>
      </w:r>
      <w:r w:rsidR="000354A1" w:rsidRPr="00260B02">
        <w:rPr>
          <w:rFonts w:ascii="Arial" w:hAnsi="Arial"/>
          <w:sz w:val="22"/>
          <w:szCs w:val="22"/>
        </w:rPr>
        <w:t>.</w:t>
      </w:r>
      <w:r w:rsidR="002825DB" w:rsidRPr="00260B02">
        <w:rPr>
          <w:rFonts w:ascii="Arial" w:hAnsi="Arial"/>
          <w:sz w:val="22"/>
          <w:szCs w:val="22"/>
        </w:rPr>
        <w:t xml:space="preserve"> The advice is not being published at this stage.</w:t>
      </w:r>
    </w:p>
    <w:p w:rsidR="002825DB" w:rsidRPr="00260B02" w:rsidRDefault="002825DB" w:rsidP="002825DB">
      <w:pPr>
        <w:pStyle w:val="ListParagraph"/>
        <w:jc w:val="both"/>
        <w:rPr>
          <w:rFonts w:ascii="Arial" w:hAnsi="Arial"/>
          <w:sz w:val="22"/>
          <w:szCs w:val="22"/>
        </w:rPr>
      </w:pPr>
    </w:p>
    <w:p w:rsidR="00EF44A0" w:rsidRPr="00260B02" w:rsidRDefault="00EF44A0" w:rsidP="00EF44A0">
      <w:pPr>
        <w:pStyle w:val="ListParagraph"/>
        <w:jc w:val="both"/>
        <w:rPr>
          <w:rFonts w:ascii="Arial" w:hAnsi="Arial"/>
          <w:b/>
          <w:sz w:val="22"/>
          <w:szCs w:val="22"/>
        </w:rPr>
      </w:pPr>
    </w:p>
    <w:p w:rsidR="00614159" w:rsidRPr="00D30CA9" w:rsidRDefault="006A12A5" w:rsidP="00D30CA9">
      <w:pPr>
        <w:pStyle w:val="PBACheading1"/>
      </w:pPr>
      <w:r w:rsidRPr="00D30CA9">
        <w:t>Requested listing</w:t>
      </w:r>
    </w:p>
    <w:p w:rsidR="006A12A5" w:rsidRPr="00260B02" w:rsidRDefault="006A12A5" w:rsidP="00882085">
      <w:pPr>
        <w:jc w:val="both"/>
        <w:rPr>
          <w:rFonts w:ascii="Arial" w:hAnsi="Arial"/>
          <w:b/>
          <w:sz w:val="22"/>
          <w:szCs w:val="22"/>
        </w:rPr>
      </w:pPr>
    </w:p>
    <w:p w:rsidR="00826F6D" w:rsidRPr="00260B02" w:rsidRDefault="00EF44A0" w:rsidP="00882085">
      <w:pPr>
        <w:pStyle w:val="ListParagraph"/>
        <w:numPr>
          <w:ilvl w:val="1"/>
          <w:numId w:val="25"/>
        </w:numPr>
        <w:jc w:val="both"/>
        <w:rPr>
          <w:rFonts w:ascii="Arial" w:hAnsi="Arial"/>
          <w:sz w:val="22"/>
          <w:szCs w:val="22"/>
        </w:rPr>
      </w:pPr>
      <w:r w:rsidRPr="00260B02">
        <w:rPr>
          <w:rFonts w:ascii="Arial" w:hAnsi="Arial"/>
          <w:sz w:val="22"/>
          <w:szCs w:val="22"/>
        </w:rPr>
        <w:t xml:space="preserve">The submission </w:t>
      </w:r>
      <w:r w:rsidR="00747962" w:rsidRPr="00260B02">
        <w:rPr>
          <w:rFonts w:ascii="Arial" w:hAnsi="Arial"/>
          <w:sz w:val="22"/>
          <w:szCs w:val="22"/>
        </w:rPr>
        <w:t>requested</w:t>
      </w:r>
      <w:r w:rsidRPr="00260B02">
        <w:rPr>
          <w:rFonts w:ascii="Arial" w:hAnsi="Arial"/>
          <w:sz w:val="22"/>
          <w:szCs w:val="22"/>
        </w:rPr>
        <w:t xml:space="preserve"> the following </w:t>
      </w:r>
      <w:r w:rsidR="0076420C" w:rsidRPr="00260B02">
        <w:rPr>
          <w:rFonts w:ascii="Arial" w:hAnsi="Arial"/>
          <w:sz w:val="22"/>
          <w:szCs w:val="22"/>
        </w:rPr>
        <w:t xml:space="preserve">new </w:t>
      </w:r>
      <w:r w:rsidRPr="00260B02">
        <w:rPr>
          <w:rFonts w:ascii="Arial" w:hAnsi="Arial"/>
          <w:sz w:val="22"/>
          <w:szCs w:val="22"/>
        </w:rPr>
        <w:t>listing</w:t>
      </w:r>
      <w:r w:rsidR="004E5163" w:rsidRPr="00260B02">
        <w:rPr>
          <w:rFonts w:ascii="Arial" w:hAnsi="Arial"/>
          <w:sz w:val="22"/>
          <w:szCs w:val="22"/>
        </w:rPr>
        <w:t>:</w:t>
      </w:r>
      <w:r w:rsidRPr="00260B02">
        <w:rPr>
          <w:rFonts w:ascii="Arial" w:hAnsi="Arial"/>
          <w:sz w:val="22"/>
          <w:szCs w:val="22"/>
        </w:rPr>
        <w:t xml:space="preserve"> </w:t>
      </w:r>
    </w:p>
    <w:p w:rsidR="00826F6D" w:rsidRPr="00260B02" w:rsidRDefault="00826F6D" w:rsidP="00826F6D">
      <w:pPr>
        <w:pStyle w:val="ListParagraph"/>
        <w:jc w:val="both"/>
        <w:rPr>
          <w:rFonts w:ascii="Arial" w:hAnsi="Arial"/>
          <w:b/>
          <w:sz w:val="22"/>
          <w:szCs w:val="22"/>
        </w:rPr>
      </w:pPr>
    </w:p>
    <w:tbl>
      <w:tblPr>
        <w:tblW w:w="9214" w:type="dxa"/>
        <w:tblInd w:w="108" w:type="dxa"/>
        <w:tblLayout w:type="fixed"/>
        <w:tblLook w:val="0000" w:firstRow="0" w:lastRow="0" w:firstColumn="0" w:lastColumn="0" w:noHBand="0" w:noVBand="0"/>
      </w:tblPr>
      <w:tblGrid>
        <w:gridCol w:w="1843"/>
        <w:gridCol w:w="1418"/>
        <w:gridCol w:w="567"/>
        <w:gridCol w:w="850"/>
        <w:gridCol w:w="1701"/>
        <w:gridCol w:w="1559"/>
        <w:gridCol w:w="1276"/>
      </w:tblGrid>
      <w:tr w:rsidR="00826F6D" w:rsidRPr="00260B02" w:rsidTr="00EC43CF">
        <w:trPr>
          <w:cantSplit/>
          <w:trHeight w:val="471"/>
        </w:trPr>
        <w:tc>
          <w:tcPr>
            <w:tcW w:w="3261" w:type="dxa"/>
            <w:gridSpan w:val="2"/>
            <w:tcBorders>
              <w:bottom w:val="single" w:sz="4" w:space="0" w:color="auto"/>
            </w:tcBorders>
          </w:tcPr>
          <w:p w:rsidR="00826F6D" w:rsidRPr="00260B02" w:rsidRDefault="00826F6D" w:rsidP="00EC43CF">
            <w:pPr>
              <w:keepNext/>
              <w:ind w:left="-108"/>
              <w:jc w:val="both"/>
              <w:rPr>
                <w:rFonts w:ascii="Arial Narrow" w:hAnsi="Arial Narrow" w:cs="Arial"/>
                <w:sz w:val="20"/>
                <w:szCs w:val="20"/>
              </w:rPr>
            </w:pPr>
            <w:r w:rsidRPr="00260B02">
              <w:rPr>
                <w:rFonts w:ascii="Arial Narrow" w:hAnsi="Arial Narrow" w:cs="Arial"/>
                <w:sz w:val="20"/>
                <w:szCs w:val="20"/>
              </w:rPr>
              <w:t>Name, Restriction,</w:t>
            </w:r>
          </w:p>
          <w:p w:rsidR="00826F6D" w:rsidRPr="00260B02" w:rsidRDefault="00826F6D" w:rsidP="00EC43CF">
            <w:pPr>
              <w:keepNext/>
              <w:ind w:left="-108"/>
              <w:jc w:val="both"/>
              <w:rPr>
                <w:rFonts w:ascii="Arial Narrow" w:hAnsi="Arial Narrow" w:cs="Arial"/>
                <w:sz w:val="20"/>
                <w:szCs w:val="20"/>
              </w:rPr>
            </w:pPr>
            <w:r w:rsidRPr="00260B02">
              <w:rPr>
                <w:rFonts w:ascii="Arial Narrow" w:hAnsi="Arial Narrow" w:cs="Arial"/>
                <w:sz w:val="20"/>
                <w:szCs w:val="20"/>
              </w:rPr>
              <w:t>Manner of administration and form</w:t>
            </w:r>
          </w:p>
        </w:tc>
        <w:tc>
          <w:tcPr>
            <w:tcW w:w="567" w:type="dxa"/>
            <w:tcBorders>
              <w:bottom w:val="single" w:sz="4" w:space="0" w:color="auto"/>
            </w:tcBorders>
          </w:tcPr>
          <w:p w:rsidR="00826F6D" w:rsidRPr="00260B02" w:rsidRDefault="00826F6D" w:rsidP="00EC43CF">
            <w:pPr>
              <w:keepNext/>
              <w:ind w:left="-108"/>
              <w:jc w:val="both"/>
              <w:rPr>
                <w:rFonts w:ascii="Arial Narrow" w:hAnsi="Arial Narrow" w:cs="Arial"/>
                <w:sz w:val="20"/>
                <w:szCs w:val="20"/>
              </w:rPr>
            </w:pPr>
            <w:r w:rsidRPr="00260B02">
              <w:rPr>
                <w:rFonts w:ascii="Arial Narrow" w:hAnsi="Arial Narrow" w:cs="Arial"/>
                <w:sz w:val="20"/>
                <w:szCs w:val="20"/>
              </w:rPr>
              <w:t>Max.</w:t>
            </w:r>
          </w:p>
          <w:p w:rsidR="00826F6D" w:rsidRPr="00260B02" w:rsidRDefault="00826F6D" w:rsidP="00EC43CF">
            <w:pPr>
              <w:keepNext/>
              <w:ind w:left="-108"/>
              <w:jc w:val="both"/>
              <w:rPr>
                <w:rFonts w:ascii="Arial Narrow" w:hAnsi="Arial Narrow" w:cs="Arial"/>
                <w:sz w:val="20"/>
                <w:szCs w:val="20"/>
              </w:rPr>
            </w:pPr>
            <w:r w:rsidRPr="00260B02">
              <w:rPr>
                <w:rFonts w:ascii="Arial Narrow" w:hAnsi="Arial Narrow" w:cs="Arial"/>
                <w:sz w:val="20"/>
                <w:szCs w:val="20"/>
              </w:rPr>
              <w:t>Qty</w:t>
            </w:r>
          </w:p>
        </w:tc>
        <w:tc>
          <w:tcPr>
            <w:tcW w:w="850" w:type="dxa"/>
            <w:tcBorders>
              <w:bottom w:val="single" w:sz="4" w:space="0" w:color="auto"/>
            </w:tcBorders>
          </w:tcPr>
          <w:p w:rsidR="00826F6D" w:rsidRPr="00260B02" w:rsidRDefault="00826F6D" w:rsidP="00EC43CF">
            <w:pPr>
              <w:keepNext/>
              <w:ind w:left="-108"/>
              <w:jc w:val="both"/>
              <w:rPr>
                <w:rFonts w:ascii="Arial Narrow" w:hAnsi="Arial Narrow" w:cs="Arial"/>
                <w:sz w:val="20"/>
                <w:szCs w:val="20"/>
              </w:rPr>
            </w:pPr>
            <w:r w:rsidRPr="00260B02">
              <w:rPr>
                <w:rFonts w:ascii="Arial Narrow" w:hAnsi="Arial Narrow" w:cs="Arial"/>
                <w:sz w:val="20"/>
                <w:szCs w:val="20"/>
              </w:rPr>
              <w:t>№.of</w:t>
            </w:r>
          </w:p>
          <w:p w:rsidR="00826F6D" w:rsidRPr="00260B02" w:rsidRDefault="00826F6D" w:rsidP="00EC43CF">
            <w:pPr>
              <w:keepNext/>
              <w:ind w:left="-108"/>
              <w:jc w:val="both"/>
              <w:rPr>
                <w:rFonts w:ascii="Arial Narrow" w:hAnsi="Arial Narrow" w:cs="Arial"/>
                <w:sz w:val="20"/>
                <w:szCs w:val="20"/>
              </w:rPr>
            </w:pPr>
            <w:r w:rsidRPr="00260B02">
              <w:rPr>
                <w:rFonts w:ascii="Arial Narrow" w:hAnsi="Arial Narrow" w:cs="Arial"/>
                <w:sz w:val="20"/>
                <w:szCs w:val="20"/>
              </w:rPr>
              <w:t>Rpts</w:t>
            </w:r>
          </w:p>
        </w:tc>
        <w:tc>
          <w:tcPr>
            <w:tcW w:w="1701" w:type="dxa"/>
            <w:tcBorders>
              <w:bottom w:val="single" w:sz="4" w:space="0" w:color="auto"/>
            </w:tcBorders>
          </w:tcPr>
          <w:p w:rsidR="00826F6D" w:rsidRPr="00260B02" w:rsidRDefault="00826F6D" w:rsidP="00EC43CF">
            <w:pPr>
              <w:keepNext/>
              <w:ind w:left="-108"/>
              <w:jc w:val="both"/>
              <w:rPr>
                <w:rFonts w:ascii="Arial Narrow" w:hAnsi="Arial Narrow" w:cs="Arial"/>
                <w:sz w:val="20"/>
                <w:szCs w:val="20"/>
              </w:rPr>
            </w:pPr>
            <w:r w:rsidRPr="00260B02">
              <w:rPr>
                <w:rFonts w:ascii="Arial Narrow" w:hAnsi="Arial Narrow" w:cs="Arial"/>
                <w:sz w:val="20"/>
                <w:szCs w:val="20"/>
              </w:rPr>
              <w:t>Dispensed Price for Max. Qty</w:t>
            </w:r>
          </w:p>
        </w:tc>
        <w:tc>
          <w:tcPr>
            <w:tcW w:w="2835" w:type="dxa"/>
            <w:gridSpan w:val="2"/>
            <w:tcBorders>
              <w:bottom w:val="single" w:sz="4" w:space="0" w:color="auto"/>
            </w:tcBorders>
          </w:tcPr>
          <w:p w:rsidR="00826F6D" w:rsidRPr="00260B02" w:rsidRDefault="00826F6D" w:rsidP="00EC43CF">
            <w:pPr>
              <w:keepNext/>
              <w:jc w:val="both"/>
              <w:rPr>
                <w:rFonts w:ascii="Arial Narrow" w:hAnsi="Arial Narrow" w:cs="Arial"/>
                <w:sz w:val="20"/>
                <w:szCs w:val="20"/>
                <w:lang w:val="fr-FR"/>
              </w:rPr>
            </w:pPr>
            <w:r w:rsidRPr="00260B02">
              <w:rPr>
                <w:rFonts w:ascii="Arial Narrow" w:hAnsi="Arial Narrow" w:cs="Arial"/>
                <w:sz w:val="20"/>
                <w:szCs w:val="20"/>
              </w:rPr>
              <w:t>Proprietary Name and Manufacturer</w:t>
            </w:r>
          </w:p>
        </w:tc>
      </w:tr>
      <w:tr w:rsidR="00826F6D" w:rsidRPr="00260B02" w:rsidTr="003D4671">
        <w:trPr>
          <w:cantSplit/>
          <w:trHeight w:val="808"/>
        </w:trPr>
        <w:tc>
          <w:tcPr>
            <w:tcW w:w="3261" w:type="dxa"/>
            <w:gridSpan w:val="2"/>
          </w:tcPr>
          <w:p w:rsidR="00826F6D" w:rsidRPr="00260B02" w:rsidRDefault="002257AA" w:rsidP="00EC43CF">
            <w:pPr>
              <w:keepNext/>
              <w:ind w:left="-108"/>
              <w:jc w:val="both"/>
              <w:rPr>
                <w:rFonts w:ascii="Arial Narrow" w:hAnsi="Arial Narrow" w:cs="Arial"/>
                <w:sz w:val="20"/>
                <w:szCs w:val="20"/>
              </w:rPr>
            </w:pPr>
            <w:r w:rsidRPr="00260B02">
              <w:rPr>
                <w:rFonts w:ascii="Arial Narrow" w:hAnsi="Arial Narrow" w:cs="Arial"/>
                <w:smallCaps/>
                <w:sz w:val="20"/>
                <w:szCs w:val="20"/>
              </w:rPr>
              <w:t>INSULIN GLARGINE</w:t>
            </w:r>
          </w:p>
          <w:p w:rsidR="00826F6D" w:rsidRPr="00260B02" w:rsidRDefault="002257AA" w:rsidP="002257AA">
            <w:pPr>
              <w:keepNext/>
              <w:ind w:left="-108"/>
              <w:jc w:val="both"/>
              <w:rPr>
                <w:rFonts w:ascii="Arial Narrow" w:hAnsi="Arial Narrow" w:cs="Arial"/>
                <w:sz w:val="20"/>
                <w:szCs w:val="20"/>
              </w:rPr>
            </w:pPr>
            <w:r w:rsidRPr="00260B02">
              <w:rPr>
                <w:rFonts w:ascii="Arial Narrow" w:hAnsi="Arial Narrow" w:cs="Arial"/>
                <w:sz w:val="20"/>
                <w:szCs w:val="20"/>
              </w:rPr>
              <w:t xml:space="preserve">Insulin glargine 100 international units/mL </w:t>
            </w:r>
            <w:r w:rsidR="0064151A" w:rsidRPr="00260B02">
              <w:rPr>
                <w:rFonts w:ascii="Arial Narrow" w:hAnsi="Arial Narrow" w:cs="Arial"/>
                <w:sz w:val="20"/>
                <w:szCs w:val="20"/>
              </w:rPr>
              <w:t>injection</w:t>
            </w:r>
            <w:r w:rsidRPr="00260B02">
              <w:rPr>
                <w:rFonts w:ascii="Arial Narrow" w:hAnsi="Arial Narrow" w:cs="Arial"/>
                <w:sz w:val="20"/>
                <w:szCs w:val="20"/>
              </w:rPr>
              <w:t>, 5 x 3 mL cartridges</w:t>
            </w:r>
          </w:p>
        </w:tc>
        <w:tc>
          <w:tcPr>
            <w:tcW w:w="567" w:type="dxa"/>
          </w:tcPr>
          <w:p w:rsidR="00826F6D" w:rsidRPr="00260B02" w:rsidRDefault="002257AA" w:rsidP="00EC43CF">
            <w:pPr>
              <w:keepNext/>
              <w:ind w:left="-108"/>
              <w:jc w:val="both"/>
              <w:rPr>
                <w:rFonts w:ascii="Arial Narrow" w:hAnsi="Arial Narrow" w:cs="Arial"/>
                <w:sz w:val="20"/>
                <w:szCs w:val="20"/>
              </w:rPr>
            </w:pPr>
            <w:r w:rsidRPr="00260B02">
              <w:rPr>
                <w:rFonts w:ascii="Arial Narrow" w:hAnsi="Arial Narrow" w:cs="Arial"/>
                <w:sz w:val="20"/>
                <w:szCs w:val="20"/>
              </w:rPr>
              <w:t>5</w:t>
            </w:r>
          </w:p>
        </w:tc>
        <w:tc>
          <w:tcPr>
            <w:tcW w:w="850" w:type="dxa"/>
          </w:tcPr>
          <w:p w:rsidR="00826F6D" w:rsidRPr="00260B02" w:rsidRDefault="002257AA" w:rsidP="00EC43CF">
            <w:pPr>
              <w:keepNext/>
              <w:ind w:left="-108"/>
              <w:jc w:val="both"/>
              <w:rPr>
                <w:rFonts w:ascii="Arial Narrow" w:hAnsi="Arial Narrow" w:cs="Arial"/>
                <w:sz w:val="20"/>
                <w:szCs w:val="20"/>
              </w:rPr>
            </w:pPr>
            <w:r w:rsidRPr="00260B02">
              <w:rPr>
                <w:rFonts w:ascii="Arial Narrow" w:hAnsi="Arial Narrow" w:cs="Arial"/>
                <w:sz w:val="20"/>
                <w:szCs w:val="20"/>
              </w:rPr>
              <w:t>1</w:t>
            </w:r>
          </w:p>
        </w:tc>
        <w:tc>
          <w:tcPr>
            <w:tcW w:w="1701" w:type="dxa"/>
          </w:tcPr>
          <w:p w:rsidR="00826F6D" w:rsidRPr="00260B02" w:rsidRDefault="002257AA" w:rsidP="00F316AF">
            <w:pPr>
              <w:keepNext/>
              <w:ind w:left="-108"/>
              <w:jc w:val="both"/>
              <w:rPr>
                <w:rFonts w:ascii="Arial Narrow" w:hAnsi="Arial Narrow" w:cs="Arial"/>
                <w:sz w:val="20"/>
                <w:szCs w:val="20"/>
              </w:rPr>
            </w:pPr>
            <w:r w:rsidRPr="00260B02">
              <w:rPr>
                <w:rFonts w:ascii="Arial Narrow" w:hAnsi="Arial Narrow" w:cs="Arial"/>
                <w:sz w:val="20"/>
                <w:szCs w:val="20"/>
              </w:rPr>
              <w:t>$</w:t>
            </w:r>
            <w:r w:rsidR="007C50FC">
              <w:rPr>
                <w:rFonts w:ascii="Arial Narrow" w:hAnsi="Arial Narrow" w:cs="Arial"/>
                <w:noProof/>
                <w:color w:val="000000"/>
                <w:sz w:val="20"/>
                <w:szCs w:val="20"/>
                <w:highlight w:val="black"/>
              </w:rPr>
              <w:t>'''''''''''''''</w:t>
            </w:r>
            <w:r w:rsidR="00C45ED8" w:rsidRPr="00260B02">
              <w:rPr>
                <w:rFonts w:ascii="Arial" w:hAnsi="Arial"/>
                <w:sz w:val="18"/>
                <w:szCs w:val="18"/>
                <w:vertAlign w:val="superscript"/>
              </w:rPr>
              <w:t>#</w:t>
            </w:r>
          </w:p>
        </w:tc>
        <w:tc>
          <w:tcPr>
            <w:tcW w:w="1559" w:type="dxa"/>
          </w:tcPr>
          <w:p w:rsidR="00826F6D" w:rsidRPr="00260B02" w:rsidRDefault="002257AA" w:rsidP="00EC43CF">
            <w:pPr>
              <w:keepNext/>
              <w:jc w:val="both"/>
              <w:rPr>
                <w:rFonts w:ascii="Arial Narrow" w:hAnsi="Arial Narrow" w:cs="Arial"/>
                <w:sz w:val="20"/>
                <w:szCs w:val="20"/>
              </w:rPr>
            </w:pPr>
            <w:r w:rsidRPr="00260B02">
              <w:rPr>
                <w:rFonts w:ascii="Arial Narrow" w:hAnsi="Arial Narrow" w:cs="Arial"/>
                <w:sz w:val="20"/>
                <w:szCs w:val="20"/>
              </w:rPr>
              <w:t>Basaglar</w:t>
            </w:r>
            <w:r w:rsidR="0064151A" w:rsidRPr="00260B02">
              <w:rPr>
                <w:rFonts w:ascii="Arial Narrow" w:hAnsi="Arial Narrow" w:cs="Arial"/>
                <w:sz w:val="20"/>
                <w:szCs w:val="20"/>
              </w:rPr>
              <w:t>*</w:t>
            </w:r>
          </w:p>
          <w:p w:rsidR="002257AA" w:rsidRPr="00260B02" w:rsidRDefault="002257AA" w:rsidP="00EC43CF">
            <w:pPr>
              <w:keepNext/>
              <w:jc w:val="both"/>
              <w:rPr>
                <w:rFonts w:ascii="Arial Narrow" w:hAnsi="Arial Narrow" w:cs="Arial"/>
                <w:sz w:val="20"/>
                <w:szCs w:val="20"/>
              </w:rPr>
            </w:pPr>
            <w:r w:rsidRPr="00260B02">
              <w:rPr>
                <w:rFonts w:ascii="Arial Narrow" w:hAnsi="Arial Narrow" w:cs="Arial"/>
                <w:sz w:val="20"/>
                <w:szCs w:val="20"/>
              </w:rPr>
              <w:t>Basaglar</w:t>
            </w:r>
            <w:r w:rsidR="0064151A" w:rsidRPr="00260B02">
              <w:rPr>
                <w:rFonts w:ascii="Arial Narrow" w:hAnsi="Arial Narrow" w:cs="Arial"/>
                <w:sz w:val="20"/>
                <w:szCs w:val="20"/>
              </w:rPr>
              <w:t>*</w:t>
            </w:r>
            <w:r w:rsidRPr="00260B02">
              <w:rPr>
                <w:rFonts w:ascii="Arial Narrow" w:hAnsi="Arial Narrow" w:cs="Arial"/>
                <w:sz w:val="20"/>
                <w:szCs w:val="20"/>
              </w:rPr>
              <w:t xml:space="preserve"> KwikPen</w:t>
            </w:r>
          </w:p>
        </w:tc>
        <w:tc>
          <w:tcPr>
            <w:tcW w:w="1276" w:type="dxa"/>
          </w:tcPr>
          <w:p w:rsidR="00826F6D" w:rsidRPr="00260B02" w:rsidRDefault="002257AA" w:rsidP="00EC43CF">
            <w:pPr>
              <w:keepNext/>
              <w:jc w:val="both"/>
              <w:rPr>
                <w:rFonts w:ascii="Arial Narrow" w:hAnsi="Arial Narrow" w:cs="Arial"/>
                <w:sz w:val="20"/>
                <w:szCs w:val="20"/>
              </w:rPr>
            </w:pPr>
            <w:r w:rsidRPr="00260B02">
              <w:rPr>
                <w:rFonts w:ascii="Arial Narrow" w:hAnsi="Arial Narrow" w:cs="Arial"/>
                <w:sz w:val="20"/>
                <w:szCs w:val="20"/>
              </w:rPr>
              <w:t>Eli Lilly</w:t>
            </w:r>
          </w:p>
        </w:tc>
      </w:tr>
      <w:tr w:rsidR="00826F6D" w:rsidRPr="00260B02" w:rsidTr="00EC43CF">
        <w:trPr>
          <w:cantSplit/>
          <w:trHeight w:val="360"/>
        </w:trPr>
        <w:tc>
          <w:tcPr>
            <w:tcW w:w="9214" w:type="dxa"/>
            <w:gridSpan w:val="7"/>
            <w:tcBorders>
              <w:bottom w:val="single" w:sz="4" w:space="0" w:color="auto"/>
            </w:tcBorders>
          </w:tcPr>
          <w:p w:rsidR="0064151A" w:rsidRPr="00260B02" w:rsidRDefault="0064151A" w:rsidP="00C82D2A">
            <w:pPr>
              <w:jc w:val="both"/>
              <w:rPr>
                <w:rFonts w:ascii="Arial" w:hAnsi="Arial"/>
                <w:sz w:val="18"/>
                <w:szCs w:val="18"/>
                <w:vertAlign w:val="superscript"/>
              </w:rPr>
            </w:pPr>
            <w:r w:rsidRPr="00260B02">
              <w:rPr>
                <w:rFonts w:ascii="Arial Narrow" w:hAnsi="Arial Narrow" w:cs="Arial"/>
                <w:sz w:val="18"/>
                <w:szCs w:val="18"/>
              </w:rPr>
              <w:t xml:space="preserve">*Trade name </w:t>
            </w:r>
            <w:r w:rsidR="00E657AC" w:rsidRPr="00260B02">
              <w:rPr>
                <w:rFonts w:ascii="Arial Narrow" w:hAnsi="Arial Narrow" w:cs="Arial"/>
                <w:sz w:val="18"/>
                <w:szCs w:val="18"/>
              </w:rPr>
              <w:t>was previously</w:t>
            </w:r>
            <w:r w:rsidRPr="00260B02">
              <w:rPr>
                <w:rFonts w:ascii="Arial Narrow" w:hAnsi="Arial Narrow" w:cs="Arial"/>
                <w:sz w:val="18"/>
                <w:szCs w:val="18"/>
              </w:rPr>
              <w:t xml:space="preserve"> Abas</w:t>
            </w:r>
            <w:r w:rsidR="00C82D2A" w:rsidRPr="00260B02">
              <w:rPr>
                <w:rFonts w:ascii="Arial Narrow" w:hAnsi="Arial Narrow" w:cs="Arial"/>
                <w:sz w:val="18"/>
                <w:szCs w:val="18"/>
              </w:rPr>
              <w:t>r</w:t>
            </w:r>
            <w:r w:rsidRPr="00260B02">
              <w:rPr>
                <w:rFonts w:ascii="Arial Narrow" w:hAnsi="Arial Narrow" w:cs="Arial"/>
                <w:sz w:val="18"/>
                <w:szCs w:val="18"/>
              </w:rPr>
              <w:t>ia</w:t>
            </w:r>
            <w:r w:rsidRPr="00260B02">
              <w:rPr>
                <w:rFonts w:ascii="Arial" w:hAnsi="Arial"/>
                <w:sz w:val="18"/>
                <w:szCs w:val="18"/>
                <w:vertAlign w:val="superscript"/>
              </w:rPr>
              <w:t>®</w:t>
            </w:r>
            <w:r w:rsidR="00F316AF" w:rsidRPr="00260B02">
              <w:rPr>
                <w:rFonts w:ascii="Arial" w:hAnsi="Arial"/>
                <w:sz w:val="18"/>
                <w:szCs w:val="18"/>
                <w:vertAlign w:val="superscript"/>
              </w:rPr>
              <w:t xml:space="preserve"> </w:t>
            </w:r>
          </w:p>
          <w:p w:rsidR="00F316AF" w:rsidRPr="00260B02" w:rsidRDefault="007C50FC" w:rsidP="003112B8">
            <w:pPr>
              <w:jc w:val="both"/>
              <w:rPr>
                <w:rFonts w:ascii="Arial Narrow" w:hAnsi="Arial Narrow" w:cs="Arial"/>
                <w:sz w:val="18"/>
                <w:szCs w:val="18"/>
              </w:rPr>
            </w:pPr>
            <w:r>
              <w:rPr>
                <w:rFonts w:ascii="Arial" w:hAnsi="Arial"/>
                <w:noProof/>
                <w:color w:val="000000"/>
                <w:sz w:val="18"/>
                <w:szCs w:val="18"/>
                <w:highlight w:val="black"/>
                <w:vertAlign w:val="superscript"/>
              </w:rPr>
              <w:t xml:space="preserve">''' </w:t>
            </w:r>
            <w:r>
              <w:rPr>
                <w:rFonts w:ascii="Arial Narrow" w:hAnsi="Arial Narrow" w:cs="Arial"/>
                <w:noProof/>
                <w:color w:val="000000"/>
                <w:sz w:val="18"/>
                <w:szCs w:val="18"/>
                <w:highlight w:val="black"/>
              </w:rPr>
              <w:t>'''''' ''''''''' ''''''''''''''''' ''''' '''''' ''''' ''''''' ''''''''''''''''' ''''''''''''''''' ''''''''''''''' '''''''''''''''''''''''''''''' '''''''''''''''' ''''' '''''''''''''''''' '''' '''''''''''''''''''''' ''''''''''''''''' '''''' '''''''''''''''''' '''''''''' ''''''''''' '''' ''''''' '''''''''''''''''' '''''''''''''''''''''' '''''''''''''''' ''''''' ''''''''' '''''''''''''''''''''''''''''''' ''''''''' ''''''''''''''''''''' '''''''' '''''''''''''' '''' '''''''''''' '''''''''''''''''''''' '''''''''''' '''''''''''''''''''' ''''''' ''''''''''''''' ''''''''''''''''''''' ''''''''''''''''''''''' ''''''''' '''''''''' '''''''''''''''''' ''''''''''' '''''''''''''''''''' ''''''''''''''''' ''''' '''''''' ''''''''''''''''' ''''''''''''''''' '''''''''''''''''''''' '''''''''''''''''''''''''''''''''''' ''''''''''' '''''''''''''''''''' '''''''' '''' '''' '''''''''''''''''''' ''''''''' '''''''''''''''''' '''''' ''''''''' ''''''''''''''''' '''' '''''''''''''''' '''''''''''''''''''''''' ''''''''''''''''''' ''''''''' '''''''''''''''''''''''''' ''''' '''''''' '''''''''''' '''''''''''''''''''''''</w:t>
            </w:r>
          </w:p>
        </w:tc>
      </w:tr>
      <w:tr w:rsidR="00826F6D" w:rsidRPr="00260B02" w:rsidTr="002257AA">
        <w:trPr>
          <w:cantSplit/>
          <w:trHeight w:val="474"/>
        </w:trPr>
        <w:tc>
          <w:tcPr>
            <w:tcW w:w="1843" w:type="dxa"/>
            <w:tcBorders>
              <w:top w:val="single" w:sz="4" w:space="0" w:color="auto"/>
              <w:left w:val="single" w:sz="4" w:space="0" w:color="auto"/>
              <w:bottom w:val="single" w:sz="4" w:space="0" w:color="auto"/>
              <w:right w:val="single" w:sz="4" w:space="0" w:color="auto"/>
            </w:tcBorders>
          </w:tcPr>
          <w:p w:rsidR="00826F6D" w:rsidRPr="00260B02" w:rsidRDefault="00826F6D" w:rsidP="00EC43CF">
            <w:pPr>
              <w:jc w:val="both"/>
              <w:rPr>
                <w:rFonts w:ascii="Arial Narrow" w:hAnsi="Arial Narrow" w:cs="Arial"/>
                <w:b/>
                <w:sz w:val="20"/>
                <w:szCs w:val="20"/>
              </w:rPr>
            </w:pPr>
            <w:r w:rsidRPr="00260B02">
              <w:rPr>
                <w:rFonts w:ascii="Arial Narrow" w:hAnsi="Arial Narrow" w:cs="Arial"/>
                <w:b/>
                <w:sz w:val="20"/>
                <w:szCs w:val="20"/>
              </w:rPr>
              <w:t xml:space="preserve">Category / </w:t>
            </w:r>
          </w:p>
          <w:p w:rsidR="00826F6D" w:rsidRPr="00260B02" w:rsidRDefault="00826F6D" w:rsidP="00EC43CF">
            <w:pPr>
              <w:jc w:val="both"/>
              <w:rPr>
                <w:rFonts w:ascii="Arial Narrow" w:hAnsi="Arial Narrow" w:cs="Arial"/>
                <w:b/>
                <w:sz w:val="20"/>
                <w:szCs w:val="20"/>
              </w:rPr>
            </w:pPr>
            <w:r w:rsidRPr="00260B02">
              <w:rPr>
                <w:rFonts w:ascii="Arial Narrow" w:hAnsi="Arial Narrow" w:cs="Arial"/>
                <w:b/>
                <w:sz w:val="20"/>
                <w:szCs w:val="20"/>
              </w:rPr>
              <w:t>Program</w:t>
            </w:r>
          </w:p>
        </w:tc>
        <w:tc>
          <w:tcPr>
            <w:tcW w:w="7371" w:type="dxa"/>
            <w:gridSpan w:val="6"/>
            <w:tcBorders>
              <w:top w:val="single" w:sz="4" w:space="0" w:color="auto"/>
              <w:left w:val="single" w:sz="4" w:space="0" w:color="auto"/>
              <w:bottom w:val="single" w:sz="4" w:space="0" w:color="auto"/>
              <w:right w:val="single" w:sz="4" w:space="0" w:color="auto"/>
            </w:tcBorders>
          </w:tcPr>
          <w:p w:rsidR="00826F6D" w:rsidRPr="00260B02" w:rsidRDefault="00826F6D" w:rsidP="00EC43CF">
            <w:pPr>
              <w:rPr>
                <w:rFonts w:ascii="Arial Narrow" w:hAnsi="Arial Narrow" w:cs="Arial"/>
                <w:sz w:val="20"/>
                <w:szCs w:val="20"/>
              </w:rPr>
            </w:pPr>
            <w:r w:rsidRPr="00260B02">
              <w:rPr>
                <w:rFonts w:ascii="Arial Narrow" w:hAnsi="Arial Narrow" w:cs="Arial"/>
                <w:sz w:val="20"/>
                <w:szCs w:val="20"/>
              </w:rPr>
              <w:t>GENERAL – General Schedule (Code GE)</w:t>
            </w:r>
          </w:p>
          <w:p w:rsidR="00826F6D" w:rsidRPr="00260B02" w:rsidRDefault="00826F6D" w:rsidP="00EC43CF">
            <w:pPr>
              <w:rPr>
                <w:rFonts w:ascii="Arial Narrow" w:hAnsi="Arial Narrow" w:cs="Arial"/>
                <w:sz w:val="20"/>
                <w:szCs w:val="20"/>
              </w:rPr>
            </w:pPr>
          </w:p>
        </w:tc>
      </w:tr>
      <w:tr w:rsidR="00826F6D" w:rsidRPr="00260B02" w:rsidTr="00826F6D">
        <w:trPr>
          <w:cantSplit/>
          <w:trHeight w:val="360"/>
        </w:trPr>
        <w:tc>
          <w:tcPr>
            <w:tcW w:w="1843" w:type="dxa"/>
            <w:tcBorders>
              <w:top w:val="single" w:sz="4" w:space="0" w:color="auto"/>
              <w:left w:val="single" w:sz="4" w:space="0" w:color="auto"/>
              <w:bottom w:val="single" w:sz="4" w:space="0" w:color="auto"/>
              <w:right w:val="single" w:sz="4" w:space="0" w:color="auto"/>
            </w:tcBorders>
          </w:tcPr>
          <w:p w:rsidR="00826F6D" w:rsidRPr="00260B02" w:rsidRDefault="00826F6D" w:rsidP="00EC43CF">
            <w:pPr>
              <w:jc w:val="both"/>
              <w:rPr>
                <w:rFonts w:ascii="Arial Narrow" w:hAnsi="Arial Narrow" w:cs="Arial"/>
                <w:b/>
                <w:sz w:val="20"/>
                <w:szCs w:val="20"/>
              </w:rPr>
            </w:pPr>
            <w:r w:rsidRPr="00260B02">
              <w:rPr>
                <w:rFonts w:ascii="Arial Narrow" w:hAnsi="Arial Narrow" w:cs="Arial"/>
                <w:b/>
                <w:sz w:val="20"/>
                <w:szCs w:val="20"/>
              </w:rPr>
              <w:t>Prescriber type:</w:t>
            </w:r>
          </w:p>
        </w:tc>
        <w:tc>
          <w:tcPr>
            <w:tcW w:w="7371" w:type="dxa"/>
            <w:gridSpan w:val="6"/>
            <w:tcBorders>
              <w:top w:val="single" w:sz="4" w:space="0" w:color="auto"/>
              <w:left w:val="single" w:sz="4" w:space="0" w:color="auto"/>
              <w:bottom w:val="single" w:sz="4" w:space="0" w:color="auto"/>
              <w:right w:val="single" w:sz="4" w:space="0" w:color="auto"/>
            </w:tcBorders>
          </w:tcPr>
          <w:p w:rsidR="00826F6D" w:rsidRPr="00260B02" w:rsidRDefault="002257AA" w:rsidP="00EC43CF">
            <w:pPr>
              <w:rPr>
                <w:rFonts w:ascii="Arial Narrow" w:hAnsi="Arial Narrow" w:cs="Arial"/>
                <w:sz w:val="20"/>
                <w:szCs w:val="20"/>
              </w:rPr>
            </w:pPr>
            <w:r w:rsidRPr="00260B02">
              <w:rPr>
                <w:rFonts w:ascii="Arial Narrow" w:hAnsi="Arial Narrow" w:cs="Arial"/>
                <w:sz w:val="20"/>
                <w:szCs w:val="20"/>
              </w:rPr>
              <w:fldChar w:fldCharType="begin">
                <w:ffData>
                  <w:name w:val=""/>
                  <w:enabled/>
                  <w:calcOnExit w:val="0"/>
                  <w:checkBox>
                    <w:sizeAuto/>
                    <w:default w:val="1"/>
                  </w:checkBox>
                </w:ffData>
              </w:fldChar>
            </w:r>
            <w:r w:rsidRPr="00260B02">
              <w:rPr>
                <w:rFonts w:ascii="Arial Narrow" w:hAnsi="Arial Narrow" w:cs="Arial"/>
                <w:sz w:val="20"/>
                <w:szCs w:val="20"/>
              </w:rPr>
              <w:instrText xml:space="preserve"> FORMCHECKBOX </w:instrText>
            </w:r>
            <w:r w:rsidR="007E0DA2">
              <w:rPr>
                <w:rFonts w:ascii="Arial Narrow" w:hAnsi="Arial Narrow" w:cs="Arial"/>
                <w:sz w:val="20"/>
                <w:szCs w:val="20"/>
              </w:rPr>
            </w:r>
            <w:r w:rsidR="007E0DA2">
              <w:rPr>
                <w:rFonts w:ascii="Arial Narrow" w:hAnsi="Arial Narrow" w:cs="Arial"/>
                <w:sz w:val="20"/>
                <w:szCs w:val="20"/>
              </w:rPr>
              <w:fldChar w:fldCharType="separate"/>
            </w:r>
            <w:r w:rsidRPr="00260B02">
              <w:rPr>
                <w:rFonts w:ascii="Arial Narrow" w:hAnsi="Arial Narrow" w:cs="Arial"/>
                <w:sz w:val="20"/>
                <w:szCs w:val="20"/>
              </w:rPr>
              <w:fldChar w:fldCharType="end"/>
            </w:r>
            <w:r w:rsidR="00826F6D" w:rsidRPr="00260B02">
              <w:rPr>
                <w:rFonts w:ascii="Arial Narrow" w:hAnsi="Arial Narrow" w:cs="Arial"/>
                <w:sz w:val="20"/>
                <w:szCs w:val="20"/>
              </w:rPr>
              <w:t xml:space="preserve">Medical Practitioners  </w:t>
            </w:r>
            <w:r w:rsidRPr="00260B02">
              <w:rPr>
                <w:rFonts w:ascii="Arial Narrow" w:hAnsi="Arial Narrow" w:cs="Arial"/>
                <w:sz w:val="20"/>
                <w:szCs w:val="20"/>
              </w:rPr>
              <w:fldChar w:fldCharType="begin">
                <w:ffData>
                  <w:name w:val="Check3"/>
                  <w:enabled/>
                  <w:calcOnExit w:val="0"/>
                  <w:checkBox>
                    <w:sizeAuto/>
                    <w:default w:val="1"/>
                  </w:checkBox>
                </w:ffData>
              </w:fldChar>
            </w:r>
            <w:bookmarkStart w:id="0" w:name="Check3"/>
            <w:r w:rsidRPr="00260B02">
              <w:rPr>
                <w:rFonts w:ascii="Arial Narrow" w:hAnsi="Arial Narrow" w:cs="Arial"/>
                <w:sz w:val="20"/>
                <w:szCs w:val="20"/>
              </w:rPr>
              <w:instrText xml:space="preserve"> FORMCHECKBOX </w:instrText>
            </w:r>
            <w:r w:rsidR="007E0DA2">
              <w:rPr>
                <w:rFonts w:ascii="Arial Narrow" w:hAnsi="Arial Narrow" w:cs="Arial"/>
                <w:sz w:val="20"/>
                <w:szCs w:val="20"/>
              </w:rPr>
            </w:r>
            <w:r w:rsidR="007E0DA2">
              <w:rPr>
                <w:rFonts w:ascii="Arial Narrow" w:hAnsi="Arial Narrow" w:cs="Arial"/>
                <w:sz w:val="20"/>
                <w:szCs w:val="20"/>
              </w:rPr>
              <w:fldChar w:fldCharType="separate"/>
            </w:r>
            <w:r w:rsidRPr="00260B02">
              <w:rPr>
                <w:rFonts w:ascii="Arial Narrow" w:hAnsi="Arial Narrow" w:cs="Arial"/>
                <w:sz w:val="20"/>
                <w:szCs w:val="20"/>
              </w:rPr>
              <w:fldChar w:fldCharType="end"/>
            </w:r>
            <w:bookmarkEnd w:id="0"/>
            <w:r w:rsidR="00826F6D" w:rsidRPr="00260B02">
              <w:rPr>
                <w:rFonts w:ascii="Arial Narrow" w:hAnsi="Arial Narrow" w:cs="Arial"/>
                <w:sz w:val="20"/>
                <w:szCs w:val="20"/>
              </w:rPr>
              <w:t xml:space="preserve">Nurse practitioners  </w:t>
            </w:r>
          </w:p>
          <w:p w:rsidR="00826F6D" w:rsidRPr="00260B02" w:rsidRDefault="00826F6D" w:rsidP="00EC43CF">
            <w:pPr>
              <w:rPr>
                <w:rFonts w:ascii="Arial Narrow" w:hAnsi="Arial Narrow" w:cs="Arial"/>
                <w:sz w:val="20"/>
                <w:szCs w:val="20"/>
              </w:rPr>
            </w:pPr>
          </w:p>
        </w:tc>
      </w:tr>
    </w:tbl>
    <w:p w:rsidR="00180F6C" w:rsidRPr="00260B02" w:rsidRDefault="00180F6C" w:rsidP="00882085">
      <w:pPr>
        <w:jc w:val="both"/>
        <w:rPr>
          <w:rFonts w:ascii="Arial" w:hAnsi="Arial"/>
          <w:b/>
          <w:sz w:val="22"/>
          <w:szCs w:val="22"/>
        </w:rPr>
      </w:pPr>
    </w:p>
    <w:p w:rsidR="00CE10C4" w:rsidRPr="00260B02" w:rsidRDefault="00CE10C4" w:rsidP="00D30CA9">
      <w:pPr>
        <w:pStyle w:val="PBACheading1"/>
      </w:pPr>
      <w:r w:rsidRPr="00260B02">
        <w:t>Background</w:t>
      </w:r>
    </w:p>
    <w:p w:rsidR="00172F46" w:rsidRPr="00260B02" w:rsidRDefault="00172F46" w:rsidP="00172F46">
      <w:pPr>
        <w:jc w:val="both"/>
        <w:rPr>
          <w:rFonts w:ascii="Arial" w:hAnsi="Arial"/>
          <w:sz w:val="18"/>
          <w:szCs w:val="22"/>
        </w:rPr>
      </w:pPr>
    </w:p>
    <w:p w:rsidR="0035519B" w:rsidRPr="00260B02" w:rsidRDefault="00C6689C" w:rsidP="0035519B">
      <w:pPr>
        <w:pStyle w:val="ListParagraph"/>
        <w:numPr>
          <w:ilvl w:val="1"/>
          <w:numId w:val="25"/>
        </w:numPr>
        <w:jc w:val="both"/>
        <w:rPr>
          <w:rFonts w:ascii="Arial" w:hAnsi="Arial"/>
          <w:sz w:val="22"/>
          <w:szCs w:val="22"/>
        </w:rPr>
      </w:pPr>
      <w:r w:rsidRPr="00260B02">
        <w:rPr>
          <w:rFonts w:ascii="Arial" w:hAnsi="Arial"/>
          <w:sz w:val="22"/>
          <w:szCs w:val="22"/>
        </w:rPr>
        <w:t xml:space="preserve">The following </w:t>
      </w:r>
      <w:r w:rsidR="0035519B" w:rsidRPr="00260B02">
        <w:rPr>
          <w:rFonts w:ascii="Arial" w:hAnsi="Arial"/>
          <w:sz w:val="22"/>
          <w:szCs w:val="22"/>
        </w:rPr>
        <w:t xml:space="preserve">information </w:t>
      </w:r>
      <w:r w:rsidRPr="00260B02">
        <w:rPr>
          <w:rFonts w:ascii="Arial" w:hAnsi="Arial"/>
          <w:sz w:val="22"/>
          <w:szCs w:val="22"/>
        </w:rPr>
        <w:t>is outlined below</w:t>
      </w:r>
      <w:r w:rsidR="0035519B" w:rsidRPr="00260B02">
        <w:rPr>
          <w:rFonts w:ascii="Arial" w:hAnsi="Arial"/>
          <w:sz w:val="22"/>
          <w:szCs w:val="22"/>
        </w:rPr>
        <w:t>:</w:t>
      </w:r>
    </w:p>
    <w:p w:rsidR="0035519B" w:rsidRPr="00260B02" w:rsidRDefault="0035519B" w:rsidP="00987EAD">
      <w:pPr>
        <w:numPr>
          <w:ilvl w:val="0"/>
          <w:numId w:val="51"/>
        </w:numPr>
        <w:spacing w:after="200" w:line="276" w:lineRule="auto"/>
        <w:ind w:left="709" w:firstLine="0"/>
        <w:contextualSpacing/>
        <w:jc w:val="both"/>
        <w:rPr>
          <w:rFonts w:ascii="Arial" w:hAnsi="Arial"/>
          <w:sz w:val="22"/>
          <w:szCs w:val="22"/>
        </w:rPr>
      </w:pPr>
      <w:r w:rsidRPr="00260B02">
        <w:rPr>
          <w:rFonts w:ascii="Arial" w:hAnsi="Arial"/>
          <w:sz w:val="22"/>
          <w:szCs w:val="22"/>
        </w:rPr>
        <w:t>TGA consideration of Basaglar</w:t>
      </w:r>
    </w:p>
    <w:p w:rsidR="0035519B" w:rsidRPr="00260B02" w:rsidRDefault="0035519B" w:rsidP="0035519B">
      <w:pPr>
        <w:numPr>
          <w:ilvl w:val="0"/>
          <w:numId w:val="51"/>
        </w:numPr>
        <w:spacing w:after="200" w:line="276" w:lineRule="auto"/>
        <w:ind w:left="709" w:firstLine="0"/>
        <w:contextualSpacing/>
        <w:jc w:val="both"/>
        <w:rPr>
          <w:rFonts w:ascii="Arial" w:hAnsi="Arial"/>
          <w:sz w:val="22"/>
          <w:szCs w:val="22"/>
        </w:rPr>
      </w:pPr>
      <w:r w:rsidRPr="00260B02">
        <w:rPr>
          <w:rFonts w:ascii="Arial" w:hAnsi="Arial"/>
          <w:sz w:val="22"/>
          <w:szCs w:val="22"/>
        </w:rPr>
        <w:t xml:space="preserve">PBS </w:t>
      </w:r>
      <w:r w:rsidR="00C6689C" w:rsidRPr="00260B02">
        <w:rPr>
          <w:rFonts w:ascii="Arial" w:hAnsi="Arial"/>
          <w:sz w:val="22"/>
          <w:szCs w:val="22"/>
        </w:rPr>
        <w:t>h</w:t>
      </w:r>
      <w:r w:rsidRPr="00260B02">
        <w:rPr>
          <w:rFonts w:ascii="Arial" w:hAnsi="Arial"/>
          <w:sz w:val="22"/>
          <w:szCs w:val="22"/>
        </w:rPr>
        <w:t>istory of insulin glargine and other insulins</w:t>
      </w:r>
    </w:p>
    <w:p w:rsidR="0035519B" w:rsidRPr="00260B02" w:rsidRDefault="008144E4" w:rsidP="00376210">
      <w:pPr>
        <w:numPr>
          <w:ilvl w:val="0"/>
          <w:numId w:val="51"/>
        </w:numPr>
        <w:spacing w:after="200" w:line="276" w:lineRule="auto"/>
        <w:ind w:left="1418" w:hanging="709"/>
        <w:contextualSpacing/>
        <w:jc w:val="both"/>
        <w:rPr>
          <w:rFonts w:ascii="Arial" w:hAnsi="Arial"/>
          <w:sz w:val="22"/>
          <w:szCs w:val="22"/>
        </w:rPr>
      </w:pPr>
      <w:r w:rsidRPr="00260B02">
        <w:rPr>
          <w:rFonts w:ascii="Arial" w:hAnsi="Arial"/>
          <w:sz w:val="22"/>
          <w:szCs w:val="22"/>
        </w:rPr>
        <w:t xml:space="preserve">The </w:t>
      </w:r>
      <w:r w:rsidR="0035519B" w:rsidRPr="00260B02">
        <w:rPr>
          <w:rFonts w:ascii="Arial" w:hAnsi="Arial"/>
          <w:sz w:val="22"/>
          <w:szCs w:val="22"/>
        </w:rPr>
        <w:t xml:space="preserve">TGA/PBD 2010 discussion paper on </w:t>
      </w:r>
      <w:r w:rsidR="00376210" w:rsidRPr="00260B02">
        <w:rPr>
          <w:rFonts w:ascii="Arial" w:hAnsi="Arial"/>
          <w:sz w:val="22"/>
          <w:szCs w:val="22"/>
        </w:rPr>
        <w:t>Similar Biological Medicinal Products</w:t>
      </w:r>
    </w:p>
    <w:p w:rsidR="0035519B" w:rsidRPr="00260B02" w:rsidRDefault="0035519B" w:rsidP="0035519B">
      <w:pPr>
        <w:numPr>
          <w:ilvl w:val="0"/>
          <w:numId w:val="51"/>
        </w:numPr>
        <w:spacing w:after="200" w:line="276" w:lineRule="auto"/>
        <w:ind w:left="709" w:firstLine="0"/>
        <w:contextualSpacing/>
        <w:jc w:val="both"/>
        <w:rPr>
          <w:rFonts w:ascii="Arial" w:hAnsi="Arial"/>
          <w:sz w:val="22"/>
          <w:szCs w:val="22"/>
        </w:rPr>
      </w:pPr>
      <w:r w:rsidRPr="00260B02">
        <w:rPr>
          <w:rFonts w:ascii="Arial" w:hAnsi="Arial"/>
          <w:sz w:val="22"/>
          <w:szCs w:val="22"/>
        </w:rPr>
        <w:t>Previous PBAC consideration of biosimilars</w:t>
      </w:r>
    </w:p>
    <w:p w:rsidR="0035519B" w:rsidRPr="00260B02" w:rsidRDefault="0035519B" w:rsidP="0035519B">
      <w:pPr>
        <w:numPr>
          <w:ilvl w:val="0"/>
          <w:numId w:val="51"/>
        </w:numPr>
        <w:spacing w:after="200" w:line="276" w:lineRule="auto"/>
        <w:ind w:left="709" w:firstLine="0"/>
        <w:contextualSpacing/>
        <w:jc w:val="both"/>
        <w:rPr>
          <w:rFonts w:ascii="Arial" w:hAnsi="Arial"/>
          <w:sz w:val="22"/>
          <w:szCs w:val="22"/>
        </w:rPr>
      </w:pPr>
      <w:r w:rsidRPr="00260B02">
        <w:rPr>
          <w:rFonts w:ascii="Arial" w:hAnsi="Arial"/>
          <w:sz w:val="22"/>
          <w:szCs w:val="22"/>
        </w:rPr>
        <w:t>The PBS and substitution at the pharmacist level (“a” flagging)</w:t>
      </w:r>
    </w:p>
    <w:p w:rsidR="0035519B" w:rsidRPr="00260B02" w:rsidRDefault="0035519B" w:rsidP="0035519B">
      <w:pPr>
        <w:numPr>
          <w:ilvl w:val="0"/>
          <w:numId w:val="51"/>
        </w:numPr>
        <w:spacing w:after="200" w:line="276" w:lineRule="auto"/>
        <w:ind w:left="709" w:firstLine="0"/>
        <w:contextualSpacing/>
        <w:jc w:val="both"/>
        <w:rPr>
          <w:rFonts w:ascii="Arial" w:hAnsi="Arial"/>
          <w:sz w:val="22"/>
          <w:szCs w:val="22"/>
        </w:rPr>
      </w:pPr>
      <w:r w:rsidRPr="00260B02">
        <w:rPr>
          <w:rFonts w:ascii="Arial" w:hAnsi="Arial"/>
          <w:sz w:val="22"/>
          <w:szCs w:val="22"/>
        </w:rPr>
        <w:t>Substitution of biosimilars in overseas jurisdictions</w:t>
      </w:r>
      <w:r w:rsidR="008144E4" w:rsidRPr="00260B02">
        <w:rPr>
          <w:rFonts w:ascii="Arial" w:hAnsi="Arial"/>
          <w:sz w:val="22"/>
          <w:szCs w:val="22"/>
        </w:rPr>
        <w:t>.</w:t>
      </w:r>
      <w:r w:rsidRPr="00260B02">
        <w:rPr>
          <w:rFonts w:ascii="Arial" w:hAnsi="Arial"/>
          <w:sz w:val="22"/>
          <w:szCs w:val="22"/>
        </w:rPr>
        <w:t xml:space="preserve"> </w:t>
      </w:r>
    </w:p>
    <w:p w:rsidR="0035519B" w:rsidRPr="00260B02" w:rsidRDefault="0035519B" w:rsidP="0035519B">
      <w:pPr>
        <w:ind w:left="720"/>
        <w:contextualSpacing/>
        <w:jc w:val="both"/>
        <w:rPr>
          <w:rFonts w:ascii="Arial" w:hAnsi="Arial"/>
          <w:sz w:val="22"/>
          <w:szCs w:val="22"/>
        </w:rPr>
      </w:pPr>
    </w:p>
    <w:p w:rsidR="0035519B" w:rsidRPr="00260B02" w:rsidRDefault="0035519B" w:rsidP="00C6689C">
      <w:pPr>
        <w:keepNext/>
        <w:keepLines/>
        <w:contextualSpacing/>
        <w:jc w:val="both"/>
        <w:rPr>
          <w:rFonts w:ascii="Arial" w:hAnsi="Arial"/>
          <w:sz w:val="22"/>
          <w:szCs w:val="22"/>
          <w:u w:val="single"/>
        </w:rPr>
      </w:pPr>
      <w:r w:rsidRPr="00260B02">
        <w:rPr>
          <w:rFonts w:ascii="Arial" w:hAnsi="Arial"/>
          <w:sz w:val="22"/>
          <w:szCs w:val="22"/>
          <w:u w:val="single"/>
        </w:rPr>
        <w:lastRenderedPageBreak/>
        <w:t>TGA consideration of Basaglar</w:t>
      </w:r>
    </w:p>
    <w:p w:rsidR="000C7993" w:rsidRPr="00260B02" w:rsidRDefault="000C7993" w:rsidP="00C6689C">
      <w:pPr>
        <w:keepNext/>
        <w:keepLines/>
        <w:contextualSpacing/>
        <w:jc w:val="both"/>
        <w:rPr>
          <w:rFonts w:ascii="Arial" w:hAnsi="Arial"/>
          <w:sz w:val="22"/>
          <w:szCs w:val="22"/>
          <w:u w:val="single"/>
        </w:rPr>
      </w:pPr>
    </w:p>
    <w:p w:rsidR="0035519B" w:rsidRPr="00260B02" w:rsidRDefault="00172F46" w:rsidP="00C6689C">
      <w:pPr>
        <w:pStyle w:val="ListParagraph"/>
        <w:keepNext/>
        <w:keepLines/>
        <w:numPr>
          <w:ilvl w:val="1"/>
          <w:numId w:val="25"/>
        </w:numPr>
        <w:jc w:val="both"/>
        <w:rPr>
          <w:rFonts w:ascii="Arial" w:hAnsi="Arial"/>
          <w:sz w:val="22"/>
          <w:szCs w:val="22"/>
        </w:rPr>
      </w:pPr>
      <w:r w:rsidRPr="00260B02">
        <w:rPr>
          <w:rFonts w:ascii="Arial" w:hAnsi="Arial"/>
          <w:sz w:val="22"/>
          <w:szCs w:val="22"/>
        </w:rPr>
        <w:t>B</w:t>
      </w:r>
      <w:r w:rsidR="0035519B" w:rsidRPr="00260B02">
        <w:rPr>
          <w:rFonts w:ascii="Arial" w:hAnsi="Arial"/>
          <w:sz w:val="22"/>
          <w:szCs w:val="22"/>
        </w:rPr>
        <w:t>asaglar (the trade name was previously Abasria</w:t>
      </w:r>
      <w:r w:rsidR="0035519B" w:rsidRPr="00260B02">
        <w:rPr>
          <w:rFonts w:ascii="Arial" w:hAnsi="Arial"/>
          <w:sz w:val="22"/>
          <w:szCs w:val="28"/>
          <w:vertAlign w:val="superscript"/>
        </w:rPr>
        <w:t>®</w:t>
      </w:r>
      <w:r w:rsidR="0035519B" w:rsidRPr="00260B02">
        <w:rPr>
          <w:rFonts w:ascii="Arial" w:hAnsi="Arial"/>
          <w:sz w:val="22"/>
          <w:szCs w:val="28"/>
        </w:rPr>
        <w:t>)</w:t>
      </w:r>
      <w:r w:rsidR="0035519B" w:rsidRPr="00260B02">
        <w:rPr>
          <w:rFonts w:ascii="Arial" w:hAnsi="Arial"/>
          <w:sz w:val="22"/>
          <w:szCs w:val="22"/>
        </w:rPr>
        <w:t xml:space="preserve"> was registered by the TGA on 21 November 2014 as: </w:t>
      </w:r>
    </w:p>
    <w:p w:rsidR="0035519B" w:rsidRPr="00260B02" w:rsidRDefault="0035519B" w:rsidP="0035519B">
      <w:pPr>
        <w:ind w:left="1440"/>
        <w:contextualSpacing/>
        <w:jc w:val="both"/>
        <w:rPr>
          <w:rFonts w:ascii="Arial" w:hAnsi="Arial"/>
          <w:sz w:val="22"/>
          <w:szCs w:val="22"/>
        </w:rPr>
      </w:pPr>
      <w:r w:rsidRPr="00260B02">
        <w:rPr>
          <w:rFonts w:ascii="Arial" w:hAnsi="Arial"/>
          <w:i/>
          <w:sz w:val="22"/>
          <w:szCs w:val="22"/>
        </w:rPr>
        <w:t>“an insulin analogue indicated for once daily subcutaneous administration in the treatment of type 1 diabetes mellitus in adults and children and type 2 diabetes mellitus in adults who require insulin for the control of hyperglycaemia.”</w:t>
      </w:r>
      <w:r w:rsidRPr="00260B02">
        <w:rPr>
          <w:rFonts w:ascii="Arial" w:hAnsi="Arial"/>
          <w:sz w:val="22"/>
          <w:szCs w:val="22"/>
        </w:rPr>
        <w:t xml:space="preserve">  </w:t>
      </w:r>
    </w:p>
    <w:p w:rsidR="00172F46" w:rsidRPr="00260B02" w:rsidRDefault="00172F46" w:rsidP="0035519B">
      <w:pPr>
        <w:ind w:left="1440"/>
        <w:contextualSpacing/>
        <w:jc w:val="both"/>
        <w:rPr>
          <w:rFonts w:ascii="Arial" w:hAnsi="Arial"/>
          <w:sz w:val="22"/>
          <w:szCs w:val="22"/>
        </w:rPr>
      </w:pPr>
    </w:p>
    <w:p w:rsidR="00172F46" w:rsidRPr="00260B02" w:rsidRDefault="0035519B" w:rsidP="00172F46">
      <w:pPr>
        <w:pStyle w:val="ListParagraph"/>
        <w:numPr>
          <w:ilvl w:val="1"/>
          <w:numId w:val="25"/>
        </w:numPr>
        <w:jc w:val="both"/>
        <w:rPr>
          <w:rFonts w:ascii="Arial" w:hAnsi="Arial"/>
          <w:sz w:val="22"/>
          <w:szCs w:val="22"/>
        </w:rPr>
      </w:pPr>
      <w:r w:rsidRPr="00260B02">
        <w:rPr>
          <w:rFonts w:ascii="Arial" w:hAnsi="Arial"/>
          <w:sz w:val="22"/>
          <w:szCs w:val="22"/>
        </w:rPr>
        <w:t xml:space="preserve">Basaglar was submitted to the TGA as an abridged biosimilar submission. </w:t>
      </w:r>
    </w:p>
    <w:p w:rsidR="00172F46" w:rsidRPr="00260B02" w:rsidRDefault="00172F46" w:rsidP="00172F46">
      <w:pPr>
        <w:pStyle w:val="ListParagraph"/>
        <w:jc w:val="both"/>
        <w:rPr>
          <w:rFonts w:ascii="Arial" w:hAnsi="Arial"/>
          <w:sz w:val="22"/>
          <w:szCs w:val="22"/>
        </w:rPr>
      </w:pPr>
    </w:p>
    <w:p w:rsidR="0035519B" w:rsidRPr="00260B02" w:rsidRDefault="0035519B" w:rsidP="00F4773A">
      <w:pPr>
        <w:pStyle w:val="ListParagraph"/>
        <w:numPr>
          <w:ilvl w:val="1"/>
          <w:numId w:val="25"/>
        </w:numPr>
        <w:jc w:val="both"/>
        <w:rPr>
          <w:rFonts w:ascii="Arial" w:hAnsi="Arial"/>
          <w:sz w:val="22"/>
          <w:szCs w:val="22"/>
        </w:rPr>
      </w:pPr>
      <w:r w:rsidRPr="00260B02">
        <w:rPr>
          <w:rFonts w:ascii="Arial" w:hAnsi="Arial"/>
          <w:sz w:val="22"/>
          <w:szCs w:val="22"/>
        </w:rPr>
        <w:t xml:space="preserve">The European Medicines Agency (EMA) has issued the following regulatory </w:t>
      </w:r>
      <w:r w:rsidR="00747962" w:rsidRPr="00260B02">
        <w:rPr>
          <w:rFonts w:ascii="Arial" w:hAnsi="Arial"/>
          <w:sz w:val="22"/>
          <w:szCs w:val="22"/>
        </w:rPr>
        <w:t>guidance</w:t>
      </w:r>
      <w:r w:rsidRPr="00260B02">
        <w:rPr>
          <w:rFonts w:ascii="Arial" w:hAnsi="Arial"/>
          <w:sz w:val="22"/>
          <w:szCs w:val="22"/>
        </w:rPr>
        <w:t xml:space="preserve"> for biosimilars in general, and for biosimilar insulin products:</w:t>
      </w:r>
    </w:p>
    <w:p w:rsidR="0035519B" w:rsidRPr="00260B02" w:rsidRDefault="0035519B" w:rsidP="000C7993">
      <w:pPr>
        <w:numPr>
          <w:ilvl w:val="0"/>
          <w:numId w:val="52"/>
        </w:numPr>
        <w:spacing w:line="276" w:lineRule="auto"/>
        <w:contextualSpacing/>
        <w:jc w:val="both"/>
        <w:rPr>
          <w:rFonts w:ascii="Arial" w:hAnsi="Arial"/>
          <w:sz w:val="22"/>
          <w:szCs w:val="22"/>
        </w:rPr>
      </w:pPr>
      <w:r w:rsidRPr="00260B02">
        <w:rPr>
          <w:rFonts w:ascii="Arial" w:hAnsi="Arial"/>
          <w:sz w:val="22"/>
          <w:szCs w:val="22"/>
        </w:rPr>
        <w:t>The Committee for Medicinal Products for Human Use (CHMP) of the EMA</w:t>
      </w:r>
    </w:p>
    <w:p w:rsidR="0035519B" w:rsidRPr="00260B02" w:rsidRDefault="007E0EA4" w:rsidP="000C7993">
      <w:pPr>
        <w:ind w:left="1440"/>
        <w:contextualSpacing/>
        <w:jc w:val="both"/>
        <w:rPr>
          <w:rFonts w:ascii="Arial" w:hAnsi="Arial"/>
          <w:sz w:val="22"/>
          <w:szCs w:val="22"/>
        </w:rPr>
      </w:pPr>
      <w:r w:rsidRPr="00260B02">
        <w:rPr>
          <w:rFonts w:ascii="Arial" w:hAnsi="Arial"/>
          <w:sz w:val="22"/>
          <w:szCs w:val="22"/>
        </w:rPr>
        <w:t xml:space="preserve">produced the first overarching biosimilar guideline, “Guideline on similar biological medicinal products." </w:t>
      </w:r>
      <w:r w:rsidR="0035519B" w:rsidRPr="00260B02">
        <w:rPr>
          <w:rFonts w:ascii="Arial" w:hAnsi="Arial"/>
          <w:sz w:val="22"/>
          <w:szCs w:val="22"/>
        </w:rPr>
        <w:t>CHMP/437/04”, in 2005;</w:t>
      </w:r>
    </w:p>
    <w:p w:rsidR="0035519B" w:rsidRPr="00260B02" w:rsidRDefault="0035519B" w:rsidP="000C7993">
      <w:pPr>
        <w:numPr>
          <w:ilvl w:val="0"/>
          <w:numId w:val="52"/>
        </w:numPr>
        <w:spacing w:line="276" w:lineRule="auto"/>
        <w:contextualSpacing/>
        <w:jc w:val="both"/>
        <w:rPr>
          <w:rFonts w:ascii="Arial" w:hAnsi="Arial"/>
          <w:sz w:val="22"/>
          <w:szCs w:val="22"/>
        </w:rPr>
      </w:pPr>
      <w:r w:rsidRPr="00260B02">
        <w:rPr>
          <w:rFonts w:ascii="Arial" w:hAnsi="Arial"/>
          <w:sz w:val="22"/>
          <w:szCs w:val="22"/>
        </w:rPr>
        <w:t>CHMP released an insulin-specific guideline in 2006 (EMEA/CHMP/BMWP/32775/2005); and</w:t>
      </w:r>
    </w:p>
    <w:p w:rsidR="0035519B" w:rsidRPr="00260B02" w:rsidRDefault="0035519B" w:rsidP="000C7993">
      <w:pPr>
        <w:numPr>
          <w:ilvl w:val="0"/>
          <w:numId w:val="52"/>
        </w:numPr>
        <w:spacing w:line="276" w:lineRule="auto"/>
        <w:contextualSpacing/>
        <w:jc w:val="both"/>
        <w:rPr>
          <w:rFonts w:ascii="Arial" w:hAnsi="Arial"/>
          <w:sz w:val="22"/>
          <w:szCs w:val="22"/>
        </w:rPr>
      </w:pPr>
      <w:r w:rsidRPr="00260B02">
        <w:rPr>
          <w:rFonts w:ascii="Arial" w:hAnsi="Arial"/>
          <w:sz w:val="22"/>
          <w:szCs w:val="22"/>
        </w:rPr>
        <w:t>The Biosimilar Medicinal Products Working Group (BMWG) produced a concept paper for revision of the guideline in 2011; and a revised guideline has been produced (EMEA/CHMP/BMWP/32775/2005_Rev.2).</w:t>
      </w:r>
    </w:p>
    <w:p w:rsidR="000C7993" w:rsidRPr="00260B02" w:rsidRDefault="000C7993" w:rsidP="000C7993">
      <w:pPr>
        <w:spacing w:line="276" w:lineRule="auto"/>
        <w:ind w:left="1440"/>
        <w:contextualSpacing/>
        <w:jc w:val="both"/>
        <w:rPr>
          <w:rFonts w:ascii="Arial" w:hAnsi="Arial"/>
          <w:sz w:val="22"/>
          <w:szCs w:val="22"/>
        </w:rPr>
      </w:pPr>
    </w:p>
    <w:p w:rsidR="00172F46" w:rsidRPr="00260B02" w:rsidRDefault="00172F46" w:rsidP="00F16AA8">
      <w:pPr>
        <w:pStyle w:val="ListParagraph"/>
        <w:numPr>
          <w:ilvl w:val="1"/>
          <w:numId w:val="25"/>
        </w:numPr>
        <w:rPr>
          <w:rFonts w:ascii="Arial" w:hAnsi="Arial"/>
          <w:sz w:val="22"/>
          <w:szCs w:val="22"/>
        </w:rPr>
      </w:pPr>
      <w:r w:rsidRPr="00260B02">
        <w:rPr>
          <w:rFonts w:ascii="Arial" w:hAnsi="Arial"/>
          <w:sz w:val="22"/>
          <w:szCs w:val="22"/>
        </w:rPr>
        <w:t>I</w:t>
      </w:r>
      <w:r w:rsidR="0035519B" w:rsidRPr="00260B02">
        <w:rPr>
          <w:rFonts w:ascii="Arial" w:hAnsi="Arial"/>
          <w:sz w:val="22"/>
          <w:szCs w:val="22"/>
        </w:rPr>
        <w:t>n summary</w:t>
      </w:r>
      <w:r w:rsidR="00D56E76" w:rsidRPr="00260B02">
        <w:rPr>
          <w:rFonts w:ascii="Arial" w:hAnsi="Arial"/>
          <w:sz w:val="22"/>
          <w:szCs w:val="22"/>
        </w:rPr>
        <w:t>,</w:t>
      </w:r>
      <w:r w:rsidR="0035519B" w:rsidRPr="00260B02">
        <w:rPr>
          <w:rFonts w:ascii="Arial" w:hAnsi="Arial"/>
          <w:sz w:val="22"/>
          <w:szCs w:val="22"/>
        </w:rPr>
        <w:t xml:space="preserve"> the EMA </w:t>
      </w:r>
      <w:r w:rsidR="00296693" w:rsidRPr="00260B02">
        <w:rPr>
          <w:rFonts w:ascii="Arial" w:hAnsi="Arial"/>
          <w:sz w:val="22"/>
          <w:szCs w:val="22"/>
        </w:rPr>
        <w:t xml:space="preserve">regulatory </w:t>
      </w:r>
      <w:r w:rsidR="0035519B" w:rsidRPr="00260B02">
        <w:rPr>
          <w:rFonts w:ascii="Arial" w:hAnsi="Arial"/>
          <w:sz w:val="22"/>
          <w:szCs w:val="22"/>
        </w:rPr>
        <w:t>guidelines for insulin biosimilars</w:t>
      </w:r>
      <w:r w:rsidR="00D56E76" w:rsidRPr="00260B02">
        <w:rPr>
          <w:rFonts w:ascii="Arial" w:hAnsi="Arial"/>
          <w:sz w:val="22"/>
          <w:szCs w:val="22"/>
        </w:rPr>
        <w:t xml:space="preserve"> are more stringent than for new brands of non-biological medicines. </w:t>
      </w:r>
      <w:r w:rsidR="00F16AA8" w:rsidRPr="00260B02">
        <w:rPr>
          <w:rFonts w:ascii="Arial" w:hAnsi="Arial"/>
          <w:sz w:val="22"/>
          <w:szCs w:val="22"/>
        </w:rPr>
        <w:t>The EMA guidelines for insulin biosimilars require the applicant to conduct a mix of pharmacodynamic, pharmacokinetic and clinical studies. In contrast a new brand of a small chemical molecule drug used in the treatment of diabetes, for example pioglitazone, would only be required to demonstrate bioequivalence.</w:t>
      </w:r>
      <w:r w:rsidR="00D56E76" w:rsidRPr="00260B02">
        <w:rPr>
          <w:rFonts w:ascii="Arial" w:hAnsi="Arial"/>
          <w:sz w:val="22"/>
          <w:szCs w:val="22"/>
        </w:rPr>
        <w:br/>
      </w:r>
    </w:p>
    <w:p w:rsidR="0035519B" w:rsidRPr="00260B02" w:rsidRDefault="00C52B49" w:rsidP="00172F46">
      <w:pPr>
        <w:pStyle w:val="ListParagraph"/>
        <w:numPr>
          <w:ilvl w:val="1"/>
          <w:numId w:val="25"/>
        </w:numPr>
        <w:jc w:val="both"/>
        <w:rPr>
          <w:rFonts w:ascii="Arial" w:hAnsi="Arial"/>
          <w:sz w:val="22"/>
          <w:szCs w:val="22"/>
        </w:rPr>
      </w:pPr>
      <w:r w:rsidRPr="00260B02">
        <w:rPr>
          <w:rFonts w:ascii="Arial" w:hAnsi="Arial"/>
          <w:sz w:val="22"/>
          <w:szCs w:val="22"/>
        </w:rPr>
        <w:t xml:space="preserve">The TGA </w:t>
      </w:r>
      <w:r w:rsidR="00C6689C" w:rsidRPr="00260B02">
        <w:rPr>
          <w:rFonts w:ascii="Arial" w:hAnsi="Arial"/>
          <w:sz w:val="22"/>
          <w:szCs w:val="22"/>
        </w:rPr>
        <w:t>D</w:t>
      </w:r>
      <w:r w:rsidRPr="00260B02">
        <w:rPr>
          <w:rFonts w:ascii="Arial" w:hAnsi="Arial"/>
          <w:sz w:val="22"/>
          <w:szCs w:val="22"/>
        </w:rPr>
        <w:t>elegate’s O</w:t>
      </w:r>
      <w:r w:rsidR="0035519B" w:rsidRPr="00260B02">
        <w:rPr>
          <w:rFonts w:ascii="Arial" w:hAnsi="Arial"/>
          <w:sz w:val="22"/>
          <w:szCs w:val="22"/>
        </w:rPr>
        <w:t>verview note</w:t>
      </w:r>
      <w:r w:rsidR="008144E4" w:rsidRPr="00260B02">
        <w:rPr>
          <w:rFonts w:ascii="Arial" w:hAnsi="Arial"/>
          <w:sz w:val="22"/>
          <w:szCs w:val="22"/>
        </w:rPr>
        <w:t>d</w:t>
      </w:r>
      <w:r w:rsidR="0035519B" w:rsidRPr="00260B02">
        <w:rPr>
          <w:rFonts w:ascii="Arial" w:hAnsi="Arial"/>
          <w:sz w:val="22"/>
          <w:szCs w:val="22"/>
        </w:rPr>
        <w:t xml:space="preserve"> that, for Basaglar “The sponsor’s clinical development program was conducted according to EMA guidelines and after discussion with EMA” (</w:t>
      </w:r>
      <w:r w:rsidR="000C7993" w:rsidRPr="00260B02">
        <w:rPr>
          <w:rFonts w:ascii="Arial" w:hAnsi="Arial"/>
          <w:sz w:val="22"/>
          <w:szCs w:val="22"/>
        </w:rPr>
        <w:t>p</w:t>
      </w:r>
      <w:r w:rsidR="0035519B" w:rsidRPr="00260B02">
        <w:rPr>
          <w:rFonts w:ascii="Arial" w:hAnsi="Arial"/>
          <w:sz w:val="22"/>
          <w:szCs w:val="22"/>
        </w:rPr>
        <w:t>age 1 of Delegate’s Overview).</w:t>
      </w:r>
    </w:p>
    <w:p w:rsidR="0035519B" w:rsidRPr="00260B02" w:rsidRDefault="0035519B" w:rsidP="0035519B">
      <w:pPr>
        <w:ind w:left="720"/>
        <w:contextualSpacing/>
        <w:jc w:val="both"/>
        <w:rPr>
          <w:rFonts w:ascii="Arial" w:hAnsi="Arial"/>
          <w:sz w:val="22"/>
          <w:szCs w:val="22"/>
        </w:rPr>
      </w:pPr>
    </w:p>
    <w:p w:rsidR="0035519B" w:rsidRPr="00260B02" w:rsidRDefault="0035519B" w:rsidP="00987EAD">
      <w:pPr>
        <w:pStyle w:val="ListParagraph"/>
        <w:numPr>
          <w:ilvl w:val="1"/>
          <w:numId w:val="25"/>
        </w:numPr>
        <w:jc w:val="both"/>
        <w:rPr>
          <w:rFonts w:ascii="Arial" w:hAnsi="Arial"/>
          <w:sz w:val="22"/>
          <w:szCs w:val="22"/>
        </w:rPr>
      </w:pPr>
      <w:r w:rsidRPr="00260B02">
        <w:rPr>
          <w:rFonts w:ascii="Arial" w:hAnsi="Arial"/>
          <w:sz w:val="22"/>
          <w:szCs w:val="22"/>
        </w:rPr>
        <w:t xml:space="preserve">The Delegate’s Overview goes on to say: </w:t>
      </w:r>
    </w:p>
    <w:p w:rsidR="0035519B" w:rsidRPr="00260B02" w:rsidRDefault="0035519B" w:rsidP="00CE554D">
      <w:pPr>
        <w:ind w:left="1134"/>
        <w:contextualSpacing/>
        <w:jc w:val="both"/>
        <w:rPr>
          <w:rFonts w:ascii="Arial" w:hAnsi="Arial"/>
          <w:sz w:val="22"/>
          <w:szCs w:val="22"/>
        </w:rPr>
      </w:pPr>
      <w:r w:rsidRPr="00260B02">
        <w:rPr>
          <w:rFonts w:ascii="Arial" w:hAnsi="Arial"/>
          <w:sz w:val="22"/>
          <w:szCs w:val="22"/>
        </w:rPr>
        <w:t>“the draft CHMP guidance states that PK/PD insulin clamp studies represent the mainstay of the proof of similar efficacy of the biosimilar insulin and the reference product. The guidance further states that Phase-3 efficacy studies cannot be used to establish efficacy because the endpoints HbA1c are not sufficiently sensitive for the purposes of showing biosimilarity. In other words, Phase-3 studies (endpoint: HbA1c) only provide supportive evidence of efficacy; the pivotal evidence for claims of equivalent efficacy must come from the PK/PD studies. (The main role of the Phase-3 studies is to establish safety [and exclude any reduction in efficacy]; by measurin</w:t>
      </w:r>
      <w:r w:rsidR="00C52B49" w:rsidRPr="00260B02">
        <w:rPr>
          <w:rFonts w:ascii="Arial" w:hAnsi="Arial"/>
          <w:sz w:val="22"/>
          <w:szCs w:val="22"/>
        </w:rPr>
        <w:t>g immunogenicity endpoints.)” (p</w:t>
      </w:r>
      <w:r w:rsidRPr="00260B02">
        <w:rPr>
          <w:rFonts w:ascii="Arial" w:hAnsi="Arial"/>
          <w:sz w:val="22"/>
          <w:szCs w:val="22"/>
        </w:rPr>
        <w:t>age 5-6 of Delegate’s Overview)</w:t>
      </w:r>
    </w:p>
    <w:p w:rsidR="0035519B" w:rsidRPr="00260B02" w:rsidRDefault="0035519B" w:rsidP="0035519B">
      <w:pPr>
        <w:jc w:val="both"/>
        <w:rPr>
          <w:rFonts w:ascii="Arial" w:hAnsi="Arial"/>
          <w:sz w:val="22"/>
          <w:szCs w:val="22"/>
          <w:u w:val="single"/>
        </w:rPr>
      </w:pPr>
    </w:p>
    <w:p w:rsidR="00184143" w:rsidRPr="00260B02" w:rsidRDefault="00184143" w:rsidP="00172F46">
      <w:pPr>
        <w:pStyle w:val="ListParagraph"/>
        <w:numPr>
          <w:ilvl w:val="1"/>
          <w:numId w:val="25"/>
        </w:numPr>
        <w:jc w:val="both"/>
        <w:rPr>
          <w:rFonts w:ascii="Arial" w:hAnsi="Arial"/>
          <w:sz w:val="22"/>
          <w:szCs w:val="22"/>
        </w:rPr>
      </w:pPr>
      <w:r w:rsidRPr="00260B02">
        <w:rPr>
          <w:rFonts w:ascii="Arial" w:hAnsi="Arial"/>
          <w:sz w:val="22"/>
          <w:szCs w:val="22"/>
        </w:rPr>
        <w:t>The Advisory Committee on Prescription Medicines (ACPM) resolution state</w:t>
      </w:r>
      <w:r w:rsidR="004954DD" w:rsidRPr="00260B02">
        <w:rPr>
          <w:rFonts w:ascii="Arial" w:hAnsi="Arial"/>
          <w:sz w:val="22"/>
          <w:szCs w:val="22"/>
        </w:rPr>
        <w:t>d</w:t>
      </w:r>
      <w:r w:rsidRPr="00260B02">
        <w:rPr>
          <w:rFonts w:ascii="Arial" w:hAnsi="Arial"/>
          <w:sz w:val="22"/>
          <w:szCs w:val="22"/>
        </w:rPr>
        <w:t xml:space="preserve"> that the ACPM: </w:t>
      </w:r>
    </w:p>
    <w:p w:rsidR="00184143" w:rsidRPr="00260B02" w:rsidRDefault="00184143" w:rsidP="007B6795">
      <w:pPr>
        <w:ind w:left="1134"/>
        <w:jc w:val="both"/>
        <w:rPr>
          <w:rFonts w:ascii="Arial" w:hAnsi="Arial"/>
          <w:sz w:val="22"/>
          <w:szCs w:val="22"/>
        </w:rPr>
      </w:pPr>
      <w:r w:rsidRPr="00260B02">
        <w:rPr>
          <w:rFonts w:ascii="Arial" w:hAnsi="Arial"/>
          <w:sz w:val="22"/>
          <w:szCs w:val="22"/>
        </w:rPr>
        <w:t>“considered that the data demonstrated that Abasria (Basaglar) and Lantus EU are equivalent in terms of pharmacokinetics and that Lantus USA and Lantus EU are also equivalent to each other in terms of pharmacokinetics.”  And that the “pharmacodynamics results are not statistically different for Lantus EU compared to Abasria (Basaglar)”.  (</w:t>
      </w:r>
      <w:r w:rsidR="00747962" w:rsidRPr="00260B02">
        <w:rPr>
          <w:rFonts w:ascii="Arial" w:hAnsi="Arial"/>
          <w:sz w:val="22"/>
          <w:szCs w:val="22"/>
        </w:rPr>
        <w:t>pg</w:t>
      </w:r>
      <w:r w:rsidR="000C7993" w:rsidRPr="00260B02">
        <w:rPr>
          <w:rFonts w:ascii="Arial" w:hAnsi="Arial"/>
          <w:sz w:val="22"/>
          <w:szCs w:val="22"/>
        </w:rPr>
        <w:t xml:space="preserve"> 3 of the </w:t>
      </w:r>
      <w:r w:rsidRPr="00260B02">
        <w:rPr>
          <w:rFonts w:ascii="Arial" w:hAnsi="Arial"/>
          <w:sz w:val="22"/>
          <w:szCs w:val="22"/>
        </w:rPr>
        <w:t xml:space="preserve">ACPM Resolution). </w:t>
      </w:r>
    </w:p>
    <w:p w:rsidR="00184143" w:rsidRPr="00260B02" w:rsidRDefault="00184143" w:rsidP="007B6795">
      <w:pPr>
        <w:ind w:left="720"/>
        <w:jc w:val="both"/>
        <w:rPr>
          <w:rFonts w:ascii="Arial" w:hAnsi="Arial"/>
          <w:sz w:val="22"/>
          <w:szCs w:val="22"/>
        </w:rPr>
      </w:pPr>
    </w:p>
    <w:p w:rsidR="00991E54" w:rsidRPr="007C50FC" w:rsidRDefault="007C50FC" w:rsidP="00BA62D9">
      <w:pPr>
        <w:keepNext/>
        <w:keepLines/>
        <w:ind w:left="720" w:hanging="720"/>
        <w:jc w:val="both"/>
        <w:rPr>
          <w:rFonts w:ascii="Arial" w:hAnsi="Arial"/>
          <w:i/>
          <w:sz w:val="22"/>
          <w:szCs w:val="22"/>
          <w:highlight w:val="black"/>
          <w:u w:val="single"/>
        </w:rPr>
      </w:pPr>
      <w:r>
        <w:rPr>
          <w:rFonts w:ascii="Arial" w:hAnsi="Arial"/>
          <w:i/>
          <w:noProof/>
          <w:color w:val="000000"/>
          <w:sz w:val="22"/>
          <w:szCs w:val="22"/>
          <w:highlight w:val="black"/>
          <w:u w:val="single"/>
        </w:rPr>
        <w:t>'''''''''''' '''''''''' ''''''''''''''' '''''''''''''''''''''''''''''''''''' ''''' ''''''''''''''''' '''' '''''''''''''''''''''''''''''''''''' ''''' ''''''''''''''''''' ''''''''' ''''''''''''''</w:t>
      </w:r>
    </w:p>
    <w:p w:rsidR="00172F46" w:rsidRPr="007C50FC" w:rsidRDefault="00172F46" w:rsidP="00BA62D9">
      <w:pPr>
        <w:keepNext/>
        <w:keepLines/>
        <w:ind w:left="720" w:hanging="720"/>
        <w:jc w:val="both"/>
        <w:rPr>
          <w:rFonts w:ascii="Arial" w:hAnsi="Arial"/>
          <w:i/>
          <w:sz w:val="22"/>
          <w:szCs w:val="22"/>
        </w:rPr>
      </w:pPr>
    </w:p>
    <w:p w:rsidR="007B22CE" w:rsidRPr="007C50FC" w:rsidRDefault="007C50FC" w:rsidP="007C50FC">
      <w:pPr>
        <w:keepNext/>
        <w:keepLines/>
        <w:ind w:left="720" w:hanging="720"/>
        <w:jc w:val="both"/>
        <w:rPr>
          <w:rFonts w:ascii="Arial" w:hAnsi="Arial"/>
          <w:sz w:val="22"/>
          <w:szCs w:val="22"/>
          <w:highlight w:val="black"/>
        </w:rPr>
      </w:pPr>
      <w:r>
        <w:rPr>
          <w:rFonts w:ascii="Arial" w:hAnsi="Arial"/>
          <w:noProof/>
          <w:color w:val="000000"/>
          <w:sz w:val="22"/>
          <w:szCs w:val="22"/>
          <w:highlight w:val="black"/>
        </w:rPr>
        <w:t xml:space="preserve">'''''''''''''''''' '''''''''' '''''''''''''''''''' ''''''''''''''''''''' '''''' '''''''''''''''''''' ''''''''' ''''''' ''''''''''''''''''' '''''''' '''''''''''''' ''''' '''''''''''''''''''''''''''''''''   '''' ''''''''' '''''''''''''''''''''''' '''''''''''' '''''' ''''''' '''''''''''''' ''''' '''''''''' ''''''''''''''''''''''' '''' '''''''' ''''''''''''''''''' ''''''''''''''''''''''''' '''''''''''''''' ''' ''''''''''''''''''''''' ''''''''' '''''''''''' '''''''''''''''''''''' ''''''''''''''' ''''''''''''''''''''''''' ''''' </w:t>
      </w:r>
    </w:p>
    <w:p w:rsidR="00184143" w:rsidRPr="007C50FC" w:rsidRDefault="007C50FC" w:rsidP="00BA62D9">
      <w:pPr>
        <w:keepNext/>
        <w:keepLines/>
        <w:ind w:left="720"/>
        <w:jc w:val="both"/>
        <w:rPr>
          <w:rFonts w:ascii="Arial" w:hAnsi="Arial"/>
          <w:sz w:val="22"/>
          <w:szCs w:val="22"/>
          <w:highlight w:val="black"/>
        </w:rPr>
      </w:pPr>
      <w:r>
        <w:rPr>
          <w:rFonts w:ascii="Arial" w:hAnsi="Arial"/>
          <w:noProof/>
          <w:color w:val="000000"/>
          <w:sz w:val="22"/>
          <w:szCs w:val="22"/>
          <w:highlight w:val="black"/>
        </w:rPr>
        <w:t xml:space="preserve">'''''''''''''''''''''''''''' '''''''''''''' '''''''''' ''''''''''''' '''''' '''''' </w:t>
      </w:r>
    </w:p>
    <w:p w:rsidR="00184143" w:rsidRPr="007C50FC" w:rsidRDefault="007C50FC" w:rsidP="007B6795">
      <w:pPr>
        <w:ind w:left="720"/>
        <w:jc w:val="both"/>
        <w:rPr>
          <w:rFonts w:ascii="Arial" w:hAnsi="Arial"/>
          <w:sz w:val="22"/>
          <w:szCs w:val="22"/>
          <w:highlight w:val="black"/>
        </w:rPr>
      </w:pPr>
      <w:r>
        <w:rPr>
          <w:rFonts w:ascii="Arial" w:hAnsi="Arial"/>
          <w:noProof/>
          <w:color w:val="000000"/>
          <w:sz w:val="22"/>
          <w:szCs w:val="22"/>
          <w:highlight w:val="black"/>
        </w:rPr>
        <w:t xml:space="preserve">''''''''''''''''''''''''''''''''''''''''''''''''''''''''''''''''''''''''''''''''''''''''''''''''''''''''''''''''''''' </w:t>
      </w:r>
    </w:p>
    <w:p w:rsidR="001B7936" w:rsidRPr="007C50FC" w:rsidRDefault="007C50FC" w:rsidP="001B7936">
      <w:pPr>
        <w:ind w:left="720"/>
        <w:jc w:val="both"/>
        <w:rPr>
          <w:rFonts w:ascii="Arial" w:hAnsi="Arial"/>
          <w:sz w:val="22"/>
          <w:szCs w:val="22"/>
          <w:highlight w:val="black"/>
        </w:rPr>
      </w:pPr>
      <w:r>
        <w:rPr>
          <w:rFonts w:ascii="Arial" w:hAnsi="Arial"/>
          <w:noProof/>
          <w:color w:val="000000"/>
          <w:sz w:val="22"/>
          <w:szCs w:val="22"/>
          <w:highlight w:val="black"/>
        </w:rPr>
        <w:t xml:space="preserve">''''' ''''''''''''''''''''''''''''''''''' '''''''' '''''''''''''''''''' ''''' '''''''''''''''''''''' ''''''''''''''''' ''''' ''''''' '''''''''''''''''''''''''''''''''''''''''' ''''''''''''''''' '''' '''''''' '''''''''''''''''' '''''''''''''''''''''''''' </w:t>
      </w:r>
    </w:p>
    <w:p w:rsidR="001B7936" w:rsidRPr="007C50FC" w:rsidRDefault="001B7936" w:rsidP="001B7936">
      <w:pPr>
        <w:ind w:left="720"/>
        <w:jc w:val="both"/>
        <w:rPr>
          <w:rFonts w:ascii="Arial" w:hAnsi="Arial"/>
          <w:sz w:val="22"/>
          <w:szCs w:val="22"/>
        </w:rPr>
      </w:pPr>
    </w:p>
    <w:p w:rsidR="00816785" w:rsidRPr="007C50FC" w:rsidRDefault="007C50FC" w:rsidP="007C50FC">
      <w:pPr>
        <w:ind w:left="720" w:hanging="720"/>
        <w:jc w:val="both"/>
        <w:rPr>
          <w:rFonts w:ascii="Arial" w:hAnsi="Arial"/>
          <w:sz w:val="22"/>
          <w:szCs w:val="22"/>
          <w:highlight w:val="black"/>
        </w:rPr>
      </w:pPr>
      <w:r>
        <w:rPr>
          <w:rFonts w:ascii="Arial" w:hAnsi="Arial"/>
          <w:noProof/>
          <w:color w:val="000000"/>
          <w:sz w:val="22"/>
          <w:szCs w:val="22"/>
          <w:highlight w:val="black"/>
        </w:rPr>
        <w:t>''''''''''''''''''' '''''' ''''''''''''''''''''''''' ''''''''''''''''''''''''''''''''''' ''''' '''''''' '''''''''' ''''''''''''''''''' ''''''''' '''''''''''''''''''''''' '''''''''' '''''''' '''''''''''' '''''''''''''''''''''' '''''' '''' '''''''''''''''''''''' ''''''''''''''''''</w:t>
      </w:r>
    </w:p>
    <w:p w:rsidR="00EE7F79" w:rsidRPr="00260B02" w:rsidRDefault="00EE7F79" w:rsidP="001B7936">
      <w:pPr>
        <w:keepNext/>
        <w:keepLines/>
        <w:ind w:firstLine="720"/>
        <w:jc w:val="both"/>
        <w:rPr>
          <w:rFonts w:ascii="Arial" w:hAnsi="Arial"/>
          <w:sz w:val="22"/>
          <w:szCs w:val="22"/>
          <w:u w:val="single"/>
        </w:rPr>
      </w:pPr>
    </w:p>
    <w:p w:rsidR="0035519B" w:rsidRPr="00260B02" w:rsidRDefault="0035519B" w:rsidP="009F44FD">
      <w:pPr>
        <w:keepNext/>
        <w:keepLines/>
        <w:jc w:val="both"/>
        <w:rPr>
          <w:rFonts w:ascii="Arial" w:hAnsi="Arial"/>
          <w:sz w:val="22"/>
          <w:szCs w:val="22"/>
          <w:u w:val="single"/>
        </w:rPr>
      </w:pPr>
      <w:r w:rsidRPr="00260B02">
        <w:rPr>
          <w:rFonts w:ascii="Arial" w:hAnsi="Arial"/>
          <w:sz w:val="22"/>
          <w:szCs w:val="22"/>
          <w:u w:val="single"/>
        </w:rPr>
        <w:t>PBS History of insulin glargine and other insulins</w:t>
      </w:r>
    </w:p>
    <w:p w:rsidR="000C7993" w:rsidRPr="00260B02" w:rsidRDefault="000C7993" w:rsidP="001A20F5">
      <w:pPr>
        <w:keepNext/>
        <w:keepLines/>
        <w:jc w:val="both"/>
        <w:rPr>
          <w:rFonts w:ascii="Arial" w:hAnsi="Arial"/>
          <w:sz w:val="22"/>
          <w:szCs w:val="22"/>
          <w:u w:val="single"/>
        </w:rPr>
      </w:pPr>
    </w:p>
    <w:p w:rsidR="0035519B" w:rsidRPr="00260B02" w:rsidRDefault="0035519B" w:rsidP="004C47CB">
      <w:pPr>
        <w:pStyle w:val="ListParagraph"/>
        <w:numPr>
          <w:ilvl w:val="1"/>
          <w:numId w:val="25"/>
        </w:numPr>
        <w:jc w:val="both"/>
        <w:rPr>
          <w:rFonts w:ascii="Arial" w:hAnsi="Arial"/>
          <w:sz w:val="22"/>
          <w:szCs w:val="22"/>
        </w:rPr>
      </w:pPr>
      <w:r w:rsidRPr="00260B02">
        <w:rPr>
          <w:rFonts w:ascii="Arial" w:hAnsi="Arial"/>
          <w:sz w:val="22"/>
          <w:szCs w:val="22"/>
        </w:rPr>
        <w:t>Insulin glargine (Lantus) was first recommended by the PBAC at its March 2006 extraordinary meeting</w:t>
      </w:r>
      <w:r w:rsidR="000C7993" w:rsidRPr="00260B02">
        <w:rPr>
          <w:rFonts w:ascii="Arial" w:hAnsi="Arial"/>
          <w:sz w:val="22"/>
          <w:szCs w:val="22"/>
        </w:rPr>
        <w:t xml:space="preserve"> on</w:t>
      </w:r>
      <w:r w:rsidRPr="00260B02">
        <w:rPr>
          <w:rFonts w:ascii="Arial" w:hAnsi="Arial"/>
          <w:sz w:val="22"/>
          <w:szCs w:val="22"/>
        </w:rPr>
        <w:t xml:space="preserve"> a cost effectiveness basis.</w:t>
      </w:r>
      <w:r w:rsidRPr="00260B02">
        <w:rPr>
          <w:rFonts w:eastAsiaTheme="minorHAnsi" w:cstheme="minorBidi"/>
          <w:szCs w:val="22"/>
          <w:lang w:eastAsia="en-US"/>
        </w:rPr>
        <w:t xml:space="preserve"> </w:t>
      </w:r>
      <w:r w:rsidRPr="00260B02">
        <w:rPr>
          <w:rFonts w:ascii="Arial" w:hAnsi="Arial"/>
          <w:sz w:val="22"/>
          <w:szCs w:val="22"/>
        </w:rPr>
        <w:t xml:space="preserve">The PBAC recommended the listing of insulin glargine on the basis that the clinical benefit over NPH insulin (improvement in hypoglycaemic event rates) </w:t>
      </w:r>
      <w:r w:rsidR="004C47CB" w:rsidRPr="00260B02">
        <w:rPr>
          <w:rFonts w:ascii="Arial" w:hAnsi="Arial"/>
          <w:sz w:val="22"/>
          <w:szCs w:val="22"/>
        </w:rPr>
        <w:t xml:space="preserve">in some patients </w:t>
      </w:r>
      <w:r w:rsidRPr="00260B02">
        <w:rPr>
          <w:rFonts w:ascii="Arial" w:hAnsi="Arial"/>
          <w:sz w:val="22"/>
          <w:szCs w:val="22"/>
        </w:rPr>
        <w:t>was similar to the clinical benefit shown for insulin lispro over neutral insulin.</w:t>
      </w:r>
      <w:r w:rsidR="004C47CB" w:rsidRPr="00260B02">
        <w:rPr>
          <w:rFonts w:ascii="Arial" w:hAnsi="Arial"/>
          <w:sz w:val="22"/>
          <w:szCs w:val="22"/>
        </w:rPr>
        <w:t xml:space="preserve"> In March 2006, t</w:t>
      </w:r>
      <w:r w:rsidRPr="00260B02">
        <w:rPr>
          <w:rFonts w:ascii="Arial" w:hAnsi="Arial"/>
          <w:sz w:val="22"/>
          <w:szCs w:val="22"/>
        </w:rPr>
        <w:t xml:space="preserve">he PBAC </w:t>
      </w:r>
      <w:r w:rsidR="004C47CB" w:rsidRPr="00260B02">
        <w:rPr>
          <w:rFonts w:ascii="Arial" w:hAnsi="Arial"/>
          <w:sz w:val="22"/>
          <w:szCs w:val="22"/>
        </w:rPr>
        <w:t>concluded</w:t>
      </w:r>
      <w:r w:rsidRPr="00260B02">
        <w:rPr>
          <w:rFonts w:ascii="Arial" w:hAnsi="Arial"/>
          <w:sz w:val="22"/>
          <w:szCs w:val="22"/>
        </w:rPr>
        <w:t xml:space="preserve"> that insulin glargine offers a small hypoglycaemia benefit over NPH, in some, but not all patients.</w:t>
      </w:r>
    </w:p>
    <w:p w:rsidR="0035519B" w:rsidRPr="00260B02" w:rsidRDefault="0035519B" w:rsidP="0035519B">
      <w:pPr>
        <w:jc w:val="both"/>
        <w:rPr>
          <w:rFonts w:ascii="Arial" w:hAnsi="Arial"/>
          <w:sz w:val="22"/>
          <w:szCs w:val="22"/>
        </w:rPr>
      </w:pPr>
    </w:p>
    <w:p w:rsidR="0035519B" w:rsidRPr="00260B02" w:rsidRDefault="00F607A9" w:rsidP="004C47CB">
      <w:pPr>
        <w:pStyle w:val="ListParagraph"/>
        <w:numPr>
          <w:ilvl w:val="1"/>
          <w:numId w:val="25"/>
        </w:numPr>
        <w:jc w:val="both"/>
        <w:rPr>
          <w:rFonts w:ascii="Arial" w:hAnsi="Arial"/>
          <w:sz w:val="22"/>
          <w:szCs w:val="22"/>
        </w:rPr>
      </w:pPr>
      <w:r w:rsidRPr="00260B02">
        <w:rPr>
          <w:rFonts w:ascii="Arial" w:hAnsi="Arial"/>
          <w:sz w:val="22"/>
          <w:szCs w:val="22"/>
        </w:rPr>
        <w:t>Basaglar wa</w:t>
      </w:r>
      <w:r w:rsidR="0035519B" w:rsidRPr="00260B02">
        <w:rPr>
          <w:rFonts w:ascii="Arial" w:hAnsi="Arial"/>
          <w:sz w:val="22"/>
          <w:szCs w:val="22"/>
        </w:rPr>
        <w:t xml:space="preserve">s the first insulin glargine biosimilar </w:t>
      </w:r>
      <w:r w:rsidR="00CE554D" w:rsidRPr="00260B02">
        <w:rPr>
          <w:rFonts w:ascii="Arial" w:hAnsi="Arial"/>
          <w:sz w:val="22"/>
          <w:szCs w:val="22"/>
        </w:rPr>
        <w:t xml:space="preserve">registered </w:t>
      </w:r>
      <w:r w:rsidR="0035519B" w:rsidRPr="00260B02">
        <w:rPr>
          <w:rFonts w:ascii="Arial" w:hAnsi="Arial"/>
          <w:sz w:val="22"/>
          <w:szCs w:val="22"/>
        </w:rPr>
        <w:t>in Australia and has not been previously considered by PBAC.</w:t>
      </w:r>
      <w:r w:rsidR="00EE7F79" w:rsidRPr="00260B02">
        <w:rPr>
          <w:rFonts w:ascii="Arial" w:hAnsi="Arial"/>
          <w:sz w:val="22"/>
          <w:szCs w:val="22"/>
        </w:rPr>
        <w:t xml:space="preserve">  </w:t>
      </w:r>
      <w:r w:rsidR="0035519B" w:rsidRPr="00260B02">
        <w:rPr>
          <w:rFonts w:ascii="Arial" w:hAnsi="Arial"/>
          <w:sz w:val="22"/>
          <w:szCs w:val="22"/>
        </w:rPr>
        <w:t>No other insulin biosimilar ha</w:t>
      </w:r>
      <w:r w:rsidRPr="00260B02">
        <w:rPr>
          <w:rFonts w:ascii="Arial" w:hAnsi="Arial"/>
          <w:sz w:val="22"/>
          <w:szCs w:val="22"/>
        </w:rPr>
        <w:t>d</w:t>
      </w:r>
      <w:r w:rsidR="0035519B" w:rsidRPr="00260B02">
        <w:rPr>
          <w:rFonts w:ascii="Arial" w:hAnsi="Arial"/>
          <w:sz w:val="22"/>
          <w:szCs w:val="22"/>
        </w:rPr>
        <w:t xml:space="preserve"> previously been registered by TGA or considered for PBS subsidy by PBAC.  </w:t>
      </w:r>
    </w:p>
    <w:p w:rsidR="00F607A9" w:rsidRPr="00260B02" w:rsidRDefault="00F607A9" w:rsidP="001A20F5">
      <w:pPr>
        <w:keepNext/>
        <w:keepLines/>
        <w:jc w:val="both"/>
        <w:rPr>
          <w:rFonts w:ascii="Arial" w:hAnsi="Arial"/>
          <w:sz w:val="22"/>
          <w:szCs w:val="22"/>
          <w:u w:val="single"/>
        </w:rPr>
      </w:pPr>
    </w:p>
    <w:p w:rsidR="001A20F5" w:rsidRPr="00260B02" w:rsidRDefault="0035519B" w:rsidP="001A20F5">
      <w:pPr>
        <w:keepNext/>
        <w:keepLines/>
        <w:jc w:val="both"/>
        <w:rPr>
          <w:rFonts w:ascii="Arial" w:hAnsi="Arial"/>
          <w:sz w:val="22"/>
          <w:szCs w:val="22"/>
          <w:u w:val="single"/>
        </w:rPr>
      </w:pPr>
      <w:r w:rsidRPr="00260B02">
        <w:rPr>
          <w:rFonts w:ascii="Arial" w:hAnsi="Arial"/>
          <w:sz w:val="22"/>
          <w:szCs w:val="22"/>
          <w:u w:val="single"/>
        </w:rPr>
        <w:t>2010 TGA/PBD Discussion Paper on Similar Biological Medicinal Products</w:t>
      </w:r>
    </w:p>
    <w:p w:rsidR="0035519B" w:rsidRPr="00260B02" w:rsidRDefault="00866322" w:rsidP="001A20F5">
      <w:pPr>
        <w:keepNext/>
        <w:keepLines/>
        <w:jc w:val="both"/>
        <w:rPr>
          <w:rFonts w:ascii="Arial" w:hAnsi="Arial"/>
          <w:sz w:val="22"/>
          <w:szCs w:val="22"/>
        </w:rPr>
      </w:pPr>
      <w:r w:rsidRPr="00260B02">
        <w:rPr>
          <w:rFonts w:ascii="Arial" w:hAnsi="Arial"/>
          <w:sz w:val="22"/>
          <w:szCs w:val="22"/>
        </w:rPr>
        <w:tab/>
      </w:r>
      <w:r w:rsidR="0035519B" w:rsidRPr="00260B02">
        <w:rPr>
          <w:rFonts w:ascii="Arial" w:hAnsi="Arial"/>
          <w:sz w:val="22"/>
          <w:szCs w:val="22"/>
        </w:rPr>
        <w:t xml:space="preserve"> </w:t>
      </w:r>
    </w:p>
    <w:p w:rsidR="003A4F15" w:rsidRPr="00260B02" w:rsidRDefault="003A4F15" w:rsidP="001A20F5">
      <w:pPr>
        <w:pStyle w:val="ListParagraph"/>
        <w:keepNext/>
        <w:keepLines/>
        <w:numPr>
          <w:ilvl w:val="1"/>
          <w:numId w:val="25"/>
        </w:numPr>
        <w:jc w:val="both"/>
        <w:rPr>
          <w:rFonts w:ascii="Arial" w:hAnsi="Arial"/>
          <w:sz w:val="22"/>
          <w:szCs w:val="22"/>
        </w:rPr>
      </w:pPr>
      <w:r w:rsidRPr="00260B02">
        <w:rPr>
          <w:rFonts w:ascii="Arial" w:hAnsi="Arial"/>
          <w:sz w:val="22"/>
          <w:szCs w:val="22"/>
        </w:rPr>
        <w:t xml:space="preserve">In July 2010, the TGA and the Pharmaceutical Benefits Division (PBD) issued a joint discussion paper on Similar Biological Medicinal Products (SBMPs, also known as biosimilars). </w:t>
      </w:r>
      <w:r w:rsidR="00DF4A0B" w:rsidRPr="00260B02">
        <w:rPr>
          <w:rFonts w:ascii="Arial" w:hAnsi="Arial"/>
          <w:sz w:val="22"/>
          <w:szCs w:val="22"/>
        </w:rPr>
        <w:t xml:space="preserve">This paper captured policy that was current at the time the first biosimilars were considered by PBAC.  </w:t>
      </w:r>
    </w:p>
    <w:p w:rsidR="003A4F15" w:rsidRPr="00260B02" w:rsidRDefault="003A4F15" w:rsidP="003A4F15">
      <w:pPr>
        <w:pStyle w:val="ListParagraph"/>
        <w:jc w:val="both"/>
        <w:rPr>
          <w:rFonts w:ascii="Arial" w:hAnsi="Arial"/>
          <w:sz w:val="22"/>
          <w:szCs w:val="22"/>
        </w:rPr>
      </w:pPr>
      <w:r w:rsidRPr="00260B02">
        <w:rPr>
          <w:rFonts w:ascii="Arial" w:hAnsi="Arial"/>
          <w:sz w:val="22"/>
          <w:szCs w:val="22"/>
        </w:rPr>
        <w:t xml:space="preserve"> </w:t>
      </w:r>
    </w:p>
    <w:p w:rsidR="00DF4A0B" w:rsidRPr="00260B02" w:rsidRDefault="00DF4A0B" w:rsidP="00407231">
      <w:pPr>
        <w:pStyle w:val="ListParagraph"/>
        <w:numPr>
          <w:ilvl w:val="1"/>
          <w:numId w:val="25"/>
        </w:numPr>
        <w:jc w:val="both"/>
        <w:rPr>
          <w:rFonts w:ascii="Arial" w:hAnsi="Arial"/>
          <w:sz w:val="22"/>
          <w:szCs w:val="22"/>
        </w:rPr>
      </w:pPr>
      <w:r w:rsidRPr="00260B02">
        <w:rPr>
          <w:rFonts w:ascii="Arial" w:hAnsi="Arial"/>
          <w:sz w:val="22"/>
          <w:szCs w:val="22"/>
        </w:rPr>
        <w:t xml:space="preserve">In the five years since this discussion paper was released, biosimilars policy has evolved such that the discussion paper is no longer current and has been removed from the PBS website.  </w:t>
      </w:r>
    </w:p>
    <w:p w:rsidR="0035519B" w:rsidRPr="00260B02" w:rsidRDefault="0035519B" w:rsidP="0035519B">
      <w:pPr>
        <w:jc w:val="both"/>
        <w:rPr>
          <w:rFonts w:ascii="Arial" w:hAnsi="Arial"/>
          <w:sz w:val="22"/>
          <w:szCs w:val="22"/>
          <w:u w:val="single"/>
        </w:rPr>
      </w:pPr>
    </w:p>
    <w:p w:rsidR="0035519B" w:rsidRPr="00260B02" w:rsidRDefault="0035519B" w:rsidP="0035519B">
      <w:pPr>
        <w:jc w:val="both"/>
        <w:rPr>
          <w:rFonts w:ascii="Arial" w:hAnsi="Arial"/>
          <w:sz w:val="22"/>
          <w:szCs w:val="22"/>
          <w:u w:val="single"/>
        </w:rPr>
      </w:pPr>
      <w:r w:rsidRPr="00260B02">
        <w:rPr>
          <w:rFonts w:ascii="Arial" w:hAnsi="Arial"/>
          <w:sz w:val="22"/>
          <w:szCs w:val="22"/>
          <w:u w:val="single"/>
        </w:rPr>
        <w:t>Previous PBAC consideration of biosimilars</w:t>
      </w:r>
    </w:p>
    <w:p w:rsidR="001A20F5" w:rsidRPr="00260B02" w:rsidRDefault="001A20F5" w:rsidP="0035519B">
      <w:pPr>
        <w:jc w:val="both"/>
        <w:rPr>
          <w:rFonts w:ascii="Arial" w:hAnsi="Arial"/>
          <w:sz w:val="22"/>
          <w:szCs w:val="22"/>
          <w:u w:val="single"/>
        </w:rPr>
      </w:pPr>
    </w:p>
    <w:p w:rsidR="0035519B" w:rsidRPr="00260B02" w:rsidRDefault="0035519B" w:rsidP="00987EAD">
      <w:pPr>
        <w:pStyle w:val="ListParagraph"/>
        <w:numPr>
          <w:ilvl w:val="1"/>
          <w:numId w:val="25"/>
        </w:numPr>
        <w:jc w:val="both"/>
        <w:rPr>
          <w:rFonts w:ascii="Arial" w:hAnsi="Arial"/>
          <w:sz w:val="22"/>
          <w:szCs w:val="22"/>
        </w:rPr>
      </w:pPr>
      <w:r w:rsidRPr="00260B02">
        <w:rPr>
          <w:rFonts w:ascii="Arial" w:hAnsi="Arial"/>
          <w:sz w:val="22"/>
          <w:szCs w:val="22"/>
        </w:rPr>
        <w:t xml:space="preserve">The PBAC has previously recommended the subsidy </w:t>
      </w:r>
      <w:r w:rsidR="00DF4A0B" w:rsidRPr="00260B02">
        <w:rPr>
          <w:rFonts w:ascii="Arial" w:hAnsi="Arial"/>
          <w:sz w:val="22"/>
          <w:szCs w:val="22"/>
        </w:rPr>
        <w:t xml:space="preserve">for </w:t>
      </w:r>
      <w:r w:rsidRPr="00260B02">
        <w:rPr>
          <w:rFonts w:ascii="Arial" w:hAnsi="Arial"/>
          <w:sz w:val="22"/>
          <w:szCs w:val="22"/>
        </w:rPr>
        <w:t xml:space="preserve">biosimilars </w:t>
      </w:r>
      <w:r w:rsidR="00DF4A0B" w:rsidRPr="00260B02">
        <w:rPr>
          <w:rFonts w:ascii="Arial" w:hAnsi="Arial"/>
          <w:sz w:val="22"/>
          <w:szCs w:val="22"/>
        </w:rPr>
        <w:t xml:space="preserve">of </w:t>
      </w:r>
      <w:r w:rsidRPr="00260B02">
        <w:rPr>
          <w:rFonts w:ascii="Arial" w:hAnsi="Arial"/>
          <w:sz w:val="22"/>
          <w:szCs w:val="22"/>
        </w:rPr>
        <w:t xml:space="preserve">epoetin alfa and filgrastim.  </w:t>
      </w:r>
    </w:p>
    <w:p w:rsidR="0035519B" w:rsidRPr="00260B02" w:rsidRDefault="0035519B" w:rsidP="0035519B">
      <w:pPr>
        <w:ind w:left="720"/>
        <w:jc w:val="both"/>
        <w:rPr>
          <w:rFonts w:ascii="Arial" w:hAnsi="Arial"/>
          <w:sz w:val="22"/>
          <w:szCs w:val="22"/>
        </w:rPr>
      </w:pPr>
    </w:p>
    <w:p w:rsidR="0035519B" w:rsidRPr="00260B02" w:rsidRDefault="0035519B" w:rsidP="00987EAD">
      <w:pPr>
        <w:pStyle w:val="ListParagraph"/>
        <w:numPr>
          <w:ilvl w:val="1"/>
          <w:numId w:val="25"/>
        </w:numPr>
        <w:jc w:val="both"/>
        <w:rPr>
          <w:rFonts w:ascii="Arial" w:hAnsi="Arial"/>
          <w:sz w:val="22"/>
          <w:szCs w:val="22"/>
        </w:rPr>
      </w:pPr>
      <w:r w:rsidRPr="00260B02">
        <w:rPr>
          <w:rFonts w:ascii="Arial" w:hAnsi="Arial"/>
          <w:sz w:val="22"/>
          <w:szCs w:val="22"/>
        </w:rPr>
        <w:t xml:space="preserve">The epoetin alfa biosimilar is registered in Australia under the Australian </w:t>
      </w:r>
      <w:r w:rsidR="00DF4A0B" w:rsidRPr="00260B02">
        <w:rPr>
          <w:rFonts w:ascii="Arial" w:hAnsi="Arial"/>
          <w:sz w:val="22"/>
          <w:szCs w:val="22"/>
        </w:rPr>
        <w:t xml:space="preserve">Biological </w:t>
      </w:r>
      <w:r w:rsidRPr="00260B02">
        <w:rPr>
          <w:rFonts w:ascii="Arial" w:hAnsi="Arial"/>
          <w:sz w:val="22"/>
          <w:szCs w:val="22"/>
        </w:rPr>
        <w:t>Name</w:t>
      </w:r>
      <w:r w:rsidR="00866322" w:rsidRPr="00260B02">
        <w:rPr>
          <w:rFonts w:ascii="Arial" w:hAnsi="Arial"/>
          <w:sz w:val="22"/>
          <w:szCs w:val="22"/>
        </w:rPr>
        <w:t xml:space="preserve"> (</w:t>
      </w:r>
      <w:r w:rsidR="00DF4A0B" w:rsidRPr="00260B02">
        <w:rPr>
          <w:rFonts w:ascii="Arial" w:hAnsi="Arial"/>
          <w:sz w:val="22"/>
          <w:szCs w:val="22"/>
        </w:rPr>
        <w:t>ABN</w:t>
      </w:r>
      <w:r w:rsidR="00866322" w:rsidRPr="00260B02">
        <w:rPr>
          <w:rFonts w:ascii="Arial" w:hAnsi="Arial"/>
          <w:sz w:val="22"/>
          <w:szCs w:val="22"/>
        </w:rPr>
        <w:t>)</w:t>
      </w:r>
      <w:r w:rsidRPr="00260B02">
        <w:rPr>
          <w:rFonts w:ascii="Arial" w:hAnsi="Arial"/>
          <w:sz w:val="22"/>
          <w:szCs w:val="22"/>
        </w:rPr>
        <w:t>, epoetin lambda, trade name Novicrit (Sandoz).  Filgrastim has three registered biosimilars, all with the same A</w:t>
      </w:r>
      <w:r w:rsidR="00DF4A0B" w:rsidRPr="00260B02">
        <w:rPr>
          <w:rFonts w:ascii="Arial" w:hAnsi="Arial"/>
          <w:sz w:val="22"/>
          <w:szCs w:val="22"/>
        </w:rPr>
        <w:t>B</w:t>
      </w:r>
      <w:r w:rsidRPr="00260B02">
        <w:rPr>
          <w:rFonts w:ascii="Arial" w:hAnsi="Arial"/>
          <w:sz w:val="22"/>
          <w:szCs w:val="22"/>
        </w:rPr>
        <w:t>N as filgrastim.  These products are marketed as Nivestim (Hospira), Zarzio (Sandoz) and TevaGrastim</w:t>
      </w:r>
      <w:r w:rsidR="00882075" w:rsidRPr="00260B02">
        <w:rPr>
          <w:rFonts w:ascii="Arial" w:hAnsi="Arial"/>
          <w:sz w:val="22"/>
          <w:szCs w:val="22"/>
        </w:rPr>
        <w:t xml:space="preserve"> (Aspen)</w:t>
      </w:r>
      <w:r w:rsidRPr="00260B02">
        <w:rPr>
          <w:rFonts w:ascii="Arial" w:hAnsi="Arial"/>
          <w:sz w:val="22"/>
          <w:szCs w:val="22"/>
        </w:rPr>
        <w:t>.</w:t>
      </w:r>
    </w:p>
    <w:p w:rsidR="0035519B" w:rsidRPr="00260B02" w:rsidRDefault="0035519B" w:rsidP="0035519B">
      <w:pPr>
        <w:jc w:val="both"/>
        <w:rPr>
          <w:rFonts w:ascii="Arial" w:hAnsi="Arial"/>
          <w:sz w:val="22"/>
          <w:szCs w:val="22"/>
        </w:rPr>
      </w:pPr>
    </w:p>
    <w:p w:rsidR="00DF4A0B" w:rsidRPr="00260B02" w:rsidRDefault="0035519B" w:rsidP="00DF4A0B">
      <w:pPr>
        <w:pStyle w:val="ListParagraph"/>
        <w:numPr>
          <w:ilvl w:val="1"/>
          <w:numId w:val="25"/>
        </w:numPr>
        <w:jc w:val="both"/>
        <w:rPr>
          <w:rFonts w:ascii="Arial" w:hAnsi="Arial"/>
          <w:sz w:val="22"/>
          <w:szCs w:val="22"/>
        </w:rPr>
      </w:pPr>
      <w:r w:rsidRPr="00260B02">
        <w:rPr>
          <w:rFonts w:ascii="Arial" w:hAnsi="Arial"/>
          <w:sz w:val="22"/>
          <w:szCs w:val="22"/>
        </w:rPr>
        <w:t>The Novicrit epoetin lambda was recommended for subsidy by the PBAC in July 2010.</w:t>
      </w:r>
      <w:r w:rsidR="00DF4A0B" w:rsidRPr="00260B02">
        <w:t xml:space="preserve"> </w:t>
      </w:r>
      <w:r w:rsidR="00DF4A0B" w:rsidRPr="00260B02">
        <w:rPr>
          <w:rFonts w:ascii="Arial" w:hAnsi="Arial"/>
          <w:sz w:val="22"/>
          <w:szCs w:val="22"/>
        </w:rPr>
        <w:t xml:space="preserve">At the time PBAC made this recommendation, there were already two epoetins on the PBS – epoetin alfa and epoetin beta.  These had been declared to be different PBS drugs under section 85(2) of the Act.  Epoetin lambda was subsequently also </w:t>
      </w:r>
      <w:r w:rsidR="00DF4A0B" w:rsidRPr="00260B02">
        <w:rPr>
          <w:rFonts w:ascii="Arial" w:hAnsi="Arial"/>
          <w:sz w:val="22"/>
          <w:szCs w:val="22"/>
        </w:rPr>
        <w:lastRenderedPageBreak/>
        <w:t>declared a different drug, and all three epoetin drugs remain on the PBS F1 formulary.</w:t>
      </w:r>
    </w:p>
    <w:p w:rsidR="0035519B" w:rsidRPr="00260B02" w:rsidRDefault="0035519B" w:rsidP="0035519B">
      <w:pPr>
        <w:jc w:val="both"/>
        <w:rPr>
          <w:rFonts w:ascii="Arial" w:hAnsi="Arial"/>
          <w:sz w:val="22"/>
          <w:szCs w:val="22"/>
        </w:rPr>
      </w:pPr>
      <w:r w:rsidRPr="00260B02">
        <w:rPr>
          <w:rFonts w:ascii="Arial" w:hAnsi="Arial"/>
          <w:sz w:val="22"/>
          <w:szCs w:val="22"/>
        </w:rPr>
        <w:t xml:space="preserve"> </w:t>
      </w:r>
    </w:p>
    <w:p w:rsidR="00DF4A0B" w:rsidRPr="00260B02" w:rsidRDefault="00DF4A0B" w:rsidP="00DF4A0B">
      <w:pPr>
        <w:pStyle w:val="ListParagraph"/>
        <w:numPr>
          <w:ilvl w:val="1"/>
          <w:numId w:val="25"/>
        </w:numPr>
        <w:jc w:val="both"/>
        <w:rPr>
          <w:rFonts w:ascii="Arial" w:hAnsi="Arial"/>
          <w:sz w:val="22"/>
          <w:szCs w:val="22"/>
        </w:rPr>
      </w:pPr>
      <w:r w:rsidRPr="00260B02">
        <w:rPr>
          <w:rFonts w:ascii="Arial" w:hAnsi="Arial"/>
          <w:sz w:val="22"/>
          <w:szCs w:val="22"/>
        </w:rPr>
        <w:t xml:space="preserve">The PBAC recommended the listing of filgrastim products as biosimilars of Neupogen®: Nivestim® (November 2010 meeting); </w:t>
      </w:r>
      <w:r w:rsidRPr="00260B02">
        <w:rPr>
          <w:rFonts w:ascii="Arial" w:hAnsi="Arial"/>
          <w:bCs/>
          <w:sz w:val="22"/>
          <w:szCs w:val="22"/>
        </w:rPr>
        <w:t>TevaGrastim® (November 2011) and Zarzio® (March 2013)</w:t>
      </w:r>
      <w:r w:rsidRPr="00260B02">
        <w:rPr>
          <w:rFonts w:ascii="Arial" w:hAnsi="Arial"/>
          <w:sz w:val="22"/>
          <w:szCs w:val="22"/>
        </w:rPr>
        <w:t>.</w:t>
      </w:r>
      <w:r w:rsidRPr="00260B02">
        <w:rPr>
          <w:rFonts w:ascii="Arial" w:hAnsi="Arial"/>
          <w:bCs/>
          <w:sz w:val="22"/>
          <w:szCs w:val="22"/>
        </w:rPr>
        <w:t xml:space="preserve"> The</w:t>
      </w:r>
      <w:r w:rsidRPr="00260B02">
        <w:rPr>
          <w:rFonts w:ascii="Arial" w:hAnsi="Arial"/>
          <w:sz w:val="22"/>
          <w:szCs w:val="22"/>
        </w:rPr>
        <w:t xml:space="preserve"> PBAC recommended listing of the two latest products under the same listing conditions and price as Nivestim.  </w:t>
      </w:r>
    </w:p>
    <w:p w:rsidR="00DF4A0B" w:rsidRPr="00260B02" w:rsidRDefault="00DF4A0B" w:rsidP="00DF4A0B">
      <w:pPr>
        <w:jc w:val="both"/>
        <w:rPr>
          <w:rFonts w:ascii="Arial" w:hAnsi="Arial"/>
          <w:sz w:val="22"/>
          <w:szCs w:val="22"/>
        </w:rPr>
      </w:pPr>
    </w:p>
    <w:p w:rsidR="0035519B" w:rsidRPr="00260B02" w:rsidRDefault="0035519B" w:rsidP="0035519B">
      <w:pPr>
        <w:jc w:val="both"/>
        <w:rPr>
          <w:rFonts w:ascii="Arial" w:hAnsi="Arial"/>
          <w:sz w:val="22"/>
          <w:szCs w:val="22"/>
          <w:u w:val="single"/>
        </w:rPr>
      </w:pPr>
      <w:r w:rsidRPr="00260B02">
        <w:rPr>
          <w:rFonts w:ascii="Arial" w:hAnsi="Arial"/>
          <w:sz w:val="22"/>
          <w:szCs w:val="22"/>
          <w:u w:val="single"/>
        </w:rPr>
        <w:t>The PBS and substitution at the pharmacist level (“a” flagging)</w:t>
      </w:r>
    </w:p>
    <w:p w:rsidR="0035519B" w:rsidRPr="00260B02" w:rsidRDefault="0035519B" w:rsidP="0035519B">
      <w:pPr>
        <w:jc w:val="both"/>
        <w:rPr>
          <w:rFonts w:ascii="Arial" w:hAnsi="Arial"/>
          <w:sz w:val="22"/>
          <w:szCs w:val="22"/>
        </w:rPr>
      </w:pPr>
    </w:p>
    <w:p w:rsidR="0035519B" w:rsidRPr="00260B02" w:rsidRDefault="0035519B" w:rsidP="007B6795">
      <w:pPr>
        <w:pStyle w:val="ListParagraph"/>
        <w:numPr>
          <w:ilvl w:val="1"/>
          <w:numId w:val="25"/>
        </w:numPr>
        <w:jc w:val="both"/>
        <w:rPr>
          <w:rFonts w:ascii="Arial" w:hAnsi="Arial" w:cs="Arial"/>
          <w:sz w:val="22"/>
          <w:szCs w:val="22"/>
        </w:rPr>
      </w:pPr>
      <w:r w:rsidRPr="00260B02">
        <w:rPr>
          <w:rFonts w:ascii="Arial" w:hAnsi="Arial" w:cs="Arial"/>
          <w:sz w:val="22"/>
          <w:szCs w:val="22"/>
        </w:rPr>
        <w:t>The Act makes it an offence for a pharmacist to supply a pharmaceutical benefit other than the benefit directed to be supplied in a prescription except when, amongst other criteria, the Schedule of Pharmaceutical Benefits issued by the Department of Health states that the specified benefit and the substitute benefit are equivalent. The relevant section of the Act is reproduced below.</w:t>
      </w:r>
    </w:p>
    <w:p w:rsidR="0035519B" w:rsidRPr="00260B02" w:rsidRDefault="0035519B" w:rsidP="0035519B"/>
    <w:p w:rsidR="0035519B" w:rsidRPr="00260B02" w:rsidRDefault="0035519B" w:rsidP="001A20F5">
      <w:pPr>
        <w:keepNext/>
        <w:keepLines/>
        <w:pBdr>
          <w:top w:val="single" w:sz="4" w:space="1" w:color="auto"/>
          <w:left w:val="single" w:sz="4" w:space="4" w:color="auto"/>
          <w:bottom w:val="single" w:sz="4" w:space="1" w:color="auto"/>
          <w:right w:val="single" w:sz="4" w:space="4" w:color="auto"/>
        </w:pBdr>
        <w:rPr>
          <w:b/>
          <w:sz w:val="22"/>
          <w:szCs w:val="22"/>
        </w:rPr>
      </w:pPr>
      <w:r w:rsidRPr="00260B02">
        <w:rPr>
          <w:b/>
          <w:sz w:val="22"/>
          <w:szCs w:val="22"/>
        </w:rPr>
        <w:t xml:space="preserve">Extract from </w:t>
      </w:r>
      <w:r w:rsidRPr="00260B02">
        <w:rPr>
          <w:b/>
          <w:i/>
          <w:sz w:val="22"/>
          <w:szCs w:val="22"/>
        </w:rPr>
        <w:t>National Health Act 1953</w:t>
      </w:r>
    </w:p>
    <w:p w:rsidR="0035519B" w:rsidRPr="00260B02" w:rsidRDefault="007E0EA4" w:rsidP="001A20F5">
      <w:pPr>
        <w:keepNext/>
        <w:keepLines/>
        <w:pBdr>
          <w:top w:val="single" w:sz="4" w:space="1" w:color="auto"/>
          <w:left w:val="single" w:sz="4" w:space="4" w:color="auto"/>
          <w:bottom w:val="single" w:sz="4" w:space="1" w:color="auto"/>
          <w:right w:val="single" w:sz="4" w:space="4" w:color="auto"/>
        </w:pBdr>
        <w:rPr>
          <w:sz w:val="22"/>
          <w:szCs w:val="22"/>
        </w:rPr>
      </w:pPr>
      <w:r w:rsidRPr="00260B02">
        <w:rPr>
          <w:sz w:val="22"/>
          <w:szCs w:val="22"/>
        </w:rPr>
        <w:t>s103 Offences</w:t>
      </w:r>
      <w:r w:rsidR="0035519B" w:rsidRPr="00260B02">
        <w:rPr>
          <w:sz w:val="22"/>
          <w:szCs w:val="22"/>
        </w:rPr>
        <w:t xml:space="preserve"> </w:t>
      </w:r>
    </w:p>
    <w:p w:rsidR="0035519B" w:rsidRPr="00260B02" w:rsidRDefault="0035519B" w:rsidP="001A20F5">
      <w:pPr>
        <w:keepNext/>
        <w:keepLines/>
        <w:pBdr>
          <w:top w:val="single" w:sz="4" w:space="1" w:color="auto"/>
          <w:left w:val="single" w:sz="4" w:space="4" w:color="auto"/>
          <w:bottom w:val="single" w:sz="4" w:space="1" w:color="auto"/>
          <w:right w:val="single" w:sz="4" w:space="4" w:color="auto"/>
        </w:pBdr>
        <w:rPr>
          <w:sz w:val="22"/>
          <w:szCs w:val="22"/>
        </w:rPr>
      </w:pPr>
      <w:r w:rsidRPr="00260B02">
        <w:rPr>
          <w:sz w:val="22"/>
          <w:szCs w:val="22"/>
        </w:rPr>
        <w:t>…</w:t>
      </w:r>
      <w:r w:rsidRPr="00260B02">
        <w:rPr>
          <w:sz w:val="22"/>
          <w:szCs w:val="22"/>
        </w:rPr>
        <w:tab/>
      </w:r>
    </w:p>
    <w:p w:rsidR="0035519B" w:rsidRPr="00260B02" w:rsidRDefault="0035519B" w:rsidP="001A20F5">
      <w:pPr>
        <w:keepNext/>
        <w:keepLines/>
        <w:pBdr>
          <w:top w:val="single" w:sz="4" w:space="1" w:color="auto"/>
          <w:left w:val="single" w:sz="4" w:space="4" w:color="auto"/>
          <w:bottom w:val="single" w:sz="4" w:space="1" w:color="auto"/>
          <w:right w:val="single" w:sz="4" w:space="4" w:color="auto"/>
        </w:pBdr>
        <w:tabs>
          <w:tab w:val="left" w:pos="567"/>
          <w:tab w:val="left" w:pos="1134"/>
        </w:tabs>
        <w:ind w:left="1134" w:hanging="1134"/>
        <w:rPr>
          <w:sz w:val="22"/>
          <w:szCs w:val="22"/>
        </w:rPr>
      </w:pPr>
      <w:r w:rsidRPr="00260B02">
        <w:rPr>
          <w:sz w:val="22"/>
          <w:szCs w:val="22"/>
        </w:rPr>
        <w:tab/>
        <w:t>(2)</w:t>
      </w:r>
      <w:r w:rsidRPr="00260B02">
        <w:rPr>
          <w:sz w:val="22"/>
          <w:szCs w:val="22"/>
        </w:rPr>
        <w:tab/>
        <w:t>Except as prescribed, a pharmacist to whom a prescription is presented shall not:</w:t>
      </w:r>
    </w:p>
    <w:p w:rsidR="0035519B" w:rsidRPr="00260B02" w:rsidRDefault="0035519B" w:rsidP="001A20F5">
      <w:pPr>
        <w:keepNext/>
        <w:keepLines/>
        <w:pBdr>
          <w:top w:val="single" w:sz="4" w:space="1" w:color="auto"/>
          <w:left w:val="single" w:sz="4" w:space="4" w:color="auto"/>
          <w:bottom w:val="single" w:sz="4" w:space="1" w:color="auto"/>
          <w:right w:val="single" w:sz="4" w:space="4" w:color="auto"/>
        </w:pBdr>
        <w:tabs>
          <w:tab w:val="left" w:pos="567"/>
          <w:tab w:val="left" w:pos="1134"/>
        </w:tabs>
        <w:ind w:left="1134" w:hanging="1134"/>
        <w:rPr>
          <w:sz w:val="22"/>
          <w:szCs w:val="22"/>
        </w:rPr>
      </w:pPr>
      <w:r w:rsidRPr="00260B02">
        <w:rPr>
          <w:sz w:val="22"/>
          <w:szCs w:val="22"/>
        </w:rPr>
        <w:tab/>
        <w:t>(a)</w:t>
      </w:r>
      <w:r w:rsidRPr="00260B02">
        <w:rPr>
          <w:sz w:val="22"/>
          <w:szCs w:val="22"/>
        </w:rPr>
        <w:tab/>
        <w:t>supply, in purported pursuance of this Part, anything other than the pharmaceutical benefit that is directed to be supplied in the prescription; or</w:t>
      </w:r>
    </w:p>
    <w:p w:rsidR="0035519B" w:rsidRPr="00260B02" w:rsidRDefault="0035519B" w:rsidP="001A20F5">
      <w:pPr>
        <w:keepNext/>
        <w:keepLines/>
        <w:pBdr>
          <w:top w:val="single" w:sz="4" w:space="1" w:color="auto"/>
          <w:left w:val="single" w:sz="4" w:space="4" w:color="auto"/>
          <w:bottom w:val="single" w:sz="4" w:space="1" w:color="auto"/>
          <w:right w:val="single" w:sz="4" w:space="4" w:color="auto"/>
        </w:pBdr>
        <w:tabs>
          <w:tab w:val="left" w:pos="567"/>
          <w:tab w:val="left" w:pos="1134"/>
        </w:tabs>
        <w:ind w:left="1134" w:hanging="1134"/>
        <w:rPr>
          <w:sz w:val="22"/>
          <w:szCs w:val="22"/>
        </w:rPr>
      </w:pPr>
      <w:r w:rsidRPr="00260B02">
        <w:rPr>
          <w:sz w:val="22"/>
          <w:szCs w:val="22"/>
        </w:rPr>
        <w:tab/>
        <w:t>(b)</w:t>
      </w:r>
      <w:r w:rsidRPr="00260B02">
        <w:rPr>
          <w:sz w:val="22"/>
          <w:szCs w:val="22"/>
        </w:rPr>
        <w:tab/>
        <w:t>in exchange for the prescription make a payment in money or give any other consideration to the person presenting the prescription.</w:t>
      </w:r>
    </w:p>
    <w:p w:rsidR="0035519B" w:rsidRPr="00260B02" w:rsidRDefault="0035519B" w:rsidP="001A20F5">
      <w:pPr>
        <w:keepNext/>
        <w:keepLines/>
        <w:pBdr>
          <w:top w:val="single" w:sz="4" w:space="1" w:color="auto"/>
          <w:left w:val="single" w:sz="4" w:space="4" w:color="auto"/>
          <w:bottom w:val="single" w:sz="4" w:space="1" w:color="auto"/>
          <w:right w:val="single" w:sz="4" w:space="4" w:color="auto"/>
        </w:pBdr>
        <w:tabs>
          <w:tab w:val="left" w:pos="567"/>
          <w:tab w:val="left" w:pos="1134"/>
        </w:tabs>
        <w:ind w:left="1134" w:hanging="1134"/>
        <w:rPr>
          <w:sz w:val="22"/>
          <w:szCs w:val="22"/>
        </w:rPr>
      </w:pPr>
    </w:p>
    <w:p w:rsidR="0035519B" w:rsidRPr="00260B02" w:rsidRDefault="0035519B" w:rsidP="001A20F5">
      <w:pPr>
        <w:keepNext/>
        <w:keepLines/>
        <w:pBdr>
          <w:top w:val="single" w:sz="4" w:space="1" w:color="auto"/>
          <w:left w:val="single" w:sz="4" w:space="4" w:color="auto"/>
          <w:bottom w:val="single" w:sz="4" w:space="1" w:color="auto"/>
          <w:right w:val="single" w:sz="4" w:space="4" w:color="auto"/>
        </w:pBdr>
        <w:tabs>
          <w:tab w:val="left" w:pos="567"/>
          <w:tab w:val="left" w:pos="1134"/>
        </w:tabs>
        <w:ind w:left="1134" w:hanging="1134"/>
        <w:rPr>
          <w:sz w:val="22"/>
          <w:szCs w:val="22"/>
        </w:rPr>
      </w:pPr>
      <w:r w:rsidRPr="00260B02">
        <w:rPr>
          <w:sz w:val="22"/>
          <w:szCs w:val="22"/>
        </w:rPr>
        <w:t>Penalty:</w:t>
      </w:r>
      <w:r w:rsidRPr="00260B02">
        <w:rPr>
          <w:sz w:val="22"/>
          <w:szCs w:val="22"/>
        </w:rPr>
        <w:tab/>
        <w:t>$2,000 or imprisonment for 12 months, or both.</w:t>
      </w:r>
    </w:p>
    <w:p w:rsidR="0035519B" w:rsidRPr="00260B02" w:rsidRDefault="0035519B" w:rsidP="001A20F5">
      <w:pPr>
        <w:keepNext/>
        <w:keepLines/>
        <w:pBdr>
          <w:top w:val="single" w:sz="4" w:space="1" w:color="auto"/>
          <w:left w:val="single" w:sz="4" w:space="4" w:color="auto"/>
          <w:bottom w:val="single" w:sz="4" w:space="1" w:color="auto"/>
          <w:right w:val="single" w:sz="4" w:space="4" w:color="auto"/>
        </w:pBdr>
        <w:tabs>
          <w:tab w:val="left" w:pos="567"/>
          <w:tab w:val="left" w:pos="1134"/>
        </w:tabs>
        <w:ind w:left="1134" w:hanging="1134"/>
        <w:rPr>
          <w:sz w:val="22"/>
          <w:szCs w:val="22"/>
        </w:rPr>
      </w:pPr>
    </w:p>
    <w:p w:rsidR="0035519B" w:rsidRPr="00260B02" w:rsidRDefault="0035519B" w:rsidP="001A20F5">
      <w:pPr>
        <w:keepNext/>
        <w:keepLines/>
        <w:pBdr>
          <w:top w:val="single" w:sz="4" w:space="1" w:color="auto"/>
          <w:left w:val="single" w:sz="4" w:space="4" w:color="auto"/>
          <w:bottom w:val="single" w:sz="4" w:space="1" w:color="auto"/>
          <w:right w:val="single" w:sz="4" w:space="4" w:color="auto"/>
        </w:pBdr>
        <w:tabs>
          <w:tab w:val="left" w:pos="567"/>
          <w:tab w:val="left" w:pos="1134"/>
        </w:tabs>
        <w:ind w:left="1134" w:hanging="1134"/>
        <w:rPr>
          <w:sz w:val="22"/>
          <w:szCs w:val="22"/>
        </w:rPr>
      </w:pPr>
      <w:r w:rsidRPr="00260B02">
        <w:rPr>
          <w:sz w:val="22"/>
          <w:szCs w:val="22"/>
        </w:rPr>
        <w:tab/>
        <w:t>(2A)</w:t>
      </w:r>
      <w:r w:rsidRPr="00260B02">
        <w:rPr>
          <w:sz w:val="22"/>
          <w:szCs w:val="22"/>
        </w:rPr>
        <w:tab/>
        <w:t>Paragraph (2)(a) does not prohibit a pharmacist from supplying, instead of the pharmaceutical benefit that is directed to be supplied in a prescription (the specified benefit), another pharmaceutical benefit (the substitute benefit) if:</w:t>
      </w:r>
    </w:p>
    <w:p w:rsidR="0035519B" w:rsidRPr="00260B02" w:rsidRDefault="0035519B" w:rsidP="001A20F5">
      <w:pPr>
        <w:keepNext/>
        <w:keepLines/>
        <w:pBdr>
          <w:top w:val="single" w:sz="4" w:space="1" w:color="auto"/>
          <w:left w:val="single" w:sz="4" w:space="4" w:color="auto"/>
          <w:bottom w:val="single" w:sz="4" w:space="1" w:color="auto"/>
          <w:right w:val="single" w:sz="4" w:space="4" w:color="auto"/>
        </w:pBdr>
        <w:tabs>
          <w:tab w:val="left" w:pos="567"/>
          <w:tab w:val="left" w:pos="1134"/>
        </w:tabs>
        <w:ind w:left="1134" w:hanging="1134"/>
        <w:rPr>
          <w:sz w:val="22"/>
          <w:szCs w:val="22"/>
        </w:rPr>
      </w:pPr>
      <w:r w:rsidRPr="00260B02">
        <w:rPr>
          <w:sz w:val="22"/>
          <w:szCs w:val="22"/>
        </w:rPr>
        <w:tab/>
        <w:t>(a)</w:t>
      </w:r>
      <w:r w:rsidRPr="00260B02">
        <w:rPr>
          <w:sz w:val="22"/>
          <w:szCs w:val="22"/>
        </w:rPr>
        <w:tab/>
        <w:t>the person who prescribed the specified benefit did not indicate on the prescription that only that benefit was to be supplied; and</w:t>
      </w:r>
    </w:p>
    <w:p w:rsidR="0035519B" w:rsidRPr="00260B02" w:rsidRDefault="0035519B" w:rsidP="001A20F5">
      <w:pPr>
        <w:keepNext/>
        <w:keepLines/>
        <w:pBdr>
          <w:top w:val="single" w:sz="4" w:space="1" w:color="auto"/>
          <w:left w:val="single" w:sz="4" w:space="4" w:color="auto"/>
          <w:bottom w:val="single" w:sz="4" w:space="1" w:color="auto"/>
          <w:right w:val="single" w:sz="4" w:space="4" w:color="auto"/>
        </w:pBdr>
        <w:tabs>
          <w:tab w:val="left" w:pos="567"/>
          <w:tab w:val="left" w:pos="1134"/>
        </w:tabs>
        <w:ind w:left="1134" w:hanging="1134"/>
        <w:rPr>
          <w:sz w:val="22"/>
          <w:szCs w:val="22"/>
        </w:rPr>
      </w:pPr>
      <w:r w:rsidRPr="00260B02">
        <w:rPr>
          <w:sz w:val="22"/>
          <w:szCs w:val="22"/>
        </w:rPr>
        <w:tab/>
        <w:t>(b)</w:t>
      </w:r>
      <w:r w:rsidRPr="00260B02">
        <w:rPr>
          <w:sz w:val="22"/>
          <w:szCs w:val="22"/>
        </w:rPr>
        <w:tab/>
        <w:t>the Schedule of Pharmaceutical Benefits issued by the Department states that the specified benefit and the substitute benefit are equivalent; and</w:t>
      </w:r>
    </w:p>
    <w:p w:rsidR="0035519B" w:rsidRPr="00260B02" w:rsidRDefault="0035519B" w:rsidP="001A20F5">
      <w:pPr>
        <w:keepNext/>
        <w:keepLines/>
        <w:pBdr>
          <w:top w:val="single" w:sz="4" w:space="1" w:color="auto"/>
          <w:left w:val="single" w:sz="4" w:space="4" w:color="auto"/>
          <w:bottom w:val="single" w:sz="4" w:space="1" w:color="auto"/>
          <w:right w:val="single" w:sz="4" w:space="4" w:color="auto"/>
        </w:pBdr>
        <w:tabs>
          <w:tab w:val="left" w:pos="567"/>
          <w:tab w:val="left" w:pos="1134"/>
        </w:tabs>
        <w:ind w:left="1134" w:hanging="1134"/>
        <w:rPr>
          <w:sz w:val="22"/>
          <w:szCs w:val="22"/>
        </w:rPr>
      </w:pPr>
      <w:r w:rsidRPr="00260B02">
        <w:rPr>
          <w:sz w:val="22"/>
          <w:szCs w:val="22"/>
        </w:rPr>
        <w:tab/>
        <w:t>(c)</w:t>
      </w:r>
      <w:r w:rsidRPr="00260B02">
        <w:rPr>
          <w:sz w:val="22"/>
          <w:szCs w:val="22"/>
        </w:rPr>
        <w:tab/>
        <w:t>the substitute benefit is a listed brand of a pharmaceutical item; and</w:t>
      </w:r>
    </w:p>
    <w:p w:rsidR="0035519B" w:rsidRPr="00260B02" w:rsidRDefault="0035519B" w:rsidP="001A20F5">
      <w:pPr>
        <w:keepNext/>
        <w:keepLines/>
        <w:pBdr>
          <w:top w:val="single" w:sz="4" w:space="1" w:color="auto"/>
          <w:left w:val="single" w:sz="4" w:space="4" w:color="auto"/>
          <w:bottom w:val="single" w:sz="4" w:space="1" w:color="auto"/>
          <w:right w:val="single" w:sz="4" w:space="4" w:color="auto"/>
        </w:pBdr>
        <w:tabs>
          <w:tab w:val="left" w:pos="567"/>
          <w:tab w:val="left" w:pos="1134"/>
        </w:tabs>
        <w:ind w:left="1134" w:hanging="1134"/>
        <w:rPr>
          <w:sz w:val="22"/>
          <w:szCs w:val="22"/>
        </w:rPr>
      </w:pPr>
      <w:r w:rsidRPr="00260B02">
        <w:rPr>
          <w:sz w:val="22"/>
          <w:szCs w:val="22"/>
        </w:rPr>
        <w:tab/>
        <w:t>(d)</w:t>
      </w:r>
      <w:r w:rsidRPr="00260B02">
        <w:rPr>
          <w:sz w:val="22"/>
          <w:szCs w:val="22"/>
        </w:rPr>
        <w:tab/>
        <w:t>the supply of the substitute benefit is not prohibited by a law of the State or Territory in which the substitute benefit is supplied.</w:t>
      </w:r>
    </w:p>
    <w:p w:rsidR="001A20F5" w:rsidRPr="00260B02" w:rsidRDefault="001A20F5" w:rsidP="001A20F5">
      <w:pPr>
        <w:jc w:val="both"/>
        <w:rPr>
          <w:rFonts w:ascii="Arial" w:hAnsi="Arial" w:cs="Arial"/>
          <w:sz w:val="22"/>
          <w:szCs w:val="22"/>
        </w:rPr>
      </w:pPr>
    </w:p>
    <w:p w:rsidR="0035519B" w:rsidRPr="00260B02" w:rsidRDefault="0035519B" w:rsidP="00987EAD">
      <w:pPr>
        <w:pStyle w:val="ListParagraph"/>
        <w:numPr>
          <w:ilvl w:val="1"/>
          <w:numId w:val="25"/>
        </w:numPr>
        <w:jc w:val="both"/>
        <w:rPr>
          <w:rFonts w:ascii="Arial" w:hAnsi="Arial" w:cs="Arial"/>
          <w:sz w:val="22"/>
          <w:szCs w:val="22"/>
        </w:rPr>
      </w:pPr>
      <w:r w:rsidRPr="00260B02">
        <w:rPr>
          <w:rFonts w:ascii="Arial" w:hAnsi="Arial" w:cs="Arial"/>
          <w:sz w:val="22"/>
          <w:szCs w:val="22"/>
        </w:rPr>
        <w:t xml:space="preserve">The Schedule of Pharmaceutical Benefits (Schedule) uses </w:t>
      </w:r>
      <w:r w:rsidR="001C41F4" w:rsidRPr="00260B02">
        <w:rPr>
          <w:rFonts w:ascii="Arial" w:hAnsi="Arial" w:cs="Arial"/>
          <w:sz w:val="22"/>
          <w:szCs w:val="22"/>
        </w:rPr>
        <w:t>“</w:t>
      </w:r>
      <w:r w:rsidRPr="00260B02">
        <w:rPr>
          <w:rFonts w:ascii="Arial" w:hAnsi="Arial" w:cs="Arial"/>
          <w:sz w:val="22"/>
          <w:szCs w:val="22"/>
        </w:rPr>
        <w:t>a</w:t>
      </w:r>
      <w:r w:rsidR="001C41F4" w:rsidRPr="00260B02">
        <w:rPr>
          <w:rFonts w:ascii="Arial" w:hAnsi="Arial" w:cs="Arial"/>
          <w:sz w:val="22"/>
          <w:szCs w:val="22"/>
        </w:rPr>
        <w:t>”</w:t>
      </w:r>
      <w:r w:rsidRPr="00260B02">
        <w:rPr>
          <w:rFonts w:ascii="Arial" w:hAnsi="Arial" w:cs="Arial"/>
          <w:sz w:val="22"/>
          <w:szCs w:val="22"/>
        </w:rPr>
        <w:t xml:space="preserve"> flags to indicate that different pharmaceutical benefits are equivalent for the purposes of substitution by the pharmacist at the time of dispensing. An “a” flag can apply to different brands of the same pharmaceutical item or to different forms of different pharmaceutical items.  Where substitution between different forms of pharmaceutical items is permitted, a note stating the specified forms are equivalent for the purposes of substitution is included.</w:t>
      </w:r>
    </w:p>
    <w:p w:rsidR="0035519B" w:rsidRPr="00260B02" w:rsidRDefault="0035519B" w:rsidP="0035519B">
      <w:pPr>
        <w:ind w:left="709"/>
        <w:rPr>
          <w:rFonts w:ascii="Arial" w:hAnsi="Arial" w:cs="Arial"/>
          <w:sz w:val="22"/>
          <w:szCs w:val="22"/>
        </w:rPr>
      </w:pPr>
    </w:p>
    <w:p w:rsidR="0035519B" w:rsidRPr="00260B02" w:rsidRDefault="0035519B" w:rsidP="001A20F5">
      <w:pPr>
        <w:pStyle w:val="ListParagraph"/>
        <w:keepNext/>
        <w:keepLines/>
        <w:numPr>
          <w:ilvl w:val="1"/>
          <w:numId w:val="25"/>
        </w:numPr>
        <w:jc w:val="both"/>
        <w:rPr>
          <w:rFonts w:ascii="Arial" w:hAnsi="Arial" w:cs="Arial"/>
          <w:sz w:val="22"/>
          <w:szCs w:val="22"/>
        </w:rPr>
      </w:pPr>
      <w:r w:rsidRPr="00260B02">
        <w:rPr>
          <w:rFonts w:ascii="Arial" w:hAnsi="Arial" w:cs="Arial"/>
          <w:sz w:val="22"/>
          <w:szCs w:val="22"/>
        </w:rPr>
        <w:lastRenderedPageBreak/>
        <w:t xml:space="preserve">The explanatory notes to the Schedule provide the following definition of brand equivalence: </w:t>
      </w:r>
    </w:p>
    <w:p w:rsidR="0035519B" w:rsidRPr="00260B02" w:rsidRDefault="0035519B" w:rsidP="001A20F5">
      <w:pPr>
        <w:keepNext/>
        <w:keepLines/>
      </w:pPr>
    </w:p>
    <w:p w:rsidR="0035519B" w:rsidRPr="00260B02" w:rsidRDefault="0035519B" w:rsidP="001A20F5">
      <w:pPr>
        <w:keepNext/>
        <w:keepLines/>
        <w:pBdr>
          <w:top w:val="single" w:sz="4" w:space="1" w:color="auto"/>
          <w:left w:val="single" w:sz="4" w:space="4" w:color="auto"/>
          <w:bottom w:val="single" w:sz="4" w:space="1" w:color="auto"/>
          <w:right w:val="single" w:sz="4" w:space="4" w:color="auto"/>
        </w:pBdr>
        <w:spacing w:after="120"/>
        <w:outlineLvl w:val="2"/>
        <w:rPr>
          <w:b/>
          <w:sz w:val="22"/>
          <w:szCs w:val="22"/>
        </w:rPr>
      </w:pPr>
      <w:r w:rsidRPr="00260B02">
        <w:rPr>
          <w:b/>
          <w:sz w:val="22"/>
          <w:szCs w:val="22"/>
        </w:rPr>
        <w:t>Extract from the Explanatory Notes to the PBS Schedule</w:t>
      </w:r>
    </w:p>
    <w:p w:rsidR="0035519B" w:rsidRPr="00260B02" w:rsidRDefault="0035519B" w:rsidP="001A20F5">
      <w:pPr>
        <w:keepNext/>
        <w:keepLines/>
        <w:pBdr>
          <w:top w:val="single" w:sz="4" w:space="1" w:color="auto"/>
          <w:left w:val="single" w:sz="4" w:space="4" w:color="auto"/>
          <w:bottom w:val="single" w:sz="4" w:space="1" w:color="auto"/>
          <w:right w:val="single" w:sz="4" w:space="4" w:color="auto"/>
        </w:pBdr>
        <w:spacing w:after="120"/>
        <w:outlineLvl w:val="2"/>
        <w:rPr>
          <w:sz w:val="22"/>
          <w:szCs w:val="22"/>
        </w:rPr>
      </w:pPr>
      <w:r w:rsidRPr="00260B02">
        <w:rPr>
          <w:sz w:val="22"/>
          <w:szCs w:val="22"/>
        </w:rPr>
        <w:t>BRAND EQUIVALENCE</w:t>
      </w:r>
    </w:p>
    <w:p w:rsidR="0035519B" w:rsidRPr="00260B02" w:rsidRDefault="0035519B" w:rsidP="001A20F5">
      <w:pPr>
        <w:keepNext/>
        <w:keepLines/>
        <w:pBdr>
          <w:top w:val="single" w:sz="4" w:space="1" w:color="auto"/>
          <w:left w:val="single" w:sz="4" w:space="4" w:color="auto"/>
          <w:bottom w:val="single" w:sz="4" w:space="1" w:color="auto"/>
          <w:right w:val="single" w:sz="4" w:space="4" w:color="auto"/>
        </w:pBdr>
        <w:spacing w:before="240" w:after="240" w:line="300" w:lineRule="atLeast"/>
        <w:rPr>
          <w:sz w:val="22"/>
          <w:szCs w:val="22"/>
        </w:rPr>
      </w:pPr>
      <w:r w:rsidRPr="00260B02">
        <w:rPr>
          <w:sz w:val="22"/>
          <w:szCs w:val="22"/>
        </w:rPr>
        <w:t xml:space="preserve">'a' located immediately before brand names of a particular strength of an item indicates that the sponsors of these brands have submitted evidence that they have been demonstrated to be bioequivalent or therapeutically equivalent, or that justification for not needing bioequivalence or therapeutic equivalence data has been provided to and accepted by the Therapeutic Goods Administration. It would thus be expected that these brands may be interchanged without differences in clinical effect. </w:t>
      </w:r>
    </w:p>
    <w:p w:rsidR="0035519B" w:rsidRPr="00260B02" w:rsidRDefault="0035519B" w:rsidP="001A20F5">
      <w:pPr>
        <w:keepNext/>
        <w:keepLines/>
        <w:pBdr>
          <w:top w:val="single" w:sz="4" w:space="1" w:color="auto"/>
          <w:left w:val="single" w:sz="4" w:space="4" w:color="auto"/>
          <w:bottom w:val="single" w:sz="4" w:space="1" w:color="auto"/>
          <w:right w:val="single" w:sz="4" w:space="4" w:color="auto"/>
        </w:pBdr>
        <w:spacing w:before="240" w:after="240" w:line="300" w:lineRule="atLeast"/>
        <w:rPr>
          <w:sz w:val="22"/>
          <w:szCs w:val="22"/>
        </w:rPr>
      </w:pPr>
      <w:r w:rsidRPr="00260B02">
        <w:rPr>
          <w:sz w:val="22"/>
          <w:szCs w:val="22"/>
        </w:rPr>
        <w:t xml:space="preserve">For other brands of an item, i.e., those not indicated as above, it is unknown whether or not they are equivalent. There may be several reasons for this, such as bioequivalence data not being considered necessary when the products were approved for marketing, or that advice or data have not been forthcoming from sponsors. This does not necessarily suggest a lack of safety or efficacy, but in these circumstances caution should be taken if brands are interchanged. </w:t>
      </w:r>
    </w:p>
    <w:p w:rsidR="0035519B" w:rsidRPr="00260B02" w:rsidRDefault="0035519B" w:rsidP="001A20F5">
      <w:pPr>
        <w:keepNext/>
        <w:keepLines/>
        <w:pBdr>
          <w:top w:val="single" w:sz="4" w:space="1" w:color="auto"/>
          <w:left w:val="single" w:sz="4" w:space="4" w:color="auto"/>
          <w:bottom w:val="single" w:sz="4" w:space="1" w:color="auto"/>
          <w:right w:val="single" w:sz="4" w:space="4" w:color="auto"/>
        </w:pBdr>
        <w:spacing w:before="240" w:after="200" w:line="300" w:lineRule="atLeast"/>
        <w:rPr>
          <w:sz w:val="22"/>
          <w:szCs w:val="22"/>
        </w:rPr>
      </w:pPr>
      <w:r w:rsidRPr="00260B02">
        <w:rPr>
          <w:sz w:val="22"/>
          <w:szCs w:val="22"/>
        </w:rPr>
        <w:t xml:space="preserve">'b' attached to brand names indicates that these brands are also equivalent, but that it is not known if there is equivalence between brands marked 'a' and brands marked 'b'. </w:t>
      </w:r>
    </w:p>
    <w:p w:rsidR="002A6BED" w:rsidRPr="00260B02" w:rsidRDefault="002A6BED" w:rsidP="0035519B">
      <w:pPr>
        <w:jc w:val="both"/>
        <w:rPr>
          <w:rFonts w:ascii="Arial" w:hAnsi="Arial"/>
          <w:sz w:val="22"/>
          <w:szCs w:val="22"/>
        </w:rPr>
      </w:pPr>
    </w:p>
    <w:p w:rsidR="0035519B" w:rsidRPr="00260B02" w:rsidRDefault="0035519B" w:rsidP="001C41F4">
      <w:pPr>
        <w:jc w:val="both"/>
        <w:rPr>
          <w:rFonts w:ascii="Arial" w:hAnsi="Arial"/>
          <w:b/>
          <w:sz w:val="22"/>
          <w:szCs w:val="22"/>
          <w:u w:val="single"/>
        </w:rPr>
      </w:pPr>
      <w:r w:rsidRPr="00260B02">
        <w:rPr>
          <w:rFonts w:ascii="Arial" w:hAnsi="Arial"/>
          <w:sz w:val="22"/>
          <w:szCs w:val="22"/>
          <w:u w:val="single"/>
        </w:rPr>
        <w:t>Substitution of biosimilars in overseas jurisdictions</w:t>
      </w:r>
    </w:p>
    <w:p w:rsidR="002A6BED" w:rsidRPr="00260B02" w:rsidRDefault="002A6BED" w:rsidP="007B6795">
      <w:pPr>
        <w:ind w:left="720" w:hanging="720"/>
        <w:rPr>
          <w:rFonts w:ascii="Arial" w:eastAsiaTheme="minorHAnsi" w:hAnsi="Arial" w:cs="Arial"/>
          <w:sz w:val="22"/>
          <w:szCs w:val="22"/>
          <w:lang w:eastAsia="en-US"/>
        </w:rPr>
      </w:pPr>
    </w:p>
    <w:p w:rsidR="0035519B" w:rsidRPr="00260B02" w:rsidRDefault="0035519B" w:rsidP="007B6795">
      <w:pPr>
        <w:pStyle w:val="ListParagraph"/>
        <w:numPr>
          <w:ilvl w:val="1"/>
          <w:numId w:val="25"/>
        </w:numPr>
        <w:jc w:val="both"/>
        <w:rPr>
          <w:rFonts w:ascii="Arial" w:hAnsi="Arial"/>
          <w:sz w:val="22"/>
          <w:szCs w:val="22"/>
        </w:rPr>
      </w:pPr>
      <w:r w:rsidRPr="00260B02">
        <w:rPr>
          <w:rFonts w:ascii="Arial" w:hAnsi="Arial"/>
          <w:sz w:val="22"/>
          <w:szCs w:val="22"/>
        </w:rPr>
        <w:t xml:space="preserve">The approach taken by various overseas jurisdictions to the substitution of biosimilar brands of the same drug </w:t>
      </w:r>
      <w:r w:rsidR="002A6BED" w:rsidRPr="00260B02">
        <w:rPr>
          <w:rFonts w:ascii="Arial" w:hAnsi="Arial"/>
          <w:sz w:val="22"/>
          <w:szCs w:val="22"/>
        </w:rPr>
        <w:t xml:space="preserve">at the pharmacist level </w:t>
      </w:r>
      <w:r w:rsidRPr="00260B02">
        <w:rPr>
          <w:rFonts w:ascii="Arial" w:hAnsi="Arial"/>
          <w:sz w:val="22"/>
          <w:szCs w:val="22"/>
        </w:rPr>
        <w:t xml:space="preserve">was examined by Tóthfalusi [2014]. </w:t>
      </w:r>
      <w:r w:rsidR="000600E1" w:rsidRPr="00260B02">
        <w:rPr>
          <w:rFonts w:ascii="Arial" w:hAnsi="Arial"/>
          <w:sz w:val="22"/>
          <w:szCs w:val="22"/>
        </w:rPr>
        <w:t xml:space="preserve"> </w:t>
      </w:r>
      <w:r w:rsidRPr="00260B02">
        <w:rPr>
          <w:rFonts w:ascii="Arial" w:hAnsi="Arial"/>
          <w:sz w:val="22"/>
          <w:szCs w:val="22"/>
        </w:rPr>
        <w:t>In summary, Tóthfalusi found:</w:t>
      </w:r>
    </w:p>
    <w:p w:rsidR="0035519B" w:rsidRPr="00260B02" w:rsidRDefault="0035519B" w:rsidP="007B6795">
      <w:pPr>
        <w:numPr>
          <w:ilvl w:val="0"/>
          <w:numId w:val="53"/>
        </w:numPr>
        <w:contextualSpacing/>
        <w:rPr>
          <w:rFonts w:ascii="Arial" w:hAnsi="Arial"/>
          <w:sz w:val="22"/>
          <w:szCs w:val="22"/>
        </w:rPr>
      </w:pPr>
      <w:r w:rsidRPr="00260B02">
        <w:rPr>
          <w:rFonts w:ascii="Arial" w:hAnsi="Arial"/>
          <w:sz w:val="22"/>
          <w:szCs w:val="22"/>
        </w:rPr>
        <w:t xml:space="preserve">In the EU, the procedures of approving a biosimilar and making a statement about its interchangeability are clearly separated. The first is a centralized procedure, i.e. the decision is made at the Community level.  In contrast, the issue of substitutability is delegated to the national level. In the 28 member states, different usage patterns have emerged such as substitution in special cases, switching, or restricting the use of biosimilars only to previously untreated patients. The scientific background behind these policies is unclear but setting clear criteria for interchangeability and prescribability are not planned in any of the member states or at the EU level. </w:t>
      </w:r>
    </w:p>
    <w:p w:rsidR="0035519B" w:rsidRPr="00260B02" w:rsidRDefault="0035519B" w:rsidP="007B6795">
      <w:pPr>
        <w:numPr>
          <w:ilvl w:val="0"/>
          <w:numId w:val="53"/>
        </w:numPr>
        <w:contextualSpacing/>
        <w:rPr>
          <w:rFonts w:ascii="Arial" w:hAnsi="Arial"/>
          <w:sz w:val="22"/>
          <w:szCs w:val="22"/>
        </w:rPr>
      </w:pPr>
      <w:r w:rsidRPr="00260B02">
        <w:rPr>
          <w:rFonts w:ascii="Arial" w:hAnsi="Arial"/>
          <w:sz w:val="22"/>
          <w:szCs w:val="22"/>
        </w:rPr>
        <w:t xml:space="preserve">The position of Health Canada on the substitution of biological products (biosimilars are called “subsequent-entry” products in Canada) is: “Health Canada does not support the automatic substitution of a subsequent-entry biologic for its reference biologic drug. Health Canada therefore recommends that physicians make only well-informed decisions regarding therapeutic interchange”. Funds for the reimbursement of pharmaceutical expenses are dispensed by the provinces. </w:t>
      </w:r>
    </w:p>
    <w:p w:rsidR="007C75B7" w:rsidRPr="00260B02" w:rsidRDefault="007C75B7" w:rsidP="007B6795">
      <w:pPr>
        <w:ind w:left="720" w:hanging="720"/>
        <w:rPr>
          <w:rFonts w:ascii="Arial" w:hAnsi="Arial"/>
          <w:sz w:val="22"/>
          <w:szCs w:val="22"/>
        </w:rPr>
      </w:pPr>
    </w:p>
    <w:p w:rsidR="003A4F15" w:rsidRPr="00260B02" w:rsidRDefault="0035519B" w:rsidP="003A4F15">
      <w:pPr>
        <w:pStyle w:val="ListParagraph"/>
        <w:numPr>
          <w:ilvl w:val="1"/>
          <w:numId w:val="25"/>
        </w:numPr>
        <w:jc w:val="both"/>
        <w:rPr>
          <w:rFonts w:ascii="Arial" w:hAnsi="Arial"/>
          <w:sz w:val="22"/>
          <w:szCs w:val="22"/>
        </w:rPr>
      </w:pPr>
      <w:r w:rsidRPr="00260B02">
        <w:rPr>
          <w:rFonts w:ascii="Arial" w:hAnsi="Arial"/>
          <w:sz w:val="22"/>
          <w:szCs w:val="22"/>
        </w:rPr>
        <w:t>More recent information prov</w:t>
      </w:r>
      <w:r w:rsidR="004954DD" w:rsidRPr="00260B02">
        <w:rPr>
          <w:rFonts w:ascii="Arial" w:hAnsi="Arial"/>
          <w:sz w:val="22"/>
          <w:szCs w:val="22"/>
        </w:rPr>
        <w:t>ided to the Department indicated</w:t>
      </w:r>
      <w:r w:rsidRPr="00260B02">
        <w:rPr>
          <w:rFonts w:ascii="Arial" w:hAnsi="Arial"/>
          <w:sz w:val="22"/>
          <w:szCs w:val="22"/>
        </w:rPr>
        <w:t xml:space="preserve"> that </w:t>
      </w:r>
      <w:r w:rsidR="00F3058C" w:rsidRPr="00260B02">
        <w:rPr>
          <w:rFonts w:ascii="Arial" w:hAnsi="Arial"/>
          <w:sz w:val="22"/>
          <w:szCs w:val="22"/>
        </w:rPr>
        <w:t xml:space="preserve">some </w:t>
      </w:r>
      <w:r w:rsidRPr="00260B02">
        <w:rPr>
          <w:rFonts w:ascii="Arial" w:hAnsi="Arial"/>
          <w:sz w:val="22"/>
          <w:szCs w:val="22"/>
        </w:rPr>
        <w:t>Canad</w:t>
      </w:r>
      <w:r w:rsidR="00F3058C" w:rsidRPr="00260B02">
        <w:rPr>
          <w:rFonts w:ascii="Arial" w:hAnsi="Arial"/>
          <w:sz w:val="22"/>
          <w:szCs w:val="22"/>
        </w:rPr>
        <w:t>i</w:t>
      </w:r>
      <w:r w:rsidRPr="00260B02">
        <w:rPr>
          <w:rFonts w:ascii="Arial" w:hAnsi="Arial"/>
          <w:sz w:val="22"/>
          <w:szCs w:val="22"/>
        </w:rPr>
        <w:t>a</w:t>
      </w:r>
      <w:r w:rsidR="00F3058C" w:rsidRPr="00260B02">
        <w:rPr>
          <w:rFonts w:ascii="Arial" w:hAnsi="Arial"/>
          <w:sz w:val="22"/>
          <w:szCs w:val="22"/>
        </w:rPr>
        <w:t xml:space="preserve">n provinces are </w:t>
      </w:r>
      <w:r w:rsidRPr="00260B02">
        <w:rPr>
          <w:rFonts w:ascii="Arial" w:hAnsi="Arial"/>
          <w:sz w:val="22"/>
          <w:szCs w:val="22"/>
        </w:rPr>
        <w:t xml:space="preserve">allowing substitution </w:t>
      </w:r>
      <w:r w:rsidR="00882075" w:rsidRPr="00260B02">
        <w:rPr>
          <w:rFonts w:ascii="Arial" w:hAnsi="Arial"/>
          <w:sz w:val="22"/>
          <w:szCs w:val="22"/>
        </w:rPr>
        <w:t xml:space="preserve">of biosimilars </w:t>
      </w:r>
      <w:r w:rsidRPr="00260B02">
        <w:rPr>
          <w:rFonts w:ascii="Arial" w:hAnsi="Arial"/>
          <w:sz w:val="22"/>
          <w:szCs w:val="22"/>
        </w:rPr>
        <w:t xml:space="preserve">for </w:t>
      </w:r>
      <w:r w:rsidR="002B5CF0" w:rsidRPr="00260B02">
        <w:rPr>
          <w:rFonts w:ascii="Arial" w:hAnsi="Arial"/>
          <w:sz w:val="22"/>
          <w:szCs w:val="22"/>
        </w:rPr>
        <w:t>treatment -</w:t>
      </w:r>
      <w:r w:rsidR="009A36C3" w:rsidRPr="00260B02">
        <w:rPr>
          <w:rFonts w:ascii="Arial" w:hAnsi="Arial"/>
          <w:sz w:val="22"/>
          <w:szCs w:val="22"/>
        </w:rPr>
        <w:t xml:space="preserve"> </w:t>
      </w:r>
      <w:r w:rsidRPr="00260B02">
        <w:rPr>
          <w:rFonts w:ascii="Arial" w:hAnsi="Arial"/>
          <w:sz w:val="22"/>
          <w:szCs w:val="22"/>
        </w:rPr>
        <w:t>naïve patients only.</w:t>
      </w:r>
    </w:p>
    <w:p w:rsidR="002D3588" w:rsidRPr="00260B02" w:rsidRDefault="002D3588" w:rsidP="002D3588">
      <w:pPr>
        <w:pStyle w:val="ListParagraph"/>
        <w:jc w:val="both"/>
        <w:rPr>
          <w:rFonts w:ascii="Arial" w:hAnsi="Arial"/>
          <w:sz w:val="22"/>
          <w:szCs w:val="22"/>
        </w:rPr>
      </w:pPr>
    </w:p>
    <w:p w:rsidR="00163663" w:rsidRPr="00260B02" w:rsidRDefault="00163663" w:rsidP="00D8075B">
      <w:pPr>
        <w:pStyle w:val="ListParagraph"/>
        <w:numPr>
          <w:ilvl w:val="1"/>
          <w:numId w:val="25"/>
        </w:numPr>
        <w:jc w:val="both"/>
        <w:rPr>
          <w:rFonts w:ascii="Arial" w:hAnsi="Arial"/>
          <w:sz w:val="22"/>
          <w:szCs w:val="22"/>
        </w:rPr>
      </w:pPr>
      <w:r w:rsidRPr="00260B02">
        <w:rPr>
          <w:rFonts w:ascii="Arial" w:hAnsi="Arial"/>
          <w:sz w:val="22"/>
          <w:szCs w:val="22"/>
        </w:rPr>
        <w:lastRenderedPageBreak/>
        <w:t>Barlas</w:t>
      </w:r>
      <w:r w:rsidR="004C47CB" w:rsidRPr="00260B02">
        <w:rPr>
          <w:rFonts w:ascii="Arial" w:hAnsi="Arial"/>
          <w:sz w:val="22"/>
          <w:szCs w:val="22"/>
        </w:rPr>
        <w:t xml:space="preserve"> 2014</w:t>
      </w:r>
      <w:r w:rsidR="004C47CB" w:rsidRPr="00260B02">
        <w:rPr>
          <w:rStyle w:val="FootnoteReference"/>
          <w:rFonts w:ascii="Arial" w:hAnsi="Arial"/>
          <w:sz w:val="22"/>
          <w:szCs w:val="22"/>
        </w:rPr>
        <w:footnoteReference w:id="1"/>
      </w:r>
      <w:r w:rsidRPr="00260B02">
        <w:rPr>
          <w:rFonts w:ascii="Arial" w:hAnsi="Arial"/>
          <w:sz w:val="22"/>
          <w:szCs w:val="22"/>
        </w:rPr>
        <w:t xml:space="preserve"> reported that, in the US, the BCPI Act of 2009 ‘allows the FDA to declare a biosimilar interchangeable – and thereby substitutable without a physician’s consent - if two conditions are met. The biosimilar must be expected to produce the same clinical result in any given patient, and the risk in terms of safety or diminished efficacy cannot be greater for a switch from a patented to a biosimilar product than continued use of the innovator drug, when the drug is used more than once by the same patient.’ Barlas also outlines that </w:t>
      </w:r>
      <w:r w:rsidR="00D8075B" w:rsidRPr="00260B02">
        <w:rPr>
          <w:rFonts w:ascii="Arial" w:hAnsi="Arial"/>
          <w:sz w:val="22"/>
          <w:szCs w:val="22"/>
        </w:rPr>
        <w:t xml:space="preserve">it is up to individual states, under pharmacy practice statutes, </w:t>
      </w:r>
      <w:r w:rsidRPr="00260B02">
        <w:rPr>
          <w:rFonts w:ascii="Arial" w:hAnsi="Arial"/>
          <w:sz w:val="22"/>
          <w:szCs w:val="22"/>
        </w:rPr>
        <w:t xml:space="preserve">whether pharmacists have to notify physicians when pharmacists substitute an interchangeable biosimilar for the innovator biologic. </w:t>
      </w:r>
    </w:p>
    <w:p w:rsidR="00B5588B" w:rsidRPr="00260B02" w:rsidRDefault="00B5588B" w:rsidP="00C3346E">
      <w:pPr>
        <w:pStyle w:val="ListParagraph"/>
        <w:rPr>
          <w:rFonts w:ascii="Arial" w:hAnsi="Arial"/>
          <w:sz w:val="22"/>
          <w:szCs w:val="22"/>
        </w:rPr>
      </w:pPr>
    </w:p>
    <w:p w:rsidR="003A4F15" w:rsidRPr="007C50FC" w:rsidRDefault="007C50FC" w:rsidP="00C3346E">
      <w:pPr>
        <w:pStyle w:val="ListParagraph"/>
        <w:numPr>
          <w:ilvl w:val="1"/>
          <w:numId w:val="25"/>
        </w:numPr>
        <w:jc w:val="both"/>
        <w:rPr>
          <w:rFonts w:ascii="Arial" w:hAnsi="Arial"/>
          <w:sz w:val="22"/>
          <w:szCs w:val="22"/>
        </w:rPr>
      </w:pPr>
      <w:r>
        <w:rPr>
          <w:rFonts w:ascii="Arial" w:hAnsi="Arial"/>
          <w:noProof/>
          <w:color w:val="000000"/>
          <w:sz w:val="22"/>
          <w:szCs w:val="22"/>
          <w:highlight w:val="black"/>
        </w:rPr>
        <w:t>''''' ''''''''''''''''''''' '''' '''' '''''''''''''''''' ''''' '''''''''''''''' ''''''''''''''''''''''''''''' '''''' ''''''' '''''''''''''''''''''''''''''''''' ''''''''''' ''''''''' '''''''''''''' ''''' ''''''''''''''''''''' '''''''''' ''''''''''''''' '''''''''''''''''''''''''''''''''''' ''''''' ''''''''''''''''''''' ''''''''''''''''''''''' ''</w:t>
      </w:r>
      <w:r>
        <w:rPr>
          <w:rFonts w:ascii="Arial" w:hAnsi="Arial"/>
          <w:i/>
          <w:noProof/>
          <w:color w:val="000000"/>
          <w:sz w:val="22"/>
          <w:szCs w:val="22"/>
          <w:highlight w:val="black"/>
        </w:rPr>
        <w:t>''''''''' '''''''''''''''''''''''''''' ''''''''''''''''''''''''''''' '''''''''''''''''''''' '''''''''''''''''''''' '''''''''''''''''''''' '''''''''''''''''''''''''''''' '''''''''''' '''''''' ''''''''''' ''''''''''''''''' '''''''''''''''' ''''''''' '''''''''''''''''''''''''  ''''''''''''''''''''''' ''' '''' '''''''''''''''''''''''' '''''''''' '''''''''''''''''''''' ''''''''''''''''''''''''''''' ''''''' ''''''' '''''' ''''''''''''''''''' ''''' ''''''''''''' '''''''''''''''''''''''''''' ''''''''''''''''''''</w:t>
      </w:r>
    </w:p>
    <w:p w:rsidR="008A1956" w:rsidRPr="00260B02" w:rsidRDefault="008A1956" w:rsidP="00882085">
      <w:pPr>
        <w:jc w:val="both"/>
        <w:rPr>
          <w:rFonts w:ascii="Arial" w:hAnsi="Arial"/>
          <w:b/>
          <w:sz w:val="22"/>
          <w:szCs w:val="22"/>
        </w:rPr>
      </w:pPr>
    </w:p>
    <w:p w:rsidR="00CE10C4" w:rsidRPr="00260B02" w:rsidRDefault="00CE10C4" w:rsidP="00D30CA9">
      <w:pPr>
        <w:pStyle w:val="PBACheading1"/>
      </w:pPr>
      <w:r w:rsidRPr="00260B02">
        <w:t>Clinical place for the proposed ther</w:t>
      </w:r>
      <w:r w:rsidR="006A12A5" w:rsidRPr="00260B02">
        <w:t>apy</w:t>
      </w:r>
    </w:p>
    <w:p w:rsidR="00CE10C4" w:rsidRPr="00260B02" w:rsidRDefault="008E3680" w:rsidP="00882085">
      <w:pPr>
        <w:jc w:val="both"/>
        <w:rPr>
          <w:rFonts w:ascii="Arial" w:hAnsi="Arial"/>
          <w:sz w:val="22"/>
          <w:szCs w:val="22"/>
        </w:rPr>
      </w:pPr>
      <w:r w:rsidRPr="00260B02">
        <w:rPr>
          <w:rFonts w:ascii="Arial" w:hAnsi="Arial"/>
          <w:sz w:val="22"/>
          <w:szCs w:val="22"/>
        </w:rPr>
        <w:t xml:space="preserve"> </w:t>
      </w:r>
    </w:p>
    <w:p w:rsidR="003B5E55" w:rsidRPr="00260B02" w:rsidRDefault="0064151A" w:rsidP="00250F29">
      <w:pPr>
        <w:pStyle w:val="ListParagraph"/>
        <w:numPr>
          <w:ilvl w:val="1"/>
          <w:numId w:val="25"/>
        </w:numPr>
        <w:jc w:val="both"/>
        <w:rPr>
          <w:rFonts w:ascii="Arial" w:hAnsi="Arial"/>
          <w:sz w:val="22"/>
          <w:szCs w:val="22"/>
        </w:rPr>
      </w:pPr>
      <w:r w:rsidRPr="00260B02">
        <w:rPr>
          <w:rFonts w:ascii="Arial" w:hAnsi="Arial"/>
          <w:sz w:val="22"/>
          <w:szCs w:val="22"/>
        </w:rPr>
        <w:t>The submission request</w:t>
      </w:r>
      <w:r w:rsidR="00B82926" w:rsidRPr="00260B02">
        <w:rPr>
          <w:rFonts w:ascii="Arial" w:hAnsi="Arial"/>
          <w:sz w:val="22"/>
          <w:szCs w:val="22"/>
        </w:rPr>
        <w:t>ed</w:t>
      </w:r>
      <w:r w:rsidR="00333F02" w:rsidRPr="00260B02">
        <w:rPr>
          <w:rFonts w:ascii="Arial" w:hAnsi="Arial"/>
          <w:sz w:val="22"/>
          <w:szCs w:val="22"/>
        </w:rPr>
        <w:t xml:space="preserve"> an </w:t>
      </w:r>
      <w:r w:rsidR="00D65476" w:rsidRPr="00260B02">
        <w:rPr>
          <w:rFonts w:ascii="Arial" w:hAnsi="Arial"/>
          <w:sz w:val="22"/>
          <w:szCs w:val="22"/>
        </w:rPr>
        <w:t>identical</w:t>
      </w:r>
      <w:r w:rsidR="00333F02" w:rsidRPr="00260B02">
        <w:rPr>
          <w:rFonts w:ascii="Arial" w:hAnsi="Arial"/>
          <w:sz w:val="22"/>
          <w:szCs w:val="22"/>
        </w:rPr>
        <w:t xml:space="preserve"> place in the clinical management of type 1 and type 2 diabetes to Lantus</w:t>
      </w:r>
      <w:r w:rsidR="00F809B1" w:rsidRPr="00260B02">
        <w:rPr>
          <w:rFonts w:ascii="Arial" w:hAnsi="Arial"/>
          <w:sz w:val="22"/>
          <w:szCs w:val="22"/>
        </w:rPr>
        <w:t>.</w:t>
      </w:r>
      <w:r w:rsidR="00B04C5D" w:rsidRPr="00260B02">
        <w:rPr>
          <w:rFonts w:ascii="Arial" w:hAnsi="Arial"/>
          <w:sz w:val="22"/>
          <w:szCs w:val="22"/>
        </w:rPr>
        <w:t xml:space="preserve"> The submission </w:t>
      </w:r>
      <w:r w:rsidR="00B82926" w:rsidRPr="00260B02">
        <w:rPr>
          <w:rFonts w:ascii="Arial" w:hAnsi="Arial"/>
          <w:sz w:val="22"/>
          <w:szCs w:val="22"/>
        </w:rPr>
        <w:t>claimed</w:t>
      </w:r>
      <w:r w:rsidR="00B04C5D" w:rsidRPr="00260B02">
        <w:rPr>
          <w:rFonts w:ascii="Arial" w:hAnsi="Arial"/>
          <w:sz w:val="22"/>
          <w:szCs w:val="22"/>
        </w:rPr>
        <w:t xml:space="preserve"> that no other changes in the </w:t>
      </w:r>
      <w:r w:rsidR="00D65476" w:rsidRPr="00260B02">
        <w:rPr>
          <w:rFonts w:ascii="Arial" w:hAnsi="Arial"/>
          <w:sz w:val="22"/>
          <w:szCs w:val="22"/>
        </w:rPr>
        <w:t>clinical</w:t>
      </w:r>
      <w:r w:rsidR="00B04C5D" w:rsidRPr="00260B02">
        <w:rPr>
          <w:rFonts w:ascii="Arial" w:hAnsi="Arial"/>
          <w:sz w:val="22"/>
          <w:szCs w:val="22"/>
        </w:rPr>
        <w:t xml:space="preserve"> management of type 2 diabetes are exp</w:t>
      </w:r>
      <w:r w:rsidR="00D65476" w:rsidRPr="00260B02">
        <w:rPr>
          <w:rFonts w:ascii="Arial" w:hAnsi="Arial"/>
          <w:sz w:val="22"/>
          <w:szCs w:val="22"/>
        </w:rPr>
        <w:t>ected as a result of using Basaglar</w:t>
      </w:r>
      <w:r w:rsidR="00B04C5D" w:rsidRPr="00260B02">
        <w:rPr>
          <w:rFonts w:ascii="Arial" w:hAnsi="Arial"/>
          <w:sz w:val="22"/>
          <w:szCs w:val="22"/>
        </w:rPr>
        <w:t xml:space="preserve"> in place of Lantus.</w:t>
      </w:r>
      <w:r w:rsidR="004E5163" w:rsidRPr="00260B02">
        <w:rPr>
          <w:rFonts w:ascii="Arial" w:hAnsi="Arial"/>
          <w:sz w:val="22"/>
          <w:szCs w:val="22"/>
        </w:rPr>
        <w:t xml:space="preserve"> </w:t>
      </w:r>
    </w:p>
    <w:p w:rsidR="00250F29" w:rsidRPr="00260B02" w:rsidRDefault="00250F29" w:rsidP="00250F29">
      <w:pPr>
        <w:pStyle w:val="ListParagraph"/>
        <w:jc w:val="both"/>
        <w:rPr>
          <w:rFonts w:ascii="Arial" w:hAnsi="Arial"/>
          <w:sz w:val="22"/>
          <w:szCs w:val="22"/>
        </w:rPr>
      </w:pPr>
    </w:p>
    <w:p w:rsidR="005A3173" w:rsidRPr="00260B02" w:rsidRDefault="005A3173" w:rsidP="00D30CA9">
      <w:pPr>
        <w:pStyle w:val="PBACheading1"/>
      </w:pPr>
      <w:r w:rsidRPr="00260B02">
        <w:t>Comparator</w:t>
      </w:r>
    </w:p>
    <w:p w:rsidR="005A3173" w:rsidRPr="00260B02" w:rsidRDefault="005A3173" w:rsidP="00882085">
      <w:pPr>
        <w:pStyle w:val="Header"/>
        <w:tabs>
          <w:tab w:val="clear" w:pos="4153"/>
          <w:tab w:val="clear" w:pos="8306"/>
        </w:tabs>
        <w:jc w:val="both"/>
        <w:rPr>
          <w:rFonts w:ascii="Arial" w:hAnsi="Arial"/>
          <w:b/>
          <w:sz w:val="22"/>
          <w:szCs w:val="22"/>
        </w:rPr>
      </w:pPr>
    </w:p>
    <w:p w:rsidR="00B04C5D" w:rsidRPr="00260B02" w:rsidRDefault="00476245" w:rsidP="00B04C5D">
      <w:pPr>
        <w:pStyle w:val="ListParagraph"/>
        <w:numPr>
          <w:ilvl w:val="1"/>
          <w:numId w:val="25"/>
        </w:numPr>
        <w:jc w:val="both"/>
        <w:rPr>
          <w:rFonts w:ascii="Arial" w:hAnsi="Arial"/>
          <w:i/>
          <w:sz w:val="22"/>
          <w:szCs w:val="22"/>
        </w:rPr>
      </w:pPr>
      <w:r w:rsidRPr="00260B02">
        <w:rPr>
          <w:rFonts w:ascii="Arial" w:hAnsi="Arial"/>
          <w:sz w:val="22"/>
          <w:szCs w:val="22"/>
        </w:rPr>
        <w:t xml:space="preserve">The minor submission </w:t>
      </w:r>
      <w:r w:rsidR="003B5E55" w:rsidRPr="00260B02">
        <w:rPr>
          <w:rFonts w:ascii="Arial" w:hAnsi="Arial"/>
          <w:sz w:val="22"/>
          <w:szCs w:val="22"/>
        </w:rPr>
        <w:t xml:space="preserve">appropriately </w:t>
      </w:r>
      <w:r w:rsidR="00B82926" w:rsidRPr="00260B02">
        <w:rPr>
          <w:rFonts w:ascii="Arial" w:hAnsi="Arial"/>
          <w:sz w:val="22"/>
          <w:szCs w:val="22"/>
        </w:rPr>
        <w:t>nominated</w:t>
      </w:r>
      <w:r w:rsidR="00333F02" w:rsidRPr="00260B02">
        <w:rPr>
          <w:rFonts w:ascii="Arial" w:hAnsi="Arial"/>
          <w:sz w:val="22"/>
          <w:szCs w:val="22"/>
        </w:rPr>
        <w:t xml:space="preserve"> Lantus as the</w:t>
      </w:r>
      <w:r w:rsidR="00D65476" w:rsidRPr="00260B02">
        <w:rPr>
          <w:rFonts w:ascii="Arial" w:hAnsi="Arial"/>
          <w:sz w:val="22"/>
          <w:szCs w:val="22"/>
        </w:rPr>
        <w:t xml:space="preserve"> comparator</w:t>
      </w:r>
      <w:r w:rsidR="0064151A" w:rsidRPr="00260B02">
        <w:rPr>
          <w:rFonts w:ascii="Arial" w:hAnsi="Arial"/>
          <w:sz w:val="22"/>
          <w:szCs w:val="22"/>
        </w:rPr>
        <w:t>.</w:t>
      </w:r>
    </w:p>
    <w:p w:rsidR="00250F29" w:rsidRPr="00260B02" w:rsidRDefault="00250F29" w:rsidP="00D65476">
      <w:pPr>
        <w:pStyle w:val="ListParagraph"/>
        <w:jc w:val="both"/>
        <w:rPr>
          <w:rFonts w:ascii="Arial" w:hAnsi="Arial"/>
          <w:sz w:val="22"/>
          <w:szCs w:val="22"/>
        </w:rPr>
      </w:pPr>
    </w:p>
    <w:p w:rsidR="000B558D" w:rsidRPr="00260B02" w:rsidRDefault="008D7A41" w:rsidP="00D30CA9">
      <w:pPr>
        <w:pStyle w:val="PBACheading1"/>
      </w:pPr>
      <w:r w:rsidRPr="00260B02">
        <w:t>Clinical Trials</w:t>
      </w:r>
    </w:p>
    <w:p w:rsidR="00BB7EC3" w:rsidRPr="00260B02" w:rsidRDefault="00BB7EC3" w:rsidP="003D4671">
      <w:pPr>
        <w:keepNext/>
        <w:keepLines/>
        <w:jc w:val="both"/>
        <w:rPr>
          <w:rFonts w:ascii="Arial" w:hAnsi="Arial"/>
          <w:sz w:val="22"/>
          <w:szCs w:val="22"/>
        </w:rPr>
      </w:pPr>
    </w:p>
    <w:p w:rsidR="009F4E46" w:rsidRPr="00260B02" w:rsidRDefault="009F4E46" w:rsidP="00DD0588">
      <w:pPr>
        <w:pStyle w:val="ListParagraph"/>
        <w:numPr>
          <w:ilvl w:val="1"/>
          <w:numId w:val="25"/>
        </w:numPr>
        <w:jc w:val="both"/>
        <w:rPr>
          <w:rFonts w:ascii="Arial" w:hAnsi="Arial"/>
          <w:sz w:val="22"/>
          <w:szCs w:val="22"/>
        </w:rPr>
      </w:pPr>
      <w:r w:rsidRPr="00260B02">
        <w:rPr>
          <w:rFonts w:ascii="Arial" w:hAnsi="Arial"/>
          <w:sz w:val="22"/>
          <w:szCs w:val="22"/>
        </w:rPr>
        <w:t xml:space="preserve">The </w:t>
      </w:r>
      <w:r w:rsidR="000D5122" w:rsidRPr="00260B02">
        <w:rPr>
          <w:rFonts w:ascii="Arial" w:hAnsi="Arial"/>
          <w:sz w:val="22"/>
          <w:szCs w:val="22"/>
        </w:rPr>
        <w:t xml:space="preserve">clinical evidence presented in the submission was based on two phase 3 trials, which are outlined in </w:t>
      </w:r>
      <w:r w:rsidR="00B82926" w:rsidRPr="00260B02">
        <w:rPr>
          <w:rFonts w:ascii="Arial" w:hAnsi="Arial"/>
          <w:sz w:val="22"/>
          <w:szCs w:val="22"/>
        </w:rPr>
        <w:t>the table below</w:t>
      </w:r>
      <w:r w:rsidR="000D5122" w:rsidRPr="00260B02">
        <w:rPr>
          <w:rFonts w:ascii="Arial" w:hAnsi="Arial"/>
          <w:sz w:val="22"/>
          <w:szCs w:val="22"/>
        </w:rPr>
        <w:t>. The primary objective of both trials was to test the non</w:t>
      </w:r>
      <w:r w:rsidR="000D5122" w:rsidRPr="00260B02">
        <w:rPr>
          <w:rFonts w:ascii="Arial" w:hAnsi="Arial"/>
          <w:sz w:val="22"/>
          <w:szCs w:val="22"/>
        </w:rPr>
        <w:noBreakHyphen/>
        <w:t>inferiority of Basaglar to Lantus as measured by change in HbA1c from baseline to 24 weeks.</w:t>
      </w:r>
    </w:p>
    <w:p w:rsidR="0076420C" w:rsidRPr="00260B02" w:rsidRDefault="0076420C" w:rsidP="0076420C">
      <w:pPr>
        <w:ind w:left="709"/>
        <w:jc w:val="both"/>
        <w:rPr>
          <w:rFonts w:ascii="Arial" w:hAnsi="Arial"/>
          <w:sz w:val="22"/>
          <w:szCs w:val="22"/>
        </w:rPr>
      </w:pPr>
    </w:p>
    <w:p w:rsidR="00B04C5D" w:rsidRPr="00260B02" w:rsidRDefault="00B04C5D" w:rsidP="003D4671">
      <w:pPr>
        <w:pStyle w:val="Caption"/>
        <w:keepLines/>
        <w:spacing w:after="0"/>
        <w:ind w:firstLine="709"/>
        <w:rPr>
          <w:rFonts w:ascii="Arial Narrow" w:hAnsi="Arial Narrow" w:cstheme="minorHAnsi"/>
          <w:sz w:val="20"/>
        </w:rPr>
      </w:pPr>
      <w:bookmarkStart w:id="1" w:name="_Toc382494719"/>
      <w:bookmarkStart w:id="2" w:name="_Toc367875474"/>
      <w:bookmarkStart w:id="3" w:name="_Toc366847286"/>
      <w:bookmarkStart w:id="4" w:name="_Toc406671306"/>
      <w:r w:rsidRPr="00260B02">
        <w:rPr>
          <w:rFonts w:ascii="Arial Narrow" w:hAnsi="Arial Narrow" w:cstheme="minorHAnsi"/>
          <w:sz w:val="20"/>
        </w:rPr>
        <w:t>Trials and associated reports in the submission</w:t>
      </w:r>
      <w:bookmarkEnd w:id="1"/>
      <w:bookmarkEnd w:id="2"/>
      <w:bookmarkEnd w:id="3"/>
      <w:bookmarkEnd w:id="4"/>
    </w:p>
    <w:tbl>
      <w:tblPr>
        <w:tblStyle w:val="TableGrid"/>
        <w:tblW w:w="8136" w:type="dxa"/>
        <w:tblInd w:w="817" w:type="dxa"/>
        <w:tblLayout w:type="fixed"/>
        <w:tblLook w:val="04A0" w:firstRow="1" w:lastRow="0" w:firstColumn="1" w:lastColumn="0" w:noHBand="0" w:noVBand="1"/>
        <w:tblCaption w:val="Clinical trials"/>
      </w:tblPr>
      <w:tblGrid>
        <w:gridCol w:w="1559"/>
        <w:gridCol w:w="6577"/>
      </w:tblGrid>
      <w:tr w:rsidR="00B04C5D" w:rsidRPr="00260B02" w:rsidTr="00B04C5D">
        <w:tc>
          <w:tcPr>
            <w:tcW w:w="1559" w:type="dxa"/>
            <w:hideMark/>
          </w:tcPr>
          <w:p w:rsidR="00B04C5D" w:rsidRPr="00260B02" w:rsidRDefault="00B04C5D" w:rsidP="003D4671">
            <w:pPr>
              <w:pStyle w:val="Table"/>
              <w:keepNext/>
              <w:keepLines/>
              <w:widowControl w:val="0"/>
              <w:rPr>
                <w:rStyle w:val="SmallBold"/>
                <w:rFonts w:ascii="Arial Narrow" w:hAnsi="Arial Narrow" w:cstheme="minorHAnsi"/>
                <w:b w:val="0"/>
                <w:bCs/>
                <w:szCs w:val="20"/>
              </w:rPr>
            </w:pPr>
            <w:r w:rsidRPr="00260B02">
              <w:rPr>
                <w:rStyle w:val="SmallBold"/>
                <w:rFonts w:ascii="Arial Narrow" w:hAnsi="Arial Narrow" w:cstheme="minorHAnsi"/>
                <w:szCs w:val="20"/>
              </w:rPr>
              <w:t>Trial ID</w:t>
            </w:r>
          </w:p>
        </w:tc>
        <w:tc>
          <w:tcPr>
            <w:tcW w:w="6577" w:type="dxa"/>
            <w:hideMark/>
          </w:tcPr>
          <w:p w:rsidR="00B04C5D" w:rsidRPr="00260B02" w:rsidRDefault="00B04C5D" w:rsidP="003D4671">
            <w:pPr>
              <w:pStyle w:val="Table"/>
              <w:keepNext/>
              <w:keepLines/>
              <w:widowControl w:val="0"/>
              <w:rPr>
                <w:rStyle w:val="SmallBold"/>
                <w:rFonts w:ascii="Arial Narrow" w:hAnsi="Arial Narrow" w:cstheme="minorHAnsi"/>
                <w:b w:val="0"/>
                <w:bCs/>
                <w:szCs w:val="20"/>
              </w:rPr>
            </w:pPr>
            <w:r w:rsidRPr="00260B02">
              <w:rPr>
                <w:rStyle w:val="SmallBold"/>
                <w:rFonts w:ascii="Arial Narrow" w:hAnsi="Arial Narrow" w:cstheme="minorHAnsi"/>
                <w:szCs w:val="20"/>
              </w:rPr>
              <w:t>Brief Description and list of associated reports</w:t>
            </w:r>
            <w:r w:rsidRPr="00260B02">
              <w:rPr>
                <w:rFonts w:ascii="Arial Narrow" w:hAnsi="Arial Narrow" w:cstheme="minorHAnsi"/>
                <w:szCs w:val="20"/>
              </w:rPr>
              <w:t xml:space="preserve"> </w:t>
            </w:r>
          </w:p>
        </w:tc>
      </w:tr>
      <w:tr w:rsidR="00B04C5D" w:rsidRPr="00260B02" w:rsidTr="00B04C5D">
        <w:tc>
          <w:tcPr>
            <w:tcW w:w="1559" w:type="dxa"/>
            <w:vMerge w:val="restart"/>
            <w:hideMark/>
          </w:tcPr>
          <w:p w:rsidR="00B04C5D" w:rsidRPr="00260B02" w:rsidRDefault="00B04C5D" w:rsidP="003D4671">
            <w:pPr>
              <w:pStyle w:val="Table"/>
              <w:keepNext/>
              <w:keepLines/>
              <w:widowControl w:val="0"/>
              <w:rPr>
                <w:rStyle w:val="SmallBold"/>
                <w:rFonts w:ascii="Arial Narrow" w:hAnsi="Arial Narrow" w:cstheme="minorHAnsi"/>
                <w:szCs w:val="20"/>
              </w:rPr>
            </w:pPr>
            <w:r w:rsidRPr="00260B02">
              <w:rPr>
                <w:rStyle w:val="SmallBold"/>
                <w:rFonts w:ascii="Arial Narrow" w:hAnsi="Arial Narrow" w:cstheme="minorHAnsi"/>
                <w:szCs w:val="20"/>
              </w:rPr>
              <w:t>ABEB (ELEMENT 1)</w:t>
            </w:r>
          </w:p>
          <w:p w:rsidR="00B04C5D" w:rsidRPr="00260B02" w:rsidRDefault="00B04C5D" w:rsidP="003D4671">
            <w:pPr>
              <w:pStyle w:val="Table"/>
              <w:keepNext/>
              <w:keepLines/>
              <w:widowControl w:val="0"/>
              <w:rPr>
                <w:rStyle w:val="SmallBold"/>
                <w:rFonts w:ascii="Arial Narrow" w:hAnsi="Arial Narrow" w:cstheme="minorHAnsi"/>
                <w:szCs w:val="20"/>
              </w:rPr>
            </w:pPr>
          </w:p>
          <w:p w:rsidR="00B04C5D" w:rsidRPr="00260B02" w:rsidRDefault="00B04C5D" w:rsidP="003D4671">
            <w:pPr>
              <w:pStyle w:val="Table"/>
              <w:keepNext/>
              <w:keepLines/>
              <w:widowControl w:val="0"/>
              <w:rPr>
                <w:rStyle w:val="SmallBold"/>
                <w:rFonts w:ascii="Arial Narrow" w:hAnsi="Arial Narrow" w:cstheme="minorHAnsi"/>
                <w:b w:val="0"/>
                <w:szCs w:val="20"/>
              </w:rPr>
            </w:pPr>
            <w:r w:rsidRPr="00260B02">
              <w:rPr>
                <w:rStyle w:val="Small"/>
                <w:rFonts w:ascii="Arial Narrow" w:hAnsi="Arial Narrow" w:cstheme="minorHAnsi"/>
                <w:szCs w:val="20"/>
              </w:rPr>
              <w:t>NCT: 0</w:t>
            </w:r>
            <w:r w:rsidRPr="00260B02">
              <w:rPr>
                <w:rFonts w:ascii="Arial Narrow" w:hAnsi="Arial Narrow" w:cstheme="minorHAnsi"/>
                <w:szCs w:val="20"/>
              </w:rPr>
              <w:t>1421147</w:t>
            </w:r>
          </w:p>
        </w:tc>
        <w:tc>
          <w:tcPr>
            <w:tcW w:w="6577" w:type="dxa"/>
            <w:hideMark/>
          </w:tcPr>
          <w:p w:rsidR="00B04C5D" w:rsidRPr="00260B02" w:rsidRDefault="00B04C5D" w:rsidP="003D4671">
            <w:pPr>
              <w:pStyle w:val="Default"/>
              <w:keepNext/>
              <w:keepLines/>
              <w:widowControl w:val="0"/>
              <w:rPr>
                <w:rStyle w:val="Small"/>
                <w:rFonts w:ascii="Arial Narrow" w:hAnsi="Arial Narrow" w:cstheme="minorHAnsi"/>
                <w:color w:val="auto"/>
                <w:szCs w:val="20"/>
                <w:lang w:val="en-AU" w:bidi="en-US"/>
              </w:rPr>
            </w:pPr>
            <w:r w:rsidRPr="00260B02">
              <w:rPr>
                <w:rStyle w:val="SmallBold"/>
                <w:rFonts w:ascii="Arial Narrow" w:hAnsi="Arial Narrow" w:cstheme="minorHAnsi"/>
                <w:color w:val="auto"/>
                <w:szCs w:val="20"/>
              </w:rPr>
              <w:t>Description:</w:t>
            </w:r>
            <w:r w:rsidRPr="00260B02">
              <w:rPr>
                <w:rStyle w:val="Small"/>
                <w:rFonts w:ascii="Arial Narrow" w:hAnsi="Arial Narrow" w:cstheme="minorHAnsi"/>
                <w:color w:val="auto"/>
                <w:szCs w:val="20"/>
              </w:rPr>
              <w:t xml:space="preserve"> </w:t>
            </w:r>
            <w:r w:rsidRPr="00260B02">
              <w:rPr>
                <w:rStyle w:val="TableChar"/>
                <w:rFonts w:ascii="Arial Narrow" w:hAnsi="Arial Narrow" w:cstheme="minorHAnsi"/>
                <w:color w:val="auto"/>
                <w:sz w:val="20"/>
                <w:szCs w:val="20"/>
              </w:rPr>
              <w:t>Phase 3, randomized, multicenter, 2-arm, active-controlled, open-label, parallel, 24-week treatment study to compare LY2963016 [BASAGLAR] and LANTUS® with mealtime insulin lispro in adult patients with type 1 diabetes mellitus with a 28-week extension and a 4-week post-treatment follow-up.</w:t>
            </w:r>
          </w:p>
        </w:tc>
      </w:tr>
      <w:tr w:rsidR="00B04C5D" w:rsidRPr="00260B02" w:rsidTr="00B04C5D">
        <w:tc>
          <w:tcPr>
            <w:tcW w:w="1559" w:type="dxa"/>
            <w:vMerge/>
            <w:hideMark/>
          </w:tcPr>
          <w:p w:rsidR="00B04C5D" w:rsidRPr="00260B02" w:rsidRDefault="00B04C5D" w:rsidP="003D4671">
            <w:pPr>
              <w:keepNext/>
              <w:keepLines/>
              <w:widowControl w:val="0"/>
              <w:rPr>
                <w:rStyle w:val="SmallBold"/>
                <w:rFonts w:ascii="Arial Narrow" w:eastAsiaTheme="majorEastAsia" w:hAnsi="Arial Narrow" w:cstheme="minorHAnsi"/>
                <w:b w:val="0"/>
                <w:szCs w:val="20"/>
                <w:lang w:eastAsia="en-US"/>
              </w:rPr>
            </w:pPr>
          </w:p>
        </w:tc>
        <w:tc>
          <w:tcPr>
            <w:tcW w:w="6577" w:type="dxa"/>
            <w:hideMark/>
          </w:tcPr>
          <w:p w:rsidR="00B04C5D" w:rsidRPr="00260B02" w:rsidRDefault="00B04C5D" w:rsidP="003D4671">
            <w:pPr>
              <w:pStyle w:val="Table"/>
              <w:keepNext/>
              <w:keepLines/>
              <w:widowControl w:val="0"/>
              <w:spacing w:line="276" w:lineRule="auto"/>
              <w:rPr>
                <w:rStyle w:val="Small"/>
                <w:rFonts w:ascii="Arial Narrow" w:hAnsi="Arial Narrow" w:cstheme="minorHAnsi"/>
                <w:szCs w:val="20"/>
                <w:lang w:val="en-US" w:bidi="ar-SA"/>
              </w:rPr>
            </w:pPr>
            <w:r w:rsidRPr="00260B02">
              <w:rPr>
                <w:rStyle w:val="SmallBold"/>
                <w:rFonts w:ascii="Arial Narrow" w:hAnsi="Arial Narrow" w:cstheme="minorHAnsi"/>
                <w:szCs w:val="20"/>
              </w:rPr>
              <w:t>Main report:</w:t>
            </w:r>
            <w:r w:rsidRPr="00260B02">
              <w:rPr>
                <w:rStyle w:val="Small"/>
                <w:rFonts w:ascii="Arial Narrow" w:hAnsi="Arial Narrow" w:cstheme="minorHAnsi"/>
                <w:szCs w:val="20"/>
              </w:rPr>
              <w:t xml:space="preserve"> I4L-MC-ABEB Final Clinical Study Report (10</w:t>
            </w:r>
            <w:r w:rsidRPr="00260B02">
              <w:rPr>
                <w:rStyle w:val="Small"/>
                <w:rFonts w:ascii="Arial Narrow" w:hAnsi="Arial Narrow" w:cstheme="minorHAnsi"/>
                <w:szCs w:val="20"/>
                <w:vertAlign w:val="superscript"/>
              </w:rPr>
              <w:t>th</w:t>
            </w:r>
            <w:r w:rsidRPr="00260B02">
              <w:rPr>
                <w:rStyle w:val="Small"/>
                <w:rFonts w:ascii="Arial Narrow" w:hAnsi="Arial Narrow" w:cstheme="minorHAnsi"/>
                <w:szCs w:val="20"/>
              </w:rPr>
              <w:t xml:space="preserve"> September 2013)</w:t>
            </w:r>
          </w:p>
        </w:tc>
      </w:tr>
      <w:tr w:rsidR="00B04C5D" w:rsidRPr="00260B02" w:rsidTr="00B04C5D">
        <w:tc>
          <w:tcPr>
            <w:tcW w:w="1559" w:type="dxa"/>
            <w:vMerge/>
            <w:hideMark/>
          </w:tcPr>
          <w:p w:rsidR="00B04C5D" w:rsidRPr="00260B02" w:rsidRDefault="00B04C5D" w:rsidP="003D4671">
            <w:pPr>
              <w:keepNext/>
              <w:keepLines/>
              <w:widowControl w:val="0"/>
              <w:rPr>
                <w:rStyle w:val="SmallBold"/>
                <w:rFonts w:ascii="Arial Narrow" w:eastAsiaTheme="majorEastAsia" w:hAnsi="Arial Narrow" w:cstheme="minorHAnsi"/>
                <w:b w:val="0"/>
                <w:szCs w:val="20"/>
                <w:lang w:eastAsia="en-US" w:bidi="en-US"/>
              </w:rPr>
            </w:pPr>
          </w:p>
        </w:tc>
        <w:tc>
          <w:tcPr>
            <w:tcW w:w="6577" w:type="dxa"/>
            <w:hideMark/>
          </w:tcPr>
          <w:p w:rsidR="00B04C5D" w:rsidRPr="00260B02" w:rsidRDefault="00B04C5D" w:rsidP="003D4671">
            <w:pPr>
              <w:pStyle w:val="Table"/>
              <w:keepNext/>
              <w:keepLines/>
              <w:widowControl w:val="0"/>
              <w:spacing w:line="276" w:lineRule="auto"/>
              <w:rPr>
                <w:rFonts w:ascii="Arial Narrow" w:hAnsi="Arial Narrow" w:cstheme="minorHAnsi"/>
                <w:szCs w:val="20"/>
              </w:rPr>
            </w:pPr>
            <w:r w:rsidRPr="00260B02">
              <w:rPr>
                <w:rStyle w:val="SmallBold"/>
                <w:rFonts w:ascii="Arial Narrow" w:hAnsi="Arial Narrow" w:cstheme="minorHAnsi"/>
                <w:szCs w:val="20"/>
              </w:rPr>
              <w:t>Additional citations:</w:t>
            </w:r>
            <w:r w:rsidRPr="00260B02">
              <w:rPr>
                <w:rFonts w:ascii="Arial Narrow" w:hAnsi="Arial Narrow" w:cstheme="minorHAnsi"/>
                <w:szCs w:val="20"/>
              </w:rPr>
              <w:t xml:space="preserve"> None</w:t>
            </w:r>
          </w:p>
        </w:tc>
      </w:tr>
      <w:tr w:rsidR="00B04C5D" w:rsidRPr="00260B02" w:rsidTr="00B04C5D">
        <w:tc>
          <w:tcPr>
            <w:tcW w:w="1559" w:type="dxa"/>
            <w:vMerge w:val="restart"/>
          </w:tcPr>
          <w:p w:rsidR="00B04C5D" w:rsidRPr="00260B02" w:rsidRDefault="00B04C5D" w:rsidP="003D4671">
            <w:pPr>
              <w:pStyle w:val="Table"/>
              <w:keepNext/>
              <w:keepLines/>
              <w:widowControl w:val="0"/>
              <w:spacing w:line="276" w:lineRule="auto"/>
              <w:rPr>
                <w:rStyle w:val="SmallBold"/>
                <w:rFonts w:ascii="Arial Narrow" w:hAnsi="Arial Narrow" w:cstheme="minorHAnsi"/>
                <w:szCs w:val="20"/>
              </w:rPr>
            </w:pPr>
            <w:r w:rsidRPr="00260B02">
              <w:rPr>
                <w:rStyle w:val="SmallBold"/>
                <w:rFonts w:ascii="Arial Narrow" w:hAnsi="Arial Narrow" w:cstheme="minorHAnsi"/>
                <w:szCs w:val="20"/>
              </w:rPr>
              <w:t>ABEC (ELEMENT 2)</w:t>
            </w:r>
          </w:p>
          <w:p w:rsidR="00B04C5D" w:rsidRPr="00260B02" w:rsidRDefault="00B04C5D" w:rsidP="003D4671">
            <w:pPr>
              <w:pStyle w:val="Table"/>
              <w:keepNext/>
              <w:keepLines/>
              <w:widowControl w:val="0"/>
              <w:spacing w:line="276" w:lineRule="auto"/>
              <w:rPr>
                <w:rStyle w:val="SmallBold"/>
                <w:rFonts w:ascii="Arial Narrow" w:hAnsi="Arial Narrow" w:cstheme="minorHAnsi"/>
                <w:szCs w:val="20"/>
              </w:rPr>
            </w:pPr>
          </w:p>
          <w:p w:rsidR="00B04C5D" w:rsidRPr="00260B02" w:rsidRDefault="00B04C5D" w:rsidP="003D4671">
            <w:pPr>
              <w:pStyle w:val="Table"/>
              <w:keepNext/>
              <w:keepLines/>
              <w:widowControl w:val="0"/>
              <w:rPr>
                <w:rStyle w:val="SmallBold"/>
                <w:rFonts w:ascii="Arial Narrow" w:hAnsi="Arial Narrow" w:cstheme="minorHAnsi"/>
                <w:b w:val="0"/>
                <w:szCs w:val="20"/>
              </w:rPr>
            </w:pPr>
            <w:r w:rsidRPr="00260B02">
              <w:rPr>
                <w:rStyle w:val="Small"/>
                <w:rFonts w:ascii="Arial Narrow" w:hAnsi="Arial Narrow" w:cstheme="minorHAnsi"/>
                <w:szCs w:val="20"/>
              </w:rPr>
              <w:t xml:space="preserve">NCT: </w:t>
            </w:r>
            <w:r w:rsidRPr="00260B02">
              <w:rPr>
                <w:rFonts w:ascii="Arial Narrow" w:hAnsi="Arial Narrow" w:cstheme="minorHAnsi"/>
                <w:szCs w:val="20"/>
                <w:shd w:val="clear" w:color="auto" w:fill="FFFFFF"/>
              </w:rPr>
              <w:t>01421459</w:t>
            </w:r>
          </w:p>
        </w:tc>
        <w:tc>
          <w:tcPr>
            <w:tcW w:w="6577" w:type="dxa"/>
          </w:tcPr>
          <w:p w:rsidR="00B04C5D" w:rsidRPr="00260B02" w:rsidRDefault="00B04C5D" w:rsidP="003D4671">
            <w:pPr>
              <w:pStyle w:val="Table"/>
              <w:keepNext/>
              <w:keepLines/>
              <w:widowControl w:val="0"/>
              <w:rPr>
                <w:rFonts w:ascii="Arial Narrow" w:hAnsi="Arial Narrow" w:cstheme="minorHAnsi"/>
                <w:szCs w:val="20"/>
                <w:lang w:val="en-US" w:bidi="ar-SA"/>
              </w:rPr>
            </w:pPr>
            <w:r w:rsidRPr="00260B02">
              <w:rPr>
                <w:rStyle w:val="SmallBold"/>
                <w:rFonts w:ascii="Arial Narrow" w:hAnsi="Arial Narrow" w:cstheme="minorHAnsi"/>
                <w:szCs w:val="20"/>
              </w:rPr>
              <w:t>Description:</w:t>
            </w:r>
            <w:r w:rsidRPr="00260B02">
              <w:rPr>
                <w:rStyle w:val="Small"/>
                <w:rFonts w:ascii="Arial Narrow" w:hAnsi="Arial Narrow" w:cstheme="minorHAnsi"/>
                <w:szCs w:val="20"/>
              </w:rPr>
              <w:t xml:space="preserve"> </w:t>
            </w:r>
            <w:r w:rsidRPr="00260B02">
              <w:rPr>
                <w:rFonts w:ascii="Arial Narrow" w:hAnsi="Arial Narrow" w:cstheme="minorHAnsi"/>
                <w:szCs w:val="20"/>
                <w:lang w:val="en-US" w:bidi="ar-SA"/>
              </w:rPr>
              <w:t>Phase 3, randomized, multicenter, 2-arm, active-controlled, double-blind,</w:t>
            </w:r>
          </w:p>
          <w:p w:rsidR="00B04C5D" w:rsidRPr="00260B02" w:rsidRDefault="00B04C5D" w:rsidP="003D4671">
            <w:pPr>
              <w:pStyle w:val="Table"/>
              <w:keepNext/>
              <w:keepLines/>
              <w:widowControl w:val="0"/>
              <w:rPr>
                <w:rFonts w:ascii="Arial Narrow" w:hAnsi="Arial Narrow" w:cstheme="minorHAnsi"/>
                <w:szCs w:val="20"/>
                <w:lang w:val="en-US" w:bidi="ar-SA"/>
              </w:rPr>
            </w:pPr>
            <w:r w:rsidRPr="00260B02">
              <w:rPr>
                <w:rFonts w:ascii="Arial Narrow" w:hAnsi="Arial Narrow" w:cstheme="minorHAnsi"/>
                <w:szCs w:val="20"/>
                <w:lang w:val="en-US" w:bidi="ar-SA"/>
              </w:rPr>
              <w:t>parallel, 24-week treatment study (with a 4-week post-treatment follow-up) to compare</w:t>
            </w:r>
          </w:p>
          <w:p w:rsidR="00B04C5D" w:rsidRPr="00260B02" w:rsidRDefault="00B04C5D" w:rsidP="003D4671">
            <w:pPr>
              <w:pStyle w:val="Table"/>
              <w:keepNext/>
              <w:keepLines/>
              <w:widowControl w:val="0"/>
              <w:rPr>
                <w:rStyle w:val="SmallBold"/>
                <w:rFonts w:ascii="Arial Narrow" w:hAnsi="Arial Narrow" w:cstheme="minorHAnsi"/>
                <w:szCs w:val="20"/>
              </w:rPr>
            </w:pPr>
            <w:r w:rsidRPr="00260B02">
              <w:rPr>
                <w:rFonts w:ascii="Arial Narrow" w:hAnsi="Arial Narrow" w:cstheme="minorHAnsi"/>
                <w:szCs w:val="20"/>
                <w:lang w:val="en-US" w:bidi="ar-SA"/>
              </w:rPr>
              <w:t>LY2963016 [BASAGLAR] and LANTUS® in adult patients with type 2 diabetes mellitus.</w:t>
            </w:r>
          </w:p>
        </w:tc>
      </w:tr>
      <w:tr w:rsidR="00B04C5D" w:rsidRPr="00260B02" w:rsidTr="00B04C5D">
        <w:tc>
          <w:tcPr>
            <w:tcW w:w="1559" w:type="dxa"/>
            <w:vMerge/>
          </w:tcPr>
          <w:p w:rsidR="00B04C5D" w:rsidRPr="00260B02" w:rsidRDefault="00B04C5D" w:rsidP="003D4671">
            <w:pPr>
              <w:keepNext/>
              <w:keepLines/>
              <w:widowControl w:val="0"/>
              <w:rPr>
                <w:rStyle w:val="SmallBold"/>
                <w:rFonts w:ascii="Arial Narrow" w:eastAsiaTheme="majorEastAsia" w:hAnsi="Arial Narrow" w:cstheme="minorHAnsi"/>
                <w:b w:val="0"/>
                <w:szCs w:val="20"/>
                <w:lang w:eastAsia="en-US" w:bidi="en-US"/>
              </w:rPr>
            </w:pPr>
          </w:p>
        </w:tc>
        <w:tc>
          <w:tcPr>
            <w:tcW w:w="6577" w:type="dxa"/>
          </w:tcPr>
          <w:p w:rsidR="00B04C5D" w:rsidRPr="00260B02" w:rsidRDefault="00B04C5D" w:rsidP="003D4671">
            <w:pPr>
              <w:pStyle w:val="Table"/>
              <w:keepNext/>
              <w:keepLines/>
              <w:widowControl w:val="0"/>
              <w:spacing w:line="276" w:lineRule="auto"/>
              <w:rPr>
                <w:rStyle w:val="SmallBold"/>
                <w:rFonts w:ascii="Arial Narrow" w:hAnsi="Arial Narrow" w:cstheme="minorHAnsi"/>
                <w:szCs w:val="20"/>
              </w:rPr>
            </w:pPr>
            <w:r w:rsidRPr="00260B02">
              <w:rPr>
                <w:rStyle w:val="SmallBold"/>
                <w:rFonts w:ascii="Arial Narrow" w:hAnsi="Arial Narrow" w:cstheme="minorHAnsi"/>
                <w:szCs w:val="20"/>
              </w:rPr>
              <w:t>Main report:</w:t>
            </w:r>
            <w:r w:rsidRPr="00260B02">
              <w:rPr>
                <w:rStyle w:val="Small"/>
                <w:rFonts w:ascii="Arial Narrow" w:hAnsi="Arial Narrow" w:cstheme="minorHAnsi"/>
                <w:szCs w:val="20"/>
              </w:rPr>
              <w:t xml:space="preserve"> I4L-MC-ABEC Clinical Study Report (12</w:t>
            </w:r>
            <w:r w:rsidRPr="00260B02">
              <w:rPr>
                <w:rStyle w:val="Small"/>
                <w:rFonts w:ascii="Arial Narrow" w:hAnsi="Arial Narrow" w:cstheme="minorHAnsi"/>
                <w:szCs w:val="20"/>
                <w:vertAlign w:val="superscript"/>
              </w:rPr>
              <w:t>th</w:t>
            </w:r>
            <w:r w:rsidRPr="00260B02">
              <w:rPr>
                <w:rStyle w:val="Small"/>
                <w:rFonts w:ascii="Arial Narrow" w:hAnsi="Arial Narrow" w:cstheme="minorHAnsi"/>
                <w:szCs w:val="20"/>
              </w:rPr>
              <w:t xml:space="preserve"> March 2013)</w:t>
            </w:r>
          </w:p>
        </w:tc>
      </w:tr>
      <w:tr w:rsidR="00B04C5D" w:rsidRPr="00260B02" w:rsidTr="00B04C5D">
        <w:tc>
          <w:tcPr>
            <w:tcW w:w="1559" w:type="dxa"/>
            <w:vMerge/>
          </w:tcPr>
          <w:p w:rsidR="00B04C5D" w:rsidRPr="00260B02" w:rsidRDefault="00B04C5D" w:rsidP="003D4671">
            <w:pPr>
              <w:keepNext/>
              <w:keepLines/>
              <w:widowControl w:val="0"/>
              <w:rPr>
                <w:rStyle w:val="SmallBold"/>
                <w:rFonts w:ascii="Arial Narrow" w:eastAsiaTheme="majorEastAsia" w:hAnsi="Arial Narrow" w:cstheme="minorHAnsi"/>
                <w:b w:val="0"/>
                <w:szCs w:val="20"/>
                <w:lang w:eastAsia="en-US" w:bidi="en-US"/>
              </w:rPr>
            </w:pPr>
          </w:p>
        </w:tc>
        <w:tc>
          <w:tcPr>
            <w:tcW w:w="6577" w:type="dxa"/>
          </w:tcPr>
          <w:p w:rsidR="00B04C5D" w:rsidRPr="00260B02" w:rsidRDefault="00B04C5D" w:rsidP="003D4671">
            <w:pPr>
              <w:pStyle w:val="Table"/>
              <w:keepNext/>
              <w:keepLines/>
              <w:widowControl w:val="0"/>
              <w:spacing w:line="276" w:lineRule="auto"/>
              <w:rPr>
                <w:rStyle w:val="SmallBold"/>
                <w:rFonts w:ascii="Arial Narrow" w:hAnsi="Arial Narrow" w:cstheme="minorHAnsi"/>
                <w:szCs w:val="20"/>
              </w:rPr>
            </w:pPr>
            <w:r w:rsidRPr="00260B02">
              <w:rPr>
                <w:rStyle w:val="SmallBold"/>
                <w:rFonts w:ascii="Arial Narrow" w:hAnsi="Arial Narrow" w:cstheme="minorHAnsi"/>
                <w:szCs w:val="20"/>
              </w:rPr>
              <w:t>Additional citations:</w:t>
            </w:r>
            <w:r w:rsidRPr="00260B02">
              <w:rPr>
                <w:rFonts w:ascii="Arial Narrow" w:hAnsi="Arial Narrow" w:cstheme="minorHAnsi"/>
                <w:szCs w:val="20"/>
              </w:rPr>
              <w:t xml:space="preserve"> None</w:t>
            </w:r>
          </w:p>
        </w:tc>
      </w:tr>
    </w:tbl>
    <w:p w:rsidR="0076420C" w:rsidRPr="00260B02" w:rsidRDefault="00E66847" w:rsidP="003D4671">
      <w:pPr>
        <w:pStyle w:val="tablenotes"/>
        <w:keepNext/>
        <w:keepLines/>
        <w:ind w:firstLine="709"/>
        <w:rPr>
          <w:rFonts w:ascii="Arial Narrow" w:hAnsi="Arial Narrow"/>
          <w:sz w:val="18"/>
          <w:szCs w:val="18"/>
        </w:rPr>
      </w:pPr>
      <w:r w:rsidRPr="00260B02">
        <w:rPr>
          <w:rFonts w:ascii="Arial Narrow" w:hAnsi="Arial Narrow"/>
          <w:sz w:val="18"/>
          <w:szCs w:val="18"/>
        </w:rPr>
        <w:t>Source: Section B, p22 of the submission</w:t>
      </w:r>
    </w:p>
    <w:p w:rsidR="0076420C" w:rsidRPr="00260B02" w:rsidRDefault="0076420C" w:rsidP="0076420C">
      <w:pPr>
        <w:pStyle w:val="ListParagraph"/>
        <w:ind w:left="709"/>
        <w:jc w:val="both"/>
        <w:rPr>
          <w:rFonts w:ascii="Arial" w:hAnsi="Arial"/>
          <w:sz w:val="22"/>
          <w:szCs w:val="22"/>
        </w:rPr>
      </w:pPr>
    </w:p>
    <w:p w:rsidR="00817943" w:rsidRPr="00260B02" w:rsidRDefault="004709BB" w:rsidP="00DD0588">
      <w:pPr>
        <w:pStyle w:val="ListParagraph"/>
        <w:numPr>
          <w:ilvl w:val="1"/>
          <w:numId w:val="25"/>
        </w:numPr>
        <w:jc w:val="both"/>
        <w:rPr>
          <w:rFonts w:ascii="Arial" w:hAnsi="Arial"/>
          <w:sz w:val="22"/>
          <w:szCs w:val="22"/>
        </w:rPr>
      </w:pPr>
      <w:r w:rsidRPr="00260B02">
        <w:rPr>
          <w:rFonts w:ascii="Arial" w:hAnsi="Arial"/>
          <w:sz w:val="22"/>
          <w:szCs w:val="22"/>
        </w:rPr>
        <w:t xml:space="preserve">The TGA considered that these two Phase 3 studies (ABEB, ABEC) provided supportive evidence for efficacy and that the primary focus of the two studies ‘was </w:t>
      </w:r>
      <w:r w:rsidRPr="00260B02">
        <w:rPr>
          <w:rFonts w:ascii="Arial" w:hAnsi="Arial"/>
          <w:sz w:val="22"/>
          <w:szCs w:val="22"/>
        </w:rPr>
        <w:lastRenderedPageBreak/>
        <w:t xml:space="preserve">the evaluation of immunogenicity and implications this might have for safety (or any reduction in efficacy).’ </w:t>
      </w:r>
      <w:r w:rsidR="00F8107D" w:rsidRPr="00260B02">
        <w:rPr>
          <w:rFonts w:ascii="Arial" w:hAnsi="Arial"/>
          <w:sz w:val="22"/>
          <w:szCs w:val="22"/>
        </w:rPr>
        <w:t>The pharmacokinetic and pharmaco</w:t>
      </w:r>
      <w:r w:rsidR="008149B8" w:rsidRPr="00260B02">
        <w:rPr>
          <w:rFonts w:ascii="Arial" w:hAnsi="Arial"/>
          <w:sz w:val="22"/>
          <w:szCs w:val="22"/>
        </w:rPr>
        <w:t>dynamic</w:t>
      </w:r>
      <w:r w:rsidR="00F8107D" w:rsidRPr="00260B02">
        <w:rPr>
          <w:rFonts w:ascii="Arial" w:hAnsi="Arial"/>
          <w:sz w:val="22"/>
          <w:szCs w:val="22"/>
        </w:rPr>
        <w:t xml:space="preserve"> studies </w:t>
      </w:r>
      <w:r w:rsidR="005213D1" w:rsidRPr="00260B02">
        <w:rPr>
          <w:rFonts w:ascii="Arial" w:hAnsi="Arial"/>
          <w:sz w:val="22"/>
          <w:szCs w:val="22"/>
        </w:rPr>
        <w:t xml:space="preserve">that the TGA relied on </w:t>
      </w:r>
      <w:r w:rsidR="000D5122" w:rsidRPr="00260B02">
        <w:rPr>
          <w:rFonts w:ascii="Arial" w:hAnsi="Arial"/>
          <w:sz w:val="22"/>
          <w:szCs w:val="22"/>
        </w:rPr>
        <w:t xml:space="preserve">as </w:t>
      </w:r>
      <w:r w:rsidR="005213D1" w:rsidRPr="00260B02">
        <w:rPr>
          <w:rFonts w:ascii="Arial" w:hAnsi="Arial"/>
          <w:sz w:val="22"/>
          <w:szCs w:val="22"/>
        </w:rPr>
        <w:t xml:space="preserve">pivotal evidence </w:t>
      </w:r>
      <w:r w:rsidR="009529A5" w:rsidRPr="00260B02">
        <w:rPr>
          <w:rFonts w:ascii="Arial" w:hAnsi="Arial"/>
          <w:sz w:val="22"/>
          <w:szCs w:val="22"/>
        </w:rPr>
        <w:t>to demonstrate</w:t>
      </w:r>
      <w:r w:rsidR="005213D1" w:rsidRPr="00260B02">
        <w:rPr>
          <w:rFonts w:ascii="Arial" w:hAnsi="Arial"/>
          <w:sz w:val="22"/>
          <w:szCs w:val="22"/>
        </w:rPr>
        <w:t xml:space="preserve"> equivalent efficacy </w:t>
      </w:r>
      <w:r w:rsidR="00F8107D" w:rsidRPr="00260B02">
        <w:rPr>
          <w:rFonts w:ascii="Arial" w:hAnsi="Arial"/>
          <w:sz w:val="22"/>
          <w:szCs w:val="22"/>
        </w:rPr>
        <w:t xml:space="preserve">are discussed in </w:t>
      </w:r>
      <w:r w:rsidR="004A5651" w:rsidRPr="00260B02">
        <w:rPr>
          <w:rFonts w:ascii="Arial" w:hAnsi="Arial"/>
          <w:sz w:val="22"/>
          <w:szCs w:val="22"/>
        </w:rPr>
        <w:t xml:space="preserve">paragraphs </w:t>
      </w:r>
      <w:r w:rsidR="00A122C6" w:rsidRPr="00260B02">
        <w:rPr>
          <w:rFonts w:ascii="Arial" w:hAnsi="Arial"/>
          <w:sz w:val="22"/>
          <w:szCs w:val="22"/>
        </w:rPr>
        <w:t>6.</w:t>
      </w:r>
      <w:r w:rsidR="00F23777" w:rsidRPr="00260B02">
        <w:rPr>
          <w:rFonts w:ascii="Arial" w:hAnsi="Arial"/>
          <w:sz w:val="22"/>
          <w:szCs w:val="22"/>
        </w:rPr>
        <w:t>9</w:t>
      </w:r>
      <w:r w:rsidR="00145F2F" w:rsidRPr="00260B02">
        <w:rPr>
          <w:rFonts w:ascii="Arial" w:hAnsi="Arial"/>
          <w:sz w:val="22"/>
          <w:szCs w:val="22"/>
        </w:rPr>
        <w:t xml:space="preserve"> to </w:t>
      </w:r>
      <w:r w:rsidR="00A122C6" w:rsidRPr="00260B02">
        <w:rPr>
          <w:rFonts w:ascii="Arial" w:hAnsi="Arial"/>
          <w:sz w:val="22"/>
          <w:szCs w:val="22"/>
        </w:rPr>
        <w:t>6.1</w:t>
      </w:r>
      <w:r w:rsidR="00F23777" w:rsidRPr="00260B02">
        <w:rPr>
          <w:rFonts w:ascii="Arial" w:hAnsi="Arial"/>
          <w:sz w:val="22"/>
          <w:szCs w:val="22"/>
        </w:rPr>
        <w:t>2</w:t>
      </w:r>
      <w:r w:rsidR="00F8107D" w:rsidRPr="00260B02">
        <w:rPr>
          <w:rFonts w:ascii="Arial" w:hAnsi="Arial"/>
          <w:sz w:val="22"/>
          <w:szCs w:val="22"/>
        </w:rPr>
        <w:t xml:space="preserve">. </w:t>
      </w:r>
    </w:p>
    <w:p w:rsidR="00817943" w:rsidRPr="00260B02" w:rsidRDefault="00817943" w:rsidP="003D4671">
      <w:pPr>
        <w:pStyle w:val="ListParagraph"/>
        <w:ind w:left="709"/>
        <w:jc w:val="both"/>
        <w:rPr>
          <w:rFonts w:ascii="Arial" w:hAnsi="Arial"/>
          <w:sz w:val="22"/>
          <w:szCs w:val="22"/>
        </w:rPr>
      </w:pPr>
    </w:p>
    <w:p w:rsidR="00817943" w:rsidRPr="00260B02" w:rsidRDefault="00817943" w:rsidP="00DD0588">
      <w:pPr>
        <w:pStyle w:val="ListParagraph"/>
        <w:numPr>
          <w:ilvl w:val="1"/>
          <w:numId w:val="25"/>
        </w:numPr>
        <w:jc w:val="both"/>
        <w:rPr>
          <w:rFonts w:ascii="Arial" w:hAnsi="Arial"/>
          <w:sz w:val="22"/>
          <w:szCs w:val="22"/>
        </w:rPr>
      </w:pPr>
      <w:r w:rsidRPr="00260B02">
        <w:rPr>
          <w:rFonts w:ascii="Arial" w:hAnsi="Arial"/>
          <w:sz w:val="22"/>
          <w:szCs w:val="22"/>
        </w:rPr>
        <w:t>The key features of t</w:t>
      </w:r>
      <w:r w:rsidR="003B5E55" w:rsidRPr="00260B02">
        <w:rPr>
          <w:rFonts w:ascii="Arial" w:hAnsi="Arial"/>
          <w:sz w:val="22"/>
          <w:szCs w:val="22"/>
        </w:rPr>
        <w:t xml:space="preserve">he ABEB study (also referred to as ELEMENT 1) </w:t>
      </w:r>
      <w:r w:rsidRPr="00260B02">
        <w:rPr>
          <w:rFonts w:ascii="Arial" w:hAnsi="Arial"/>
          <w:sz w:val="22"/>
          <w:szCs w:val="22"/>
        </w:rPr>
        <w:t xml:space="preserve">and ABEC study (also referred to as ELEMENT 2) are presented in </w:t>
      </w:r>
      <w:r w:rsidR="00052104" w:rsidRPr="00260B02">
        <w:rPr>
          <w:rFonts w:ascii="Arial" w:hAnsi="Arial"/>
          <w:sz w:val="22"/>
          <w:szCs w:val="22"/>
        </w:rPr>
        <w:t>in the table below</w:t>
      </w:r>
      <w:r w:rsidRPr="00260B02">
        <w:rPr>
          <w:rFonts w:ascii="Arial" w:hAnsi="Arial"/>
          <w:sz w:val="22"/>
          <w:szCs w:val="22"/>
        </w:rPr>
        <w:t>. Of particular note:</w:t>
      </w:r>
    </w:p>
    <w:p w:rsidR="00817943" w:rsidRPr="00260B02" w:rsidRDefault="00817943" w:rsidP="003D4671">
      <w:pPr>
        <w:pStyle w:val="ListParagraph"/>
        <w:numPr>
          <w:ilvl w:val="0"/>
          <w:numId w:val="49"/>
        </w:numPr>
        <w:jc w:val="both"/>
        <w:rPr>
          <w:rFonts w:ascii="Arial" w:hAnsi="Arial"/>
          <w:sz w:val="22"/>
          <w:szCs w:val="22"/>
        </w:rPr>
      </w:pPr>
      <w:r w:rsidRPr="00260B02">
        <w:rPr>
          <w:rFonts w:ascii="Arial" w:hAnsi="Arial"/>
          <w:sz w:val="22"/>
          <w:szCs w:val="22"/>
        </w:rPr>
        <w:t xml:space="preserve">ABEB was conducted in patients </w:t>
      </w:r>
      <w:r w:rsidR="003B5E55" w:rsidRPr="00260B02">
        <w:rPr>
          <w:rFonts w:ascii="Arial" w:hAnsi="Arial"/>
          <w:sz w:val="22"/>
          <w:szCs w:val="22"/>
        </w:rPr>
        <w:t>with type 1 diabetes</w:t>
      </w:r>
      <w:r w:rsidRPr="00260B02">
        <w:rPr>
          <w:rFonts w:ascii="Arial" w:hAnsi="Arial"/>
          <w:sz w:val="22"/>
          <w:szCs w:val="22"/>
        </w:rPr>
        <w:t>, while ABEC was conducted in patients with type 2 diabetes.</w:t>
      </w:r>
    </w:p>
    <w:p w:rsidR="00CD5AEA" w:rsidRPr="00260B02" w:rsidRDefault="00CD5AEA" w:rsidP="003D4671">
      <w:pPr>
        <w:pStyle w:val="ListParagraph"/>
        <w:numPr>
          <w:ilvl w:val="0"/>
          <w:numId w:val="49"/>
        </w:numPr>
        <w:jc w:val="both"/>
        <w:rPr>
          <w:rFonts w:ascii="Arial" w:hAnsi="Arial"/>
          <w:sz w:val="22"/>
          <w:szCs w:val="22"/>
        </w:rPr>
      </w:pPr>
      <w:r w:rsidRPr="00260B02">
        <w:rPr>
          <w:rFonts w:ascii="Arial" w:hAnsi="Arial"/>
          <w:sz w:val="22"/>
          <w:szCs w:val="22"/>
        </w:rPr>
        <w:t>Patients in ABEB were on basal-bolus insulin for at least one year prior to enrolment, and patients in ABEC were on at least two oral anti-hyperglycaemic medicines with or without Lantus.</w:t>
      </w:r>
    </w:p>
    <w:p w:rsidR="00CD5AEA" w:rsidRPr="00260B02" w:rsidRDefault="00CD5AEA" w:rsidP="003D4671">
      <w:pPr>
        <w:ind w:left="709"/>
        <w:jc w:val="both"/>
        <w:rPr>
          <w:rFonts w:ascii="Arial" w:hAnsi="Arial"/>
          <w:sz w:val="22"/>
          <w:szCs w:val="22"/>
          <w:u w:val="single"/>
        </w:rPr>
      </w:pPr>
    </w:p>
    <w:p w:rsidR="00817943" w:rsidRPr="00260B02" w:rsidRDefault="00CD5AEA" w:rsidP="003D4671">
      <w:pPr>
        <w:ind w:left="1058" w:firstLine="11"/>
        <w:jc w:val="both"/>
        <w:rPr>
          <w:rFonts w:ascii="Arial" w:hAnsi="Arial"/>
          <w:sz w:val="22"/>
          <w:szCs w:val="22"/>
        </w:rPr>
      </w:pPr>
      <w:r w:rsidRPr="00260B02">
        <w:rPr>
          <w:rFonts w:ascii="Arial" w:hAnsi="Arial"/>
          <w:sz w:val="22"/>
          <w:szCs w:val="22"/>
          <w:u w:val="single"/>
        </w:rPr>
        <w:t xml:space="preserve">Prior insulin exposure </w:t>
      </w:r>
    </w:p>
    <w:p w:rsidR="00CD5AEA" w:rsidRPr="00260B02" w:rsidRDefault="00817943" w:rsidP="003D4671">
      <w:pPr>
        <w:pStyle w:val="ListParagraph"/>
        <w:numPr>
          <w:ilvl w:val="0"/>
          <w:numId w:val="49"/>
        </w:numPr>
        <w:jc w:val="both"/>
        <w:rPr>
          <w:rFonts w:ascii="Arial" w:hAnsi="Arial"/>
          <w:sz w:val="22"/>
          <w:szCs w:val="22"/>
        </w:rPr>
      </w:pPr>
      <w:r w:rsidRPr="00260B02">
        <w:rPr>
          <w:rFonts w:ascii="Arial" w:hAnsi="Arial"/>
          <w:sz w:val="22"/>
          <w:szCs w:val="22"/>
        </w:rPr>
        <w:t xml:space="preserve">With regard to prior exposure to insulin glargine, all patients in ABEB </w:t>
      </w:r>
      <w:r w:rsidR="00CD5AEA" w:rsidRPr="00260B02">
        <w:rPr>
          <w:rFonts w:ascii="Arial" w:hAnsi="Arial"/>
          <w:sz w:val="22"/>
          <w:szCs w:val="22"/>
        </w:rPr>
        <w:t>were</w:t>
      </w:r>
      <w:r w:rsidR="001A3AC2" w:rsidRPr="00260B02">
        <w:rPr>
          <w:rFonts w:ascii="Arial" w:hAnsi="Arial"/>
          <w:sz w:val="22"/>
          <w:szCs w:val="22"/>
        </w:rPr>
        <w:t xml:space="preserve"> on basal-bolus insulin for at least one year prior to enrolment, and 84.</w:t>
      </w:r>
      <w:r w:rsidR="00F23777" w:rsidRPr="00260B02">
        <w:rPr>
          <w:rFonts w:ascii="Arial" w:hAnsi="Arial"/>
          <w:sz w:val="22"/>
          <w:szCs w:val="22"/>
        </w:rPr>
        <w:t>5</w:t>
      </w:r>
      <w:r w:rsidR="001A3AC2" w:rsidRPr="00260B02">
        <w:rPr>
          <w:rFonts w:ascii="Arial" w:hAnsi="Arial"/>
          <w:sz w:val="22"/>
          <w:szCs w:val="22"/>
        </w:rPr>
        <w:t>% were on Lantus</w:t>
      </w:r>
      <w:r w:rsidR="009529A5" w:rsidRPr="00260B02">
        <w:rPr>
          <w:rFonts w:ascii="Arial" w:hAnsi="Arial"/>
          <w:sz w:val="22"/>
          <w:szCs w:val="22"/>
        </w:rPr>
        <w:t xml:space="preserve"> as their basal insulin</w:t>
      </w:r>
      <w:r w:rsidR="00CD5AEA" w:rsidRPr="00260B02">
        <w:rPr>
          <w:rFonts w:ascii="Arial" w:hAnsi="Arial"/>
          <w:sz w:val="22"/>
          <w:szCs w:val="22"/>
        </w:rPr>
        <w:t>.</w:t>
      </w:r>
      <w:r w:rsidR="001A3AC2" w:rsidRPr="00260B02">
        <w:rPr>
          <w:rFonts w:ascii="Arial" w:hAnsi="Arial"/>
          <w:sz w:val="22"/>
          <w:szCs w:val="22"/>
        </w:rPr>
        <w:t xml:space="preserve"> ABEC enrolled </w:t>
      </w:r>
      <w:r w:rsidR="00DC22F2" w:rsidRPr="00260B02">
        <w:rPr>
          <w:rFonts w:ascii="Arial" w:hAnsi="Arial"/>
          <w:sz w:val="22"/>
          <w:szCs w:val="22"/>
        </w:rPr>
        <w:t xml:space="preserve">a mixture of patients </w:t>
      </w:r>
      <w:r w:rsidR="001A3AC2" w:rsidRPr="00260B02">
        <w:rPr>
          <w:rFonts w:ascii="Arial" w:hAnsi="Arial"/>
          <w:sz w:val="22"/>
          <w:szCs w:val="22"/>
        </w:rPr>
        <w:t>who were insulin-naïve and patients who were on Lantus</w:t>
      </w:r>
      <w:r w:rsidR="00DC22F2" w:rsidRPr="00260B02">
        <w:rPr>
          <w:rFonts w:ascii="Arial" w:hAnsi="Arial"/>
          <w:sz w:val="22"/>
          <w:szCs w:val="22"/>
        </w:rPr>
        <w:t>;</w:t>
      </w:r>
      <w:r w:rsidR="001A3AC2" w:rsidRPr="00260B02">
        <w:rPr>
          <w:rFonts w:ascii="Arial" w:hAnsi="Arial"/>
          <w:sz w:val="22"/>
          <w:szCs w:val="22"/>
        </w:rPr>
        <w:t xml:space="preserve"> </w:t>
      </w:r>
      <w:r w:rsidR="009529A5" w:rsidRPr="00260B02">
        <w:rPr>
          <w:rFonts w:ascii="Arial" w:hAnsi="Arial"/>
          <w:sz w:val="22"/>
          <w:szCs w:val="22"/>
        </w:rPr>
        <w:t xml:space="preserve">In ABEC </w:t>
      </w:r>
      <w:r w:rsidR="001A3AC2" w:rsidRPr="00260B02">
        <w:rPr>
          <w:rFonts w:ascii="Arial" w:hAnsi="Arial"/>
          <w:sz w:val="22"/>
          <w:szCs w:val="22"/>
        </w:rPr>
        <w:t xml:space="preserve">39.6% of patients were on Lantus at enrolment. </w:t>
      </w:r>
    </w:p>
    <w:p w:rsidR="00F4773A" w:rsidRPr="00260B02" w:rsidRDefault="00C52B49" w:rsidP="00F4773A">
      <w:pPr>
        <w:pStyle w:val="ListParagraph"/>
        <w:ind w:left="1069"/>
        <w:jc w:val="both"/>
        <w:rPr>
          <w:rFonts w:ascii="Arial" w:hAnsi="Arial"/>
          <w:sz w:val="22"/>
          <w:szCs w:val="22"/>
        </w:rPr>
      </w:pPr>
      <w:r w:rsidRPr="00260B02">
        <w:rPr>
          <w:rFonts w:ascii="Arial" w:hAnsi="Arial"/>
          <w:sz w:val="22"/>
          <w:szCs w:val="22"/>
        </w:rPr>
        <w:t>The table below</w:t>
      </w:r>
      <w:r w:rsidR="001A3AC2" w:rsidRPr="00260B02">
        <w:rPr>
          <w:rFonts w:ascii="Arial" w:hAnsi="Arial"/>
          <w:sz w:val="22"/>
          <w:szCs w:val="22"/>
        </w:rPr>
        <w:t xml:space="preserve"> outlines the </w:t>
      </w:r>
      <w:r w:rsidR="00CD5AEA" w:rsidRPr="00260B02">
        <w:rPr>
          <w:rFonts w:ascii="Arial" w:hAnsi="Arial"/>
          <w:sz w:val="22"/>
          <w:szCs w:val="22"/>
        </w:rPr>
        <w:t>trial p</w:t>
      </w:r>
      <w:r w:rsidR="001A3AC2" w:rsidRPr="00260B02">
        <w:rPr>
          <w:rFonts w:ascii="Arial" w:hAnsi="Arial"/>
          <w:sz w:val="22"/>
          <w:szCs w:val="22"/>
        </w:rPr>
        <w:t>rotocols for switching from Lantus to the study</w:t>
      </w:r>
      <w:r w:rsidR="00CD5AEA" w:rsidRPr="00260B02">
        <w:rPr>
          <w:rFonts w:ascii="Arial" w:hAnsi="Arial"/>
          <w:sz w:val="22"/>
          <w:szCs w:val="22"/>
        </w:rPr>
        <w:t xml:space="preserve"> drug</w:t>
      </w:r>
      <w:r w:rsidR="001A3AC2" w:rsidRPr="00260B02">
        <w:rPr>
          <w:rFonts w:ascii="Arial" w:hAnsi="Arial"/>
          <w:sz w:val="22"/>
          <w:szCs w:val="22"/>
        </w:rPr>
        <w:t xml:space="preserve">. </w:t>
      </w:r>
      <w:r w:rsidR="00CD5AEA" w:rsidRPr="00260B02">
        <w:rPr>
          <w:rFonts w:ascii="Arial" w:hAnsi="Arial"/>
          <w:sz w:val="22"/>
          <w:szCs w:val="22"/>
        </w:rPr>
        <w:t>Patients who were on Lantus and switched to Basaglar seem to have directly switched at a dose equivalent to the dose of Lantus that was ceased</w:t>
      </w:r>
      <w:r w:rsidR="00F23777" w:rsidRPr="00260B02">
        <w:rPr>
          <w:rFonts w:ascii="Arial" w:hAnsi="Arial"/>
          <w:sz w:val="22"/>
          <w:szCs w:val="22"/>
        </w:rPr>
        <w:t>, followed by titration</w:t>
      </w:r>
      <w:r w:rsidR="00CD5AEA" w:rsidRPr="00260B02">
        <w:rPr>
          <w:rFonts w:ascii="Arial" w:hAnsi="Arial"/>
          <w:sz w:val="22"/>
          <w:szCs w:val="22"/>
        </w:rPr>
        <w:t xml:space="preserve">. </w:t>
      </w:r>
    </w:p>
    <w:p w:rsidR="00F14EE0" w:rsidRPr="00260B02" w:rsidRDefault="00F14EE0" w:rsidP="00F4773A">
      <w:pPr>
        <w:pStyle w:val="ListParagraph"/>
        <w:numPr>
          <w:ilvl w:val="0"/>
          <w:numId w:val="49"/>
        </w:numPr>
        <w:jc w:val="both"/>
        <w:rPr>
          <w:rFonts w:ascii="Arial" w:hAnsi="Arial"/>
          <w:sz w:val="22"/>
          <w:szCs w:val="22"/>
          <w:u w:val="single"/>
        </w:rPr>
      </w:pPr>
      <w:r w:rsidRPr="00260B02">
        <w:rPr>
          <w:rFonts w:ascii="Arial" w:hAnsi="Arial"/>
          <w:sz w:val="22"/>
          <w:szCs w:val="22"/>
        </w:rPr>
        <w:t xml:space="preserve">The pre-PBAC response outlined that, “in the </w:t>
      </w:r>
      <w:r w:rsidR="005F0CEE" w:rsidRPr="00260B02">
        <w:rPr>
          <w:rFonts w:ascii="Arial" w:hAnsi="Arial"/>
          <w:sz w:val="22"/>
          <w:szCs w:val="22"/>
        </w:rPr>
        <w:t>ABEB (</w:t>
      </w:r>
      <w:r w:rsidRPr="00260B02">
        <w:rPr>
          <w:rFonts w:ascii="Arial" w:hAnsi="Arial"/>
          <w:sz w:val="22"/>
          <w:szCs w:val="22"/>
        </w:rPr>
        <w:t>ELEMENT-1</w:t>
      </w:r>
      <w:r w:rsidR="005F0CEE" w:rsidRPr="00260B02">
        <w:rPr>
          <w:rFonts w:ascii="Arial" w:hAnsi="Arial"/>
          <w:sz w:val="22"/>
          <w:szCs w:val="22"/>
        </w:rPr>
        <w:t>)</w:t>
      </w:r>
      <w:r w:rsidRPr="00260B02">
        <w:rPr>
          <w:rFonts w:ascii="Arial" w:hAnsi="Arial"/>
          <w:sz w:val="22"/>
          <w:szCs w:val="22"/>
        </w:rPr>
        <w:t xml:space="preserve"> and</w:t>
      </w:r>
      <w:r w:rsidR="005F0CEE" w:rsidRPr="00260B02">
        <w:rPr>
          <w:rFonts w:ascii="Arial" w:hAnsi="Arial"/>
          <w:sz w:val="22"/>
          <w:szCs w:val="22"/>
        </w:rPr>
        <w:t xml:space="preserve"> ABEC (</w:t>
      </w:r>
      <w:r w:rsidRPr="00260B02">
        <w:rPr>
          <w:rFonts w:ascii="Arial" w:hAnsi="Arial"/>
          <w:sz w:val="22"/>
          <w:szCs w:val="22"/>
        </w:rPr>
        <w:t>ELEMENT-2</w:t>
      </w:r>
      <w:r w:rsidR="005F0CEE" w:rsidRPr="00260B02">
        <w:rPr>
          <w:rFonts w:ascii="Arial" w:hAnsi="Arial"/>
          <w:sz w:val="22"/>
          <w:szCs w:val="22"/>
        </w:rPr>
        <w:t>)</w:t>
      </w:r>
      <w:r w:rsidRPr="00260B02">
        <w:rPr>
          <w:rFonts w:ascii="Arial" w:hAnsi="Arial"/>
          <w:sz w:val="22"/>
          <w:szCs w:val="22"/>
        </w:rPr>
        <w:t xml:space="preserve"> trials, the medical supervision for patients switching from Lantus to Basaglar was not different from the supervision in patients who stayed on Lantus. Both patient groups followed the same visits schedule to assess patients’ response to study drug which included in-office visits and telephone visits. In both trials, patients who switched from Lantus to Basaglar demonstrated similar </w:t>
      </w:r>
      <w:r w:rsidR="007E0EA4" w:rsidRPr="00260B02">
        <w:rPr>
          <w:rFonts w:ascii="Arial" w:hAnsi="Arial"/>
          <w:sz w:val="22"/>
          <w:szCs w:val="22"/>
        </w:rPr>
        <w:t>glycaemic</w:t>
      </w:r>
      <w:r w:rsidRPr="00260B02">
        <w:rPr>
          <w:rFonts w:ascii="Arial" w:hAnsi="Arial"/>
          <w:sz w:val="22"/>
          <w:szCs w:val="22"/>
        </w:rPr>
        <w:t xml:space="preserve"> control and safety profile (</w:t>
      </w:r>
      <w:r w:rsidR="007E0EA4" w:rsidRPr="00260B02">
        <w:rPr>
          <w:rFonts w:ascii="Arial" w:hAnsi="Arial"/>
          <w:sz w:val="22"/>
          <w:szCs w:val="22"/>
        </w:rPr>
        <w:t>hypoglycaemia</w:t>
      </w:r>
      <w:r w:rsidRPr="00260B02">
        <w:rPr>
          <w:rFonts w:ascii="Arial" w:hAnsi="Arial"/>
          <w:sz w:val="22"/>
          <w:szCs w:val="22"/>
        </w:rPr>
        <w:t xml:space="preserve"> rate, AEs, immunogenicity) to patients who remained on Lantus.”</w:t>
      </w:r>
    </w:p>
    <w:p w:rsidR="005F0CEE" w:rsidRPr="00260B02" w:rsidRDefault="005F0CEE" w:rsidP="00C52B49">
      <w:pPr>
        <w:pStyle w:val="ListParagraph"/>
        <w:ind w:left="1069"/>
        <w:jc w:val="both"/>
        <w:rPr>
          <w:rFonts w:ascii="Arial" w:hAnsi="Arial"/>
          <w:sz w:val="22"/>
          <w:szCs w:val="22"/>
        </w:rPr>
      </w:pPr>
    </w:p>
    <w:p w:rsidR="00CD5AEA" w:rsidRPr="00260B02" w:rsidRDefault="00CD5AEA" w:rsidP="003D4671">
      <w:pPr>
        <w:pStyle w:val="ListParagraph"/>
        <w:ind w:left="1069"/>
        <w:jc w:val="both"/>
        <w:rPr>
          <w:rFonts w:ascii="Arial" w:hAnsi="Arial"/>
          <w:sz w:val="22"/>
          <w:szCs w:val="22"/>
          <w:u w:val="single"/>
        </w:rPr>
      </w:pPr>
      <w:r w:rsidRPr="00260B02">
        <w:rPr>
          <w:rFonts w:ascii="Arial" w:hAnsi="Arial"/>
          <w:sz w:val="22"/>
          <w:szCs w:val="22"/>
          <w:u w:val="single"/>
        </w:rPr>
        <w:t>Concomitant anti-hyperglycaemic therapy</w:t>
      </w:r>
    </w:p>
    <w:p w:rsidR="00CD5AEA" w:rsidRPr="00260B02" w:rsidRDefault="00CD5AEA" w:rsidP="003D4671">
      <w:pPr>
        <w:pStyle w:val="ListParagraph"/>
        <w:numPr>
          <w:ilvl w:val="0"/>
          <w:numId w:val="49"/>
        </w:numPr>
        <w:jc w:val="both"/>
        <w:rPr>
          <w:rFonts w:ascii="Arial" w:hAnsi="Arial"/>
          <w:sz w:val="22"/>
          <w:szCs w:val="22"/>
        </w:rPr>
      </w:pPr>
      <w:r w:rsidRPr="00260B02">
        <w:rPr>
          <w:rFonts w:ascii="Arial" w:hAnsi="Arial"/>
          <w:sz w:val="22"/>
          <w:szCs w:val="22"/>
        </w:rPr>
        <w:t xml:space="preserve">Patients in ABEB received pre-meal short acting insulin (insulin lispro) three times daily and Basalgar or Lantus once daily. </w:t>
      </w:r>
    </w:p>
    <w:p w:rsidR="00CD5AEA" w:rsidRPr="00260B02" w:rsidRDefault="00CD5AEA" w:rsidP="003D4671">
      <w:pPr>
        <w:pStyle w:val="ListParagraph"/>
        <w:numPr>
          <w:ilvl w:val="0"/>
          <w:numId w:val="49"/>
        </w:numPr>
        <w:jc w:val="both"/>
        <w:rPr>
          <w:rFonts w:ascii="Arial" w:hAnsi="Arial"/>
          <w:sz w:val="22"/>
          <w:szCs w:val="22"/>
        </w:rPr>
      </w:pPr>
      <w:r w:rsidRPr="00260B02">
        <w:rPr>
          <w:rFonts w:ascii="Arial" w:hAnsi="Arial"/>
          <w:sz w:val="22"/>
          <w:szCs w:val="22"/>
        </w:rPr>
        <w:t>Patients in ABEC continued their pre-study oral anti-hyperglyca</w:t>
      </w:r>
      <w:r w:rsidR="004A5651" w:rsidRPr="00260B02">
        <w:rPr>
          <w:rFonts w:ascii="Arial" w:hAnsi="Arial"/>
          <w:sz w:val="22"/>
          <w:szCs w:val="22"/>
        </w:rPr>
        <w:t>e</w:t>
      </w:r>
      <w:r w:rsidRPr="00260B02">
        <w:rPr>
          <w:rFonts w:ascii="Arial" w:hAnsi="Arial"/>
          <w:sz w:val="22"/>
          <w:szCs w:val="22"/>
        </w:rPr>
        <w:t xml:space="preserve">mic medicines and received Basalgar or Lantus once daily.  </w:t>
      </w:r>
    </w:p>
    <w:p w:rsidR="003B5E55" w:rsidRPr="00260B02" w:rsidRDefault="003B5E55" w:rsidP="003D4671">
      <w:pPr>
        <w:pStyle w:val="ListParagraph"/>
        <w:ind w:left="1069"/>
        <w:jc w:val="both"/>
        <w:rPr>
          <w:rFonts w:ascii="Arial" w:hAnsi="Arial"/>
          <w:sz w:val="22"/>
          <w:szCs w:val="22"/>
        </w:rPr>
      </w:pPr>
    </w:p>
    <w:p w:rsidR="00817943" w:rsidRPr="00260B02" w:rsidRDefault="00817943" w:rsidP="001A20F5">
      <w:pPr>
        <w:pStyle w:val="ListParagraph"/>
        <w:keepNext/>
        <w:keepLines/>
        <w:ind w:left="709"/>
        <w:jc w:val="both"/>
        <w:rPr>
          <w:rFonts w:ascii="Arial Narrow" w:eastAsiaTheme="majorEastAsia" w:hAnsi="Arial Narrow" w:cstheme="minorHAnsi"/>
          <w:b/>
          <w:bCs/>
          <w:sz w:val="20"/>
          <w:szCs w:val="18"/>
          <w:lang w:eastAsia="en-US" w:bidi="en-US"/>
        </w:rPr>
      </w:pPr>
      <w:r w:rsidRPr="00260B02">
        <w:rPr>
          <w:rFonts w:ascii="Arial Narrow" w:eastAsiaTheme="majorEastAsia" w:hAnsi="Arial Narrow" w:cstheme="minorHAnsi"/>
          <w:b/>
          <w:bCs/>
          <w:sz w:val="20"/>
          <w:szCs w:val="18"/>
          <w:lang w:eastAsia="en-US" w:bidi="en-US"/>
        </w:rPr>
        <w:lastRenderedPageBreak/>
        <w:t xml:space="preserve">Key features of the two phase 3 trials presents (ABEB and ABEC) </w:t>
      </w:r>
    </w:p>
    <w:tbl>
      <w:tblPr>
        <w:tblStyle w:val="TableGrid"/>
        <w:tblW w:w="0" w:type="auto"/>
        <w:tblInd w:w="709" w:type="dxa"/>
        <w:tblLook w:val="04A0" w:firstRow="1" w:lastRow="0" w:firstColumn="1" w:lastColumn="0" w:noHBand="0" w:noVBand="1"/>
        <w:tblCaption w:val="Clinical trials - key features"/>
      </w:tblPr>
      <w:tblGrid>
        <w:gridCol w:w="1465"/>
        <w:gridCol w:w="3534"/>
        <w:gridCol w:w="3534"/>
      </w:tblGrid>
      <w:tr w:rsidR="003B5E55" w:rsidRPr="00260B02" w:rsidTr="003D4671">
        <w:tc>
          <w:tcPr>
            <w:tcW w:w="1465" w:type="dxa"/>
          </w:tcPr>
          <w:p w:rsidR="003B5E55" w:rsidRPr="00260B02" w:rsidRDefault="003B5E55" w:rsidP="001A20F5">
            <w:pPr>
              <w:pStyle w:val="ListParagraph"/>
              <w:keepNext/>
              <w:keepLines/>
              <w:ind w:left="0"/>
              <w:jc w:val="both"/>
              <w:rPr>
                <w:rFonts w:ascii="Arial Narrow" w:hAnsi="Arial Narrow"/>
                <w:b/>
                <w:sz w:val="20"/>
                <w:szCs w:val="20"/>
              </w:rPr>
            </w:pPr>
          </w:p>
        </w:tc>
        <w:tc>
          <w:tcPr>
            <w:tcW w:w="3534" w:type="dxa"/>
          </w:tcPr>
          <w:p w:rsidR="003B5E55" w:rsidRPr="00260B02" w:rsidRDefault="003B5E55" w:rsidP="001A20F5">
            <w:pPr>
              <w:pStyle w:val="ListParagraph"/>
              <w:keepNext/>
              <w:keepLines/>
              <w:ind w:left="0"/>
              <w:jc w:val="both"/>
              <w:rPr>
                <w:rFonts w:ascii="Arial Narrow" w:hAnsi="Arial Narrow"/>
                <w:b/>
                <w:sz w:val="20"/>
                <w:szCs w:val="20"/>
              </w:rPr>
            </w:pPr>
            <w:r w:rsidRPr="00260B02">
              <w:rPr>
                <w:rFonts w:ascii="Arial Narrow" w:hAnsi="Arial Narrow"/>
                <w:b/>
                <w:sz w:val="20"/>
                <w:szCs w:val="20"/>
              </w:rPr>
              <w:t>ABEB (ELEMENT 1)</w:t>
            </w:r>
          </w:p>
        </w:tc>
        <w:tc>
          <w:tcPr>
            <w:tcW w:w="3534" w:type="dxa"/>
          </w:tcPr>
          <w:p w:rsidR="003B5E55" w:rsidRPr="00260B02" w:rsidRDefault="003B5E55" w:rsidP="001A20F5">
            <w:pPr>
              <w:pStyle w:val="ListParagraph"/>
              <w:keepNext/>
              <w:keepLines/>
              <w:ind w:left="0"/>
              <w:jc w:val="both"/>
              <w:rPr>
                <w:rFonts w:ascii="Arial Narrow" w:hAnsi="Arial Narrow"/>
                <w:b/>
                <w:sz w:val="20"/>
                <w:szCs w:val="20"/>
              </w:rPr>
            </w:pPr>
            <w:r w:rsidRPr="00260B02">
              <w:rPr>
                <w:rFonts w:ascii="Arial Narrow" w:hAnsi="Arial Narrow"/>
                <w:b/>
                <w:sz w:val="20"/>
                <w:szCs w:val="20"/>
              </w:rPr>
              <w:t>ABEC (ELEMENT 2)</w:t>
            </w:r>
          </w:p>
        </w:tc>
      </w:tr>
      <w:tr w:rsidR="003B5E55" w:rsidRPr="00260B02" w:rsidTr="003D4671">
        <w:tc>
          <w:tcPr>
            <w:tcW w:w="1465" w:type="dxa"/>
          </w:tcPr>
          <w:p w:rsidR="003B5E55" w:rsidRPr="00260B02" w:rsidRDefault="003B5E55" w:rsidP="001A20F5">
            <w:pPr>
              <w:pStyle w:val="ListParagraph"/>
              <w:keepNext/>
              <w:keepLines/>
              <w:ind w:left="0"/>
              <w:rPr>
                <w:rFonts w:ascii="Arial Narrow" w:hAnsi="Arial Narrow"/>
                <w:b/>
                <w:sz w:val="20"/>
                <w:szCs w:val="20"/>
              </w:rPr>
            </w:pPr>
            <w:r w:rsidRPr="00260B02">
              <w:rPr>
                <w:rFonts w:ascii="Arial Narrow" w:hAnsi="Arial Narrow"/>
                <w:b/>
                <w:sz w:val="20"/>
                <w:szCs w:val="20"/>
              </w:rPr>
              <w:t>Patient population</w:t>
            </w:r>
          </w:p>
        </w:tc>
        <w:tc>
          <w:tcPr>
            <w:tcW w:w="3534" w:type="dxa"/>
          </w:tcPr>
          <w:p w:rsidR="003B5E55" w:rsidRPr="00260B02" w:rsidRDefault="003B5E55" w:rsidP="001A20F5">
            <w:pPr>
              <w:pStyle w:val="ListParagraph"/>
              <w:keepNext/>
              <w:keepLines/>
              <w:ind w:left="0"/>
              <w:jc w:val="both"/>
              <w:rPr>
                <w:rFonts w:ascii="Arial Narrow" w:hAnsi="Arial Narrow"/>
                <w:sz w:val="20"/>
                <w:szCs w:val="20"/>
              </w:rPr>
            </w:pPr>
            <w:r w:rsidRPr="00260B02">
              <w:rPr>
                <w:rFonts w:ascii="Arial Narrow" w:hAnsi="Arial Narrow"/>
                <w:sz w:val="20"/>
                <w:szCs w:val="20"/>
              </w:rPr>
              <w:t>Type 1 diabetes</w:t>
            </w:r>
          </w:p>
          <w:p w:rsidR="007E1CD1" w:rsidRPr="00260B02" w:rsidRDefault="007E1CD1" w:rsidP="001A20F5">
            <w:pPr>
              <w:pStyle w:val="ListParagraph"/>
              <w:keepNext/>
              <w:keepLines/>
              <w:ind w:left="0"/>
              <w:jc w:val="both"/>
              <w:rPr>
                <w:rFonts w:ascii="Arial Narrow" w:hAnsi="Arial Narrow"/>
                <w:sz w:val="20"/>
                <w:szCs w:val="20"/>
              </w:rPr>
            </w:pPr>
            <w:r w:rsidRPr="00260B02">
              <w:rPr>
                <w:rFonts w:ascii="Arial Narrow" w:hAnsi="Arial Narrow"/>
                <w:sz w:val="20"/>
                <w:szCs w:val="20"/>
              </w:rPr>
              <w:t>On basal-bolus insulin for at least one year.</w:t>
            </w:r>
          </w:p>
        </w:tc>
        <w:tc>
          <w:tcPr>
            <w:tcW w:w="3534" w:type="dxa"/>
          </w:tcPr>
          <w:p w:rsidR="007E1CD1" w:rsidRPr="00260B02" w:rsidRDefault="003B5E55" w:rsidP="001A20F5">
            <w:pPr>
              <w:pStyle w:val="ListParagraph"/>
              <w:keepNext/>
              <w:keepLines/>
              <w:ind w:left="0"/>
              <w:jc w:val="both"/>
              <w:rPr>
                <w:rFonts w:ascii="Arial Narrow" w:hAnsi="Arial Narrow"/>
                <w:sz w:val="20"/>
                <w:szCs w:val="20"/>
              </w:rPr>
            </w:pPr>
            <w:r w:rsidRPr="00260B02">
              <w:rPr>
                <w:rFonts w:ascii="Arial Narrow" w:hAnsi="Arial Narrow"/>
                <w:sz w:val="20"/>
                <w:szCs w:val="20"/>
              </w:rPr>
              <w:t>Type 2 dia</w:t>
            </w:r>
            <w:r w:rsidR="007E1CD1" w:rsidRPr="00260B02">
              <w:rPr>
                <w:rFonts w:ascii="Arial Narrow" w:hAnsi="Arial Narrow"/>
                <w:sz w:val="20"/>
                <w:szCs w:val="20"/>
              </w:rPr>
              <w:t xml:space="preserve">betes </w:t>
            </w:r>
          </w:p>
          <w:p w:rsidR="007E1CD1" w:rsidRPr="00260B02" w:rsidRDefault="007E1CD1" w:rsidP="001A20F5">
            <w:pPr>
              <w:pStyle w:val="ListParagraph"/>
              <w:keepNext/>
              <w:keepLines/>
              <w:ind w:left="0"/>
              <w:jc w:val="both"/>
              <w:rPr>
                <w:rFonts w:ascii="Arial Narrow" w:hAnsi="Arial Narrow"/>
                <w:sz w:val="20"/>
                <w:szCs w:val="20"/>
              </w:rPr>
            </w:pPr>
            <w:r w:rsidRPr="00260B02">
              <w:rPr>
                <w:rFonts w:ascii="Arial Narrow" w:hAnsi="Arial Narrow"/>
                <w:sz w:val="20"/>
                <w:szCs w:val="20"/>
              </w:rPr>
              <w:t>on at least two oral anti-</w:t>
            </w:r>
            <w:r w:rsidR="007E0EA4" w:rsidRPr="00260B02">
              <w:rPr>
                <w:rFonts w:ascii="Arial Narrow" w:hAnsi="Arial Narrow"/>
                <w:sz w:val="20"/>
                <w:szCs w:val="20"/>
              </w:rPr>
              <w:t>hyperglycaemic</w:t>
            </w:r>
            <w:r w:rsidRPr="00260B02">
              <w:rPr>
                <w:rFonts w:ascii="Arial Narrow" w:hAnsi="Arial Narrow"/>
                <w:sz w:val="20"/>
                <w:szCs w:val="20"/>
              </w:rPr>
              <w:t xml:space="preserve"> medicines (+/- Lantus). </w:t>
            </w:r>
          </w:p>
        </w:tc>
      </w:tr>
      <w:tr w:rsidR="00F2144D" w:rsidRPr="00260B02" w:rsidTr="003D4671">
        <w:tc>
          <w:tcPr>
            <w:tcW w:w="1465" w:type="dxa"/>
          </w:tcPr>
          <w:p w:rsidR="00F2144D" w:rsidRPr="00260B02" w:rsidRDefault="00F2144D" w:rsidP="001A20F5">
            <w:pPr>
              <w:pStyle w:val="ListParagraph"/>
              <w:keepNext/>
              <w:keepLines/>
              <w:ind w:left="0"/>
              <w:rPr>
                <w:rFonts w:ascii="Arial Narrow" w:hAnsi="Arial Narrow"/>
                <w:b/>
                <w:sz w:val="20"/>
                <w:szCs w:val="20"/>
              </w:rPr>
            </w:pPr>
            <w:r w:rsidRPr="00260B02">
              <w:rPr>
                <w:rFonts w:ascii="Arial Narrow" w:hAnsi="Arial Narrow"/>
                <w:b/>
                <w:sz w:val="20"/>
                <w:szCs w:val="20"/>
              </w:rPr>
              <w:t>Number of participants</w:t>
            </w:r>
          </w:p>
        </w:tc>
        <w:tc>
          <w:tcPr>
            <w:tcW w:w="3534" w:type="dxa"/>
          </w:tcPr>
          <w:p w:rsidR="00F2144D" w:rsidRPr="00260B02" w:rsidRDefault="00F2144D" w:rsidP="001A20F5">
            <w:pPr>
              <w:pStyle w:val="ListParagraph"/>
              <w:keepNext/>
              <w:keepLines/>
              <w:ind w:left="0"/>
              <w:jc w:val="both"/>
              <w:rPr>
                <w:rFonts w:ascii="Arial Narrow" w:hAnsi="Arial Narrow"/>
                <w:sz w:val="20"/>
                <w:szCs w:val="20"/>
              </w:rPr>
            </w:pPr>
            <w:r w:rsidRPr="00260B02">
              <w:rPr>
                <w:rFonts w:ascii="Arial Narrow" w:hAnsi="Arial Narrow"/>
                <w:sz w:val="20"/>
                <w:szCs w:val="20"/>
              </w:rPr>
              <w:t>534</w:t>
            </w:r>
          </w:p>
        </w:tc>
        <w:tc>
          <w:tcPr>
            <w:tcW w:w="3534" w:type="dxa"/>
          </w:tcPr>
          <w:p w:rsidR="00F2144D" w:rsidRPr="00260B02" w:rsidRDefault="00602ABC" w:rsidP="001A20F5">
            <w:pPr>
              <w:pStyle w:val="ListParagraph"/>
              <w:keepNext/>
              <w:keepLines/>
              <w:ind w:left="0"/>
              <w:jc w:val="both"/>
              <w:rPr>
                <w:rFonts w:ascii="Arial Narrow" w:hAnsi="Arial Narrow"/>
                <w:sz w:val="20"/>
                <w:szCs w:val="20"/>
              </w:rPr>
            </w:pPr>
            <w:r w:rsidRPr="00260B02">
              <w:rPr>
                <w:rFonts w:ascii="Arial Narrow" w:hAnsi="Arial Narrow"/>
                <w:sz w:val="20"/>
                <w:szCs w:val="20"/>
              </w:rPr>
              <w:t>756</w:t>
            </w:r>
          </w:p>
        </w:tc>
      </w:tr>
      <w:tr w:rsidR="00FE1C56" w:rsidRPr="00260B02" w:rsidTr="003D4671">
        <w:tc>
          <w:tcPr>
            <w:tcW w:w="1465" w:type="dxa"/>
          </w:tcPr>
          <w:p w:rsidR="00FE1C56" w:rsidRPr="00260B02" w:rsidRDefault="00FE1C56" w:rsidP="001A20F5">
            <w:pPr>
              <w:pStyle w:val="ListParagraph"/>
              <w:keepNext/>
              <w:keepLines/>
              <w:ind w:left="0"/>
              <w:rPr>
                <w:rFonts w:ascii="Arial Narrow" w:hAnsi="Arial Narrow"/>
                <w:b/>
                <w:sz w:val="20"/>
                <w:szCs w:val="20"/>
              </w:rPr>
            </w:pPr>
            <w:r w:rsidRPr="00260B02">
              <w:rPr>
                <w:rFonts w:ascii="Arial Narrow" w:hAnsi="Arial Narrow"/>
                <w:b/>
                <w:sz w:val="20"/>
                <w:szCs w:val="20"/>
              </w:rPr>
              <w:t>Study design</w:t>
            </w:r>
          </w:p>
        </w:tc>
        <w:tc>
          <w:tcPr>
            <w:tcW w:w="3534" w:type="dxa"/>
          </w:tcPr>
          <w:p w:rsidR="00FE1C56" w:rsidRPr="00260B02" w:rsidRDefault="00FE1C56" w:rsidP="001A20F5">
            <w:pPr>
              <w:pStyle w:val="ListParagraph"/>
              <w:keepNext/>
              <w:keepLines/>
              <w:ind w:left="0"/>
              <w:jc w:val="both"/>
              <w:rPr>
                <w:rFonts w:ascii="Arial Narrow" w:hAnsi="Arial Narrow"/>
                <w:sz w:val="20"/>
                <w:szCs w:val="20"/>
              </w:rPr>
            </w:pPr>
            <w:r w:rsidRPr="00260B02">
              <w:rPr>
                <w:rFonts w:ascii="Arial Narrow" w:hAnsi="Arial Narrow"/>
                <w:sz w:val="20"/>
                <w:szCs w:val="20"/>
              </w:rPr>
              <w:t>Non-inferiority</w:t>
            </w:r>
            <w:r w:rsidR="00F2144D" w:rsidRPr="00260B02">
              <w:rPr>
                <w:rFonts w:ascii="Arial Narrow" w:hAnsi="Arial Narrow"/>
                <w:sz w:val="20"/>
                <w:szCs w:val="20"/>
              </w:rPr>
              <w:t xml:space="preserve"> (pre-defined margin of 0.4% and 0.3%  change in HbA1c)</w:t>
            </w:r>
          </w:p>
        </w:tc>
        <w:tc>
          <w:tcPr>
            <w:tcW w:w="3534" w:type="dxa"/>
          </w:tcPr>
          <w:p w:rsidR="00FE1C56" w:rsidRPr="00260B02" w:rsidRDefault="00FE1C56" w:rsidP="001A20F5">
            <w:pPr>
              <w:pStyle w:val="ListParagraph"/>
              <w:keepNext/>
              <w:keepLines/>
              <w:ind w:left="0"/>
              <w:jc w:val="both"/>
              <w:rPr>
                <w:rFonts w:ascii="Arial Narrow" w:hAnsi="Arial Narrow"/>
                <w:sz w:val="20"/>
                <w:szCs w:val="20"/>
              </w:rPr>
            </w:pPr>
            <w:r w:rsidRPr="00260B02">
              <w:rPr>
                <w:rFonts w:ascii="Arial Narrow" w:hAnsi="Arial Narrow"/>
                <w:sz w:val="20"/>
                <w:szCs w:val="20"/>
              </w:rPr>
              <w:t>Non-inferiority</w:t>
            </w:r>
            <w:r w:rsidR="00F2144D" w:rsidRPr="00260B02">
              <w:rPr>
                <w:rFonts w:ascii="Arial Narrow" w:hAnsi="Arial Narrow"/>
                <w:sz w:val="20"/>
                <w:szCs w:val="20"/>
              </w:rPr>
              <w:t xml:space="preserve"> (pre-defined margin of 0.4% and 0.3% change in HbA1c)</w:t>
            </w:r>
          </w:p>
        </w:tc>
      </w:tr>
      <w:tr w:rsidR="007E1CD1" w:rsidRPr="00260B02" w:rsidTr="003D4671">
        <w:tc>
          <w:tcPr>
            <w:tcW w:w="1465" w:type="dxa"/>
          </w:tcPr>
          <w:p w:rsidR="00FE1C56" w:rsidRPr="00260B02" w:rsidRDefault="00FE1C56" w:rsidP="001A20F5">
            <w:pPr>
              <w:pStyle w:val="ListParagraph"/>
              <w:keepNext/>
              <w:keepLines/>
              <w:ind w:left="0"/>
              <w:rPr>
                <w:rFonts w:ascii="Arial Narrow" w:hAnsi="Arial Narrow"/>
                <w:b/>
                <w:sz w:val="20"/>
                <w:szCs w:val="20"/>
              </w:rPr>
            </w:pPr>
            <w:r w:rsidRPr="00260B02">
              <w:rPr>
                <w:rFonts w:ascii="Arial Narrow" w:hAnsi="Arial Narrow"/>
                <w:b/>
                <w:sz w:val="20"/>
                <w:szCs w:val="20"/>
              </w:rPr>
              <w:t>Primary outcome</w:t>
            </w:r>
          </w:p>
        </w:tc>
        <w:tc>
          <w:tcPr>
            <w:tcW w:w="3534" w:type="dxa"/>
          </w:tcPr>
          <w:p w:rsidR="00FE1C56" w:rsidRPr="00260B02" w:rsidRDefault="00FE1C56" w:rsidP="001A20F5">
            <w:pPr>
              <w:pStyle w:val="ListParagraph"/>
              <w:keepNext/>
              <w:keepLines/>
              <w:ind w:left="0"/>
              <w:jc w:val="both"/>
              <w:rPr>
                <w:rFonts w:ascii="Arial Narrow" w:hAnsi="Arial Narrow"/>
                <w:sz w:val="20"/>
                <w:szCs w:val="20"/>
              </w:rPr>
            </w:pPr>
            <w:r w:rsidRPr="00260B02">
              <w:rPr>
                <w:rFonts w:ascii="Arial Narrow" w:hAnsi="Arial Narrow"/>
                <w:sz w:val="20"/>
                <w:szCs w:val="20"/>
              </w:rPr>
              <w:t>change in HbA1c from baseline to 24 weeks</w:t>
            </w:r>
          </w:p>
        </w:tc>
        <w:tc>
          <w:tcPr>
            <w:tcW w:w="3534" w:type="dxa"/>
          </w:tcPr>
          <w:p w:rsidR="00FE1C56" w:rsidRPr="00260B02" w:rsidRDefault="00FE1C56" w:rsidP="001A20F5">
            <w:pPr>
              <w:pStyle w:val="ListParagraph"/>
              <w:keepNext/>
              <w:keepLines/>
              <w:ind w:left="0"/>
              <w:jc w:val="both"/>
              <w:rPr>
                <w:rFonts w:ascii="Arial Narrow" w:hAnsi="Arial Narrow"/>
                <w:sz w:val="20"/>
                <w:szCs w:val="20"/>
              </w:rPr>
            </w:pPr>
            <w:r w:rsidRPr="00260B02">
              <w:rPr>
                <w:rFonts w:ascii="Arial Narrow" w:hAnsi="Arial Narrow"/>
                <w:sz w:val="20"/>
                <w:szCs w:val="20"/>
              </w:rPr>
              <w:t>change in HbA1c from baseline to 24 weeks</w:t>
            </w:r>
          </w:p>
        </w:tc>
      </w:tr>
      <w:tr w:rsidR="003B5E55" w:rsidRPr="00260B02" w:rsidTr="003D4671">
        <w:tc>
          <w:tcPr>
            <w:tcW w:w="1465" w:type="dxa"/>
          </w:tcPr>
          <w:p w:rsidR="003B5E55" w:rsidRPr="00260B02" w:rsidRDefault="00FE1C56" w:rsidP="001A20F5">
            <w:pPr>
              <w:pStyle w:val="ListParagraph"/>
              <w:keepNext/>
              <w:keepLines/>
              <w:ind w:left="0"/>
              <w:rPr>
                <w:rFonts w:ascii="Arial Narrow" w:hAnsi="Arial Narrow"/>
                <w:b/>
                <w:sz w:val="20"/>
                <w:szCs w:val="20"/>
              </w:rPr>
            </w:pPr>
            <w:r w:rsidRPr="00260B02">
              <w:rPr>
                <w:rFonts w:ascii="Arial Narrow" w:hAnsi="Arial Narrow"/>
                <w:b/>
                <w:sz w:val="20"/>
                <w:szCs w:val="20"/>
              </w:rPr>
              <w:t>Concomitant medicines</w:t>
            </w:r>
          </w:p>
        </w:tc>
        <w:tc>
          <w:tcPr>
            <w:tcW w:w="3534" w:type="dxa"/>
          </w:tcPr>
          <w:p w:rsidR="003B5E55" w:rsidRPr="00260B02" w:rsidRDefault="00FE1C56" w:rsidP="001A20F5">
            <w:pPr>
              <w:pStyle w:val="ListParagraph"/>
              <w:keepNext/>
              <w:keepLines/>
              <w:ind w:left="0"/>
              <w:jc w:val="both"/>
              <w:rPr>
                <w:rFonts w:ascii="Arial Narrow" w:hAnsi="Arial Narrow"/>
                <w:sz w:val="20"/>
                <w:szCs w:val="20"/>
              </w:rPr>
            </w:pPr>
            <w:r w:rsidRPr="00260B02">
              <w:rPr>
                <w:rFonts w:ascii="Arial Narrow" w:hAnsi="Arial Narrow"/>
                <w:sz w:val="20"/>
                <w:szCs w:val="20"/>
              </w:rPr>
              <w:t>In combination with pre-meal insulin lispro (short acting insulin</w:t>
            </w:r>
            <w:r w:rsidR="00085FE1" w:rsidRPr="00260B02">
              <w:rPr>
                <w:rFonts w:ascii="Arial Narrow" w:hAnsi="Arial Narrow"/>
                <w:sz w:val="20"/>
                <w:szCs w:val="20"/>
              </w:rPr>
              <w:t>, three times a day</w:t>
            </w:r>
            <w:r w:rsidRPr="00260B02">
              <w:rPr>
                <w:rFonts w:ascii="Arial Narrow" w:hAnsi="Arial Narrow"/>
                <w:sz w:val="20"/>
                <w:szCs w:val="20"/>
              </w:rPr>
              <w:t>)</w:t>
            </w:r>
          </w:p>
        </w:tc>
        <w:tc>
          <w:tcPr>
            <w:tcW w:w="3534" w:type="dxa"/>
          </w:tcPr>
          <w:p w:rsidR="003B5E55" w:rsidRPr="00260B02" w:rsidRDefault="00FE1C56" w:rsidP="001A20F5">
            <w:pPr>
              <w:pStyle w:val="ListParagraph"/>
              <w:keepNext/>
              <w:keepLines/>
              <w:ind w:left="0"/>
              <w:jc w:val="both"/>
              <w:rPr>
                <w:rFonts w:ascii="Arial Narrow" w:hAnsi="Arial Narrow"/>
                <w:sz w:val="20"/>
                <w:szCs w:val="20"/>
              </w:rPr>
            </w:pPr>
            <w:r w:rsidRPr="00260B02">
              <w:rPr>
                <w:rFonts w:ascii="Arial Narrow" w:hAnsi="Arial Narrow"/>
                <w:sz w:val="20"/>
                <w:szCs w:val="20"/>
              </w:rPr>
              <w:t>in combination with other oral anti-diabetes medicines</w:t>
            </w:r>
          </w:p>
        </w:tc>
      </w:tr>
      <w:tr w:rsidR="003B5E55" w:rsidRPr="00260B02" w:rsidTr="003D4671">
        <w:tc>
          <w:tcPr>
            <w:tcW w:w="1465" w:type="dxa"/>
          </w:tcPr>
          <w:p w:rsidR="003B5E55" w:rsidRPr="00260B02" w:rsidRDefault="00FE1C56" w:rsidP="001A20F5">
            <w:pPr>
              <w:pStyle w:val="ListParagraph"/>
              <w:keepNext/>
              <w:keepLines/>
              <w:ind w:left="0"/>
              <w:rPr>
                <w:rFonts w:ascii="Arial Narrow" w:hAnsi="Arial Narrow"/>
                <w:b/>
                <w:sz w:val="20"/>
                <w:szCs w:val="20"/>
              </w:rPr>
            </w:pPr>
            <w:r w:rsidRPr="00260B02">
              <w:rPr>
                <w:rFonts w:ascii="Arial Narrow" w:hAnsi="Arial Narrow"/>
                <w:b/>
                <w:sz w:val="20"/>
                <w:szCs w:val="20"/>
              </w:rPr>
              <w:t>Previous insulin therapy</w:t>
            </w:r>
          </w:p>
        </w:tc>
        <w:tc>
          <w:tcPr>
            <w:tcW w:w="3534" w:type="dxa"/>
          </w:tcPr>
          <w:p w:rsidR="003B5E55" w:rsidRPr="00260B02" w:rsidRDefault="00FE1C56" w:rsidP="001A20F5">
            <w:pPr>
              <w:pStyle w:val="ListParagraph"/>
              <w:keepNext/>
              <w:keepLines/>
              <w:ind w:left="0"/>
              <w:jc w:val="both"/>
              <w:rPr>
                <w:rFonts w:ascii="Arial Narrow" w:hAnsi="Arial Narrow"/>
                <w:sz w:val="20"/>
                <w:szCs w:val="20"/>
              </w:rPr>
            </w:pPr>
            <w:r w:rsidRPr="00260B02">
              <w:rPr>
                <w:rFonts w:ascii="Arial Narrow" w:hAnsi="Arial Narrow"/>
                <w:sz w:val="20"/>
                <w:szCs w:val="20"/>
              </w:rPr>
              <w:t>Had to be on</w:t>
            </w:r>
            <w:r w:rsidR="001A3AC2" w:rsidRPr="00260B02">
              <w:rPr>
                <w:rFonts w:ascii="Arial Narrow" w:hAnsi="Arial Narrow"/>
                <w:sz w:val="20"/>
                <w:szCs w:val="20"/>
              </w:rPr>
              <w:t xml:space="preserve"> basal-bolus</w:t>
            </w:r>
            <w:r w:rsidRPr="00260B02">
              <w:rPr>
                <w:rFonts w:ascii="Arial Narrow" w:hAnsi="Arial Narrow"/>
                <w:sz w:val="20"/>
                <w:szCs w:val="20"/>
              </w:rPr>
              <w:t xml:space="preserve"> insulin for at least 1 year</w:t>
            </w:r>
            <w:r w:rsidR="001A3AC2" w:rsidRPr="00260B02">
              <w:rPr>
                <w:rFonts w:ascii="Arial Narrow" w:hAnsi="Arial Narrow"/>
                <w:sz w:val="20"/>
                <w:szCs w:val="20"/>
              </w:rPr>
              <w:t xml:space="preserve"> (page 56 of CSR)</w:t>
            </w:r>
          </w:p>
        </w:tc>
        <w:tc>
          <w:tcPr>
            <w:tcW w:w="3534" w:type="dxa"/>
          </w:tcPr>
          <w:p w:rsidR="00FE1C56" w:rsidRPr="00260B02" w:rsidRDefault="00FE1C56" w:rsidP="001A20F5">
            <w:pPr>
              <w:pStyle w:val="ListParagraph"/>
              <w:keepNext/>
              <w:keepLines/>
              <w:ind w:left="0"/>
              <w:jc w:val="both"/>
              <w:rPr>
                <w:rFonts w:ascii="Arial Narrow" w:hAnsi="Arial Narrow"/>
                <w:sz w:val="20"/>
                <w:szCs w:val="20"/>
              </w:rPr>
            </w:pPr>
            <w:r w:rsidRPr="00260B02">
              <w:rPr>
                <w:rFonts w:ascii="Arial Narrow" w:hAnsi="Arial Narrow"/>
                <w:sz w:val="20"/>
                <w:szCs w:val="20"/>
              </w:rPr>
              <w:t>Patients were either:</w:t>
            </w:r>
          </w:p>
          <w:p w:rsidR="00FE1C56" w:rsidRPr="00260B02" w:rsidRDefault="00FE1C56" w:rsidP="001A20F5">
            <w:pPr>
              <w:pStyle w:val="ListParagraph"/>
              <w:keepNext/>
              <w:keepLines/>
              <w:numPr>
                <w:ilvl w:val="0"/>
                <w:numId w:val="48"/>
              </w:numPr>
              <w:ind w:left="216" w:hanging="216"/>
              <w:jc w:val="both"/>
              <w:rPr>
                <w:rFonts w:ascii="Arial Narrow" w:hAnsi="Arial Narrow"/>
                <w:sz w:val="20"/>
                <w:szCs w:val="20"/>
              </w:rPr>
            </w:pPr>
            <w:r w:rsidRPr="00260B02">
              <w:rPr>
                <w:rFonts w:ascii="Arial Narrow" w:hAnsi="Arial Narrow"/>
                <w:sz w:val="20"/>
                <w:szCs w:val="20"/>
              </w:rPr>
              <w:t xml:space="preserve"> insulin naïve with inadequate glycaemic control, or </w:t>
            </w:r>
          </w:p>
          <w:p w:rsidR="003B5E55" w:rsidRPr="00260B02" w:rsidRDefault="00FE1C56" w:rsidP="001A20F5">
            <w:pPr>
              <w:pStyle w:val="ListParagraph"/>
              <w:keepNext/>
              <w:keepLines/>
              <w:numPr>
                <w:ilvl w:val="0"/>
                <w:numId w:val="48"/>
              </w:numPr>
              <w:ind w:left="216" w:hanging="216"/>
              <w:jc w:val="both"/>
              <w:rPr>
                <w:rFonts w:ascii="Arial Narrow" w:hAnsi="Arial Narrow"/>
                <w:sz w:val="20"/>
                <w:szCs w:val="20"/>
              </w:rPr>
            </w:pPr>
            <w:r w:rsidRPr="00260B02">
              <w:rPr>
                <w:rFonts w:ascii="Arial Narrow" w:hAnsi="Arial Narrow"/>
                <w:sz w:val="20"/>
                <w:szCs w:val="20"/>
              </w:rPr>
              <w:t>on LANTUS with adequate or inadequate glycaemic control</w:t>
            </w:r>
          </w:p>
        </w:tc>
      </w:tr>
      <w:tr w:rsidR="00F2144D" w:rsidRPr="00260B02" w:rsidTr="003D4671">
        <w:tc>
          <w:tcPr>
            <w:tcW w:w="1465" w:type="dxa"/>
          </w:tcPr>
          <w:p w:rsidR="00F2144D" w:rsidRPr="00260B02" w:rsidRDefault="000C7993" w:rsidP="001A20F5">
            <w:pPr>
              <w:pStyle w:val="ListParagraph"/>
              <w:keepNext/>
              <w:keepLines/>
              <w:ind w:left="0"/>
              <w:rPr>
                <w:rFonts w:ascii="Arial Narrow" w:hAnsi="Arial Narrow"/>
                <w:b/>
                <w:sz w:val="20"/>
                <w:szCs w:val="20"/>
              </w:rPr>
            </w:pPr>
            <w:r w:rsidRPr="00260B02">
              <w:rPr>
                <w:rFonts w:ascii="Arial Narrow" w:hAnsi="Arial Narrow"/>
                <w:b/>
                <w:sz w:val="20"/>
                <w:szCs w:val="20"/>
              </w:rPr>
              <w:t>P</w:t>
            </w:r>
            <w:r w:rsidR="00F2144D" w:rsidRPr="00260B02">
              <w:rPr>
                <w:rFonts w:ascii="Arial Narrow" w:hAnsi="Arial Narrow"/>
                <w:b/>
                <w:sz w:val="20"/>
                <w:szCs w:val="20"/>
              </w:rPr>
              <w:t>ercent of patients on basal insulin at study commencement</w:t>
            </w:r>
          </w:p>
        </w:tc>
        <w:tc>
          <w:tcPr>
            <w:tcW w:w="3534" w:type="dxa"/>
          </w:tcPr>
          <w:p w:rsidR="000C7993" w:rsidRPr="00260B02" w:rsidRDefault="00F2144D" w:rsidP="001A20F5">
            <w:pPr>
              <w:pStyle w:val="ListParagraph"/>
              <w:keepNext/>
              <w:keepLines/>
              <w:ind w:left="0"/>
              <w:jc w:val="both"/>
              <w:rPr>
                <w:rFonts w:ascii="Arial Narrow" w:hAnsi="Arial Narrow"/>
                <w:sz w:val="20"/>
                <w:szCs w:val="20"/>
              </w:rPr>
            </w:pPr>
            <w:r w:rsidRPr="00260B02">
              <w:rPr>
                <w:rFonts w:ascii="Arial Narrow" w:hAnsi="Arial Narrow"/>
                <w:sz w:val="20"/>
                <w:szCs w:val="20"/>
              </w:rPr>
              <w:t>100%</w:t>
            </w:r>
          </w:p>
          <w:p w:rsidR="00F2144D" w:rsidRPr="00260B02" w:rsidRDefault="000C7993" w:rsidP="001A20F5">
            <w:pPr>
              <w:pStyle w:val="ListParagraph"/>
              <w:keepNext/>
              <w:keepLines/>
              <w:ind w:left="0"/>
              <w:jc w:val="both"/>
              <w:rPr>
                <w:rFonts w:ascii="Arial Narrow" w:hAnsi="Arial Narrow"/>
                <w:sz w:val="20"/>
                <w:szCs w:val="20"/>
              </w:rPr>
            </w:pPr>
            <w:r w:rsidRPr="00260B02">
              <w:rPr>
                <w:rFonts w:ascii="Arial Narrow" w:hAnsi="Arial Narrow"/>
                <w:sz w:val="20"/>
                <w:szCs w:val="20"/>
              </w:rPr>
              <w:t xml:space="preserve">-  </w:t>
            </w:r>
            <w:r w:rsidR="00F2144D" w:rsidRPr="00260B02">
              <w:rPr>
                <w:rFonts w:ascii="Arial Narrow" w:hAnsi="Arial Narrow"/>
                <w:sz w:val="20"/>
                <w:szCs w:val="20"/>
              </w:rPr>
              <w:t>84.5% on Lantus</w:t>
            </w:r>
          </w:p>
          <w:p w:rsidR="00F2144D" w:rsidRPr="00260B02" w:rsidRDefault="000C7993" w:rsidP="001A20F5">
            <w:pPr>
              <w:pStyle w:val="ListParagraph"/>
              <w:keepNext/>
              <w:keepLines/>
              <w:ind w:left="0"/>
              <w:jc w:val="both"/>
              <w:rPr>
                <w:rFonts w:ascii="Arial Narrow" w:hAnsi="Arial Narrow"/>
                <w:sz w:val="20"/>
                <w:szCs w:val="20"/>
              </w:rPr>
            </w:pPr>
            <w:r w:rsidRPr="00260B02">
              <w:rPr>
                <w:rFonts w:ascii="Arial Narrow" w:hAnsi="Arial Narrow"/>
                <w:sz w:val="20"/>
                <w:szCs w:val="20"/>
              </w:rPr>
              <w:t xml:space="preserve">- </w:t>
            </w:r>
            <w:r w:rsidR="00F2144D" w:rsidRPr="00260B02">
              <w:rPr>
                <w:rFonts w:ascii="Arial Narrow" w:hAnsi="Arial Narrow"/>
                <w:sz w:val="20"/>
                <w:szCs w:val="20"/>
              </w:rPr>
              <w:t>15.5% on ‘other’</w:t>
            </w:r>
          </w:p>
        </w:tc>
        <w:tc>
          <w:tcPr>
            <w:tcW w:w="3534" w:type="dxa"/>
          </w:tcPr>
          <w:p w:rsidR="00F2144D" w:rsidRPr="00260B02" w:rsidRDefault="00F2144D" w:rsidP="001A20F5">
            <w:pPr>
              <w:pStyle w:val="ListParagraph"/>
              <w:keepNext/>
              <w:keepLines/>
              <w:ind w:left="0"/>
              <w:jc w:val="both"/>
              <w:rPr>
                <w:rFonts w:ascii="Arial Narrow" w:hAnsi="Arial Narrow"/>
                <w:sz w:val="20"/>
                <w:szCs w:val="20"/>
              </w:rPr>
            </w:pPr>
            <w:r w:rsidRPr="00260B02">
              <w:rPr>
                <w:rFonts w:ascii="Arial Narrow" w:hAnsi="Arial Narrow"/>
                <w:sz w:val="20"/>
                <w:szCs w:val="20"/>
              </w:rPr>
              <w:t>39.6% on Lantus</w:t>
            </w:r>
          </w:p>
          <w:p w:rsidR="00602ABC" w:rsidRPr="00260B02" w:rsidRDefault="00602ABC" w:rsidP="001A20F5">
            <w:pPr>
              <w:pStyle w:val="ListParagraph"/>
              <w:keepNext/>
              <w:keepLines/>
              <w:ind w:left="0"/>
              <w:jc w:val="both"/>
              <w:rPr>
                <w:rFonts w:ascii="Arial Narrow" w:hAnsi="Arial Narrow"/>
                <w:sz w:val="20"/>
                <w:szCs w:val="20"/>
              </w:rPr>
            </w:pPr>
            <w:r w:rsidRPr="00260B02">
              <w:rPr>
                <w:rFonts w:ascii="Arial Narrow" w:hAnsi="Arial Narrow"/>
                <w:sz w:val="20"/>
                <w:szCs w:val="20"/>
              </w:rPr>
              <w:t>60.4% on none (per page 86 of</w:t>
            </w:r>
            <w:r w:rsidR="00D85003" w:rsidRPr="00260B02">
              <w:rPr>
                <w:rFonts w:ascii="Arial Narrow" w:hAnsi="Arial Narrow"/>
                <w:sz w:val="20"/>
                <w:szCs w:val="20"/>
              </w:rPr>
              <w:t xml:space="preserve"> </w:t>
            </w:r>
            <w:r w:rsidRPr="00260B02">
              <w:rPr>
                <w:rFonts w:ascii="Arial Narrow" w:hAnsi="Arial Narrow"/>
                <w:sz w:val="20"/>
                <w:szCs w:val="20"/>
              </w:rPr>
              <w:t>CSR)</w:t>
            </w:r>
          </w:p>
        </w:tc>
      </w:tr>
      <w:tr w:rsidR="003B5E55" w:rsidRPr="00260B02" w:rsidTr="003D4671">
        <w:tc>
          <w:tcPr>
            <w:tcW w:w="1465" w:type="dxa"/>
          </w:tcPr>
          <w:p w:rsidR="003B5E55" w:rsidRPr="00260B02" w:rsidRDefault="00FE1C56" w:rsidP="001A20F5">
            <w:pPr>
              <w:pStyle w:val="ListParagraph"/>
              <w:keepNext/>
              <w:keepLines/>
              <w:ind w:left="0"/>
              <w:rPr>
                <w:rFonts w:ascii="Arial Narrow" w:hAnsi="Arial Narrow"/>
                <w:b/>
                <w:sz w:val="20"/>
                <w:szCs w:val="20"/>
              </w:rPr>
            </w:pPr>
            <w:r w:rsidRPr="00260B02">
              <w:rPr>
                <w:rFonts w:ascii="Arial Narrow" w:hAnsi="Arial Narrow"/>
                <w:b/>
                <w:sz w:val="20"/>
                <w:szCs w:val="20"/>
              </w:rPr>
              <w:t>Study blinding</w:t>
            </w:r>
          </w:p>
        </w:tc>
        <w:tc>
          <w:tcPr>
            <w:tcW w:w="3534" w:type="dxa"/>
          </w:tcPr>
          <w:p w:rsidR="003B5E55" w:rsidRPr="00260B02" w:rsidRDefault="00FE1C56" w:rsidP="001A20F5">
            <w:pPr>
              <w:pStyle w:val="ListParagraph"/>
              <w:keepNext/>
              <w:keepLines/>
              <w:ind w:left="0"/>
              <w:jc w:val="both"/>
              <w:rPr>
                <w:rFonts w:ascii="Arial Narrow" w:hAnsi="Arial Narrow"/>
                <w:sz w:val="20"/>
                <w:szCs w:val="20"/>
              </w:rPr>
            </w:pPr>
            <w:r w:rsidRPr="00260B02">
              <w:rPr>
                <w:rFonts w:ascii="Arial Narrow" w:hAnsi="Arial Narrow"/>
                <w:sz w:val="20"/>
                <w:szCs w:val="20"/>
              </w:rPr>
              <w:t>Open label for subjects and investigators (but assessors were blinded)</w:t>
            </w:r>
          </w:p>
        </w:tc>
        <w:tc>
          <w:tcPr>
            <w:tcW w:w="3534" w:type="dxa"/>
          </w:tcPr>
          <w:p w:rsidR="003B5E55" w:rsidRPr="00260B02" w:rsidRDefault="00FE1C56" w:rsidP="001A20F5">
            <w:pPr>
              <w:pStyle w:val="ListParagraph"/>
              <w:keepNext/>
              <w:keepLines/>
              <w:ind w:left="0"/>
              <w:jc w:val="both"/>
              <w:rPr>
                <w:rFonts w:ascii="Arial Narrow" w:hAnsi="Arial Narrow"/>
                <w:sz w:val="20"/>
                <w:szCs w:val="20"/>
              </w:rPr>
            </w:pPr>
            <w:r w:rsidRPr="00260B02">
              <w:rPr>
                <w:rFonts w:ascii="Arial Narrow" w:hAnsi="Arial Narrow"/>
                <w:sz w:val="20"/>
                <w:szCs w:val="20"/>
              </w:rPr>
              <w:t>Double-blinded</w:t>
            </w:r>
          </w:p>
        </w:tc>
      </w:tr>
      <w:tr w:rsidR="003B5E55" w:rsidRPr="00260B02" w:rsidTr="003D4671">
        <w:tc>
          <w:tcPr>
            <w:tcW w:w="1465" w:type="dxa"/>
          </w:tcPr>
          <w:p w:rsidR="003B5E55" w:rsidRPr="00260B02" w:rsidRDefault="00FE1C56" w:rsidP="001A20F5">
            <w:pPr>
              <w:pStyle w:val="ListParagraph"/>
              <w:keepNext/>
              <w:keepLines/>
              <w:ind w:left="0"/>
              <w:rPr>
                <w:rFonts w:ascii="Arial Narrow" w:hAnsi="Arial Narrow"/>
                <w:b/>
                <w:sz w:val="20"/>
                <w:szCs w:val="20"/>
              </w:rPr>
            </w:pPr>
            <w:r w:rsidRPr="00260B02">
              <w:rPr>
                <w:rFonts w:ascii="Arial Narrow" w:hAnsi="Arial Narrow"/>
                <w:b/>
                <w:sz w:val="20"/>
                <w:szCs w:val="20"/>
              </w:rPr>
              <w:t>Duration of treatment</w:t>
            </w:r>
          </w:p>
        </w:tc>
        <w:tc>
          <w:tcPr>
            <w:tcW w:w="3534" w:type="dxa"/>
          </w:tcPr>
          <w:p w:rsidR="003B5E55" w:rsidRPr="00260B02" w:rsidRDefault="00FE1C56" w:rsidP="001A20F5">
            <w:pPr>
              <w:pStyle w:val="ListParagraph"/>
              <w:keepNext/>
              <w:keepLines/>
              <w:ind w:left="0"/>
              <w:jc w:val="both"/>
              <w:rPr>
                <w:rFonts w:ascii="Arial Narrow" w:hAnsi="Arial Narrow"/>
                <w:sz w:val="20"/>
                <w:szCs w:val="20"/>
              </w:rPr>
            </w:pPr>
            <w:r w:rsidRPr="00260B02">
              <w:rPr>
                <w:rFonts w:ascii="Arial Narrow" w:hAnsi="Arial Narrow"/>
                <w:sz w:val="20"/>
                <w:szCs w:val="20"/>
              </w:rPr>
              <w:t>24 weeks</w:t>
            </w:r>
          </w:p>
        </w:tc>
        <w:tc>
          <w:tcPr>
            <w:tcW w:w="3534" w:type="dxa"/>
          </w:tcPr>
          <w:p w:rsidR="003B5E55" w:rsidRPr="00260B02" w:rsidRDefault="00FE1C56" w:rsidP="001A20F5">
            <w:pPr>
              <w:pStyle w:val="ListParagraph"/>
              <w:keepNext/>
              <w:keepLines/>
              <w:ind w:left="0"/>
              <w:jc w:val="both"/>
              <w:rPr>
                <w:rFonts w:ascii="Arial Narrow" w:hAnsi="Arial Narrow"/>
                <w:sz w:val="20"/>
                <w:szCs w:val="20"/>
              </w:rPr>
            </w:pPr>
            <w:r w:rsidRPr="00260B02">
              <w:rPr>
                <w:rFonts w:ascii="Arial Narrow" w:hAnsi="Arial Narrow"/>
                <w:sz w:val="20"/>
                <w:szCs w:val="20"/>
              </w:rPr>
              <w:t>24 weeks</w:t>
            </w:r>
          </w:p>
        </w:tc>
      </w:tr>
      <w:tr w:rsidR="00FE1C56" w:rsidRPr="00260B02" w:rsidTr="003D4671">
        <w:tc>
          <w:tcPr>
            <w:tcW w:w="1465" w:type="dxa"/>
          </w:tcPr>
          <w:p w:rsidR="00FE1C56" w:rsidRPr="00260B02" w:rsidRDefault="00FE1C56" w:rsidP="001A20F5">
            <w:pPr>
              <w:pStyle w:val="ListParagraph"/>
              <w:keepNext/>
              <w:keepLines/>
              <w:ind w:left="0"/>
              <w:rPr>
                <w:rFonts w:ascii="Arial Narrow" w:hAnsi="Arial Narrow"/>
                <w:b/>
                <w:sz w:val="20"/>
                <w:szCs w:val="20"/>
              </w:rPr>
            </w:pPr>
            <w:r w:rsidRPr="00260B02">
              <w:rPr>
                <w:rFonts w:ascii="Arial Narrow" w:hAnsi="Arial Narrow"/>
                <w:b/>
                <w:sz w:val="20"/>
                <w:szCs w:val="20"/>
              </w:rPr>
              <w:t>Duration of follow-up</w:t>
            </w:r>
          </w:p>
        </w:tc>
        <w:tc>
          <w:tcPr>
            <w:tcW w:w="3534" w:type="dxa"/>
          </w:tcPr>
          <w:p w:rsidR="00FE1C56" w:rsidRPr="00260B02" w:rsidRDefault="00FE1C56" w:rsidP="001A20F5">
            <w:pPr>
              <w:pStyle w:val="ListParagraph"/>
              <w:keepNext/>
              <w:keepLines/>
              <w:ind w:left="0"/>
              <w:jc w:val="both"/>
              <w:rPr>
                <w:rFonts w:ascii="Arial Narrow" w:hAnsi="Arial Narrow"/>
                <w:sz w:val="20"/>
                <w:szCs w:val="20"/>
              </w:rPr>
            </w:pPr>
            <w:r w:rsidRPr="00260B02">
              <w:rPr>
                <w:rFonts w:ascii="Arial Narrow" w:hAnsi="Arial Narrow"/>
                <w:sz w:val="20"/>
                <w:szCs w:val="20"/>
              </w:rPr>
              <w:t>32 weeks (56 weeks from commencement)</w:t>
            </w:r>
          </w:p>
        </w:tc>
        <w:tc>
          <w:tcPr>
            <w:tcW w:w="3534" w:type="dxa"/>
          </w:tcPr>
          <w:p w:rsidR="00FE1C56" w:rsidRPr="00260B02" w:rsidRDefault="00FE1C56" w:rsidP="001A20F5">
            <w:pPr>
              <w:pStyle w:val="ListParagraph"/>
              <w:keepNext/>
              <w:keepLines/>
              <w:ind w:left="0"/>
              <w:jc w:val="both"/>
              <w:rPr>
                <w:rFonts w:ascii="Arial Narrow" w:hAnsi="Arial Narrow"/>
                <w:sz w:val="20"/>
                <w:szCs w:val="20"/>
              </w:rPr>
            </w:pPr>
            <w:r w:rsidRPr="00260B02">
              <w:rPr>
                <w:rFonts w:ascii="Arial Narrow" w:hAnsi="Arial Narrow"/>
                <w:sz w:val="20"/>
                <w:szCs w:val="20"/>
              </w:rPr>
              <w:t>4 weeks (28 weeks from commencement)</w:t>
            </w:r>
          </w:p>
        </w:tc>
      </w:tr>
      <w:tr w:rsidR="00FE1C56" w:rsidRPr="00260B02" w:rsidTr="003D4671">
        <w:tc>
          <w:tcPr>
            <w:tcW w:w="1465" w:type="dxa"/>
          </w:tcPr>
          <w:p w:rsidR="00FE1C56" w:rsidRPr="00260B02" w:rsidRDefault="00D85003" w:rsidP="001A20F5">
            <w:pPr>
              <w:pStyle w:val="ListParagraph"/>
              <w:keepNext/>
              <w:keepLines/>
              <w:ind w:left="0"/>
              <w:jc w:val="both"/>
              <w:rPr>
                <w:rFonts w:ascii="Arial Narrow" w:hAnsi="Arial Narrow"/>
                <w:b/>
                <w:sz w:val="20"/>
                <w:szCs w:val="20"/>
              </w:rPr>
            </w:pPr>
            <w:r w:rsidRPr="00260B02">
              <w:rPr>
                <w:rFonts w:ascii="Arial Narrow" w:hAnsi="Arial Narrow"/>
                <w:b/>
                <w:sz w:val="20"/>
                <w:szCs w:val="20"/>
              </w:rPr>
              <w:t>Dosage regimen during the trial</w:t>
            </w:r>
          </w:p>
          <w:p w:rsidR="00817943" w:rsidRPr="00260B02" w:rsidRDefault="00817943" w:rsidP="001A20F5">
            <w:pPr>
              <w:pStyle w:val="ListParagraph"/>
              <w:keepNext/>
              <w:keepLines/>
              <w:ind w:left="0"/>
              <w:jc w:val="both"/>
              <w:rPr>
                <w:rFonts w:ascii="Arial Narrow" w:hAnsi="Arial Narrow"/>
                <w:b/>
                <w:sz w:val="20"/>
                <w:szCs w:val="20"/>
              </w:rPr>
            </w:pPr>
            <w:r w:rsidRPr="00260B02">
              <w:rPr>
                <w:rFonts w:ascii="Arial Narrow" w:hAnsi="Arial Narrow"/>
                <w:b/>
                <w:sz w:val="20"/>
                <w:szCs w:val="20"/>
              </w:rPr>
              <w:t>(Study protocol for switching from Lantus onto study drug)</w:t>
            </w:r>
          </w:p>
        </w:tc>
        <w:tc>
          <w:tcPr>
            <w:tcW w:w="3534" w:type="dxa"/>
          </w:tcPr>
          <w:p w:rsidR="00D85003" w:rsidRPr="00260B02" w:rsidRDefault="00D85003" w:rsidP="001A20F5">
            <w:pPr>
              <w:keepNext/>
              <w:keepLines/>
              <w:jc w:val="both"/>
              <w:rPr>
                <w:rFonts w:ascii="Arial Narrow" w:hAnsi="Arial Narrow"/>
                <w:sz w:val="20"/>
                <w:szCs w:val="20"/>
              </w:rPr>
            </w:pPr>
            <w:r w:rsidRPr="00260B02">
              <w:rPr>
                <w:rFonts w:ascii="Arial Narrow" w:hAnsi="Arial Narrow"/>
                <w:sz w:val="20"/>
                <w:szCs w:val="20"/>
                <w:u w:val="single"/>
              </w:rPr>
              <w:t>Basaglar</w:t>
            </w:r>
            <w:r w:rsidRPr="00260B02">
              <w:rPr>
                <w:rFonts w:ascii="Arial Narrow" w:hAnsi="Arial Narrow"/>
                <w:sz w:val="20"/>
                <w:szCs w:val="20"/>
              </w:rPr>
              <w:t>:</w:t>
            </w:r>
            <w:r w:rsidRPr="00260B02">
              <w:rPr>
                <w:rFonts w:ascii="Arial Narrow" w:hAnsi="Arial Narrow"/>
                <w:sz w:val="20"/>
                <w:szCs w:val="20"/>
              </w:rPr>
              <w:tab/>
              <w:t xml:space="preserve">The dose of Basaglar was equivalent to the dose of the individual patient’s pre-study QD basal insulin that was discontinued. </w:t>
            </w:r>
          </w:p>
          <w:p w:rsidR="00D85003" w:rsidRPr="00260B02" w:rsidRDefault="00D85003" w:rsidP="001A20F5">
            <w:pPr>
              <w:keepNext/>
              <w:keepLines/>
              <w:jc w:val="both"/>
              <w:rPr>
                <w:rFonts w:ascii="Arial Narrow" w:hAnsi="Arial Narrow"/>
                <w:sz w:val="20"/>
                <w:szCs w:val="20"/>
              </w:rPr>
            </w:pPr>
            <w:r w:rsidRPr="00260B02">
              <w:rPr>
                <w:rFonts w:ascii="Arial Narrow" w:hAnsi="Arial Narrow"/>
                <w:sz w:val="20"/>
                <w:szCs w:val="20"/>
              </w:rPr>
              <w:t>Basaglar was administered subcutaneously QD.</w:t>
            </w:r>
          </w:p>
          <w:p w:rsidR="00D85003" w:rsidRPr="00260B02" w:rsidRDefault="00D85003" w:rsidP="001A20F5">
            <w:pPr>
              <w:keepNext/>
              <w:keepLines/>
              <w:jc w:val="both"/>
              <w:rPr>
                <w:rFonts w:ascii="Arial Narrow" w:hAnsi="Arial Narrow"/>
                <w:sz w:val="20"/>
                <w:szCs w:val="20"/>
              </w:rPr>
            </w:pPr>
          </w:p>
          <w:p w:rsidR="00D85003" w:rsidRPr="00260B02" w:rsidRDefault="00D85003" w:rsidP="001A20F5">
            <w:pPr>
              <w:keepNext/>
              <w:keepLines/>
              <w:jc w:val="both"/>
              <w:rPr>
                <w:rFonts w:ascii="Arial Narrow" w:hAnsi="Arial Narrow"/>
                <w:sz w:val="20"/>
                <w:szCs w:val="20"/>
              </w:rPr>
            </w:pPr>
            <w:r w:rsidRPr="00260B02">
              <w:rPr>
                <w:rFonts w:ascii="Arial Narrow" w:hAnsi="Arial Narrow"/>
                <w:sz w:val="20"/>
                <w:szCs w:val="20"/>
                <w:u w:val="single"/>
              </w:rPr>
              <w:t>Lantus</w:t>
            </w:r>
            <w:r w:rsidRPr="00260B02">
              <w:rPr>
                <w:rFonts w:ascii="Arial Narrow" w:hAnsi="Arial Narrow"/>
                <w:sz w:val="20"/>
                <w:szCs w:val="20"/>
              </w:rPr>
              <w:tab/>
              <w:t xml:space="preserve">The dose of Lantus was equivalent to the dose of the individual patient’s pre-study QD basal insulin that was discontinued. </w:t>
            </w:r>
          </w:p>
          <w:p w:rsidR="00FE1C56" w:rsidRPr="00260B02" w:rsidRDefault="00D85003" w:rsidP="001A20F5">
            <w:pPr>
              <w:pStyle w:val="ListParagraph"/>
              <w:keepNext/>
              <w:keepLines/>
              <w:ind w:left="0"/>
              <w:jc w:val="both"/>
              <w:rPr>
                <w:rFonts w:ascii="Arial Narrow" w:hAnsi="Arial Narrow"/>
                <w:sz w:val="20"/>
                <w:szCs w:val="20"/>
              </w:rPr>
            </w:pPr>
            <w:r w:rsidRPr="00260B02">
              <w:rPr>
                <w:rFonts w:ascii="Arial Narrow" w:hAnsi="Arial Narrow"/>
                <w:sz w:val="20"/>
                <w:szCs w:val="20"/>
              </w:rPr>
              <w:t>Lantus was administered subcutaneously QD.</w:t>
            </w:r>
          </w:p>
        </w:tc>
        <w:tc>
          <w:tcPr>
            <w:tcW w:w="3534" w:type="dxa"/>
          </w:tcPr>
          <w:p w:rsidR="00D85003" w:rsidRPr="00260B02" w:rsidRDefault="00D85003" w:rsidP="001A20F5">
            <w:pPr>
              <w:keepNext/>
              <w:keepLines/>
              <w:jc w:val="both"/>
              <w:rPr>
                <w:rFonts w:ascii="Arial Narrow" w:hAnsi="Arial Narrow"/>
                <w:sz w:val="20"/>
                <w:szCs w:val="20"/>
              </w:rPr>
            </w:pPr>
            <w:r w:rsidRPr="00260B02">
              <w:rPr>
                <w:rFonts w:ascii="Arial Narrow" w:hAnsi="Arial Narrow"/>
                <w:sz w:val="20"/>
                <w:szCs w:val="20"/>
                <w:u w:val="single"/>
              </w:rPr>
              <w:t>Basaglar</w:t>
            </w:r>
            <w:r w:rsidR="00817943" w:rsidRPr="00260B02">
              <w:rPr>
                <w:rFonts w:ascii="Arial Narrow" w:hAnsi="Arial Narrow"/>
                <w:sz w:val="20"/>
                <w:szCs w:val="20"/>
              </w:rPr>
              <w:t>:</w:t>
            </w:r>
            <w:r w:rsidRPr="00260B02">
              <w:rPr>
                <w:rFonts w:ascii="Arial Narrow" w:hAnsi="Arial Narrow"/>
                <w:sz w:val="20"/>
                <w:szCs w:val="20"/>
              </w:rPr>
              <w:tab/>
            </w:r>
            <w:r w:rsidRPr="00260B02">
              <w:rPr>
                <w:rFonts w:ascii="Arial Narrow" w:hAnsi="Arial Narrow"/>
                <w:b/>
                <w:sz w:val="20"/>
                <w:szCs w:val="20"/>
              </w:rPr>
              <w:t>Insulin naive:</w:t>
            </w:r>
            <w:r w:rsidRPr="00260B02">
              <w:rPr>
                <w:rFonts w:ascii="Arial Narrow" w:hAnsi="Arial Narrow"/>
                <w:sz w:val="20"/>
                <w:szCs w:val="20"/>
              </w:rPr>
              <w:t xml:space="preserve"> Starting dose 10 IU QD, followed by patient-driven titration of 1 IU/day until FBG ≤100 mg/dL (5.6 mmol/L).</w:t>
            </w:r>
          </w:p>
          <w:p w:rsidR="00D85003" w:rsidRPr="00260B02" w:rsidRDefault="00D85003" w:rsidP="001A20F5">
            <w:pPr>
              <w:keepNext/>
              <w:keepLines/>
              <w:jc w:val="both"/>
              <w:rPr>
                <w:rFonts w:ascii="Arial Narrow" w:hAnsi="Arial Narrow"/>
                <w:sz w:val="20"/>
                <w:szCs w:val="20"/>
              </w:rPr>
            </w:pPr>
          </w:p>
          <w:p w:rsidR="00D85003" w:rsidRPr="00260B02" w:rsidRDefault="00D85003" w:rsidP="001A20F5">
            <w:pPr>
              <w:keepNext/>
              <w:keepLines/>
              <w:jc w:val="both"/>
              <w:rPr>
                <w:rFonts w:ascii="Arial Narrow" w:hAnsi="Arial Narrow"/>
                <w:sz w:val="20"/>
                <w:szCs w:val="20"/>
              </w:rPr>
            </w:pPr>
            <w:r w:rsidRPr="00260B02">
              <w:rPr>
                <w:rFonts w:ascii="Arial Narrow" w:hAnsi="Arial Narrow"/>
                <w:b/>
                <w:sz w:val="20"/>
                <w:szCs w:val="20"/>
              </w:rPr>
              <w:t>Patients entering from Lantus:</w:t>
            </w:r>
            <w:r w:rsidRPr="00260B02">
              <w:rPr>
                <w:rFonts w:ascii="Arial Narrow" w:hAnsi="Arial Narrow"/>
                <w:sz w:val="20"/>
                <w:szCs w:val="20"/>
              </w:rPr>
              <w:t xml:space="preserve"> Starting dose equivalent to Lantus, followed by patient-driven titration of 1 IU/day until FBG ≤100 mg/dL (5.6 mmol/L).</w:t>
            </w:r>
          </w:p>
          <w:p w:rsidR="00D85003" w:rsidRPr="00260B02" w:rsidRDefault="00D85003" w:rsidP="001A20F5">
            <w:pPr>
              <w:keepNext/>
              <w:keepLines/>
              <w:jc w:val="both"/>
              <w:rPr>
                <w:rFonts w:ascii="Arial Narrow" w:hAnsi="Arial Narrow"/>
                <w:sz w:val="20"/>
                <w:szCs w:val="20"/>
              </w:rPr>
            </w:pPr>
            <w:r w:rsidRPr="00260B02">
              <w:rPr>
                <w:rFonts w:ascii="Arial Narrow" w:hAnsi="Arial Narrow"/>
                <w:sz w:val="20"/>
                <w:szCs w:val="20"/>
              </w:rPr>
              <w:t>Basaglar was administered subcutaneously QD.</w:t>
            </w:r>
          </w:p>
          <w:p w:rsidR="00D85003" w:rsidRPr="00260B02" w:rsidRDefault="00D85003" w:rsidP="001A20F5">
            <w:pPr>
              <w:keepNext/>
              <w:keepLines/>
              <w:jc w:val="both"/>
              <w:rPr>
                <w:rFonts w:ascii="Arial Narrow" w:hAnsi="Arial Narrow"/>
                <w:sz w:val="20"/>
                <w:szCs w:val="20"/>
              </w:rPr>
            </w:pPr>
            <w:r w:rsidRPr="00260B02">
              <w:rPr>
                <w:rFonts w:ascii="Arial Narrow" w:hAnsi="Arial Narrow"/>
                <w:sz w:val="20"/>
                <w:szCs w:val="20"/>
                <w:u w:val="single"/>
              </w:rPr>
              <w:t>Lantus</w:t>
            </w:r>
            <w:r w:rsidRPr="00260B02">
              <w:rPr>
                <w:rFonts w:ascii="Arial Narrow" w:hAnsi="Arial Narrow"/>
                <w:sz w:val="20"/>
                <w:szCs w:val="20"/>
              </w:rPr>
              <w:tab/>
            </w:r>
            <w:r w:rsidRPr="00260B02">
              <w:rPr>
                <w:rFonts w:ascii="Arial Narrow" w:hAnsi="Arial Narrow"/>
                <w:b/>
                <w:sz w:val="20"/>
                <w:szCs w:val="20"/>
              </w:rPr>
              <w:t>Insulin naïve</w:t>
            </w:r>
            <w:r w:rsidRPr="00260B02">
              <w:rPr>
                <w:rFonts w:ascii="Arial Narrow" w:hAnsi="Arial Narrow"/>
                <w:sz w:val="20"/>
                <w:szCs w:val="20"/>
              </w:rPr>
              <w:t xml:space="preserve"> </w:t>
            </w:r>
            <w:r w:rsidRPr="00260B02">
              <w:rPr>
                <w:rFonts w:ascii="Arial Narrow" w:hAnsi="Arial Narrow"/>
                <w:b/>
                <w:sz w:val="20"/>
                <w:szCs w:val="20"/>
              </w:rPr>
              <w:t>with inadequate glycaemic control</w:t>
            </w:r>
            <w:r w:rsidRPr="00260B02">
              <w:rPr>
                <w:rFonts w:ascii="Arial Narrow" w:hAnsi="Arial Narrow"/>
                <w:sz w:val="20"/>
                <w:szCs w:val="20"/>
              </w:rPr>
              <w:t>: Starting dose 10 IU QD, followed by patient-driven titration of 1 IU/day until FBG ≤100 mg/dL (5.6 mmol/L).</w:t>
            </w:r>
          </w:p>
          <w:p w:rsidR="00D85003" w:rsidRPr="00260B02" w:rsidRDefault="00D85003" w:rsidP="001A20F5">
            <w:pPr>
              <w:keepNext/>
              <w:keepLines/>
              <w:jc w:val="both"/>
              <w:rPr>
                <w:rFonts w:ascii="Arial Narrow" w:hAnsi="Arial Narrow"/>
                <w:sz w:val="20"/>
                <w:szCs w:val="20"/>
              </w:rPr>
            </w:pPr>
            <w:r w:rsidRPr="00260B02">
              <w:rPr>
                <w:rFonts w:ascii="Arial Narrow" w:hAnsi="Arial Narrow"/>
                <w:b/>
                <w:sz w:val="20"/>
                <w:szCs w:val="20"/>
              </w:rPr>
              <w:t xml:space="preserve">Patients entering on Lantus (with adequate or </w:t>
            </w:r>
            <w:r w:rsidR="007E0EA4" w:rsidRPr="00260B02">
              <w:rPr>
                <w:rFonts w:ascii="Arial Narrow" w:hAnsi="Arial Narrow"/>
                <w:b/>
                <w:sz w:val="20"/>
                <w:szCs w:val="20"/>
              </w:rPr>
              <w:t>inadequate</w:t>
            </w:r>
            <w:r w:rsidRPr="00260B02">
              <w:rPr>
                <w:rFonts w:ascii="Arial Narrow" w:hAnsi="Arial Narrow"/>
                <w:b/>
                <w:sz w:val="20"/>
                <w:szCs w:val="20"/>
              </w:rPr>
              <w:t xml:space="preserve"> glycaemic control)</w:t>
            </w:r>
            <w:r w:rsidRPr="00260B02">
              <w:rPr>
                <w:rFonts w:ascii="Arial Narrow" w:hAnsi="Arial Narrow"/>
                <w:sz w:val="20"/>
                <w:szCs w:val="20"/>
              </w:rPr>
              <w:t xml:space="preserve"> started on an equivalent dose.</w:t>
            </w:r>
          </w:p>
          <w:p w:rsidR="00FE1C56" w:rsidRPr="00260B02" w:rsidRDefault="00D85003" w:rsidP="001A20F5">
            <w:pPr>
              <w:pStyle w:val="ListParagraph"/>
              <w:keepNext/>
              <w:keepLines/>
              <w:ind w:left="0"/>
              <w:jc w:val="both"/>
              <w:rPr>
                <w:rFonts w:ascii="Arial Narrow" w:hAnsi="Arial Narrow"/>
                <w:sz w:val="20"/>
                <w:szCs w:val="20"/>
              </w:rPr>
            </w:pPr>
            <w:r w:rsidRPr="00260B02">
              <w:rPr>
                <w:rFonts w:ascii="Arial Narrow" w:hAnsi="Arial Narrow"/>
                <w:sz w:val="20"/>
                <w:szCs w:val="20"/>
              </w:rPr>
              <w:t>Lantus was administered subcutaneously QD.</w:t>
            </w:r>
          </w:p>
        </w:tc>
      </w:tr>
    </w:tbl>
    <w:p w:rsidR="009101CC" w:rsidRPr="00260B02" w:rsidRDefault="00FE1C56" w:rsidP="001A20F5">
      <w:pPr>
        <w:pStyle w:val="ListParagraph"/>
        <w:keepNext/>
        <w:keepLines/>
        <w:rPr>
          <w:rFonts w:ascii="Arial Narrow" w:hAnsi="Arial Narrow"/>
          <w:sz w:val="20"/>
          <w:szCs w:val="20"/>
        </w:rPr>
      </w:pPr>
      <w:r w:rsidRPr="00260B02">
        <w:rPr>
          <w:rFonts w:ascii="Arial Narrow" w:hAnsi="Arial Narrow"/>
          <w:sz w:val="20"/>
          <w:szCs w:val="20"/>
        </w:rPr>
        <w:t>Source: Complied during evaluation</w:t>
      </w:r>
      <w:r w:rsidR="00D85003" w:rsidRPr="00260B02">
        <w:rPr>
          <w:rFonts w:ascii="Arial Narrow" w:hAnsi="Arial Narrow"/>
          <w:sz w:val="20"/>
          <w:szCs w:val="20"/>
        </w:rPr>
        <w:t xml:space="preserve">. </w:t>
      </w:r>
    </w:p>
    <w:p w:rsidR="00CE25C1" w:rsidRPr="00260B02" w:rsidRDefault="00D85003" w:rsidP="001A20F5">
      <w:pPr>
        <w:pStyle w:val="ListParagraph"/>
        <w:keepNext/>
        <w:keepLines/>
        <w:rPr>
          <w:rFonts w:ascii="Arial Narrow" w:hAnsi="Arial Narrow" w:cstheme="minorHAnsi"/>
          <w:sz w:val="20"/>
          <w:szCs w:val="20"/>
        </w:rPr>
      </w:pPr>
      <w:r w:rsidRPr="00260B02">
        <w:rPr>
          <w:rFonts w:ascii="Arial Narrow" w:hAnsi="Arial Narrow"/>
          <w:sz w:val="20"/>
          <w:szCs w:val="20"/>
        </w:rPr>
        <w:t>Abbreviations: QD = once daily</w:t>
      </w:r>
      <w:r w:rsidR="00CE25C1" w:rsidRPr="00260B02">
        <w:rPr>
          <w:rFonts w:ascii="Arial Narrow" w:hAnsi="Arial Narrow" w:cstheme="minorHAnsi"/>
          <w:sz w:val="20"/>
          <w:szCs w:val="20"/>
        </w:rPr>
        <w:t>: IU = international unit; FBG = fasting blood glucose; QD = once daily</w:t>
      </w:r>
    </w:p>
    <w:p w:rsidR="00811B52" w:rsidRPr="00260B02" w:rsidRDefault="00811B52" w:rsidP="00C64599">
      <w:pPr>
        <w:jc w:val="both"/>
        <w:rPr>
          <w:rFonts w:ascii="Arial" w:hAnsi="Arial"/>
          <w:sz w:val="22"/>
          <w:szCs w:val="22"/>
        </w:rPr>
      </w:pPr>
    </w:p>
    <w:p w:rsidR="006D2013" w:rsidRPr="00260B02" w:rsidRDefault="006D2013" w:rsidP="003D4671">
      <w:pPr>
        <w:pStyle w:val="ListParagraph"/>
        <w:ind w:left="0"/>
        <w:rPr>
          <w:rFonts w:ascii="Arial" w:hAnsi="Arial"/>
          <w:sz w:val="22"/>
          <w:szCs w:val="22"/>
          <w:u w:val="single"/>
        </w:rPr>
      </w:pPr>
      <w:r w:rsidRPr="00260B02">
        <w:rPr>
          <w:rFonts w:ascii="Arial" w:hAnsi="Arial"/>
          <w:sz w:val="22"/>
          <w:szCs w:val="22"/>
          <w:u w:val="single"/>
        </w:rPr>
        <w:t>Patient population enrolled in the phase 3 trials</w:t>
      </w:r>
    </w:p>
    <w:p w:rsidR="007E1CD1" w:rsidRPr="00260B02" w:rsidRDefault="007E1CD1" w:rsidP="003D4671">
      <w:pPr>
        <w:pStyle w:val="ListParagraph"/>
        <w:ind w:left="709"/>
        <w:jc w:val="both"/>
        <w:rPr>
          <w:rFonts w:ascii="Arial" w:hAnsi="Arial"/>
          <w:sz w:val="22"/>
          <w:szCs w:val="22"/>
        </w:rPr>
      </w:pPr>
    </w:p>
    <w:p w:rsidR="009B6F80" w:rsidRPr="00260B02" w:rsidRDefault="009B6F80" w:rsidP="00DD0588">
      <w:pPr>
        <w:pStyle w:val="ListParagraph"/>
        <w:numPr>
          <w:ilvl w:val="1"/>
          <w:numId w:val="25"/>
        </w:numPr>
        <w:jc w:val="both"/>
        <w:rPr>
          <w:rFonts w:ascii="Arial" w:hAnsi="Arial"/>
          <w:sz w:val="22"/>
          <w:szCs w:val="22"/>
        </w:rPr>
      </w:pPr>
      <w:r w:rsidRPr="00260B02">
        <w:rPr>
          <w:rFonts w:ascii="Arial" w:hAnsi="Arial"/>
          <w:sz w:val="22"/>
          <w:szCs w:val="22"/>
        </w:rPr>
        <w:t xml:space="preserve">The table below summarises the baseline </w:t>
      </w:r>
      <w:r w:rsidR="006D2013" w:rsidRPr="00260B02">
        <w:rPr>
          <w:rFonts w:ascii="Arial" w:hAnsi="Arial"/>
          <w:sz w:val="22"/>
          <w:szCs w:val="22"/>
        </w:rPr>
        <w:t>characteristics</w:t>
      </w:r>
      <w:r w:rsidRPr="00260B02">
        <w:rPr>
          <w:rFonts w:ascii="Arial" w:hAnsi="Arial"/>
          <w:sz w:val="22"/>
          <w:szCs w:val="22"/>
        </w:rPr>
        <w:t xml:space="preserve"> of patients recruited in the phase 3 trials. </w:t>
      </w:r>
    </w:p>
    <w:p w:rsidR="00AA6128" w:rsidRPr="00260B02" w:rsidRDefault="00AA6128" w:rsidP="00AA6128">
      <w:pPr>
        <w:pStyle w:val="ListParagraph"/>
        <w:rPr>
          <w:rFonts w:ascii="Arial" w:hAnsi="Arial"/>
          <w:sz w:val="22"/>
          <w:szCs w:val="22"/>
        </w:rPr>
      </w:pPr>
    </w:p>
    <w:p w:rsidR="00C64599" w:rsidRPr="00260B02" w:rsidRDefault="00066DC2" w:rsidP="003D4671">
      <w:pPr>
        <w:pStyle w:val="ListParagraph"/>
        <w:keepNext/>
        <w:keepLines/>
        <w:rPr>
          <w:rFonts w:ascii="Arial Narrow" w:hAnsi="Arial Narrow"/>
          <w:b/>
          <w:sz w:val="22"/>
          <w:szCs w:val="22"/>
        </w:rPr>
      </w:pPr>
      <w:r w:rsidRPr="00260B02">
        <w:rPr>
          <w:rFonts w:ascii="Arial Narrow" w:hAnsi="Arial Narrow"/>
          <w:b/>
          <w:sz w:val="20"/>
          <w:szCs w:val="22"/>
        </w:rPr>
        <w:lastRenderedPageBreak/>
        <w:t xml:space="preserve">Baseline disease characteristics in ABEB and ABEC </w:t>
      </w:r>
    </w:p>
    <w:tbl>
      <w:tblPr>
        <w:tblStyle w:val="TableGrid"/>
        <w:tblW w:w="8647" w:type="dxa"/>
        <w:tblInd w:w="817" w:type="dxa"/>
        <w:tblLayout w:type="fixed"/>
        <w:tblLook w:val="04A0" w:firstRow="1" w:lastRow="0" w:firstColumn="1" w:lastColumn="0" w:noHBand="0" w:noVBand="1"/>
        <w:tblCaption w:val="Patient population baseline characteristics"/>
      </w:tblPr>
      <w:tblGrid>
        <w:gridCol w:w="1134"/>
        <w:gridCol w:w="1276"/>
        <w:gridCol w:w="1276"/>
        <w:gridCol w:w="1282"/>
        <w:gridCol w:w="560"/>
        <w:gridCol w:w="851"/>
        <w:gridCol w:w="1134"/>
        <w:gridCol w:w="1134"/>
      </w:tblGrid>
      <w:tr w:rsidR="00447AB0" w:rsidRPr="00260B02" w:rsidTr="00447AB0">
        <w:tc>
          <w:tcPr>
            <w:tcW w:w="1134" w:type="dxa"/>
            <w:vAlign w:val="center"/>
          </w:tcPr>
          <w:p w:rsidR="00447AB0" w:rsidRPr="00260B02" w:rsidRDefault="00447AB0" w:rsidP="00E71C70">
            <w:pPr>
              <w:rPr>
                <w:rStyle w:val="IntenseReference"/>
                <w:rFonts w:ascii="Arial Narrow" w:hAnsi="Arial Narrow"/>
                <w:bCs w:val="0"/>
                <w:i w:val="0"/>
                <w:smallCaps w:val="0"/>
                <w:color w:val="auto"/>
                <w:sz w:val="20"/>
                <w:szCs w:val="20"/>
              </w:rPr>
            </w:pPr>
          </w:p>
        </w:tc>
        <w:tc>
          <w:tcPr>
            <w:tcW w:w="3834" w:type="dxa"/>
            <w:gridSpan w:val="3"/>
            <w:vAlign w:val="center"/>
          </w:tcPr>
          <w:p w:rsidR="00447AB0" w:rsidRPr="00260B02" w:rsidRDefault="00447AB0" w:rsidP="00E71C70">
            <w:pPr>
              <w:pStyle w:val="Table"/>
              <w:keepNext/>
              <w:keepLines/>
              <w:rPr>
                <w:rFonts w:ascii="Arial Narrow" w:hAnsi="Arial Narrow" w:cstheme="minorHAnsi"/>
                <w:szCs w:val="20"/>
              </w:rPr>
            </w:pPr>
            <w:r w:rsidRPr="00260B02">
              <w:rPr>
                <w:rStyle w:val="SmallBold"/>
                <w:rFonts w:ascii="Arial Narrow" w:hAnsi="Arial Narrow" w:cstheme="minorHAnsi"/>
                <w:szCs w:val="20"/>
              </w:rPr>
              <w:t>ABEB/ELEMENT 1 (T1DM)</w:t>
            </w:r>
          </w:p>
        </w:tc>
        <w:tc>
          <w:tcPr>
            <w:tcW w:w="3679" w:type="dxa"/>
            <w:gridSpan w:val="4"/>
            <w:vAlign w:val="center"/>
          </w:tcPr>
          <w:p w:rsidR="00447AB0" w:rsidRPr="00260B02" w:rsidRDefault="00447AB0" w:rsidP="00E71C70">
            <w:pPr>
              <w:rPr>
                <w:rStyle w:val="IntenseReference"/>
                <w:rFonts w:ascii="Arial Narrow" w:hAnsi="Arial Narrow"/>
                <w:bCs w:val="0"/>
                <w:i w:val="0"/>
                <w:smallCaps w:val="0"/>
                <w:color w:val="auto"/>
                <w:sz w:val="20"/>
                <w:szCs w:val="20"/>
              </w:rPr>
            </w:pPr>
            <w:r w:rsidRPr="00260B02">
              <w:rPr>
                <w:rStyle w:val="SmallBold"/>
                <w:rFonts w:ascii="Arial Narrow" w:hAnsi="Arial Narrow" w:cstheme="minorHAnsi"/>
                <w:szCs w:val="20"/>
              </w:rPr>
              <w:t>ABEC/ELEMENT 2</w:t>
            </w:r>
            <w:r w:rsidRPr="00260B02">
              <w:rPr>
                <w:rStyle w:val="SmallBold"/>
                <w:rFonts w:ascii="Arial Narrow" w:hAnsi="Arial Narrow" w:cstheme="minorHAnsi"/>
              </w:rPr>
              <w:t xml:space="preserve"> (T2DM)</w:t>
            </w:r>
          </w:p>
        </w:tc>
      </w:tr>
      <w:tr w:rsidR="00447AB0" w:rsidRPr="00260B02" w:rsidTr="00447AB0">
        <w:tc>
          <w:tcPr>
            <w:tcW w:w="1134" w:type="dxa"/>
            <w:vAlign w:val="center"/>
          </w:tcPr>
          <w:p w:rsidR="00447AB0" w:rsidRPr="00260B02" w:rsidRDefault="00447AB0" w:rsidP="00E71C70">
            <w:pPr>
              <w:jc w:val="center"/>
              <w:rPr>
                <w:rStyle w:val="IntenseReference"/>
                <w:rFonts w:ascii="Arial Narrow" w:hAnsi="Arial Narrow"/>
                <w:bCs w:val="0"/>
                <w:i w:val="0"/>
                <w:smallCaps w:val="0"/>
                <w:color w:val="auto"/>
                <w:sz w:val="20"/>
                <w:szCs w:val="20"/>
              </w:rPr>
            </w:pPr>
          </w:p>
        </w:tc>
        <w:tc>
          <w:tcPr>
            <w:tcW w:w="1276" w:type="dxa"/>
            <w:vAlign w:val="center"/>
          </w:tcPr>
          <w:p w:rsidR="00447AB0" w:rsidRPr="00260B02" w:rsidRDefault="00447AB0" w:rsidP="00E71C70">
            <w:pPr>
              <w:pStyle w:val="Table"/>
              <w:keepNext/>
              <w:keepLines/>
              <w:jc w:val="center"/>
              <w:rPr>
                <w:rStyle w:val="SmallBold"/>
                <w:rFonts w:ascii="Arial Narrow" w:hAnsi="Arial Narrow" w:cstheme="minorHAnsi"/>
                <w:szCs w:val="20"/>
              </w:rPr>
            </w:pPr>
            <w:r w:rsidRPr="00260B02">
              <w:rPr>
                <w:rStyle w:val="SmallBold"/>
                <w:rFonts w:ascii="Arial Narrow" w:hAnsi="Arial Narrow" w:cstheme="minorHAnsi"/>
                <w:szCs w:val="20"/>
              </w:rPr>
              <w:t>Basaglar</w:t>
            </w:r>
          </w:p>
          <w:p w:rsidR="00447AB0" w:rsidRPr="00260B02" w:rsidRDefault="00447AB0" w:rsidP="00E71C70">
            <w:pPr>
              <w:pStyle w:val="Table"/>
              <w:keepNext/>
              <w:keepLines/>
              <w:jc w:val="center"/>
              <w:rPr>
                <w:rFonts w:ascii="Arial Narrow" w:hAnsi="Arial Narrow" w:cstheme="minorHAnsi"/>
                <w:szCs w:val="20"/>
              </w:rPr>
            </w:pPr>
            <w:r w:rsidRPr="00260B02">
              <w:rPr>
                <w:rStyle w:val="SmallBold"/>
                <w:rFonts w:ascii="Arial Narrow" w:hAnsi="Arial Narrow" w:cstheme="minorHAnsi"/>
                <w:szCs w:val="20"/>
              </w:rPr>
              <w:t>(N= 268)</w:t>
            </w:r>
          </w:p>
        </w:tc>
        <w:tc>
          <w:tcPr>
            <w:tcW w:w="1276" w:type="dxa"/>
            <w:vAlign w:val="center"/>
          </w:tcPr>
          <w:p w:rsidR="00447AB0" w:rsidRPr="00260B02" w:rsidRDefault="00447AB0" w:rsidP="00E71C70">
            <w:pPr>
              <w:pStyle w:val="Table"/>
              <w:keepNext/>
              <w:keepLines/>
              <w:jc w:val="center"/>
              <w:rPr>
                <w:rStyle w:val="SmallBold"/>
                <w:rFonts w:ascii="Arial Narrow" w:hAnsi="Arial Narrow" w:cstheme="minorHAnsi"/>
                <w:szCs w:val="20"/>
              </w:rPr>
            </w:pPr>
            <w:r w:rsidRPr="00260B02">
              <w:rPr>
                <w:rStyle w:val="SmallBold"/>
                <w:rFonts w:ascii="Arial Narrow" w:hAnsi="Arial Narrow" w:cstheme="minorHAnsi"/>
                <w:szCs w:val="20"/>
              </w:rPr>
              <w:t>Lantus</w:t>
            </w:r>
          </w:p>
          <w:p w:rsidR="00447AB0" w:rsidRPr="00260B02" w:rsidRDefault="00447AB0" w:rsidP="00E71C70">
            <w:pPr>
              <w:pStyle w:val="Table"/>
              <w:keepNext/>
              <w:keepLines/>
              <w:jc w:val="center"/>
              <w:rPr>
                <w:rFonts w:ascii="Arial Narrow" w:hAnsi="Arial Narrow" w:cstheme="minorHAnsi"/>
                <w:szCs w:val="20"/>
              </w:rPr>
            </w:pPr>
            <w:r w:rsidRPr="00260B02">
              <w:rPr>
                <w:rStyle w:val="SmallBold"/>
                <w:rFonts w:ascii="Arial Narrow" w:hAnsi="Arial Narrow" w:cstheme="minorHAnsi"/>
                <w:szCs w:val="20"/>
              </w:rPr>
              <w:t>(N=267)</w:t>
            </w:r>
          </w:p>
        </w:tc>
        <w:tc>
          <w:tcPr>
            <w:tcW w:w="1282" w:type="dxa"/>
            <w:vAlign w:val="center"/>
          </w:tcPr>
          <w:p w:rsidR="00447AB0" w:rsidRPr="00260B02" w:rsidRDefault="00447AB0" w:rsidP="00E71C70">
            <w:pPr>
              <w:pStyle w:val="Table"/>
              <w:keepNext/>
              <w:keepLines/>
              <w:jc w:val="center"/>
              <w:rPr>
                <w:rFonts w:ascii="Arial Narrow" w:hAnsi="Arial Narrow" w:cstheme="minorHAnsi"/>
                <w:szCs w:val="20"/>
              </w:rPr>
            </w:pPr>
            <w:r w:rsidRPr="00260B02">
              <w:rPr>
                <w:rStyle w:val="SmallBold"/>
                <w:rFonts w:ascii="Arial Narrow" w:hAnsi="Arial Narrow" w:cstheme="minorHAnsi"/>
                <w:szCs w:val="20"/>
              </w:rPr>
              <w:t>Overall</w:t>
            </w:r>
            <w:r w:rsidRPr="00260B02">
              <w:rPr>
                <w:rStyle w:val="SmallBold"/>
                <w:rFonts w:ascii="Arial Narrow" w:hAnsi="Arial Narrow" w:cstheme="minorHAnsi"/>
                <w:szCs w:val="20"/>
              </w:rPr>
              <w:br/>
              <w:t>(N=535)</w:t>
            </w:r>
          </w:p>
        </w:tc>
        <w:tc>
          <w:tcPr>
            <w:tcW w:w="1411" w:type="dxa"/>
            <w:gridSpan w:val="2"/>
            <w:vAlign w:val="center"/>
          </w:tcPr>
          <w:p w:rsidR="00447AB0" w:rsidRPr="00260B02" w:rsidRDefault="00447AB0" w:rsidP="00E71C70">
            <w:pPr>
              <w:pStyle w:val="Table"/>
              <w:keepNext/>
              <w:keepLines/>
              <w:jc w:val="center"/>
              <w:rPr>
                <w:rStyle w:val="SmallBold"/>
                <w:rFonts w:ascii="Arial Narrow" w:hAnsi="Arial Narrow" w:cstheme="minorHAnsi"/>
                <w:szCs w:val="20"/>
              </w:rPr>
            </w:pPr>
            <w:r w:rsidRPr="00260B02">
              <w:rPr>
                <w:rStyle w:val="SmallBold"/>
                <w:rFonts w:ascii="Arial Narrow" w:hAnsi="Arial Narrow" w:cstheme="minorHAnsi"/>
                <w:szCs w:val="20"/>
              </w:rPr>
              <w:t>Basaglar</w:t>
            </w:r>
          </w:p>
          <w:p w:rsidR="00447AB0" w:rsidRPr="00260B02" w:rsidRDefault="00447AB0" w:rsidP="00E71C70">
            <w:pPr>
              <w:pStyle w:val="Table"/>
              <w:keepNext/>
              <w:keepLines/>
              <w:jc w:val="center"/>
              <w:rPr>
                <w:rFonts w:ascii="Arial Narrow" w:hAnsi="Arial Narrow" w:cstheme="minorHAnsi"/>
                <w:szCs w:val="20"/>
              </w:rPr>
            </w:pPr>
            <w:r w:rsidRPr="00260B02">
              <w:rPr>
                <w:rStyle w:val="SmallBold"/>
                <w:rFonts w:ascii="Arial Narrow" w:hAnsi="Arial Narrow" w:cstheme="minorHAnsi"/>
                <w:szCs w:val="20"/>
              </w:rPr>
              <w:t>(N= 376)</w:t>
            </w:r>
          </w:p>
        </w:tc>
        <w:tc>
          <w:tcPr>
            <w:tcW w:w="1134" w:type="dxa"/>
            <w:vAlign w:val="center"/>
          </w:tcPr>
          <w:p w:rsidR="00447AB0" w:rsidRPr="00260B02" w:rsidRDefault="00447AB0" w:rsidP="00E71C70">
            <w:pPr>
              <w:pStyle w:val="Table"/>
              <w:keepNext/>
              <w:keepLines/>
              <w:jc w:val="center"/>
              <w:rPr>
                <w:rStyle w:val="SmallBold"/>
                <w:rFonts w:ascii="Arial Narrow" w:hAnsi="Arial Narrow" w:cstheme="minorHAnsi"/>
                <w:szCs w:val="20"/>
              </w:rPr>
            </w:pPr>
            <w:r w:rsidRPr="00260B02">
              <w:rPr>
                <w:rStyle w:val="SmallBold"/>
                <w:rFonts w:ascii="Arial Narrow" w:hAnsi="Arial Narrow" w:cstheme="minorHAnsi"/>
                <w:szCs w:val="20"/>
              </w:rPr>
              <w:t>Lantus</w:t>
            </w:r>
          </w:p>
          <w:p w:rsidR="00447AB0" w:rsidRPr="00260B02" w:rsidRDefault="00447AB0" w:rsidP="00E71C70">
            <w:pPr>
              <w:pStyle w:val="Table"/>
              <w:keepNext/>
              <w:keepLines/>
              <w:jc w:val="center"/>
              <w:rPr>
                <w:rFonts w:ascii="Arial Narrow" w:hAnsi="Arial Narrow" w:cstheme="minorHAnsi"/>
                <w:szCs w:val="20"/>
              </w:rPr>
            </w:pPr>
            <w:r w:rsidRPr="00260B02">
              <w:rPr>
                <w:rStyle w:val="SmallBold"/>
                <w:rFonts w:ascii="Arial Narrow" w:hAnsi="Arial Narrow" w:cstheme="minorHAnsi"/>
                <w:szCs w:val="20"/>
              </w:rPr>
              <w:t>(N=380)</w:t>
            </w:r>
          </w:p>
        </w:tc>
        <w:tc>
          <w:tcPr>
            <w:tcW w:w="1134" w:type="dxa"/>
            <w:vAlign w:val="center"/>
          </w:tcPr>
          <w:p w:rsidR="00447AB0" w:rsidRPr="00260B02" w:rsidRDefault="00447AB0" w:rsidP="00E71C70">
            <w:pPr>
              <w:pStyle w:val="Table"/>
              <w:keepNext/>
              <w:keepLines/>
              <w:jc w:val="center"/>
              <w:rPr>
                <w:rFonts w:ascii="Arial Narrow" w:hAnsi="Arial Narrow" w:cstheme="minorHAnsi"/>
                <w:szCs w:val="20"/>
              </w:rPr>
            </w:pPr>
            <w:r w:rsidRPr="00260B02">
              <w:rPr>
                <w:rStyle w:val="SmallBold"/>
                <w:rFonts w:ascii="Arial Narrow" w:hAnsi="Arial Narrow" w:cstheme="minorHAnsi"/>
                <w:szCs w:val="20"/>
              </w:rPr>
              <w:t>Overall</w:t>
            </w:r>
            <w:r w:rsidRPr="00260B02">
              <w:rPr>
                <w:rStyle w:val="SmallBold"/>
                <w:rFonts w:ascii="Arial Narrow" w:hAnsi="Arial Narrow" w:cstheme="minorHAnsi"/>
                <w:szCs w:val="20"/>
              </w:rPr>
              <w:br/>
              <w:t>(N=756)</w:t>
            </w:r>
          </w:p>
        </w:tc>
      </w:tr>
      <w:tr w:rsidR="00447AB0" w:rsidRPr="00260B02" w:rsidTr="00447AB0">
        <w:tc>
          <w:tcPr>
            <w:tcW w:w="8647" w:type="dxa"/>
            <w:gridSpan w:val="8"/>
            <w:vAlign w:val="center"/>
          </w:tcPr>
          <w:p w:rsidR="00447AB0" w:rsidRPr="00260B02" w:rsidRDefault="00447AB0" w:rsidP="00E71C70">
            <w:pPr>
              <w:rPr>
                <w:rStyle w:val="IntenseReference"/>
                <w:rFonts w:ascii="Arial Narrow" w:hAnsi="Arial Narrow"/>
                <w:bCs w:val="0"/>
                <w:i w:val="0"/>
                <w:smallCaps w:val="0"/>
                <w:color w:val="auto"/>
                <w:sz w:val="20"/>
                <w:szCs w:val="20"/>
              </w:rPr>
            </w:pPr>
            <w:r w:rsidRPr="00260B02">
              <w:rPr>
                <w:rStyle w:val="IntenseReference"/>
                <w:rFonts w:ascii="Arial Narrow" w:hAnsi="Arial Narrow"/>
                <w:bCs w:val="0"/>
                <w:i w:val="0"/>
                <w:smallCaps w:val="0"/>
                <w:color w:val="auto"/>
                <w:sz w:val="20"/>
                <w:szCs w:val="20"/>
              </w:rPr>
              <w:t>Duration of diabetes (years)</w:t>
            </w:r>
          </w:p>
        </w:tc>
      </w:tr>
      <w:tr w:rsidR="00447AB0" w:rsidRPr="00260B02" w:rsidTr="00447AB0">
        <w:tc>
          <w:tcPr>
            <w:tcW w:w="1134" w:type="dxa"/>
            <w:vAlign w:val="center"/>
          </w:tcPr>
          <w:p w:rsidR="00447AB0" w:rsidRPr="00260B02" w:rsidRDefault="00447AB0" w:rsidP="00E71C70">
            <w:pPr>
              <w:pStyle w:val="Table"/>
              <w:keepNext/>
              <w:keepLines/>
              <w:rPr>
                <w:rFonts w:ascii="Arial Narrow" w:hAnsi="Arial Narrow" w:cstheme="minorHAnsi"/>
                <w:szCs w:val="20"/>
              </w:rPr>
            </w:pPr>
            <w:r w:rsidRPr="00260B02">
              <w:rPr>
                <w:rFonts w:ascii="Arial Narrow" w:hAnsi="Arial Narrow" w:cstheme="minorHAnsi"/>
                <w:szCs w:val="20"/>
              </w:rPr>
              <w:t>Mean (SD)</w:t>
            </w:r>
          </w:p>
        </w:tc>
        <w:tc>
          <w:tcPr>
            <w:tcW w:w="1276" w:type="dxa"/>
            <w:vAlign w:val="center"/>
          </w:tcPr>
          <w:p w:rsidR="00447AB0" w:rsidRPr="00260B02" w:rsidRDefault="00447AB0" w:rsidP="00E71C70">
            <w:pPr>
              <w:pStyle w:val="Table"/>
              <w:keepNext/>
              <w:keepLines/>
              <w:jc w:val="center"/>
              <w:rPr>
                <w:rFonts w:ascii="Arial Narrow" w:hAnsi="Arial Narrow" w:cstheme="minorHAnsi"/>
                <w:szCs w:val="20"/>
              </w:rPr>
            </w:pPr>
            <w:r w:rsidRPr="00260B02">
              <w:rPr>
                <w:rFonts w:ascii="Arial Narrow" w:hAnsi="Arial Narrow" w:cstheme="minorHAnsi"/>
                <w:szCs w:val="20"/>
              </w:rPr>
              <w:t>16.23 (11.0)</w:t>
            </w:r>
          </w:p>
        </w:tc>
        <w:tc>
          <w:tcPr>
            <w:tcW w:w="1276" w:type="dxa"/>
            <w:vAlign w:val="center"/>
          </w:tcPr>
          <w:p w:rsidR="00447AB0" w:rsidRPr="00260B02" w:rsidRDefault="00447AB0" w:rsidP="00E71C70">
            <w:pPr>
              <w:pStyle w:val="Table"/>
              <w:keepNext/>
              <w:keepLines/>
              <w:jc w:val="center"/>
              <w:rPr>
                <w:rFonts w:ascii="Arial Narrow" w:hAnsi="Arial Narrow" w:cstheme="minorHAnsi"/>
                <w:szCs w:val="20"/>
              </w:rPr>
            </w:pPr>
            <w:r w:rsidRPr="00260B02">
              <w:rPr>
                <w:rFonts w:ascii="Arial Narrow" w:hAnsi="Arial Narrow" w:cstheme="minorHAnsi"/>
                <w:szCs w:val="20"/>
              </w:rPr>
              <w:t>16.56 (10.83)</w:t>
            </w:r>
          </w:p>
        </w:tc>
        <w:tc>
          <w:tcPr>
            <w:tcW w:w="1282" w:type="dxa"/>
            <w:vAlign w:val="center"/>
          </w:tcPr>
          <w:p w:rsidR="00447AB0" w:rsidRPr="00260B02" w:rsidRDefault="00447AB0" w:rsidP="00E71C70">
            <w:pPr>
              <w:pStyle w:val="Table"/>
              <w:keepNext/>
              <w:keepLines/>
              <w:jc w:val="center"/>
              <w:rPr>
                <w:rFonts w:ascii="Arial Narrow" w:hAnsi="Arial Narrow" w:cstheme="minorHAnsi"/>
                <w:szCs w:val="20"/>
              </w:rPr>
            </w:pPr>
            <w:r w:rsidRPr="00260B02">
              <w:rPr>
                <w:rFonts w:ascii="Arial Narrow" w:hAnsi="Arial Narrow" w:cstheme="minorHAnsi"/>
                <w:szCs w:val="20"/>
              </w:rPr>
              <w:t>16.39 (10.91)</w:t>
            </w:r>
          </w:p>
        </w:tc>
        <w:tc>
          <w:tcPr>
            <w:tcW w:w="1411" w:type="dxa"/>
            <w:gridSpan w:val="2"/>
            <w:vAlign w:val="center"/>
          </w:tcPr>
          <w:p w:rsidR="00447AB0" w:rsidRPr="00260B02" w:rsidRDefault="00447AB0" w:rsidP="00E71C70">
            <w:pPr>
              <w:pStyle w:val="Table"/>
              <w:keepNext/>
              <w:keepLines/>
              <w:jc w:val="center"/>
              <w:rPr>
                <w:rFonts w:ascii="Arial Narrow" w:hAnsi="Arial Narrow" w:cstheme="minorHAnsi"/>
                <w:szCs w:val="20"/>
              </w:rPr>
            </w:pPr>
            <w:r w:rsidRPr="00260B02">
              <w:rPr>
                <w:rFonts w:ascii="Arial Narrow" w:hAnsi="Arial Narrow" w:cstheme="minorHAnsi"/>
                <w:szCs w:val="20"/>
              </w:rPr>
              <w:t>11.66 (6.79)</w:t>
            </w:r>
          </w:p>
        </w:tc>
        <w:tc>
          <w:tcPr>
            <w:tcW w:w="1134" w:type="dxa"/>
            <w:vAlign w:val="center"/>
          </w:tcPr>
          <w:p w:rsidR="00447AB0" w:rsidRPr="00260B02" w:rsidRDefault="00447AB0" w:rsidP="00E71C70">
            <w:pPr>
              <w:pStyle w:val="Table"/>
              <w:keepNext/>
              <w:keepLines/>
              <w:jc w:val="center"/>
              <w:rPr>
                <w:rFonts w:ascii="Arial Narrow" w:hAnsi="Arial Narrow" w:cstheme="minorHAnsi"/>
                <w:szCs w:val="20"/>
              </w:rPr>
            </w:pPr>
            <w:r w:rsidRPr="00260B02">
              <w:rPr>
                <w:rFonts w:ascii="Arial Narrow" w:hAnsi="Arial Narrow" w:cstheme="minorHAnsi"/>
                <w:szCs w:val="20"/>
              </w:rPr>
              <w:t>11.24 (6.82)</w:t>
            </w:r>
          </w:p>
        </w:tc>
        <w:tc>
          <w:tcPr>
            <w:tcW w:w="1134" w:type="dxa"/>
            <w:vAlign w:val="center"/>
          </w:tcPr>
          <w:p w:rsidR="00447AB0" w:rsidRPr="00260B02" w:rsidRDefault="00447AB0" w:rsidP="00E71C70">
            <w:pPr>
              <w:pStyle w:val="Table"/>
              <w:keepNext/>
              <w:keepLines/>
              <w:jc w:val="center"/>
              <w:rPr>
                <w:rFonts w:ascii="Arial Narrow" w:hAnsi="Arial Narrow" w:cstheme="minorHAnsi"/>
                <w:szCs w:val="20"/>
              </w:rPr>
            </w:pPr>
            <w:r w:rsidRPr="00260B02">
              <w:rPr>
                <w:rFonts w:ascii="Arial Narrow" w:hAnsi="Arial Narrow" w:cstheme="minorHAnsi"/>
                <w:szCs w:val="20"/>
              </w:rPr>
              <w:t>11.45 (6.80)</w:t>
            </w:r>
          </w:p>
        </w:tc>
      </w:tr>
      <w:tr w:rsidR="00447AB0" w:rsidRPr="00260B02" w:rsidTr="00447AB0">
        <w:tc>
          <w:tcPr>
            <w:tcW w:w="1134" w:type="dxa"/>
            <w:vAlign w:val="center"/>
          </w:tcPr>
          <w:p w:rsidR="00447AB0" w:rsidRPr="00260B02" w:rsidRDefault="00447AB0" w:rsidP="00E71C70">
            <w:pPr>
              <w:pStyle w:val="Table"/>
              <w:keepNext/>
              <w:keepLines/>
              <w:rPr>
                <w:rFonts w:ascii="Arial Narrow" w:hAnsi="Arial Narrow" w:cstheme="minorHAnsi"/>
                <w:szCs w:val="20"/>
              </w:rPr>
            </w:pPr>
            <w:r w:rsidRPr="00260B02">
              <w:rPr>
                <w:rFonts w:ascii="Arial Narrow" w:hAnsi="Arial Narrow" w:cstheme="minorHAnsi"/>
                <w:szCs w:val="20"/>
              </w:rPr>
              <w:t>Range</w:t>
            </w:r>
          </w:p>
        </w:tc>
        <w:tc>
          <w:tcPr>
            <w:tcW w:w="1276" w:type="dxa"/>
            <w:vAlign w:val="center"/>
          </w:tcPr>
          <w:p w:rsidR="00447AB0" w:rsidRPr="00260B02" w:rsidRDefault="00447AB0" w:rsidP="00E71C70">
            <w:pPr>
              <w:pStyle w:val="Table"/>
              <w:keepNext/>
              <w:keepLines/>
              <w:jc w:val="center"/>
              <w:rPr>
                <w:rFonts w:ascii="Arial Narrow" w:hAnsi="Arial Narrow" w:cstheme="minorHAnsi"/>
                <w:szCs w:val="20"/>
              </w:rPr>
            </w:pPr>
            <w:r w:rsidRPr="00260B02">
              <w:rPr>
                <w:rFonts w:ascii="Arial Narrow" w:hAnsi="Arial Narrow" w:cstheme="minorHAnsi"/>
                <w:szCs w:val="20"/>
              </w:rPr>
              <w:t>1.00, 54.31</w:t>
            </w:r>
          </w:p>
        </w:tc>
        <w:tc>
          <w:tcPr>
            <w:tcW w:w="1276" w:type="dxa"/>
            <w:vAlign w:val="center"/>
          </w:tcPr>
          <w:p w:rsidR="00447AB0" w:rsidRPr="00260B02" w:rsidRDefault="00447AB0" w:rsidP="00E71C70">
            <w:pPr>
              <w:pStyle w:val="Table"/>
              <w:keepNext/>
              <w:keepLines/>
              <w:jc w:val="center"/>
              <w:rPr>
                <w:rFonts w:ascii="Arial Narrow" w:hAnsi="Arial Narrow" w:cstheme="minorHAnsi"/>
                <w:szCs w:val="20"/>
              </w:rPr>
            </w:pPr>
            <w:r w:rsidRPr="00260B02">
              <w:rPr>
                <w:rFonts w:ascii="Arial Narrow" w:hAnsi="Arial Narrow" w:cstheme="minorHAnsi"/>
                <w:szCs w:val="20"/>
              </w:rPr>
              <w:t>1.13, 55.20</w:t>
            </w:r>
          </w:p>
        </w:tc>
        <w:tc>
          <w:tcPr>
            <w:tcW w:w="1282" w:type="dxa"/>
            <w:vAlign w:val="center"/>
          </w:tcPr>
          <w:p w:rsidR="00447AB0" w:rsidRPr="00260B02" w:rsidRDefault="00447AB0" w:rsidP="00E71C70">
            <w:pPr>
              <w:pStyle w:val="Table"/>
              <w:keepNext/>
              <w:keepLines/>
              <w:jc w:val="center"/>
              <w:rPr>
                <w:rFonts w:ascii="Arial Narrow" w:hAnsi="Arial Narrow" w:cstheme="minorHAnsi"/>
                <w:szCs w:val="20"/>
              </w:rPr>
            </w:pPr>
            <w:r w:rsidRPr="00260B02">
              <w:rPr>
                <w:rFonts w:ascii="Arial Narrow" w:hAnsi="Arial Narrow" w:cstheme="minorHAnsi"/>
                <w:szCs w:val="20"/>
              </w:rPr>
              <w:t>1.00, 55.20</w:t>
            </w:r>
          </w:p>
        </w:tc>
        <w:tc>
          <w:tcPr>
            <w:tcW w:w="1411" w:type="dxa"/>
            <w:gridSpan w:val="2"/>
            <w:vAlign w:val="center"/>
          </w:tcPr>
          <w:p w:rsidR="00447AB0" w:rsidRPr="00260B02" w:rsidRDefault="00447AB0" w:rsidP="00E71C70">
            <w:pPr>
              <w:pStyle w:val="Table"/>
              <w:keepNext/>
              <w:keepLines/>
              <w:jc w:val="center"/>
              <w:rPr>
                <w:rFonts w:ascii="Arial Narrow" w:hAnsi="Arial Narrow" w:cstheme="minorHAnsi"/>
                <w:szCs w:val="20"/>
              </w:rPr>
            </w:pPr>
            <w:r w:rsidRPr="00260B02">
              <w:rPr>
                <w:rFonts w:ascii="Arial Narrow" w:hAnsi="Arial Narrow" w:cstheme="minorHAnsi"/>
                <w:szCs w:val="20"/>
              </w:rPr>
              <w:t>0.52, 40.44</w:t>
            </w:r>
          </w:p>
        </w:tc>
        <w:tc>
          <w:tcPr>
            <w:tcW w:w="1134" w:type="dxa"/>
            <w:vAlign w:val="center"/>
          </w:tcPr>
          <w:p w:rsidR="00447AB0" w:rsidRPr="00260B02" w:rsidRDefault="00447AB0" w:rsidP="00E71C70">
            <w:pPr>
              <w:pStyle w:val="Table"/>
              <w:keepNext/>
              <w:keepLines/>
              <w:jc w:val="center"/>
              <w:rPr>
                <w:rFonts w:ascii="Arial Narrow" w:hAnsi="Arial Narrow" w:cstheme="minorHAnsi"/>
                <w:szCs w:val="20"/>
              </w:rPr>
            </w:pPr>
            <w:r w:rsidRPr="00260B02">
              <w:rPr>
                <w:rFonts w:ascii="Arial Narrow" w:hAnsi="Arial Narrow" w:cstheme="minorHAnsi"/>
                <w:szCs w:val="20"/>
              </w:rPr>
              <w:t>0.44, 33.45</w:t>
            </w:r>
          </w:p>
        </w:tc>
        <w:tc>
          <w:tcPr>
            <w:tcW w:w="1134" w:type="dxa"/>
            <w:vAlign w:val="center"/>
          </w:tcPr>
          <w:p w:rsidR="00447AB0" w:rsidRPr="00260B02" w:rsidRDefault="00447AB0" w:rsidP="00E71C70">
            <w:pPr>
              <w:pStyle w:val="Table"/>
              <w:keepNext/>
              <w:keepLines/>
              <w:jc w:val="center"/>
              <w:rPr>
                <w:rFonts w:ascii="Arial Narrow" w:hAnsi="Arial Narrow" w:cstheme="minorHAnsi"/>
                <w:szCs w:val="20"/>
              </w:rPr>
            </w:pPr>
            <w:r w:rsidRPr="00260B02">
              <w:rPr>
                <w:rFonts w:ascii="Arial Narrow" w:hAnsi="Arial Narrow" w:cstheme="minorHAnsi"/>
                <w:szCs w:val="20"/>
              </w:rPr>
              <w:t>0.44, 40.44</w:t>
            </w:r>
          </w:p>
        </w:tc>
      </w:tr>
      <w:tr w:rsidR="00447AB0" w:rsidRPr="00260B02" w:rsidTr="00447AB0">
        <w:tc>
          <w:tcPr>
            <w:tcW w:w="8647" w:type="dxa"/>
            <w:gridSpan w:val="8"/>
            <w:vAlign w:val="center"/>
          </w:tcPr>
          <w:p w:rsidR="00447AB0" w:rsidRPr="00260B02" w:rsidRDefault="00447AB0" w:rsidP="00E71C70">
            <w:pPr>
              <w:pStyle w:val="Table"/>
              <w:keepNext/>
              <w:keepLines/>
              <w:rPr>
                <w:rFonts w:ascii="Arial Narrow" w:hAnsi="Arial Narrow" w:cstheme="minorHAnsi"/>
                <w:szCs w:val="20"/>
              </w:rPr>
            </w:pPr>
            <w:r w:rsidRPr="00260B02">
              <w:rPr>
                <w:rStyle w:val="IntenseReference"/>
                <w:rFonts w:ascii="Arial Narrow" w:hAnsi="Arial Narrow"/>
                <w:bCs w:val="0"/>
                <w:i w:val="0"/>
                <w:smallCaps w:val="0"/>
                <w:color w:val="auto"/>
                <w:szCs w:val="20"/>
              </w:rPr>
              <w:t>Baseline HbA1c (%)</w:t>
            </w:r>
          </w:p>
        </w:tc>
      </w:tr>
      <w:tr w:rsidR="00447AB0" w:rsidRPr="00260B02" w:rsidTr="00447AB0">
        <w:tc>
          <w:tcPr>
            <w:tcW w:w="1134" w:type="dxa"/>
            <w:vAlign w:val="center"/>
          </w:tcPr>
          <w:p w:rsidR="00447AB0" w:rsidRPr="00260B02" w:rsidRDefault="00447AB0" w:rsidP="00E71C70">
            <w:pPr>
              <w:pStyle w:val="Table"/>
              <w:keepNext/>
              <w:keepLines/>
              <w:rPr>
                <w:rFonts w:ascii="Arial Narrow" w:hAnsi="Arial Narrow" w:cstheme="minorHAnsi"/>
                <w:szCs w:val="20"/>
              </w:rPr>
            </w:pPr>
            <w:r w:rsidRPr="00260B02">
              <w:rPr>
                <w:rFonts w:ascii="Arial Narrow" w:hAnsi="Arial Narrow" w:cstheme="minorHAnsi"/>
                <w:szCs w:val="20"/>
              </w:rPr>
              <w:t>Mean (SD)</w:t>
            </w:r>
          </w:p>
        </w:tc>
        <w:tc>
          <w:tcPr>
            <w:tcW w:w="1276" w:type="dxa"/>
            <w:vAlign w:val="center"/>
          </w:tcPr>
          <w:p w:rsidR="00447AB0" w:rsidRPr="00260B02" w:rsidRDefault="00447AB0" w:rsidP="00E71C70">
            <w:pPr>
              <w:pStyle w:val="Table"/>
              <w:keepNext/>
              <w:keepLines/>
              <w:jc w:val="center"/>
              <w:rPr>
                <w:rFonts w:ascii="Arial Narrow" w:hAnsi="Arial Narrow" w:cstheme="minorHAnsi"/>
                <w:szCs w:val="20"/>
              </w:rPr>
            </w:pPr>
            <w:r w:rsidRPr="00260B02">
              <w:rPr>
                <w:rFonts w:ascii="Arial Narrow" w:hAnsi="Arial Narrow" w:cstheme="minorHAnsi"/>
                <w:szCs w:val="20"/>
              </w:rPr>
              <w:t>7.75 (1.13)</w:t>
            </w:r>
          </w:p>
        </w:tc>
        <w:tc>
          <w:tcPr>
            <w:tcW w:w="1276" w:type="dxa"/>
            <w:vAlign w:val="center"/>
          </w:tcPr>
          <w:p w:rsidR="00447AB0" w:rsidRPr="00260B02" w:rsidRDefault="00447AB0" w:rsidP="00E71C70">
            <w:pPr>
              <w:pStyle w:val="Table"/>
              <w:keepNext/>
              <w:keepLines/>
              <w:jc w:val="center"/>
              <w:rPr>
                <w:rFonts w:ascii="Arial Narrow" w:hAnsi="Arial Narrow" w:cstheme="minorHAnsi"/>
                <w:szCs w:val="20"/>
              </w:rPr>
            </w:pPr>
            <w:r w:rsidRPr="00260B02">
              <w:rPr>
                <w:rFonts w:ascii="Arial Narrow" w:hAnsi="Arial Narrow" w:cstheme="minorHAnsi"/>
                <w:szCs w:val="20"/>
              </w:rPr>
              <w:t>7.79 (1.03)</w:t>
            </w:r>
          </w:p>
        </w:tc>
        <w:tc>
          <w:tcPr>
            <w:tcW w:w="1282" w:type="dxa"/>
            <w:vAlign w:val="center"/>
          </w:tcPr>
          <w:p w:rsidR="00447AB0" w:rsidRPr="00260B02" w:rsidRDefault="00447AB0" w:rsidP="00E71C70">
            <w:pPr>
              <w:pStyle w:val="Table"/>
              <w:keepNext/>
              <w:keepLines/>
              <w:jc w:val="center"/>
              <w:rPr>
                <w:rFonts w:ascii="Arial Narrow" w:hAnsi="Arial Narrow" w:cstheme="minorHAnsi"/>
                <w:szCs w:val="20"/>
              </w:rPr>
            </w:pPr>
            <w:r w:rsidRPr="00260B02">
              <w:rPr>
                <w:rFonts w:ascii="Arial Narrow" w:hAnsi="Arial Narrow" w:cstheme="minorHAnsi"/>
                <w:szCs w:val="20"/>
              </w:rPr>
              <w:t>7.77 (1.08)</w:t>
            </w:r>
          </w:p>
        </w:tc>
        <w:tc>
          <w:tcPr>
            <w:tcW w:w="1411" w:type="dxa"/>
            <w:gridSpan w:val="2"/>
            <w:vAlign w:val="center"/>
          </w:tcPr>
          <w:p w:rsidR="00447AB0" w:rsidRPr="00260B02" w:rsidRDefault="00447AB0" w:rsidP="00E71C70">
            <w:pPr>
              <w:pStyle w:val="Table"/>
              <w:keepNext/>
              <w:keepLines/>
              <w:jc w:val="center"/>
              <w:rPr>
                <w:rFonts w:ascii="Arial Narrow" w:hAnsi="Arial Narrow" w:cstheme="minorHAnsi"/>
                <w:szCs w:val="20"/>
              </w:rPr>
            </w:pPr>
            <w:r w:rsidRPr="00260B02">
              <w:rPr>
                <w:rFonts w:ascii="Arial Narrow" w:hAnsi="Arial Narrow" w:cstheme="minorHAnsi"/>
                <w:szCs w:val="20"/>
              </w:rPr>
              <w:t>8.34 (1.09)</w:t>
            </w:r>
          </w:p>
        </w:tc>
        <w:tc>
          <w:tcPr>
            <w:tcW w:w="1134" w:type="dxa"/>
            <w:vAlign w:val="center"/>
          </w:tcPr>
          <w:p w:rsidR="00447AB0" w:rsidRPr="00260B02" w:rsidRDefault="00447AB0" w:rsidP="00E71C70">
            <w:pPr>
              <w:pStyle w:val="Table"/>
              <w:keepNext/>
              <w:keepLines/>
              <w:jc w:val="center"/>
              <w:rPr>
                <w:rFonts w:ascii="Arial Narrow" w:hAnsi="Arial Narrow" w:cstheme="minorHAnsi"/>
                <w:szCs w:val="20"/>
              </w:rPr>
            </w:pPr>
            <w:r w:rsidRPr="00260B02">
              <w:rPr>
                <w:rFonts w:ascii="Arial Narrow" w:hAnsi="Arial Narrow" w:cstheme="minorHAnsi"/>
                <w:szCs w:val="20"/>
              </w:rPr>
              <w:t>8.31 (1.06)</w:t>
            </w:r>
          </w:p>
        </w:tc>
        <w:tc>
          <w:tcPr>
            <w:tcW w:w="1134" w:type="dxa"/>
            <w:vAlign w:val="center"/>
          </w:tcPr>
          <w:p w:rsidR="00447AB0" w:rsidRPr="00260B02" w:rsidRDefault="00447AB0" w:rsidP="00E71C70">
            <w:pPr>
              <w:pStyle w:val="Table"/>
              <w:keepNext/>
              <w:keepLines/>
              <w:jc w:val="center"/>
              <w:rPr>
                <w:rFonts w:ascii="Arial Narrow" w:hAnsi="Arial Narrow" w:cstheme="minorHAnsi"/>
                <w:szCs w:val="20"/>
              </w:rPr>
            </w:pPr>
            <w:r w:rsidRPr="00260B02">
              <w:rPr>
                <w:rFonts w:ascii="Arial Narrow" w:hAnsi="Arial Narrow" w:cstheme="minorHAnsi"/>
                <w:szCs w:val="20"/>
              </w:rPr>
              <w:t>8.33 (1.08)</w:t>
            </w:r>
          </w:p>
        </w:tc>
      </w:tr>
      <w:tr w:rsidR="00447AB0" w:rsidRPr="00260B02" w:rsidTr="00447AB0">
        <w:tc>
          <w:tcPr>
            <w:tcW w:w="1134" w:type="dxa"/>
            <w:vAlign w:val="center"/>
          </w:tcPr>
          <w:p w:rsidR="00447AB0" w:rsidRPr="00260B02" w:rsidRDefault="00447AB0" w:rsidP="00E71C70">
            <w:pPr>
              <w:pStyle w:val="Table"/>
              <w:keepNext/>
              <w:keepLines/>
              <w:rPr>
                <w:rFonts w:ascii="Arial Narrow" w:hAnsi="Arial Narrow" w:cstheme="minorHAnsi"/>
                <w:szCs w:val="20"/>
              </w:rPr>
            </w:pPr>
            <w:r w:rsidRPr="00260B02">
              <w:rPr>
                <w:rFonts w:ascii="Arial Narrow" w:hAnsi="Arial Narrow" w:cstheme="minorHAnsi"/>
                <w:szCs w:val="20"/>
              </w:rPr>
              <w:t>Range</w:t>
            </w:r>
          </w:p>
        </w:tc>
        <w:tc>
          <w:tcPr>
            <w:tcW w:w="1276" w:type="dxa"/>
            <w:vAlign w:val="center"/>
          </w:tcPr>
          <w:p w:rsidR="00447AB0" w:rsidRPr="00260B02" w:rsidRDefault="00447AB0" w:rsidP="00E71C70">
            <w:pPr>
              <w:pStyle w:val="Table"/>
              <w:keepNext/>
              <w:keepLines/>
              <w:jc w:val="center"/>
              <w:rPr>
                <w:rFonts w:ascii="Arial Narrow" w:hAnsi="Arial Narrow" w:cstheme="minorHAnsi"/>
                <w:szCs w:val="20"/>
              </w:rPr>
            </w:pPr>
            <w:r w:rsidRPr="00260B02">
              <w:rPr>
                <w:rFonts w:ascii="Arial Narrow" w:hAnsi="Arial Narrow" w:cstheme="minorHAnsi"/>
                <w:szCs w:val="20"/>
              </w:rPr>
              <w:t>4.80, 11.50</w:t>
            </w:r>
          </w:p>
        </w:tc>
        <w:tc>
          <w:tcPr>
            <w:tcW w:w="1276" w:type="dxa"/>
            <w:vAlign w:val="center"/>
          </w:tcPr>
          <w:p w:rsidR="00447AB0" w:rsidRPr="00260B02" w:rsidRDefault="00447AB0" w:rsidP="00E71C70">
            <w:pPr>
              <w:pStyle w:val="Table"/>
              <w:keepNext/>
              <w:keepLines/>
              <w:jc w:val="center"/>
              <w:rPr>
                <w:rFonts w:ascii="Arial Narrow" w:hAnsi="Arial Narrow" w:cstheme="minorHAnsi"/>
                <w:szCs w:val="20"/>
              </w:rPr>
            </w:pPr>
            <w:r w:rsidRPr="00260B02">
              <w:rPr>
                <w:rFonts w:ascii="Arial Narrow" w:hAnsi="Arial Narrow" w:cstheme="minorHAnsi"/>
                <w:szCs w:val="20"/>
              </w:rPr>
              <w:t>5.20, 10.30</w:t>
            </w:r>
          </w:p>
        </w:tc>
        <w:tc>
          <w:tcPr>
            <w:tcW w:w="1282" w:type="dxa"/>
            <w:vAlign w:val="center"/>
          </w:tcPr>
          <w:p w:rsidR="00447AB0" w:rsidRPr="00260B02" w:rsidRDefault="00447AB0" w:rsidP="00E71C70">
            <w:pPr>
              <w:pStyle w:val="Table"/>
              <w:keepNext/>
              <w:keepLines/>
              <w:jc w:val="center"/>
              <w:rPr>
                <w:rFonts w:ascii="Arial Narrow" w:hAnsi="Arial Narrow" w:cstheme="minorHAnsi"/>
                <w:szCs w:val="20"/>
              </w:rPr>
            </w:pPr>
            <w:r w:rsidRPr="00260B02">
              <w:rPr>
                <w:rFonts w:ascii="Arial Narrow" w:hAnsi="Arial Narrow" w:cstheme="minorHAnsi"/>
                <w:szCs w:val="20"/>
              </w:rPr>
              <w:t>4.80, 11.50</w:t>
            </w:r>
          </w:p>
        </w:tc>
        <w:tc>
          <w:tcPr>
            <w:tcW w:w="1411" w:type="dxa"/>
            <w:gridSpan w:val="2"/>
            <w:vAlign w:val="center"/>
          </w:tcPr>
          <w:p w:rsidR="00447AB0" w:rsidRPr="00260B02" w:rsidRDefault="00447AB0" w:rsidP="00E71C70">
            <w:pPr>
              <w:pStyle w:val="Table"/>
              <w:keepNext/>
              <w:keepLines/>
              <w:jc w:val="center"/>
              <w:rPr>
                <w:rFonts w:ascii="Arial Narrow" w:hAnsi="Arial Narrow" w:cstheme="minorHAnsi"/>
                <w:szCs w:val="20"/>
              </w:rPr>
            </w:pPr>
            <w:r w:rsidRPr="00260B02">
              <w:rPr>
                <w:rFonts w:ascii="Arial Narrow" w:hAnsi="Arial Narrow" w:cstheme="minorHAnsi"/>
                <w:szCs w:val="20"/>
              </w:rPr>
              <w:t>4.90, 11.30</w:t>
            </w:r>
          </w:p>
        </w:tc>
        <w:tc>
          <w:tcPr>
            <w:tcW w:w="1134" w:type="dxa"/>
            <w:vAlign w:val="center"/>
          </w:tcPr>
          <w:p w:rsidR="00447AB0" w:rsidRPr="00260B02" w:rsidRDefault="00447AB0" w:rsidP="00E71C70">
            <w:pPr>
              <w:pStyle w:val="Table"/>
              <w:keepNext/>
              <w:keepLines/>
              <w:jc w:val="center"/>
              <w:rPr>
                <w:rFonts w:ascii="Arial Narrow" w:hAnsi="Arial Narrow" w:cstheme="minorHAnsi"/>
                <w:szCs w:val="20"/>
              </w:rPr>
            </w:pPr>
            <w:r w:rsidRPr="00260B02">
              <w:rPr>
                <w:rFonts w:ascii="Arial Narrow" w:hAnsi="Arial Narrow" w:cstheme="minorHAnsi"/>
                <w:szCs w:val="20"/>
              </w:rPr>
              <w:t>5.90, 11.20</w:t>
            </w:r>
          </w:p>
        </w:tc>
        <w:tc>
          <w:tcPr>
            <w:tcW w:w="1134" w:type="dxa"/>
            <w:vAlign w:val="center"/>
          </w:tcPr>
          <w:p w:rsidR="00447AB0" w:rsidRPr="00260B02" w:rsidRDefault="00447AB0" w:rsidP="00E71C70">
            <w:pPr>
              <w:pStyle w:val="Table"/>
              <w:keepNext/>
              <w:keepLines/>
              <w:jc w:val="center"/>
              <w:rPr>
                <w:rFonts w:ascii="Arial Narrow" w:hAnsi="Arial Narrow" w:cstheme="minorHAnsi"/>
                <w:szCs w:val="20"/>
              </w:rPr>
            </w:pPr>
            <w:r w:rsidRPr="00260B02">
              <w:rPr>
                <w:rFonts w:ascii="Arial Narrow" w:hAnsi="Arial Narrow" w:cstheme="minorHAnsi"/>
                <w:szCs w:val="20"/>
              </w:rPr>
              <w:t>4.90, 11.30</w:t>
            </w:r>
          </w:p>
        </w:tc>
      </w:tr>
      <w:tr w:rsidR="00447AB0" w:rsidRPr="00260B02" w:rsidTr="00447AB0">
        <w:tc>
          <w:tcPr>
            <w:tcW w:w="8647" w:type="dxa"/>
            <w:gridSpan w:val="8"/>
            <w:vAlign w:val="center"/>
          </w:tcPr>
          <w:p w:rsidR="00447AB0" w:rsidRPr="00260B02" w:rsidRDefault="00447AB0" w:rsidP="00E71C70">
            <w:pPr>
              <w:rPr>
                <w:rStyle w:val="IntenseReference"/>
                <w:rFonts w:ascii="Arial Narrow" w:hAnsi="Arial Narrow"/>
                <w:bCs w:val="0"/>
                <w:i w:val="0"/>
                <w:smallCaps w:val="0"/>
                <w:color w:val="auto"/>
                <w:sz w:val="20"/>
                <w:szCs w:val="20"/>
              </w:rPr>
            </w:pPr>
            <w:r w:rsidRPr="00260B02">
              <w:rPr>
                <w:rFonts w:ascii="Arial Narrow" w:hAnsi="Arial Narrow" w:cstheme="minorHAnsi"/>
                <w:b/>
                <w:sz w:val="20"/>
                <w:szCs w:val="20"/>
              </w:rPr>
              <w:t>Entry basal insulin, n (%)</w:t>
            </w:r>
          </w:p>
        </w:tc>
      </w:tr>
      <w:tr w:rsidR="00447AB0" w:rsidRPr="00260B02" w:rsidTr="00447AB0">
        <w:tc>
          <w:tcPr>
            <w:tcW w:w="1134" w:type="dxa"/>
            <w:vAlign w:val="center"/>
          </w:tcPr>
          <w:p w:rsidR="00447AB0" w:rsidRPr="00260B02" w:rsidRDefault="00447AB0" w:rsidP="00E71C70">
            <w:pPr>
              <w:pStyle w:val="Table"/>
              <w:keepNext/>
              <w:keepLines/>
              <w:rPr>
                <w:rFonts w:ascii="Arial Narrow" w:hAnsi="Arial Narrow" w:cstheme="minorHAnsi"/>
                <w:szCs w:val="20"/>
              </w:rPr>
            </w:pPr>
            <w:r w:rsidRPr="00260B02">
              <w:rPr>
                <w:rFonts w:ascii="Arial Narrow" w:hAnsi="Arial Narrow" w:cstheme="minorHAnsi"/>
                <w:szCs w:val="20"/>
              </w:rPr>
              <w:t>Lantus</w:t>
            </w:r>
          </w:p>
        </w:tc>
        <w:tc>
          <w:tcPr>
            <w:tcW w:w="1276" w:type="dxa"/>
            <w:vAlign w:val="center"/>
          </w:tcPr>
          <w:p w:rsidR="00447AB0" w:rsidRPr="00260B02" w:rsidRDefault="00447AB0" w:rsidP="00E71C70">
            <w:pPr>
              <w:pStyle w:val="Table"/>
              <w:keepNext/>
              <w:keepLines/>
              <w:jc w:val="center"/>
              <w:rPr>
                <w:rFonts w:ascii="Arial Narrow" w:hAnsi="Arial Narrow" w:cstheme="minorHAnsi"/>
                <w:szCs w:val="20"/>
              </w:rPr>
            </w:pPr>
            <w:r w:rsidRPr="00260B02">
              <w:rPr>
                <w:rFonts w:ascii="Arial Narrow" w:hAnsi="Arial Narrow" w:cstheme="minorHAnsi"/>
                <w:szCs w:val="20"/>
              </w:rPr>
              <w:t>218 (81.3)</w:t>
            </w:r>
          </w:p>
        </w:tc>
        <w:tc>
          <w:tcPr>
            <w:tcW w:w="1276" w:type="dxa"/>
            <w:vAlign w:val="center"/>
          </w:tcPr>
          <w:p w:rsidR="00447AB0" w:rsidRPr="00260B02" w:rsidRDefault="00447AB0" w:rsidP="00E71C70">
            <w:pPr>
              <w:pStyle w:val="Table"/>
              <w:keepNext/>
              <w:keepLines/>
              <w:jc w:val="center"/>
              <w:rPr>
                <w:rFonts w:ascii="Arial Narrow" w:hAnsi="Arial Narrow" w:cstheme="minorHAnsi"/>
                <w:szCs w:val="20"/>
              </w:rPr>
            </w:pPr>
            <w:r w:rsidRPr="00260B02">
              <w:rPr>
                <w:rFonts w:ascii="Arial Narrow" w:hAnsi="Arial Narrow" w:cstheme="minorHAnsi"/>
                <w:szCs w:val="20"/>
              </w:rPr>
              <w:t>234 (87.6)</w:t>
            </w:r>
          </w:p>
        </w:tc>
        <w:tc>
          <w:tcPr>
            <w:tcW w:w="1282" w:type="dxa"/>
            <w:vAlign w:val="center"/>
          </w:tcPr>
          <w:p w:rsidR="00447AB0" w:rsidRPr="00260B02" w:rsidRDefault="00447AB0" w:rsidP="00E71C70">
            <w:pPr>
              <w:pStyle w:val="Table"/>
              <w:keepNext/>
              <w:keepLines/>
              <w:jc w:val="center"/>
              <w:rPr>
                <w:rFonts w:ascii="Arial Narrow" w:hAnsi="Arial Narrow" w:cstheme="minorHAnsi"/>
                <w:szCs w:val="20"/>
              </w:rPr>
            </w:pPr>
            <w:r w:rsidRPr="00260B02">
              <w:rPr>
                <w:rFonts w:ascii="Arial Narrow" w:hAnsi="Arial Narrow" w:cstheme="minorHAnsi"/>
                <w:szCs w:val="20"/>
              </w:rPr>
              <w:t>452 (84.5)</w:t>
            </w:r>
          </w:p>
        </w:tc>
        <w:tc>
          <w:tcPr>
            <w:tcW w:w="1411" w:type="dxa"/>
            <w:gridSpan w:val="2"/>
            <w:vAlign w:val="center"/>
          </w:tcPr>
          <w:p w:rsidR="00447AB0" w:rsidRPr="00260B02" w:rsidRDefault="00447AB0" w:rsidP="00E71C70">
            <w:pPr>
              <w:pStyle w:val="Table"/>
              <w:keepNext/>
              <w:keepLines/>
              <w:jc w:val="center"/>
              <w:rPr>
                <w:rFonts w:ascii="Arial Narrow" w:hAnsi="Arial Narrow" w:cstheme="minorHAnsi"/>
                <w:szCs w:val="20"/>
              </w:rPr>
            </w:pPr>
            <w:r w:rsidRPr="00260B02">
              <w:rPr>
                <w:rFonts w:ascii="Arial Narrow" w:hAnsi="Arial Narrow" w:cstheme="minorHAnsi"/>
                <w:szCs w:val="20"/>
              </w:rPr>
              <w:t>155 (41.2)</w:t>
            </w:r>
          </w:p>
        </w:tc>
        <w:tc>
          <w:tcPr>
            <w:tcW w:w="1134" w:type="dxa"/>
            <w:vAlign w:val="center"/>
          </w:tcPr>
          <w:p w:rsidR="00447AB0" w:rsidRPr="00260B02" w:rsidRDefault="00447AB0" w:rsidP="00E71C70">
            <w:pPr>
              <w:pStyle w:val="Table"/>
              <w:keepNext/>
              <w:keepLines/>
              <w:jc w:val="center"/>
              <w:rPr>
                <w:rFonts w:ascii="Arial Narrow" w:hAnsi="Arial Narrow" w:cstheme="minorHAnsi"/>
                <w:szCs w:val="20"/>
              </w:rPr>
            </w:pPr>
            <w:r w:rsidRPr="00260B02">
              <w:rPr>
                <w:rFonts w:ascii="Arial Narrow" w:hAnsi="Arial Narrow" w:cstheme="minorHAnsi"/>
                <w:szCs w:val="20"/>
              </w:rPr>
              <w:t>144 (37.9)</w:t>
            </w:r>
          </w:p>
        </w:tc>
        <w:tc>
          <w:tcPr>
            <w:tcW w:w="1134" w:type="dxa"/>
            <w:vAlign w:val="center"/>
          </w:tcPr>
          <w:p w:rsidR="00447AB0" w:rsidRPr="00260B02" w:rsidRDefault="00447AB0" w:rsidP="00E71C70">
            <w:pPr>
              <w:pStyle w:val="Table"/>
              <w:keepNext/>
              <w:keepLines/>
              <w:jc w:val="center"/>
              <w:rPr>
                <w:rFonts w:ascii="Arial Narrow" w:hAnsi="Arial Narrow" w:cstheme="minorHAnsi"/>
                <w:szCs w:val="20"/>
              </w:rPr>
            </w:pPr>
            <w:r w:rsidRPr="00260B02">
              <w:rPr>
                <w:rFonts w:ascii="Arial Narrow" w:hAnsi="Arial Narrow" w:cstheme="minorHAnsi"/>
                <w:szCs w:val="20"/>
              </w:rPr>
              <w:t>299 (39.6)</w:t>
            </w:r>
          </w:p>
        </w:tc>
      </w:tr>
      <w:tr w:rsidR="00447AB0" w:rsidRPr="00260B02" w:rsidTr="00447AB0">
        <w:tc>
          <w:tcPr>
            <w:tcW w:w="1134" w:type="dxa"/>
            <w:vAlign w:val="center"/>
          </w:tcPr>
          <w:p w:rsidR="00447AB0" w:rsidRPr="00260B02" w:rsidRDefault="00447AB0" w:rsidP="00E71C70">
            <w:pPr>
              <w:pStyle w:val="Table"/>
              <w:keepNext/>
              <w:keepLines/>
              <w:rPr>
                <w:rFonts w:ascii="Arial Narrow" w:hAnsi="Arial Narrow" w:cstheme="minorHAnsi"/>
                <w:szCs w:val="20"/>
              </w:rPr>
            </w:pPr>
            <w:r w:rsidRPr="00260B02">
              <w:rPr>
                <w:rFonts w:ascii="Arial Narrow" w:hAnsi="Arial Narrow" w:cstheme="minorHAnsi"/>
                <w:szCs w:val="20"/>
              </w:rPr>
              <w:t>Other</w:t>
            </w:r>
          </w:p>
        </w:tc>
        <w:tc>
          <w:tcPr>
            <w:tcW w:w="1276" w:type="dxa"/>
            <w:vAlign w:val="center"/>
          </w:tcPr>
          <w:p w:rsidR="00447AB0" w:rsidRPr="00260B02" w:rsidRDefault="00447AB0" w:rsidP="00E71C70">
            <w:pPr>
              <w:pStyle w:val="Table"/>
              <w:keepNext/>
              <w:keepLines/>
              <w:jc w:val="center"/>
              <w:rPr>
                <w:rFonts w:ascii="Arial Narrow" w:hAnsi="Arial Narrow" w:cstheme="minorHAnsi"/>
                <w:szCs w:val="20"/>
              </w:rPr>
            </w:pPr>
            <w:r w:rsidRPr="00260B02">
              <w:rPr>
                <w:rFonts w:ascii="Arial Narrow" w:hAnsi="Arial Narrow" w:cstheme="minorHAnsi"/>
                <w:szCs w:val="20"/>
              </w:rPr>
              <w:t>50 (18.7)</w:t>
            </w:r>
          </w:p>
        </w:tc>
        <w:tc>
          <w:tcPr>
            <w:tcW w:w="1276" w:type="dxa"/>
            <w:vAlign w:val="center"/>
          </w:tcPr>
          <w:p w:rsidR="00447AB0" w:rsidRPr="00260B02" w:rsidRDefault="00447AB0" w:rsidP="00E71C70">
            <w:pPr>
              <w:pStyle w:val="Table"/>
              <w:keepNext/>
              <w:keepLines/>
              <w:jc w:val="center"/>
              <w:rPr>
                <w:rFonts w:ascii="Arial Narrow" w:hAnsi="Arial Narrow" w:cstheme="minorHAnsi"/>
                <w:szCs w:val="20"/>
              </w:rPr>
            </w:pPr>
            <w:r w:rsidRPr="00260B02">
              <w:rPr>
                <w:rFonts w:ascii="Arial Narrow" w:hAnsi="Arial Narrow" w:cstheme="minorHAnsi"/>
                <w:szCs w:val="20"/>
              </w:rPr>
              <w:t>33 (12.4)</w:t>
            </w:r>
          </w:p>
        </w:tc>
        <w:tc>
          <w:tcPr>
            <w:tcW w:w="1282" w:type="dxa"/>
            <w:vAlign w:val="center"/>
          </w:tcPr>
          <w:p w:rsidR="00447AB0" w:rsidRPr="00260B02" w:rsidRDefault="00447AB0" w:rsidP="00E71C70">
            <w:pPr>
              <w:pStyle w:val="Table"/>
              <w:keepNext/>
              <w:keepLines/>
              <w:jc w:val="center"/>
              <w:rPr>
                <w:rFonts w:ascii="Arial Narrow" w:hAnsi="Arial Narrow" w:cstheme="minorHAnsi"/>
                <w:szCs w:val="20"/>
              </w:rPr>
            </w:pPr>
            <w:r w:rsidRPr="00260B02">
              <w:rPr>
                <w:rFonts w:ascii="Arial Narrow" w:hAnsi="Arial Narrow" w:cstheme="minorHAnsi"/>
                <w:szCs w:val="20"/>
              </w:rPr>
              <w:t>83 (15.5)</w:t>
            </w:r>
          </w:p>
        </w:tc>
        <w:tc>
          <w:tcPr>
            <w:tcW w:w="1411" w:type="dxa"/>
            <w:gridSpan w:val="2"/>
            <w:vAlign w:val="center"/>
          </w:tcPr>
          <w:p w:rsidR="00447AB0" w:rsidRPr="00260B02" w:rsidRDefault="00447AB0" w:rsidP="00E71C70">
            <w:pPr>
              <w:pStyle w:val="Table"/>
              <w:keepNext/>
              <w:keepLines/>
              <w:jc w:val="center"/>
              <w:rPr>
                <w:rFonts w:ascii="Arial Narrow" w:hAnsi="Arial Narrow" w:cstheme="minorHAnsi"/>
                <w:szCs w:val="20"/>
              </w:rPr>
            </w:pPr>
            <w:r w:rsidRPr="00260B02">
              <w:rPr>
                <w:rFonts w:ascii="Arial Narrow" w:hAnsi="Arial Narrow" w:cstheme="minorHAnsi"/>
                <w:szCs w:val="20"/>
              </w:rPr>
              <w:t>221 (58.8)</w:t>
            </w:r>
          </w:p>
        </w:tc>
        <w:tc>
          <w:tcPr>
            <w:tcW w:w="1134" w:type="dxa"/>
            <w:vAlign w:val="center"/>
          </w:tcPr>
          <w:p w:rsidR="00447AB0" w:rsidRPr="00260B02" w:rsidRDefault="00447AB0" w:rsidP="00E71C70">
            <w:pPr>
              <w:pStyle w:val="Table"/>
              <w:keepNext/>
              <w:keepLines/>
              <w:jc w:val="center"/>
              <w:rPr>
                <w:rFonts w:ascii="Arial Narrow" w:hAnsi="Arial Narrow" w:cstheme="minorHAnsi"/>
                <w:szCs w:val="20"/>
              </w:rPr>
            </w:pPr>
            <w:r w:rsidRPr="00260B02">
              <w:rPr>
                <w:rFonts w:ascii="Arial Narrow" w:hAnsi="Arial Narrow" w:cstheme="minorHAnsi"/>
                <w:szCs w:val="20"/>
              </w:rPr>
              <w:t>236 (62.1)</w:t>
            </w:r>
          </w:p>
        </w:tc>
        <w:tc>
          <w:tcPr>
            <w:tcW w:w="1134" w:type="dxa"/>
            <w:vAlign w:val="center"/>
          </w:tcPr>
          <w:p w:rsidR="00447AB0" w:rsidRPr="00260B02" w:rsidRDefault="00447AB0" w:rsidP="00E71C70">
            <w:pPr>
              <w:pStyle w:val="Table"/>
              <w:keepNext/>
              <w:keepLines/>
              <w:jc w:val="center"/>
              <w:rPr>
                <w:rFonts w:ascii="Arial Narrow" w:hAnsi="Arial Narrow" w:cstheme="minorHAnsi"/>
                <w:szCs w:val="20"/>
              </w:rPr>
            </w:pPr>
            <w:r w:rsidRPr="00260B02">
              <w:rPr>
                <w:rFonts w:ascii="Arial Narrow" w:hAnsi="Arial Narrow" w:cstheme="minorHAnsi"/>
                <w:szCs w:val="20"/>
              </w:rPr>
              <w:t>457 (60.4)</w:t>
            </w:r>
          </w:p>
        </w:tc>
      </w:tr>
      <w:tr w:rsidR="00447AB0" w:rsidRPr="00260B02" w:rsidTr="00447AB0">
        <w:tc>
          <w:tcPr>
            <w:tcW w:w="4968" w:type="dxa"/>
            <w:gridSpan w:val="4"/>
            <w:vAlign w:val="center"/>
          </w:tcPr>
          <w:p w:rsidR="00447AB0" w:rsidRPr="00260B02" w:rsidRDefault="00447AB0" w:rsidP="009529A5">
            <w:pPr>
              <w:rPr>
                <w:rStyle w:val="IntenseReference"/>
                <w:rFonts w:ascii="Arial Narrow" w:hAnsi="Arial Narrow"/>
                <w:bCs w:val="0"/>
                <w:i w:val="0"/>
                <w:smallCaps w:val="0"/>
                <w:color w:val="auto"/>
              </w:rPr>
            </w:pPr>
            <w:r w:rsidRPr="00260B02">
              <w:rPr>
                <w:rFonts w:ascii="Arial Narrow" w:hAnsi="Arial Narrow" w:cstheme="minorHAnsi"/>
                <w:b/>
                <w:sz w:val="20"/>
                <w:szCs w:val="20"/>
              </w:rPr>
              <w:t>Entry short-acting insulin, n (%)</w:t>
            </w:r>
          </w:p>
        </w:tc>
        <w:tc>
          <w:tcPr>
            <w:tcW w:w="3679" w:type="dxa"/>
            <w:gridSpan w:val="4"/>
            <w:vAlign w:val="center"/>
          </w:tcPr>
          <w:p w:rsidR="00447AB0" w:rsidRPr="00260B02" w:rsidRDefault="00447AB0" w:rsidP="009529A5">
            <w:pPr>
              <w:rPr>
                <w:rStyle w:val="IntenseReference"/>
                <w:rFonts w:ascii="Arial Narrow" w:hAnsi="Arial Narrow"/>
                <w:bCs w:val="0"/>
                <w:i w:val="0"/>
                <w:smallCaps w:val="0"/>
                <w:color w:val="auto"/>
                <w:sz w:val="20"/>
                <w:szCs w:val="20"/>
              </w:rPr>
            </w:pPr>
            <w:r w:rsidRPr="00260B02">
              <w:rPr>
                <w:rFonts w:ascii="Arial Narrow" w:hAnsi="Arial Narrow" w:cstheme="minorHAnsi"/>
                <w:b/>
                <w:sz w:val="20"/>
                <w:szCs w:val="20"/>
              </w:rPr>
              <w:t>Sulfonylurea use, n (%)</w:t>
            </w:r>
          </w:p>
        </w:tc>
      </w:tr>
      <w:tr w:rsidR="00447AB0" w:rsidRPr="00260B02" w:rsidTr="00447AB0">
        <w:tc>
          <w:tcPr>
            <w:tcW w:w="1134" w:type="dxa"/>
            <w:vAlign w:val="center"/>
          </w:tcPr>
          <w:p w:rsidR="00447AB0" w:rsidRPr="00260B02" w:rsidRDefault="00447AB0" w:rsidP="00E71C70">
            <w:pPr>
              <w:pStyle w:val="Table"/>
              <w:keepNext/>
              <w:keepLines/>
              <w:rPr>
                <w:rFonts w:ascii="Arial Narrow" w:hAnsi="Arial Narrow" w:cstheme="minorHAnsi"/>
                <w:b/>
                <w:szCs w:val="20"/>
              </w:rPr>
            </w:pPr>
            <w:r w:rsidRPr="00260B02">
              <w:rPr>
                <w:rFonts w:ascii="Arial Narrow" w:hAnsi="Arial Narrow" w:cstheme="minorHAnsi"/>
                <w:b/>
                <w:szCs w:val="20"/>
              </w:rPr>
              <w:t>Insulin lispro</w:t>
            </w:r>
          </w:p>
        </w:tc>
        <w:tc>
          <w:tcPr>
            <w:tcW w:w="1276" w:type="dxa"/>
            <w:vAlign w:val="center"/>
          </w:tcPr>
          <w:p w:rsidR="00447AB0" w:rsidRPr="00260B02" w:rsidRDefault="00447AB0" w:rsidP="00E71C70">
            <w:pPr>
              <w:pStyle w:val="Table"/>
              <w:keepNext/>
              <w:keepLines/>
              <w:jc w:val="center"/>
              <w:rPr>
                <w:rFonts w:ascii="Arial Narrow" w:hAnsi="Arial Narrow" w:cstheme="minorHAnsi"/>
                <w:szCs w:val="20"/>
              </w:rPr>
            </w:pPr>
            <w:r w:rsidRPr="00260B02">
              <w:rPr>
                <w:rFonts w:ascii="Arial Narrow" w:hAnsi="Arial Narrow" w:cstheme="minorHAnsi"/>
                <w:szCs w:val="20"/>
              </w:rPr>
              <w:t>124 (46.4)</w:t>
            </w:r>
          </w:p>
        </w:tc>
        <w:tc>
          <w:tcPr>
            <w:tcW w:w="1276" w:type="dxa"/>
            <w:vAlign w:val="center"/>
          </w:tcPr>
          <w:p w:rsidR="00447AB0" w:rsidRPr="00260B02" w:rsidRDefault="00447AB0" w:rsidP="00E71C70">
            <w:pPr>
              <w:pStyle w:val="Table"/>
              <w:keepNext/>
              <w:keepLines/>
              <w:jc w:val="center"/>
              <w:rPr>
                <w:rFonts w:ascii="Arial Narrow" w:hAnsi="Arial Narrow" w:cstheme="minorHAnsi"/>
                <w:szCs w:val="20"/>
              </w:rPr>
            </w:pPr>
            <w:r w:rsidRPr="00260B02">
              <w:rPr>
                <w:rFonts w:ascii="Arial Narrow" w:hAnsi="Arial Narrow" w:cstheme="minorHAnsi"/>
                <w:szCs w:val="20"/>
              </w:rPr>
              <w:t>121 (45.3)</w:t>
            </w:r>
          </w:p>
        </w:tc>
        <w:tc>
          <w:tcPr>
            <w:tcW w:w="1282" w:type="dxa"/>
            <w:vAlign w:val="center"/>
          </w:tcPr>
          <w:p w:rsidR="00447AB0" w:rsidRPr="00260B02" w:rsidRDefault="00447AB0" w:rsidP="00E71C70">
            <w:pPr>
              <w:pStyle w:val="Table"/>
              <w:keepNext/>
              <w:keepLines/>
              <w:jc w:val="center"/>
              <w:rPr>
                <w:rFonts w:ascii="Arial Narrow" w:hAnsi="Arial Narrow" w:cstheme="minorHAnsi"/>
                <w:szCs w:val="20"/>
              </w:rPr>
            </w:pPr>
            <w:r w:rsidRPr="00260B02">
              <w:rPr>
                <w:rFonts w:ascii="Arial Narrow" w:hAnsi="Arial Narrow" w:cstheme="minorHAnsi"/>
                <w:szCs w:val="20"/>
              </w:rPr>
              <w:t>245 (45.9)</w:t>
            </w:r>
          </w:p>
        </w:tc>
        <w:tc>
          <w:tcPr>
            <w:tcW w:w="560" w:type="dxa"/>
          </w:tcPr>
          <w:p w:rsidR="00447AB0" w:rsidRPr="00260B02" w:rsidRDefault="00447AB0" w:rsidP="00E71C70">
            <w:pPr>
              <w:pStyle w:val="Table"/>
              <w:keepNext/>
              <w:keepLines/>
              <w:jc w:val="center"/>
              <w:rPr>
                <w:rFonts w:ascii="Arial Narrow" w:hAnsi="Arial Narrow" w:cstheme="minorHAnsi"/>
                <w:b/>
                <w:szCs w:val="20"/>
              </w:rPr>
            </w:pPr>
            <w:r w:rsidRPr="00260B02">
              <w:rPr>
                <w:rFonts w:ascii="Arial Narrow" w:hAnsi="Arial Narrow" w:cstheme="minorHAnsi"/>
                <w:b/>
                <w:szCs w:val="20"/>
              </w:rPr>
              <w:t>Yes</w:t>
            </w:r>
          </w:p>
          <w:p w:rsidR="00447AB0" w:rsidRPr="00260B02" w:rsidRDefault="00447AB0" w:rsidP="00E71C70">
            <w:pPr>
              <w:pStyle w:val="Table"/>
              <w:keepNext/>
              <w:keepLines/>
              <w:jc w:val="center"/>
              <w:rPr>
                <w:rFonts w:ascii="Arial Narrow" w:hAnsi="Arial Narrow" w:cstheme="minorHAnsi"/>
                <w:b/>
                <w:szCs w:val="20"/>
              </w:rPr>
            </w:pPr>
          </w:p>
        </w:tc>
        <w:tc>
          <w:tcPr>
            <w:tcW w:w="851" w:type="dxa"/>
          </w:tcPr>
          <w:p w:rsidR="00447AB0" w:rsidRPr="00260B02" w:rsidRDefault="00447AB0" w:rsidP="00E71C70">
            <w:pPr>
              <w:pStyle w:val="Table"/>
              <w:keepNext/>
              <w:keepLines/>
              <w:jc w:val="center"/>
              <w:rPr>
                <w:rFonts w:ascii="Arial Narrow" w:hAnsi="Arial Narrow" w:cstheme="minorHAnsi"/>
                <w:szCs w:val="20"/>
              </w:rPr>
            </w:pPr>
            <w:r w:rsidRPr="00260B02">
              <w:rPr>
                <w:rFonts w:ascii="Arial Narrow" w:hAnsi="Arial Narrow" w:cstheme="minorHAnsi"/>
                <w:szCs w:val="20"/>
              </w:rPr>
              <w:t>315 (83.8)</w:t>
            </w:r>
          </w:p>
        </w:tc>
        <w:tc>
          <w:tcPr>
            <w:tcW w:w="1134" w:type="dxa"/>
          </w:tcPr>
          <w:p w:rsidR="00447AB0" w:rsidRPr="00260B02" w:rsidRDefault="00447AB0" w:rsidP="00E71C70">
            <w:pPr>
              <w:pStyle w:val="Table"/>
              <w:keepNext/>
              <w:keepLines/>
              <w:jc w:val="center"/>
              <w:rPr>
                <w:rFonts w:ascii="Arial Narrow" w:hAnsi="Arial Narrow" w:cstheme="minorHAnsi"/>
                <w:szCs w:val="20"/>
              </w:rPr>
            </w:pPr>
            <w:r w:rsidRPr="00260B02">
              <w:rPr>
                <w:rFonts w:ascii="Arial Narrow" w:hAnsi="Arial Narrow" w:cstheme="minorHAnsi"/>
                <w:szCs w:val="20"/>
              </w:rPr>
              <w:t>315 (82.9)</w:t>
            </w:r>
          </w:p>
        </w:tc>
        <w:tc>
          <w:tcPr>
            <w:tcW w:w="1134" w:type="dxa"/>
          </w:tcPr>
          <w:p w:rsidR="00447AB0" w:rsidRPr="00260B02" w:rsidRDefault="00447AB0" w:rsidP="00E71C70">
            <w:pPr>
              <w:pStyle w:val="Table"/>
              <w:keepNext/>
              <w:keepLines/>
              <w:jc w:val="center"/>
              <w:rPr>
                <w:rFonts w:ascii="Arial Narrow" w:hAnsi="Arial Narrow" w:cstheme="minorHAnsi"/>
                <w:szCs w:val="20"/>
              </w:rPr>
            </w:pPr>
            <w:r w:rsidRPr="00260B02">
              <w:rPr>
                <w:rFonts w:ascii="Arial Narrow" w:hAnsi="Arial Narrow" w:cstheme="minorHAnsi"/>
                <w:szCs w:val="20"/>
              </w:rPr>
              <w:t>630 (83.3)</w:t>
            </w:r>
          </w:p>
        </w:tc>
      </w:tr>
      <w:tr w:rsidR="00447AB0" w:rsidRPr="00260B02" w:rsidTr="00447AB0">
        <w:tc>
          <w:tcPr>
            <w:tcW w:w="1134" w:type="dxa"/>
            <w:vAlign w:val="center"/>
          </w:tcPr>
          <w:p w:rsidR="00447AB0" w:rsidRPr="00260B02" w:rsidRDefault="00447AB0" w:rsidP="00E71C70">
            <w:pPr>
              <w:pStyle w:val="Table"/>
              <w:keepNext/>
              <w:keepLines/>
              <w:rPr>
                <w:rFonts w:ascii="Arial Narrow" w:hAnsi="Arial Narrow" w:cstheme="minorHAnsi"/>
                <w:b/>
                <w:szCs w:val="20"/>
              </w:rPr>
            </w:pPr>
            <w:r w:rsidRPr="00260B02">
              <w:rPr>
                <w:rFonts w:ascii="Arial Narrow" w:hAnsi="Arial Narrow" w:cstheme="minorHAnsi"/>
                <w:b/>
                <w:szCs w:val="20"/>
              </w:rPr>
              <w:t>Other</w:t>
            </w:r>
          </w:p>
        </w:tc>
        <w:tc>
          <w:tcPr>
            <w:tcW w:w="1276" w:type="dxa"/>
            <w:vAlign w:val="center"/>
          </w:tcPr>
          <w:p w:rsidR="00447AB0" w:rsidRPr="00260B02" w:rsidRDefault="00447AB0" w:rsidP="00E71C70">
            <w:pPr>
              <w:pStyle w:val="Table"/>
              <w:keepNext/>
              <w:keepLines/>
              <w:jc w:val="center"/>
              <w:rPr>
                <w:rFonts w:ascii="Arial Narrow" w:hAnsi="Arial Narrow" w:cstheme="minorHAnsi"/>
                <w:szCs w:val="20"/>
              </w:rPr>
            </w:pPr>
            <w:r w:rsidRPr="00260B02">
              <w:rPr>
                <w:rFonts w:ascii="Arial Narrow" w:hAnsi="Arial Narrow" w:cstheme="minorHAnsi"/>
                <w:szCs w:val="20"/>
              </w:rPr>
              <w:t>143 (53.6)</w:t>
            </w:r>
          </w:p>
        </w:tc>
        <w:tc>
          <w:tcPr>
            <w:tcW w:w="1276" w:type="dxa"/>
            <w:vAlign w:val="center"/>
          </w:tcPr>
          <w:p w:rsidR="00447AB0" w:rsidRPr="00260B02" w:rsidRDefault="00447AB0" w:rsidP="00E71C70">
            <w:pPr>
              <w:pStyle w:val="Table"/>
              <w:keepNext/>
              <w:keepLines/>
              <w:jc w:val="center"/>
              <w:rPr>
                <w:rFonts w:ascii="Arial Narrow" w:hAnsi="Arial Narrow" w:cstheme="minorHAnsi"/>
                <w:szCs w:val="20"/>
              </w:rPr>
            </w:pPr>
            <w:r w:rsidRPr="00260B02">
              <w:rPr>
                <w:rFonts w:ascii="Arial Narrow" w:hAnsi="Arial Narrow" w:cstheme="minorHAnsi"/>
                <w:szCs w:val="20"/>
              </w:rPr>
              <w:t>146 (54.7)</w:t>
            </w:r>
          </w:p>
        </w:tc>
        <w:tc>
          <w:tcPr>
            <w:tcW w:w="1282" w:type="dxa"/>
            <w:vAlign w:val="center"/>
          </w:tcPr>
          <w:p w:rsidR="00447AB0" w:rsidRPr="00260B02" w:rsidRDefault="00447AB0" w:rsidP="00E71C70">
            <w:pPr>
              <w:pStyle w:val="Table"/>
              <w:keepNext/>
              <w:keepLines/>
              <w:jc w:val="center"/>
              <w:rPr>
                <w:rFonts w:ascii="Arial Narrow" w:hAnsi="Arial Narrow" w:cstheme="minorHAnsi"/>
                <w:szCs w:val="20"/>
              </w:rPr>
            </w:pPr>
            <w:r w:rsidRPr="00260B02">
              <w:rPr>
                <w:rFonts w:ascii="Arial Narrow" w:hAnsi="Arial Narrow" w:cstheme="minorHAnsi"/>
                <w:szCs w:val="20"/>
              </w:rPr>
              <w:t>289 (54.1)</w:t>
            </w:r>
          </w:p>
        </w:tc>
        <w:tc>
          <w:tcPr>
            <w:tcW w:w="560" w:type="dxa"/>
          </w:tcPr>
          <w:p w:rsidR="00447AB0" w:rsidRPr="00260B02" w:rsidRDefault="00447AB0" w:rsidP="00E71C70">
            <w:pPr>
              <w:pStyle w:val="Table"/>
              <w:keepNext/>
              <w:keepLines/>
              <w:jc w:val="center"/>
              <w:rPr>
                <w:rFonts w:ascii="Arial Narrow" w:hAnsi="Arial Narrow" w:cstheme="minorHAnsi"/>
                <w:b/>
                <w:szCs w:val="20"/>
              </w:rPr>
            </w:pPr>
            <w:r w:rsidRPr="00260B02">
              <w:rPr>
                <w:rFonts w:ascii="Arial Narrow" w:hAnsi="Arial Narrow" w:cstheme="minorHAnsi"/>
                <w:b/>
                <w:szCs w:val="20"/>
              </w:rPr>
              <w:t>No</w:t>
            </w:r>
          </w:p>
        </w:tc>
        <w:tc>
          <w:tcPr>
            <w:tcW w:w="851" w:type="dxa"/>
          </w:tcPr>
          <w:p w:rsidR="00447AB0" w:rsidRPr="00260B02" w:rsidRDefault="00447AB0" w:rsidP="00E71C70">
            <w:pPr>
              <w:pStyle w:val="Table"/>
              <w:keepNext/>
              <w:keepLines/>
              <w:jc w:val="center"/>
              <w:rPr>
                <w:rFonts w:ascii="Arial Narrow" w:hAnsi="Arial Narrow" w:cstheme="minorHAnsi"/>
                <w:szCs w:val="20"/>
              </w:rPr>
            </w:pPr>
            <w:r w:rsidRPr="00260B02">
              <w:rPr>
                <w:rFonts w:ascii="Arial Narrow" w:hAnsi="Arial Narrow" w:cstheme="minorHAnsi"/>
                <w:szCs w:val="20"/>
              </w:rPr>
              <w:t>61 (16.2)</w:t>
            </w:r>
          </w:p>
        </w:tc>
        <w:tc>
          <w:tcPr>
            <w:tcW w:w="1134" w:type="dxa"/>
          </w:tcPr>
          <w:p w:rsidR="00447AB0" w:rsidRPr="00260B02" w:rsidRDefault="00447AB0" w:rsidP="00E71C70">
            <w:pPr>
              <w:pStyle w:val="Table"/>
              <w:keepNext/>
              <w:keepLines/>
              <w:jc w:val="center"/>
              <w:rPr>
                <w:rFonts w:ascii="Arial Narrow" w:hAnsi="Arial Narrow" w:cstheme="minorHAnsi"/>
                <w:szCs w:val="20"/>
              </w:rPr>
            </w:pPr>
            <w:r w:rsidRPr="00260B02">
              <w:rPr>
                <w:rFonts w:ascii="Arial Narrow" w:hAnsi="Arial Narrow" w:cstheme="minorHAnsi"/>
                <w:szCs w:val="20"/>
              </w:rPr>
              <w:t>65 (17.1)</w:t>
            </w:r>
          </w:p>
        </w:tc>
        <w:tc>
          <w:tcPr>
            <w:tcW w:w="1134" w:type="dxa"/>
          </w:tcPr>
          <w:p w:rsidR="00447AB0" w:rsidRPr="00260B02" w:rsidRDefault="00447AB0" w:rsidP="00E71C70">
            <w:pPr>
              <w:pStyle w:val="Table"/>
              <w:keepNext/>
              <w:keepLines/>
              <w:jc w:val="center"/>
              <w:rPr>
                <w:rFonts w:ascii="Arial Narrow" w:hAnsi="Arial Narrow" w:cstheme="minorHAnsi"/>
                <w:szCs w:val="20"/>
              </w:rPr>
            </w:pPr>
            <w:r w:rsidRPr="00260B02">
              <w:rPr>
                <w:rFonts w:ascii="Arial Narrow" w:hAnsi="Arial Narrow" w:cstheme="minorHAnsi"/>
                <w:szCs w:val="20"/>
              </w:rPr>
              <w:t>126 (16.7)</w:t>
            </w:r>
          </w:p>
        </w:tc>
      </w:tr>
      <w:tr w:rsidR="00447AB0" w:rsidRPr="00260B02" w:rsidTr="00447AB0">
        <w:tc>
          <w:tcPr>
            <w:tcW w:w="8647" w:type="dxa"/>
            <w:gridSpan w:val="8"/>
            <w:vAlign w:val="center"/>
          </w:tcPr>
          <w:p w:rsidR="00447AB0" w:rsidRPr="00260B02" w:rsidRDefault="00447AB0" w:rsidP="00E71C70">
            <w:pPr>
              <w:rPr>
                <w:rStyle w:val="IntenseReference"/>
                <w:rFonts w:ascii="Arial Narrow" w:hAnsi="Arial Narrow"/>
                <w:bCs w:val="0"/>
                <w:i w:val="0"/>
                <w:smallCaps w:val="0"/>
                <w:color w:val="auto"/>
                <w:sz w:val="20"/>
                <w:szCs w:val="20"/>
              </w:rPr>
            </w:pPr>
            <w:r w:rsidRPr="00260B02">
              <w:rPr>
                <w:rFonts w:ascii="Arial Narrow" w:hAnsi="Arial Narrow" w:cstheme="minorHAnsi"/>
                <w:b/>
                <w:sz w:val="20"/>
                <w:szCs w:val="20"/>
              </w:rPr>
              <w:t>Body weight (kg)</w:t>
            </w:r>
          </w:p>
        </w:tc>
      </w:tr>
      <w:tr w:rsidR="00447AB0" w:rsidRPr="00260B02" w:rsidTr="00447AB0">
        <w:tc>
          <w:tcPr>
            <w:tcW w:w="1134" w:type="dxa"/>
            <w:vAlign w:val="center"/>
          </w:tcPr>
          <w:p w:rsidR="00447AB0" w:rsidRPr="00260B02" w:rsidRDefault="00447AB0" w:rsidP="00E71C70">
            <w:pPr>
              <w:pStyle w:val="Table"/>
              <w:keepNext/>
              <w:keepLines/>
              <w:rPr>
                <w:rFonts w:ascii="Arial Narrow" w:hAnsi="Arial Narrow" w:cstheme="minorHAnsi"/>
                <w:szCs w:val="20"/>
              </w:rPr>
            </w:pPr>
            <w:r w:rsidRPr="00260B02">
              <w:rPr>
                <w:rFonts w:ascii="Arial Narrow" w:hAnsi="Arial Narrow" w:cstheme="minorHAnsi"/>
                <w:szCs w:val="20"/>
              </w:rPr>
              <w:t>Mean (SD)</w:t>
            </w:r>
          </w:p>
        </w:tc>
        <w:tc>
          <w:tcPr>
            <w:tcW w:w="1276" w:type="dxa"/>
            <w:vAlign w:val="center"/>
          </w:tcPr>
          <w:p w:rsidR="00447AB0" w:rsidRPr="00260B02" w:rsidRDefault="00447AB0" w:rsidP="00E71C70">
            <w:pPr>
              <w:pStyle w:val="Table"/>
              <w:keepNext/>
              <w:keepLines/>
              <w:jc w:val="center"/>
              <w:rPr>
                <w:rFonts w:ascii="Arial Narrow" w:hAnsi="Arial Narrow" w:cstheme="minorHAnsi"/>
                <w:szCs w:val="20"/>
              </w:rPr>
            </w:pPr>
            <w:r w:rsidRPr="00260B02">
              <w:rPr>
                <w:rFonts w:ascii="Arial Narrow" w:hAnsi="Arial Narrow" w:cstheme="minorHAnsi"/>
                <w:szCs w:val="20"/>
              </w:rPr>
              <w:t>75.80 (16.76)</w:t>
            </w:r>
          </w:p>
        </w:tc>
        <w:tc>
          <w:tcPr>
            <w:tcW w:w="1276" w:type="dxa"/>
            <w:vAlign w:val="center"/>
          </w:tcPr>
          <w:p w:rsidR="00447AB0" w:rsidRPr="00260B02" w:rsidRDefault="00447AB0" w:rsidP="00E71C70">
            <w:pPr>
              <w:pStyle w:val="Table"/>
              <w:keepNext/>
              <w:keepLines/>
              <w:jc w:val="center"/>
              <w:rPr>
                <w:rFonts w:ascii="Arial Narrow" w:hAnsi="Arial Narrow" w:cstheme="minorHAnsi"/>
                <w:szCs w:val="20"/>
              </w:rPr>
            </w:pPr>
            <w:r w:rsidRPr="00260B02">
              <w:rPr>
                <w:rFonts w:ascii="Arial Narrow" w:hAnsi="Arial Narrow" w:cstheme="minorHAnsi"/>
                <w:szCs w:val="20"/>
              </w:rPr>
              <w:t>74.77 (15.36)</w:t>
            </w:r>
          </w:p>
        </w:tc>
        <w:tc>
          <w:tcPr>
            <w:tcW w:w="1282" w:type="dxa"/>
            <w:vAlign w:val="center"/>
          </w:tcPr>
          <w:p w:rsidR="00447AB0" w:rsidRPr="00260B02" w:rsidRDefault="00447AB0" w:rsidP="00E71C70">
            <w:pPr>
              <w:pStyle w:val="Table"/>
              <w:keepNext/>
              <w:keepLines/>
              <w:jc w:val="center"/>
              <w:rPr>
                <w:rFonts w:ascii="Arial Narrow" w:hAnsi="Arial Narrow" w:cstheme="minorHAnsi"/>
                <w:szCs w:val="20"/>
              </w:rPr>
            </w:pPr>
            <w:r w:rsidRPr="00260B02">
              <w:rPr>
                <w:rFonts w:ascii="Arial Narrow" w:hAnsi="Arial Narrow" w:cstheme="minorHAnsi"/>
                <w:szCs w:val="20"/>
              </w:rPr>
              <w:t>75.29 (16.07)</w:t>
            </w:r>
          </w:p>
        </w:tc>
        <w:tc>
          <w:tcPr>
            <w:tcW w:w="1411" w:type="dxa"/>
            <w:gridSpan w:val="2"/>
            <w:vAlign w:val="center"/>
          </w:tcPr>
          <w:p w:rsidR="00447AB0" w:rsidRPr="00260B02" w:rsidRDefault="00447AB0" w:rsidP="00E71C70">
            <w:pPr>
              <w:pStyle w:val="Table"/>
              <w:keepNext/>
              <w:keepLines/>
              <w:jc w:val="center"/>
              <w:rPr>
                <w:rFonts w:ascii="Arial Narrow" w:hAnsi="Arial Narrow" w:cstheme="minorHAnsi"/>
                <w:szCs w:val="20"/>
              </w:rPr>
            </w:pPr>
            <w:r w:rsidRPr="00260B02">
              <w:rPr>
                <w:rFonts w:ascii="Arial Narrow" w:hAnsi="Arial Narrow" w:cstheme="minorHAnsi"/>
                <w:szCs w:val="20"/>
              </w:rPr>
              <w:t>90.35 (20.02)</w:t>
            </w:r>
          </w:p>
        </w:tc>
        <w:tc>
          <w:tcPr>
            <w:tcW w:w="1134" w:type="dxa"/>
            <w:vAlign w:val="center"/>
          </w:tcPr>
          <w:p w:rsidR="00447AB0" w:rsidRPr="00260B02" w:rsidRDefault="00447AB0" w:rsidP="00E71C70">
            <w:pPr>
              <w:pStyle w:val="Table"/>
              <w:keepNext/>
              <w:keepLines/>
              <w:jc w:val="center"/>
              <w:rPr>
                <w:rFonts w:ascii="Arial Narrow" w:hAnsi="Arial Narrow" w:cstheme="minorHAnsi"/>
                <w:szCs w:val="20"/>
              </w:rPr>
            </w:pPr>
            <w:r w:rsidRPr="00260B02">
              <w:rPr>
                <w:rFonts w:ascii="Arial Narrow" w:hAnsi="Arial Narrow" w:cstheme="minorHAnsi"/>
                <w:szCs w:val="20"/>
              </w:rPr>
              <w:t>89.83 (19.25)</w:t>
            </w:r>
          </w:p>
        </w:tc>
        <w:tc>
          <w:tcPr>
            <w:tcW w:w="1134" w:type="dxa"/>
            <w:vAlign w:val="center"/>
          </w:tcPr>
          <w:p w:rsidR="00447AB0" w:rsidRPr="00260B02" w:rsidRDefault="00447AB0" w:rsidP="00E71C70">
            <w:pPr>
              <w:pStyle w:val="Table"/>
              <w:keepNext/>
              <w:keepLines/>
              <w:jc w:val="center"/>
              <w:rPr>
                <w:rFonts w:ascii="Arial Narrow" w:hAnsi="Arial Narrow" w:cstheme="minorHAnsi"/>
                <w:szCs w:val="20"/>
              </w:rPr>
            </w:pPr>
            <w:r w:rsidRPr="00260B02">
              <w:rPr>
                <w:rFonts w:ascii="Arial Narrow" w:hAnsi="Arial Narrow" w:cstheme="minorHAnsi"/>
                <w:szCs w:val="20"/>
              </w:rPr>
              <w:t>90.09 (19.62)</w:t>
            </w:r>
          </w:p>
        </w:tc>
      </w:tr>
      <w:tr w:rsidR="00447AB0" w:rsidRPr="00260B02" w:rsidTr="00447AB0">
        <w:tc>
          <w:tcPr>
            <w:tcW w:w="1134" w:type="dxa"/>
            <w:vAlign w:val="center"/>
          </w:tcPr>
          <w:p w:rsidR="00447AB0" w:rsidRPr="00260B02" w:rsidRDefault="00447AB0" w:rsidP="00E71C70">
            <w:pPr>
              <w:pStyle w:val="Table"/>
              <w:keepNext/>
              <w:keepLines/>
              <w:rPr>
                <w:rFonts w:ascii="Arial Narrow" w:hAnsi="Arial Narrow" w:cstheme="minorHAnsi"/>
                <w:szCs w:val="20"/>
              </w:rPr>
            </w:pPr>
            <w:r w:rsidRPr="00260B02">
              <w:rPr>
                <w:rFonts w:ascii="Arial Narrow" w:hAnsi="Arial Narrow" w:cstheme="minorHAnsi"/>
                <w:szCs w:val="20"/>
              </w:rPr>
              <w:t>Range</w:t>
            </w:r>
          </w:p>
        </w:tc>
        <w:tc>
          <w:tcPr>
            <w:tcW w:w="1276" w:type="dxa"/>
            <w:vAlign w:val="center"/>
          </w:tcPr>
          <w:p w:rsidR="00447AB0" w:rsidRPr="00260B02" w:rsidRDefault="00447AB0" w:rsidP="00E71C70">
            <w:pPr>
              <w:pStyle w:val="Table"/>
              <w:keepNext/>
              <w:keepLines/>
              <w:jc w:val="center"/>
              <w:rPr>
                <w:rFonts w:ascii="Arial Narrow" w:hAnsi="Arial Narrow" w:cstheme="minorHAnsi"/>
                <w:szCs w:val="20"/>
              </w:rPr>
            </w:pPr>
            <w:r w:rsidRPr="00260B02">
              <w:rPr>
                <w:rFonts w:ascii="Arial Narrow" w:hAnsi="Arial Narrow" w:cstheme="minorHAnsi"/>
                <w:szCs w:val="20"/>
              </w:rPr>
              <w:t>42.40, 117.70</w:t>
            </w:r>
          </w:p>
        </w:tc>
        <w:tc>
          <w:tcPr>
            <w:tcW w:w="1276" w:type="dxa"/>
            <w:vAlign w:val="center"/>
          </w:tcPr>
          <w:p w:rsidR="00447AB0" w:rsidRPr="00260B02" w:rsidRDefault="00447AB0" w:rsidP="00E71C70">
            <w:pPr>
              <w:pStyle w:val="Table"/>
              <w:keepNext/>
              <w:keepLines/>
              <w:jc w:val="center"/>
              <w:rPr>
                <w:rFonts w:ascii="Arial Narrow" w:hAnsi="Arial Narrow" w:cstheme="minorHAnsi"/>
                <w:szCs w:val="20"/>
              </w:rPr>
            </w:pPr>
            <w:r w:rsidRPr="00260B02">
              <w:rPr>
                <w:rFonts w:ascii="Arial Narrow" w:hAnsi="Arial Narrow" w:cstheme="minorHAnsi"/>
                <w:szCs w:val="20"/>
              </w:rPr>
              <w:t>43.40, 120.00</w:t>
            </w:r>
          </w:p>
        </w:tc>
        <w:tc>
          <w:tcPr>
            <w:tcW w:w="1282" w:type="dxa"/>
            <w:vAlign w:val="center"/>
          </w:tcPr>
          <w:p w:rsidR="00447AB0" w:rsidRPr="00260B02" w:rsidRDefault="00447AB0" w:rsidP="00E71C70">
            <w:pPr>
              <w:pStyle w:val="Table"/>
              <w:keepNext/>
              <w:keepLines/>
              <w:jc w:val="center"/>
              <w:rPr>
                <w:rFonts w:ascii="Arial Narrow" w:hAnsi="Arial Narrow" w:cstheme="minorHAnsi"/>
                <w:szCs w:val="20"/>
              </w:rPr>
            </w:pPr>
            <w:r w:rsidRPr="00260B02">
              <w:rPr>
                <w:rFonts w:ascii="Arial Narrow" w:hAnsi="Arial Narrow" w:cstheme="minorHAnsi"/>
                <w:szCs w:val="20"/>
              </w:rPr>
              <w:t>42.40, 120.00</w:t>
            </w:r>
          </w:p>
        </w:tc>
        <w:tc>
          <w:tcPr>
            <w:tcW w:w="1411" w:type="dxa"/>
            <w:gridSpan w:val="2"/>
            <w:vAlign w:val="center"/>
          </w:tcPr>
          <w:p w:rsidR="00447AB0" w:rsidRPr="00260B02" w:rsidRDefault="00447AB0" w:rsidP="00E71C70">
            <w:pPr>
              <w:pStyle w:val="Table"/>
              <w:keepNext/>
              <w:keepLines/>
              <w:jc w:val="center"/>
              <w:rPr>
                <w:rFonts w:ascii="Arial Narrow" w:hAnsi="Arial Narrow" w:cstheme="minorHAnsi"/>
                <w:szCs w:val="20"/>
              </w:rPr>
            </w:pPr>
            <w:r w:rsidRPr="00260B02">
              <w:rPr>
                <w:rFonts w:ascii="Arial Narrow" w:hAnsi="Arial Narrow" w:cstheme="minorHAnsi"/>
                <w:szCs w:val="20"/>
              </w:rPr>
              <w:t>49.50, 165.40</w:t>
            </w:r>
          </w:p>
        </w:tc>
        <w:tc>
          <w:tcPr>
            <w:tcW w:w="1134" w:type="dxa"/>
            <w:vAlign w:val="center"/>
          </w:tcPr>
          <w:p w:rsidR="00447AB0" w:rsidRPr="00260B02" w:rsidRDefault="00447AB0" w:rsidP="00E71C70">
            <w:pPr>
              <w:pStyle w:val="Table"/>
              <w:keepNext/>
              <w:keepLines/>
              <w:jc w:val="center"/>
              <w:rPr>
                <w:rFonts w:ascii="Arial Narrow" w:hAnsi="Arial Narrow" w:cstheme="minorHAnsi"/>
                <w:szCs w:val="20"/>
              </w:rPr>
            </w:pPr>
            <w:r w:rsidRPr="00260B02">
              <w:rPr>
                <w:rFonts w:ascii="Arial Narrow" w:hAnsi="Arial Narrow" w:cstheme="minorHAnsi"/>
                <w:szCs w:val="20"/>
              </w:rPr>
              <w:t>44.20, 176.00</w:t>
            </w:r>
          </w:p>
        </w:tc>
        <w:tc>
          <w:tcPr>
            <w:tcW w:w="1134" w:type="dxa"/>
            <w:vAlign w:val="center"/>
          </w:tcPr>
          <w:p w:rsidR="00447AB0" w:rsidRPr="00260B02" w:rsidRDefault="00447AB0" w:rsidP="00E71C70">
            <w:pPr>
              <w:pStyle w:val="Table"/>
              <w:keepNext/>
              <w:keepLines/>
              <w:jc w:val="center"/>
              <w:rPr>
                <w:rFonts w:ascii="Arial Narrow" w:hAnsi="Arial Narrow" w:cstheme="minorHAnsi"/>
                <w:szCs w:val="20"/>
              </w:rPr>
            </w:pPr>
            <w:r w:rsidRPr="00260B02">
              <w:rPr>
                <w:rFonts w:ascii="Arial Narrow" w:hAnsi="Arial Narrow" w:cstheme="minorHAnsi"/>
                <w:szCs w:val="20"/>
              </w:rPr>
              <w:t>44.20, 176.00</w:t>
            </w:r>
          </w:p>
        </w:tc>
      </w:tr>
    </w:tbl>
    <w:p w:rsidR="009B6F80" w:rsidRPr="00260B02" w:rsidRDefault="00066DC2" w:rsidP="003D4671">
      <w:pPr>
        <w:keepNext/>
        <w:keepLines/>
        <w:ind w:left="709"/>
        <w:jc w:val="both"/>
        <w:rPr>
          <w:rFonts w:ascii="Arial Narrow" w:hAnsi="Arial Narrow"/>
          <w:sz w:val="18"/>
          <w:szCs w:val="22"/>
        </w:rPr>
      </w:pPr>
      <w:r w:rsidRPr="00260B02">
        <w:rPr>
          <w:rFonts w:ascii="Arial Narrow" w:hAnsi="Arial Narrow"/>
          <w:sz w:val="18"/>
          <w:szCs w:val="22"/>
        </w:rPr>
        <w:t>Source: Section B of the submission ( p27)</w:t>
      </w:r>
      <w:r w:rsidR="007E1CD1" w:rsidRPr="00260B02">
        <w:rPr>
          <w:rFonts w:ascii="Arial Narrow" w:hAnsi="Arial Narrow"/>
          <w:sz w:val="18"/>
          <w:szCs w:val="22"/>
        </w:rPr>
        <w:t xml:space="preserve"> </w:t>
      </w:r>
      <w:r w:rsidR="007E1CD1" w:rsidRPr="00260B02">
        <w:rPr>
          <w:rFonts w:ascii="Arial Narrow" w:hAnsi="Arial Narrow"/>
          <w:i/>
          <w:sz w:val="18"/>
          <w:szCs w:val="22"/>
          <w:vertAlign w:val="superscript"/>
        </w:rPr>
        <w:t>a</w:t>
      </w:r>
      <w:r w:rsidR="007E1CD1" w:rsidRPr="00260B02">
        <w:rPr>
          <w:rFonts w:ascii="Arial Narrow" w:hAnsi="Arial Narrow"/>
          <w:i/>
          <w:sz w:val="18"/>
          <w:szCs w:val="22"/>
        </w:rPr>
        <w:t>Page 86 of CSR clarifies that this row is ‘None’, not ‘Other’ as reported in the submission</w:t>
      </w:r>
      <w:r w:rsidR="007E1CD1" w:rsidRPr="00260B02">
        <w:rPr>
          <w:rFonts w:ascii="Arial Narrow" w:hAnsi="Arial Narrow"/>
          <w:sz w:val="18"/>
          <w:szCs w:val="22"/>
        </w:rPr>
        <w:t>.</w:t>
      </w:r>
    </w:p>
    <w:p w:rsidR="00C64599" w:rsidRPr="00260B02" w:rsidRDefault="00C64599" w:rsidP="00C64599">
      <w:pPr>
        <w:pStyle w:val="ListParagraph"/>
        <w:ind w:left="360"/>
        <w:jc w:val="both"/>
        <w:rPr>
          <w:rFonts w:ascii="Arial" w:hAnsi="Arial"/>
          <w:sz w:val="22"/>
          <w:szCs w:val="22"/>
        </w:rPr>
      </w:pPr>
    </w:p>
    <w:p w:rsidR="005A3173" w:rsidRPr="00260B02" w:rsidRDefault="005A3173" w:rsidP="00882085">
      <w:pPr>
        <w:jc w:val="both"/>
        <w:rPr>
          <w:rFonts w:ascii="Arial" w:hAnsi="Arial"/>
          <w:b/>
          <w:i/>
          <w:sz w:val="22"/>
          <w:szCs w:val="22"/>
        </w:rPr>
      </w:pPr>
      <w:r w:rsidRPr="00260B02">
        <w:rPr>
          <w:rFonts w:ascii="Arial" w:hAnsi="Arial"/>
          <w:b/>
          <w:i/>
          <w:sz w:val="22"/>
          <w:szCs w:val="22"/>
        </w:rPr>
        <w:t>Comparative effectiveness</w:t>
      </w:r>
    </w:p>
    <w:p w:rsidR="006D2013" w:rsidRPr="00260B02" w:rsidRDefault="006D2013" w:rsidP="00882085">
      <w:pPr>
        <w:jc w:val="both"/>
        <w:rPr>
          <w:rFonts w:ascii="Arial" w:hAnsi="Arial"/>
          <w:sz w:val="22"/>
          <w:szCs w:val="22"/>
          <w:u w:val="single"/>
        </w:rPr>
      </w:pPr>
    </w:p>
    <w:p w:rsidR="005A3173" w:rsidRPr="00260B02" w:rsidRDefault="006D2013" w:rsidP="00882085">
      <w:pPr>
        <w:jc w:val="both"/>
        <w:rPr>
          <w:rFonts w:ascii="Arial" w:hAnsi="Arial"/>
          <w:sz w:val="22"/>
          <w:szCs w:val="22"/>
          <w:u w:val="single"/>
          <w:vertAlign w:val="superscript"/>
        </w:rPr>
      </w:pPr>
      <w:r w:rsidRPr="00260B02">
        <w:rPr>
          <w:rFonts w:ascii="Arial" w:hAnsi="Arial"/>
          <w:sz w:val="22"/>
          <w:szCs w:val="22"/>
          <w:u w:val="single"/>
        </w:rPr>
        <w:t>Non-inferiority to Lantus</w:t>
      </w:r>
      <w:r w:rsidRPr="00260B02">
        <w:rPr>
          <w:rFonts w:ascii="Arial" w:hAnsi="Arial"/>
          <w:sz w:val="22"/>
          <w:szCs w:val="22"/>
          <w:u w:val="single"/>
          <w:vertAlign w:val="superscript"/>
        </w:rPr>
        <w:t>®</w:t>
      </w:r>
    </w:p>
    <w:p w:rsidR="004954DD" w:rsidRPr="00260B02" w:rsidRDefault="004954DD" w:rsidP="00882085">
      <w:pPr>
        <w:jc w:val="both"/>
        <w:rPr>
          <w:rFonts w:ascii="Arial" w:hAnsi="Arial"/>
          <w:sz w:val="22"/>
          <w:szCs w:val="22"/>
          <w:u w:val="single"/>
        </w:rPr>
      </w:pPr>
    </w:p>
    <w:p w:rsidR="00CE7DE9" w:rsidRPr="00260B02" w:rsidRDefault="00F143FE" w:rsidP="00DD0588">
      <w:pPr>
        <w:pStyle w:val="ListParagraph"/>
        <w:numPr>
          <w:ilvl w:val="1"/>
          <w:numId w:val="25"/>
        </w:numPr>
        <w:jc w:val="both"/>
        <w:rPr>
          <w:rFonts w:ascii="Arial" w:hAnsi="Arial"/>
          <w:sz w:val="22"/>
          <w:szCs w:val="22"/>
        </w:rPr>
      </w:pPr>
      <w:r w:rsidRPr="00260B02">
        <w:rPr>
          <w:rFonts w:ascii="Arial" w:hAnsi="Arial"/>
          <w:sz w:val="22"/>
          <w:szCs w:val="22"/>
        </w:rPr>
        <w:t xml:space="preserve">Both studies nominated </w:t>
      </w:r>
      <w:r w:rsidR="003F72DC" w:rsidRPr="00260B02">
        <w:rPr>
          <w:rFonts w:ascii="Arial" w:hAnsi="Arial"/>
          <w:sz w:val="22"/>
          <w:szCs w:val="22"/>
        </w:rPr>
        <w:t xml:space="preserve">a pre-specified </w:t>
      </w:r>
      <w:r w:rsidR="00F809B1" w:rsidRPr="00260B02">
        <w:rPr>
          <w:rFonts w:ascii="Arial" w:hAnsi="Arial"/>
          <w:sz w:val="22"/>
          <w:szCs w:val="22"/>
        </w:rPr>
        <w:t>non-inferiority</w:t>
      </w:r>
      <w:r w:rsidR="003F72DC" w:rsidRPr="00260B02">
        <w:rPr>
          <w:rFonts w:ascii="Arial" w:hAnsi="Arial"/>
          <w:sz w:val="22"/>
          <w:szCs w:val="22"/>
        </w:rPr>
        <w:t xml:space="preserve"> margin of 0.4%</w:t>
      </w:r>
      <w:r w:rsidR="00DC22F2" w:rsidRPr="00260B02">
        <w:rPr>
          <w:rFonts w:ascii="Arial" w:hAnsi="Arial"/>
          <w:sz w:val="22"/>
          <w:szCs w:val="22"/>
        </w:rPr>
        <w:t xml:space="preserve"> change in HbA1c</w:t>
      </w:r>
      <w:r w:rsidRPr="00260B02">
        <w:rPr>
          <w:rFonts w:ascii="Arial" w:hAnsi="Arial"/>
          <w:sz w:val="22"/>
          <w:szCs w:val="22"/>
        </w:rPr>
        <w:t xml:space="preserve">. If the 0.4% non-inferiority margin was met, the upper limit of the 95% CI was compared with the 0.3% non-inferiority margin. </w:t>
      </w:r>
      <w:r w:rsidR="00207150" w:rsidRPr="00260B02">
        <w:rPr>
          <w:rFonts w:ascii="Arial" w:hAnsi="Arial"/>
          <w:sz w:val="22"/>
          <w:szCs w:val="22"/>
        </w:rPr>
        <w:t>This is reasonable</w:t>
      </w:r>
      <w:r w:rsidR="00D65476" w:rsidRPr="00260B02">
        <w:rPr>
          <w:rFonts w:ascii="Arial" w:hAnsi="Arial"/>
          <w:sz w:val="22"/>
          <w:szCs w:val="22"/>
        </w:rPr>
        <w:t xml:space="preserve"> and in line wit</w:t>
      </w:r>
      <w:r w:rsidRPr="00260B02">
        <w:rPr>
          <w:rFonts w:ascii="Arial" w:hAnsi="Arial"/>
          <w:sz w:val="22"/>
          <w:szCs w:val="22"/>
        </w:rPr>
        <w:t>h PBAC</w:t>
      </w:r>
      <w:r w:rsidR="009101CC" w:rsidRPr="00260B02">
        <w:rPr>
          <w:rFonts w:ascii="Arial" w:hAnsi="Arial"/>
          <w:sz w:val="22"/>
          <w:szCs w:val="22"/>
        </w:rPr>
        <w:t xml:space="preserve">’s previous acceptance of </w:t>
      </w:r>
      <w:r w:rsidRPr="00260B02">
        <w:rPr>
          <w:rFonts w:ascii="Arial" w:hAnsi="Arial"/>
          <w:sz w:val="22"/>
          <w:szCs w:val="22"/>
        </w:rPr>
        <w:t>a minimum clinical important difference (MCID) of 0.3% - 0.4% for anti-hyperglycaemic agents.</w:t>
      </w:r>
      <w:r w:rsidRPr="00260B02">
        <w:rPr>
          <w:rFonts w:ascii="Arial" w:hAnsi="Arial"/>
          <w:i/>
          <w:sz w:val="22"/>
          <w:szCs w:val="22"/>
        </w:rPr>
        <w:t xml:space="preserve"> </w:t>
      </w:r>
      <w:r w:rsidR="00D65476" w:rsidRPr="00260B02">
        <w:rPr>
          <w:rFonts w:ascii="Arial" w:hAnsi="Arial"/>
          <w:i/>
          <w:sz w:val="22"/>
          <w:szCs w:val="22"/>
        </w:rPr>
        <w:t xml:space="preserve"> </w:t>
      </w:r>
    </w:p>
    <w:p w:rsidR="00B40C0F" w:rsidRPr="00260B02" w:rsidRDefault="00B40C0F" w:rsidP="00B40C0F">
      <w:pPr>
        <w:jc w:val="both"/>
        <w:rPr>
          <w:rFonts w:ascii="Arial" w:hAnsi="Arial"/>
          <w:sz w:val="22"/>
          <w:szCs w:val="22"/>
        </w:rPr>
      </w:pPr>
    </w:p>
    <w:p w:rsidR="003257CE" w:rsidRPr="00260B02" w:rsidRDefault="009B0F67" w:rsidP="00DD0588">
      <w:pPr>
        <w:pStyle w:val="ListParagraph"/>
        <w:numPr>
          <w:ilvl w:val="1"/>
          <w:numId w:val="25"/>
        </w:numPr>
        <w:jc w:val="both"/>
        <w:rPr>
          <w:rFonts w:ascii="Arial" w:hAnsi="Arial"/>
          <w:sz w:val="22"/>
          <w:szCs w:val="22"/>
        </w:rPr>
      </w:pPr>
      <w:r w:rsidRPr="00260B02">
        <w:rPr>
          <w:rFonts w:ascii="Arial" w:hAnsi="Arial"/>
          <w:sz w:val="22"/>
          <w:szCs w:val="22"/>
        </w:rPr>
        <w:t>The trial results</w:t>
      </w:r>
      <w:r w:rsidR="00CE25C1" w:rsidRPr="00260B02">
        <w:rPr>
          <w:rFonts w:ascii="Arial" w:hAnsi="Arial"/>
          <w:sz w:val="22"/>
          <w:szCs w:val="22"/>
        </w:rPr>
        <w:t xml:space="preserve"> </w:t>
      </w:r>
      <w:r w:rsidR="007D532D" w:rsidRPr="00260B02">
        <w:rPr>
          <w:rFonts w:ascii="Arial" w:hAnsi="Arial"/>
          <w:sz w:val="22"/>
          <w:szCs w:val="22"/>
        </w:rPr>
        <w:t xml:space="preserve">for the primary outcome </w:t>
      </w:r>
      <w:r w:rsidR="00CE25C1" w:rsidRPr="00260B02">
        <w:rPr>
          <w:rFonts w:ascii="Arial" w:hAnsi="Arial"/>
          <w:sz w:val="22"/>
          <w:szCs w:val="22"/>
        </w:rPr>
        <w:t>from the Phase</w:t>
      </w:r>
      <w:r w:rsidR="00DC22F2" w:rsidRPr="00260B02">
        <w:rPr>
          <w:rFonts w:ascii="Arial" w:hAnsi="Arial"/>
          <w:sz w:val="22"/>
          <w:szCs w:val="22"/>
        </w:rPr>
        <w:t xml:space="preserve"> </w:t>
      </w:r>
      <w:r w:rsidR="00CE25C1" w:rsidRPr="00260B02">
        <w:rPr>
          <w:rFonts w:ascii="Arial" w:hAnsi="Arial"/>
          <w:sz w:val="22"/>
          <w:szCs w:val="22"/>
        </w:rPr>
        <w:t>3 studies are summarised in the table below</w:t>
      </w:r>
      <w:r w:rsidR="007D532D" w:rsidRPr="00260B02">
        <w:rPr>
          <w:rFonts w:ascii="Arial" w:hAnsi="Arial"/>
          <w:sz w:val="22"/>
          <w:szCs w:val="22"/>
        </w:rPr>
        <w:t>.</w:t>
      </w:r>
    </w:p>
    <w:p w:rsidR="003257CE" w:rsidRPr="00260B02" w:rsidRDefault="003257CE" w:rsidP="00CE25C1">
      <w:pPr>
        <w:pStyle w:val="ListParagraph"/>
        <w:ind w:left="709"/>
        <w:jc w:val="both"/>
        <w:rPr>
          <w:rFonts w:ascii="Arial" w:hAnsi="Arial"/>
          <w:b/>
          <w:sz w:val="22"/>
          <w:szCs w:val="22"/>
        </w:rPr>
      </w:pPr>
    </w:p>
    <w:p w:rsidR="00297249" w:rsidRPr="00260B02" w:rsidRDefault="00297249" w:rsidP="003D4671">
      <w:pPr>
        <w:pStyle w:val="ListParagraph"/>
        <w:keepNext/>
        <w:keepLines/>
        <w:ind w:left="709"/>
        <w:jc w:val="both"/>
        <w:rPr>
          <w:rFonts w:ascii="Arial Narrow" w:hAnsi="Arial Narrow"/>
          <w:b/>
          <w:sz w:val="20"/>
          <w:szCs w:val="22"/>
        </w:rPr>
      </w:pPr>
      <w:r w:rsidRPr="00260B02">
        <w:rPr>
          <w:rFonts w:ascii="Arial Narrow" w:hAnsi="Arial Narrow"/>
          <w:b/>
          <w:sz w:val="20"/>
          <w:szCs w:val="22"/>
        </w:rPr>
        <w:t>Change in HbA1c (%) from ABEB and ABEC (24 weeks)</w:t>
      </w:r>
    </w:p>
    <w:tbl>
      <w:tblPr>
        <w:tblStyle w:val="TableGrid"/>
        <w:tblW w:w="0" w:type="auto"/>
        <w:tblInd w:w="817" w:type="dxa"/>
        <w:tblLook w:val="04A0" w:firstRow="1" w:lastRow="0" w:firstColumn="1" w:lastColumn="0" w:noHBand="0" w:noVBand="1"/>
        <w:tblCaption w:val="Comparative effectiveness"/>
      </w:tblPr>
      <w:tblGrid>
        <w:gridCol w:w="2733"/>
        <w:gridCol w:w="1423"/>
        <w:gridCol w:w="1423"/>
        <w:gridCol w:w="1423"/>
        <w:gridCol w:w="1423"/>
      </w:tblGrid>
      <w:tr w:rsidR="003257CE" w:rsidRPr="00260B02" w:rsidTr="00297249">
        <w:tc>
          <w:tcPr>
            <w:tcW w:w="2733" w:type="dxa"/>
          </w:tcPr>
          <w:p w:rsidR="003257CE" w:rsidRPr="00260B02" w:rsidRDefault="003257CE" w:rsidP="003D4671">
            <w:pPr>
              <w:pStyle w:val="ListParagraph"/>
              <w:keepNext/>
              <w:keepLines/>
              <w:ind w:left="0"/>
              <w:jc w:val="both"/>
              <w:rPr>
                <w:rFonts w:ascii="Arial Narrow" w:hAnsi="Arial Narrow"/>
                <w:sz w:val="20"/>
                <w:szCs w:val="20"/>
              </w:rPr>
            </w:pPr>
          </w:p>
        </w:tc>
        <w:tc>
          <w:tcPr>
            <w:tcW w:w="2846" w:type="dxa"/>
            <w:gridSpan w:val="2"/>
          </w:tcPr>
          <w:p w:rsidR="003257CE" w:rsidRPr="00260B02" w:rsidRDefault="000E45CB" w:rsidP="003D4671">
            <w:pPr>
              <w:pStyle w:val="ListParagraph"/>
              <w:keepNext/>
              <w:keepLines/>
              <w:ind w:left="0"/>
              <w:jc w:val="both"/>
              <w:rPr>
                <w:rFonts w:ascii="Arial Narrow" w:hAnsi="Arial Narrow"/>
                <w:b/>
                <w:sz w:val="20"/>
                <w:szCs w:val="20"/>
              </w:rPr>
            </w:pPr>
            <w:r w:rsidRPr="00260B02">
              <w:rPr>
                <w:rFonts w:ascii="Arial Narrow" w:hAnsi="Arial Narrow"/>
                <w:b/>
                <w:sz w:val="20"/>
                <w:szCs w:val="20"/>
              </w:rPr>
              <w:t>ABEB</w:t>
            </w:r>
            <w:r w:rsidR="00D558B1" w:rsidRPr="00260B02">
              <w:rPr>
                <w:rFonts w:ascii="Arial Narrow" w:hAnsi="Arial Narrow"/>
                <w:b/>
                <w:sz w:val="20"/>
                <w:szCs w:val="20"/>
              </w:rPr>
              <w:t xml:space="preserve"> </w:t>
            </w:r>
            <w:r w:rsidR="00F809B1" w:rsidRPr="00260B02">
              <w:rPr>
                <w:rFonts w:ascii="Arial Narrow" w:hAnsi="Arial Narrow"/>
                <w:b/>
                <w:sz w:val="20"/>
                <w:szCs w:val="20"/>
              </w:rPr>
              <w:t>(T1</w:t>
            </w:r>
            <w:r w:rsidR="003257CE" w:rsidRPr="00260B02">
              <w:rPr>
                <w:rFonts w:ascii="Arial Narrow" w:hAnsi="Arial Narrow"/>
                <w:b/>
                <w:sz w:val="20"/>
                <w:szCs w:val="20"/>
              </w:rPr>
              <w:t>DM) n=535</w:t>
            </w:r>
          </w:p>
        </w:tc>
        <w:tc>
          <w:tcPr>
            <w:tcW w:w="2846" w:type="dxa"/>
            <w:gridSpan w:val="2"/>
          </w:tcPr>
          <w:p w:rsidR="003257CE" w:rsidRPr="00260B02" w:rsidRDefault="000E45CB" w:rsidP="003D4671">
            <w:pPr>
              <w:pStyle w:val="ListParagraph"/>
              <w:keepNext/>
              <w:keepLines/>
              <w:ind w:left="0"/>
              <w:jc w:val="both"/>
              <w:rPr>
                <w:rFonts w:ascii="Arial Narrow" w:hAnsi="Arial Narrow"/>
                <w:b/>
                <w:sz w:val="20"/>
                <w:szCs w:val="20"/>
              </w:rPr>
            </w:pPr>
            <w:r w:rsidRPr="00260B02">
              <w:rPr>
                <w:rFonts w:ascii="Arial Narrow" w:hAnsi="Arial Narrow"/>
                <w:b/>
                <w:sz w:val="20"/>
                <w:szCs w:val="20"/>
              </w:rPr>
              <w:t>ABEC</w:t>
            </w:r>
            <w:r w:rsidR="003257CE" w:rsidRPr="00260B02">
              <w:rPr>
                <w:rFonts w:ascii="Arial Narrow" w:hAnsi="Arial Narrow"/>
                <w:b/>
                <w:sz w:val="20"/>
                <w:szCs w:val="20"/>
              </w:rPr>
              <w:t xml:space="preserve"> (T2DM) n=756</w:t>
            </w:r>
          </w:p>
        </w:tc>
      </w:tr>
      <w:tr w:rsidR="00D558B1" w:rsidRPr="00260B02" w:rsidTr="00297249">
        <w:tc>
          <w:tcPr>
            <w:tcW w:w="8425" w:type="dxa"/>
            <w:gridSpan w:val="5"/>
          </w:tcPr>
          <w:p w:rsidR="00D558B1" w:rsidRPr="00260B02" w:rsidRDefault="00D558B1" w:rsidP="003D4671">
            <w:pPr>
              <w:pStyle w:val="ListParagraph"/>
              <w:keepNext/>
              <w:keepLines/>
              <w:ind w:left="0"/>
              <w:jc w:val="both"/>
              <w:rPr>
                <w:rFonts w:ascii="Arial Narrow" w:hAnsi="Arial Narrow"/>
                <w:b/>
                <w:sz w:val="20"/>
                <w:szCs w:val="20"/>
              </w:rPr>
            </w:pPr>
            <w:r w:rsidRPr="00260B02">
              <w:rPr>
                <w:rFonts w:ascii="Arial Narrow" w:hAnsi="Arial Narrow"/>
                <w:b/>
                <w:sz w:val="20"/>
                <w:szCs w:val="20"/>
              </w:rPr>
              <w:t>Full analysis set</w:t>
            </w:r>
          </w:p>
        </w:tc>
      </w:tr>
      <w:tr w:rsidR="003257CE" w:rsidRPr="00260B02" w:rsidTr="00297249">
        <w:tc>
          <w:tcPr>
            <w:tcW w:w="2733" w:type="dxa"/>
          </w:tcPr>
          <w:p w:rsidR="003257CE" w:rsidRPr="00260B02" w:rsidRDefault="003257CE" w:rsidP="00E7161A">
            <w:pPr>
              <w:pStyle w:val="ListParagraph"/>
              <w:keepNext/>
              <w:keepLines/>
              <w:ind w:left="0"/>
              <w:jc w:val="both"/>
              <w:rPr>
                <w:rFonts w:ascii="Arial Narrow" w:hAnsi="Arial Narrow"/>
                <w:sz w:val="20"/>
                <w:szCs w:val="20"/>
              </w:rPr>
            </w:pPr>
            <w:r w:rsidRPr="00260B02">
              <w:rPr>
                <w:rFonts w:ascii="Arial Narrow" w:hAnsi="Arial Narrow"/>
                <w:sz w:val="20"/>
                <w:szCs w:val="20"/>
              </w:rPr>
              <w:t>H</w:t>
            </w:r>
            <w:r w:rsidR="00E7161A" w:rsidRPr="00260B02">
              <w:rPr>
                <w:rFonts w:ascii="Arial Narrow" w:hAnsi="Arial Narrow"/>
                <w:sz w:val="20"/>
                <w:szCs w:val="20"/>
              </w:rPr>
              <w:t>b</w:t>
            </w:r>
            <w:r w:rsidRPr="00260B02">
              <w:rPr>
                <w:rFonts w:ascii="Arial Narrow" w:hAnsi="Arial Narrow"/>
                <w:sz w:val="20"/>
                <w:szCs w:val="20"/>
              </w:rPr>
              <w:t>A1c (</w:t>
            </w:r>
            <w:r w:rsidR="00447AB0" w:rsidRPr="00260B02">
              <w:rPr>
                <w:rFonts w:ascii="Arial Narrow" w:hAnsi="Arial Narrow"/>
                <w:sz w:val="20"/>
                <w:szCs w:val="20"/>
              </w:rPr>
              <w:t>%</w:t>
            </w:r>
            <w:r w:rsidRPr="00260B02">
              <w:rPr>
                <w:rFonts w:ascii="Arial Narrow" w:hAnsi="Arial Narrow"/>
                <w:sz w:val="20"/>
                <w:szCs w:val="20"/>
              </w:rPr>
              <w:t>)</w:t>
            </w:r>
          </w:p>
        </w:tc>
        <w:tc>
          <w:tcPr>
            <w:tcW w:w="1423" w:type="dxa"/>
          </w:tcPr>
          <w:p w:rsidR="003257CE" w:rsidRPr="00260B02" w:rsidRDefault="000E45CB" w:rsidP="003D4671">
            <w:pPr>
              <w:pStyle w:val="ListParagraph"/>
              <w:keepNext/>
              <w:keepLines/>
              <w:ind w:left="0"/>
              <w:jc w:val="center"/>
              <w:rPr>
                <w:rFonts w:ascii="Arial Narrow" w:hAnsi="Arial Narrow"/>
                <w:sz w:val="20"/>
                <w:szCs w:val="20"/>
              </w:rPr>
            </w:pPr>
            <w:r w:rsidRPr="00260B02">
              <w:rPr>
                <w:rFonts w:ascii="Arial Narrow" w:hAnsi="Arial Narrow"/>
                <w:sz w:val="20"/>
                <w:szCs w:val="20"/>
              </w:rPr>
              <w:t>Basalgar n=267</w:t>
            </w:r>
          </w:p>
        </w:tc>
        <w:tc>
          <w:tcPr>
            <w:tcW w:w="1423" w:type="dxa"/>
          </w:tcPr>
          <w:p w:rsidR="003257CE" w:rsidRPr="00260B02" w:rsidRDefault="003257CE" w:rsidP="003D4671">
            <w:pPr>
              <w:pStyle w:val="ListParagraph"/>
              <w:keepNext/>
              <w:keepLines/>
              <w:ind w:left="0"/>
              <w:jc w:val="center"/>
              <w:rPr>
                <w:rFonts w:ascii="Arial Narrow" w:hAnsi="Arial Narrow"/>
                <w:sz w:val="20"/>
                <w:szCs w:val="20"/>
              </w:rPr>
            </w:pPr>
            <w:r w:rsidRPr="00260B02">
              <w:rPr>
                <w:rFonts w:ascii="Arial Narrow" w:hAnsi="Arial Narrow"/>
                <w:sz w:val="20"/>
                <w:szCs w:val="20"/>
              </w:rPr>
              <w:t>Lantus n=267</w:t>
            </w:r>
          </w:p>
        </w:tc>
        <w:tc>
          <w:tcPr>
            <w:tcW w:w="1423" w:type="dxa"/>
          </w:tcPr>
          <w:p w:rsidR="003257CE" w:rsidRPr="00260B02" w:rsidRDefault="00D558B1" w:rsidP="003D4671">
            <w:pPr>
              <w:pStyle w:val="ListParagraph"/>
              <w:keepNext/>
              <w:keepLines/>
              <w:ind w:left="0"/>
              <w:jc w:val="center"/>
              <w:rPr>
                <w:rFonts w:ascii="Arial Narrow" w:hAnsi="Arial Narrow"/>
                <w:sz w:val="20"/>
                <w:szCs w:val="20"/>
              </w:rPr>
            </w:pPr>
            <w:r w:rsidRPr="00260B02">
              <w:rPr>
                <w:rFonts w:ascii="Arial Narrow" w:hAnsi="Arial Narrow"/>
                <w:sz w:val="20"/>
                <w:szCs w:val="20"/>
              </w:rPr>
              <w:t>Basalgar n=</w:t>
            </w:r>
            <w:r w:rsidR="00FF72C1" w:rsidRPr="00260B02">
              <w:rPr>
                <w:rFonts w:ascii="Arial Narrow" w:hAnsi="Arial Narrow"/>
                <w:sz w:val="20"/>
                <w:szCs w:val="20"/>
              </w:rPr>
              <w:t>369</w:t>
            </w:r>
          </w:p>
        </w:tc>
        <w:tc>
          <w:tcPr>
            <w:tcW w:w="1423" w:type="dxa"/>
          </w:tcPr>
          <w:p w:rsidR="003257CE" w:rsidRPr="00260B02" w:rsidRDefault="00D558B1" w:rsidP="003D4671">
            <w:pPr>
              <w:pStyle w:val="ListParagraph"/>
              <w:keepNext/>
              <w:keepLines/>
              <w:ind w:left="0"/>
              <w:jc w:val="center"/>
              <w:rPr>
                <w:rFonts w:ascii="Arial Narrow" w:hAnsi="Arial Narrow"/>
                <w:sz w:val="20"/>
                <w:szCs w:val="20"/>
              </w:rPr>
            </w:pPr>
            <w:r w:rsidRPr="00260B02">
              <w:rPr>
                <w:rFonts w:ascii="Arial Narrow" w:hAnsi="Arial Narrow"/>
                <w:sz w:val="20"/>
                <w:szCs w:val="20"/>
              </w:rPr>
              <w:t>Lantus n=</w:t>
            </w:r>
            <w:r w:rsidR="00FF72C1" w:rsidRPr="00260B02">
              <w:rPr>
                <w:rFonts w:ascii="Arial Narrow" w:hAnsi="Arial Narrow"/>
                <w:sz w:val="20"/>
                <w:szCs w:val="20"/>
              </w:rPr>
              <w:t>375</w:t>
            </w:r>
          </w:p>
        </w:tc>
      </w:tr>
      <w:tr w:rsidR="00D558B1" w:rsidRPr="00260B02" w:rsidTr="00297249">
        <w:tc>
          <w:tcPr>
            <w:tcW w:w="2733" w:type="dxa"/>
          </w:tcPr>
          <w:p w:rsidR="00D558B1" w:rsidRPr="00260B02" w:rsidRDefault="00D558B1" w:rsidP="003D4671">
            <w:pPr>
              <w:pStyle w:val="ListParagraph"/>
              <w:keepNext/>
              <w:keepLines/>
              <w:ind w:left="0"/>
              <w:jc w:val="both"/>
              <w:rPr>
                <w:rFonts w:ascii="Arial Narrow" w:hAnsi="Arial Narrow"/>
                <w:sz w:val="20"/>
                <w:szCs w:val="20"/>
              </w:rPr>
            </w:pPr>
            <w:r w:rsidRPr="00260B02">
              <w:rPr>
                <w:rFonts w:ascii="Arial Narrow" w:hAnsi="Arial Narrow"/>
                <w:sz w:val="20"/>
                <w:szCs w:val="20"/>
              </w:rPr>
              <w:t>Least squares mean change from baseline (LOCF)</w:t>
            </w:r>
          </w:p>
        </w:tc>
        <w:tc>
          <w:tcPr>
            <w:tcW w:w="1423" w:type="dxa"/>
          </w:tcPr>
          <w:p w:rsidR="00D558B1" w:rsidRPr="00260B02" w:rsidRDefault="00D558B1" w:rsidP="003D4671">
            <w:pPr>
              <w:pStyle w:val="ListParagraph"/>
              <w:keepNext/>
              <w:keepLines/>
              <w:ind w:left="0"/>
              <w:jc w:val="center"/>
              <w:rPr>
                <w:rFonts w:ascii="Arial Narrow" w:hAnsi="Arial Narrow"/>
                <w:sz w:val="20"/>
                <w:szCs w:val="20"/>
              </w:rPr>
            </w:pPr>
            <w:r w:rsidRPr="00260B02">
              <w:rPr>
                <w:rFonts w:ascii="Arial Narrow" w:hAnsi="Arial Narrow"/>
                <w:sz w:val="20"/>
                <w:szCs w:val="20"/>
              </w:rPr>
              <w:t>-0.</w:t>
            </w:r>
            <w:r w:rsidR="00FF72C1" w:rsidRPr="00260B02">
              <w:rPr>
                <w:rFonts w:ascii="Arial Narrow" w:hAnsi="Arial Narrow"/>
                <w:sz w:val="20"/>
                <w:szCs w:val="20"/>
              </w:rPr>
              <w:t>352</w:t>
            </w:r>
            <w:r w:rsidR="00E7161A" w:rsidRPr="00260B02">
              <w:rPr>
                <w:rFonts w:ascii="Arial Narrow" w:hAnsi="Arial Narrow"/>
                <w:sz w:val="20"/>
                <w:szCs w:val="20"/>
              </w:rPr>
              <w:t xml:space="preserve"> (0.053)</w:t>
            </w:r>
          </w:p>
        </w:tc>
        <w:tc>
          <w:tcPr>
            <w:tcW w:w="1423" w:type="dxa"/>
          </w:tcPr>
          <w:p w:rsidR="00D558B1" w:rsidRPr="00260B02" w:rsidRDefault="000E45CB" w:rsidP="003D4671">
            <w:pPr>
              <w:pStyle w:val="ListParagraph"/>
              <w:keepNext/>
              <w:keepLines/>
              <w:ind w:left="0"/>
              <w:jc w:val="center"/>
              <w:rPr>
                <w:rFonts w:ascii="Arial Narrow" w:hAnsi="Arial Narrow"/>
                <w:sz w:val="20"/>
                <w:szCs w:val="20"/>
              </w:rPr>
            </w:pPr>
            <w:r w:rsidRPr="00260B02">
              <w:rPr>
                <w:rFonts w:ascii="Arial Narrow" w:hAnsi="Arial Narrow"/>
                <w:sz w:val="20"/>
                <w:szCs w:val="20"/>
              </w:rPr>
              <w:t>-0.4</w:t>
            </w:r>
            <w:r w:rsidR="00FF72C1" w:rsidRPr="00260B02">
              <w:rPr>
                <w:rFonts w:ascii="Arial Narrow" w:hAnsi="Arial Narrow"/>
                <w:sz w:val="20"/>
                <w:szCs w:val="20"/>
              </w:rPr>
              <w:t>60</w:t>
            </w:r>
            <w:r w:rsidR="00E7161A" w:rsidRPr="00260B02">
              <w:rPr>
                <w:rFonts w:ascii="Arial Narrow" w:hAnsi="Arial Narrow"/>
                <w:sz w:val="20"/>
                <w:szCs w:val="20"/>
              </w:rPr>
              <w:t xml:space="preserve"> (0.054)</w:t>
            </w:r>
          </w:p>
        </w:tc>
        <w:tc>
          <w:tcPr>
            <w:tcW w:w="1423" w:type="dxa"/>
          </w:tcPr>
          <w:p w:rsidR="00D558B1" w:rsidRPr="00260B02" w:rsidRDefault="00FF72C1" w:rsidP="003D4671">
            <w:pPr>
              <w:pStyle w:val="ListParagraph"/>
              <w:keepNext/>
              <w:keepLines/>
              <w:ind w:left="0"/>
              <w:jc w:val="center"/>
              <w:rPr>
                <w:rFonts w:ascii="Arial Narrow" w:hAnsi="Arial Narrow"/>
                <w:sz w:val="20"/>
                <w:szCs w:val="20"/>
              </w:rPr>
            </w:pPr>
            <w:r w:rsidRPr="00260B02">
              <w:rPr>
                <w:rFonts w:ascii="Arial Narrow" w:hAnsi="Arial Narrow"/>
                <w:sz w:val="20"/>
                <w:szCs w:val="20"/>
              </w:rPr>
              <w:t>-1.286</w:t>
            </w:r>
            <w:r w:rsidR="00E7161A" w:rsidRPr="00260B02">
              <w:rPr>
                <w:rFonts w:ascii="Arial Narrow" w:hAnsi="Arial Narrow"/>
                <w:sz w:val="20"/>
                <w:szCs w:val="20"/>
              </w:rPr>
              <w:t xml:space="preserve"> (0.06)</w:t>
            </w:r>
          </w:p>
        </w:tc>
        <w:tc>
          <w:tcPr>
            <w:tcW w:w="1423" w:type="dxa"/>
          </w:tcPr>
          <w:p w:rsidR="00D558B1" w:rsidRPr="00260B02" w:rsidRDefault="00FF72C1" w:rsidP="003D4671">
            <w:pPr>
              <w:pStyle w:val="ListParagraph"/>
              <w:keepNext/>
              <w:keepLines/>
              <w:ind w:left="0"/>
              <w:jc w:val="center"/>
              <w:rPr>
                <w:rFonts w:ascii="Arial Narrow" w:hAnsi="Arial Narrow"/>
                <w:sz w:val="20"/>
                <w:szCs w:val="20"/>
              </w:rPr>
            </w:pPr>
            <w:r w:rsidRPr="00260B02">
              <w:rPr>
                <w:rFonts w:ascii="Arial Narrow" w:hAnsi="Arial Narrow"/>
                <w:sz w:val="20"/>
                <w:szCs w:val="20"/>
              </w:rPr>
              <w:t>-1.338</w:t>
            </w:r>
            <w:r w:rsidR="00E7161A" w:rsidRPr="00260B02">
              <w:rPr>
                <w:rFonts w:ascii="Arial Narrow" w:hAnsi="Arial Narrow"/>
                <w:sz w:val="20"/>
                <w:szCs w:val="20"/>
              </w:rPr>
              <w:t xml:space="preserve"> (0.06)</w:t>
            </w:r>
          </w:p>
        </w:tc>
      </w:tr>
      <w:tr w:rsidR="003257CE" w:rsidRPr="00260B02" w:rsidTr="00297249">
        <w:trPr>
          <w:trHeight w:val="458"/>
        </w:trPr>
        <w:tc>
          <w:tcPr>
            <w:tcW w:w="2733" w:type="dxa"/>
          </w:tcPr>
          <w:p w:rsidR="003257CE" w:rsidRPr="00260B02" w:rsidRDefault="00D558B1" w:rsidP="003D4671">
            <w:pPr>
              <w:pStyle w:val="ListParagraph"/>
              <w:keepNext/>
              <w:keepLines/>
              <w:ind w:left="0"/>
              <w:jc w:val="both"/>
              <w:rPr>
                <w:rFonts w:ascii="Arial Narrow" w:hAnsi="Arial Narrow"/>
                <w:sz w:val="20"/>
                <w:szCs w:val="20"/>
              </w:rPr>
            </w:pPr>
            <w:r w:rsidRPr="00260B02">
              <w:rPr>
                <w:rFonts w:ascii="Arial Narrow" w:hAnsi="Arial Narrow"/>
                <w:sz w:val="20"/>
                <w:szCs w:val="20"/>
              </w:rPr>
              <w:t>LS mean d</w:t>
            </w:r>
            <w:r w:rsidR="003257CE" w:rsidRPr="00260B02">
              <w:rPr>
                <w:rFonts w:ascii="Arial Narrow" w:hAnsi="Arial Narrow"/>
                <w:sz w:val="20"/>
                <w:szCs w:val="20"/>
              </w:rPr>
              <w:t>ifference</w:t>
            </w:r>
            <w:r w:rsidR="009101CC" w:rsidRPr="00260B02">
              <w:rPr>
                <w:rFonts w:ascii="Arial Narrow" w:hAnsi="Arial Narrow"/>
                <w:sz w:val="20"/>
                <w:szCs w:val="20"/>
              </w:rPr>
              <w:t xml:space="preserve"> </w:t>
            </w:r>
            <w:r w:rsidR="003257CE" w:rsidRPr="00260B02">
              <w:rPr>
                <w:rFonts w:ascii="Arial Narrow" w:hAnsi="Arial Narrow"/>
                <w:sz w:val="20"/>
                <w:szCs w:val="20"/>
              </w:rPr>
              <w:t>(95% CI)</w:t>
            </w:r>
          </w:p>
        </w:tc>
        <w:tc>
          <w:tcPr>
            <w:tcW w:w="2846" w:type="dxa"/>
            <w:gridSpan w:val="2"/>
          </w:tcPr>
          <w:p w:rsidR="003257CE" w:rsidRPr="00260B02" w:rsidRDefault="000E45CB" w:rsidP="00E7161A">
            <w:pPr>
              <w:pStyle w:val="ListParagraph"/>
              <w:keepNext/>
              <w:keepLines/>
              <w:ind w:left="0"/>
              <w:jc w:val="center"/>
              <w:rPr>
                <w:rFonts w:ascii="Arial Narrow" w:hAnsi="Arial Narrow"/>
                <w:sz w:val="20"/>
                <w:szCs w:val="20"/>
              </w:rPr>
            </w:pPr>
            <w:r w:rsidRPr="00260B02">
              <w:rPr>
                <w:rFonts w:ascii="Arial Narrow" w:hAnsi="Arial Narrow"/>
                <w:sz w:val="20"/>
                <w:szCs w:val="20"/>
              </w:rPr>
              <w:t>0.</w:t>
            </w:r>
            <w:r w:rsidR="00FF72C1" w:rsidRPr="00260B02">
              <w:rPr>
                <w:rFonts w:ascii="Arial Narrow" w:hAnsi="Arial Narrow"/>
                <w:sz w:val="20"/>
                <w:szCs w:val="20"/>
              </w:rPr>
              <w:t>108</w:t>
            </w:r>
            <w:r w:rsidR="009101CC" w:rsidRPr="00260B02">
              <w:rPr>
                <w:rFonts w:ascii="Arial Narrow" w:hAnsi="Arial Narrow"/>
                <w:sz w:val="20"/>
                <w:szCs w:val="20"/>
              </w:rPr>
              <w:t xml:space="preserve"> </w:t>
            </w:r>
            <w:r w:rsidR="003257CE" w:rsidRPr="00260B02">
              <w:rPr>
                <w:rFonts w:ascii="Arial Narrow" w:hAnsi="Arial Narrow"/>
                <w:sz w:val="20"/>
                <w:szCs w:val="20"/>
              </w:rPr>
              <w:t>(-0.00</w:t>
            </w:r>
            <w:r w:rsidRPr="00260B02">
              <w:rPr>
                <w:rFonts w:ascii="Arial Narrow" w:hAnsi="Arial Narrow"/>
                <w:sz w:val="20"/>
                <w:szCs w:val="20"/>
              </w:rPr>
              <w:t>2</w:t>
            </w:r>
            <w:r w:rsidR="003257CE" w:rsidRPr="00260B02">
              <w:rPr>
                <w:rFonts w:ascii="Arial Narrow" w:hAnsi="Arial Narrow"/>
                <w:sz w:val="20"/>
                <w:szCs w:val="20"/>
              </w:rPr>
              <w:t>, 0.21</w:t>
            </w:r>
            <w:r w:rsidRPr="00260B02">
              <w:rPr>
                <w:rFonts w:ascii="Arial Narrow" w:hAnsi="Arial Narrow"/>
                <w:sz w:val="20"/>
                <w:szCs w:val="20"/>
              </w:rPr>
              <w:t>9</w:t>
            </w:r>
            <w:r w:rsidR="003257CE" w:rsidRPr="00260B02">
              <w:rPr>
                <w:rFonts w:ascii="Arial Narrow" w:hAnsi="Arial Narrow"/>
                <w:sz w:val="20"/>
                <w:szCs w:val="20"/>
              </w:rPr>
              <w:t>)</w:t>
            </w:r>
          </w:p>
        </w:tc>
        <w:tc>
          <w:tcPr>
            <w:tcW w:w="2846" w:type="dxa"/>
            <w:gridSpan w:val="2"/>
          </w:tcPr>
          <w:p w:rsidR="00D558B1" w:rsidRPr="00260B02" w:rsidRDefault="00D558B1" w:rsidP="003D4671">
            <w:pPr>
              <w:pStyle w:val="ListParagraph"/>
              <w:keepNext/>
              <w:keepLines/>
              <w:ind w:left="0"/>
              <w:jc w:val="center"/>
              <w:rPr>
                <w:rFonts w:ascii="Arial Narrow" w:hAnsi="Arial Narrow"/>
                <w:sz w:val="20"/>
                <w:szCs w:val="20"/>
              </w:rPr>
            </w:pPr>
            <w:r w:rsidRPr="00260B02">
              <w:rPr>
                <w:rFonts w:ascii="Arial Narrow" w:hAnsi="Arial Narrow"/>
                <w:sz w:val="20"/>
                <w:szCs w:val="20"/>
              </w:rPr>
              <w:t>0.052</w:t>
            </w:r>
            <w:r w:rsidR="009101CC" w:rsidRPr="00260B02">
              <w:rPr>
                <w:rFonts w:ascii="Arial Narrow" w:hAnsi="Arial Narrow"/>
                <w:sz w:val="20"/>
                <w:szCs w:val="20"/>
              </w:rPr>
              <w:t xml:space="preserve"> </w:t>
            </w:r>
            <w:r w:rsidRPr="00260B02">
              <w:rPr>
                <w:rFonts w:ascii="Arial Narrow" w:hAnsi="Arial Narrow"/>
                <w:sz w:val="20"/>
                <w:szCs w:val="20"/>
              </w:rPr>
              <w:t>(-0.07</w:t>
            </w:r>
            <w:r w:rsidR="00E7161A" w:rsidRPr="00260B02">
              <w:rPr>
                <w:rFonts w:ascii="Arial Narrow" w:hAnsi="Arial Narrow"/>
                <w:sz w:val="20"/>
                <w:szCs w:val="20"/>
              </w:rPr>
              <w:t>0</w:t>
            </w:r>
            <w:r w:rsidRPr="00260B02">
              <w:rPr>
                <w:rFonts w:ascii="Arial Narrow" w:hAnsi="Arial Narrow"/>
                <w:sz w:val="20"/>
                <w:szCs w:val="20"/>
              </w:rPr>
              <w:t>, 0.175)</w:t>
            </w:r>
          </w:p>
        </w:tc>
      </w:tr>
      <w:tr w:rsidR="00D558B1" w:rsidRPr="00260B02" w:rsidTr="00297249">
        <w:tc>
          <w:tcPr>
            <w:tcW w:w="8425" w:type="dxa"/>
            <w:gridSpan w:val="5"/>
          </w:tcPr>
          <w:p w:rsidR="00D558B1" w:rsidRPr="00260B02" w:rsidRDefault="00D558B1" w:rsidP="003D4671">
            <w:pPr>
              <w:pStyle w:val="ListParagraph"/>
              <w:keepNext/>
              <w:keepLines/>
              <w:ind w:left="0"/>
              <w:rPr>
                <w:rFonts w:ascii="Arial Narrow" w:hAnsi="Arial Narrow"/>
                <w:sz w:val="20"/>
                <w:szCs w:val="20"/>
              </w:rPr>
            </w:pPr>
            <w:r w:rsidRPr="00260B02">
              <w:rPr>
                <w:rFonts w:ascii="Arial Narrow" w:hAnsi="Arial Narrow"/>
                <w:b/>
                <w:sz w:val="20"/>
                <w:szCs w:val="20"/>
              </w:rPr>
              <w:t>Per protocol analysis set</w:t>
            </w:r>
          </w:p>
        </w:tc>
      </w:tr>
      <w:tr w:rsidR="00D558B1" w:rsidRPr="00260B02" w:rsidTr="00297249">
        <w:tc>
          <w:tcPr>
            <w:tcW w:w="2733" w:type="dxa"/>
          </w:tcPr>
          <w:p w:rsidR="00D558B1" w:rsidRPr="00260B02" w:rsidRDefault="00D558B1" w:rsidP="00E7161A">
            <w:pPr>
              <w:pStyle w:val="ListParagraph"/>
              <w:keepNext/>
              <w:keepLines/>
              <w:ind w:left="0"/>
              <w:jc w:val="both"/>
              <w:rPr>
                <w:rFonts w:ascii="Arial Narrow" w:hAnsi="Arial Narrow"/>
                <w:sz w:val="20"/>
                <w:szCs w:val="20"/>
              </w:rPr>
            </w:pPr>
            <w:r w:rsidRPr="00260B02">
              <w:rPr>
                <w:rFonts w:ascii="Arial Narrow" w:hAnsi="Arial Narrow"/>
                <w:sz w:val="20"/>
                <w:szCs w:val="20"/>
              </w:rPr>
              <w:t>HbA1c (</w:t>
            </w:r>
            <w:r w:rsidR="00E7161A" w:rsidRPr="00260B02">
              <w:rPr>
                <w:rFonts w:ascii="Arial Narrow" w:hAnsi="Arial Narrow"/>
                <w:sz w:val="20"/>
                <w:szCs w:val="20"/>
              </w:rPr>
              <w:t>%</w:t>
            </w:r>
            <w:r w:rsidRPr="00260B02">
              <w:rPr>
                <w:rFonts w:ascii="Arial Narrow" w:hAnsi="Arial Narrow"/>
                <w:sz w:val="20"/>
                <w:szCs w:val="20"/>
              </w:rPr>
              <w:t>)</w:t>
            </w:r>
          </w:p>
        </w:tc>
        <w:tc>
          <w:tcPr>
            <w:tcW w:w="1423" w:type="dxa"/>
          </w:tcPr>
          <w:p w:rsidR="00D558B1" w:rsidRPr="00260B02" w:rsidRDefault="00D558B1" w:rsidP="003D4671">
            <w:pPr>
              <w:pStyle w:val="ListParagraph"/>
              <w:keepNext/>
              <w:keepLines/>
              <w:ind w:left="0"/>
              <w:jc w:val="center"/>
              <w:rPr>
                <w:rFonts w:ascii="Arial Narrow" w:hAnsi="Arial Narrow"/>
                <w:sz w:val="20"/>
                <w:szCs w:val="20"/>
              </w:rPr>
            </w:pPr>
            <w:r w:rsidRPr="00260B02">
              <w:rPr>
                <w:rFonts w:ascii="Arial Narrow" w:hAnsi="Arial Narrow"/>
                <w:sz w:val="20"/>
                <w:szCs w:val="20"/>
              </w:rPr>
              <w:t>Basaglar n=251</w:t>
            </w:r>
          </w:p>
        </w:tc>
        <w:tc>
          <w:tcPr>
            <w:tcW w:w="1423" w:type="dxa"/>
          </w:tcPr>
          <w:p w:rsidR="00D558B1" w:rsidRPr="00260B02" w:rsidRDefault="00D558B1" w:rsidP="003D4671">
            <w:pPr>
              <w:pStyle w:val="ListParagraph"/>
              <w:keepNext/>
              <w:keepLines/>
              <w:ind w:left="0"/>
              <w:jc w:val="center"/>
              <w:rPr>
                <w:rFonts w:ascii="Arial Narrow" w:hAnsi="Arial Narrow"/>
                <w:sz w:val="20"/>
                <w:szCs w:val="20"/>
              </w:rPr>
            </w:pPr>
            <w:r w:rsidRPr="00260B02">
              <w:rPr>
                <w:rFonts w:ascii="Arial Narrow" w:hAnsi="Arial Narrow"/>
                <w:sz w:val="20"/>
                <w:szCs w:val="20"/>
              </w:rPr>
              <w:t>Lantus n=256</w:t>
            </w:r>
          </w:p>
        </w:tc>
        <w:tc>
          <w:tcPr>
            <w:tcW w:w="1423" w:type="dxa"/>
          </w:tcPr>
          <w:p w:rsidR="00D558B1" w:rsidRPr="00260B02" w:rsidRDefault="00D558B1" w:rsidP="003D4671">
            <w:pPr>
              <w:pStyle w:val="ListParagraph"/>
              <w:keepNext/>
              <w:keepLines/>
              <w:ind w:left="0"/>
              <w:jc w:val="center"/>
              <w:rPr>
                <w:rFonts w:ascii="Arial Narrow" w:hAnsi="Arial Narrow"/>
                <w:sz w:val="20"/>
                <w:szCs w:val="20"/>
              </w:rPr>
            </w:pPr>
            <w:r w:rsidRPr="00260B02">
              <w:rPr>
                <w:rFonts w:ascii="Arial Narrow" w:hAnsi="Arial Narrow"/>
                <w:sz w:val="20"/>
                <w:szCs w:val="20"/>
              </w:rPr>
              <w:t>Basalgar n=314</w:t>
            </w:r>
          </w:p>
        </w:tc>
        <w:tc>
          <w:tcPr>
            <w:tcW w:w="1423" w:type="dxa"/>
          </w:tcPr>
          <w:p w:rsidR="00D558B1" w:rsidRPr="00260B02" w:rsidRDefault="00D558B1" w:rsidP="003D4671">
            <w:pPr>
              <w:pStyle w:val="ListParagraph"/>
              <w:keepNext/>
              <w:keepLines/>
              <w:ind w:left="0"/>
              <w:jc w:val="center"/>
              <w:rPr>
                <w:rFonts w:ascii="Arial Narrow" w:hAnsi="Arial Narrow"/>
                <w:sz w:val="20"/>
                <w:szCs w:val="20"/>
              </w:rPr>
            </w:pPr>
            <w:r w:rsidRPr="00260B02">
              <w:rPr>
                <w:rFonts w:ascii="Arial Narrow" w:hAnsi="Arial Narrow"/>
                <w:sz w:val="20"/>
                <w:szCs w:val="20"/>
              </w:rPr>
              <w:t>Lantus n=308</w:t>
            </w:r>
          </w:p>
        </w:tc>
      </w:tr>
      <w:tr w:rsidR="00D558B1" w:rsidRPr="00260B02" w:rsidTr="00297249">
        <w:tc>
          <w:tcPr>
            <w:tcW w:w="2733" w:type="dxa"/>
          </w:tcPr>
          <w:p w:rsidR="00D558B1" w:rsidRPr="00260B02" w:rsidRDefault="00D558B1" w:rsidP="003D4671">
            <w:pPr>
              <w:pStyle w:val="ListParagraph"/>
              <w:keepNext/>
              <w:keepLines/>
              <w:ind w:left="0"/>
              <w:jc w:val="both"/>
              <w:rPr>
                <w:rFonts w:ascii="Arial Narrow" w:hAnsi="Arial Narrow"/>
                <w:sz w:val="20"/>
                <w:szCs w:val="20"/>
              </w:rPr>
            </w:pPr>
            <w:r w:rsidRPr="00260B02">
              <w:rPr>
                <w:rFonts w:ascii="Arial Narrow" w:hAnsi="Arial Narrow"/>
                <w:sz w:val="20"/>
                <w:szCs w:val="20"/>
              </w:rPr>
              <w:t>Least squares mean change from baseline (LOCF)</w:t>
            </w:r>
          </w:p>
        </w:tc>
        <w:tc>
          <w:tcPr>
            <w:tcW w:w="1423" w:type="dxa"/>
          </w:tcPr>
          <w:p w:rsidR="00D558B1" w:rsidRPr="00260B02" w:rsidRDefault="00D558B1" w:rsidP="003D4671">
            <w:pPr>
              <w:pStyle w:val="ListParagraph"/>
              <w:keepNext/>
              <w:keepLines/>
              <w:ind w:left="0"/>
              <w:jc w:val="center"/>
              <w:rPr>
                <w:rFonts w:ascii="Arial Narrow" w:hAnsi="Arial Narrow"/>
                <w:sz w:val="20"/>
                <w:szCs w:val="20"/>
              </w:rPr>
            </w:pPr>
            <w:r w:rsidRPr="00260B02">
              <w:rPr>
                <w:rFonts w:ascii="Arial Narrow" w:hAnsi="Arial Narrow"/>
                <w:sz w:val="20"/>
                <w:szCs w:val="20"/>
              </w:rPr>
              <w:t>-0.370</w:t>
            </w:r>
          </w:p>
        </w:tc>
        <w:tc>
          <w:tcPr>
            <w:tcW w:w="1423" w:type="dxa"/>
          </w:tcPr>
          <w:p w:rsidR="00D558B1" w:rsidRPr="00260B02" w:rsidRDefault="00D558B1" w:rsidP="003D4671">
            <w:pPr>
              <w:pStyle w:val="ListParagraph"/>
              <w:keepNext/>
              <w:keepLines/>
              <w:ind w:left="0"/>
              <w:jc w:val="center"/>
              <w:rPr>
                <w:rFonts w:ascii="Arial Narrow" w:hAnsi="Arial Narrow"/>
                <w:sz w:val="20"/>
                <w:szCs w:val="20"/>
              </w:rPr>
            </w:pPr>
            <w:r w:rsidRPr="00260B02">
              <w:rPr>
                <w:rFonts w:ascii="Arial Narrow" w:hAnsi="Arial Narrow"/>
                <w:sz w:val="20"/>
                <w:szCs w:val="20"/>
              </w:rPr>
              <w:t>-0.468</w:t>
            </w:r>
          </w:p>
        </w:tc>
        <w:tc>
          <w:tcPr>
            <w:tcW w:w="1423" w:type="dxa"/>
          </w:tcPr>
          <w:p w:rsidR="00D558B1" w:rsidRPr="00260B02" w:rsidRDefault="00D558B1" w:rsidP="003D4671">
            <w:pPr>
              <w:pStyle w:val="ListParagraph"/>
              <w:keepNext/>
              <w:keepLines/>
              <w:ind w:left="0"/>
              <w:jc w:val="center"/>
              <w:rPr>
                <w:rFonts w:ascii="Arial Narrow" w:hAnsi="Arial Narrow"/>
                <w:sz w:val="20"/>
                <w:szCs w:val="20"/>
              </w:rPr>
            </w:pPr>
            <w:r w:rsidRPr="00260B02">
              <w:rPr>
                <w:rFonts w:ascii="Arial Narrow" w:hAnsi="Arial Narrow"/>
                <w:sz w:val="20"/>
                <w:szCs w:val="20"/>
              </w:rPr>
              <w:t>-1.286</w:t>
            </w:r>
          </w:p>
        </w:tc>
        <w:tc>
          <w:tcPr>
            <w:tcW w:w="1423" w:type="dxa"/>
          </w:tcPr>
          <w:p w:rsidR="00D558B1" w:rsidRPr="00260B02" w:rsidRDefault="00D558B1" w:rsidP="003D4671">
            <w:pPr>
              <w:pStyle w:val="ListParagraph"/>
              <w:keepNext/>
              <w:keepLines/>
              <w:ind w:left="0"/>
              <w:jc w:val="center"/>
              <w:rPr>
                <w:rFonts w:ascii="Arial Narrow" w:hAnsi="Arial Narrow"/>
                <w:sz w:val="20"/>
                <w:szCs w:val="20"/>
              </w:rPr>
            </w:pPr>
            <w:r w:rsidRPr="00260B02">
              <w:rPr>
                <w:rFonts w:ascii="Arial Narrow" w:hAnsi="Arial Narrow"/>
                <w:sz w:val="20"/>
                <w:szCs w:val="20"/>
              </w:rPr>
              <w:t>-1.338</w:t>
            </w:r>
          </w:p>
        </w:tc>
      </w:tr>
      <w:tr w:rsidR="003257CE" w:rsidRPr="00260B02" w:rsidTr="00297249">
        <w:tc>
          <w:tcPr>
            <w:tcW w:w="2733" w:type="dxa"/>
          </w:tcPr>
          <w:p w:rsidR="003257CE" w:rsidRPr="00260B02" w:rsidRDefault="00D558B1" w:rsidP="003D4671">
            <w:pPr>
              <w:pStyle w:val="ListParagraph"/>
              <w:keepNext/>
              <w:keepLines/>
              <w:ind w:left="0"/>
              <w:jc w:val="both"/>
              <w:rPr>
                <w:rFonts w:ascii="Arial Narrow" w:hAnsi="Arial Narrow"/>
                <w:sz w:val="20"/>
                <w:szCs w:val="20"/>
              </w:rPr>
            </w:pPr>
            <w:r w:rsidRPr="00260B02">
              <w:rPr>
                <w:rFonts w:ascii="Arial Narrow" w:hAnsi="Arial Narrow"/>
                <w:sz w:val="20"/>
                <w:szCs w:val="20"/>
              </w:rPr>
              <w:t>LS Mean d</w:t>
            </w:r>
            <w:r w:rsidR="003257CE" w:rsidRPr="00260B02">
              <w:rPr>
                <w:rFonts w:ascii="Arial Narrow" w:hAnsi="Arial Narrow"/>
                <w:sz w:val="20"/>
                <w:szCs w:val="20"/>
              </w:rPr>
              <w:t>ifference</w:t>
            </w:r>
          </w:p>
        </w:tc>
        <w:tc>
          <w:tcPr>
            <w:tcW w:w="2846" w:type="dxa"/>
            <w:gridSpan w:val="2"/>
          </w:tcPr>
          <w:p w:rsidR="003257CE" w:rsidRPr="00260B02" w:rsidRDefault="00D558B1" w:rsidP="00E7161A">
            <w:pPr>
              <w:pStyle w:val="ListParagraph"/>
              <w:keepNext/>
              <w:keepLines/>
              <w:ind w:left="0"/>
              <w:jc w:val="center"/>
              <w:rPr>
                <w:rFonts w:ascii="Arial Narrow" w:hAnsi="Arial Narrow"/>
                <w:sz w:val="20"/>
                <w:szCs w:val="20"/>
              </w:rPr>
            </w:pPr>
            <w:r w:rsidRPr="00260B02">
              <w:rPr>
                <w:rFonts w:ascii="Arial Narrow" w:hAnsi="Arial Narrow"/>
                <w:sz w:val="20"/>
                <w:szCs w:val="20"/>
              </w:rPr>
              <w:t>0.098 (-0.014, 0.209)</w:t>
            </w:r>
          </w:p>
        </w:tc>
        <w:tc>
          <w:tcPr>
            <w:tcW w:w="2846" w:type="dxa"/>
            <w:gridSpan w:val="2"/>
          </w:tcPr>
          <w:p w:rsidR="003257CE" w:rsidRPr="00260B02" w:rsidRDefault="00D558B1" w:rsidP="003D4671">
            <w:pPr>
              <w:pStyle w:val="ListParagraph"/>
              <w:keepNext/>
              <w:keepLines/>
              <w:ind w:left="0"/>
              <w:jc w:val="center"/>
              <w:rPr>
                <w:rFonts w:ascii="Arial Narrow" w:hAnsi="Arial Narrow"/>
                <w:sz w:val="20"/>
                <w:szCs w:val="20"/>
              </w:rPr>
            </w:pPr>
            <w:r w:rsidRPr="00260B02">
              <w:rPr>
                <w:rFonts w:ascii="Arial Narrow" w:hAnsi="Arial Narrow"/>
                <w:sz w:val="20"/>
                <w:szCs w:val="20"/>
              </w:rPr>
              <w:t>0.116 (-0.010, 0.242)</w:t>
            </w:r>
          </w:p>
        </w:tc>
      </w:tr>
    </w:tbl>
    <w:p w:rsidR="00AB0121" w:rsidRPr="00260B02" w:rsidRDefault="00297249" w:rsidP="003D4671">
      <w:pPr>
        <w:keepNext/>
        <w:keepLines/>
        <w:ind w:firstLine="720"/>
        <w:jc w:val="both"/>
        <w:rPr>
          <w:rFonts w:ascii="Arial Narrow" w:hAnsi="Arial Narrow"/>
          <w:sz w:val="18"/>
          <w:szCs w:val="22"/>
        </w:rPr>
      </w:pPr>
      <w:r w:rsidRPr="00260B02">
        <w:rPr>
          <w:rFonts w:ascii="Arial Narrow" w:hAnsi="Arial Narrow"/>
          <w:sz w:val="18"/>
          <w:szCs w:val="22"/>
        </w:rPr>
        <w:t>Source: Tables B7 and B9 of the submission</w:t>
      </w:r>
      <w:r w:rsidR="00E7161A" w:rsidRPr="00260B02">
        <w:rPr>
          <w:rFonts w:ascii="Arial Narrow" w:hAnsi="Arial Narrow"/>
          <w:sz w:val="18"/>
          <w:szCs w:val="22"/>
        </w:rPr>
        <w:t>, Delegate’s Overview</w:t>
      </w:r>
    </w:p>
    <w:p w:rsidR="00297249" w:rsidRPr="00260B02" w:rsidRDefault="00297249" w:rsidP="003D4671">
      <w:pPr>
        <w:keepNext/>
        <w:keepLines/>
        <w:ind w:firstLine="709"/>
        <w:jc w:val="both"/>
        <w:rPr>
          <w:rFonts w:ascii="Arial Narrow" w:hAnsi="Arial Narrow"/>
          <w:sz w:val="18"/>
          <w:szCs w:val="22"/>
        </w:rPr>
      </w:pPr>
      <w:r w:rsidRPr="00260B02">
        <w:rPr>
          <w:rFonts w:ascii="Arial Narrow" w:hAnsi="Arial Narrow"/>
          <w:sz w:val="18"/>
          <w:szCs w:val="22"/>
        </w:rPr>
        <w:t>Abbreviation: LOCF- last observation carried forward</w:t>
      </w:r>
    </w:p>
    <w:p w:rsidR="00297249" w:rsidRPr="00260B02" w:rsidRDefault="00297249" w:rsidP="00AB0121">
      <w:pPr>
        <w:jc w:val="both"/>
        <w:rPr>
          <w:rFonts w:ascii="Arial" w:hAnsi="Arial"/>
          <w:sz w:val="22"/>
          <w:szCs w:val="22"/>
        </w:rPr>
      </w:pPr>
    </w:p>
    <w:p w:rsidR="00AB0121" w:rsidRPr="00260B02" w:rsidRDefault="00AB0121" w:rsidP="00DD0588">
      <w:pPr>
        <w:pStyle w:val="ListParagraph"/>
        <w:numPr>
          <w:ilvl w:val="1"/>
          <w:numId w:val="25"/>
        </w:numPr>
        <w:jc w:val="both"/>
        <w:rPr>
          <w:rFonts w:ascii="Arial" w:hAnsi="Arial"/>
          <w:sz w:val="22"/>
          <w:szCs w:val="22"/>
        </w:rPr>
      </w:pPr>
      <w:r w:rsidRPr="00260B02">
        <w:rPr>
          <w:rFonts w:ascii="Arial" w:hAnsi="Arial"/>
          <w:sz w:val="22"/>
          <w:szCs w:val="22"/>
        </w:rPr>
        <w:lastRenderedPageBreak/>
        <w:t>The LS mean difference between treatments (Basaglar – Lantus) in change from baseline to the 24-week endpoint (LOCF) was 0.108% (95% CI: -0.002%, 0.219%) for the ABEB study and 0.052% (95% CI: -0.070%, 0.175%) for the ABEC study. As the upper limit of the 95% CI for the LS mean difference is &lt;0.3%, non-inferiority of Basaglar to Lantus was demonstrated at both the 0.4% and 0.3% non-inferiority margins</w:t>
      </w:r>
      <w:r w:rsidR="007D532D" w:rsidRPr="00260B02">
        <w:rPr>
          <w:rFonts w:ascii="Arial" w:hAnsi="Arial"/>
          <w:sz w:val="22"/>
          <w:szCs w:val="22"/>
        </w:rPr>
        <w:t>, in both studies</w:t>
      </w:r>
      <w:r w:rsidRPr="00260B02">
        <w:rPr>
          <w:rFonts w:ascii="Arial" w:hAnsi="Arial"/>
          <w:sz w:val="22"/>
          <w:szCs w:val="22"/>
        </w:rPr>
        <w:t>.</w:t>
      </w:r>
    </w:p>
    <w:p w:rsidR="00AB0121" w:rsidRPr="00260B02" w:rsidRDefault="00AB0121" w:rsidP="00AB0121">
      <w:pPr>
        <w:pStyle w:val="ListParagraph"/>
        <w:ind w:left="1070"/>
        <w:jc w:val="both"/>
        <w:rPr>
          <w:rFonts w:ascii="Arial" w:hAnsi="Arial"/>
          <w:sz w:val="22"/>
          <w:szCs w:val="22"/>
        </w:rPr>
      </w:pPr>
    </w:p>
    <w:p w:rsidR="00F809B1" w:rsidRPr="00260B02" w:rsidRDefault="00504C9F" w:rsidP="00DD0588">
      <w:pPr>
        <w:pStyle w:val="ListParagraph"/>
        <w:numPr>
          <w:ilvl w:val="1"/>
          <w:numId w:val="25"/>
        </w:numPr>
        <w:jc w:val="both"/>
        <w:rPr>
          <w:rFonts w:ascii="Arial" w:hAnsi="Arial"/>
          <w:sz w:val="22"/>
          <w:szCs w:val="22"/>
        </w:rPr>
      </w:pPr>
      <w:r w:rsidRPr="00260B02">
        <w:rPr>
          <w:rFonts w:ascii="Arial" w:hAnsi="Arial"/>
          <w:sz w:val="22"/>
          <w:szCs w:val="22"/>
        </w:rPr>
        <w:t>The</w:t>
      </w:r>
      <w:r w:rsidR="009101CC" w:rsidRPr="00260B02">
        <w:rPr>
          <w:rFonts w:ascii="Arial" w:hAnsi="Arial"/>
          <w:sz w:val="22"/>
          <w:szCs w:val="22"/>
        </w:rPr>
        <w:t xml:space="preserve"> TGA</w:t>
      </w:r>
      <w:r w:rsidRPr="00260B02">
        <w:rPr>
          <w:rFonts w:ascii="Arial" w:hAnsi="Arial"/>
          <w:sz w:val="22"/>
          <w:szCs w:val="22"/>
        </w:rPr>
        <w:t xml:space="preserve"> </w:t>
      </w:r>
      <w:r w:rsidR="00F67072" w:rsidRPr="00260B02">
        <w:rPr>
          <w:rFonts w:ascii="Arial" w:hAnsi="Arial"/>
          <w:sz w:val="22"/>
          <w:szCs w:val="22"/>
        </w:rPr>
        <w:t>Delegate</w:t>
      </w:r>
      <w:r w:rsidR="00A275A0" w:rsidRPr="00260B02">
        <w:rPr>
          <w:rFonts w:ascii="Arial" w:hAnsi="Arial"/>
          <w:sz w:val="22"/>
          <w:szCs w:val="22"/>
        </w:rPr>
        <w:t>’</w:t>
      </w:r>
      <w:r w:rsidR="00F67072" w:rsidRPr="00260B02">
        <w:rPr>
          <w:rFonts w:ascii="Arial" w:hAnsi="Arial"/>
          <w:sz w:val="22"/>
          <w:szCs w:val="22"/>
        </w:rPr>
        <w:t>s Overview</w:t>
      </w:r>
      <w:r w:rsidR="00AB0121" w:rsidRPr="00260B02">
        <w:rPr>
          <w:rFonts w:ascii="Arial" w:hAnsi="Arial"/>
          <w:sz w:val="22"/>
          <w:szCs w:val="22"/>
        </w:rPr>
        <w:t xml:space="preserve"> (p</w:t>
      </w:r>
      <w:r w:rsidR="00C17515" w:rsidRPr="00260B02">
        <w:rPr>
          <w:rFonts w:ascii="Arial" w:hAnsi="Arial"/>
          <w:sz w:val="22"/>
          <w:szCs w:val="22"/>
        </w:rPr>
        <w:t>g</w:t>
      </w:r>
      <w:r w:rsidR="00AB0121" w:rsidRPr="00260B02">
        <w:rPr>
          <w:rFonts w:ascii="Arial" w:hAnsi="Arial"/>
          <w:sz w:val="22"/>
          <w:szCs w:val="22"/>
        </w:rPr>
        <w:t>10)</w:t>
      </w:r>
      <w:r w:rsidR="004954DD" w:rsidRPr="00260B02">
        <w:rPr>
          <w:rFonts w:ascii="Arial" w:hAnsi="Arial"/>
          <w:sz w:val="22"/>
          <w:szCs w:val="22"/>
        </w:rPr>
        <w:t xml:space="preserve"> stated</w:t>
      </w:r>
      <w:r w:rsidRPr="00260B02">
        <w:rPr>
          <w:rFonts w:ascii="Arial" w:hAnsi="Arial"/>
          <w:sz w:val="22"/>
          <w:szCs w:val="22"/>
        </w:rPr>
        <w:t xml:space="preserve"> that t</w:t>
      </w:r>
      <w:r w:rsidR="00AB0121" w:rsidRPr="00260B02">
        <w:rPr>
          <w:rFonts w:ascii="Arial" w:hAnsi="Arial"/>
          <w:sz w:val="22"/>
          <w:szCs w:val="22"/>
        </w:rPr>
        <w:t>he</w:t>
      </w:r>
      <w:r w:rsidRPr="00260B02">
        <w:rPr>
          <w:rFonts w:ascii="Arial" w:hAnsi="Arial"/>
          <w:sz w:val="22"/>
          <w:szCs w:val="22"/>
        </w:rPr>
        <w:t xml:space="preserve"> results</w:t>
      </w:r>
      <w:r w:rsidR="00AB0121" w:rsidRPr="00260B02">
        <w:rPr>
          <w:rFonts w:ascii="Arial" w:hAnsi="Arial"/>
          <w:sz w:val="22"/>
          <w:szCs w:val="22"/>
        </w:rPr>
        <w:t xml:space="preserve"> from ABEB and ABEC</w:t>
      </w:r>
      <w:r w:rsidRPr="00260B02">
        <w:rPr>
          <w:rFonts w:ascii="Arial" w:hAnsi="Arial"/>
          <w:sz w:val="22"/>
          <w:szCs w:val="22"/>
        </w:rPr>
        <w:t xml:space="preserve"> </w:t>
      </w:r>
      <w:r w:rsidR="00BF0716" w:rsidRPr="00260B02">
        <w:rPr>
          <w:rFonts w:ascii="Arial" w:hAnsi="Arial"/>
          <w:sz w:val="22"/>
          <w:szCs w:val="22"/>
        </w:rPr>
        <w:t>‘</w:t>
      </w:r>
      <w:r w:rsidRPr="00260B02">
        <w:rPr>
          <w:rFonts w:ascii="Arial" w:hAnsi="Arial"/>
          <w:sz w:val="22"/>
          <w:szCs w:val="22"/>
        </w:rPr>
        <w:t xml:space="preserve">meet the non-inferiority margin 0.3% at 24 weeks for the endpoint of </w:t>
      </w:r>
      <w:r w:rsidR="00BF0716" w:rsidRPr="00260B02">
        <w:rPr>
          <w:rFonts w:ascii="Arial" w:hAnsi="Arial"/>
          <w:sz w:val="22"/>
          <w:szCs w:val="22"/>
        </w:rPr>
        <w:t>“</w:t>
      </w:r>
      <w:r w:rsidRPr="00260B02">
        <w:rPr>
          <w:rFonts w:ascii="Arial" w:hAnsi="Arial"/>
          <w:sz w:val="22"/>
          <w:szCs w:val="22"/>
        </w:rPr>
        <w:t>change in HbA1c</w:t>
      </w:r>
      <w:r w:rsidR="00BF0716" w:rsidRPr="00260B02">
        <w:rPr>
          <w:rFonts w:ascii="Arial" w:hAnsi="Arial"/>
          <w:sz w:val="22"/>
          <w:szCs w:val="22"/>
        </w:rPr>
        <w:t>”</w:t>
      </w:r>
      <w:r w:rsidRPr="00260B02">
        <w:rPr>
          <w:rFonts w:ascii="Arial" w:hAnsi="Arial"/>
          <w:sz w:val="22"/>
          <w:szCs w:val="22"/>
        </w:rPr>
        <w:t>, although the point estimates show that Basaglar was slightly worse than Lantus</w:t>
      </w:r>
      <w:r w:rsidR="00BF0716" w:rsidRPr="00260B02">
        <w:rPr>
          <w:rFonts w:ascii="Arial" w:hAnsi="Arial"/>
          <w:sz w:val="22"/>
          <w:szCs w:val="22"/>
        </w:rPr>
        <w:t>, in terms of HbA1c.’</w:t>
      </w:r>
      <w:r w:rsidRPr="00260B02">
        <w:rPr>
          <w:rFonts w:ascii="Arial" w:hAnsi="Arial"/>
          <w:sz w:val="22"/>
          <w:szCs w:val="22"/>
        </w:rPr>
        <w:t xml:space="preserve"> </w:t>
      </w:r>
    </w:p>
    <w:p w:rsidR="00DF147D" w:rsidRPr="00260B02" w:rsidRDefault="00CE25C1" w:rsidP="007B6795">
      <w:pPr>
        <w:pStyle w:val="ListParagraph"/>
        <w:ind w:left="709"/>
        <w:jc w:val="both"/>
        <w:rPr>
          <w:rFonts w:ascii="Arial" w:hAnsi="Arial"/>
          <w:b/>
          <w:sz w:val="22"/>
          <w:szCs w:val="22"/>
        </w:rPr>
      </w:pPr>
      <w:r w:rsidRPr="00260B02">
        <w:rPr>
          <w:rFonts w:ascii="Arial" w:hAnsi="Arial"/>
          <w:sz w:val="22"/>
          <w:szCs w:val="22"/>
        </w:rPr>
        <w:t xml:space="preserve"> </w:t>
      </w:r>
    </w:p>
    <w:p w:rsidR="00DD6CD8" w:rsidRPr="00260B02" w:rsidRDefault="00DF147D" w:rsidP="00D558B1">
      <w:pPr>
        <w:rPr>
          <w:rFonts w:ascii="Arial" w:hAnsi="Arial" w:cs="Arial"/>
          <w:sz w:val="22"/>
          <w:u w:val="single"/>
        </w:rPr>
      </w:pPr>
      <w:r w:rsidRPr="00260B02">
        <w:rPr>
          <w:rFonts w:ascii="Arial" w:hAnsi="Arial" w:cs="Arial"/>
          <w:sz w:val="22"/>
          <w:u w:val="single"/>
        </w:rPr>
        <w:t>Pharmacokinetic/Pharmacodynamic studies</w:t>
      </w:r>
      <w:r w:rsidR="00DD6CD8" w:rsidRPr="00260B02">
        <w:rPr>
          <w:rFonts w:ascii="Arial" w:hAnsi="Arial" w:cs="Arial"/>
          <w:sz w:val="22"/>
          <w:u w:val="single"/>
        </w:rPr>
        <w:t xml:space="preserve"> </w:t>
      </w:r>
    </w:p>
    <w:p w:rsidR="00DF147D" w:rsidRPr="00260B02" w:rsidRDefault="00DF147D" w:rsidP="005842D6">
      <w:pPr>
        <w:pStyle w:val="ListParagraph"/>
        <w:ind w:left="1134"/>
        <w:jc w:val="both"/>
        <w:rPr>
          <w:rFonts w:ascii="Arial" w:hAnsi="Arial"/>
          <w:sz w:val="22"/>
          <w:szCs w:val="22"/>
        </w:rPr>
      </w:pPr>
    </w:p>
    <w:p w:rsidR="00817943" w:rsidRPr="00260B02" w:rsidRDefault="00DF147D" w:rsidP="00DD0588">
      <w:pPr>
        <w:pStyle w:val="ListParagraph"/>
        <w:numPr>
          <w:ilvl w:val="1"/>
          <w:numId w:val="25"/>
        </w:numPr>
        <w:jc w:val="both"/>
        <w:rPr>
          <w:rFonts w:ascii="Arial" w:hAnsi="Arial"/>
          <w:sz w:val="22"/>
          <w:szCs w:val="22"/>
        </w:rPr>
      </w:pPr>
      <w:r w:rsidRPr="00260B02">
        <w:rPr>
          <w:rFonts w:ascii="Arial" w:hAnsi="Arial"/>
          <w:sz w:val="22"/>
          <w:szCs w:val="22"/>
        </w:rPr>
        <w:t>Six pharmacokinetic/pharmacodynamic studies were presented to the TGA</w:t>
      </w:r>
      <w:r w:rsidR="00952CDE" w:rsidRPr="00260B02">
        <w:rPr>
          <w:rFonts w:ascii="Arial" w:hAnsi="Arial"/>
          <w:sz w:val="22"/>
          <w:szCs w:val="22"/>
        </w:rPr>
        <w:t xml:space="preserve"> in support of the claim of biosimilarity</w:t>
      </w:r>
      <w:r w:rsidRPr="00260B02">
        <w:rPr>
          <w:rFonts w:ascii="Arial" w:hAnsi="Arial"/>
          <w:sz w:val="22"/>
          <w:szCs w:val="22"/>
        </w:rPr>
        <w:t xml:space="preserve">. </w:t>
      </w:r>
      <w:r w:rsidR="00817943" w:rsidRPr="00260B02">
        <w:rPr>
          <w:rFonts w:ascii="Arial" w:hAnsi="Arial"/>
          <w:sz w:val="22"/>
          <w:szCs w:val="22"/>
        </w:rPr>
        <w:t xml:space="preserve">The ABEA insulin clamp study in healthy volunteers was the pivotal study </w:t>
      </w:r>
      <w:r w:rsidR="00AD1D6C" w:rsidRPr="00260B02">
        <w:rPr>
          <w:rFonts w:ascii="Arial" w:hAnsi="Arial"/>
          <w:sz w:val="22"/>
          <w:szCs w:val="22"/>
        </w:rPr>
        <w:t xml:space="preserve">that the TGA used </w:t>
      </w:r>
      <w:r w:rsidR="00817943" w:rsidRPr="00260B02">
        <w:rPr>
          <w:rFonts w:ascii="Arial" w:hAnsi="Arial"/>
          <w:sz w:val="22"/>
          <w:szCs w:val="22"/>
        </w:rPr>
        <w:t xml:space="preserve">to </w:t>
      </w:r>
      <w:r w:rsidR="003C56C6" w:rsidRPr="00260B02">
        <w:rPr>
          <w:rFonts w:ascii="Arial" w:hAnsi="Arial"/>
          <w:sz w:val="22"/>
          <w:szCs w:val="22"/>
        </w:rPr>
        <w:t>establish biosimilarity</w:t>
      </w:r>
      <w:r w:rsidR="00AD1D6C" w:rsidRPr="00260B02">
        <w:rPr>
          <w:rFonts w:ascii="Arial" w:hAnsi="Arial"/>
          <w:sz w:val="22"/>
          <w:szCs w:val="22"/>
        </w:rPr>
        <w:t xml:space="preserve">, and the </w:t>
      </w:r>
      <w:r w:rsidR="00BF0716" w:rsidRPr="00260B02">
        <w:rPr>
          <w:rFonts w:ascii="Arial" w:hAnsi="Arial"/>
          <w:sz w:val="22"/>
          <w:szCs w:val="22"/>
        </w:rPr>
        <w:t xml:space="preserve">details of this study are </w:t>
      </w:r>
      <w:r w:rsidR="00AD1D6C" w:rsidRPr="00260B02">
        <w:rPr>
          <w:rFonts w:ascii="Arial" w:hAnsi="Arial"/>
          <w:sz w:val="22"/>
          <w:szCs w:val="22"/>
        </w:rPr>
        <w:t>summarise</w:t>
      </w:r>
      <w:r w:rsidR="00BF0716" w:rsidRPr="00260B02">
        <w:rPr>
          <w:rFonts w:ascii="Arial" w:hAnsi="Arial"/>
          <w:sz w:val="22"/>
          <w:szCs w:val="22"/>
        </w:rPr>
        <w:t xml:space="preserve">d in the table below. </w:t>
      </w:r>
      <w:r w:rsidR="00817943" w:rsidRPr="00260B02">
        <w:rPr>
          <w:rFonts w:ascii="Arial" w:hAnsi="Arial"/>
          <w:sz w:val="22"/>
          <w:szCs w:val="22"/>
        </w:rPr>
        <w:t xml:space="preserve"> </w:t>
      </w:r>
    </w:p>
    <w:p w:rsidR="00817943" w:rsidRPr="00260B02" w:rsidRDefault="00817943" w:rsidP="00817943">
      <w:pPr>
        <w:pStyle w:val="ListParagraph"/>
        <w:rPr>
          <w:rFonts w:ascii="Arial" w:hAnsi="Arial"/>
          <w:sz w:val="22"/>
          <w:szCs w:val="22"/>
        </w:rPr>
      </w:pPr>
    </w:p>
    <w:p w:rsidR="00817943" w:rsidRPr="00260B02" w:rsidRDefault="00817943" w:rsidP="00817943">
      <w:pPr>
        <w:pStyle w:val="ListParagraph"/>
        <w:rPr>
          <w:rFonts w:ascii="Arial Narrow" w:hAnsi="Arial Narrow"/>
          <w:b/>
          <w:sz w:val="20"/>
          <w:szCs w:val="20"/>
        </w:rPr>
      </w:pPr>
      <w:r w:rsidRPr="00260B02">
        <w:rPr>
          <w:rFonts w:ascii="Arial Narrow" w:hAnsi="Arial Narrow"/>
          <w:b/>
          <w:sz w:val="20"/>
          <w:szCs w:val="20"/>
        </w:rPr>
        <w:t>Pivotal study details used to determine efficacy by the TGA</w:t>
      </w:r>
    </w:p>
    <w:tbl>
      <w:tblPr>
        <w:tblStyle w:val="TableGrid"/>
        <w:tblW w:w="0" w:type="auto"/>
        <w:tblInd w:w="817" w:type="dxa"/>
        <w:tblLook w:val="04A0" w:firstRow="1" w:lastRow="0" w:firstColumn="1" w:lastColumn="0" w:noHBand="0" w:noVBand="1"/>
        <w:tblCaption w:val="Pharmacokinetic/Pharmacodynamic studies "/>
        <w:tblDescription w:val="Summary of studies"/>
      </w:tblPr>
      <w:tblGrid>
        <w:gridCol w:w="718"/>
        <w:gridCol w:w="1408"/>
        <w:gridCol w:w="2552"/>
        <w:gridCol w:w="1701"/>
        <w:gridCol w:w="2046"/>
      </w:tblGrid>
      <w:tr w:rsidR="00817943" w:rsidRPr="00260B02" w:rsidTr="00F45895">
        <w:tc>
          <w:tcPr>
            <w:tcW w:w="718" w:type="dxa"/>
          </w:tcPr>
          <w:p w:rsidR="00817943" w:rsidRPr="00260B02" w:rsidRDefault="00817943" w:rsidP="00F45895">
            <w:pPr>
              <w:jc w:val="both"/>
              <w:rPr>
                <w:rFonts w:ascii="Arial Narrow" w:hAnsi="Arial Narrow"/>
                <w:b/>
                <w:sz w:val="20"/>
                <w:szCs w:val="20"/>
              </w:rPr>
            </w:pPr>
            <w:r w:rsidRPr="00260B02">
              <w:rPr>
                <w:rFonts w:ascii="Arial Narrow" w:hAnsi="Arial Narrow"/>
                <w:b/>
                <w:sz w:val="20"/>
                <w:szCs w:val="20"/>
              </w:rPr>
              <w:t>Study</w:t>
            </w:r>
          </w:p>
        </w:tc>
        <w:tc>
          <w:tcPr>
            <w:tcW w:w="1408" w:type="dxa"/>
          </w:tcPr>
          <w:p w:rsidR="00817943" w:rsidRPr="00260B02" w:rsidRDefault="00817943" w:rsidP="00F45895">
            <w:pPr>
              <w:jc w:val="both"/>
              <w:rPr>
                <w:rFonts w:ascii="Arial Narrow" w:hAnsi="Arial Narrow"/>
                <w:b/>
                <w:sz w:val="20"/>
                <w:szCs w:val="20"/>
              </w:rPr>
            </w:pPr>
            <w:r w:rsidRPr="00260B02">
              <w:rPr>
                <w:rFonts w:ascii="Arial Narrow" w:hAnsi="Arial Narrow"/>
                <w:b/>
                <w:sz w:val="20"/>
                <w:szCs w:val="20"/>
              </w:rPr>
              <w:t xml:space="preserve">Objective </w:t>
            </w:r>
          </w:p>
        </w:tc>
        <w:tc>
          <w:tcPr>
            <w:tcW w:w="2552" w:type="dxa"/>
          </w:tcPr>
          <w:p w:rsidR="00817943" w:rsidRPr="00260B02" w:rsidRDefault="00817943" w:rsidP="00F45895">
            <w:pPr>
              <w:jc w:val="both"/>
              <w:rPr>
                <w:rFonts w:ascii="Arial Narrow" w:hAnsi="Arial Narrow"/>
                <w:b/>
                <w:sz w:val="20"/>
                <w:szCs w:val="20"/>
              </w:rPr>
            </w:pPr>
            <w:r w:rsidRPr="00260B02">
              <w:rPr>
                <w:rFonts w:ascii="Arial Narrow" w:hAnsi="Arial Narrow"/>
                <w:b/>
                <w:sz w:val="20"/>
                <w:szCs w:val="20"/>
              </w:rPr>
              <w:t xml:space="preserve">Design </w:t>
            </w:r>
          </w:p>
        </w:tc>
        <w:tc>
          <w:tcPr>
            <w:tcW w:w="1701" w:type="dxa"/>
          </w:tcPr>
          <w:p w:rsidR="00817943" w:rsidRPr="00260B02" w:rsidRDefault="00817943" w:rsidP="00F45895">
            <w:pPr>
              <w:jc w:val="both"/>
              <w:rPr>
                <w:rFonts w:ascii="Arial Narrow" w:hAnsi="Arial Narrow"/>
                <w:b/>
                <w:sz w:val="20"/>
                <w:szCs w:val="20"/>
              </w:rPr>
            </w:pPr>
            <w:r w:rsidRPr="00260B02">
              <w:rPr>
                <w:rFonts w:ascii="Arial Narrow" w:hAnsi="Arial Narrow"/>
                <w:b/>
                <w:sz w:val="20"/>
                <w:szCs w:val="20"/>
              </w:rPr>
              <w:t>Treatments</w:t>
            </w:r>
          </w:p>
        </w:tc>
        <w:tc>
          <w:tcPr>
            <w:tcW w:w="2046" w:type="dxa"/>
          </w:tcPr>
          <w:p w:rsidR="00817943" w:rsidRPr="00260B02" w:rsidRDefault="00817943" w:rsidP="00F45895">
            <w:pPr>
              <w:jc w:val="both"/>
              <w:rPr>
                <w:rFonts w:ascii="Arial Narrow" w:hAnsi="Arial Narrow"/>
                <w:b/>
                <w:sz w:val="20"/>
                <w:szCs w:val="20"/>
              </w:rPr>
            </w:pPr>
            <w:r w:rsidRPr="00260B02">
              <w:rPr>
                <w:rFonts w:ascii="Arial Narrow" w:hAnsi="Arial Narrow"/>
                <w:b/>
                <w:sz w:val="20"/>
                <w:szCs w:val="20"/>
              </w:rPr>
              <w:t>Healthy Subjects N</w:t>
            </w:r>
          </w:p>
        </w:tc>
      </w:tr>
      <w:tr w:rsidR="00817943" w:rsidRPr="00260B02" w:rsidTr="00F45895">
        <w:tc>
          <w:tcPr>
            <w:tcW w:w="718" w:type="dxa"/>
          </w:tcPr>
          <w:p w:rsidR="00817943" w:rsidRPr="00260B02" w:rsidRDefault="00817943" w:rsidP="00F45895">
            <w:pPr>
              <w:jc w:val="both"/>
              <w:rPr>
                <w:rFonts w:ascii="Arial Narrow" w:hAnsi="Arial Narrow"/>
                <w:sz w:val="20"/>
                <w:szCs w:val="20"/>
              </w:rPr>
            </w:pPr>
            <w:r w:rsidRPr="00260B02">
              <w:rPr>
                <w:rFonts w:ascii="Arial Narrow" w:hAnsi="Arial Narrow"/>
                <w:sz w:val="20"/>
                <w:szCs w:val="20"/>
              </w:rPr>
              <w:t>ABEA</w:t>
            </w:r>
          </w:p>
        </w:tc>
        <w:tc>
          <w:tcPr>
            <w:tcW w:w="1408" w:type="dxa"/>
          </w:tcPr>
          <w:p w:rsidR="00817943" w:rsidRPr="00260B02" w:rsidRDefault="00817943" w:rsidP="007B6795">
            <w:pPr>
              <w:rPr>
                <w:rFonts w:ascii="Arial Narrow" w:hAnsi="Arial Narrow"/>
                <w:sz w:val="20"/>
                <w:szCs w:val="20"/>
              </w:rPr>
            </w:pPr>
            <w:r w:rsidRPr="00260B02">
              <w:rPr>
                <w:rFonts w:ascii="Arial Narrow" w:hAnsi="Arial Narrow"/>
                <w:sz w:val="20"/>
                <w:szCs w:val="20"/>
              </w:rPr>
              <w:t>Comparison of the PK and PD of Basaglar and EU Lantus</w:t>
            </w:r>
          </w:p>
        </w:tc>
        <w:tc>
          <w:tcPr>
            <w:tcW w:w="2552" w:type="dxa"/>
          </w:tcPr>
          <w:p w:rsidR="00817943" w:rsidRPr="00260B02" w:rsidRDefault="00817943" w:rsidP="007B6795">
            <w:pPr>
              <w:rPr>
                <w:rFonts w:ascii="Arial Narrow" w:hAnsi="Arial Narrow"/>
                <w:sz w:val="20"/>
                <w:szCs w:val="20"/>
              </w:rPr>
            </w:pPr>
            <w:r w:rsidRPr="00260B02">
              <w:rPr>
                <w:rFonts w:ascii="Arial Narrow" w:hAnsi="Arial Narrow"/>
                <w:sz w:val="20"/>
                <w:szCs w:val="20"/>
              </w:rPr>
              <w:t>Phase 1, single-center, randomized, subject and investigator blind, 4 period replicate crossover, 24 hour euglycaemic glucose clamp study</w:t>
            </w:r>
          </w:p>
        </w:tc>
        <w:tc>
          <w:tcPr>
            <w:tcW w:w="1701" w:type="dxa"/>
          </w:tcPr>
          <w:p w:rsidR="00817943" w:rsidRPr="00260B02" w:rsidRDefault="00817943" w:rsidP="007B6795">
            <w:pPr>
              <w:rPr>
                <w:rFonts w:ascii="Arial Narrow" w:hAnsi="Arial Narrow"/>
                <w:sz w:val="20"/>
                <w:szCs w:val="20"/>
              </w:rPr>
            </w:pPr>
            <w:r w:rsidRPr="00260B02">
              <w:rPr>
                <w:rFonts w:ascii="Arial Narrow" w:hAnsi="Arial Narrow"/>
                <w:sz w:val="20"/>
                <w:szCs w:val="20"/>
              </w:rPr>
              <w:t>Single 0.5-U/kg doses of Basaglar and Lantus administered by SC injection</w:t>
            </w:r>
          </w:p>
        </w:tc>
        <w:tc>
          <w:tcPr>
            <w:tcW w:w="2046" w:type="dxa"/>
          </w:tcPr>
          <w:p w:rsidR="00817943" w:rsidRPr="00260B02" w:rsidRDefault="00817943" w:rsidP="007B6795">
            <w:pPr>
              <w:rPr>
                <w:rFonts w:ascii="Arial Narrow" w:hAnsi="Arial Narrow"/>
                <w:sz w:val="20"/>
                <w:szCs w:val="20"/>
              </w:rPr>
            </w:pPr>
            <w:r w:rsidRPr="00260B02">
              <w:rPr>
                <w:rFonts w:ascii="Arial Narrow" w:hAnsi="Arial Narrow"/>
                <w:sz w:val="20"/>
                <w:szCs w:val="20"/>
              </w:rPr>
              <w:t>N=80 (56 males/ 24 females)</w:t>
            </w:r>
          </w:p>
          <w:p w:rsidR="00817943" w:rsidRPr="00260B02" w:rsidRDefault="00817943" w:rsidP="007B6795">
            <w:pPr>
              <w:rPr>
                <w:rFonts w:ascii="Arial Narrow" w:hAnsi="Arial Narrow"/>
                <w:sz w:val="20"/>
                <w:szCs w:val="20"/>
              </w:rPr>
            </w:pPr>
          </w:p>
          <w:p w:rsidR="00817943" w:rsidRPr="00260B02" w:rsidRDefault="00817943" w:rsidP="007B6795">
            <w:pPr>
              <w:rPr>
                <w:rFonts w:ascii="Arial Narrow" w:hAnsi="Arial Narrow"/>
                <w:sz w:val="20"/>
                <w:szCs w:val="20"/>
              </w:rPr>
            </w:pPr>
            <w:r w:rsidRPr="00260B02">
              <w:rPr>
                <w:rFonts w:ascii="Arial Narrow" w:hAnsi="Arial Narrow"/>
                <w:sz w:val="20"/>
                <w:szCs w:val="20"/>
              </w:rPr>
              <w:t>Mean age – 32 years (18-60)</w:t>
            </w:r>
          </w:p>
          <w:p w:rsidR="00817943" w:rsidRPr="00260B02" w:rsidRDefault="00817943" w:rsidP="007B6795">
            <w:pPr>
              <w:rPr>
                <w:rFonts w:ascii="Arial Narrow" w:hAnsi="Arial Narrow"/>
                <w:sz w:val="20"/>
                <w:szCs w:val="20"/>
              </w:rPr>
            </w:pPr>
          </w:p>
          <w:p w:rsidR="00817943" w:rsidRPr="00260B02" w:rsidRDefault="00817943" w:rsidP="007B6795">
            <w:pPr>
              <w:rPr>
                <w:rFonts w:ascii="Arial Narrow" w:hAnsi="Arial Narrow"/>
                <w:sz w:val="20"/>
                <w:szCs w:val="20"/>
              </w:rPr>
            </w:pPr>
            <w:r w:rsidRPr="00260B02">
              <w:rPr>
                <w:rFonts w:ascii="Arial Narrow" w:hAnsi="Arial Narrow"/>
                <w:sz w:val="20"/>
                <w:szCs w:val="20"/>
              </w:rPr>
              <w:t>Mean BMI = 24.9 (19.4-32.0)</w:t>
            </w:r>
          </w:p>
        </w:tc>
      </w:tr>
    </w:tbl>
    <w:p w:rsidR="00817943" w:rsidRPr="00260B02" w:rsidRDefault="00817943" w:rsidP="00817943">
      <w:pPr>
        <w:ind w:firstLine="720"/>
        <w:jc w:val="both"/>
        <w:rPr>
          <w:rFonts w:ascii="Arial Narrow" w:hAnsi="Arial Narrow"/>
          <w:sz w:val="18"/>
          <w:szCs w:val="18"/>
        </w:rPr>
      </w:pPr>
      <w:r w:rsidRPr="00260B02">
        <w:rPr>
          <w:rFonts w:ascii="Arial Narrow" w:hAnsi="Arial Narrow"/>
          <w:sz w:val="18"/>
          <w:szCs w:val="18"/>
        </w:rPr>
        <w:t>Source: Clinical Evaluation Report (p83)</w:t>
      </w:r>
    </w:p>
    <w:p w:rsidR="00817943" w:rsidRPr="00260B02" w:rsidRDefault="00817943" w:rsidP="00817943">
      <w:pPr>
        <w:ind w:left="709"/>
        <w:jc w:val="both"/>
        <w:rPr>
          <w:rFonts w:ascii="Arial Narrow" w:hAnsi="Arial Narrow"/>
          <w:sz w:val="18"/>
          <w:szCs w:val="18"/>
        </w:rPr>
      </w:pPr>
      <w:r w:rsidRPr="00260B02">
        <w:rPr>
          <w:rFonts w:ascii="Arial Narrow" w:hAnsi="Arial Narrow"/>
          <w:sz w:val="18"/>
          <w:szCs w:val="18"/>
        </w:rPr>
        <w:t>Abbreviations: PK- pharmacokinetics, PD- pharmacodynamics, EU-European Union, SC- subcutaneous, N- number of subjects enrolled, BMI- body mass index</w:t>
      </w:r>
    </w:p>
    <w:p w:rsidR="00817943" w:rsidRPr="00260B02" w:rsidRDefault="00817943" w:rsidP="00817943">
      <w:pPr>
        <w:pStyle w:val="ListParagraph"/>
        <w:rPr>
          <w:rFonts w:ascii="Arial" w:hAnsi="Arial"/>
          <w:sz w:val="22"/>
          <w:szCs w:val="22"/>
        </w:rPr>
      </w:pPr>
    </w:p>
    <w:p w:rsidR="00CE7DE9" w:rsidRPr="00260B02" w:rsidRDefault="00AD1D6C" w:rsidP="00DD0588">
      <w:pPr>
        <w:pStyle w:val="ListParagraph"/>
        <w:numPr>
          <w:ilvl w:val="1"/>
          <w:numId w:val="25"/>
        </w:numPr>
        <w:jc w:val="both"/>
        <w:rPr>
          <w:rFonts w:ascii="Arial" w:hAnsi="Arial"/>
          <w:sz w:val="22"/>
          <w:szCs w:val="22"/>
        </w:rPr>
      </w:pPr>
      <w:r w:rsidRPr="00260B02">
        <w:rPr>
          <w:rFonts w:ascii="Arial" w:hAnsi="Arial"/>
          <w:sz w:val="22"/>
          <w:szCs w:val="22"/>
        </w:rPr>
        <w:t xml:space="preserve">The results of ABEA are summarised in the table below. </w:t>
      </w:r>
    </w:p>
    <w:p w:rsidR="00CE7DE9" w:rsidRPr="00260B02" w:rsidRDefault="00CE7DE9" w:rsidP="00CE7DE9">
      <w:pPr>
        <w:pStyle w:val="ListParagraph"/>
        <w:ind w:left="360"/>
        <w:jc w:val="both"/>
        <w:rPr>
          <w:rFonts w:ascii="Arial" w:hAnsi="Arial"/>
          <w:sz w:val="22"/>
          <w:szCs w:val="22"/>
        </w:rPr>
      </w:pPr>
    </w:p>
    <w:p w:rsidR="00E00C60" w:rsidRPr="00260B02" w:rsidRDefault="00E00C60" w:rsidP="009529A5">
      <w:pPr>
        <w:pStyle w:val="ListParagraph"/>
        <w:keepNext/>
        <w:keepLines/>
        <w:ind w:left="360" w:firstLine="349"/>
        <w:jc w:val="both"/>
        <w:rPr>
          <w:rFonts w:ascii="Arial Narrow" w:hAnsi="Arial Narrow"/>
          <w:b/>
          <w:sz w:val="20"/>
          <w:szCs w:val="22"/>
        </w:rPr>
      </w:pPr>
      <w:r w:rsidRPr="00260B02">
        <w:rPr>
          <w:rFonts w:ascii="Arial Narrow" w:hAnsi="Arial Narrow"/>
          <w:b/>
          <w:sz w:val="20"/>
          <w:szCs w:val="22"/>
        </w:rPr>
        <w:t xml:space="preserve">Results for pivotal ABEA study in healthy </w:t>
      </w:r>
      <w:r w:rsidR="0080415B" w:rsidRPr="00260B02">
        <w:rPr>
          <w:rFonts w:ascii="Arial Narrow" w:hAnsi="Arial Narrow"/>
          <w:b/>
          <w:sz w:val="20"/>
          <w:szCs w:val="22"/>
        </w:rPr>
        <w:t>volunteers</w:t>
      </w:r>
      <w:r w:rsidRPr="00260B02">
        <w:rPr>
          <w:rFonts w:ascii="Arial Narrow" w:hAnsi="Arial Narrow"/>
          <w:b/>
          <w:sz w:val="20"/>
          <w:szCs w:val="22"/>
        </w:rPr>
        <w:t xml:space="preserve">, with </w:t>
      </w:r>
      <w:r w:rsidR="0080415B" w:rsidRPr="00260B02">
        <w:rPr>
          <w:rFonts w:ascii="Arial Narrow" w:hAnsi="Arial Narrow"/>
          <w:b/>
          <w:sz w:val="20"/>
          <w:szCs w:val="22"/>
        </w:rPr>
        <w:t xml:space="preserve">insulin </w:t>
      </w:r>
      <w:r w:rsidRPr="00260B02">
        <w:rPr>
          <w:rFonts w:ascii="Arial Narrow" w:hAnsi="Arial Narrow"/>
          <w:b/>
          <w:sz w:val="20"/>
          <w:szCs w:val="22"/>
        </w:rPr>
        <w:t>dose</w:t>
      </w:r>
      <w:r w:rsidR="0080415B" w:rsidRPr="00260B02">
        <w:rPr>
          <w:rFonts w:ascii="Arial Narrow" w:hAnsi="Arial Narrow"/>
          <w:b/>
          <w:sz w:val="20"/>
          <w:szCs w:val="22"/>
        </w:rPr>
        <w:t xml:space="preserve"> of</w:t>
      </w:r>
      <w:r w:rsidRPr="00260B02">
        <w:rPr>
          <w:rFonts w:ascii="Arial Narrow" w:hAnsi="Arial Narrow"/>
          <w:b/>
          <w:sz w:val="20"/>
          <w:szCs w:val="22"/>
        </w:rPr>
        <w:t xml:space="preserve"> = 0.5 U/kg</w:t>
      </w:r>
    </w:p>
    <w:tbl>
      <w:tblPr>
        <w:tblStyle w:val="TableGrid"/>
        <w:tblW w:w="0" w:type="auto"/>
        <w:tblInd w:w="817" w:type="dxa"/>
        <w:tblLook w:val="04A0" w:firstRow="1" w:lastRow="0" w:firstColumn="1" w:lastColumn="0" w:noHBand="0" w:noVBand="1"/>
        <w:tblCaption w:val="Pharmacokinetic/Pharmacodynamic studies "/>
        <w:tblDescription w:val="Summary of study results"/>
      </w:tblPr>
      <w:tblGrid>
        <w:gridCol w:w="1816"/>
        <w:gridCol w:w="1987"/>
        <w:gridCol w:w="1672"/>
        <w:gridCol w:w="1672"/>
      </w:tblGrid>
      <w:tr w:rsidR="00CE7DE9" w:rsidRPr="00260B02" w:rsidTr="00E00C60">
        <w:trPr>
          <w:trHeight w:val="215"/>
        </w:trPr>
        <w:tc>
          <w:tcPr>
            <w:tcW w:w="3803" w:type="dxa"/>
            <w:gridSpan w:val="2"/>
          </w:tcPr>
          <w:p w:rsidR="00CE7DE9" w:rsidRPr="00260B02" w:rsidRDefault="00CE7DE9" w:rsidP="00653BAD">
            <w:pPr>
              <w:keepNext/>
              <w:keepLines/>
              <w:autoSpaceDE w:val="0"/>
              <w:autoSpaceDN w:val="0"/>
              <w:adjustRightInd w:val="0"/>
              <w:jc w:val="center"/>
              <w:rPr>
                <w:rFonts w:ascii="Arial Narrow" w:hAnsi="Arial Narrow" w:cs="Cambria"/>
                <w:sz w:val="20"/>
                <w:szCs w:val="20"/>
              </w:rPr>
            </w:pPr>
            <w:r w:rsidRPr="00260B02">
              <w:rPr>
                <w:rFonts w:ascii="Arial Narrow" w:hAnsi="Arial Narrow" w:cs="Cambria"/>
                <w:sz w:val="20"/>
                <w:szCs w:val="20"/>
              </w:rPr>
              <w:t>P</w:t>
            </w:r>
            <w:r w:rsidR="00653BAD" w:rsidRPr="00260B02">
              <w:rPr>
                <w:rFonts w:ascii="Arial Narrow" w:hAnsi="Arial Narrow" w:cs="Cambria"/>
                <w:sz w:val="20"/>
                <w:szCs w:val="20"/>
              </w:rPr>
              <w:t>harmacokinetic (PK)</w:t>
            </w:r>
            <w:r w:rsidRPr="00260B02">
              <w:rPr>
                <w:rFonts w:ascii="Arial Narrow" w:hAnsi="Arial Narrow" w:cs="Cambria"/>
                <w:sz w:val="20"/>
                <w:szCs w:val="20"/>
              </w:rPr>
              <w:t xml:space="preserve"> parameters</w:t>
            </w:r>
          </w:p>
        </w:tc>
        <w:tc>
          <w:tcPr>
            <w:tcW w:w="3344" w:type="dxa"/>
            <w:gridSpan w:val="2"/>
          </w:tcPr>
          <w:p w:rsidR="00CE7DE9" w:rsidRPr="00260B02" w:rsidRDefault="00653BAD" w:rsidP="009529A5">
            <w:pPr>
              <w:keepNext/>
              <w:keepLines/>
              <w:autoSpaceDE w:val="0"/>
              <w:autoSpaceDN w:val="0"/>
              <w:adjustRightInd w:val="0"/>
              <w:jc w:val="center"/>
              <w:rPr>
                <w:rFonts w:ascii="Arial Narrow" w:hAnsi="Arial Narrow" w:cs="Cambria"/>
                <w:sz w:val="20"/>
                <w:szCs w:val="20"/>
              </w:rPr>
            </w:pPr>
            <w:r w:rsidRPr="00260B02">
              <w:rPr>
                <w:rFonts w:ascii="Arial Narrow" w:hAnsi="Arial Narrow" w:cs="Cambria"/>
                <w:sz w:val="20"/>
                <w:szCs w:val="20"/>
              </w:rPr>
              <w:t>Pharamcodynamic (</w:t>
            </w:r>
            <w:r w:rsidR="00CE7DE9" w:rsidRPr="00260B02">
              <w:rPr>
                <w:rFonts w:ascii="Arial Narrow" w:hAnsi="Arial Narrow" w:cs="Cambria"/>
                <w:sz w:val="20"/>
                <w:szCs w:val="20"/>
              </w:rPr>
              <w:t>PD</w:t>
            </w:r>
            <w:r w:rsidRPr="00260B02">
              <w:rPr>
                <w:rFonts w:ascii="Arial Narrow" w:hAnsi="Arial Narrow" w:cs="Cambria"/>
                <w:sz w:val="20"/>
                <w:szCs w:val="20"/>
              </w:rPr>
              <w:t>)</w:t>
            </w:r>
            <w:r w:rsidR="00CE7DE9" w:rsidRPr="00260B02">
              <w:rPr>
                <w:rFonts w:ascii="Arial Narrow" w:hAnsi="Arial Narrow" w:cs="Cambria"/>
                <w:sz w:val="20"/>
                <w:szCs w:val="20"/>
              </w:rPr>
              <w:t xml:space="preserve"> parameters</w:t>
            </w:r>
          </w:p>
        </w:tc>
      </w:tr>
      <w:tr w:rsidR="00CE7DE9" w:rsidRPr="00260B02" w:rsidTr="007B6795">
        <w:trPr>
          <w:trHeight w:val="1372"/>
        </w:trPr>
        <w:tc>
          <w:tcPr>
            <w:tcW w:w="1816" w:type="dxa"/>
          </w:tcPr>
          <w:p w:rsidR="00CE7DE9" w:rsidRPr="00260B02" w:rsidRDefault="00CE7DE9" w:rsidP="009529A5">
            <w:pPr>
              <w:keepNext/>
              <w:keepLines/>
              <w:autoSpaceDE w:val="0"/>
              <w:autoSpaceDN w:val="0"/>
              <w:adjustRightInd w:val="0"/>
              <w:jc w:val="center"/>
              <w:rPr>
                <w:rFonts w:ascii="Arial Narrow" w:hAnsi="Arial Narrow" w:cs="Cambria"/>
                <w:sz w:val="20"/>
                <w:szCs w:val="20"/>
              </w:rPr>
            </w:pPr>
            <w:r w:rsidRPr="00260B02">
              <w:rPr>
                <w:rFonts w:ascii="Arial Narrow" w:hAnsi="Arial Narrow" w:cs="Cambria"/>
                <w:sz w:val="20"/>
                <w:szCs w:val="20"/>
              </w:rPr>
              <w:t>AUC[0</w:t>
            </w:r>
            <w:r w:rsidRPr="00260B02">
              <w:rPr>
                <w:rFonts w:ascii="Cambria Math" w:hAnsi="Cambria Math" w:cs="Cambria Math"/>
                <w:sz w:val="20"/>
                <w:szCs w:val="20"/>
              </w:rPr>
              <w:t>‐</w:t>
            </w:r>
            <w:r w:rsidRPr="00260B02">
              <w:rPr>
                <w:rFonts w:ascii="Arial Narrow" w:hAnsi="Arial Narrow" w:cs="Cambria"/>
                <w:sz w:val="20"/>
                <w:szCs w:val="20"/>
              </w:rPr>
              <w:t>24]</w:t>
            </w:r>
          </w:p>
          <w:p w:rsidR="00CE7DE9" w:rsidRPr="00260B02" w:rsidRDefault="00CE7DE9" w:rsidP="009529A5">
            <w:pPr>
              <w:keepNext/>
              <w:keepLines/>
              <w:autoSpaceDE w:val="0"/>
              <w:autoSpaceDN w:val="0"/>
              <w:adjustRightInd w:val="0"/>
              <w:jc w:val="center"/>
              <w:rPr>
                <w:rFonts w:ascii="Arial Narrow" w:hAnsi="Arial Narrow" w:cs="Cambria"/>
                <w:sz w:val="20"/>
                <w:szCs w:val="20"/>
              </w:rPr>
            </w:pPr>
            <w:r w:rsidRPr="00260B02">
              <w:rPr>
                <w:rFonts w:ascii="Arial Narrow" w:hAnsi="Arial Narrow" w:cs="Cambria"/>
                <w:sz w:val="20"/>
                <w:szCs w:val="20"/>
              </w:rPr>
              <w:t>pmol.hr/L</w:t>
            </w:r>
          </w:p>
          <w:p w:rsidR="00CE7DE9" w:rsidRPr="00260B02" w:rsidRDefault="00CE7DE9" w:rsidP="009529A5">
            <w:pPr>
              <w:keepNext/>
              <w:keepLines/>
              <w:autoSpaceDE w:val="0"/>
              <w:autoSpaceDN w:val="0"/>
              <w:adjustRightInd w:val="0"/>
              <w:jc w:val="center"/>
              <w:rPr>
                <w:rFonts w:ascii="Arial Narrow" w:hAnsi="Arial Narrow" w:cs="Cambria"/>
                <w:sz w:val="20"/>
                <w:szCs w:val="20"/>
              </w:rPr>
            </w:pPr>
            <w:r w:rsidRPr="00260B02">
              <w:rPr>
                <w:rFonts w:ascii="Arial Narrow" w:hAnsi="Arial Narrow" w:cs="Cambria"/>
                <w:sz w:val="20"/>
                <w:szCs w:val="20"/>
              </w:rPr>
              <w:t>n</w:t>
            </w:r>
          </w:p>
          <w:p w:rsidR="00CE7DE9" w:rsidRPr="00260B02" w:rsidRDefault="00CE7DE9" w:rsidP="009529A5">
            <w:pPr>
              <w:keepNext/>
              <w:keepLines/>
              <w:autoSpaceDE w:val="0"/>
              <w:autoSpaceDN w:val="0"/>
              <w:adjustRightInd w:val="0"/>
              <w:jc w:val="center"/>
              <w:rPr>
                <w:rFonts w:ascii="Arial Narrow" w:hAnsi="Arial Narrow" w:cs="Cambria"/>
                <w:sz w:val="20"/>
                <w:szCs w:val="20"/>
              </w:rPr>
            </w:pPr>
            <w:r w:rsidRPr="00260B02">
              <w:rPr>
                <w:rFonts w:ascii="Arial Narrow" w:hAnsi="Arial Narrow" w:cs="Cambria"/>
                <w:sz w:val="20"/>
                <w:szCs w:val="20"/>
              </w:rPr>
              <w:t>Point</w:t>
            </w:r>
          </w:p>
          <w:p w:rsidR="00CE7DE9" w:rsidRPr="00260B02" w:rsidRDefault="00CE7DE9" w:rsidP="009529A5">
            <w:pPr>
              <w:keepNext/>
              <w:keepLines/>
              <w:autoSpaceDE w:val="0"/>
              <w:autoSpaceDN w:val="0"/>
              <w:adjustRightInd w:val="0"/>
              <w:jc w:val="center"/>
              <w:rPr>
                <w:rFonts w:ascii="Arial Narrow" w:hAnsi="Arial Narrow" w:cs="Cambria"/>
                <w:sz w:val="20"/>
                <w:szCs w:val="20"/>
              </w:rPr>
            </w:pPr>
            <w:r w:rsidRPr="00260B02">
              <w:rPr>
                <w:rFonts w:ascii="Arial Narrow" w:hAnsi="Arial Narrow" w:cs="Cambria"/>
                <w:sz w:val="20"/>
                <w:szCs w:val="20"/>
              </w:rPr>
              <w:t>estimate</w:t>
            </w:r>
          </w:p>
          <w:p w:rsidR="00CE7DE9" w:rsidRPr="00260B02" w:rsidRDefault="00CE7DE9" w:rsidP="009529A5">
            <w:pPr>
              <w:keepNext/>
              <w:keepLines/>
              <w:autoSpaceDE w:val="0"/>
              <w:autoSpaceDN w:val="0"/>
              <w:adjustRightInd w:val="0"/>
              <w:jc w:val="center"/>
              <w:rPr>
                <w:rFonts w:ascii="Arial Narrow" w:hAnsi="Arial Narrow" w:cs="Cambria"/>
                <w:sz w:val="20"/>
                <w:szCs w:val="20"/>
              </w:rPr>
            </w:pPr>
            <w:r w:rsidRPr="00260B02">
              <w:rPr>
                <w:rFonts w:ascii="Arial Narrow" w:hAnsi="Arial Narrow" w:cs="Cambria"/>
                <w:sz w:val="20"/>
                <w:szCs w:val="20"/>
              </w:rPr>
              <w:t>(90% CI)</w:t>
            </w:r>
          </w:p>
        </w:tc>
        <w:tc>
          <w:tcPr>
            <w:tcW w:w="1987" w:type="dxa"/>
          </w:tcPr>
          <w:p w:rsidR="00CE7DE9" w:rsidRPr="00260B02" w:rsidRDefault="00CE7DE9" w:rsidP="009529A5">
            <w:pPr>
              <w:keepNext/>
              <w:keepLines/>
              <w:autoSpaceDE w:val="0"/>
              <w:autoSpaceDN w:val="0"/>
              <w:adjustRightInd w:val="0"/>
              <w:jc w:val="center"/>
              <w:rPr>
                <w:rFonts w:ascii="Arial Narrow" w:hAnsi="Arial Narrow" w:cs="Cambria"/>
                <w:sz w:val="20"/>
                <w:szCs w:val="20"/>
              </w:rPr>
            </w:pPr>
            <w:r w:rsidRPr="00260B02">
              <w:rPr>
                <w:rFonts w:ascii="Arial Narrow" w:hAnsi="Arial Narrow" w:cs="Cambria"/>
                <w:sz w:val="20"/>
                <w:szCs w:val="20"/>
              </w:rPr>
              <w:t>Cmax</w:t>
            </w:r>
          </w:p>
          <w:p w:rsidR="00CE7DE9" w:rsidRPr="00260B02" w:rsidRDefault="00CE7DE9" w:rsidP="009529A5">
            <w:pPr>
              <w:keepNext/>
              <w:keepLines/>
              <w:autoSpaceDE w:val="0"/>
              <w:autoSpaceDN w:val="0"/>
              <w:adjustRightInd w:val="0"/>
              <w:jc w:val="center"/>
              <w:rPr>
                <w:rFonts w:ascii="Arial Narrow" w:hAnsi="Arial Narrow" w:cs="Cambria"/>
                <w:sz w:val="20"/>
                <w:szCs w:val="20"/>
              </w:rPr>
            </w:pPr>
            <w:r w:rsidRPr="00260B02">
              <w:rPr>
                <w:rFonts w:ascii="Arial Narrow" w:hAnsi="Arial Narrow" w:cs="Cambria"/>
                <w:sz w:val="20"/>
                <w:szCs w:val="20"/>
              </w:rPr>
              <w:t>pmol/L</w:t>
            </w:r>
          </w:p>
          <w:p w:rsidR="00CE7DE9" w:rsidRPr="00260B02" w:rsidRDefault="00CE7DE9" w:rsidP="009529A5">
            <w:pPr>
              <w:keepNext/>
              <w:keepLines/>
              <w:autoSpaceDE w:val="0"/>
              <w:autoSpaceDN w:val="0"/>
              <w:adjustRightInd w:val="0"/>
              <w:jc w:val="center"/>
              <w:rPr>
                <w:rFonts w:ascii="Arial Narrow" w:hAnsi="Arial Narrow" w:cs="Cambria"/>
                <w:sz w:val="20"/>
                <w:szCs w:val="20"/>
              </w:rPr>
            </w:pPr>
            <w:r w:rsidRPr="00260B02">
              <w:rPr>
                <w:rFonts w:ascii="Arial Narrow" w:hAnsi="Arial Narrow" w:cs="Cambria"/>
                <w:sz w:val="20"/>
                <w:szCs w:val="20"/>
              </w:rPr>
              <w:t>n</w:t>
            </w:r>
          </w:p>
          <w:p w:rsidR="00CE7DE9" w:rsidRPr="00260B02" w:rsidRDefault="00CE7DE9" w:rsidP="009529A5">
            <w:pPr>
              <w:keepNext/>
              <w:keepLines/>
              <w:autoSpaceDE w:val="0"/>
              <w:autoSpaceDN w:val="0"/>
              <w:adjustRightInd w:val="0"/>
              <w:jc w:val="center"/>
              <w:rPr>
                <w:rFonts w:ascii="Arial Narrow" w:hAnsi="Arial Narrow" w:cs="Cambria"/>
                <w:sz w:val="20"/>
                <w:szCs w:val="20"/>
              </w:rPr>
            </w:pPr>
            <w:r w:rsidRPr="00260B02">
              <w:rPr>
                <w:rFonts w:ascii="Arial Narrow" w:hAnsi="Arial Narrow" w:cs="Cambria"/>
                <w:sz w:val="20"/>
                <w:szCs w:val="20"/>
              </w:rPr>
              <w:t>Point</w:t>
            </w:r>
          </w:p>
          <w:p w:rsidR="00CE7DE9" w:rsidRPr="00260B02" w:rsidRDefault="00CE7DE9" w:rsidP="009529A5">
            <w:pPr>
              <w:keepNext/>
              <w:keepLines/>
              <w:autoSpaceDE w:val="0"/>
              <w:autoSpaceDN w:val="0"/>
              <w:adjustRightInd w:val="0"/>
              <w:jc w:val="center"/>
              <w:rPr>
                <w:rFonts w:ascii="Arial Narrow" w:hAnsi="Arial Narrow" w:cs="Cambria"/>
                <w:sz w:val="20"/>
                <w:szCs w:val="20"/>
              </w:rPr>
            </w:pPr>
            <w:r w:rsidRPr="00260B02">
              <w:rPr>
                <w:rFonts w:ascii="Arial Narrow" w:hAnsi="Arial Narrow" w:cs="Cambria"/>
                <w:sz w:val="20"/>
                <w:szCs w:val="20"/>
              </w:rPr>
              <w:t>estimate</w:t>
            </w:r>
          </w:p>
          <w:p w:rsidR="00CE7DE9" w:rsidRPr="00260B02" w:rsidRDefault="00CE7DE9" w:rsidP="009529A5">
            <w:pPr>
              <w:keepNext/>
              <w:keepLines/>
              <w:autoSpaceDE w:val="0"/>
              <w:autoSpaceDN w:val="0"/>
              <w:adjustRightInd w:val="0"/>
              <w:jc w:val="center"/>
              <w:rPr>
                <w:rFonts w:ascii="Arial Narrow" w:hAnsi="Arial Narrow" w:cs="Cambria"/>
                <w:sz w:val="20"/>
                <w:szCs w:val="20"/>
              </w:rPr>
            </w:pPr>
            <w:r w:rsidRPr="00260B02">
              <w:rPr>
                <w:rFonts w:ascii="Arial Narrow" w:hAnsi="Arial Narrow" w:cs="Cambria"/>
                <w:sz w:val="20"/>
                <w:szCs w:val="20"/>
              </w:rPr>
              <w:t>(90% CI)</w:t>
            </w:r>
          </w:p>
        </w:tc>
        <w:tc>
          <w:tcPr>
            <w:tcW w:w="1672" w:type="dxa"/>
          </w:tcPr>
          <w:p w:rsidR="00CE7DE9" w:rsidRPr="00260B02" w:rsidRDefault="00CE7DE9" w:rsidP="009529A5">
            <w:pPr>
              <w:keepNext/>
              <w:keepLines/>
              <w:autoSpaceDE w:val="0"/>
              <w:autoSpaceDN w:val="0"/>
              <w:adjustRightInd w:val="0"/>
              <w:jc w:val="center"/>
              <w:rPr>
                <w:rFonts w:ascii="Arial Narrow" w:hAnsi="Arial Narrow" w:cs="Cambria"/>
                <w:sz w:val="20"/>
                <w:szCs w:val="20"/>
              </w:rPr>
            </w:pPr>
            <w:r w:rsidRPr="00260B02">
              <w:rPr>
                <w:rFonts w:ascii="Arial Narrow" w:hAnsi="Arial Narrow" w:cs="Cambria"/>
                <w:sz w:val="20"/>
                <w:szCs w:val="20"/>
              </w:rPr>
              <w:t>Gtot</w:t>
            </w:r>
          </w:p>
          <w:p w:rsidR="00CE7DE9" w:rsidRPr="00260B02" w:rsidRDefault="00CE7DE9" w:rsidP="009529A5">
            <w:pPr>
              <w:keepNext/>
              <w:keepLines/>
              <w:autoSpaceDE w:val="0"/>
              <w:autoSpaceDN w:val="0"/>
              <w:adjustRightInd w:val="0"/>
              <w:jc w:val="center"/>
              <w:rPr>
                <w:rFonts w:ascii="Arial Narrow" w:hAnsi="Arial Narrow" w:cs="Cambria"/>
                <w:sz w:val="20"/>
                <w:szCs w:val="20"/>
              </w:rPr>
            </w:pPr>
            <w:r w:rsidRPr="00260B02">
              <w:rPr>
                <w:rFonts w:ascii="Arial Narrow" w:hAnsi="Arial Narrow" w:cs="Cambria"/>
                <w:sz w:val="20"/>
                <w:szCs w:val="20"/>
              </w:rPr>
              <w:t>mg/Kg</w:t>
            </w:r>
          </w:p>
          <w:p w:rsidR="00CE7DE9" w:rsidRPr="00260B02" w:rsidRDefault="00CE7DE9" w:rsidP="009529A5">
            <w:pPr>
              <w:keepNext/>
              <w:keepLines/>
              <w:autoSpaceDE w:val="0"/>
              <w:autoSpaceDN w:val="0"/>
              <w:adjustRightInd w:val="0"/>
              <w:jc w:val="center"/>
              <w:rPr>
                <w:rFonts w:ascii="Arial Narrow" w:hAnsi="Arial Narrow" w:cs="Cambria"/>
                <w:sz w:val="20"/>
                <w:szCs w:val="20"/>
              </w:rPr>
            </w:pPr>
            <w:r w:rsidRPr="00260B02">
              <w:rPr>
                <w:rFonts w:ascii="Arial Narrow" w:hAnsi="Arial Narrow" w:cs="Cambria"/>
                <w:sz w:val="20"/>
                <w:szCs w:val="20"/>
              </w:rPr>
              <w:t>n</w:t>
            </w:r>
          </w:p>
          <w:p w:rsidR="00CE7DE9" w:rsidRPr="00260B02" w:rsidRDefault="00CE7DE9" w:rsidP="009529A5">
            <w:pPr>
              <w:keepNext/>
              <w:keepLines/>
              <w:autoSpaceDE w:val="0"/>
              <w:autoSpaceDN w:val="0"/>
              <w:adjustRightInd w:val="0"/>
              <w:jc w:val="center"/>
              <w:rPr>
                <w:rFonts w:ascii="Arial Narrow" w:hAnsi="Arial Narrow" w:cs="Cambria"/>
                <w:sz w:val="20"/>
                <w:szCs w:val="20"/>
              </w:rPr>
            </w:pPr>
            <w:r w:rsidRPr="00260B02">
              <w:rPr>
                <w:rFonts w:ascii="Arial Narrow" w:hAnsi="Arial Narrow" w:cs="Cambria"/>
                <w:sz w:val="20"/>
                <w:szCs w:val="20"/>
              </w:rPr>
              <w:t>Point</w:t>
            </w:r>
          </w:p>
          <w:p w:rsidR="00CE7DE9" w:rsidRPr="00260B02" w:rsidRDefault="00CE7DE9" w:rsidP="009529A5">
            <w:pPr>
              <w:keepNext/>
              <w:keepLines/>
              <w:autoSpaceDE w:val="0"/>
              <w:autoSpaceDN w:val="0"/>
              <w:adjustRightInd w:val="0"/>
              <w:jc w:val="center"/>
              <w:rPr>
                <w:rFonts w:ascii="Arial Narrow" w:hAnsi="Arial Narrow" w:cs="Cambria"/>
                <w:sz w:val="20"/>
                <w:szCs w:val="20"/>
              </w:rPr>
            </w:pPr>
            <w:r w:rsidRPr="00260B02">
              <w:rPr>
                <w:rFonts w:ascii="Arial Narrow" w:hAnsi="Arial Narrow" w:cs="Cambria"/>
                <w:sz w:val="20"/>
                <w:szCs w:val="20"/>
              </w:rPr>
              <w:t>estimate</w:t>
            </w:r>
          </w:p>
          <w:p w:rsidR="00CE7DE9" w:rsidRPr="00260B02" w:rsidRDefault="00CE7DE9" w:rsidP="009529A5">
            <w:pPr>
              <w:keepNext/>
              <w:keepLines/>
              <w:autoSpaceDE w:val="0"/>
              <w:autoSpaceDN w:val="0"/>
              <w:adjustRightInd w:val="0"/>
              <w:jc w:val="center"/>
              <w:rPr>
                <w:rFonts w:ascii="Arial Narrow" w:hAnsi="Arial Narrow" w:cs="Cambria"/>
                <w:sz w:val="20"/>
                <w:szCs w:val="20"/>
              </w:rPr>
            </w:pPr>
            <w:r w:rsidRPr="00260B02">
              <w:rPr>
                <w:rFonts w:ascii="Arial Narrow" w:hAnsi="Arial Narrow" w:cs="Cambria"/>
                <w:sz w:val="20"/>
                <w:szCs w:val="20"/>
              </w:rPr>
              <w:t>[95% CI]</w:t>
            </w:r>
          </w:p>
        </w:tc>
        <w:tc>
          <w:tcPr>
            <w:tcW w:w="1672" w:type="dxa"/>
          </w:tcPr>
          <w:p w:rsidR="00CE7DE9" w:rsidRPr="00260B02" w:rsidRDefault="00CE7DE9" w:rsidP="009529A5">
            <w:pPr>
              <w:keepNext/>
              <w:keepLines/>
              <w:autoSpaceDE w:val="0"/>
              <w:autoSpaceDN w:val="0"/>
              <w:adjustRightInd w:val="0"/>
              <w:jc w:val="center"/>
              <w:rPr>
                <w:rFonts w:ascii="Arial Narrow" w:hAnsi="Arial Narrow" w:cs="Cambria"/>
                <w:sz w:val="20"/>
                <w:szCs w:val="20"/>
              </w:rPr>
            </w:pPr>
            <w:r w:rsidRPr="00260B02">
              <w:rPr>
                <w:rFonts w:ascii="Arial Narrow" w:hAnsi="Arial Narrow" w:cs="Cambria"/>
                <w:sz w:val="20"/>
                <w:szCs w:val="20"/>
              </w:rPr>
              <w:t>Rmax</w:t>
            </w:r>
          </w:p>
          <w:p w:rsidR="00CE7DE9" w:rsidRPr="00260B02" w:rsidRDefault="00CE7DE9" w:rsidP="009529A5">
            <w:pPr>
              <w:keepNext/>
              <w:keepLines/>
              <w:autoSpaceDE w:val="0"/>
              <w:autoSpaceDN w:val="0"/>
              <w:adjustRightInd w:val="0"/>
              <w:jc w:val="center"/>
              <w:rPr>
                <w:rFonts w:ascii="Arial Narrow" w:hAnsi="Arial Narrow" w:cs="Cambria"/>
                <w:sz w:val="20"/>
                <w:szCs w:val="20"/>
              </w:rPr>
            </w:pPr>
            <w:r w:rsidRPr="00260B02">
              <w:rPr>
                <w:rFonts w:ascii="Arial Narrow" w:hAnsi="Arial Narrow" w:cs="Cambria"/>
                <w:sz w:val="20"/>
                <w:szCs w:val="20"/>
              </w:rPr>
              <w:t>mg/Kg</w:t>
            </w:r>
          </w:p>
          <w:p w:rsidR="00CE7DE9" w:rsidRPr="00260B02" w:rsidRDefault="00CE7DE9" w:rsidP="009529A5">
            <w:pPr>
              <w:keepNext/>
              <w:keepLines/>
              <w:autoSpaceDE w:val="0"/>
              <w:autoSpaceDN w:val="0"/>
              <w:adjustRightInd w:val="0"/>
              <w:jc w:val="center"/>
              <w:rPr>
                <w:rFonts w:ascii="Arial Narrow" w:hAnsi="Arial Narrow" w:cs="Cambria"/>
                <w:sz w:val="20"/>
                <w:szCs w:val="20"/>
              </w:rPr>
            </w:pPr>
            <w:r w:rsidRPr="00260B02">
              <w:rPr>
                <w:rFonts w:ascii="Arial Narrow" w:hAnsi="Arial Narrow" w:cs="Cambria"/>
                <w:sz w:val="20"/>
                <w:szCs w:val="20"/>
              </w:rPr>
              <w:t>n</w:t>
            </w:r>
          </w:p>
          <w:p w:rsidR="00CE7DE9" w:rsidRPr="00260B02" w:rsidRDefault="00CE7DE9" w:rsidP="009529A5">
            <w:pPr>
              <w:keepNext/>
              <w:keepLines/>
              <w:autoSpaceDE w:val="0"/>
              <w:autoSpaceDN w:val="0"/>
              <w:adjustRightInd w:val="0"/>
              <w:jc w:val="center"/>
              <w:rPr>
                <w:rFonts w:ascii="Arial Narrow" w:hAnsi="Arial Narrow" w:cs="Cambria"/>
                <w:sz w:val="20"/>
                <w:szCs w:val="20"/>
              </w:rPr>
            </w:pPr>
            <w:r w:rsidRPr="00260B02">
              <w:rPr>
                <w:rFonts w:ascii="Arial Narrow" w:hAnsi="Arial Narrow" w:cs="Cambria"/>
                <w:sz w:val="20"/>
                <w:szCs w:val="20"/>
              </w:rPr>
              <w:t>Point</w:t>
            </w:r>
          </w:p>
          <w:p w:rsidR="00CE7DE9" w:rsidRPr="00260B02" w:rsidRDefault="00CE7DE9" w:rsidP="009529A5">
            <w:pPr>
              <w:keepNext/>
              <w:keepLines/>
              <w:autoSpaceDE w:val="0"/>
              <w:autoSpaceDN w:val="0"/>
              <w:adjustRightInd w:val="0"/>
              <w:jc w:val="center"/>
              <w:rPr>
                <w:rFonts w:ascii="Arial Narrow" w:hAnsi="Arial Narrow" w:cs="Cambria"/>
                <w:sz w:val="20"/>
                <w:szCs w:val="20"/>
              </w:rPr>
            </w:pPr>
            <w:r w:rsidRPr="00260B02">
              <w:rPr>
                <w:rFonts w:ascii="Arial Narrow" w:hAnsi="Arial Narrow" w:cs="Cambria"/>
                <w:sz w:val="20"/>
                <w:szCs w:val="20"/>
              </w:rPr>
              <w:t>estimate</w:t>
            </w:r>
          </w:p>
          <w:p w:rsidR="00CE7DE9" w:rsidRPr="00260B02" w:rsidRDefault="00CE7DE9" w:rsidP="009529A5">
            <w:pPr>
              <w:keepNext/>
              <w:keepLines/>
              <w:autoSpaceDE w:val="0"/>
              <w:autoSpaceDN w:val="0"/>
              <w:adjustRightInd w:val="0"/>
              <w:jc w:val="center"/>
              <w:rPr>
                <w:rFonts w:ascii="Arial Narrow" w:hAnsi="Arial Narrow" w:cs="Cambria"/>
                <w:sz w:val="20"/>
                <w:szCs w:val="20"/>
              </w:rPr>
            </w:pPr>
            <w:r w:rsidRPr="00260B02">
              <w:rPr>
                <w:rFonts w:ascii="Arial Narrow" w:hAnsi="Arial Narrow" w:cs="Cambria"/>
                <w:sz w:val="20"/>
                <w:szCs w:val="20"/>
              </w:rPr>
              <w:t>[95% CI]</w:t>
            </w:r>
          </w:p>
        </w:tc>
      </w:tr>
      <w:tr w:rsidR="00CE7DE9" w:rsidRPr="00260B02" w:rsidTr="007B6795">
        <w:trPr>
          <w:trHeight w:val="682"/>
        </w:trPr>
        <w:tc>
          <w:tcPr>
            <w:tcW w:w="1816" w:type="dxa"/>
          </w:tcPr>
          <w:p w:rsidR="00CE7DE9" w:rsidRPr="00260B02" w:rsidRDefault="00CE7DE9" w:rsidP="009529A5">
            <w:pPr>
              <w:keepNext/>
              <w:keepLines/>
              <w:autoSpaceDE w:val="0"/>
              <w:autoSpaceDN w:val="0"/>
              <w:adjustRightInd w:val="0"/>
              <w:jc w:val="center"/>
              <w:rPr>
                <w:rFonts w:ascii="Arial Narrow" w:hAnsi="Arial Narrow" w:cs="Cambria"/>
                <w:sz w:val="20"/>
                <w:szCs w:val="20"/>
              </w:rPr>
            </w:pPr>
            <w:r w:rsidRPr="00260B02">
              <w:rPr>
                <w:rFonts w:ascii="Arial Narrow" w:hAnsi="Arial Narrow" w:cs="Cambria"/>
                <w:sz w:val="20"/>
                <w:szCs w:val="20"/>
              </w:rPr>
              <w:t>N = 76</w:t>
            </w:r>
          </w:p>
          <w:p w:rsidR="00CE7DE9" w:rsidRPr="00260B02" w:rsidRDefault="00CE7DE9" w:rsidP="009529A5">
            <w:pPr>
              <w:keepNext/>
              <w:keepLines/>
              <w:autoSpaceDE w:val="0"/>
              <w:autoSpaceDN w:val="0"/>
              <w:adjustRightInd w:val="0"/>
              <w:jc w:val="center"/>
              <w:rPr>
                <w:rFonts w:ascii="Arial Narrow" w:hAnsi="Arial Narrow" w:cs="Cambria"/>
                <w:sz w:val="20"/>
                <w:szCs w:val="20"/>
              </w:rPr>
            </w:pPr>
            <w:r w:rsidRPr="00260B02">
              <w:rPr>
                <w:rFonts w:ascii="Arial Narrow" w:hAnsi="Arial Narrow" w:cs="Cambria"/>
                <w:sz w:val="20"/>
                <w:szCs w:val="20"/>
              </w:rPr>
              <w:t>0.91</w:t>
            </w:r>
          </w:p>
          <w:p w:rsidR="00CE7DE9" w:rsidRPr="00260B02" w:rsidRDefault="00CE7DE9" w:rsidP="009529A5">
            <w:pPr>
              <w:keepNext/>
              <w:keepLines/>
              <w:autoSpaceDE w:val="0"/>
              <w:autoSpaceDN w:val="0"/>
              <w:adjustRightInd w:val="0"/>
              <w:jc w:val="center"/>
              <w:rPr>
                <w:rFonts w:ascii="Arial Narrow" w:hAnsi="Arial Narrow" w:cs="Cambria"/>
                <w:sz w:val="20"/>
                <w:szCs w:val="20"/>
              </w:rPr>
            </w:pPr>
            <w:r w:rsidRPr="00260B02">
              <w:rPr>
                <w:rFonts w:ascii="Arial Narrow" w:hAnsi="Arial Narrow" w:cs="Cambria"/>
                <w:sz w:val="20"/>
                <w:szCs w:val="20"/>
              </w:rPr>
              <w:t>(0.87, 0.96)</w:t>
            </w:r>
          </w:p>
        </w:tc>
        <w:tc>
          <w:tcPr>
            <w:tcW w:w="1987" w:type="dxa"/>
          </w:tcPr>
          <w:p w:rsidR="00CE7DE9" w:rsidRPr="00260B02" w:rsidRDefault="00CE7DE9" w:rsidP="009529A5">
            <w:pPr>
              <w:keepNext/>
              <w:keepLines/>
              <w:autoSpaceDE w:val="0"/>
              <w:autoSpaceDN w:val="0"/>
              <w:adjustRightInd w:val="0"/>
              <w:jc w:val="center"/>
              <w:rPr>
                <w:rFonts w:ascii="Arial Narrow" w:hAnsi="Arial Narrow" w:cs="Cambria"/>
                <w:sz w:val="20"/>
                <w:szCs w:val="20"/>
              </w:rPr>
            </w:pPr>
            <w:r w:rsidRPr="00260B02">
              <w:rPr>
                <w:rFonts w:ascii="Arial Narrow" w:hAnsi="Arial Narrow" w:cs="Cambria"/>
                <w:sz w:val="20"/>
                <w:szCs w:val="20"/>
              </w:rPr>
              <w:t>n=78</w:t>
            </w:r>
          </w:p>
          <w:p w:rsidR="00CE7DE9" w:rsidRPr="00260B02" w:rsidRDefault="00CE7DE9" w:rsidP="009529A5">
            <w:pPr>
              <w:keepNext/>
              <w:keepLines/>
              <w:autoSpaceDE w:val="0"/>
              <w:autoSpaceDN w:val="0"/>
              <w:adjustRightInd w:val="0"/>
              <w:jc w:val="center"/>
              <w:rPr>
                <w:rFonts w:ascii="Arial Narrow" w:hAnsi="Arial Narrow" w:cs="Cambria"/>
                <w:sz w:val="20"/>
                <w:szCs w:val="20"/>
              </w:rPr>
            </w:pPr>
            <w:r w:rsidRPr="00260B02">
              <w:rPr>
                <w:rFonts w:ascii="Arial Narrow" w:hAnsi="Arial Narrow" w:cs="Cambria"/>
                <w:sz w:val="20"/>
                <w:szCs w:val="20"/>
              </w:rPr>
              <w:t>0.95</w:t>
            </w:r>
          </w:p>
          <w:p w:rsidR="00CE7DE9" w:rsidRPr="00260B02" w:rsidRDefault="00CE7DE9" w:rsidP="009529A5">
            <w:pPr>
              <w:keepNext/>
              <w:keepLines/>
              <w:autoSpaceDE w:val="0"/>
              <w:autoSpaceDN w:val="0"/>
              <w:adjustRightInd w:val="0"/>
              <w:jc w:val="center"/>
              <w:rPr>
                <w:rFonts w:ascii="Arial Narrow" w:hAnsi="Arial Narrow" w:cs="Cambria"/>
                <w:sz w:val="20"/>
                <w:szCs w:val="20"/>
              </w:rPr>
            </w:pPr>
            <w:r w:rsidRPr="00260B02">
              <w:rPr>
                <w:rFonts w:ascii="Arial Narrow" w:hAnsi="Arial Narrow" w:cs="Cambria"/>
                <w:sz w:val="20"/>
                <w:szCs w:val="20"/>
              </w:rPr>
              <w:t>(0.91, 1.00)</w:t>
            </w:r>
          </w:p>
        </w:tc>
        <w:tc>
          <w:tcPr>
            <w:tcW w:w="1672" w:type="dxa"/>
          </w:tcPr>
          <w:p w:rsidR="00CE7DE9" w:rsidRPr="00260B02" w:rsidRDefault="00CE7DE9" w:rsidP="009529A5">
            <w:pPr>
              <w:keepNext/>
              <w:keepLines/>
              <w:autoSpaceDE w:val="0"/>
              <w:autoSpaceDN w:val="0"/>
              <w:adjustRightInd w:val="0"/>
              <w:jc w:val="center"/>
              <w:rPr>
                <w:rFonts w:ascii="Arial Narrow" w:hAnsi="Arial Narrow" w:cs="Cambria"/>
                <w:sz w:val="20"/>
                <w:szCs w:val="20"/>
              </w:rPr>
            </w:pPr>
            <w:r w:rsidRPr="00260B02">
              <w:rPr>
                <w:rFonts w:ascii="Arial Narrow" w:hAnsi="Arial Narrow" w:cs="Cambria"/>
                <w:sz w:val="20"/>
                <w:szCs w:val="20"/>
              </w:rPr>
              <w:t>n=78</w:t>
            </w:r>
          </w:p>
          <w:p w:rsidR="00CE7DE9" w:rsidRPr="00260B02" w:rsidRDefault="00CE7DE9" w:rsidP="009529A5">
            <w:pPr>
              <w:keepNext/>
              <w:keepLines/>
              <w:autoSpaceDE w:val="0"/>
              <w:autoSpaceDN w:val="0"/>
              <w:adjustRightInd w:val="0"/>
              <w:jc w:val="center"/>
              <w:rPr>
                <w:rFonts w:ascii="Arial Narrow" w:hAnsi="Arial Narrow" w:cs="Cambria"/>
                <w:sz w:val="20"/>
                <w:szCs w:val="20"/>
              </w:rPr>
            </w:pPr>
            <w:r w:rsidRPr="00260B02">
              <w:rPr>
                <w:rFonts w:ascii="Arial Narrow" w:hAnsi="Arial Narrow" w:cs="Cambria"/>
                <w:sz w:val="20"/>
                <w:szCs w:val="20"/>
              </w:rPr>
              <w:t>0.95</w:t>
            </w:r>
          </w:p>
          <w:p w:rsidR="00CE7DE9" w:rsidRPr="00260B02" w:rsidRDefault="00CE7DE9" w:rsidP="009529A5">
            <w:pPr>
              <w:keepNext/>
              <w:keepLines/>
              <w:autoSpaceDE w:val="0"/>
              <w:autoSpaceDN w:val="0"/>
              <w:adjustRightInd w:val="0"/>
              <w:jc w:val="center"/>
              <w:rPr>
                <w:rFonts w:ascii="Arial Narrow" w:hAnsi="Arial Narrow" w:cs="Cambria"/>
                <w:sz w:val="20"/>
                <w:szCs w:val="20"/>
              </w:rPr>
            </w:pPr>
            <w:r w:rsidRPr="00260B02">
              <w:rPr>
                <w:rFonts w:ascii="Arial Narrow" w:hAnsi="Arial Narrow" w:cs="Cambria"/>
                <w:sz w:val="20"/>
                <w:szCs w:val="20"/>
              </w:rPr>
              <w:t>[0.90, 1.01]</w:t>
            </w:r>
          </w:p>
        </w:tc>
        <w:tc>
          <w:tcPr>
            <w:tcW w:w="1672" w:type="dxa"/>
          </w:tcPr>
          <w:p w:rsidR="00CE7DE9" w:rsidRPr="00260B02" w:rsidRDefault="00CE7DE9" w:rsidP="009529A5">
            <w:pPr>
              <w:keepNext/>
              <w:keepLines/>
              <w:autoSpaceDE w:val="0"/>
              <w:autoSpaceDN w:val="0"/>
              <w:adjustRightInd w:val="0"/>
              <w:jc w:val="center"/>
              <w:rPr>
                <w:rFonts w:ascii="Arial Narrow" w:hAnsi="Arial Narrow" w:cs="Cambria"/>
                <w:sz w:val="20"/>
                <w:szCs w:val="20"/>
              </w:rPr>
            </w:pPr>
            <w:r w:rsidRPr="00260B02">
              <w:rPr>
                <w:rFonts w:ascii="Arial Narrow" w:hAnsi="Arial Narrow" w:cs="Cambria"/>
                <w:sz w:val="20"/>
                <w:szCs w:val="20"/>
              </w:rPr>
              <w:t>n=78</w:t>
            </w:r>
          </w:p>
          <w:p w:rsidR="00CE7DE9" w:rsidRPr="00260B02" w:rsidRDefault="00CE7DE9" w:rsidP="009529A5">
            <w:pPr>
              <w:keepNext/>
              <w:keepLines/>
              <w:autoSpaceDE w:val="0"/>
              <w:autoSpaceDN w:val="0"/>
              <w:adjustRightInd w:val="0"/>
              <w:jc w:val="center"/>
              <w:rPr>
                <w:rFonts w:ascii="Arial Narrow" w:hAnsi="Arial Narrow" w:cs="Cambria"/>
                <w:sz w:val="20"/>
                <w:szCs w:val="20"/>
              </w:rPr>
            </w:pPr>
            <w:r w:rsidRPr="00260B02">
              <w:rPr>
                <w:rFonts w:ascii="Arial Narrow" w:hAnsi="Arial Narrow" w:cs="Cambria"/>
                <w:sz w:val="20"/>
                <w:szCs w:val="20"/>
              </w:rPr>
              <w:t>0.99</w:t>
            </w:r>
          </w:p>
          <w:p w:rsidR="00CE7DE9" w:rsidRPr="00260B02" w:rsidRDefault="00CE7DE9" w:rsidP="009529A5">
            <w:pPr>
              <w:keepNext/>
              <w:keepLines/>
              <w:autoSpaceDE w:val="0"/>
              <w:autoSpaceDN w:val="0"/>
              <w:adjustRightInd w:val="0"/>
              <w:jc w:val="center"/>
              <w:rPr>
                <w:rFonts w:ascii="Arial Narrow" w:hAnsi="Arial Narrow" w:cs="Cambria"/>
                <w:sz w:val="20"/>
                <w:szCs w:val="20"/>
              </w:rPr>
            </w:pPr>
            <w:r w:rsidRPr="00260B02">
              <w:rPr>
                <w:rFonts w:ascii="Arial Narrow" w:hAnsi="Arial Narrow" w:cs="Cambria"/>
                <w:sz w:val="20"/>
                <w:szCs w:val="20"/>
              </w:rPr>
              <w:t>[0.93, 1.05]</w:t>
            </w:r>
          </w:p>
        </w:tc>
      </w:tr>
    </w:tbl>
    <w:p w:rsidR="00CE7DE9" w:rsidRPr="00260B02" w:rsidRDefault="00E00C60" w:rsidP="009529A5">
      <w:pPr>
        <w:pStyle w:val="ListParagraph"/>
        <w:keepNext/>
        <w:keepLines/>
        <w:tabs>
          <w:tab w:val="left" w:pos="1950"/>
        </w:tabs>
        <w:ind w:left="360"/>
        <w:jc w:val="both"/>
        <w:rPr>
          <w:rFonts w:ascii="Arial Narrow" w:hAnsi="Arial Narrow"/>
          <w:sz w:val="18"/>
          <w:szCs w:val="22"/>
        </w:rPr>
      </w:pPr>
      <w:r w:rsidRPr="00260B02">
        <w:rPr>
          <w:rFonts w:ascii="Arial Narrow" w:hAnsi="Arial Narrow"/>
          <w:sz w:val="18"/>
          <w:szCs w:val="22"/>
        </w:rPr>
        <w:t xml:space="preserve">      </w:t>
      </w:r>
      <w:r w:rsidR="00CE7DE9" w:rsidRPr="00260B02">
        <w:rPr>
          <w:rFonts w:ascii="Arial Narrow" w:hAnsi="Arial Narrow"/>
          <w:sz w:val="18"/>
          <w:szCs w:val="22"/>
        </w:rPr>
        <w:t>Source: TGA Delegate</w:t>
      </w:r>
      <w:r w:rsidR="00A275A0" w:rsidRPr="00260B02">
        <w:rPr>
          <w:rFonts w:ascii="Arial Narrow" w:hAnsi="Arial Narrow"/>
          <w:sz w:val="18"/>
          <w:szCs w:val="22"/>
        </w:rPr>
        <w:t>’</w:t>
      </w:r>
      <w:r w:rsidR="00CE7DE9" w:rsidRPr="00260B02">
        <w:rPr>
          <w:rFonts w:ascii="Arial Narrow" w:hAnsi="Arial Narrow"/>
          <w:sz w:val="18"/>
          <w:szCs w:val="22"/>
        </w:rPr>
        <w:t>s Overview (p6)</w:t>
      </w:r>
    </w:p>
    <w:p w:rsidR="00E00C60" w:rsidRPr="00260B02" w:rsidRDefault="00E00C60" w:rsidP="009529A5">
      <w:pPr>
        <w:pStyle w:val="ListParagraph"/>
        <w:keepNext/>
        <w:keepLines/>
        <w:tabs>
          <w:tab w:val="left" w:pos="1950"/>
        </w:tabs>
        <w:ind w:left="360"/>
        <w:jc w:val="both"/>
        <w:rPr>
          <w:rFonts w:ascii="Arial Narrow" w:hAnsi="Arial Narrow"/>
          <w:sz w:val="18"/>
          <w:szCs w:val="22"/>
        </w:rPr>
      </w:pPr>
      <w:r w:rsidRPr="00260B02">
        <w:rPr>
          <w:rFonts w:ascii="Arial Narrow" w:hAnsi="Arial Narrow"/>
          <w:sz w:val="18"/>
          <w:szCs w:val="22"/>
        </w:rPr>
        <w:t xml:space="preserve">      Abbreviations:  Gtot (total amount of glucose infused during the euglycaemic clamp procedure)</w:t>
      </w:r>
    </w:p>
    <w:p w:rsidR="00E00C60" w:rsidRPr="00260B02" w:rsidRDefault="00E00C60" w:rsidP="009529A5">
      <w:pPr>
        <w:pStyle w:val="ListParagraph"/>
        <w:keepNext/>
        <w:keepLines/>
        <w:tabs>
          <w:tab w:val="left" w:pos="1950"/>
        </w:tabs>
        <w:ind w:left="360"/>
        <w:jc w:val="both"/>
        <w:rPr>
          <w:rFonts w:ascii="Arial Narrow" w:hAnsi="Arial Narrow"/>
          <w:sz w:val="18"/>
          <w:szCs w:val="22"/>
        </w:rPr>
      </w:pPr>
      <w:r w:rsidRPr="00260B02">
        <w:rPr>
          <w:rFonts w:ascii="Arial Narrow" w:hAnsi="Arial Narrow"/>
          <w:sz w:val="18"/>
          <w:szCs w:val="22"/>
        </w:rPr>
        <w:t xml:space="preserve">      Rmax (maximum glucose infusion rate)</w:t>
      </w:r>
    </w:p>
    <w:p w:rsidR="00B40C0F" w:rsidRPr="00260B02" w:rsidRDefault="00B40C0F" w:rsidP="00D558B1">
      <w:pPr>
        <w:rPr>
          <w:rFonts w:asciiTheme="minorHAnsi" w:hAnsiTheme="minorHAnsi" w:cstheme="minorHAnsi"/>
        </w:rPr>
      </w:pPr>
    </w:p>
    <w:p w:rsidR="00952CDE" w:rsidRPr="00260B02" w:rsidRDefault="00C82D2A" w:rsidP="00DD0588">
      <w:pPr>
        <w:pStyle w:val="ListParagraph"/>
        <w:numPr>
          <w:ilvl w:val="1"/>
          <w:numId w:val="25"/>
        </w:numPr>
        <w:jc w:val="both"/>
        <w:rPr>
          <w:rFonts w:ascii="Arial" w:hAnsi="Arial" w:cs="Arial"/>
          <w:sz w:val="22"/>
          <w:szCs w:val="22"/>
        </w:rPr>
      </w:pPr>
      <w:r w:rsidRPr="00260B02">
        <w:rPr>
          <w:rFonts w:ascii="Arial" w:hAnsi="Arial" w:cs="Arial"/>
          <w:sz w:val="22"/>
          <w:szCs w:val="22"/>
        </w:rPr>
        <w:t xml:space="preserve">The Clinical Evaluation Report stated that </w:t>
      </w:r>
      <w:r w:rsidR="00554318" w:rsidRPr="00260B02">
        <w:rPr>
          <w:rFonts w:ascii="Arial" w:hAnsi="Arial" w:cs="Arial"/>
          <w:sz w:val="22"/>
          <w:szCs w:val="22"/>
        </w:rPr>
        <w:t>“</w:t>
      </w:r>
      <w:r w:rsidR="0006788D" w:rsidRPr="00260B02">
        <w:rPr>
          <w:rFonts w:ascii="Arial" w:hAnsi="Arial" w:cs="Arial"/>
          <w:sz w:val="22"/>
          <w:szCs w:val="22"/>
        </w:rPr>
        <w:t xml:space="preserve">The AUC and Cmax were indicative of biosimilarity using the 90% confidence intervals of 80%-125% acceptance limits. </w:t>
      </w:r>
      <w:r w:rsidR="00B40C0F" w:rsidRPr="00260B02">
        <w:rPr>
          <w:rFonts w:ascii="Arial" w:hAnsi="Arial" w:cs="Arial"/>
          <w:sz w:val="22"/>
          <w:szCs w:val="22"/>
        </w:rPr>
        <w:t>The comparative PK and PD studies demonstrated highly similar PK and PD of Basaglar to Lantus (ABEA) within predefined b</w:t>
      </w:r>
      <w:r w:rsidR="00554318" w:rsidRPr="00260B02">
        <w:rPr>
          <w:rFonts w:ascii="Arial" w:hAnsi="Arial" w:cs="Arial"/>
          <w:sz w:val="22"/>
          <w:szCs w:val="22"/>
        </w:rPr>
        <w:t>ioequivalence acceptance limits”</w:t>
      </w:r>
      <w:r w:rsidR="00B40C0F" w:rsidRPr="00260B02">
        <w:rPr>
          <w:rFonts w:ascii="Arial" w:hAnsi="Arial" w:cs="Arial"/>
          <w:sz w:val="22"/>
          <w:szCs w:val="22"/>
        </w:rPr>
        <w:t xml:space="preserve"> </w:t>
      </w:r>
      <w:r w:rsidR="0038309C" w:rsidRPr="00260B02">
        <w:rPr>
          <w:rFonts w:ascii="Arial" w:hAnsi="Arial" w:cs="Arial"/>
          <w:sz w:val="22"/>
          <w:szCs w:val="22"/>
        </w:rPr>
        <w:t>(p</w:t>
      </w:r>
      <w:r w:rsidRPr="00260B02">
        <w:rPr>
          <w:rFonts w:ascii="Arial" w:hAnsi="Arial" w:cs="Arial"/>
          <w:sz w:val="22"/>
          <w:szCs w:val="22"/>
        </w:rPr>
        <w:t xml:space="preserve"> </w:t>
      </w:r>
      <w:r w:rsidR="0038309C" w:rsidRPr="00260B02">
        <w:rPr>
          <w:rFonts w:ascii="Arial" w:hAnsi="Arial" w:cs="Arial"/>
          <w:sz w:val="22"/>
          <w:szCs w:val="22"/>
        </w:rPr>
        <w:t>14</w:t>
      </w:r>
      <w:r w:rsidR="0006788D" w:rsidRPr="00260B02">
        <w:rPr>
          <w:rFonts w:ascii="Arial" w:hAnsi="Arial" w:cs="Arial"/>
          <w:sz w:val="22"/>
          <w:szCs w:val="22"/>
        </w:rPr>
        <w:t>)</w:t>
      </w:r>
      <w:r w:rsidR="0038309C" w:rsidRPr="00260B02">
        <w:rPr>
          <w:rFonts w:ascii="Arial" w:hAnsi="Arial" w:cs="Arial"/>
          <w:sz w:val="22"/>
          <w:szCs w:val="22"/>
        </w:rPr>
        <w:t xml:space="preserve">. </w:t>
      </w:r>
    </w:p>
    <w:p w:rsidR="00952CDE" w:rsidRPr="00260B02" w:rsidRDefault="00952CDE" w:rsidP="007B6795">
      <w:pPr>
        <w:pStyle w:val="ListParagraph"/>
        <w:ind w:left="709"/>
        <w:jc w:val="both"/>
        <w:rPr>
          <w:rFonts w:ascii="Arial" w:hAnsi="Arial" w:cs="Arial"/>
          <w:sz w:val="22"/>
          <w:szCs w:val="22"/>
        </w:rPr>
      </w:pPr>
    </w:p>
    <w:p w:rsidR="00B92A16" w:rsidRPr="00260B02" w:rsidRDefault="000E531C" w:rsidP="00DD0588">
      <w:pPr>
        <w:pStyle w:val="ListParagraph"/>
        <w:numPr>
          <w:ilvl w:val="1"/>
          <w:numId w:val="25"/>
        </w:numPr>
        <w:jc w:val="both"/>
        <w:rPr>
          <w:rFonts w:ascii="Arial" w:hAnsi="Arial" w:cs="Arial"/>
          <w:sz w:val="22"/>
          <w:szCs w:val="22"/>
        </w:rPr>
      </w:pPr>
      <w:r w:rsidRPr="00260B02">
        <w:rPr>
          <w:rFonts w:ascii="Arial" w:hAnsi="Arial" w:cs="Arial"/>
          <w:sz w:val="22"/>
          <w:szCs w:val="22"/>
        </w:rPr>
        <w:lastRenderedPageBreak/>
        <w:t xml:space="preserve">The ACPM ‘advised that acceptable similarity between Abasria </w:t>
      </w:r>
      <w:r w:rsidR="005842D6" w:rsidRPr="00260B02">
        <w:rPr>
          <w:rFonts w:ascii="Arial" w:hAnsi="Arial" w:cs="Arial"/>
          <w:sz w:val="22"/>
          <w:szCs w:val="22"/>
        </w:rPr>
        <w:t xml:space="preserve">(Basaglar) </w:t>
      </w:r>
      <w:r w:rsidRPr="00260B02">
        <w:rPr>
          <w:rFonts w:ascii="Arial" w:hAnsi="Arial" w:cs="Arial"/>
          <w:sz w:val="22"/>
          <w:szCs w:val="22"/>
        </w:rPr>
        <w:t>and Lantus had been demonstrated by the PK and PD studies’ (page 2 of ACPM Ratified minutes).</w:t>
      </w:r>
      <w:r w:rsidR="00B92A16" w:rsidRPr="00260B02">
        <w:rPr>
          <w:rFonts w:ascii="Arial" w:hAnsi="Arial" w:cs="Arial"/>
          <w:sz w:val="22"/>
          <w:szCs w:val="22"/>
        </w:rPr>
        <w:br/>
      </w:r>
    </w:p>
    <w:p w:rsidR="00B92A16" w:rsidRPr="00260B02" w:rsidRDefault="00B92A16" w:rsidP="00B92A16">
      <w:pPr>
        <w:pStyle w:val="ListParagraph"/>
        <w:ind w:left="360" w:firstLine="349"/>
        <w:rPr>
          <w:rFonts w:ascii="Arial" w:hAnsi="Arial" w:cs="Arial"/>
          <w:i/>
          <w:sz w:val="22"/>
          <w:szCs w:val="22"/>
        </w:rPr>
      </w:pPr>
      <w:r w:rsidRPr="00260B02">
        <w:rPr>
          <w:rFonts w:ascii="Arial" w:hAnsi="Arial" w:cs="Arial"/>
          <w:i/>
          <w:sz w:val="22"/>
          <w:szCs w:val="22"/>
        </w:rPr>
        <w:t>For more detail on PBAC’s view, see section 7 “PBAC outcome”</w:t>
      </w:r>
    </w:p>
    <w:p w:rsidR="006D2013" w:rsidRPr="00260B02" w:rsidRDefault="006D2013" w:rsidP="002006A7">
      <w:pPr>
        <w:rPr>
          <w:rFonts w:ascii="Cambria" w:hAnsi="Cambria" w:cs="Cambria"/>
          <w:sz w:val="22"/>
          <w:szCs w:val="22"/>
        </w:rPr>
      </w:pPr>
    </w:p>
    <w:p w:rsidR="005A3173" w:rsidRPr="00260B02" w:rsidRDefault="005A3173" w:rsidP="00882085">
      <w:pPr>
        <w:jc w:val="both"/>
        <w:rPr>
          <w:rFonts w:ascii="Arial" w:hAnsi="Arial"/>
          <w:b/>
          <w:i/>
          <w:sz w:val="22"/>
          <w:szCs w:val="22"/>
        </w:rPr>
      </w:pPr>
      <w:r w:rsidRPr="00260B02">
        <w:rPr>
          <w:rFonts w:ascii="Arial" w:hAnsi="Arial"/>
          <w:b/>
          <w:i/>
          <w:sz w:val="22"/>
          <w:szCs w:val="22"/>
        </w:rPr>
        <w:t>Comparative harms</w:t>
      </w:r>
    </w:p>
    <w:p w:rsidR="005A3173" w:rsidRPr="00260B02" w:rsidRDefault="005A3173" w:rsidP="00882085">
      <w:pPr>
        <w:ind w:left="720" w:hanging="720"/>
        <w:jc w:val="both"/>
        <w:rPr>
          <w:rFonts w:ascii="Arial" w:hAnsi="Arial"/>
          <w:sz w:val="22"/>
          <w:szCs w:val="22"/>
        </w:rPr>
      </w:pPr>
    </w:p>
    <w:p w:rsidR="003F7D51" w:rsidRPr="00260B02" w:rsidRDefault="003F7D51" w:rsidP="00DD0588">
      <w:pPr>
        <w:pStyle w:val="ListParagraph"/>
        <w:numPr>
          <w:ilvl w:val="1"/>
          <w:numId w:val="25"/>
        </w:numPr>
        <w:jc w:val="both"/>
        <w:rPr>
          <w:rFonts w:ascii="Arial" w:hAnsi="Arial"/>
          <w:i/>
          <w:sz w:val="22"/>
          <w:szCs w:val="22"/>
        </w:rPr>
      </w:pPr>
      <w:r w:rsidRPr="00260B02">
        <w:rPr>
          <w:rFonts w:ascii="Arial" w:hAnsi="Arial"/>
          <w:sz w:val="22"/>
          <w:szCs w:val="22"/>
        </w:rPr>
        <w:t>The table below summarise</w:t>
      </w:r>
      <w:r w:rsidR="009529A5" w:rsidRPr="00260B02">
        <w:rPr>
          <w:rFonts w:ascii="Arial" w:hAnsi="Arial"/>
          <w:sz w:val="22"/>
          <w:szCs w:val="22"/>
        </w:rPr>
        <w:t>s</w:t>
      </w:r>
      <w:r w:rsidRPr="00260B02">
        <w:rPr>
          <w:rFonts w:ascii="Arial" w:hAnsi="Arial"/>
          <w:sz w:val="22"/>
          <w:szCs w:val="22"/>
        </w:rPr>
        <w:t xml:space="preserve"> the adverse events reported in </w:t>
      </w:r>
      <w:r w:rsidR="006D2013" w:rsidRPr="00260B02">
        <w:rPr>
          <w:rFonts w:ascii="Arial" w:hAnsi="Arial"/>
          <w:sz w:val="22"/>
          <w:szCs w:val="22"/>
        </w:rPr>
        <w:t>the ABEB</w:t>
      </w:r>
      <w:r w:rsidRPr="00260B02">
        <w:rPr>
          <w:rFonts w:ascii="Arial" w:hAnsi="Arial"/>
          <w:sz w:val="22"/>
          <w:szCs w:val="22"/>
        </w:rPr>
        <w:t xml:space="preserve"> and </w:t>
      </w:r>
      <w:r w:rsidR="006D2013" w:rsidRPr="00260B02">
        <w:rPr>
          <w:rFonts w:ascii="Arial" w:hAnsi="Arial"/>
          <w:sz w:val="22"/>
          <w:szCs w:val="22"/>
        </w:rPr>
        <w:t>ABEC trials</w:t>
      </w:r>
      <w:r w:rsidRPr="00260B02">
        <w:rPr>
          <w:rFonts w:ascii="Arial" w:hAnsi="Arial"/>
          <w:sz w:val="22"/>
          <w:szCs w:val="22"/>
        </w:rPr>
        <w:t>.</w:t>
      </w:r>
      <w:bookmarkStart w:id="5" w:name="_Ref405394103"/>
      <w:bookmarkStart w:id="6" w:name="_Toc406671316"/>
      <w:r w:rsidR="001B369F" w:rsidRPr="00260B02">
        <w:rPr>
          <w:rFonts w:ascii="Arial" w:hAnsi="Arial"/>
          <w:sz w:val="22"/>
          <w:szCs w:val="22"/>
        </w:rPr>
        <w:t xml:space="preserve"> </w:t>
      </w:r>
    </w:p>
    <w:p w:rsidR="003F7D51" w:rsidRPr="00260B02" w:rsidRDefault="003F7D51" w:rsidP="003F7D51">
      <w:pPr>
        <w:pStyle w:val="ListParagraph"/>
        <w:ind w:left="709"/>
        <w:jc w:val="both"/>
        <w:rPr>
          <w:rFonts w:asciiTheme="minorHAnsi" w:hAnsiTheme="minorHAnsi" w:cstheme="minorHAnsi"/>
        </w:rPr>
      </w:pPr>
    </w:p>
    <w:bookmarkEnd w:id="5"/>
    <w:p w:rsidR="00207150" w:rsidRPr="00260B02" w:rsidRDefault="00207150" w:rsidP="000B5584">
      <w:pPr>
        <w:pStyle w:val="ListParagraph"/>
        <w:keepNext/>
        <w:keepLines/>
        <w:ind w:left="709"/>
        <w:jc w:val="both"/>
        <w:rPr>
          <w:rFonts w:ascii="Arial Narrow" w:hAnsi="Arial Narrow" w:cstheme="minorHAnsi"/>
          <w:b/>
          <w:sz w:val="20"/>
          <w:szCs w:val="20"/>
        </w:rPr>
      </w:pPr>
      <w:r w:rsidRPr="00260B02">
        <w:rPr>
          <w:rFonts w:ascii="Arial Narrow" w:hAnsi="Arial Narrow" w:cstheme="minorHAnsi"/>
          <w:b/>
          <w:sz w:val="20"/>
          <w:szCs w:val="20"/>
        </w:rPr>
        <w:t xml:space="preserve">Summary of adverse events reported in </w:t>
      </w:r>
      <w:r w:rsidR="00297249" w:rsidRPr="00260B02">
        <w:rPr>
          <w:rFonts w:ascii="Arial Narrow" w:hAnsi="Arial Narrow" w:cstheme="minorHAnsi"/>
          <w:b/>
          <w:sz w:val="20"/>
          <w:szCs w:val="20"/>
        </w:rPr>
        <w:t>ABEB and ABEC</w:t>
      </w:r>
      <w:r w:rsidRPr="00260B02">
        <w:rPr>
          <w:rFonts w:ascii="Arial Narrow" w:hAnsi="Arial Narrow" w:cstheme="minorHAnsi"/>
          <w:b/>
          <w:sz w:val="20"/>
          <w:szCs w:val="20"/>
        </w:rPr>
        <w:t xml:space="preserve"> </w:t>
      </w:r>
      <w:bookmarkEnd w:id="6"/>
      <w:r w:rsidR="00297249" w:rsidRPr="00260B02">
        <w:rPr>
          <w:rFonts w:ascii="Arial Narrow" w:hAnsi="Arial Narrow" w:cstheme="minorHAnsi"/>
          <w:b/>
          <w:sz w:val="20"/>
          <w:szCs w:val="20"/>
        </w:rPr>
        <w:t>trials</w:t>
      </w:r>
    </w:p>
    <w:tbl>
      <w:tblPr>
        <w:tblStyle w:val="TableGrid"/>
        <w:tblW w:w="4558" w:type="pct"/>
        <w:tblInd w:w="817" w:type="dxa"/>
        <w:tblLayout w:type="fixed"/>
        <w:tblLook w:val="04A0" w:firstRow="1" w:lastRow="0" w:firstColumn="1" w:lastColumn="0" w:noHBand="0" w:noVBand="1"/>
        <w:tblCaption w:val="Comparative harms"/>
        <w:tblDescription w:val="Summary of adverse events reported in trials"/>
      </w:tblPr>
      <w:tblGrid>
        <w:gridCol w:w="3261"/>
        <w:gridCol w:w="992"/>
        <w:gridCol w:w="849"/>
        <w:gridCol w:w="711"/>
        <w:gridCol w:w="29"/>
        <w:gridCol w:w="962"/>
        <w:gridCol w:w="851"/>
        <w:gridCol w:w="770"/>
      </w:tblGrid>
      <w:tr w:rsidR="00AB0121" w:rsidRPr="00260B02" w:rsidTr="000B5584">
        <w:tc>
          <w:tcPr>
            <w:tcW w:w="1935" w:type="pct"/>
          </w:tcPr>
          <w:p w:rsidR="00AB0121" w:rsidRPr="00260B02" w:rsidRDefault="00AB0121" w:rsidP="000B5584">
            <w:pPr>
              <w:pStyle w:val="Table"/>
              <w:keepNext/>
              <w:keepLines/>
              <w:rPr>
                <w:rStyle w:val="SmallBold"/>
                <w:rFonts w:ascii="Arial Narrow" w:hAnsi="Arial Narrow" w:cstheme="minorHAnsi"/>
                <w:szCs w:val="20"/>
                <w:lang w:eastAsia="en-AU" w:bidi="ar-SA"/>
              </w:rPr>
            </w:pPr>
          </w:p>
        </w:tc>
        <w:tc>
          <w:tcPr>
            <w:tcW w:w="1515" w:type="pct"/>
            <w:gridSpan w:val="3"/>
          </w:tcPr>
          <w:p w:rsidR="00AB0121" w:rsidRPr="00260B02" w:rsidRDefault="00AB0121" w:rsidP="000B5584">
            <w:pPr>
              <w:pStyle w:val="Table"/>
              <w:keepNext/>
              <w:keepLines/>
              <w:jc w:val="center"/>
              <w:rPr>
                <w:rStyle w:val="SmallBold"/>
                <w:rFonts w:ascii="Arial Narrow" w:hAnsi="Arial Narrow" w:cstheme="minorHAnsi"/>
                <w:szCs w:val="20"/>
                <w:lang w:eastAsia="en-AU" w:bidi="ar-SA"/>
              </w:rPr>
            </w:pPr>
            <w:r w:rsidRPr="00260B02">
              <w:rPr>
                <w:rStyle w:val="SmallBold"/>
                <w:rFonts w:ascii="Arial Narrow" w:hAnsi="Arial Narrow" w:cstheme="minorHAnsi"/>
                <w:szCs w:val="20"/>
              </w:rPr>
              <w:t>ABEB</w:t>
            </w:r>
          </w:p>
        </w:tc>
        <w:tc>
          <w:tcPr>
            <w:tcW w:w="1550" w:type="pct"/>
            <w:gridSpan w:val="4"/>
          </w:tcPr>
          <w:p w:rsidR="00AB0121" w:rsidRPr="00260B02" w:rsidRDefault="00AB0121" w:rsidP="000B5584">
            <w:pPr>
              <w:pStyle w:val="Table"/>
              <w:keepNext/>
              <w:keepLines/>
              <w:jc w:val="center"/>
              <w:rPr>
                <w:rStyle w:val="SmallBold"/>
                <w:rFonts w:ascii="Arial Narrow" w:hAnsi="Arial Narrow" w:cstheme="minorHAnsi"/>
                <w:szCs w:val="20"/>
                <w:lang w:eastAsia="en-AU" w:bidi="ar-SA"/>
              </w:rPr>
            </w:pPr>
            <w:r w:rsidRPr="00260B02">
              <w:rPr>
                <w:rStyle w:val="SmallBold"/>
                <w:rFonts w:ascii="Arial Narrow" w:hAnsi="Arial Narrow" w:cstheme="minorHAnsi"/>
                <w:szCs w:val="20"/>
              </w:rPr>
              <w:t>ABEC</w:t>
            </w:r>
          </w:p>
        </w:tc>
      </w:tr>
      <w:tr w:rsidR="00AB0121" w:rsidRPr="00260B02" w:rsidTr="000B5584">
        <w:tc>
          <w:tcPr>
            <w:tcW w:w="1935" w:type="pct"/>
          </w:tcPr>
          <w:p w:rsidR="00AB0121" w:rsidRPr="00260B02" w:rsidRDefault="00AB0121" w:rsidP="000B5584">
            <w:pPr>
              <w:pStyle w:val="Table"/>
              <w:keepNext/>
              <w:keepLines/>
              <w:rPr>
                <w:rStyle w:val="SmallBold"/>
                <w:rFonts w:ascii="Arial Narrow" w:hAnsi="Arial Narrow" w:cstheme="minorHAnsi"/>
                <w:szCs w:val="20"/>
              </w:rPr>
            </w:pPr>
          </w:p>
        </w:tc>
        <w:tc>
          <w:tcPr>
            <w:tcW w:w="1515" w:type="pct"/>
            <w:gridSpan w:val="3"/>
          </w:tcPr>
          <w:p w:rsidR="00AB0121" w:rsidRPr="00260B02" w:rsidRDefault="000E531C" w:rsidP="000B5584">
            <w:pPr>
              <w:pStyle w:val="Table"/>
              <w:keepNext/>
              <w:keepLines/>
              <w:jc w:val="center"/>
              <w:rPr>
                <w:rStyle w:val="SmallBold"/>
                <w:rFonts w:ascii="Arial Narrow" w:hAnsi="Arial Narrow" w:cstheme="minorHAnsi"/>
                <w:szCs w:val="20"/>
              </w:rPr>
            </w:pPr>
            <w:r w:rsidRPr="00260B02">
              <w:rPr>
                <w:rStyle w:val="SmallBold"/>
                <w:rFonts w:ascii="Arial Narrow" w:hAnsi="Arial Narrow" w:cstheme="minorHAnsi"/>
                <w:szCs w:val="20"/>
              </w:rPr>
              <w:t>52</w:t>
            </w:r>
            <w:r w:rsidR="00AB0121" w:rsidRPr="00260B02">
              <w:rPr>
                <w:rStyle w:val="SmallBold"/>
                <w:rFonts w:ascii="Arial Narrow" w:hAnsi="Arial Narrow" w:cstheme="minorHAnsi"/>
                <w:szCs w:val="20"/>
              </w:rPr>
              <w:t xml:space="preserve"> weeks</w:t>
            </w:r>
          </w:p>
        </w:tc>
        <w:tc>
          <w:tcPr>
            <w:tcW w:w="1550" w:type="pct"/>
            <w:gridSpan w:val="4"/>
          </w:tcPr>
          <w:p w:rsidR="00AB0121" w:rsidRPr="00260B02" w:rsidRDefault="00AB0121" w:rsidP="000B5584">
            <w:pPr>
              <w:pStyle w:val="Table"/>
              <w:keepNext/>
              <w:keepLines/>
              <w:jc w:val="center"/>
              <w:rPr>
                <w:rStyle w:val="SmallBold"/>
                <w:rFonts w:ascii="Arial Narrow" w:hAnsi="Arial Narrow" w:cstheme="minorHAnsi"/>
                <w:szCs w:val="20"/>
              </w:rPr>
            </w:pPr>
            <w:r w:rsidRPr="00260B02">
              <w:rPr>
                <w:rFonts w:ascii="Arial Narrow" w:hAnsi="Arial Narrow" w:cstheme="minorHAnsi"/>
                <w:b/>
                <w:szCs w:val="20"/>
              </w:rPr>
              <w:t>2</w:t>
            </w:r>
            <w:r w:rsidR="000E531C" w:rsidRPr="00260B02">
              <w:rPr>
                <w:rFonts w:ascii="Arial Narrow" w:hAnsi="Arial Narrow" w:cstheme="minorHAnsi"/>
                <w:b/>
                <w:szCs w:val="20"/>
              </w:rPr>
              <w:t>4</w:t>
            </w:r>
            <w:r w:rsidRPr="00260B02">
              <w:rPr>
                <w:rFonts w:ascii="Arial Narrow" w:hAnsi="Arial Narrow" w:cstheme="minorHAnsi"/>
                <w:b/>
                <w:szCs w:val="20"/>
              </w:rPr>
              <w:t xml:space="preserve"> weeks</w:t>
            </w:r>
          </w:p>
        </w:tc>
      </w:tr>
      <w:tr w:rsidR="003A54ED" w:rsidRPr="00260B02" w:rsidTr="000B5584">
        <w:tc>
          <w:tcPr>
            <w:tcW w:w="1935" w:type="pct"/>
          </w:tcPr>
          <w:p w:rsidR="00AB0121" w:rsidRPr="00260B02" w:rsidRDefault="00AB0121" w:rsidP="000B5584">
            <w:pPr>
              <w:pStyle w:val="Table"/>
              <w:keepNext/>
              <w:keepLines/>
              <w:rPr>
                <w:rStyle w:val="SmallBold"/>
                <w:rFonts w:ascii="Arial Narrow" w:hAnsi="Arial Narrow" w:cstheme="minorHAnsi"/>
                <w:szCs w:val="20"/>
              </w:rPr>
            </w:pPr>
          </w:p>
        </w:tc>
        <w:tc>
          <w:tcPr>
            <w:tcW w:w="589" w:type="pct"/>
          </w:tcPr>
          <w:p w:rsidR="00AB0121" w:rsidRPr="00260B02" w:rsidRDefault="00AB0121" w:rsidP="000B5584">
            <w:pPr>
              <w:pStyle w:val="Table"/>
              <w:keepNext/>
              <w:keepLines/>
              <w:jc w:val="center"/>
              <w:rPr>
                <w:rStyle w:val="SmallBold"/>
                <w:rFonts w:ascii="Arial Narrow" w:hAnsi="Arial Narrow" w:cstheme="minorHAnsi"/>
                <w:szCs w:val="20"/>
              </w:rPr>
            </w:pPr>
            <w:r w:rsidRPr="00260B02">
              <w:rPr>
                <w:rStyle w:val="SmallBold"/>
                <w:rFonts w:ascii="Arial Narrow" w:hAnsi="Arial Narrow" w:cstheme="minorHAnsi"/>
                <w:szCs w:val="20"/>
              </w:rPr>
              <w:t>Basaglar</w:t>
            </w:r>
          </w:p>
          <w:p w:rsidR="00AB0121" w:rsidRPr="00260B02" w:rsidRDefault="00AB0121" w:rsidP="000B5584">
            <w:pPr>
              <w:pStyle w:val="Table"/>
              <w:keepNext/>
              <w:keepLines/>
              <w:jc w:val="center"/>
              <w:rPr>
                <w:rStyle w:val="SmallBold"/>
                <w:rFonts w:ascii="Arial Narrow" w:hAnsi="Arial Narrow" w:cstheme="minorHAnsi"/>
                <w:szCs w:val="20"/>
              </w:rPr>
            </w:pPr>
            <w:r w:rsidRPr="00260B02">
              <w:rPr>
                <w:rStyle w:val="SmallBold"/>
                <w:rFonts w:ascii="Arial Narrow" w:hAnsi="Arial Narrow" w:cstheme="minorHAnsi"/>
                <w:szCs w:val="20"/>
              </w:rPr>
              <w:t>n (%)</w:t>
            </w:r>
          </w:p>
        </w:tc>
        <w:tc>
          <w:tcPr>
            <w:tcW w:w="504" w:type="pct"/>
          </w:tcPr>
          <w:p w:rsidR="00AB0121" w:rsidRPr="00260B02" w:rsidRDefault="00AB0121" w:rsidP="000B5584">
            <w:pPr>
              <w:pStyle w:val="Table"/>
              <w:keepNext/>
              <w:keepLines/>
              <w:jc w:val="center"/>
              <w:rPr>
                <w:rStyle w:val="SmallBold"/>
                <w:rFonts w:ascii="Arial Narrow" w:hAnsi="Arial Narrow" w:cstheme="minorHAnsi"/>
                <w:szCs w:val="20"/>
              </w:rPr>
            </w:pPr>
            <w:r w:rsidRPr="00260B02">
              <w:rPr>
                <w:rStyle w:val="SmallBold"/>
                <w:rFonts w:ascii="Arial Narrow" w:hAnsi="Arial Narrow" w:cstheme="minorHAnsi"/>
                <w:szCs w:val="20"/>
              </w:rPr>
              <w:t>Lantus</w:t>
            </w:r>
          </w:p>
          <w:p w:rsidR="00AB0121" w:rsidRPr="00260B02" w:rsidRDefault="00AB0121" w:rsidP="000B5584">
            <w:pPr>
              <w:pStyle w:val="Table"/>
              <w:keepNext/>
              <w:keepLines/>
              <w:jc w:val="center"/>
              <w:rPr>
                <w:rStyle w:val="SmallBold"/>
                <w:rFonts w:ascii="Arial Narrow" w:hAnsi="Arial Narrow" w:cstheme="minorHAnsi"/>
                <w:szCs w:val="20"/>
              </w:rPr>
            </w:pPr>
            <w:r w:rsidRPr="00260B02">
              <w:rPr>
                <w:rStyle w:val="SmallBold"/>
                <w:rFonts w:ascii="Arial Narrow" w:hAnsi="Arial Narrow" w:cstheme="minorHAnsi"/>
                <w:szCs w:val="20"/>
              </w:rPr>
              <w:t>n (%)</w:t>
            </w:r>
          </w:p>
        </w:tc>
        <w:tc>
          <w:tcPr>
            <w:tcW w:w="439" w:type="pct"/>
            <w:gridSpan w:val="2"/>
          </w:tcPr>
          <w:p w:rsidR="00AB0121" w:rsidRPr="00260B02" w:rsidRDefault="00AB0121" w:rsidP="000B5584">
            <w:pPr>
              <w:pStyle w:val="Table"/>
              <w:keepNext/>
              <w:keepLines/>
              <w:jc w:val="center"/>
              <w:rPr>
                <w:rStyle w:val="SmallBold"/>
                <w:rFonts w:ascii="Arial Narrow" w:hAnsi="Arial Narrow" w:cstheme="minorHAnsi"/>
                <w:szCs w:val="20"/>
              </w:rPr>
            </w:pPr>
            <w:r w:rsidRPr="00260B02">
              <w:rPr>
                <w:rStyle w:val="SmallBold"/>
                <w:rFonts w:ascii="Arial Narrow" w:hAnsi="Arial Narrow" w:cstheme="minorHAnsi"/>
                <w:szCs w:val="20"/>
              </w:rPr>
              <w:t>p-value</w:t>
            </w:r>
          </w:p>
        </w:tc>
        <w:tc>
          <w:tcPr>
            <w:tcW w:w="571" w:type="pct"/>
          </w:tcPr>
          <w:p w:rsidR="00AB0121" w:rsidRPr="00260B02" w:rsidRDefault="00AB0121" w:rsidP="000B5584">
            <w:pPr>
              <w:pStyle w:val="Table"/>
              <w:keepNext/>
              <w:keepLines/>
              <w:jc w:val="center"/>
              <w:rPr>
                <w:rStyle w:val="SmallBold"/>
                <w:rFonts w:ascii="Arial Narrow" w:hAnsi="Arial Narrow" w:cstheme="minorHAnsi"/>
                <w:szCs w:val="20"/>
              </w:rPr>
            </w:pPr>
            <w:r w:rsidRPr="00260B02">
              <w:rPr>
                <w:rStyle w:val="SmallBold"/>
                <w:rFonts w:ascii="Arial Narrow" w:hAnsi="Arial Narrow" w:cstheme="minorHAnsi"/>
                <w:szCs w:val="20"/>
              </w:rPr>
              <w:t>Basaglar</w:t>
            </w:r>
          </w:p>
          <w:p w:rsidR="00AB0121" w:rsidRPr="00260B02" w:rsidRDefault="00AB0121" w:rsidP="000B5584">
            <w:pPr>
              <w:pStyle w:val="Table"/>
              <w:keepNext/>
              <w:keepLines/>
              <w:jc w:val="center"/>
              <w:rPr>
                <w:rStyle w:val="SmallBold"/>
                <w:rFonts w:ascii="Arial Narrow" w:hAnsi="Arial Narrow" w:cstheme="minorHAnsi"/>
                <w:szCs w:val="20"/>
              </w:rPr>
            </w:pPr>
            <w:r w:rsidRPr="00260B02">
              <w:rPr>
                <w:rStyle w:val="SmallBold"/>
                <w:rFonts w:ascii="Arial Narrow" w:hAnsi="Arial Narrow" w:cstheme="minorHAnsi"/>
                <w:szCs w:val="20"/>
              </w:rPr>
              <w:t>n (%)</w:t>
            </w:r>
          </w:p>
        </w:tc>
        <w:tc>
          <w:tcPr>
            <w:tcW w:w="505" w:type="pct"/>
          </w:tcPr>
          <w:p w:rsidR="00AB0121" w:rsidRPr="00260B02" w:rsidRDefault="00AB0121" w:rsidP="000B5584">
            <w:pPr>
              <w:pStyle w:val="Table"/>
              <w:keepNext/>
              <w:keepLines/>
              <w:jc w:val="center"/>
              <w:rPr>
                <w:rStyle w:val="SmallBold"/>
                <w:rFonts w:ascii="Arial Narrow" w:hAnsi="Arial Narrow" w:cstheme="minorHAnsi"/>
                <w:szCs w:val="20"/>
              </w:rPr>
            </w:pPr>
            <w:r w:rsidRPr="00260B02">
              <w:rPr>
                <w:rStyle w:val="SmallBold"/>
                <w:rFonts w:ascii="Arial Narrow" w:hAnsi="Arial Narrow" w:cstheme="minorHAnsi"/>
                <w:szCs w:val="20"/>
              </w:rPr>
              <w:t>Lantus</w:t>
            </w:r>
          </w:p>
          <w:p w:rsidR="00AB0121" w:rsidRPr="00260B02" w:rsidRDefault="00AB0121" w:rsidP="000B5584">
            <w:pPr>
              <w:pStyle w:val="Table"/>
              <w:keepNext/>
              <w:keepLines/>
              <w:jc w:val="center"/>
              <w:rPr>
                <w:rStyle w:val="SmallBold"/>
                <w:rFonts w:ascii="Arial Narrow" w:hAnsi="Arial Narrow" w:cstheme="minorHAnsi"/>
                <w:szCs w:val="20"/>
              </w:rPr>
            </w:pPr>
            <w:r w:rsidRPr="00260B02">
              <w:rPr>
                <w:rStyle w:val="SmallBold"/>
                <w:rFonts w:ascii="Arial Narrow" w:hAnsi="Arial Narrow" w:cstheme="minorHAnsi"/>
                <w:szCs w:val="20"/>
              </w:rPr>
              <w:t>n (%)</w:t>
            </w:r>
          </w:p>
        </w:tc>
        <w:tc>
          <w:tcPr>
            <w:tcW w:w="457" w:type="pct"/>
          </w:tcPr>
          <w:p w:rsidR="00AB0121" w:rsidRPr="00260B02" w:rsidRDefault="00AB0121" w:rsidP="000B5584">
            <w:pPr>
              <w:pStyle w:val="Table"/>
              <w:keepNext/>
              <w:keepLines/>
              <w:jc w:val="center"/>
              <w:rPr>
                <w:rStyle w:val="SmallBold"/>
                <w:rFonts w:ascii="Arial Narrow" w:hAnsi="Arial Narrow" w:cstheme="minorHAnsi"/>
                <w:szCs w:val="20"/>
              </w:rPr>
            </w:pPr>
            <w:r w:rsidRPr="00260B02">
              <w:rPr>
                <w:rStyle w:val="SmallBold"/>
                <w:rFonts w:ascii="Arial Narrow" w:hAnsi="Arial Narrow" w:cstheme="minorHAnsi"/>
                <w:szCs w:val="20"/>
              </w:rPr>
              <w:t>p-value</w:t>
            </w:r>
          </w:p>
        </w:tc>
      </w:tr>
      <w:tr w:rsidR="003A54ED" w:rsidRPr="00260B02" w:rsidTr="000B5584">
        <w:tc>
          <w:tcPr>
            <w:tcW w:w="1935" w:type="pct"/>
          </w:tcPr>
          <w:p w:rsidR="00AB0121" w:rsidRPr="00260B02" w:rsidRDefault="00AB0121" w:rsidP="000B5584">
            <w:pPr>
              <w:pStyle w:val="Table"/>
              <w:keepNext/>
              <w:keepLines/>
              <w:rPr>
                <w:rFonts w:ascii="Arial Narrow" w:hAnsi="Arial Narrow" w:cstheme="minorHAnsi"/>
                <w:szCs w:val="20"/>
              </w:rPr>
            </w:pPr>
            <w:r w:rsidRPr="00260B02">
              <w:rPr>
                <w:rFonts w:ascii="Arial Narrow" w:hAnsi="Arial Narrow" w:cstheme="minorHAnsi"/>
                <w:szCs w:val="20"/>
              </w:rPr>
              <w:t>Deaths</w:t>
            </w:r>
          </w:p>
        </w:tc>
        <w:tc>
          <w:tcPr>
            <w:tcW w:w="589" w:type="pct"/>
          </w:tcPr>
          <w:p w:rsidR="00AB0121" w:rsidRPr="00260B02" w:rsidRDefault="00AB0121" w:rsidP="000B5584">
            <w:pPr>
              <w:pStyle w:val="Table"/>
              <w:keepNext/>
              <w:keepLines/>
              <w:jc w:val="center"/>
              <w:rPr>
                <w:rFonts w:ascii="Arial Narrow" w:hAnsi="Arial Narrow" w:cstheme="minorHAnsi"/>
                <w:szCs w:val="20"/>
                <w:lang w:val="en-US"/>
              </w:rPr>
            </w:pPr>
            <w:r w:rsidRPr="00260B02">
              <w:rPr>
                <w:rFonts w:ascii="Arial Narrow" w:hAnsi="Arial Narrow" w:cstheme="minorHAnsi"/>
                <w:szCs w:val="20"/>
                <w:lang w:val="en-US"/>
              </w:rPr>
              <w:t>1 (0.3)</w:t>
            </w:r>
          </w:p>
        </w:tc>
        <w:tc>
          <w:tcPr>
            <w:tcW w:w="504" w:type="pct"/>
          </w:tcPr>
          <w:p w:rsidR="00AB0121" w:rsidRPr="00260B02" w:rsidRDefault="00AB0121" w:rsidP="000B5584">
            <w:pPr>
              <w:pStyle w:val="Table"/>
              <w:keepNext/>
              <w:keepLines/>
              <w:jc w:val="center"/>
              <w:rPr>
                <w:rFonts w:ascii="Arial Narrow" w:hAnsi="Arial Narrow" w:cstheme="minorHAnsi"/>
                <w:szCs w:val="20"/>
                <w:lang w:val="en-US"/>
              </w:rPr>
            </w:pPr>
            <w:r w:rsidRPr="00260B02">
              <w:rPr>
                <w:rFonts w:ascii="Arial Narrow" w:hAnsi="Arial Narrow" w:cstheme="minorHAnsi"/>
                <w:szCs w:val="20"/>
                <w:lang w:val="en-US"/>
              </w:rPr>
              <w:t>1 (0.3)</w:t>
            </w:r>
          </w:p>
        </w:tc>
        <w:tc>
          <w:tcPr>
            <w:tcW w:w="439" w:type="pct"/>
            <w:gridSpan w:val="2"/>
          </w:tcPr>
          <w:p w:rsidR="00AB0121" w:rsidRPr="00260B02" w:rsidRDefault="00AB0121" w:rsidP="000B5584">
            <w:pPr>
              <w:pStyle w:val="Table"/>
              <w:keepNext/>
              <w:keepLines/>
              <w:jc w:val="center"/>
              <w:rPr>
                <w:rFonts w:ascii="Arial Narrow" w:hAnsi="Arial Narrow" w:cstheme="minorHAnsi"/>
                <w:szCs w:val="20"/>
                <w:lang w:val="en-US"/>
              </w:rPr>
            </w:pPr>
            <w:r w:rsidRPr="00260B02">
              <w:rPr>
                <w:rFonts w:ascii="Arial Narrow" w:hAnsi="Arial Narrow" w:cstheme="minorHAnsi"/>
                <w:szCs w:val="20"/>
                <w:lang w:val="en-US"/>
              </w:rPr>
              <w:t>&gt;0.999</w:t>
            </w:r>
          </w:p>
        </w:tc>
        <w:tc>
          <w:tcPr>
            <w:tcW w:w="571" w:type="pct"/>
          </w:tcPr>
          <w:p w:rsidR="00AB0121" w:rsidRPr="00260B02" w:rsidRDefault="00AB0121" w:rsidP="000B5584">
            <w:pPr>
              <w:pStyle w:val="Table"/>
              <w:keepNext/>
              <w:keepLines/>
              <w:jc w:val="center"/>
              <w:rPr>
                <w:rFonts w:ascii="Arial Narrow" w:hAnsi="Arial Narrow" w:cstheme="minorHAnsi"/>
                <w:szCs w:val="20"/>
              </w:rPr>
            </w:pPr>
            <w:r w:rsidRPr="00260B02">
              <w:rPr>
                <w:rFonts w:ascii="Arial Narrow" w:hAnsi="Arial Narrow" w:cstheme="minorHAnsi"/>
                <w:szCs w:val="20"/>
              </w:rPr>
              <w:t>0 (0.0)</w:t>
            </w:r>
          </w:p>
        </w:tc>
        <w:tc>
          <w:tcPr>
            <w:tcW w:w="505" w:type="pct"/>
          </w:tcPr>
          <w:p w:rsidR="00AB0121" w:rsidRPr="00260B02" w:rsidRDefault="00AB0121" w:rsidP="000B5584">
            <w:pPr>
              <w:pStyle w:val="Table"/>
              <w:keepNext/>
              <w:keepLines/>
              <w:jc w:val="center"/>
              <w:rPr>
                <w:rFonts w:ascii="Arial Narrow" w:hAnsi="Arial Narrow" w:cstheme="minorHAnsi"/>
                <w:szCs w:val="20"/>
              </w:rPr>
            </w:pPr>
            <w:r w:rsidRPr="00260B02">
              <w:rPr>
                <w:rFonts w:ascii="Arial Narrow" w:hAnsi="Arial Narrow" w:cstheme="minorHAnsi"/>
                <w:szCs w:val="20"/>
              </w:rPr>
              <w:t>1 (0.4)</w:t>
            </w:r>
          </w:p>
        </w:tc>
        <w:tc>
          <w:tcPr>
            <w:tcW w:w="457" w:type="pct"/>
          </w:tcPr>
          <w:p w:rsidR="00AB0121" w:rsidRPr="00260B02" w:rsidRDefault="00AB0121" w:rsidP="000B5584">
            <w:pPr>
              <w:pStyle w:val="Table"/>
              <w:keepNext/>
              <w:keepLines/>
              <w:jc w:val="center"/>
              <w:rPr>
                <w:rFonts w:ascii="Arial Narrow" w:hAnsi="Arial Narrow" w:cstheme="minorHAnsi"/>
                <w:szCs w:val="20"/>
              </w:rPr>
            </w:pPr>
          </w:p>
        </w:tc>
      </w:tr>
      <w:tr w:rsidR="003A54ED" w:rsidRPr="00260B02" w:rsidTr="000B5584">
        <w:tc>
          <w:tcPr>
            <w:tcW w:w="1935" w:type="pct"/>
          </w:tcPr>
          <w:p w:rsidR="00AB0121" w:rsidRPr="00260B02" w:rsidRDefault="00AB0121" w:rsidP="000B5584">
            <w:pPr>
              <w:pStyle w:val="Table"/>
              <w:keepNext/>
              <w:keepLines/>
              <w:rPr>
                <w:rFonts w:ascii="Arial Narrow" w:hAnsi="Arial Narrow" w:cstheme="minorHAnsi"/>
                <w:szCs w:val="20"/>
              </w:rPr>
            </w:pPr>
            <w:r w:rsidRPr="00260B02">
              <w:rPr>
                <w:rFonts w:ascii="Arial Narrow" w:hAnsi="Arial Narrow" w:cstheme="minorHAnsi"/>
                <w:szCs w:val="20"/>
              </w:rPr>
              <w:t>S</w:t>
            </w:r>
            <w:r w:rsidR="003A54ED" w:rsidRPr="00260B02">
              <w:rPr>
                <w:rFonts w:ascii="Arial Narrow" w:hAnsi="Arial Narrow" w:cstheme="minorHAnsi"/>
                <w:szCs w:val="20"/>
              </w:rPr>
              <w:t xml:space="preserve">erious </w:t>
            </w:r>
            <w:r w:rsidRPr="00260B02">
              <w:rPr>
                <w:rFonts w:ascii="Arial Narrow" w:hAnsi="Arial Narrow" w:cstheme="minorHAnsi"/>
                <w:szCs w:val="20"/>
              </w:rPr>
              <w:t>A</w:t>
            </w:r>
            <w:r w:rsidR="003A54ED" w:rsidRPr="00260B02">
              <w:rPr>
                <w:rFonts w:ascii="Arial Narrow" w:hAnsi="Arial Narrow" w:cstheme="minorHAnsi"/>
                <w:szCs w:val="20"/>
              </w:rPr>
              <w:t xml:space="preserve">dverse </w:t>
            </w:r>
            <w:r w:rsidRPr="00260B02">
              <w:rPr>
                <w:rFonts w:ascii="Arial Narrow" w:hAnsi="Arial Narrow" w:cstheme="minorHAnsi"/>
                <w:szCs w:val="20"/>
              </w:rPr>
              <w:t>E</w:t>
            </w:r>
            <w:r w:rsidR="003A54ED" w:rsidRPr="00260B02">
              <w:rPr>
                <w:rFonts w:ascii="Arial Narrow" w:hAnsi="Arial Narrow" w:cstheme="minorHAnsi"/>
                <w:szCs w:val="20"/>
              </w:rPr>
              <w:t>vent</w:t>
            </w:r>
            <w:r w:rsidRPr="00260B02">
              <w:rPr>
                <w:rFonts w:ascii="Arial Narrow" w:hAnsi="Arial Narrow" w:cstheme="minorHAnsi"/>
                <w:szCs w:val="20"/>
              </w:rPr>
              <w:t>s</w:t>
            </w:r>
          </w:p>
        </w:tc>
        <w:tc>
          <w:tcPr>
            <w:tcW w:w="589" w:type="pct"/>
          </w:tcPr>
          <w:p w:rsidR="00AB0121" w:rsidRPr="00260B02" w:rsidRDefault="00AB0121" w:rsidP="000B5584">
            <w:pPr>
              <w:pStyle w:val="Table"/>
              <w:keepNext/>
              <w:keepLines/>
              <w:jc w:val="center"/>
              <w:rPr>
                <w:rFonts w:ascii="Arial Narrow" w:hAnsi="Arial Narrow" w:cstheme="minorHAnsi"/>
                <w:szCs w:val="20"/>
                <w:lang w:val="en-US"/>
              </w:rPr>
            </w:pPr>
            <w:r w:rsidRPr="00260B02">
              <w:rPr>
                <w:rFonts w:ascii="Arial Narrow" w:hAnsi="Arial Narrow" w:cstheme="minorHAnsi"/>
                <w:szCs w:val="20"/>
                <w:lang w:val="en-US"/>
              </w:rPr>
              <w:t>15 (4.0)</w:t>
            </w:r>
          </w:p>
        </w:tc>
        <w:tc>
          <w:tcPr>
            <w:tcW w:w="504" w:type="pct"/>
          </w:tcPr>
          <w:p w:rsidR="00AB0121" w:rsidRPr="00260B02" w:rsidRDefault="00AB0121" w:rsidP="000B5584">
            <w:pPr>
              <w:pStyle w:val="Table"/>
              <w:keepNext/>
              <w:keepLines/>
              <w:jc w:val="center"/>
              <w:rPr>
                <w:rFonts w:ascii="Arial Narrow" w:hAnsi="Arial Narrow" w:cstheme="minorHAnsi"/>
                <w:szCs w:val="20"/>
                <w:lang w:val="en-US"/>
              </w:rPr>
            </w:pPr>
            <w:r w:rsidRPr="00260B02">
              <w:rPr>
                <w:rFonts w:ascii="Arial Narrow" w:hAnsi="Arial Narrow" w:cstheme="minorHAnsi"/>
                <w:szCs w:val="20"/>
                <w:lang w:val="en-US"/>
              </w:rPr>
              <w:t>18 (4.7)</w:t>
            </w:r>
          </w:p>
        </w:tc>
        <w:tc>
          <w:tcPr>
            <w:tcW w:w="439" w:type="pct"/>
            <w:gridSpan w:val="2"/>
          </w:tcPr>
          <w:p w:rsidR="00AB0121" w:rsidRPr="00260B02" w:rsidRDefault="00AB0121" w:rsidP="000B5584">
            <w:pPr>
              <w:pStyle w:val="Table"/>
              <w:keepNext/>
              <w:keepLines/>
              <w:jc w:val="center"/>
              <w:rPr>
                <w:rFonts w:ascii="Arial Narrow" w:hAnsi="Arial Narrow" w:cstheme="minorHAnsi"/>
                <w:szCs w:val="20"/>
                <w:lang w:val="en-US"/>
              </w:rPr>
            </w:pPr>
            <w:r w:rsidRPr="00260B02">
              <w:rPr>
                <w:rFonts w:ascii="Arial Narrow" w:hAnsi="Arial Narrow" w:cstheme="minorHAnsi"/>
                <w:szCs w:val="20"/>
                <w:lang w:val="en-US"/>
              </w:rPr>
              <w:t>0.723</w:t>
            </w:r>
          </w:p>
        </w:tc>
        <w:tc>
          <w:tcPr>
            <w:tcW w:w="571" w:type="pct"/>
          </w:tcPr>
          <w:p w:rsidR="00AB0121" w:rsidRPr="00260B02" w:rsidRDefault="00AB0121" w:rsidP="000B5584">
            <w:pPr>
              <w:pStyle w:val="Table"/>
              <w:keepNext/>
              <w:keepLines/>
              <w:jc w:val="center"/>
              <w:rPr>
                <w:rFonts w:ascii="Arial Narrow" w:hAnsi="Arial Narrow" w:cstheme="minorHAnsi"/>
                <w:szCs w:val="20"/>
              </w:rPr>
            </w:pPr>
            <w:r w:rsidRPr="00260B02">
              <w:rPr>
                <w:rFonts w:ascii="Arial Narrow" w:hAnsi="Arial Narrow" w:cstheme="minorHAnsi"/>
                <w:szCs w:val="20"/>
              </w:rPr>
              <w:t>20 (7.5)</w:t>
            </w:r>
          </w:p>
        </w:tc>
        <w:tc>
          <w:tcPr>
            <w:tcW w:w="505" w:type="pct"/>
          </w:tcPr>
          <w:p w:rsidR="00AB0121" w:rsidRPr="00260B02" w:rsidRDefault="00AB0121" w:rsidP="000B5584">
            <w:pPr>
              <w:pStyle w:val="Table"/>
              <w:keepNext/>
              <w:keepLines/>
              <w:jc w:val="center"/>
              <w:rPr>
                <w:rFonts w:ascii="Arial Narrow" w:hAnsi="Arial Narrow" w:cstheme="minorHAnsi"/>
                <w:szCs w:val="20"/>
              </w:rPr>
            </w:pPr>
            <w:r w:rsidRPr="00260B02">
              <w:rPr>
                <w:rFonts w:ascii="Arial Narrow" w:hAnsi="Arial Narrow" w:cstheme="minorHAnsi"/>
                <w:szCs w:val="20"/>
              </w:rPr>
              <w:t>24 (9.0)</w:t>
            </w:r>
          </w:p>
        </w:tc>
        <w:tc>
          <w:tcPr>
            <w:tcW w:w="457" w:type="pct"/>
          </w:tcPr>
          <w:p w:rsidR="00AB0121" w:rsidRPr="00260B02" w:rsidRDefault="00AB0121" w:rsidP="000B5584">
            <w:pPr>
              <w:pStyle w:val="Table"/>
              <w:keepNext/>
              <w:keepLines/>
              <w:jc w:val="center"/>
              <w:rPr>
                <w:rFonts w:ascii="Arial Narrow" w:hAnsi="Arial Narrow" w:cstheme="minorHAnsi"/>
                <w:szCs w:val="20"/>
              </w:rPr>
            </w:pPr>
            <w:r w:rsidRPr="00260B02">
              <w:rPr>
                <w:rFonts w:ascii="Arial Narrow" w:hAnsi="Arial Narrow" w:cstheme="minorHAnsi"/>
                <w:szCs w:val="20"/>
              </w:rPr>
              <w:t>0.534</w:t>
            </w:r>
          </w:p>
        </w:tc>
      </w:tr>
      <w:tr w:rsidR="003A54ED" w:rsidRPr="00260B02" w:rsidTr="000B5584">
        <w:tc>
          <w:tcPr>
            <w:tcW w:w="1935" w:type="pct"/>
          </w:tcPr>
          <w:p w:rsidR="00AB0121" w:rsidRPr="00260B02" w:rsidRDefault="00AB0121" w:rsidP="000B5584">
            <w:pPr>
              <w:pStyle w:val="Table"/>
              <w:keepNext/>
              <w:keepLines/>
              <w:rPr>
                <w:rFonts w:ascii="Arial Narrow" w:hAnsi="Arial Narrow" w:cstheme="minorHAnsi"/>
                <w:szCs w:val="20"/>
              </w:rPr>
            </w:pPr>
            <w:r w:rsidRPr="00260B02">
              <w:rPr>
                <w:rFonts w:ascii="Arial Narrow" w:hAnsi="Arial Narrow" w:cstheme="minorHAnsi"/>
                <w:szCs w:val="20"/>
              </w:rPr>
              <w:t>Discontinuations due to A</w:t>
            </w:r>
            <w:r w:rsidR="003A54ED" w:rsidRPr="00260B02">
              <w:rPr>
                <w:rFonts w:ascii="Arial Narrow" w:hAnsi="Arial Narrow" w:cstheme="minorHAnsi"/>
                <w:szCs w:val="20"/>
              </w:rPr>
              <w:t xml:space="preserve">dverse </w:t>
            </w:r>
            <w:r w:rsidRPr="00260B02">
              <w:rPr>
                <w:rFonts w:ascii="Arial Narrow" w:hAnsi="Arial Narrow" w:cstheme="minorHAnsi"/>
                <w:szCs w:val="20"/>
              </w:rPr>
              <w:t>E</w:t>
            </w:r>
            <w:r w:rsidR="003A54ED" w:rsidRPr="00260B02">
              <w:rPr>
                <w:rFonts w:ascii="Arial Narrow" w:hAnsi="Arial Narrow" w:cstheme="minorHAnsi"/>
                <w:szCs w:val="20"/>
              </w:rPr>
              <w:t>vent</w:t>
            </w:r>
            <w:r w:rsidRPr="00260B02">
              <w:rPr>
                <w:rFonts w:ascii="Arial Narrow" w:hAnsi="Arial Narrow" w:cstheme="minorHAnsi"/>
                <w:szCs w:val="20"/>
              </w:rPr>
              <w:t>s</w:t>
            </w:r>
          </w:p>
        </w:tc>
        <w:tc>
          <w:tcPr>
            <w:tcW w:w="589" w:type="pct"/>
          </w:tcPr>
          <w:p w:rsidR="00AB0121" w:rsidRPr="00260B02" w:rsidRDefault="00AB0121" w:rsidP="000B5584">
            <w:pPr>
              <w:pStyle w:val="Table"/>
              <w:keepNext/>
              <w:keepLines/>
              <w:jc w:val="center"/>
              <w:rPr>
                <w:rFonts w:ascii="Arial Narrow" w:hAnsi="Arial Narrow" w:cstheme="minorHAnsi"/>
                <w:szCs w:val="20"/>
                <w:lang w:val="en-US"/>
              </w:rPr>
            </w:pPr>
            <w:r w:rsidRPr="00260B02">
              <w:rPr>
                <w:rFonts w:ascii="Arial Narrow" w:hAnsi="Arial Narrow" w:cstheme="minorHAnsi"/>
                <w:szCs w:val="20"/>
                <w:lang w:val="en-US"/>
              </w:rPr>
              <w:t>6 (1.6)</w:t>
            </w:r>
          </w:p>
        </w:tc>
        <w:tc>
          <w:tcPr>
            <w:tcW w:w="504" w:type="pct"/>
          </w:tcPr>
          <w:p w:rsidR="00AB0121" w:rsidRPr="00260B02" w:rsidRDefault="00AB0121" w:rsidP="000B5584">
            <w:pPr>
              <w:pStyle w:val="Table"/>
              <w:keepNext/>
              <w:keepLines/>
              <w:jc w:val="center"/>
              <w:rPr>
                <w:rFonts w:ascii="Arial Narrow" w:hAnsi="Arial Narrow" w:cstheme="minorHAnsi"/>
                <w:szCs w:val="20"/>
                <w:lang w:val="en-US"/>
              </w:rPr>
            </w:pPr>
            <w:r w:rsidRPr="00260B02">
              <w:rPr>
                <w:rFonts w:ascii="Arial Narrow" w:hAnsi="Arial Narrow" w:cstheme="minorHAnsi"/>
                <w:szCs w:val="20"/>
                <w:lang w:val="en-US"/>
              </w:rPr>
              <w:t>11 (2.9)</w:t>
            </w:r>
          </w:p>
        </w:tc>
        <w:tc>
          <w:tcPr>
            <w:tcW w:w="439" w:type="pct"/>
            <w:gridSpan w:val="2"/>
          </w:tcPr>
          <w:p w:rsidR="00AB0121" w:rsidRPr="00260B02" w:rsidRDefault="00AB0121" w:rsidP="000B5584">
            <w:pPr>
              <w:pStyle w:val="Table"/>
              <w:keepNext/>
              <w:keepLines/>
              <w:jc w:val="center"/>
              <w:rPr>
                <w:rFonts w:ascii="Arial Narrow" w:hAnsi="Arial Narrow" w:cstheme="minorHAnsi"/>
                <w:szCs w:val="20"/>
                <w:lang w:val="en-US"/>
              </w:rPr>
            </w:pPr>
            <w:r w:rsidRPr="00260B02">
              <w:rPr>
                <w:rFonts w:ascii="Arial Narrow" w:hAnsi="Arial Narrow" w:cstheme="minorHAnsi"/>
                <w:szCs w:val="20"/>
                <w:lang w:val="en-US"/>
              </w:rPr>
              <w:t>0.327</w:t>
            </w:r>
          </w:p>
        </w:tc>
        <w:tc>
          <w:tcPr>
            <w:tcW w:w="571" w:type="pct"/>
          </w:tcPr>
          <w:p w:rsidR="00AB0121" w:rsidRPr="00260B02" w:rsidRDefault="00AB0121" w:rsidP="000B5584">
            <w:pPr>
              <w:pStyle w:val="Table"/>
              <w:keepNext/>
              <w:keepLines/>
              <w:jc w:val="center"/>
              <w:rPr>
                <w:rFonts w:ascii="Arial Narrow" w:hAnsi="Arial Narrow" w:cstheme="minorHAnsi"/>
                <w:szCs w:val="20"/>
              </w:rPr>
            </w:pPr>
            <w:r w:rsidRPr="00260B02">
              <w:rPr>
                <w:rFonts w:ascii="Arial Narrow" w:hAnsi="Arial Narrow" w:cstheme="minorHAnsi"/>
                <w:szCs w:val="20"/>
              </w:rPr>
              <w:t>2 (0.7)</w:t>
            </w:r>
          </w:p>
        </w:tc>
        <w:tc>
          <w:tcPr>
            <w:tcW w:w="505" w:type="pct"/>
          </w:tcPr>
          <w:p w:rsidR="00AB0121" w:rsidRPr="00260B02" w:rsidRDefault="00AB0121" w:rsidP="000B5584">
            <w:pPr>
              <w:pStyle w:val="Table"/>
              <w:keepNext/>
              <w:keepLines/>
              <w:jc w:val="center"/>
              <w:rPr>
                <w:rFonts w:ascii="Arial Narrow" w:hAnsi="Arial Narrow" w:cstheme="minorHAnsi"/>
                <w:szCs w:val="20"/>
              </w:rPr>
            </w:pPr>
            <w:r w:rsidRPr="00260B02">
              <w:rPr>
                <w:rFonts w:ascii="Arial Narrow" w:hAnsi="Arial Narrow" w:cstheme="minorHAnsi"/>
                <w:szCs w:val="20"/>
              </w:rPr>
              <w:t>6 (2.2)</w:t>
            </w:r>
          </w:p>
        </w:tc>
        <w:tc>
          <w:tcPr>
            <w:tcW w:w="457" w:type="pct"/>
          </w:tcPr>
          <w:p w:rsidR="00AB0121" w:rsidRPr="00260B02" w:rsidRDefault="00AB0121" w:rsidP="000B5584">
            <w:pPr>
              <w:pStyle w:val="Table"/>
              <w:keepNext/>
              <w:keepLines/>
              <w:jc w:val="center"/>
              <w:rPr>
                <w:rFonts w:ascii="Arial Narrow" w:hAnsi="Arial Narrow" w:cstheme="minorHAnsi"/>
                <w:szCs w:val="20"/>
              </w:rPr>
            </w:pPr>
            <w:r w:rsidRPr="00260B02">
              <w:rPr>
                <w:rFonts w:ascii="Arial Narrow" w:hAnsi="Arial Narrow" w:cstheme="minorHAnsi"/>
                <w:szCs w:val="20"/>
              </w:rPr>
              <w:t>0.176</w:t>
            </w:r>
          </w:p>
        </w:tc>
      </w:tr>
      <w:tr w:rsidR="003A54ED" w:rsidRPr="00260B02" w:rsidTr="000B5584">
        <w:tc>
          <w:tcPr>
            <w:tcW w:w="1935" w:type="pct"/>
          </w:tcPr>
          <w:p w:rsidR="00AB0121" w:rsidRPr="00260B02" w:rsidRDefault="00AB0121" w:rsidP="000B5584">
            <w:pPr>
              <w:pStyle w:val="Table"/>
              <w:keepNext/>
              <w:keepLines/>
              <w:rPr>
                <w:rFonts w:ascii="Arial Narrow" w:hAnsi="Arial Narrow" w:cstheme="minorHAnsi"/>
                <w:szCs w:val="20"/>
              </w:rPr>
            </w:pPr>
            <w:r w:rsidRPr="00260B02">
              <w:rPr>
                <w:rFonts w:ascii="Arial Narrow" w:hAnsi="Arial Narrow" w:cstheme="minorHAnsi"/>
                <w:szCs w:val="20"/>
              </w:rPr>
              <w:t>Injection site A</w:t>
            </w:r>
            <w:r w:rsidR="003A54ED" w:rsidRPr="00260B02">
              <w:rPr>
                <w:rFonts w:ascii="Arial Narrow" w:hAnsi="Arial Narrow" w:cstheme="minorHAnsi"/>
                <w:szCs w:val="20"/>
              </w:rPr>
              <w:t xml:space="preserve">dverse </w:t>
            </w:r>
            <w:r w:rsidRPr="00260B02">
              <w:rPr>
                <w:rFonts w:ascii="Arial Narrow" w:hAnsi="Arial Narrow" w:cstheme="minorHAnsi"/>
                <w:szCs w:val="20"/>
              </w:rPr>
              <w:t>E</w:t>
            </w:r>
            <w:r w:rsidR="003A54ED" w:rsidRPr="00260B02">
              <w:rPr>
                <w:rFonts w:ascii="Arial Narrow" w:hAnsi="Arial Narrow" w:cstheme="minorHAnsi"/>
                <w:szCs w:val="20"/>
              </w:rPr>
              <w:t>vents</w:t>
            </w:r>
          </w:p>
        </w:tc>
        <w:tc>
          <w:tcPr>
            <w:tcW w:w="589" w:type="pct"/>
          </w:tcPr>
          <w:p w:rsidR="00AB0121" w:rsidRPr="00260B02" w:rsidRDefault="00AB0121" w:rsidP="000B5584">
            <w:pPr>
              <w:pStyle w:val="Table"/>
              <w:keepNext/>
              <w:keepLines/>
              <w:jc w:val="center"/>
              <w:rPr>
                <w:rFonts w:ascii="Arial Narrow" w:hAnsi="Arial Narrow" w:cstheme="minorHAnsi"/>
                <w:szCs w:val="20"/>
                <w:lang w:val="en-US"/>
              </w:rPr>
            </w:pPr>
            <w:r w:rsidRPr="00260B02">
              <w:rPr>
                <w:rFonts w:ascii="Arial Narrow" w:hAnsi="Arial Narrow" w:cstheme="minorHAnsi"/>
                <w:szCs w:val="20"/>
                <w:lang w:val="en-US"/>
              </w:rPr>
              <w:t>13 (3.5)</w:t>
            </w:r>
          </w:p>
        </w:tc>
        <w:tc>
          <w:tcPr>
            <w:tcW w:w="504" w:type="pct"/>
          </w:tcPr>
          <w:p w:rsidR="00AB0121" w:rsidRPr="00260B02" w:rsidRDefault="00AB0121" w:rsidP="000B5584">
            <w:pPr>
              <w:pStyle w:val="Table"/>
              <w:keepNext/>
              <w:keepLines/>
              <w:jc w:val="center"/>
              <w:rPr>
                <w:rFonts w:ascii="Arial Narrow" w:hAnsi="Arial Narrow" w:cstheme="minorHAnsi"/>
                <w:szCs w:val="20"/>
                <w:lang w:val="en-US"/>
              </w:rPr>
            </w:pPr>
            <w:r w:rsidRPr="00260B02">
              <w:rPr>
                <w:rFonts w:ascii="Arial Narrow" w:hAnsi="Arial Narrow" w:cstheme="minorHAnsi"/>
                <w:szCs w:val="20"/>
                <w:lang w:val="en-US"/>
              </w:rPr>
              <w:t>11 (2.9)</w:t>
            </w:r>
          </w:p>
        </w:tc>
        <w:tc>
          <w:tcPr>
            <w:tcW w:w="439" w:type="pct"/>
            <w:gridSpan w:val="2"/>
          </w:tcPr>
          <w:p w:rsidR="00AB0121" w:rsidRPr="00260B02" w:rsidRDefault="00AB0121" w:rsidP="000B5584">
            <w:pPr>
              <w:pStyle w:val="Table"/>
              <w:keepNext/>
              <w:keepLines/>
              <w:jc w:val="center"/>
              <w:rPr>
                <w:rFonts w:ascii="Arial Narrow" w:hAnsi="Arial Narrow" w:cstheme="minorHAnsi"/>
                <w:szCs w:val="20"/>
                <w:lang w:val="en-US"/>
              </w:rPr>
            </w:pPr>
            <w:r w:rsidRPr="00260B02">
              <w:rPr>
                <w:rFonts w:ascii="Arial Narrow" w:hAnsi="Arial Narrow" w:cstheme="minorHAnsi"/>
                <w:szCs w:val="20"/>
                <w:lang w:val="en-US"/>
              </w:rPr>
              <w:t>0.684</w:t>
            </w:r>
          </w:p>
        </w:tc>
        <w:tc>
          <w:tcPr>
            <w:tcW w:w="571" w:type="pct"/>
          </w:tcPr>
          <w:p w:rsidR="00AB0121" w:rsidRPr="00260B02" w:rsidRDefault="00AB0121" w:rsidP="000B5584">
            <w:pPr>
              <w:pStyle w:val="Table"/>
              <w:keepNext/>
              <w:keepLines/>
              <w:jc w:val="center"/>
              <w:rPr>
                <w:rFonts w:ascii="Arial Narrow" w:hAnsi="Arial Narrow" w:cstheme="minorHAnsi"/>
                <w:szCs w:val="20"/>
              </w:rPr>
            </w:pPr>
            <w:r w:rsidRPr="00260B02">
              <w:rPr>
                <w:rFonts w:ascii="Arial Narrow" w:hAnsi="Arial Narrow" w:cstheme="minorHAnsi"/>
                <w:szCs w:val="20"/>
              </w:rPr>
              <w:t>7 (2.6)</w:t>
            </w:r>
          </w:p>
        </w:tc>
        <w:tc>
          <w:tcPr>
            <w:tcW w:w="505" w:type="pct"/>
          </w:tcPr>
          <w:p w:rsidR="00AB0121" w:rsidRPr="00260B02" w:rsidRDefault="00AB0121" w:rsidP="000B5584">
            <w:pPr>
              <w:pStyle w:val="Table"/>
              <w:keepNext/>
              <w:keepLines/>
              <w:jc w:val="center"/>
              <w:rPr>
                <w:rFonts w:ascii="Arial Narrow" w:hAnsi="Arial Narrow" w:cstheme="minorHAnsi"/>
                <w:szCs w:val="20"/>
              </w:rPr>
            </w:pPr>
            <w:r w:rsidRPr="00260B02">
              <w:rPr>
                <w:rFonts w:ascii="Arial Narrow" w:hAnsi="Arial Narrow" w:cstheme="minorHAnsi"/>
                <w:szCs w:val="20"/>
              </w:rPr>
              <w:t>3 (1.1)</w:t>
            </w:r>
          </w:p>
        </w:tc>
        <w:tc>
          <w:tcPr>
            <w:tcW w:w="457" w:type="pct"/>
          </w:tcPr>
          <w:p w:rsidR="00AB0121" w:rsidRPr="00260B02" w:rsidRDefault="00AB0121" w:rsidP="000B5584">
            <w:pPr>
              <w:pStyle w:val="Table"/>
              <w:keepNext/>
              <w:keepLines/>
              <w:jc w:val="center"/>
              <w:rPr>
                <w:rFonts w:ascii="Arial Narrow" w:hAnsi="Arial Narrow" w:cstheme="minorHAnsi"/>
                <w:szCs w:val="20"/>
              </w:rPr>
            </w:pPr>
            <w:r w:rsidRPr="00260B02">
              <w:rPr>
                <w:rFonts w:ascii="Arial Narrow" w:hAnsi="Arial Narrow" w:cstheme="minorHAnsi"/>
                <w:szCs w:val="20"/>
              </w:rPr>
              <w:t>0.339</w:t>
            </w:r>
          </w:p>
        </w:tc>
      </w:tr>
      <w:tr w:rsidR="003A54ED" w:rsidRPr="00260B02" w:rsidTr="000B5584">
        <w:tc>
          <w:tcPr>
            <w:tcW w:w="1935" w:type="pct"/>
          </w:tcPr>
          <w:p w:rsidR="00AB0121" w:rsidRPr="00260B02" w:rsidRDefault="00AB0121" w:rsidP="000B5584">
            <w:pPr>
              <w:pStyle w:val="Table"/>
              <w:keepNext/>
              <w:keepLines/>
              <w:rPr>
                <w:rFonts w:ascii="Arial Narrow" w:hAnsi="Arial Narrow" w:cstheme="minorHAnsi"/>
                <w:b/>
                <w:szCs w:val="20"/>
              </w:rPr>
            </w:pPr>
            <w:r w:rsidRPr="00260B02">
              <w:rPr>
                <w:rFonts w:ascii="Arial Narrow" w:hAnsi="Arial Narrow" w:cstheme="minorHAnsi"/>
                <w:b/>
                <w:szCs w:val="20"/>
              </w:rPr>
              <w:t>T</w:t>
            </w:r>
            <w:r w:rsidR="003A54ED" w:rsidRPr="00260B02">
              <w:rPr>
                <w:rFonts w:ascii="Arial Narrow" w:hAnsi="Arial Narrow" w:cstheme="minorHAnsi"/>
                <w:b/>
                <w:szCs w:val="20"/>
              </w:rPr>
              <w:t>reatment-</w:t>
            </w:r>
            <w:r w:rsidRPr="00260B02">
              <w:rPr>
                <w:rFonts w:ascii="Arial Narrow" w:hAnsi="Arial Narrow" w:cstheme="minorHAnsi"/>
                <w:b/>
                <w:szCs w:val="20"/>
              </w:rPr>
              <w:t>E</w:t>
            </w:r>
            <w:r w:rsidR="003A54ED" w:rsidRPr="00260B02">
              <w:rPr>
                <w:rFonts w:ascii="Arial Narrow" w:hAnsi="Arial Narrow" w:cstheme="minorHAnsi"/>
                <w:b/>
                <w:szCs w:val="20"/>
              </w:rPr>
              <w:t xml:space="preserve">mergent </w:t>
            </w:r>
            <w:r w:rsidRPr="00260B02">
              <w:rPr>
                <w:rFonts w:ascii="Arial Narrow" w:hAnsi="Arial Narrow" w:cstheme="minorHAnsi"/>
                <w:b/>
                <w:szCs w:val="20"/>
              </w:rPr>
              <w:t>A</w:t>
            </w:r>
            <w:r w:rsidR="003A54ED" w:rsidRPr="00260B02">
              <w:rPr>
                <w:rFonts w:ascii="Arial Narrow" w:hAnsi="Arial Narrow" w:cstheme="minorHAnsi"/>
                <w:b/>
                <w:szCs w:val="20"/>
              </w:rPr>
              <w:t xml:space="preserve">dverse </w:t>
            </w:r>
            <w:r w:rsidRPr="00260B02">
              <w:rPr>
                <w:rFonts w:ascii="Arial Narrow" w:hAnsi="Arial Narrow" w:cstheme="minorHAnsi"/>
                <w:b/>
                <w:szCs w:val="20"/>
              </w:rPr>
              <w:t>E</w:t>
            </w:r>
            <w:r w:rsidR="003A54ED" w:rsidRPr="00260B02">
              <w:rPr>
                <w:rFonts w:ascii="Arial Narrow" w:hAnsi="Arial Narrow" w:cstheme="minorHAnsi"/>
                <w:b/>
                <w:szCs w:val="20"/>
              </w:rPr>
              <w:t>vent</w:t>
            </w:r>
            <w:r w:rsidRPr="00260B02">
              <w:rPr>
                <w:rFonts w:ascii="Arial Narrow" w:hAnsi="Arial Narrow" w:cstheme="minorHAnsi"/>
                <w:b/>
                <w:szCs w:val="20"/>
              </w:rPr>
              <w:t>s</w:t>
            </w:r>
          </w:p>
        </w:tc>
        <w:tc>
          <w:tcPr>
            <w:tcW w:w="589" w:type="pct"/>
          </w:tcPr>
          <w:p w:rsidR="00AB0121" w:rsidRPr="00260B02" w:rsidRDefault="00AB0121" w:rsidP="000B5584">
            <w:pPr>
              <w:pStyle w:val="Table"/>
              <w:keepNext/>
              <w:keepLines/>
              <w:jc w:val="center"/>
              <w:rPr>
                <w:rFonts w:ascii="Arial Narrow" w:hAnsi="Arial Narrow" w:cstheme="minorHAnsi"/>
                <w:szCs w:val="20"/>
                <w:lang w:val="en-US"/>
              </w:rPr>
            </w:pPr>
            <w:r w:rsidRPr="00260B02">
              <w:rPr>
                <w:rFonts w:ascii="Arial Narrow" w:hAnsi="Arial Narrow" w:cstheme="minorHAnsi"/>
                <w:szCs w:val="20"/>
                <w:lang w:val="en-US"/>
              </w:rPr>
              <w:t>196 (52.1)</w:t>
            </w:r>
          </w:p>
        </w:tc>
        <w:tc>
          <w:tcPr>
            <w:tcW w:w="504" w:type="pct"/>
          </w:tcPr>
          <w:p w:rsidR="00AB0121" w:rsidRPr="00260B02" w:rsidRDefault="00AB0121" w:rsidP="000B5584">
            <w:pPr>
              <w:pStyle w:val="Table"/>
              <w:keepNext/>
              <w:keepLines/>
              <w:jc w:val="center"/>
              <w:rPr>
                <w:rFonts w:ascii="Arial Narrow" w:hAnsi="Arial Narrow" w:cstheme="minorHAnsi"/>
                <w:szCs w:val="20"/>
                <w:lang w:val="en-US"/>
              </w:rPr>
            </w:pPr>
            <w:r w:rsidRPr="00260B02">
              <w:rPr>
                <w:rFonts w:ascii="Arial Narrow" w:hAnsi="Arial Narrow" w:cstheme="minorHAnsi"/>
                <w:szCs w:val="20"/>
                <w:lang w:val="en-US"/>
              </w:rPr>
              <w:t>184 (48.4)</w:t>
            </w:r>
          </w:p>
        </w:tc>
        <w:tc>
          <w:tcPr>
            <w:tcW w:w="439" w:type="pct"/>
            <w:gridSpan w:val="2"/>
          </w:tcPr>
          <w:p w:rsidR="00AB0121" w:rsidRPr="00260B02" w:rsidRDefault="00AB0121" w:rsidP="000B5584">
            <w:pPr>
              <w:pStyle w:val="Table"/>
              <w:keepNext/>
              <w:keepLines/>
              <w:jc w:val="center"/>
              <w:rPr>
                <w:rFonts w:ascii="Arial Narrow" w:hAnsi="Arial Narrow" w:cstheme="minorHAnsi"/>
                <w:szCs w:val="20"/>
                <w:lang w:val="en-US"/>
              </w:rPr>
            </w:pPr>
            <w:r w:rsidRPr="00260B02">
              <w:rPr>
                <w:rFonts w:ascii="Arial Narrow" w:hAnsi="Arial Narrow" w:cstheme="minorHAnsi"/>
                <w:szCs w:val="20"/>
                <w:lang w:val="en-US"/>
              </w:rPr>
              <w:t>0.310</w:t>
            </w:r>
          </w:p>
        </w:tc>
        <w:tc>
          <w:tcPr>
            <w:tcW w:w="571" w:type="pct"/>
          </w:tcPr>
          <w:p w:rsidR="00AB0121" w:rsidRPr="00260B02" w:rsidRDefault="00AB0121" w:rsidP="000B5584">
            <w:pPr>
              <w:pStyle w:val="Table"/>
              <w:keepNext/>
              <w:keepLines/>
              <w:jc w:val="center"/>
              <w:rPr>
                <w:rFonts w:ascii="Arial Narrow" w:hAnsi="Arial Narrow" w:cstheme="minorHAnsi"/>
                <w:szCs w:val="20"/>
              </w:rPr>
            </w:pPr>
            <w:r w:rsidRPr="00260B02">
              <w:rPr>
                <w:rFonts w:ascii="Arial Narrow" w:hAnsi="Arial Narrow" w:cstheme="minorHAnsi"/>
                <w:szCs w:val="20"/>
              </w:rPr>
              <w:t>167 (62.3)</w:t>
            </w:r>
          </w:p>
        </w:tc>
        <w:tc>
          <w:tcPr>
            <w:tcW w:w="505" w:type="pct"/>
          </w:tcPr>
          <w:p w:rsidR="00AB0121" w:rsidRPr="00260B02" w:rsidRDefault="00AB0121" w:rsidP="000B5584">
            <w:pPr>
              <w:pStyle w:val="Table"/>
              <w:keepNext/>
              <w:keepLines/>
              <w:jc w:val="center"/>
              <w:rPr>
                <w:rFonts w:ascii="Arial Narrow" w:hAnsi="Arial Narrow" w:cstheme="minorHAnsi"/>
                <w:szCs w:val="20"/>
              </w:rPr>
            </w:pPr>
            <w:r w:rsidRPr="00260B02">
              <w:rPr>
                <w:rFonts w:ascii="Arial Narrow" w:hAnsi="Arial Narrow" w:cstheme="minorHAnsi"/>
                <w:szCs w:val="20"/>
              </w:rPr>
              <w:t>166 (62.2)</w:t>
            </w:r>
          </w:p>
        </w:tc>
        <w:tc>
          <w:tcPr>
            <w:tcW w:w="457" w:type="pct"/>
          </w:tcPr>
          <w:p w:rsidR="00AB0121" w:rsidRPr="00260B02" w:rsidRDefault="00AB0121" w:rsidP="000B5584">
            <w:pPr>
              <w:pStyle w:val="Table"/>
              <w:keepNext/>
              <w:keepLines/>
              <w:jc w:val="center"/>
              <w:rPr>
                <w:rFonts w:ascii="Arial Narrow" w:hAnsi="Arial Narrow" w:cstheme="minorHAnsi"/>
                <w:szCs w:val="20"/>
              </w:rPr>
            </w:pPr>
            <w:r w:rsidRPr="00260B02">
              <w:rPr>
                <w:rFonts w:ascii="Arial Narrow" w:hAnsi="Arial Narrow" w:cstheme="minorHAnsi"/>
                <w:szCs w:val="20"/>
              </w:rPr>
              <w:t>&gt;0.999</w:t>
            </w:r>
          </w:p>
        </w:tc>
      </w:tr>
      <w:tr w:rsidR="003A54ED" w:rsidRPr="00260B02" w:rsidTr="000B5584">
        <w:tc>
          <w:tcPr>
            <w:tcW w:w="1935" w:type="pct"/>
          </w:tcPr>
          <w:p w:rsidR="00AB0121" w:rsidRPr="00260B02" w:rsidRDefault="00AB0121" w:rsidP="000B5584">
            <w:pPr>
              <w:pStyle w:val="Table"/>
              <w:keepNext/>
              <w:keepLines/>
              <w:ind w:left="284"/>
              <w:rPr>
                <w:rFonts w:ascii="Arial Narrow" w:hAnsi="Arial Narrow" w:cstheme="minorHAnsi"/>
                <w:szCs w:val="20"/>
              </w:rPr>
            </w:pPr>
            <w:r w:rsidRPr="00260B02">
              <w:rPr>
                <w:rFonts w:ascii="Arial Narrow" w:hAnsi="Arial Narrow" w:cstheme="minorHAnsi"/>
                <w:szCs w:val="20"/>
              </w:rPr>
              <w:t>TEAE possibly related to study drug</w:t>
            </w:r>
          </w:p>
        </w:tc>
        <w:tc>
          <w:tcPr>
            <w:tcW w:w="589" w:type="pct"/>
          </w:tcPr>
          <w:p w:rsidR="00AB0121" w:rsidRPr="00260B02" w:rsidRDefault="00AB0121" w:rsidP="000B5584">
            <w:pPr>
              <w:pStyle w:val="Table"/>
              <w:keepNext/>
              <w:keepLines/>
              <w:jc w:val="center"/>
              <w:rPr>
                <w:rFonts w:ascii="Arial Narrow" w:hAnsi="Arial Narrow" w:cstheme="minorHAnsi"/>
                <w:szCs w:val="20"/>
                <w:lang w:val="en-US"/>
              </w:rPr>
            </w:pPr>
            <w:r w:rsidRPr="00260B02">
              <w:rPr>
                <w:rFonts w:ascii="Arial Narrow" w:hAnsi="Arial Narrow" w:cstheme="minorHAnsi"/>
                <w:szCs w:val="20"/>
                <w:lang w:val="en-US"/>
              </w:rPr>
              <w:t>26 (6.9)</w:t>
            </w:r>
          </w:p>
        </w:tc>
        <w:tc>
          <w:tcPr>
            <w:tcW w:w="504" w:type="pct"/>
          </w:tcPr>
          <w:p w:rsidR="00AB0121" w:rsidRPr="00260B02" w:rsidRDefault="00AB0121" w:rsidP="000B5584">
            <w:pPr>
              <w:pStyle w:val="Table"/>
              <w:keepNext/>
              <w:keepLines/>
              <w:jc w:val="center"/>
              <w:rPr>
                <w:rFonts w:ascii="Arial Narrow" w:hAnsi="Arial Narrow" w:cstheme="minorHAnsi"/>
                <w:szCs w:val="20"/>
                <w:lang w:val="en-US"/>
              </w:rPr>
            </w:pPr>
            <w:r w:rsidRPr="00260B02">
              <w:rPr>
                <w:rFonts w:ascii="Arial Narrow" w:hAnsi="Arial Narrow" w:cstheme="minorHAnsi"/>
                <w:szCs w:val="20"/>
                <w:lang w:val="en-US"/>
              </w:rPr>
              <w:t>23 (6.1)</w:t>
            </w:r>
          </w:p>
        </w:tc>
        <w:tc>
          <w:tcPr>
            <w:tcW w:w="439" w:type="pct"/>
            <w:gridSpan w:val="2"/>
          </w:tcPr>
          <w:p w:rsidR="00AB0121" w:rsidRPr="00260B02" w:rsidRDefault="00AB0121" w:rsidP="000B5584">
            <w:pPr>
              <w:pStyle w:val="Table"/>
              <w:keepNext/>
              <w:keepLines/>
              <w:jc w:val="center"/>
              <w:rPr>
                <w:rFonts w:ascii="Arial Narrow" w:hAnsi="Arial Narrow" w:cstheme="minorHAnsi"/>
                <w:szCs w:val="20"/>
                <w:lang w:val="en-US"/>
              </w:rPr>
            </w:pPr>
            <w:r w:rsidRPr="00260B02">
              <w:rPr>
                <w:rFonts w:ascii="Arial Narrow" w:hAnsi="Arial Narrow" w:cstheme="minorHAnsi"/>
                <w:szCs w:val="20"/>
                <w:lang w:val="en-US"/>
              </w:rPr>
              <w:t>0.660</w:t>
            </w:r>
          </w:p>
        </w:tc>
        <w:tc>
          <w:tcPr>
            <w:tcW w:w="571" w:type="pct"/>
          </w:tcPr>
          <w:p w:rsidR="00AB0121" w:rsidRPr="00260B02" w:rsidRDefault="00AB0121" w:rsidP="000B5584">
            <w:pPr>
              <w:pStyle w:val="Table"/>
              <w:keepNext/>
              <w:keepLines/>
              <w:jc w:val="center"/>
              <w:rPr>
                <w:rFonts w:ascii="Arial Narrow" w:hAnsi="Arial Narrow" w:cstheme="minorHAnsi"/>
                <w:szCs w:val="20"/>
              </w:rPr>
            </w:pPr>
            <w:r w:rsidRPr="00260B02">
              <w:rPr>
                <w:rFonts w:ascii="Arial Narrow" w:hAnsi="Arial Narrow" w:cstheme="minorHAnsi"/>
                <w:szCs w:val="20"/>
              </w:rPr>
              <w:t>17 (6.3)</w:t>
            </w:r>
          </w:p>
        </w:tc>
        <w:tc>
          <w:tcPr>
            <w:tcW w:w="505" w:type="pct"/>
          </w:tcPr>
          <w:p w:rsidR="00AB0121" w:rsidRPr="00260B02" w:rsidRDefault="00AB0121" w:rsidP="000B5584">
            <w:pPr>
              <w:pStyle w:val="Table"/>
              <w:keepNext/>
              <w:keepLines/>
              <w:jc w:val="center"/>
              <w:rPr>
                <w:rFonts w:ascii="Arial Narrow" w:hAnsi="Arial Narrow" w:cstheme="minorHAnsi"/>
                <w:szCs w:val="20"/>
              </w:rPr>
            </w:pPr>
            <w:r w:rsidRPr="00260B02">
              <w:rPr>
                <w:rFonts w:ascii="Arial Narrow" w:hAnsi="Arial Narrow" w:cstheme="minorHAnsi"/>
                <w:szCs w:val="20"/>
              </w:rPr>
              <w:t>14 (5.2)</w:t>
            </w:r>
          </w:p>
        </w:tc>
        <w:tc>
          <w:tcPr>
            <w:tcW w:w="457" w:type="pct"/>
          </w:tcPr>
          <w:p w:rsidR="00AB0121" w:rsidRPr="00260B02" w:rsidRDefault="00AB0121" w:rsidP="000B5584">
            <w:pPr>
              <w:pStyle w:val="Table"/>
              <w:keepNext/>
              <w:keepLines/>
              <w:jc w:val="center"/>
              <w:rPr>
                <w:rFonts w:ascii="Arial Narrow" w:hAnsi="Arial Narrow" w:cstheme="minorHAnsi"/>
                <w:szCs w:val="20"/>
              </w:rPr>
            </w:pPr>
            <w:r w:rsidRPr="00260B02">
              <w:rPr>
                <w:rFonts w:ascii="Arial Narrow" w:hAnsi="Arial Narrow" w:cstheme="minorHAnsi"/>
                <w:szCs w:val="20"/>
              </w:rPr>
              <w:t>0.712</w:t>
            </w:r>
          </w:p>
        </w:tc>
      </w:tr>
      <w:tr w:rsidR="003A54ED" w:rsidRPr="00260B02" w:rsidTr="000B5584">
        <w:tc>
          <w:tcPr>
            <w:tcW w:w="1935" w:type="pct"/>
          </w:tcPr>
          <w:p w:rsidR="00AB0121" w:rsidRPr="00260B02" w:rsidRDefault="00AB0121" w:rsidP="000B5584">
            <w:pPr>
              <w:pStyle w:val="Table"/>
              <w:keepNext/>
              <w:keepLines/>
              <w:ind w:left="284"/>
              <w:rPr>
                <w:rFonts w:ascii="Arial Narrow" w:hAnsi="Arial Narrow" w:cstheme="minorHAnsi"/>
                <w:szCs w:val="20"/>
              </w:rPr>
            </w:pPr>
            <w:r w:rsidRPr="00260B02">
              <w:rPr>
                <w:rFonts w:ascii="Arial Narrow" w:hAnsi="Arial Narrow" w:cstheme="minorHAnsi"/>
                <w:szCs w:val="20"/>
              </w:rPr>
              <w:t xml:space="preserve">TEAE possibly related to study procedure </w:t>
            </w:r>
          </w:p>
        </w:tc>
        <w:tc>
          <w:tcPr>
            <w:tcW w:w="589" w:type="pct"/>
          </w:tcPr>
          <w:p w:rsidR="00AB0121" w:rsidRPr="00260B02" w:rsidRDefault="00AB0121" w:rsidP="000B5584">
            <w:pPr>
              <w:pStyle w:val="Table"/>
              <w:keepNext/>
              <w:keepLines/>
              <w:jc w:val="center"/>
              <w:rPr>
                <w:rFonts w:ascii="Arial Narrow" w:hAnsi="Arial Narrow" w:cstheme="minorHAnsi"/>
                <w:szCs w:val="20"/>
                <w:lang w:val="en-US"/>
              </w:rPr>
            </w:pPr>
            <w:r w:rsidRPr="00260B02">
              <w:rPr>
                <w:rFonts w:ascii="Arial Narrow" w:hAnsi="Arial Narrow" w:cstheme="minorHAnsi"/>
                <w:szCs w:val="20"/>
                <w:lang w:val="en-US"/>
              </w:rPr>
              <w:t>6 (1.6)</w:t>
            </w:r>
          </w:p>
        </w:tc>
        <w:tc>
          <w:tcPr>
            <w:tcW w:w="504" w:type="pct"/>
          </w:tcPr>
          <w:p w:rsidR="00AB0121" w:rsidRPr="00260B02" w:rsidRDefault="00AB0121" w:rsidP="000B5584">
            <w:pPr>
              <w:pStyle w:val="Table"/>
              <w:keepNext/>
              <w:keepLines/>
              <w:jc w:val="center"/>
              <w:rPr>
                <w:rFonts w:ascii="Arial Narrow" w:hAnsi="Arial Narrow" w:cstheme="minorHAnsi"/>
                <w:szCs w:val="20"/>
                <w:lang w:val="en-US"/>
              </w:rPr>
            </w:pPr>
            <w:r w:rsidRPr="00260B02">
              <w:rPr>
                <w:rFonts w:ascii="Arial Narrow" w:hAnsi="Arial Narrow" w:cstheme="minorHAnsi"/>
                <w:szCs w:val="20"/>
                <w:lang w:val="en-US"/>
              </w:rPr>
              <w:t>8 (2.1)</w:t>
            </w:r>
          </w:p>
        </w:tc>
        <w:tc>
          <w:tcPr>
            <w:tcW w:w="439" w:type="pct"/>
            <w:gridSpan w:val="2"/>
          </w:tcPr>
          <w:p w:rsidR="00AB0121" w:rsidRPr="00260B02" w:rsidRDefault="00AB0121" w:rsidP="000B5584">
            <w:pPr>
              <w:pStyle w:val="Table"/>
              <w:keepNext/>
              <w:keepLines/>
              <w:jc w:val="center"/>
              <w:rPr>
                <w:rFonts w:ascii="Arial Narrow" w:hAnsi="Arial Narrow" w:cstheme="minorHAnsi"/>
                <w:szCs w:val="20"/>
                <w:lang w:val="en-US"/>
              </w:rPr>
            </w:pPr>
            <w:r w:rsidRPr="00260B02">
              <w:rPr>
                <w:rFonts w:ascii="Arial Narrow" w:hAnsi="Arial Narrow" w:cstheme="minorHAnsi"/>
                <w:szCs w:val="20"/>
                <w:lang w:val="en-US"/>
              </w:rPr>
              <w:t>0.789</w:t>
            </w:r>
          </w:p>
        </w:tc>
        <w:tc>
          <w:tcPr>
            <w:tcW w:w="571" w:type="pct"/>
          </w:tcPr>
          <w:p w:rsidR="00AB0121" w:rsidRPr="00260B02" w:rsidRDefault="00AB0121" w:rsidP="000B5584">
            <w:pPr>
              <w:pStyle w:val="Table"/>
              <w:keepNext/>
              <w:keepLines/>
              <w:jc w:val="center"/>
              <w:rPr>
                <w:rFonts w:ascii="Arial Narrow" w:hAnsi="Arial Narrow" w:cstheme="minorHAnsi"/>
                <w:szCs w:val="20"/>
              </w:rPr>
            </w:pPr>
            <w:r w:rsidRPr="00260B02">
              <w:rPr>
                <w:rFonts w:ascii="Arial Narrow" w:hAnsi="Arial Narrow" w:cstheme="minorHAnsi"/>
                <w:szCs w:val="20"/>
              </w:rPr>
              <w:t>2 (0.7)</w:t>
            </w:r>
          </w:p>
        </w:tc>
        <w:tc>
          <w:tcPr>
            <w:tcW w:w="505" w:type="pct"/>
          </w:tcPr>
          <w:p w:rsidR="00AB0121" w:rsidRPr="00260B02" w:rsidRDefault="00AB0121" w:rsidP="000B5584">
            <w:pPr>
              <w:pStyle w:val="Table"/>
              <w:keepNext/>
              <w:keepLines/>
              <w:jc w:val="center"/>
              <w:rPr>
                <w:rFonts w:ascii="Arial Narrow" w:hAnsi="Arial Narrow" w:cstheme="minorHAnsi"/>
                <w:szCs w:val="20"/>
              </w:rPr>
            </w:pPr>
            <w:r w:rsidRPr="00260B02">
              <w:rPr>
                <w:rFonts w:ascii="Arial Narrow" w:hAnsi="Arial Narrow" w:cstheme="minorHAnsi"/>
                <w:szCs w:val="20"/>
              </w:rPr>
              <w:t>2 (0.7)</w:t>
            </w:r>
          </w:p>
        </w:tc>
        <w:tc>
          <w:tcPr>
            <w:tcW w:w="457" w:type="pct"/>
          </w:tcPr>
          <w:p w:rsidR="00AB0121" w:rsidRPr="00260B02" w:rsidRDefault="00AB0121" w:rsidP="000B5584">
            <w:pPr>
              <w:pStyle w:val="Table"/>
              <w:keepNext/>
              <w:keepLines/>
              <w:jc w:val="center"/>
              <w:rPr>
                <w:rFonts w:ascii="Arial Narrow" w:hAnsi="Arial Narrow" w:cstheme="minorHAnsi"/>
                <w:szCs w:val="20"/>
              </w:rPr>
            </w:pPr>
            <w:r w:rsidRPr="00260B02">
              <w:rPr>
                <w:rFonts w:ascii="Arial Narrow" w:hAnsi="Arial Narrow" w:cstheme="minorHAnsi"/>
                <w:szCs w:val="20"/>
              </w:rPr>
              <w:t>&gt;0.999</w:t>
            </w:r>
          </w:p>
        </w:tc>
      </w:tr>
      <w:tr w:rsidR="003A54ED" w:rsidRPr="00260B02" w:rsidTr="000B5584">
        <w:tc>
          <w:tcPr>
            <w:tcW w:w="1935" w:type="pct"/>
          </w:tcPr>
          <w:p w:rsidR="00AB0121" w:rsidRPr="00260B02" w:rsidRDefault="00AB0121" w:rsidP="000B5584">
            <w:pPr>
              <w:pStyle w:val="Table"/>
              <w:keepNext/>
              <w:keepLines/>
              <w:ind w:left="284"/>
              <w:rPr>
                <w:rFonts w:ascii="Arial Narrow" w:hAnsi="Arial Narrow" w:cstheme="minorHAnsi"/>
                <w:szCs w:val="20"/>
              </w:rPr>
            </w:pPr>
            <w:r w:rsidRPr="00260B02">
              <w:rPr>
                <w:rFonts w:ascii="Arial Narrow" w:hAnsi="Arial Narrow" w:cstheme="minorHAnsi"/>
                <w:szCs w:val="20"/>
              </w:rPr>
              <w:t>TEAE possibly related to study disease state (diabetes)</w:t>
            </w:r>
          </w:p>
        </w:tc>
        <w:tc>
          <w:tcPr>
            <w:tcW w:w="589" w:type="pct"/>
          </w:tcPr>
          <w:p w:rsidR="00AB0121" w:rsidRPr="00260B02" w:rsidRDefault="00AB0121" w:rsidP="000B5584">
            <w:pPr>
              <w:pStyle w:val="Table"/>
              <w:keepNext/>
              <w:keepLines/>
              <w:jc w:val="center"/>
              <w:rPr>
                <w:rFonts w:ascii="Arial Narrow" w:hAnsi="Arial Narrow" w:cstheme="minorHAnsi"/>
                <w:szCs w:val="20"/>
                <w:lang w:val="en-US"/>
              </w:rPr>
            </w:pPr>
            <w:r w:rsidRPr="00260B02">
              <w:rPr>
                <w:rFonts w:ascii="Arial Narrow" w:hAnsi="Arial Narrow" w:cstheme="minorHAnsi"/>
                <w:szCs w:val="20"/>
                <w:lang w:val="en-US"/>
              </w:rPr>
              <w:t>19 (5.1)</w:t>
            </w:r>
          </w:p>
        </w:tc>
        <w:tc>
          <w:tcPr>
            <w:tcW w:w="504" w:type="pct"/>
          </w:tcPr>
          <w:p w:rsidR="00AB0121" w:rsidRPr="00260B02" w:rsidRDefault="00AB0121" w:rsidP="000B5584">
            <w:pPr>
              <w:pStyle w:val="Table"/>
              <w:keepNext/>
              <w:keepLines/>
              <w:jc w:val="center"/>
              <w:rPr>
                <w:rFonts w:ascii="Arial Narrow" w:hAnsi="Arial Narrow" w:cstheme="minorHAnsi"/>
                <w:szCs w:val="20"/>
                <w:lang w:val="en-US"/>
              </w:rPr>
            </w:pPr>
            <w:r w:rsidRPr="00260B02">
              <w:rPr>
                <w:rFonts w:ascii="Arial Narrow" w:hAnsi="Arial Narrow" w:cstheme="minorHAnsi"/>
                <w:szCs w:val="20"/>
                <w:lang w:val="en-US"/>
              </w:rPr>
              <w:t>18 (4.7)</w:t>
            </w:r>
          </w:p>
        </w:tc>
        <w:tc>
          <w:tcPr>
            <w:tcW w:w="439" w:type="pct"/>
            <w:gridSpan w:val="2"/>
          </w:tcPr>
          <w:p w:rsidR="00AB0121" w:rsidRPr="00260B02" w:rsidRDefault="00AB0121" w:rsidP="000B5584">
            <w:pPr>
              <w:pStyle w:val="Table"/>
              <w:keepNext/>
              <w:keepLines/>
              <w:jc w:val="center"/>
              <w:rPr>
                <w:rFonts w:ascii="Arial Narrow" w:hAnsi="Arial Narrow" w:cstheme="minorHAnsi"/>
                <w:szCs w:val="20"/>
                <w:lang w:val="en-US"/>
              </w:rPr>
            </w:pPr>
            <w:r w:rsidRPr="00260B02">
              <w:rPr>
                <w:rFonts w:ascii="Arial Narrow" w:hAnsi="Arial Narrow" w:cstheme="minorHAnsi"/>
                <w:szCs w:val="20"/>
                <w:lang w:val="en-US"/>
              </w:rPr>
              <w:t>0.868</w:t>
            </w:r>
          </w:p>
        </w:tc>
        <w:tc>
          <w:tcPr>
            <w:tcW w:w="571" w:type="pct"/>
          </w:tcPr>
          <w:p w:rsidR="00AB0121" w:rsidRPr="00260B02" w:rsidRDefault="00AB0121" w:rsidP="000B5584">
            <w:pPr>
              <w:pStyle w:val="Table"/>
              <w:keepNext/>
              <w:keepLines/>
              <w:jc w:val="center"/>
              <w:rPr>
                <w:rFonts w:ascii="Arial Narrow" w:hAnsi="Arial Narrow" w:cstheme="minorHAnsi"/>
                <w:szCs w:val="20"/>
              </w:rPr>
            </w:pPr>
            <w:r w:rsidRPr="00260B02">
              <w:rPr>
                <w:rFonts w:ascii="Arial Narrow" w:hAnsi="Arial Narrow" w:cstheme="minorHAnsi"/>
                <w:szCs w:val="20"/>
              </w:rPr>
              <w:t>21 (7.8)</w:t>
            </w:r>
          </w:p>
        </w:tc>
        <w:tc>
          <w:tcPr>
            <w:tcW w:w="505" w:type="pct"/>
          </w:tcPr>
          <w:p w:rsidR="00AB0121" w:rsidRPr="00260B02" w:rsidRDefault="00AB0121" w:rsidP="000B5584">
            <w:pPr>
              <w:pStyle w:val="Table"/>
              <w:keepNext/>
              <w:keepLines/>
              <w:jc w:val="center"/>
              <w:rPr>
                <w:rFonts w:ascii="Arial Narrow" w:hAnsi="Arial Narrow" w:cstheme="minorHAnsi"/>
                <w:szCs w:val="20"/>
              </w:rPr>
            </w:pPr>
            <w:r w:rsidRPr="00260B02">
              <w:rPr>
                <w:rFonts w:ascii="Arial Narrow" w:hAnsi="Arial Narrow" w:cstheme="minorHAnsi"/>
                <w:szCs w:val="20"/>
              </w:rPr>
              <w:t>16 (6.0)</w:t>
            </w:r>
          </w:p>
        </w:tc>
        <w:tc>
          <w:tcPr>
            <w:tcW w:w="457" w:type="pct"/>
          </w:tcPr>
          <w:p w:rsidR="00AB0121" w:rsidRPr="00260B02" w:rsidRDefault="00AB0121" w:rsidP="000B5584">
            <w:pPr>
              <w:pStyle w:val="Table"/>
              <w:keepNext/>
              <w:keepLines/>
              <w:jc w:val="center"/>
              <w:rPr>
                <w:rFonts w:ascii="Arial Narrow" w:hAnsi="Arial Narrow" w:cstheme="minorHAnsi"/>
                <w:szCs w:val="20"/>
              </w:rPr>
            </w:pPr>
            <w:r w:rsidRPr="00260B02">
              <w:rPr>
                <w:rFonts w:ascii="Arial Narrow" w:hAnsi="Arial Narrow" w:cstheme="minorHAnsi"/>
                <w:szCs w:val="20"/>
              </w:rPr>
              <w:t>0.496</w:t>
            </w:r>
          </w:p>
        </w:tc>
      </w:tr>
      <w:tr w:rsidR="003A54ED" w:rsidRPr="00260B02" w:rsidTr="000B5584">
        <w:tc>
          <w:tcPr>
            <w:tcW w:w="1935" w:type="pct"/>
          </w:tcPr>
          <w:p w:rsidR="00AB0121" w:rsidRPr="00260B02" w:rsidRDefault="00AB0121" w:rsidP="000B5584">
            <w:pPr>
              <w:pStyle w:val="Table"/>
              <w:keepNext/>
              <w:keepLines/>
              <w:ind w:left="284"/>
              <w:rPr>
                <w:rFonts w:ascii="Arial Narrow" w:hAnsi="Arial Narrow" w:cstheme="minorHAnsi"/>
                <w:szCs w:val="20"/>
              </w:rPr>
            </w:pPr>
            <w:r w:rsidRPr="00260B02">
              <w:rPr>
                <w:rFonts w:ascii="Arial Narrow" w:hAnsi="Arial Narrow" w:cstheme="minorHAnsi"/>
                <w:szCs w:val="20"/>
              </w:rPr>
              <w:t>TEAE with special topic assessment of adverse (allergic) events</w:t>
            </w:r>
          </w:p>
        </w:tc>
        <w:tc>
          <w:tcPr>
            <w:tcW w:w="589" w:type="pct"/>
          </w:tcPr>
          <w:p w:rsidR="00AB0121" w:rsidRPr="00260B02" w:rsidRDefault="00AB0121" w:rsidP="000B5584">
            <w:pPr>
              <w:pStyle w:val="Table"/>
              <w:keepNext/>
              <w:keepLines/>
              <w:jc w:val="center"/>
              <w:rPr>
                <w:rFonts w:ascii="Arial Narrow" w:hAnsi="Arial Narrow" w:cstheme="minorHAnsi"/>
                <w:szCs w:val="20"/>
                <w:lang w:val="en-US"/>
              </w:rPr>
            </w:pPr>
            <w:r w:rsidRPr="00260B02">
              <w:rPr>
                <w:rFonts w:ascii="Arial Narrow" w:hAnsi="Arial Narrow" w:cstheme="minorHAnsi"/>
                <w:szCs w:val="20"/>
                <w:lang w:val="en-US"/>
              </w:rPr>
              <w:t>21 (5.6)</w:t>
            </w:r>
          </w:p>
        </w:tc>
        <w:tc>
          <w:tcPr>
            <w:tcW w:w="504" w:type="pct"/>
          </w:tcPr>
          <w:p w:rsidR="00AB0121" w:rsidRPr="00260B02" w:rsidRDefault="00AB0121" w:rsidP="000B5584">
            <w:pPr>
              <w:pStyle w:val="Table"/>
              <w:keepNext/>
              <w:keepLines/>
              <w:jc w:val="center"/>
              <w:rPr>
                <w:rFonts w:ascii="Arial Narrow" w:hAnsi="Arial Narrow" w:cstheme="minorHAnsi"/>
                <w:szCs w:val="20"/>
                <w:lang w:val="en-US"/>
              </w:rPr>
            </w:pPr>
            <w:r w:rsidRPr="00260B02">
              <w:rPr>
                <w:rFonts w:ascii="Arial Narrow" w:hAnsi="Arial Narrow" w:cstheme="minorHAnsi"/>
                <w:szCs w:val="20"/>
                <w:lang w:val="en-US"/>
              </w:rPr>
              <w:t>27 (7.1)</w:t>
            </w:r>
          </w:p>
        </w:tc>
        <w:tc>
          <w:tcPr>
            <w:tcW w:w="439" w:type="pct"/>
            <w:gridSpan w:val="2"/>
          </w:tcPr>
          <w:p w:rsidR="00AB0121" w:rsidRPr="00260B02" w:rsidRDefault="00AB0121" w:rsidP="000B5584">
            <w:pPr>
              <w:pStyle w:val="Table"/>
              <w:keepNext/>
              <w:keepLines/>
              <w:jc w:val="center"/>
              <w:rPr>
                <w:rFonts w:ascii="Arial Narrow" w:hAnsi="Arial Narrow" w:cstheme="minorHAnsi"/>
                <w:szCs w:val="20"/>
                <w:lang w:val="en-US"/>
              </w:rPr>
            </w:pPr>
            <w:r w:rsidRPr="00260B02">
              <w:rPr>
                <w:rFonts w:ascii="Arial Narrow" w:hAnsi="Arial Narrow" w:cstheme="minorHAnsi"/>
                <w:szCs w:val="20"/>
                <w:lang w:val="en-US"/>
              </w:rPr>
              <w:t>0.456</w:t>
            </w:r>
          </w:p>
        </w:tc>
        <w:tc>
          <w:tcPr>
            <w:tcW w:w="571" w:type="pct"/>
          </w:tcPr>
          <w:p w:rsidR="00AB0121" w:rsidRPr="00260B02" w:rsidRDefault="00AB0121" w:rsidP="000B5584">
            <w:pPr>
              <w:pStyle w:val="Table"/>
              <w:keepNext/>
              <w:keepLines/>
              <w:jc w:val="center"/>
              <w:rPr>
                <w:rFonts w:ascii="Arial Narrow" w:hAnsi="Arial Narrow" w:cstheme="minorHAnsi"/>
                <w:szCs w:val="20"/>
              </w:rPr>
            </w:pPr>
            <w:r w:rsidRPr="00260B02">
              <w:rPr>
                <w:rFonts w:ascii="Arial Narrow" w:hAnsi="Arial Narrow" w:cstheme="minorHAnsi"/>
                <w:szCs w:val="20"/>
              </w:rPr>
              <w:t>20 (7.5)</w:t>
            </w:r>
          </w:p>
        </w:tc>
        <w:tc>
          <w:tcPr>
            <w:tcW w:w="505" w:type="pct"/>
          </w:tcPr>
          <w:p w:rsidR="00AB0121" w:rsidRPr="00260B02" w:rsidRDefault="00AB0121" w:rsidP="000B5584">
            <w:pPr>
              <w:pStyle w:val="Table"/>
              <w:keepNext/>
              <w:keepLines/>
              <w:jc w:val="center"/>
              <w:rPr>
                <w:rFonts w:ascii="Arial Narrow" w:hAnsi="Arial Narrow" w:cstheme="minorHAnsi"/>
                <w:szCs w:val="20"/>
              </w:rPr>
            </w:pPr>
            <w:r w:rsidRPr="00260B02">
              <w:rPr>
                <w:rFonts w:ascii="Arial Narrow" w:hAnsi="Arial Narrow" w:cstheme="minorHAnsi"/>
                <w:szCs w:val="20"/>
              </w:rPr>
              <w:t>11 (4.1)</w:t>
            </w:r>
          </w:p>
        </w:tc>
        <w:tc>
          <w:tcPr>
            <w:tcW w:w="457" w:type="pct"/>
          </w:tcPr>
          <w:p w:rsidR="00AB0121" w:rsidRPr="00260B02" w:rsidRDefault="00AB0121" w:rsidP="000B5584">
            <w:pPr>
              <w:pStyle w:val="Table"/>
              <w:keepNext/>
              <w:keepLines/>
              <w:jc w:val="center"/>
              <w:rPr>
                <w:rFonts w:ascii="Arial Narrow" w:hAnsi="Arial Narrow" w:cstheme="minorHAnsi"/>
                <w:szCs w:val="20"/>
              </w:rPr>
            </w:pPr>
            <w:r w:rsidRPr="00260B02">
              <w:rPr>
                <w:rFonts w:ascii="Arial Narrow" w:hAnsi="Arial Narrow" w:cstheme="minorHAnsi"/>
                <w:szCs w:val="20"/>
              </w:rPr>
              <w:t>0.138</w:t>
            </w:r>
          </w:p>
        </w:tc>
      </w:tr>
    </w:tbl>
    <w:p w:rsidR="00207150" w:rsidRPr="00260B02" w:rsidRDefault="00207150" w:rsidP="000B5584">
      <w:pPr>
        <w:pStyle w:val="CaptionFootnote"/>
        <w:keepLines/>
        <w:ind w:firstLine="720"/>
        <w:rPr>
          <w:rFonts w:ascii="Arial Narrow" w:hAnsi="Arial Narrow" w:cstheme="minorHAnsi"/>
          <w:sz w:val="20"/>
          <w:szCs w:val="20"/>
        </w:rPr>
      </w:pPr>
      <w:r w:rsidRPr="00260B02">
        <w:rPr>
          <w:rFonts w:ascii="Arial Narrow" w:hAnsi="Arial Narrow" w:cstheme="minorHAnsi"/>
          <w:sz w:val="20"/>
          <w:szCs w:val="20"/>
        </w:rPr>
        <w:t>Source: Table</w:t>
      </w:r>
      <w:r w:rsidR="00AB0121" w:rsidRPr="00260B02">
        <w:rPr>
          <w:rFonts w:ascii="Arial Narrow" w:hAnsi="Arial Narrow" w:cstheme="minorHAnsi"/>
          <w:sz w:val="20"/>
          <w:szCs w:val="20"/>
        </w:rPr>
        <w:t xml:space="preserve"> B-11 and B-14 of the submission </w:t>
      </w:r>
    </w:p>
    <w:p w:rsidR="00207150" w:rsidRPr="00260B02" w:rsidRDefault="00207150" w:rsidP="000B5584">
      <w:pPr>
        <w:pStyle w:val="CaptionFootnote"/>
        <w:keepLines/>
        <w:ind w:left="720"/>
        <w:rPr>
          <w:rFonts w:ascii="Arial Narrow" w:hAnsi="Arial Narrow" w:cstheme="minorHAnsi"/>
          <w:sz w:val="20"/>
          <w:szCs w:val="20"/>
        </w:rPr>
      </w:pPr>
      <w:r w:rsidRPr="00260B02">
        <w:rPr>
          <w:rFonts w:ascii="Arial Narrow" w:hAnsi="Arial Narrow" w:cstheme="minorHAnsi"/>
          <w:sz w:val="20"/>
          <w:szCs w:val="20"/>
        </w:rPr>
        <w:t>Abbreviations: AEs = adverse events; SAEs = serious adverse events; TEAEs = treatment-emergent adverse events</w:t>
      </w:r>
    </w:p>
    <w:p w:rsidR="00207150" w:rsidRPr="00260B02" w:rsidRDefault="00207150" w:rsidP="009B0F67">
      <w:pPr>
        <w:pStyle w:val="ListParagraph"/>
        <w:ind w:left="709"/>
        <w:jc w:val="both"/>
        <w:rPr>
          <w:rFonts w:ascii="Arial" w:hAnsi="Arial"/>
          <w:sz w:val="22"/>
          <w:szCs w:val="22"/>
        </w:rPr>
      </w:pPr>
    </w:p>
    <w:p w:rsidR="00F809B1" w:rsidRPr="00260B02" w:rsidRDefault="001B369F" w:rsidP="00DD0588">
      <w:pPr>
        <w:pStyle w:val="ListParagraph"/>
        <w:numPr>
          <w:ilvl w:val="1"/>
          <w:numId w:val="25"/>
        </w:numPr>
        <w:jc w:val="both"/>
        <w:rPr>
          <w:rFonts w:ascii="Arial" w:hAnsi="Arial"/>
          <w:i/>
          <w:sz w:val="22"/>
          <w:szCs w:val="22"/>
        </w:rPr>
      </w:pPr>
      <w:r w:rsidRPr="00260B02">
        <w:rPr>
          <w:rFonts w:ascii="Arial" w:hAnsi="Arial"/>
          <w:sz w:val="22"/>
          <w:szCs w:val="22"/>
        </w:rPr>
        <w:t>T</w:t>
      </w:r>
      <w:r w:rsidR="00651187" w:rsidRPr="00260B02">
        <w:rPr>
          <w:rFonts w:ascii="Arial" w:hAnsi="Arial"/>
          <w:sz w:val="22"/>
          <w:szCs w:val="22"/>
        </w:rPr>
        <w:t xml:space="preserve">he </w:t>
      </w:r>
      <w:r w:rsidR="006D5ACE" w:rsidRPr="00260B02">
        <w:rPr>
          <w:rFonts w:ascii="Arial" w:hAnsi="Arial"/>
          <w:sz w:val="22"/>
          <w:szCs w:val="22"/>
        </w:rPr>
        <w:t>Delegate</w:t>
      </w:r>
      <w:r w:rsidR="00A275A0" w:rsidRPr="00260B02">
        <w:rPr>
          <w:rFonts w:ascii="Arial" w:hAnsi="Arial"/>
          <w:sz w:val="22"/>
          <w:szCs w:val="22"/>
        </w:rPr>
        <w:t>’</w:t>
      </w:r>
      <w:r w:rsidR="006D5ACE" w:rsidRPr="00260B02">
        <w:rPr>
          <w:rFonts w:ascii="Arial" w:hAnsi="Arial"/>
          <w:sz w:val="22"/>
          <w:szCs w:val="22"/>
        </w:rPr>
        <w:t>s Overview</w:t>
      </w:r>
      <w:r w:rsidR="000E6662" w:rsidRPr="00260B02">
        <w:rPr>
          <w:rFonts w:ascii="Arial" w:hAnsi="Arial"/>
          <w:sz w:val="22"/>
          <w:szCs w:val="22"/>
        </w:rPr>
        <w:t xml:space="preserve"> (p</w:t>
      </w:r>
      <w:r w:rsidR="001121BF" w:rsidRPr="00260B02">
        <w:rPr>
          <w:rFonts w:ascii="Arial" w:hAnsi="Arial"/>
          <w:sz w:val="22"/>
          <w:szCs w:val="22"/>
        </w:rPr>
        <w:t xml:space="preserve">ages </w:t>
      </w:r>
      <w:r w:rsidR="000E531C" w:rsidRPr="00260B02">
        <w:rPr>
          <w:rFonts w:ascii="Arial" w:hAnsi="Arial"/>
          <w:sz w:val="22"/>
          <w:szCs w:val="22"/>
        </w:rPr>
        <w:t>9-</w:t>
      </w:r>
      <w:r w:rsidR="000E6662" w:rsidRPr="00260B02">
        <w:rPr>
          <w:rFonts w:ascii="Arial" w:hAnsi="Arial"/>
          <w:sz w:val="22"/>
          <w:szCs w:val="22"/>
        </w:rPr>
        <w:t>10)</w:t>
      </w:r>
      <w:r w:rsidR="006D5ACE" w:rsidRPr="00260B02">
        <w:rPr>
          <w:rFonts w:ascii="Arial" w:hAnsi="Arial"/>
          <w:sz w:val="22"/>
          <w:szCs w:val="22"/>
        </w:rPr>
        <w:t xml:space="preserve"> state</w:t>
      </w:r>
      <w:r w:rsidR="00A275A0" w:rsidRPr="00260B02">
        <w:rPr>
          <w:rFonts w:ascii="Arial" w:hAnsi="Arial"/>
          <w:sz w:val="22"/>
          <w:szCs w:val="22"/>
        </w:rPr>
        <w:t>d</w:t>
      </w:r>
      <w:r w:rsidR="006D5ACE" w:rsidRPr="00260B02">
        <w:rPr>
          <w:rFonts w:ascii="Arial" w:hAnsi="Arial"/>
          <w:sz w:val="22"/>
          <w:szCs w:val="22"/>
        </w:rPr>
        <w:t xml:space="preserve"> that </w:t>
      </w:r>
      <w:r w:rsidR="000E6662" w:rsidRPr="00260B02">
        <w:rPr>
          <w:rFonts w:ascii="Arial" w:hAnsi="Arial"/>
          <w:sz w:val="22"/>
          <w:szCs w:val="22"/>
        </w:rPr>
        <w:t>“there</w:t>
      </w:r>
      <w:r w:rsidR="006D5ACE" w:rsidRPr="00260B02">
        <w:rPr>
          <w:rFonts w:ascii="Arial" w:hAnsi="Arial"/>
          <w:sz w:val="22"/>
          <w:szCs w:val="22"/>
        </w:rPr>
        <w:t xml:space="preserve"> were no imbalances in serious adverse events or deaths</w:t>
      </w:r>
      <w:r w:rsidR="000E6662" w:rsidRPr="00260B02">
        <w:rPr>
          <w:rFonts w:ascii="Arial" w:hAnsi="Arial"/>
          <w:sz w:val="22"/>
          <w:szCs w:val="22"/>
        </w:rPr>
        <w:t>”</w:t>
      </w:r>
      <w:r w:rsidR="000E531C" w:rsidRPr="00260B02">
        <w:rPr>
          <w:rFonts w:ascii="Arial" w:hAnsi="Arial"/>
          <w:sz w:val="22"/>
          <w:szCs w:val="22"/>
        </w:rPr>
        <w:t>,</w:t>
      </w:r>
      <w:r w:rsidR="000E6662" w:rsidRPr="00260B02">
        <w:rPr>
          <w:rFonts w:ascii="Arial" w:hAnsi="Arial"/>
          <w:sz w:val="22"/>
          <w:szCs w:val="22"/>
        </w:rPr>
        <w:t xml:space="preserve"> </w:t>
      </w:r>
      <w:r w:rsidR="000E531C" w:rsidRPr="00260B02">
        <w:rPr>
          <w:rFonts w:ascii="Arial" w:hAnsi="Arial"/>
          <w:sz w:val="22"/>
          <w:szCs w:val="22"/>
        </w:rPr>
        <w:t xml:space="preserve">and </w:t>
      </w:r>
      <w:r w:rsidR="000E6662" w:rsidRPr="00260B02">
        <w:rPr>
          <w:rFonts w:ascii="Arial" w:hAnsi="Arial"/>
          <w:sz w:val="22"/>
          <w:szCs w:val="22"/>
        </w:rPr>
        <w:t>‘’</w:t>
      </w:r>
      <w:r w:rsidR="004B416A" w:rsidRPr="00260B02">
        <w:rPr>
          <w:rFonts w:ascii="Arial" w:hAnsi="Arial"/>
          <w:sz w:val="22"/>
          <w:szCs w:val="22"/>
        </w:rPr>
        <w:t xml:space="preserve">there were no clinically meaningful differences in total, severe or nocturnal hypoglycaemia for Basaglar </w:t>
      </w:r>
      <w:r w:rsidR="000E531C" w:rsidRPr="00260B02">
        <w:rPr>
          <w:rFonts w:ascii="Arial" w:hAnsi="Arial"/>
          <w:sz w:val="22"/>
          <w:szCs w:val="22"/>
        </w:rPr>
        <w:t>versus</w:t>
      </w:r>
      <w:r w:rsidR="004B416A" w:rsidRPr="00260B02">
        <w:rPr>
          <w:rFonts w:ascii="Arial" w:hAnsi="Arial"/>
          <w:sz w:val="22"/>
          <w:szCs w:val="22"/>
        </w:rPr>
        <w:t xml:space="preserve"> Lantus</w:t>
      </w:r>
      <w:r w:rsidR="000E531C" w:rsidRPr="00260B02">
        <w:rPr>
          <w:rFonts w:ascii="Arial" w:hAnsi="Arial"/>
          <w:sz w:val="22"/>
          <w:szCs w:val="22"/>
        </w:rPr>
        <w:t>”, and “t</w:t>
      </w:r>
      <w:r w:rsidR="004B416A" w:rsidRPr="00260B02">
        <w:rPr>
          <w:rFonts w:ascii="Arial" w:hAnsi="Arial"/>
          <w:sz w:val="22"/>
          <w:szCs w:val="22"/>
        </w:rPr>
        <w:t>here were no differences in treatment-emergent allergic events (e.g arthralgia, pruritus, rash, asthma, injection-site reactions). The majority of these events were mild and none led to discontinuation.”</w:t>
      </w:r>
    </w:p>
    <w:p w:rsidR="001B369F" w:rsidRPr="00260B02" w:rsidRDefault="001B369F" w:rsidP="001B369F">
      <w:pPr>
        <w:pStyle w:val="ListParagraph"/>
        <w:ind w:left="709"/>
        <w:jc w:val="both"/>
        <w:rPr>
          <w:rFonts w:asciiTheme="minorHAnsi" w:hAnsiTheme="minorHAnsi" w:cstheme="minorHAnsi"/>
          <w:i/>
        </w:rPr>
      </w:pPr>
    </w:p>
    <w:p w:rsidR="006E1FAD" w:rsidRPr="00260B02" w:rsidRDefault="006E1FAD" w:rsidP="006E1FAD">
      <w:pPr>
        <w:pStyle w:val="ListParagraph"/>
        <w:ind w:left="0"/>
        <w:jc w:val="both"/>
        <w:rPr>
          <w:rFonts w:ascii="Arial" w:hAnsi="Arial"/>
          <w:sz w:val="22"/>
          <w:szCs w:val="22"/>
        </w:rPr>
      </w:pPr>
      <w:r w:rsidRPr="00260B02">
        <w:rPr>
          <w:rFonts w:ascii="Arial" w:hAnsi="Arial" w:cs="Arial"/>
          <w:sz w:val="22"/>
          <w:u w:val="single"/>
        </w:rPr>
        <w:t>Immunogenicity/Proportion of patients with detectable insulin antibodies</w:t>
      </w:r>
    </w:p>
    <w:p w:rsidR="006E1FAD" w:rsidRPr="00260B02" w:rsidRDefault="006E1FAD" w:rsidP="006E1FAD">
      <w:pPr>
        <w:pStyle w:val="ListParagraph"/>
        <w:ind w:left="709"/>
        <w:jc w:val="both"/>
        <w:rPr>
          <w:rFonts w:asciiTheme="minorHAnsi" w:hAnsiTheme="minorHAnsi" w:cstheme="minorHAnsi"/>
          <w:i/>
        </w:rPr>
      </w:pPr>
      <w:bookmarkStart w:id="7" w:name="_Ref406492117"/>
      <w:bookmarkStart w:id="8" w:name="_Toc406671318"/>
    </w:p>
    <w:p w:rsidR="002E7861" w:rsidRPr="00260B02" w:rsidRDefault="005A0688" w:rsidP="00DD0588">
      <w:pPr>
        <w:pStyle w:val="ListParagraph"/>
        <w:numPr>
          <w:ilvl w:val="1"/>
          <w:numId w:val="25"/>
        </w:numPr>
        <w:jc w:val="both"/>
        <w:rPr>
          <w:rFonts w:ascii="Arial" w:hAnsi="Arial"/>
          <w:sz w:val="22"/>
          <w:szCs w:val="22"/>
        </w:rPr>
      </w:pPr>
      <w:r w:rsidRPr="00260B02">
        <w:rPr>
          <w:rFonts w:ascii="Arial" w:hAnsi="Arial"/>
          <w:sz w:val="22"/>
          <w:szCs w:val="22"/>
        </w:rPr>
        <w:t>The Delegate’s Overview outline</w:t>
      </w:r>
      <w:r w:rsidR="00A275A0" w:rsidRPr="00260B02">
        <w:rPr>
          <w:rFonts w:ascii="Arial" w:hAnsi="Arial"/>
          <w:sz w:val="22"/>
          <w:szCs w:val="22"/>
        </w:rPr>
        <w:t>d</w:t>
      </w:r>
      <w:r w:rsidRPr="00260B02">
        <w:rPr>
          <w:rFonts w:ascii="Arial" w:hAnsi="Arial"/>
          <w:sz w:val="22"/>
          <w:szCs w:val="22"/>
        </w:rPr>
        <w:t xml:space="preserve"> the history of, and rationale for, immunogenicity concerns with biosimilars (p</w:t>
      </w:r>
      <w:r w:rsidR="001121BF" w:rsidRPr="00260B02">
        <w:rPr>
          <w:rFonts w:ascii="Arial" w:hAnsi="Arial"/>
          <w:sz w:val="22"/>
          <w:szCs w:val="22"/>
        </w:rPr>
        <w:t>ages</w:t>
      </w:r>
      <w:r w:rsidRPr="00260B02">
        <w:rPr>
          <w:rFonts w:ascii="Arial" w:hAnsi="Arial"/>
          <w:sz w:val="22"/>
          <w:szCs w:val="22"/>
        </w:rPr>
        <w:t xml:space="preserve"> 2-3).</w:t>
      </w:r>
      <w:r w:rsidR="00A86BF5" w:rsidRPr="00260B02">
        <w:rPr>
          <w:rFonts w:ascii="Arial" w:hAnsi="Arial"/>
          <w:sz w:val="22"/>
          <w:szCs w:val="22"/>
        </w:rPr>
        <w:t xml:space="preserve"> </w:t>
      </w:r>
    </w:p>
    <w:p w:rsidR="002E7861" w:rsidRPr="00260B02" w:rsidRDefault="002E7861" w:rsidP="002E7861">
      <w:pPr>
        <w:pStyle w:val="ListParagraph"/>
        <w:ind w:left="709"/>
        <w:jc w:val="both"/>
        <w:rPr>
          <w:rFonts w:ascii="Arial" w:hAnsi="Arial"/>
          <w:sz w:val="22"/>
          <w:szCs w:val="22"/>
        </w:rPr>
      </w:pPr>
    </w:p>
    <w:p w:rsidR="002E7861" w:rsidRPr="00260B02" w:rsidRDefault="002E7861" w:rsidP="00DD0588">
      <w:pPr>
        <w:pStyle w:val="ListParagraph"/>
        <w:numPr>
          <w:ilvl w:val="1"/>
          <w:numId w:val="25"/>
        </w:numPr>
        <w:jc w:val="both"/>
        <w:rPr>
          <w:rFonts w:ascii="Arial" w:hAnsi="Arial"/>
          <w:sz w:val="22"/>
          <w:szCs w:val="22"/>
        </w:rPr>
      </w:pPr>
      <w:r w:rsidRPr="00260B02">
        <w:rPr>
          <w:rFonts w:ascii="Arial" w:hAnsi="Arial"/>
          <w:sz w:val="22"/>
          <w:szCs w:val="22"/>
        </w:rPr>
        <w:t>The Delegate’s Overview state</w:t>
      </w:r>
      <w:r w:rsidR="00A275A0" w:rsidRPr="00260B02">
        <w:rPr>
          <w:rFonts w:ascii="Arial" w:hAnsi="Arial"/>
          <w:sz w:val="22"/>
          <w:szCs w:val="22"/>
        </w:rPr>
        <w:t>d</w:t>
      </w:r>
      <w:r w:rsidRPr="00260B02">
        <w:rPr>
          <w:rFonts w:ascii="Arial" w:hAnsi="Arial"/>
          <w:sz w:val="22"/>
          <w:szCs w:val="22"/>
        </w:rPr>
        <w:t xml:space="preserve">: </w:t>
      </w:r>
    </w:p>
    <w:p w:rsidR="005A0688" w:rsidRPr="00260B02" w:rsidRDefault="002E7861" w:rsidP="002E7861">
      <w:pPr>
        <w:pStyle w:val="ListParagraph"/>
        <w:ind w:left="1134" w:firstLine="11"/>
        <w:jc w:val="both"/>
        <w:rPr>
          <w:rFonts w:ascii="Arial" w:hAnsi="Arial"/>
          <w:sz w:val="22"/>
          <w:szCs w:val="22"/>
        </w:rPr>
      </w:pPr>
      <w:r w:rsidRPr="00260B02">
        <w:rPr>
          <w:rFonts w:ascii="Arial" w:hAnsi="Arial"/>
          <w:sz w:val="22"/>
          <w:szCs w:val="22"/>
        </w:rPr>
        <w:t>“</w:t>
      </w:r>
      <w:r w:rsidR="00A86BF5" w:rsidRPr="00260B02">
        <w:rPr>
          <w:rFonts w:ascii="Arial" w:hAnsi="Arial"/>
          <w:sz w:val="22"/>
          <w:szCs w:val="22"/>
        </w:rPr>
        <w:t>The general corresponding concern for biosimilars is that even small and innocuous differences in manufacture, formulation, or presentation could lead to unforseen clinical consequences associated with immunogenicity, which could lead to reduced efficacy or new safety problems.</w:t>
      </w:r>
      <w:r w:rsidRPr="00260B02">
        <w:rPr>
          <w:rFonts w:ascii="Arial" w:hAnsi="Arial"/>
          <w:sz w:val="22"/>
          <w:szCs w:val="22"/>
        </w:rPr>
        <w:t>” (pg 3)</w:t>
      </w:r>
    </w:p>
    <w:p w:rsidR="005A0688" w:rsidRPr="00260B02" w:rsidRDefault="005A0688" w:rsidP="003D4671">
      <w:pPr>
        <w:pStyle w:val="ListParagraph"/>
        <w:ind w:left="709"/>
        <w:jc w:val="both"/>
        <w:rPr>
          <w:rFonts w:ascii="Arial" w:hAnsi="Arial"/>
          <w:sz w:val="22"/>
          <w:szCs w:val="22"/>
        </w:rPr>
      </w:pPr>
    </w:p>
    <w:p w:rsidR="005A0688" w:rsidRPr="00260B02" w:rsidRDefault="005A0688" w:rsidP="00DD0588">
      <w:pPr>
        <w:pStyle w:val="ListParagraph"/>
        <w:numPr>
          <w:ilvl w:val="1"/>
          <w:numId w:val="25"/>
        </w:numPr>
        <w:jc w:val="both"/>
        <w:rPr>
          <w:rFonts w:ascii="Arial" w:hAnsi="Arial"/>
          <w:sz w:val="22"/>
          <w:szCs w:val="22"/>
        </w:rPr>
      </w:pPr>
      <w:r w:rsidRPr="00260B02">
        <w:rPr>
          <w:rFonts w:ascii="Arial" w:hAnsi="Arial"/>
          <w:sz w:val="22"/>
          <w:szCs w:val="22"/>
        </w:rPr>
        <w:t>T</w:t>
      </w:r>
      <w:r w:rsidR="006E1FAD" w:rsidRPr="00260B02">
        <w:rPr>
          <w:rFonts w:ascii="Arial" w:hAnsi="Arial"/>
          <w:sz w:val="22"/>
          <w:szCs w:val="22"/>
        </w:rPr>
        <w:t>he Delegate</w:t>
      </w:r>
      <w:r w:rsidR="00A275A0" w:rsidRPr="00260B02">
        <w:rPr>
          <w:rFonts w:ascii="Arial" w:hAnsi="Arial"/>
          <w:sz w:val="22"/>
          <w:szCs w:val="22"/>
        </w:rPr>
        <w:t>’</w:t>
      </w:r>
      <w:r w:rsidR="006E1FAD" w:rsidRPr="00260B02">
        <w:rPr>
          <w:rFonts w:ascii="Arial" w:hAnsi="Arial"/>
          <w:sz w:val="22"/>
          <w:szCs w:val="22"/>
        </w:rPr>
        <w:t>s Overview (p</w:t>
      </w:r>
      <w:r w:rsidR="00C17515" w:rsidRPr="00260B02">
        <w:rPr>
          <w:rFonts w:ascii="Arial" w:hAnsi="Arial"/>
          <w:sz w:val="22"/>
          <w:szCs w:val="22"/>
        </w:rPr>
        <w:t>g</w:t>
      </w:r>
      <w:r w:rsidR="001121BF" w:rsidRPr="00260B02">
        <w:rPr>
          <w:rFonts w:ascii="Arial" w:hAnsi="Arial"/>
          <w:sz w:val="22"/>
          <w:szCs w:val="22"/>
        </w:rPr>
        <w:t xml:space="preserve"> </w:t>
      </w:r>
      <w:r w:rsidR="006E1FAD" w:rsidRPr="00260B02">
        <w:rPr>
          <w:rFonts w:ascii="Arial" w:hAnsi="Arial"/>
          <w:sz w:val="22"/>
          <w:szCs w:val="22"/>
        </w:rPr>
        <w:t>3) state</w:t>
      </w:r>
      <w:r w:rsidR="00A275A0" w:rsidRPr="00260B02">
        <w:rPr>
          <w:rFonts w:ascii="Arial" w:hAnsi="Arial"/>
          <w:sz w:val="22"/>
          <w:szCs w:val="22"/>
        </w:rPr>
        <w:t>d</w:t>
      </w:r>
      <w:r w:rsidR="006E1FAD" w:rsidRPr="00260B02">
        <w:rPr>
          <w:rFonts w:ascii="Arial" w:hAnsi="Arial"/>
          <w:sz w:val="22"/>
          <w:szCs w:val="22"/>
        </w:rPr>
        <w:t xml:space="preserve"> that </w:t>
      </w:r>
      <w:r w:rsidRPr="00260B02">
        <w:rPr>
          <w:rFonts w:ascii="Arial" w:hAnsi="Arial"/>
          <w:sz w:val="22"/>
          <w:szCs w:val="22"/>
        </w:rPr>
        <w:t>‘</w:t>
      </w:r>
      <w:r w:rsidR="006E1FAD" w:rsidRPr="00260B02">
        <w:rPr>
          <w:rFonts w:ascii="Arial" w:hAnsi="Arial"/>
          <w:sz w:val="22"/>
          <w:szCs w:val="22"/>
        </w:rPr>
        <w:t>formation of antibodies to</w:t>
      </w:r>
      <w:r w:rsidR="006E1FAD" w:rsidRPr="00260B02">
        <w:rPr>
          <w:rFonts w:ascii="Arial" w:hAnsi="Arial"/>
          <w:i/>
          <w:sz w:val="22"/>
          <w:szCs w:val="22"/>
        </w:rPr>
        <w:t xml:space="preserve"> </w:t>
      </w:r>
      <w:r w:rsidR="006E1FAD" w:rsidRPr="00260B02">
        <w:rPr>
          <w:rFonts w:ascii="Arial" w:hAnsi="Arial"/>
          <w:sz w:val="22"/>
          <w:szCs w:val="22"/>
        </w:rPr>
        <w:t>insulin occurs frequently, without major consequences for efficacy and safety</w:t>
      </w:r>
      <w:r w:rsidRPr="00260B02">
        <w:rPr>
          <w:rFonts w:ascii="Arial" w:hAnsi="Arial"/>
          <w:sz w:val="22"/>
          <w:szCs w:val="22"/>
        </w:rPr>
        <w:t>’</w:t>
      </w:r>
      <w:r w:rsidR="006E1FAD" w:rsidRPr="00260B02">
        <w:rPr>
          <w:rFonts w:ascii="Arial" w:hAnsi="Arial"/>
          <w:sz w:val="22"/>
          <w:szCs w:val="22"/>
        </w:rPr>
        <w:t>.</w:t>
      </w:r>
      <w:r w:rsidRPr="00260B02">
        <w:rPr>
          <w:rFonts w:ascii="Arial" w:hAnsi="Arial"/>
          <w:sz w:val="22"/>
          <w:szCs w:val="22"/>
        </w:rPr>
        <w:t xml:space="preserve"> The Overview further state</w:t>
      </w:r>
      <w:r w:rsidR="00A275A0" w:rsidRPr="00260B02">
        <w:rPr>
          <w:rFonts w:ascii="Arial" w:hAnsi="Arial"/>
          <w:sz w:val="22"/>
          <w:szCs w:val="22"/>
        </w:rPr>
        <w:t>d</w:t>
      </w:r>
      <w:r w:rsidRPr="00260B02">
        <w:rPr>
          <w:rFonts w:ascii="Arial" w:hAnsi="Arial"/>
          <w:sz w:val="22"/>
          <w:szCs w:val="22"/>
        </w:rPr>
        <w:t xml:space="preserve"> ‘Antibodies could have an effect on efficacy, with larger doses of insulin </w:t>
      </w:r>
      <w:r w:rsidRPr="00260B02">
        <w:rPr>
          <w:rFonts w:ascii="Arial" w:hAnsi="Arial"/>
          <w:sz w:val="22"/>
          <w:szCs w:val="22"/>
        </w:rPr>
        <w:lastRenderedPageBreak/>
        <w:t>required (neutralising antibodies) or safety, with injection site reactions or very rarely IgE mediated anaphylaxis (non-neutralising antibodies).’</w:t>
      </w:r>
    </w:p>
    <w:p w:rsidR="005A0688" w:rsidRPr="00260B02" w:rsidRDefault="005A0688" w:rsidP="003D4671">
      <w:pPr>
        <w:pStyle w:val="ListParagraph"/>
        <w:rPr>
          <w:rFonts w:ascii="Arial" w:hAnsi="Arial"/>
          <w:sz w:val="22"/>
          <w:szCs w:val="22"/>
        </w:rPr>
      </w:pPr>
    </w:p>
    <w:p w:rsidR="00E2510F" w:rsidRPr="00260B02" w:rsidRDefault="005A0688" w:rsidP="00DD0588">
      <w:pPr>
        <w:pStyle w:val="ListParagraph"/>
        <w:numPr>
          <w:ilvl w:val="1"/>
          <w:numId w:val="25"/>
        </w:numPr>
        <w:jc w:val="both"/>
        <w:rPr>
          <w:rFonts w:ascii="Arial" w:hAnsi="Arial"/>
          <w:sz w:val="22"/>
          <w:szCs w:val="22"/>
        </w:rPr>
      </w:pPr>
      <w:r w:rsidRPr="00260B02">
        <w:rPr>
          <w:rFonts w:ascii="Arial" w:hAnsi="Arial"/>
          <w:sz w:val="22"/>
          <w:szCs w:val="22"/>
        </w:rPr>
        <w:t xml:space="preserve">The TGA evaluated the proportions of patients with detectable antibodies and treatment-emergent antibody response in the two phase 3 studies. </w:t>
      </w:r>
      <w:r w:rsidR="00E2510F" w:rsidRPr="00260B02">
        <w:rPr>
          <w:rFonts w:ascii="Arial" w:hAnsi="Arial"/>
          <w:sz w:val="22"/>
          <w:szCs w:val="22"/>
        </w:rPr>
        <w:t>“The ACPM advised that the results from the two phase III clinical trials (ABEC and ABEB) demonstrated similarity of the two products, including for immunogenicity.” (</w:t>
      </w:r>
      <w:r w:rsidR="00C17515" w:rsidRPr="00260B02">
        <w:rPr>
          <w:rFonts w:ascii="Arial" w:hAnsi="Arial"/>
          <w:sz w:val="22"/>
          <w:szCs w:val="22"/>
        </w:rPr>
        <w:t xml:space="preserve">page 2 of the ACPM </w:t>
      </w:r>
      <w:r w:rsidR="00E2510F" w:rsidRPr="00260B02">
        <w:rPr>
          <w:rFonts w:ascii="Arial" w:hAnsi="Arial"/>
          <w:sz w:val="22"/>
          <w:szCs w:val="22"/>
        </w:rPr>
        <w:t>Resolution).</w:t>
      </w:r>
      <w:r w:rsidR="00E2510F" w:rsidRPr="00260B02">
        <w:t xml:space="preserve"> </w:t>
      </w:r>
      <w:r w:rsidR="00E2510F" w:rsidRPr="00260B02">
        <w:rPr>
          <w:rFonts w:ascii="Arial" w:hAnsi="Arial"/>
          <w:sz w:val="22"/>
          <w:szCs w:val="22"/>
        </w:rPr>
        <w:t xml:space="preserve">The results are outlined in </w:t>
      </w:r>
      <w:r w:rsidR="00B82CB9" w:rsidRPr="00260B02">
        <w:rPr>
          <w:rFonts w:ascii="Arial" w:hAnsi="Arial"/>
          <w:sz w:val="22"/>
          <w:szCs w:val="22"/>
        </w:rPr>
        <w:t>in the table below</w:t>
      </w:r>
      <w:r w:rsidR="00E2510F" w:rsidRPr="00260B02">
        <w:rPr>
          <w:rFonts w:ascii="Arial" w:hAnsi="Arial"/>
          <w:sz w:val="22"/>
          <w:szCs w:val="22"/>
        </w:rPr>
        <w:t>.</w:t>
      </w:r>
    </w:p>
    <w:p w:rsidR="00E2510F" w:rsidRPr="00260B02" w:rsidRDefault="00E2510F" w:rsidP="000B5584">
      <w:pPr>
        <w:pStyle w:val="ListParagraph"/>
        <w:keepNext/>
        <w:keepLines/>
        <w:autoSpaceDE w:val="0"/>
        <w:autoSpaceDN w:val="0"/>
        <w:adjustRightInd w:val="0"/>
        <w:ind w:left="360"/>
        <w:rPr>
          <w:rFonts w:ascii="Arial Narrow" w:hAnsi="Arial Narrow" w:cs="TimesNewRomanPSMT"/>
          <w:b/>
          <w:sz w:val="20"/>
          <w:szCs w:val="20"/>
        </w:rPr>
      </w:pPr>
    </w:p>
    <w:p w:rsidR="00E2510F" w:rsidRPr="00260B02" w:rsidRDefault="00E2510F" w:rsidP="000B5584">
      <w:pPr>
        <w:pStyle w:val="ListParagraph"/>
        <w:keepNext/>
        <w:keepLines/>
        <w:autoSpaceDE w:val="0"/>
        <w:autoSpaceDN w:val="0"/>
        <w:adjustRightInd w:val="0"/>
        <w:ind w:left="709"/>
        <w:rPr>
          <w:rFonts w:ascii="Arial Narrow" w:hAnsi="Arial Narrow" w:cs="TimesNewRomanPSMT"/>
          <w:b/>
          <w:sz w:val="20"/>
          <w:szCs w:val="20"/>
        </w:rPr>
      </w:pPr>
      <w:r w:rsidRPr="00260B02">
        <w:rPr>
          <w:rFonts w:ascii="Arial Narrow" w:hAnsi="Arial Narrow" w:cs="TimesNewRomanPSMT"/>
          <w:b/>
          <w:sz w:val="20"/>
          <w:szCs w:val="20"/>
        </w:rPr>
        <w:t>Proportion of patients with detectable insulin antibodies at baseline, endpoint, and overall (anytime), ABEB, ABEC, to 24 weeks</w:t>
      </w:r>
    </w:p>
    <w:tbl>
      <w:tblPr>
        <w:tblStyle w:val="TableGrid"/>
        <w:tblW w:w="0" w:type="auto"/>
        <w:tblInd w:w="817" w:type="dxa"/>
        <w:tblLook w:val="04A0" w:firstRow="1" w:lastRow="0" w:firstColumn="1" w:lastColumn="0" w:noHBand="0" w:noVBand="1"/>
        <w:tblCaption w:val="Comparative harms"/>
        <w:tblDescription w:val="Immunogenicity"/>
      </w:tblPr>
      <w:tblGrid>
        <w:gridCol w:w="1701"/>
        <w:gridCol w:w="1240"/>
        <w:gridCol w:w="1170"/>
        <w:gridCol w:w="1310"/>
        <w:gridCol w:w="1241"/>
      </w:tblGrid>
      <w:tr w:rsidR="00E2510F" w:rsidRPr="00260B02" w:rsidTr="00866322">
        <w:tc>
          <w:tcPr>
            <w:tcW w:w="1701" w:type="dxa"/>
          </w:tcPr>
          <w:p w:rsidR="00E2510F" w:rsidRPr="00260B02" w:rsidRDefault="00E2510F" w:rsidP="00866322">
            <w:pPr>
              <w:keepNext/>
              <w:keepLines/>
              <w:autoSpaceDE w:val="0"/>
              <w:autoSpaceDN w:val="0"/>
              <w:adjustRightInd w:val="0"/>
              <w:rPr>
                <w:rFonts w:ascii="Arial Narrow" w:hAnsi="Arial Narrow" w:cs="TimesNewRomanPSMT"/>
                <w:sz w:val="20"/>
                <w:szCs w:val="20"/>
              </w:rPr>
            </w:pPr>
          </w:p>
        </w:tc>
        <w:tc>
          <w:tcPr>
            <w:tcW w:w="2410" w:type="dxa"/>
            <w:gridSpan w:val="2"/>
          </w:tcPr>
          <w:p w:rsidR="00E2510F" w:rsidRPr="00260B02" w:rsidRDefault="00E2510F" w:rsidP="00866322">
            <w:pPr>
              <w:keepNext/>
              <w:keepLines/>
              <w:autoSpaceDE w:val="0"/>
              <w:autoSpaceDN w:val="0"/>
              <w:adjustRightInd w:val="0"/>
              <w:rPr>
                <w:rFonts w:ascii="Arial Narrow" w:hAnsi="Arial Narrow" w:cs="TimesNewRomanPSMT"/>
                <w:sz w:val="20"/>
                <w:szCs w:val="20"/>
              </w:rPr>
            </w:pPr>
            <w:r w:rsidRPr="00260B02">
              <w:rPr>
                <w:rFonts w:ascii="Arial Narrow" w:hAnsi="Arial Narrow" w:cs="Cambria"/>
                <w:sz w:val="20"/>
                <w:szCs w:val="20"/>
              </w:rPr>
              <w:t>ABEB (T1DM) N=535</w:t>
            </w:r>
          </w:p>
        </w:tc>
        <w:tc>
          <w:tcPr>
            <w:tcW w:w="2551" w:type="dxa"/>
            <w:gridSpan w:val="2"/>
          </w:tcPr>
          <w:p w:rsidR="00E2510F" w:rsidRPr="00260B02" w:rsidRDefault="00E2510F" w:rsidP="00866322">
            <w:pPr>
              <w:keepNext/>
              <w:keepLines/>
              <w:autoSpaceDE w:val="0"/>
              <w:autoSpaceDN w:val="0"/>
              <w:adjustRightInd w:val="0"/>
              <w:rPr>
                <w:rFonts w:ascii="Arial Narrow" w:hAnsi="Arial Narrow" w:cs="TimesNewRomanPSMT"/>
                <w:sz w:val="20"/>
                <w:szCs w:val="20"/>
              </w:rPr>
            </w:pPr>
            <w:r w:rsidRPr="00260B02">
              <w:rPr>
                <w:rFonts w:ascii="Arial Narrow" w:hAnsi="Arial Narrow" w:cs="Cambria"/>
                <w:sz w:val="20"/>
                <w:szCs w:val="20"/>
              </w:rPr>
              <w:t>ABEC (T2DM) N=756</w:t>
            </w:r>
          </w:p>
        </w:tc>
      </w:tr>
      <w:tr w:rsidR="00E2510F" w:rsidRPr="00260B02" w:rsidTr="00866322">
        <w:tc>
          <w:tcPr>
            <w:tcW w:w="1701" w:type="dxa"/>
          </w:tcPr>
          <w:p w:rsidR="00E2510F" w:rsidRPr="00260B02" w:rsidRDefault="00E2510F" w:rsidP="00866322">
            <w:pPr>
              <w:keepNext/>
              <w:keepLines/>
              <w:autoSpaceDE w:val="0"/>
              <w:autoSpaceDN w:val="0"/>
              <w:adjustRightInd w:val="0"/>
              <w:rPr>
                <w:rFonts w:ascii="Arial Narrow" w:hAnsi="Arial Narrow" w:cs="TimesNewRomanPSMT"/>
                <w:sz w:val="20"/>
                <w:szCs w:val="20"/>
              </w:rPr>
            </w:pPr>
          </w:p>
        </w:tc>
        <w:tc>
          <w:tcPr>
            <w:tcW w:w="1240" w:type="dxa"/>
          </w:tcPr>
          <w:p w:rsidR="00E2510F" w:rsidRPr="00260B02" w:rsidRDefault="00E2510F" w:rsidP="00866322">
            <w:pPr>
              <w:keepNext/>
              <w:keepLines/>
              <w:autoSpaceDE w:val="0"/>
              <w:autoSpaceDN w:val="0"/>
              <w:adjustRightInd w:val="0"/>
              <w:rPr>
                <w:rFonts w:ascii="Arial Narrow" w:hAnsi="Arial Narrow" w:cs="TimesNewRomanPSMT"/>
                <w:sz w:val="20"/>
                <w:szCs w:val="20"/>
              </w:rPr>
            </w:pPr>
            <w:r w:rsidRPr="00260B02">
              <w:rPr>
                <w:rFonts w:ascii="Arial Narrow" w:hAnsi="Arial Narrow" w:cs="TimesNewRomanPSMT"/>
                <w:sz w:val="20"/>
                <w:szCs w:val="20"/>
              </w:rPr>
              <w:t>Basaglar</w:t>
            </w:r>
          </w:p>
          <w:p w:rsidR="00E2510F" w:rsidRPr="00260B02" w:rsidRDefault="00E2510F" w:rsidP="00866322">
            <w:pPr>
              <w:keepNext/>
              <w:keepLines/>
              <w:autoSpaceDE w:val="0"/>
              <w:autoSpaceDN w:val="0"/>
              <w:adjustRightInd w:val="0"/>
              <w:rPr>
                <w:rFonts w:ascii="Arial Narrow" w:hAnsi="Arial Narrow" w:cs="TimesNewRomanPSMT"/>
                <w:sz w:val="20"/>
                <w:szCs w:val="20"/>
              </w:rPr>
            </w:pPr>
            <w:r w:rsidRPr="00260B02">
              <w:rPr>
                <w:rFonts w:ascii="Arial Narrow" w:hAnsi="Arial Narrow" w:cs="TimesNewRomanPSMT"/>
                <w:sz w:val="20"/>
                <w:szCs w:val="20"/>
              </w:rPr>
              <w:t>N=265</w:t>
            </w:r>
          </w:p>
          <w:p w:rsidR="00E2510F" w:rsidRPr="00260B02" w:rsidRDefault="00E2510F" w:rsidP="00866322">
            <w:pPr>
              <w:keepNext/>
              <w:keepLines/>
              <w:autoSpaceDE w:val="0"/>
              <w:autoSpaceDN w:val="0"/>
              <w:adjustRightInd w:val="0"/>
              <w:rPr>
                <w:rFonts w:ascii="Arial Narrow" w:hAnsi="Arial Narrow" w:cs="TimesNewRomanPSMT"/>
                <w:sz w:val="20"/>
                <w:szCs w:val="20"/>
              </w:rPr>
            </w:pPr>
            <w:r w:rsidRPr="00260B02">
              <w:rPr>
                <w:rFonts w:ascii="Arial Narrow" w:hAnsi="Arial Narrow" w:cs="TimesNewRomanPSMT"/>
                <w:sz w:val="20"/>
                <w:szCs w:val="20"/>
              </w:rPr>
              <w:t>n (%)</w:t>
            </w:r>
          </w:p>
        </w:tc>
        <w:tc>
          <w:tcPr>
            <w:tcW w:w="1170" w:type="dxa"/>
          </w:tcPr>
          <w:p w:rsidR="00E2510F" w:rsidRPr="00260B02" w:rsidRDefault="00E2510F" w:rsidP="00866322">
            <w:pPr>
              <w:keepNext/>
              <w:keepLines/>
              <w:autoSpaceDE w:val="0"/>
              <w:autoSpaceDN w:val="0"/>
              <w:adjustRightInd w:val="0"/>
              <w:rPr>
                <w:rFonts w:ascii="Arial Narrow" w:hAnsi="Arial Narrow" w:cs="Cambria"/>
                <w:sz w:val="20"/>
                <w:szCs w:val="20"/>
              </w:rPr>
            </w:pPr>
            <w:r w:rsidRPr="00260B02">
              <w:rPr>
                <w:rFonts w:ascii="Arial Narrow" w:hAnsi="Arial Narrow" w:cs="Cambria"/>
                <w:sz w:val="20"/>
                <w:szCs w:val="20"/>
              </w:rPr>
              <w:t>Lantus</w:t>
            </w:r>
          </w:p>
          <w:p w:rsidR="00E2510F" w:rsidRPr="00260B02" w:rsidRDefault="00E2510F" w:rsidP="00866322">
            <w:pPr>
              <w:keepNext/>
              <w:keepLines/>
              <w:autoSpaceDE w:val="0"/>
              <w:autoSpaceDN w:val="0"/>
              <w:adjustRightInd w:val="0"/>
              <w:rPr>
                <w:rFonts w:ascii="Arial Narrow" w:hAnsi="Arial Narrow" w:cs="Cambria"/>
                <w:sz w:val="20"/>
                <w:szCs w:val="20"/>
              </w:rPr>
            </w:pPr>
            <w:r w:rsidRPr="00260B02">
              <w:rPr>
                <w:rFonts w:ascii="Arial Narrow" w:hAnsi="Arial Narrow" w:cs="Cambria"/>
                <w:sz w:val="20"/>
                <w:szCs w:val="20"/>
              </w:rPr>
              <w:t>N=267</w:t>
            </w:r>
          </w:p>
          <w:p w:rsidR="00E2510F" w:rsidRPr="00260B02" w:rsidRDefault="00E2510F" w:rsidP="00866322">
            <w:pPr>
              <w:keepNext/>
              <w:keepLines/>
              <w:autoSpaceDE w:val="0"/>
              <w:autoSpaceDN w:val="0"/>
              <w:adjustRightInd w:val="0"/>
              <w:rPr>
                <w:rFonts w:ascii="Arial Narrow" w:hAnsi="Arial Narrow" w:cs="TimesNewRomanPSMT"/>
                <w:sz w:val="20"/>
                <w:szCs w:val="20"/>
              </w:rPr>
            </w:pPr>
            <w:r w:rsidRPr="00260B02">
              <w:rPr>
                <w:rFonts w:ascii="Arial Narrow" w:hAnsi="Arial Narrow" w:cs="Cambria"/>
                <w:sz w:val="20"/>
                <w:szCs w:val="20"/>
              </w:rPr>
              <w:t>n (%)</w:t>
            </w:r>
          </w:p>
        </w:tc>
        <w:tc>
          <w:tcPr>
            <w:tcW w:w="1310" w:type="dxa"/>
          </w:tcPr>
          <w:p w:rsidR="00E2510F" w:rsidRPr="00260B02" w:rsidRDefault="00E2510F" w:rsidP="00866322">
            <w:pPr>
              <w:keepNext/>
              <w:keepLines/>
              <w:autoSpaceDE w:val="0"/>
              <w:autoSpaceDN w:val="0"/>
              <w:adjustRightInd w:val="0"/>
              <w:rPr>
                <w:rFonts w:ascii="Arial Narrow" w:hAnsi="Arial Narrow" w:cs="Cambria"/>
                <w:sz w:val="20"/>
                <w:szCs w:val="20"/>
              </w:rPr>
            </w:pPr>
            <w:r w:rsidRPr="00260B02">
              <w:rPr>
                <w:rFonts w:ascii="Arial Narrow" w:hAnsi="Arial Narrow" w:cs="Cambria"/>
                <w:sz w:val="20"/>
                <w:szCs w:val="20"/>
              </w:rPr>
              <w:t>Basaglar</w:t>
            </w:r>
          </w:p>
          <w:p w:rsidR="00E2510F" w:rsidRPr="00260B02" w:rsidRDefault="00E2510F" w:rsidP="00866322">
            <w:pPr>
              <w:keepNext/>
              <w:keepLines/>
              <w:autoSpaceDE w:val="0"/>
              <w:autoSpaceDN w:val="0"/>
              <w:adjustRightInd w:val="0"/>
              <w:rPr>
                <w:rFonts w:ascii="Arial Narrow" w:hAnsi="Arial Narrow" w:cs="Cambria"/>
                <w:sz w:val="20"/>
                <w:szCs w:val="20"/>
              </w:rPr>
            </w:pPr>
            <w:r w:rsidRPr="00260B02">
              <w:rPr>
                <w:rFonts w:ascii="Arial Narrow" w:hAnsi="Arial Narrow" w:cs="Cambria"/>
                <w:sz w:val="20"/>
                <w:szCs w:val="20"/>
              </w:rPr>
              <w:t>N=365</w:t>
            </w:r>
          </w:p>
          <w:p w:rsidR="00E2510F" w:rsidRPr="00260B02" w:rsidRDefault="00E2510F" w:rsidP="00866322">
            <w:pPr>
              <w:keepNext/>
              <w:keepLines/>
              <w:autoSpaceDE w:val="0"/>
              <w:autoSpaceDN w:val="0"/>
              <w:adjustRightInd w:val="0"/>
              <w:rPr>
                <w:rFonts w:ascii="Arial Narrow" w:hAnsi="Arial Narrow" w:cs="TimesNewRomanPSMT"/>
                <w:sz w:val="20"/>
                <w:szCs w:val="20"/>
              </w:rPr>
            </w:pPr>
            <w:r w:rsidRPr="00260B02">
              <w:rPr>
                <w:rFonts w:ascii="Arial Narrow" w:hAnsi="Arial Narrow" w:cs="Cambria"/>
                <w:sz w:val="20"/>
                <w:szCs w:val="20"/>
              </w:rPr>
              <w:t>n (%)</w:t>
            </w:r>
          </w:p>
        </w:tc>
        <w:tc>
          <w:tcPr>
            <w:tcW w:w="1241" w:type="dxa"/>
          </w:tcPr>
          <w:p w:rsidR="00E2510F" w:rsidRPr="00260B02" w:rsidRDefault="00E2510F" w:rsidP="00866322">
            <w:pPr>
              <w:keepNext/>
              <w:keepLines/>
              <w:autoSpaceDE w:val="0"/>
              <w:autoSpaceDN w:val="0"/>
              <w:adjustRightInd w:val="0"/>
              <w:rPr>
                <w:rFonts w:ascii="Arial Narrow" w:hAnsi="Arial Narrow" w:cs="Cambria"/>
                <w:sz w:val="20"/>
                <w:szCs w:val="20"/>
              </w:rPr>
            </w:pPr>
            <w:r w:rsidRPr="00260B02">
              <w:rPr>
                <w:rFonts w:ascii="Arial Narrow" w:hAnsi="Arial Narrow" w:cs="Cambria"/>
                <w:sz w:val="20"/>
                <w:szCs w:val="20"/>
              </w:rPr>
              <w:t>Lantus</w:t>
            </w:r>
          </w:p>
          <w:p w:rsidR="00E2510F" w:rsidRPr="00260B02" w:rsidRDefault="00E2510F" w:rsidP="00866322">
            <w:pPr>
              <w:keepNext/>
              <w:keepLines/>
              <w:autoSpaceDE w:val="0"/>
              <w:autoSpaceDN w:val="0"/>
              <w:adjustRightInd w:val="0"/>
              <w:rPr>
                <w:rFonts w:ascii="Arial Narrow" w:hAnsi="Arial Narrow" w:cs="Cambria"/>
                <w:sz w:val="20"/>
                <w:szCs w:val="20"/>
              </w:rPr>
            </w:pPr>
            <w:r w:rsidRPr="00260B02">
              <w:rPr>
                <w:rFonts w:ascii="Arial Narrow" w:hAnsi="Arial Narrow" w:cs="Cambria"/>
                <w:sz w:val="20"/>
                <w:szCs w:val="20"/>
              </w:rPr>
              <w:t>N=365</w:t>
            </w:r>
          </w:p>
          <w:p w:rsidR="00E2510F" w:rsidRPr="00260B02" w:rsidRDefault="00E2510F" w:rsidP="00866322">
            <w:pPr>
              <w:keepNext/>
              <w:keepLines/>
              <w:autoSpaceDE w:val="0"/>
              <w:autoSpaceDN w:val="0"/>
              <w:adjustRightInd w:val="0"/>
              <w:rPr>
                <w:rFonts w:ascii="Arial Narrow" w:hAnsi="Arial Narrow" w:cs="TimesNewRomanPSMT"/>
                <w:sz w:val="20"/>
                <w:szCs w:val="20"/>
              </w:rPr>
            </w:pPr>
            <w:r w:rsidRPr="00260B02">
              <w:rPr>
                <w:rFonts w:ascii="Arial Narrow" w:hAnsi="Arial Narrow" w:cs="Cambria"/>
                <w:sz w:val="20"/>
                <w:szCs w:val="20"/>
              </w:rPr>
              <w:t>n (%)</w:t>
            </w:r>
          </w:p>
        </w:tc>
      </w:tr>
      <w:tr w:rsidR="00E2510F" w:rsidRPr="00260B02" w:rsidTr="00866322">
        <w:tc>
          <w:tcPr>
            <w:tcW w:w="1701" w:type="dxa"/>
          </w:tcPr>
          <w:p w:rsidR="00E2510F" w:rsidRPr="00260B02" w:rsidRDefault="00E2510F" w:rsidP="00866322">
            <w:pPr>
              <w:keepNext/>
              <w:keepLines/>
              <w:autoSpaceDE w:val="0"/>
              <w:autoSpaceDN w:val="0"/>
              <w:adjustRightInd w:val="0"/>
              <w:rPr>
                <w:rFonts w:ascii="Arial Narrow" w:hAnsi="Arial Narrow" w:cs="TimesNewRomanPSMT"/>
                <w:sz w:val="20"/>
                <w:szCs w:val="20"/>
              </w:rPr>
            </w:pPr>
            <w:r w:rsidRPr="00260B02">
              <w:rPr>
                <w:rFonts w:ascii="Arial Narrow" w:hAnsi="Arial Narrow" w:cs="Cambria"/>
                <w:sz w:val="20"/>
                <w:szCs w:val="20"/>
              </w:rPr>
              <w:t xml:space="preserve">Baseline </w:t>
            </w:r>
          </w:p>
        </w:tc>
        <w:tc>
          <w:tcPr>
            <w:tcW w:w="1240" w:type="dxa"/>
          </w:tcPr>
          <w:p w:rsidR="00E2510F" w:rsidRPr="00260B02" w:rsidRDefault="00E2510F" w:rsidP="00866322">
            <w:pPr>
              <w:keepNext/>
              <w:keepLines/>
              <w:autoSpaceDE w:val="0"/>
              <w:autoSpaceDN w:val="0"/>
              <w:adjustRightInd w:val="0"/>
              <w:rPr>
                <w:rFonts w:ascii="Arial Narrow" w:hAnsi="Arial Narrow" w:cs="TimesNewRomanPSMT"/>
                <w:sz w:val="20"/>
                <w:szCs w:val="20"/>
              </w:rPr>
            </w:pPr>
            <w:r w:rsidRPr="00260B02">
              <w:rPr>
                <w:rFonts w:ascii="Arial Narrow" w:hAnsi="Arial Narrow" w:cs="Cambria"/>
                <w:sz w:val="20"/>
                <w:szCs w:val="20"/>
              </w:rPr>
              <w:t xml:space="preserve">45 (17) </w:t>
            </w:r>
          </w:p>
        </w:tc>
        <w:tc>
          <w:tcPr>
            <w:tcW w:w="1170" w:type="dxa"/>
          </w:tcPr>
          <w:p w:rsidR="00E2510F" w:rsidRPr="00260B02" w:rsidRDefault="00E2510F" w:rsidP="00866322">
            <w:pPr>
              <w:keepNext/>
              <w:keepLines/>
              <w:autoSpaceDE w:val="0"/>
              <w:autoSpaceDN w:val="0"/>
              <w:adjustRightInd w:val="0"/>
              <w:rPr>
                <w:rFonts w:ascii="Arial Narrow" w:hAnsi="Arial Narrow" w:cs="TimesNewRomanPSMT"/>
                <w:sz w:val="20"/>
                <w:szCs w:val="20"/>
              </w:rPr>
            </w:pPr>
            <w:r w:rsidRPr="00260B02">
              <w:rPr>
                <w:rFonts w:ascii="Arial Narrow" w:hAnsi="Arial Narrow" w:cs="Cambria"/>
                <w:sz w:val="20"/>
                <w:szCs w:val="20"/>
              </w:rPr>
              <w:t xml:space="preserve">55 (21) </w:t>
            </w:r>
          </w:p>
        </w:tc>
        <w:tc>
          <w:tcPr>
            <w:tcW w:w="1310" w:type="dxa"/>
          </w:tcPr>
          <w:p w:rsidR="00E2510F" w:rsidRPr="00260B02" w:rsidRDefault="00E2510F" w:rsidP="00866322">
            <w:pPr>
              <w:keepNext/>
              <w:keepLines/>
              <w:autoSpaceDE w:val="0"/>
              <w:autoSpaceDN w:val="0"/>
              <w:adjustRightInd w:val="0"/>
              <w:rPr>
                <w:rFonts w:ascii="Arial Narrow" w:hAnsi="Arial Narrow" w:cs="TimesNewRomanPSMT"/>
                <w:sz w:val="20"/>
                <w:szCs w:val="20"/>
              </w:rPr>
            </w:pPr>
            <w:r w:rsidRPr="00260B02">
              <w:rPr>
                <w:rFonts w:ascii="Arial Narrow" w:hAnsi="Arial Narrow" w:cs="Cambria"/>
                <w:sz w:val="20"/>
                <w:szCs w:val="20"/>
              </w:rPr>
              <w:t xml:space="preserve">20 (6) </w:t>
            </w:r>
          </w:p>
        </w:tc>
        <w:tc>
          <w:tcPr>
            <w:tcW w:w="1241" w:type="dxa"/>
          </w:tcPr>
          <w:p w:rsidR="00E2510F" w:rsidRPr="00260B02" w:rsidRDefault="00E2510F" w:rsidP="00866322">
            <w:pPr>
              <w:keepNext/>
              <w:keepLines/>
              <w:autoSpaceDE w:val="0"/>
              <w:autoSpaceDN w:val="0"/>
              <w:adjustRightInd w:val="0"/>
              <w:rPr>
                <w:rFonts w:ascii="Arial Narrow" w:hAnsi="Arial Narrow" w:cs="TimesNewRomanPSMT"/>
                <w:sz w:val="20"/>
                <w:szCs w:val="20"/>
              </w:rPr>
            </w:pPr>
            <w:r w:rsidRPr="00260B02">
              <w:rPr>
                <w:rFonts w:ascii="Arial Narrow" w:hAnsi="Arial Narrow" w:cs="Cambria"/>
                <w:sz w:val="20"/>
                <w:szCs w:val="20"/>
              </w:rPr>
              <w:t xml:space="preserve"> 13 (4)</w:t>
            </w:r>
          </w:p>
        </w:tc>
      </w:tr>
      <w:tr w:rsidR="00E2510F" w:rsidRPr="00260B02" w:rsidTr="00866322">
        <w:tc>
          <w:tcPr>
            <w:tcW w:w="1701" w:type="dxa"/>
          </w:tcPr>
          <w:p w:rsidR="00E2510F" w:rsidRPr="00260B02" w:rsidRDefault="00E2510F" w:rsidP="00866322">
            <w:pPr>
              <w:keepNext/>
              <w:keepLines/>
              <w:autoSpaceDE w:val="0"/>
              <w:autoSpaceDN w:val="0"/>
              <w:adjustRightInd w:val="0"/>
              <w:rPr>
                <w:rFonts w:ascii="Arial Narrow" w:hAnsi="Arial Narrow" w:cs="TimesNewRomanPSMT"/>
                <w:sz w:val="20"/>
                <w:szCs w:val="20"/>
              </w:rPr>
            </w:pPr>
            <w:r w:rsidRPr="00260B02">
              <w:rPr>
                <w:rFonts w:ascii="Arial Narrow" w:hAnsi="Arial Narrow" w:cs="TimesNewRomanPSMT"/>
                <w:sz w:val="20"/>
                <w:szCs w:val="20"/>
              </w:rPr>
              <w:t>Endpoint (LOCF)</w:t>
            </w:r>
          </w:p>
        </w:tc>
        <w:tc>
          <w:tcPr>
            <w:tcW w:w="1240" w:type="dxa"/>
          </w:tcPr>
          <w:p w:rsidR="00E2510F" w:rsidRPr="00260B02" w:rsidRDefault="00E2510F" w:rsidP="00866322">
            <w:pPr>
              <w:keepNext/>
              <w:keepLines/>
              <w:autoSpaceDE w:val="0"/>
              <w:autoSpaceDN w:val="0"/>
              <w:adjustRightInd w:val="0"/>
              <w:rPr>
                <w:rFonts w:ascii="Arial Narrow" w:hAnsi="Arial Narrow" w:cs="TimesNewRomanPSMT"/>
                <w:sz w:val="20"/>
                <w:szCs w:val="20"/>
              </w:rPr>
            </w:pPr>
            <w:r w:rsidRPr="00260B02">
              <w:rPr>
                <w:rFonts w:ascii="Arial Narrow" w:hAnsi="Arial Narrow" w:cs="TimesNewRomanPSMT"/>
                <w:sz w:val="20"/>
                <w:szCs w:val="20"/>
              </w:rPr>
              <w:t>50 (19)</w:t>
            </w:r>
          </w:p>
        </w:tc>
        <w:tc>
          <w:tcPr>
            <w:tcW w:w="1170" w:type="dxa"/>
          </w:tcPr>
          <w:p w:rsidR="00E2510F" w:rsidRPr="00260B02" w:rsidRDefault="00E2510F" w:rsidP="00866322">
            <w:pPr>
              <w:keepNext/>
              <w:keepLines/>
              <w:autoSpaceDE w:val="0"/>
              <w:autoSpaceDN w:val="0"/>
              <w:adjustRightInd w:val="0"/>
              <w:rPr>
                <w:rFonts w:ascii="Arial Narrow" w:hAnsi="Arial Narrow" w:cs="TimesNewRomanPSMT"/>
                <w:sz w:val="20"/>
                <w:szCs w:val="20"/>
              </w:rPr>
            </w:pPr>
            <w:r w:rsidRPr="00260B02">
              <w:rPr>
                <w:rFonts w:ascii="Arial Narrow" w:hAnsi="Arial Narrow" w:cs="TimesNewRomanPSMT"/>
                <w:sz w:val="20"/>
                <w:szCs w:val="20"/>
              </w:rPr>
              <w:t>51 (19)</w:t>
            </w:r>
          </w:p>
        </w:tc>
        <w:tc>
          <w:tcPr>
            <w:tcW w:w="1310" w:type="dxa"/>
          </w:tcPr>
          <w:p w:rsidR="00E2510F" w:rsidRPr="00260B02" w:rsidRDefault="00E2510F" w:rsidP="00866322">
            <w:pPr>
              <w:keepNext/>
              <w:keepLines/>
              <w:autoSpaceDE w:val="0"/>
              <w:autoSpaceDN w:val="0"/>
              <w:adjustRightInd w:val="0"/>
              <w:rPr>
                <w:rFonts w:ascii="Arial Narrow" w:hAnsi="Arial Narrow" w:cs="TimesNewRomanPSMT"/>
                <w:sz w:val="20"/>
                <w:szCs w:val="20"/>
              </w:rPr>
            </w:pPr>
            <w:r w:rsidRPr="00260B02">
              <w:rPr>
                <w:rFonts w:ascii="Arial Narrow" w:hAnsi="Arial Narrow" w:cs="TimesNewRomanPSMT"/>
                <w:sz w:val="20"/>
                <w:szCs w:val="20"/>
              </w:rPr>
              <w:t>30 (8)</w:t>
            </w:r>
          </w:p>
        </w:tc>
        <w:tc>
          <w:tcPr>
            <w:tcW w:w="1241" w:type="dxa"/>
          </w:tcPr>
          <w:p w:rsidR="00E2510F" w:rsidRPr="00260B02" w:rsidRDefault="00E2510F" w:rsidP="00866322">
            <w:pPr>
              <w:keepNext/>
              <w:keepLines/>
              <w:autoSpaceDE w:val="0"/>
              <w:autoSpaceDN w:val="0"/>
              <w:adjustRightInd w:val="0"/>
              <w:rPr>
                <w:rFonts w:ascii="Arial Narrow" w:hAnsi="Arial Narrow" w:cs="TimesNewRomanPSMT"/>
                <w:sz w:val="20"/>
                <w:szCs w:val="20"/>
              </w:rPr>
            </w:pPr>
            <w:r w:rsidRPr="00260B02">
              <w:rPr>
                <w:rFonts w:ascii="Arial Narrow" w:hAnsi="Arial Narrow" w:cs="TimesNewRomanPSMT"/>
                <w:sz w:val="20"/>
                <w:szCs w:val="20"/>
              </w:rPr>
              <w:t>22 (6)</w:t>
            </w:r>
          </w:p>
        </w:tc>
      </w:tr>
      <w:tr w:rsidR="00E2510F" w:rsidRPr="00260B02" w:rsidTr="00866322">
        <w:tc>
          <w:tcPr>
            <w:tcW w:w="1701" w:type="dxa"/>
          </w:tcPr>
          <w:p w:rsidR="00E2510F" w:rsidRPr="00260B02" w:rsidRDefault="00E2510F" w:rsidP="00866322">
            <w:pPr>
              <w:keepNext/>
              <w:keepLines/>
              <w:autoSpaceDE w:val="0"/>
              <w:autoSpaceDN w:val="0"/>
              <w:adjustRightInd w:val="0"/>
              <w:rPr>
                <w:rFonts w:ascii="Arial Narrow" w:hAnsi="Arial Narrow" w:cs="TimesNewRomanPSMT"/>
                <w:sz w:val="20"/>
                <w:szCs w:val="20"/>
              </w:rPr>
            </w:pPr>
            <w:r w:rsidRPr="00260B02">
              <w:rPr>
                <w:rFonts w:ascii="Arial Narrow" w:hAnsi="Arial Narrow" w:cs="TimesNewRomanPSMT"/>
                <w:sz w:val="20"/>
                <w:szCs w:val="20"/>
              </w:rPr>
              <w:t>Overall (anytime)</w:t>
            </w:r>
          </w:p>
        </w:tc>
        <w:tc>
          <w:tcPr>
            <w:tcW w:w="1240" w:type="dxa"/>
          </w:tcPr>
          <w:p w:rsidR="00E2510F" w:rsidRPr="00260B02" w:rsidRDefault="00E2510F" w:rsidP="00866322">
            <w:pPr>
              <w:keepNext/>
              <w:keepLines/>
              <w:autoSpaceDE w:val="0"/>
              <w:autoSpaceDN w:val="0"/>
              <w:adjustRightInd w:val="0"/>
              <w:rPr>
                <w:rFonts w:ascii="Arial Narrow" w:hAnsi="Arial Narrow" w:cs="TimesNewRomanPSMT"/>
                <w:sz w:val="20"/>
                <w:szCs w:val="20"/>
              </w:rPr>
            </w:pPr>
            <w:r w:rsidRPr="00260B02">
              <w:rPr>
                <w:rFonts w:ascii="Arial Narrow" w:hAnsi="Arial Narrow" w:cs="TimesNewRomanPSMT"/>
                <w:sz w:val="20"/>
                <w:szCs w:val="20"/>
              </w:rPr>
              <w:t>79 (30)</w:t>
            </w:r>
          </w:p>
        </w:tc>
        <w:tc>
          <w:tcPr>
            <w:tcW w:w="1170" w:type="dxa"/>
          </w:tcPr>
          <w:p w:rsidR="00E2510F" w:rsidRPr="00260B02" w:rsidRDefault="00E2510F" w:rsidP="00866322">
            <w:pPr>
              <w:keepNext/>
              <w:keepLines/>
              <w:autoSpaceDE w:val="0"/>
              <w:autoSpaceDN w:val="0"/>
              <w:adjustRightInd w:val="0"/>
              <w:rPr>
                <w:rFonts w:ascii="Arial Narrow" w:hAnsi="Arial Narrow" w:cs="TimesNewRomanPSMT"/>
                <w:sz w:val="20"/>
                <w:szCs w:val="20"/>
              </w:rPr>
            </w:pPr>
            <w:r w:rsidRPr="00260B02">
              <w:rPr>
                <w:rFonts w:ascii="Arial Narrow" w:hAnsi="Arial Narrow" w:cs="TimesNewRomanPSMT"/>
                <w:sz w:val="20"/>
                <w:szCs w:val="20"/>
              </w:rPr>
              <w:t>90 (34)</w:t>
            </w:r>
          </w:p>
        </w:tc>
        <w:tc>
          <w:tcPr>
            <w:tcW w:w="1310" w:type="dxa"/>
          </w:tcPr>
          <w:p w:rsidR="00E2510F" w:rsidRPr="00260B02" w:rsidRDefault="00E2510F" w:rsidP="00866322">
            <w:pPr>
              <w:keepNext/>
              <w:keepLines/>
              <w:autoSpaceDE w:val="0"/>
              <w:autoSpaceDN w:val="0"/>
              <w:adjustRightInd w:val="0"/>
              <w:rPr>
                <w:rFonts w:ascii="Arial Narrow" w:hAnsi="Arial Narrow" w:cs="TimesNewRomanPSMT"/>
                <w:sz w:val="20"/>
                <w:szCs w:val="20"/>
              </w:rPr>
            </w:pPr>
            <w:r w:rsidRPr="00260B02">
              <w:rPr>
                <w:rFonts w:ascii="Arial Narrow" w:hAnsi="Arial Narrow" w:cs="TimesNewRomanPSMT"/>
                <w:sz w:val="20"/>
                <w:szCs w:val="20"/>
              </w:rPr>
              <w:t>56 (15)</w:t>
            </w:r>
          </w:p>
        </w:tc>
        <w:tc>
          <w:tcPr>
            <w:tcW w:w="1241" w:type="dxa"/>
          </w:tcPr>
          <w:p w:rsidR="00E2510F" w:rsidRPr="00260B02" w:rsidRDefault="00E2510F" w:rsidP="00866322">
            <w:pPr>
              <w:keepNext/>
              <w:keepLines/>
              <w:autoSpaceDE w:val="0"/>
              <w:autoSpaceDN w:val="0"/>
              <w:adjustRightInd w:val="0"/>
              <w:rPr>
                <w:rFonts w:ascii="Arial Narrow" w:hAnsi="Arial Narrow" w:cs="TimesNewRomanPSMT"/>
                <w:sz w:val="20"/>
                <w:szCs w:val="20"/>
              </w:rPr>
            </w:pPr>
            <w:r w:rsidRPr="00260B02">
              <w:rPr>
                <w:rFonts w:ascii="Arial Narrow" w:hAnsi="Arial Narrow" w:cs="TimesNewRomanPSMT"/>
                <w:sz w:val="20"/>
                <w:szCs w:val="20"/>
              </w:rPr>
              <w:t>40 (11)</w:t>
            </w:r>
          </w:p>
        </w:tc>
      </w:tr>
    </w:tbl>
    <w:p w:rsidR="00E2510F" w:rsidRPr="00260B02" w:rsidRDefault="00E2510F" w:rsidP="000B5584">
      <w:pPr>
        <w:pStyle w:val="ListParagraph"/>
        <w:keepNext/>
        <w:keepLines/>
        <w:ind w:left="360" w:firstLine="349"/>
        <w:jc w:val="both"/>
        <w:rPr>
          <w:rFonts w:ascii="Arial Narrow" w:hAnsi="Arial Narrow" w:cs="TimesNewRomanPSMT"/>
          <w:sz w:val="18"/>
          <w:szCs w:val="16"/>
        </w:rPr>
      </w:pPr>
      <w:r w:rsidRPr="00260B02">
        <w:rPr>
          <w:rFonts w:ascii="Arial Narrow" w:hAnsi="Arial Narrow" w:cs="TimesNewRomanPSMT"/>
          <w:sz w:val="18"/>
          <w:szCs w:val="16"/>
        </w:rPr>
        <w:t>Source: Delegate’s Overview, page 8. a) overall (anytime) during treatment period, not including baseline</w:t>
      </w:r>
    </w:p>
    <w:p w:rsidR="00E2510F" w:rsidRPr="00260B02" w:rsidRDefault="00E2510F" w:rsidP="000B5584">
      <w:pPr>
        <w:pStyle w:val="ListParagraph"/>
        <w:ind w:left="360"/>
        <w:jc w:val="both"/>
        <w:rPr>
          <w:rFonts w:ascii="Arial" w:hAnsi="Arial"/>
          <w:sz w:val="22"/>
          <w:szCs w:val="22"/>
        </w:rPr>
      </w:pPr>
    </w:p>
    <w:p w:rsidR="003A4F15" w:rsidRPr="00260B02" w:rsidRDefault="00E2510F" w:rsidP="00DD0588">
      <w:pPr>
        <w:pStyle w:val="ListParagraph"/>
        <w:numPr>
          <w:ilvl w:val="1"/>
          <w:numId w:val="25"/>
        </w:numPr>
        <w:jc w:val="both"/>
        <w:rPr>
          <w:rFonts w:ascii="Arial" w:hAnsi="Arial"/>
          <w:sz w:val="22"/>
          <w:szCs w:val="22"/>
        </w:rPr>
      </w:pPr>
      <w:r w:rsidRPr="00260B02">
        <w:rPr>
          <w:rFonts w:ascii="Arial" w:hAnsi="Arial"/>
          <w:sz w:val="22"/>
          <w:szCs w:val="22"/>
        </w:rPr>
        <w:t>The Clinical Study Report for ABEC (ELEMENT-2) presented a subgroup analysis for the incidence of Treatment Emergent Antibody Response by entry basal insulin treatment (that is, whether patients were taking Lantus</w:t>
      </w:r>
      <w:r w:rsidRPr="00260B02">
        <w:rPr>
          <w:rFonts w:ascii="Arial" w:hAnsi="Arial"/>
          <w:sz w:val="22"/>
          <w:szCs w:val="22"/>
          <w:vertAlign w:val="superscript"/>
        </w:rPr>
        <w:t xml:space="preserve">® </w:t>
      </w:r>
      <w:r w:rsidRPr="00260B02">
        <w:rPr>
          <w:rFonts w:ascii="Arial" w:hAnsi="Arial"/>
          <w:sz w:val="22"/>
          <w:szCs w:val="22"/>
        </w:rPr>
        <w:t xml:space="preserve">or no insulin at baseline). </w:t>
      </w:r>
    </w:p>
    <w:p w:rsidR="003A4F15" w:rsidRPr="00260B02" w:rsidRDefault="003A4F15" w:rsidP="003A4F15">
      <w:pPr>
        <w:pStyle w:val="ListParagraph"/>
        <w:ind w:left="709"/>
        <w:jc w:val="both"/>
        <w:rPr>
          <w:rFonts w:ascii="Arial" w:hAnsi="Arial"/>
          <w:sz w:val="22"/>
          <w:szCs w:val="22"/>
        </w:rPr>
      </w:pPr>
    </w:p>
    <w:p w:rsidR="00E2510F" w:rsidRPr="00260B02" w:rsidRDefault="00E2510F" w:rsidP="003A4F15">
      <w:pPr>
        <w:pStyle w:val="ListParagraph"/>
        <w:ind w:left="709"/>
        <w:jc w:val="both"/>
        <w:rPr>
          <w:rFonts w:ascii="Arial" w:hAnsi="Arial"/>
          <w:sz w:val="22"/>
          <w:szCs w:val="22"/>
        </w:rPr>
      </w:pPr>
      <w:r w:rsidRPr="00260B02">
        <w:rPr>
          <w:rFonts w:ascii="Arial" w:hAnsi="Arial"/>
          <w:sz w:val="22"/>
          <w:szCs w:val="22"/>
        </w:rPr>
        <w:t>The Delegate’s Overview state</w:t>
      </w:r>
      <w:r w:rsidR="005A7242" w:rsidRPr="00260B02">
        <w:rPr>
          <w:rFonts w:ascii="Arial" w:hAnsi="Arial"/>
          <w:sz w:val="22"/>
          <w:szCs w:val="22"/>
        </w:rPr>
        <w:t>d</w:t>
      </w:r>
      <w:r w:rsidRPr="00260B02">
        <w:rPr>
          <w:rFonts w:ascii="Arial" w:hAnsi="Arial"/>
          <w:sz w:val="22"/>
          <w:szCs w:val="22"/>
        </w:rPr>
        <w:t>:</w:t>
      </w:r>
    </w:p>
    <w:p w:rsidR="006E1FAD" w:rsidRPr="00260B02" w:rsidRDefault="008D1212" w:rsidP="005842D6">
      <w:pPr>
        <w:pStyle w:val="ListParagraph"/>
        <w:ind w:left="1134"/>
        <w:jc w:val="both"/>
        <w:rPr>
          <w:rFonts w:ascii="Arial" w:hAnsi="Arial"/>
          <w:sz w:val="22"/>
          <w:szCs w:val="22"/>
        </w:rPr>
      </w:pPr>
      <w:r w:rsidRPr="00260B02">
        <w:rPr>
          <w:rFonts w:ascii="Arial" w:hAnsi="Arial"/>
          <w:sz w:val="22"/>
          <w:szCs w:val="22"/>
        </w:rPr>
        <w:t>“</w:t>
      </w:r>
      <w:r w:rsidR="005A0688" w:rsidRPr="00260B02">
        <w:rPr>
          <w:rFonts w:ascii="Arial" w:hAnsi="Arial"/>
          <w:sz w:val="22"/>
          <w:szCs w:val="22"/>
        </w:rPr>
        <w:t xml:space="preserve">For ABEC, </w:t>
      </w:r>
      <w:r w:rsidR="006E1FAD" w:rsidRPr="00260B02">
        <w:rPr>
          <w:rFonts w:ascii="Arial" w:hAnsi="Arial"/>
          <w:sz w:val="22"/>
          <w:szCs w:val="22"/>
        </w:rPr>
        <w:t>a difference in the proportion of patients with detectable antibodies was reported for insulin-naïve patients (e.g., overall</w:t>
      </w:r>
      <w:r w:rsidR="003C56C6" w:rsidRPr="00260B02">
        <w:rPr>
          <w:rFonts w:ascii="Arial" w:hAnsi="Arial"/>
          <w:sz w:val="22"/>
          <w:szCs w:val="22"/>
        </w:rPr>
        <w:t xml:space="preserve"> </w:t>
      </w:r>
      <w:r w:rsidR="006E1FAD" w:rsidRPr="00260B02">
        <w:rPr>
          <w:rFonts w:ascii="Arial" w:hAnsi="Arial"/>
          <w:sz w:val="22"/>
          <w:szCs w:val="22"/>
        </w:rPr>
        <w:t xml:space="preserve">[anytime] at 24 weeks: </w:t>
      </w:r>
      <w:r w:rsidR="005842D6" w:rsidRPr="00260B02">
        <w:rPr>
          <w:rFonts w:ascii="Arial" w:hAnsi="Arial"/>
          <w:sz w:val="22"/>
          <w:szCs w:val="22"/>
        </w:rPr>
        <w:t>Abasria</w:t>
      </w:r>
      <w:r w:rsidR="006E1FAD" w:rsidRPr="00260B02">
        <w:rPr>
          <w:rFonts w:ascii="Arial" w:hAnsi="Arial"/>
          <w:sz w:val="22"/>
          <w:szCs w:val="22"/>
        </w:rPr>
        <w:t xml:space="preserve"> </w:t>
      </w:r>
      <w:r w:rsidR="005842D6" w:rsidRPr="00260B02">
        <w:rPr>
          <w:rFonts w:ascii="Arial" w:hAnsi="Arial"/>
          <w:sz w:val="22"/>
          <w:szCs w:val="22"/>
        </w:rPr>
        <w:t xml:space="preserve">(Basaglar) </w:t>
      </w:r>
      <w:r w:rsidR="006E1FAD" w:rsidRPr="00260B02">
        <w:rPr>
          <w:rFonts w:ascii="Arial" w:hAnsi="Arial"/>
          <w:sz w:val="22"/>
          <w:szCs w:val="22"/>
        </w:rPr>
        <w:t xml:space="preserve">19% versus </w:t>
      </w:r>
      <w:r w:rsidR="005842D6" w:rsidRPr="00260B02">
        <w:rPr>
          <w:rFonts w:ascii="Arial" w:hAnsi="Arial"/>
          <w:sz w:val="22"/>
          <w:szCs w:val="22"/>
        </w:rPr>
        <w:t>Lantus</w:t>
      </w:r>
      <w:r w:rsidR="006E1FAD" w:rsidRPr="00260B02">
        <w:rPr>
          <w:rFonts w:ascii="Arial" w:hAnsi="Arial"/>
          <w:sz w:val="22"/>
          <w:szCs w:val="22"/>
        </w:rPr>
        <w:t xml:space="preserve"> 8%). This is difficult to interpret, given the multiple statistical comparisons. Also, no difference was found in study ABEB, which was the study with the most sensitive population for detecting immunogenicity (i.e., T1D).”</w:t>
      </w:r>
    </w:p>
    <w:p w:rsidR="006E1FAD" w:rsidRPr="00260B02" w:rsidRDefault="006E1FAD" w:rsidP="005842D6">
      <w:pPr>
        <w:pStyle w:val="ListParagraph"/>
        <w:ind w:left="1134"/>
        <w:jc w:val="both"/>
        <w:rPr>
          <w:rFonts w:ascii="Arial" w:hAnsi="Arial"/>
          <w:sz w:val="22"/>
          <w:szCs w:val="22"/>
        </w:rPr>
      </w:pPr>
    </w:p>
    <w:p w:rsidR="006E1FAD" w:rsidRPr="00260B02" w:rsidRDefault="00E2510F" w:rsidP="003D4671">
      <w:pPr>
        <w:pStyle w:val="ListParagraph"/>
        <w:ind w:left="709"/>
        <w:jc w:val="both"/>
        <w:rPr>
          <w:rFonts w:ascii="Calibri" w:hAnsi="Calibri" w:cs="Calibri"/>
          <w:b/>
          <w:bCs/>
          <w:szCs w:val="18"/>
          <w:lang w:eastAsia="en-US" w:bidi="en-US"/>
        </w:rPr>
      </w:pPr>
      <w:r w:rsidRPr="00260B02">
        <w:rPr>
          <w:rFonts w:ascii="Arial" w:hAnsi="Arial"/>
          <w:sz w:val="22"/>
          <w:szCs w:val="22"/>
        </w:rPr>
        <w:t>The Delegate</w:t>
      </w:r>
      <w:r w:rsidR="00A275A0" w:rsidRPr="00260B02">
        <w:rPr>
          <w:rFonts w:ascii="Arial" w:hAnsi="Arial"/>
          <w:sz w:val="22"/>
          <w:szCs w:val="22"/>
        </w:rPr>
        <w:t>’</w:t>
      </w:r>
      <w:r w:rsidRPr="00260B02">
        <w:rPr>
          <w:rFonts w:ascii="Arial" w:hAnsi="Arial"/>
          <w:sz w:val="22"/>
          <w:szCs w:val="22"/>
        </w:rPr>
        <w:t>s Overview (</w:t>
      </w:r>
      <w:r w:rsidR="00C52B49" w:rsidRPr="00260B02">
        <w:rPr>
          <w:rFonts w:ascii="Arial" w:hAnsi="Arial"/>
          <w:sz w:val="22"/>
          <w:szCs w:val="22"/>
        </w:rPr>
        <w:t xml:space="preserve">pg </w:t>
      </w:r>
      <w:r w:rsidRPr="00260B02">
        <w:rPr>
          <w:rFonts w:ascii="Arial" w:hAnsi="Arial"/>
          <w:sz w:val="22"/>
          <w:szCs w:val="22"/>
        </w:rPr>
        <w:t>9) state</w:t>
      </w:r>
      <w:r w:rsidR="005A7242" w:rsidRPr="00260B02">
        <w:rPr>
          <w:rFonts w:ascii="Arial" w:hAnsi="Arial"/>
          <w:sz w:val="22"/>
          <w:szCs w:val="22"/>
        </w:rPr>
        <w:t>d</w:t>
      </w:r>
      <w:r w:rsidRPr="00260B02">
        <w:rPr>
          <w:rFonts w:ascii="Arial" w:hAnsi="Arial"/>
          <w:sz w:val="22"/>
          <w:szCs w:val="22"/>
        </w:rPr>
        <w:t xml:space="preserve"> that “for ABEB, at 52 weeks, the proportions of patients with detectable antibodies was similar.” Note that </w:t>
      </w:r>
      <w:r w:rsidR="008D1212" w:rsidRPr="00260B02">
        <w:rPr>
          <w:rFonts w:ascii="Arial" w:hAnsi="Arial"/>
          <w:sz w:val="22"/>
          <w:szCs w:val="22"/>
        </w:rPr>
        <w:t xml:space="preserve">all patients in ABEB were on basal insulin prior to enrolment, and 84.5% were on Lantus. </w:t>
      </w:r>
    </w:p>
    <w:p w:rsidR="005A0688" w:rsidRPr="00260B02" w:rsidRDefault="005A0688" w:rsidP="003D4671">
      <w:pPr>
        <w:pStyle w:val="ListParagraph"/>
        <w:rPr>
          <w:rFonts w:ascii="Arial" w:hAnsi="Arial"/>
          <w:sz w:val="22"/>
          <w:szCs w:val="22"/>
        </w:rPr>
      </w:pPr>
    </w:p>
    <w:bookmarkEnd w:id="7"/>
    <w:bookmarkEnd w:id="8"/>
    <w:p w:rsidR="006E1FAD" w:rsidRPr="00260B02" w:rsidRDefault="006E1FAD" w:rsidP="000B5584">
      <w:pPr>
        <w:pStyle w:val="ListParagraph"/>
        <w:keepNext/>
        <w:keepLines/>
        <w:ind w:left="-142"/>
        <w:jc w:val="both"/>
        <w:rPr>
          <w:rFonts w:ascii="Arial" w:hAnsi="Arial"/>
          <w:sz w:val="22"/>
          <w:szCs w:val="22"/>
          <w:u w:val="single"/>
        </w:rPr>
      </w:pPr>
      <w:r w:rsidRPr="00260B02">
        <w:rPr>
          <w:rFonts w:ascii="Arial" w:hAnsi="Arial"/>
          <w:sz w:val="22"/>
          <w:szCs w:val="22"/>
          <w:u w:val="single"/>
        </w:rPr>
        <w:t>Pharmacovigilance</w:t>
      </w:r>
    </w:p>
    <w:p w:rsidR="006E1FAD" w:rsidRPr="00260B02" w:rsidRDefault="006E1FAD" w:rsidP="000B5584">
      <w:pPr>
        <w:pStyle w:val="ListParagraph"/>
        <w:keepNext/>
        <w:keepLines/>
        <w:ind w:left="709"/>
        <w:rPr>
          <w:rFonts w:ascii="Arial" w:hAnsi="Arial"/>
          <w:i/>
          <w:sz w:val="22"/>
          <w:szCs w:val="22"/>
        </w:rPr>
      </w:pPr>
    </w:p>
    <w:p w:rsidR="00A35C0F" w:rsidRPr="00260B02" w:rsidRDefault="00554318" w:rsidP="00DD0588">
      <w:pPr>
        <w:pStyle w:val="ListParagraph"/>
        <w:numPr>
          <w:ilvl w:val="1"/>
          <w:numId w:val="25"/>
        </w:numPr>
        <w:jc w:val="both"/>
        <w:rPr>
          <w:rFonts w:ascii="Arial" w:hAnsi="Arial"/>
          <w:sz w:val="22"/>
          <w:szCs w:val="22"/>
        </w:rPr>
      </w:pPr>
      <w:r w:rsidRPr="00260B02">
        <w:rPr>
          <w:rFonts w:ascii="Arial" w:hAnsi="Arial"/>
          <w:sz w:val="22"/>
          <w:szCs w:val="22"/>
        </w:rPr>
        <w:t>“</w:t>
      </w:r>
      <w:r w:rsidR="00A35C0F" w:rsidRPr="00260B02">
        <w:rPr>
          <w:rFonts w:ascii="Arial" w:hAnsi="Arial"/>
          <w:sz w:val="22"/>
          <w:szCs w:val="22"/>
        </w:rPr>
        <w:t>The EMA guidelines suggest the implementation of a pharmacovigilance programme that will rapidly detect any clinically significant immunogenicity that may emerge over extended time peri</w:t>
      </w:r>
      <w:r w:rsidRPr="00260B02">
        <w:rPr>
          <w:rFonts w:ascii="Arial" w:hAnsi="Arial"/>
          <w:sz w:val="22"/>
          <w:szCs w:val="22"/>
        </w:rPr>
        <w:t>ods” (page 4 of the Delegate</w:t>
      </w:r>
      <w:r w:rsidR="00A275A0" w:rsidRPr="00260B02">
        <w:rPr>
          <w:rFonts w:ascii="Arial" w:hAnsi="Arial"/>
          <w:sz w:val="22"/>
          <w:szCs w:val="22"/>
        </w:rPr>
        <w:t>’</w:t>
      </w:r>
      <w:r w:rsidRPr="00260B02">
        <w:rPr>
          <w:rFonts w:ascii="Arial" w:hAnsi="Arial"/>
          <w:sz w:val="22"/>
          <w:szCs w:val="22"/>
        </w:rPr>
        <w:t>s Overview)</w:t>
      </w:r>
      <w:r w:rsidR="00653BAD" w:rsidRPr="00260B02">
        <w:rPr>
          <w:rFonts w:ascii="Arial" w:hAnsi="Arial"/>
          <w:sz w:val="22"/>
          <w:szCs w:val="22"/>
        </w:rPr>
        <w:t>.</w:t>
      </w:r>
      <w:r w:rsidR="00A35C0F" w:rsidRPr="00260B02">
        <w:rPr>
          <w:rFonts w:ascii="Arial" w:hAnsi="Arial"/>
          <w:sz w:val="22"/>
          <w:szCs w:val="22"/>
        </w:rPr>
        <w:t xml:space="preserve"> </w:t>
      </w:r>
    </w:p>
    <w:p w:rsidR="00E23825" w:rsidRPr="00260B02" w:rsidRDefault="00E23825" w:rsidP="00C52B49">
      <w:pPr>
        <w:pStyle w:val="ListParagraph"/>
        <w:ind w:left="360" w:firstLine="349"/>
        <w:rPr>
          <w:rFonts w:ascii="Arial" w:hAnsi="Arial" w:cs="Arial"/>
          <w:i/>
          <w:sz w:val="22"/>
          <w:szCs w:val="22"/>
        </w:rPr>
      </w:pPr>
    </w:p>
    <w:p w:rsidR="00C52B49" w:rsidRPr="00260B02" w:rsidRDefault="00C52B49" w:rsidP="00C52B49">
      <w:pPr>
        <w:pStyle w:val="ListParagraph"/>
        <w:ind w:left="360" w:firstLine="349"/>
        <w:rPr>
          <w:rFonts w:ascii="Arial" w:hAnsi="Arial" w:cs="Arial"/>
          <w:i/>
          <w:sz w:val="22"/>
          <w:szCs w:val="22"/>
        </w:rPr>
      </w:pPr>
      <w:r w:rsidRPr="00260B02">
        <w:rPr>
          <w:rFonts w:ascii="Arial" w:hAnsi="Arial" w:cs="Arial"/>
          <w:i/>
          <w:sz w:val="22"/>
          <w:szCs w:val="22"/>
        </w:rPr>
        <w:t>For more detail on PBAC’s view, see section 7 “PBAC outcome”</w:t>
      </w:r>
    </w:p>
    <w:p w:rsidR="003C6A64" w:rsidRPr="00260B02" w:rsidRDefault="003C6A64" w:rsidP="005F0CEE">
      <w:pPr>
        <w:keepNext/>
        <w:keepLines/>
        <w:jc w:val="both"/>
        <w:rPr>
          <w:rFonts w:ascii="Arial" w:hAnsi="Arial" w:cs="Arial"/>
          <w:i/>
          <w:sz w:val="22"/>
          <w:szCs w:val="22"/>
        </w:rPr>
      </w:pPr>
    </w:p>
    <w:p w:rsidR="005A3173" w:rsidRPr="00260B02" w:rsidRDefault="005A3173" w:rsidP="00965C23">
      <w:pPr>
        <w:keepNext/>
        <w:keepLines/>
        <w:jc w:val="both"/>
        <w:rPr>
          <w:rFonts w:ascii="Arial" w:hAnsi="Arial"/>
          <w:b/>
          <w:i/>
          <w:sz w:val="22"/>
          <w:szCs w:val="22"/>
        </w:rPr>
      </w:pPr>
      <w:r w:rsidRPr="00260B02">
        <w:rPr>
          <w:rFonts w:ascii="Arial" w:hAnsi="Arial"/>
          <w:b/>
          <w:i/>
          <w:sz w:val="22"/>
          <w:szCs w:val="22"/>
        </w:rPr>
        <w:t>Clinical claim</w:t>
      </w:r>
    </w:p>
    <w:p w:rsidR="005A3173" w:rsidRPr="00260B02" w:rsidRDefault="005A3173" w:rsidP="00965C23">
      <w:pPr>
        <w:keepNext/>
        <w:keepLines/>
        <w:ind w:left="720" w:hanging="720"/>
        <w:jc w:val="both"/>
        <w:rPr>
          <w:rFonts w:ascii="Arial" w:hAnsi="Arial"/>
          <w:sz w:val="22"/>
          <w:szCs w:val="22"/>
        </w:rPr>
      </w:pPr>
    </w:p>
    <w:p w:rsidR="006D3730" w:rsidRPr="00260B02" w:rsidRDefault="00F4773A" w:rsidP="00DD0588">
      <w:pPr>
        <w:pStyle w:val="ListParagraph"/>
        <w:numPr>
          <w:ilvl w:val="1"/>
          <w:numId w:val="25"/>
        </w:numPr>
        <w:jc w:val="both"/>
        <w:rPr>
          <w:rFonts w:ascii="Arial" w:hAnsi="Arial"/>
          <w:sz w:val="22"/>
          <w:szCs w:val="22"/>
        </w:rPr>
      </w:pPr>
      <w:r w:rsidRPr="00260B02">
        <w:rPr>
          <w:rFonts w:ascii="Arial" w:hAnsi="Arial"/>
          <w:sz w:val="22"/>
          <w:szCs w:val="22"/>
        </w:rPr>
        <w:t>The submission claimed</w:t>
      </w:r>
      <w:r w:rsidR="00674DB0" w:rsidRPr="00260B02">
        <w:rPr>
          <w:rFonts w:ascii="Arial" w:hAnsi="Arial"/>
          <w:sz w:val="22"/>
          <w:szCs w:val="22"/>
        </w:rPr>
        <w:t xml:space="preserve"> non-inferior</w:t>
      </w:r>
      <w:r w:rsidR="00BB7EC3" w:rsidRPr="00260B02">
        <w:rPr>
          <w:rFonts w:ascii="Arial" w:hAnsi="Arial"/>
          <w:sz w:val="22"/>
          <w:szCs w:val="22"/>
        </w:rPr>
        <w:t xml:space="preserve"> comparative effectiveness and </w:t>
      </w:r>
      <w:r w:rsidR="00674DB0" w:rsidRPr="00260B02">
        <w:rPr>
          <w:rFonts w:ascii="Arial" w:hAnsi="Arial"/>
          <w:sz w:val="22"/>
          <w:szCs w:val="22"/>
        </w:rPr>
        <w:t>non-inferior</w:t>
      </w:r>
      <w:r w:rsidR="00BB7EC3" w:rsidRPr="00260B02">
        <w:rPr>
          <w:rFonts w:ascii="Arial" w:hAnsi="Arial"/>
          <w:sz w:val="22"/>
          <w:szCs w:val="22"/>
        </w:rPr>
        <w:t xml:space="preserve"> comparative safety of </w:t>
      </w:r>
      <w:r w:rsidR="00674DB0" w:rsidRPr="00260B02">
        <w:rPr>
          <w:rFonts w:ascii="Arial" w:hAnsi="Arial"/>
          <w:sz w:val="22"/>
          <w:szCs w:val="22"/>
        </w:rPr>
        <w:t>Basaglar</w:t>
      </w:r>
      <w:r w:rsidR="00BB7EC3" w:rsidRPr="00260B02">
        <w:rPr>
          <w:rFonts w:ascii="Arial" w:hAnsi="Arial"/>
          <w:sz w:val="22"/>
          <w:szCs w:val="22"/>
        </w:rPr>
        <w:t xml:space="preserve"> compared </w:t>
      </w:r>
      <w:r w:rsidR="00504C9F" w:rsidRPr="00260B02">
        <w:rPr>
          <w:rFonts w:ascii="Arial" w:hAnsi="Arial"/>
          <w:sz w:val="22"/>
          <w:szCs w:val="22"/>
        </w:rPr>
        <w:t xml:space="preserve">to </w:t>
      </w:r>
      <w:r w:rsidR="00674DB0" w:rsidRPr="00260B02">
        <w:rPr>
          <w:rFonts w:ascii="Arial" w:hAnsi="Arial"/>
          <w:sz w:val="22"/>
          <w:szCs w:val="22"/>
        </w:rPr>
        <w:t>Lantus</w:t>
      </w:r>
      <w:r w:rsidR="00674DB0" w:rsidRPr="00260B02">
        <w:rPr>
          <w:rFonts w:ascii="Arial" w:hAnsi="Arial"/>
          <w:i/>
          <w:sz w:val="22"/>
          <w:szCs w:val="22"/>
        </w:rPr>
        <w:t>.</w:t>
      </w:r>
      <w:r w:rsidR="00297249" w:rsidRPr="00260B02">
        <w:rPr>
          <w:rFonts w:ascii="Arial" w:hAnsi="Arial"/>
          <w:i/>
          <w:sz w:val="22"/>
          <w:szCs w:val="22"/>
        </w:rPr>
        <w:t xml:space="preserve"> </w:t>
      </w:r>
    </w:p>
    <w:p w:rsidR="006D3730" w:rsidRPr="00260B02" w:rsidRDefault="006D3730" w:rsidP="006D3730">
      <w:pPr>
        <w:pStyle w:val="ListParagraph"/>
        <w:ind w:left="709"/>
        <w:jc w:val="both"/>
        <w:rPr>
          <w:rFonts w:ascii="Arial" w:hAnsi="Arial"/>
          <w:sz w:val="22"/>
          <w:szCs w:val="22"/>
        </w:rPr>
      </w:pPr>
    </w:p>
    <w:p w:rsidR="003C6A64" w:rsidRPr="00260B02" w:rsidRDefault="006D5ACE" w:rsidP="00DD0588">
      <w:pPr>
        <w:pStyle w:val="ListParagraph"/>
        <w:numPr>
          <w:ilvl w:val="1"/>
          <w:numId w:val="25"/>
        </w:numPr>
        <w:jc w:val="both"/>
        <w:rPr>
          <w:rFonts w:ascii="Arial" w:hAnsi="Arial"/>
          <w:sz w:val="22"/>
          <w:szCs w:val="22"/>
        </w:rPr>
      </w:pPr>
      <w:r w:rsidRPr="00260B02">
        <w:rPr>
          <w:rFonts w:ascii="Arial" w:hAnsi="Arial"/>
          <w:sz w:val="22"/>
          <w:szCs w:val="22"/>
        </w:rPr>
        <w:t xml:space="preserve">The </w:t>
      </w:r>
      <w:r w:rsidR="00E23825" w:rsidRPr="00260B02">
        <w:rPr>
          <w:rFonts w:ascii="Arial" w:hAnsi="Arial"/>
          <w:sz w:val="22"/>
          <w:szCs w:val="22"/>
        </w:rPr>
        <w:t xml:space="preserve">PBAC noted that the </w:t>
      </w:r>
      <w:r w:rsidRPr="00260B02">
        <w:rPr>
          <w:rFonts w:ascii="Arial" w:hAnsi="Arial"/>
          <w:sz w:val="22"/>
          <w:szCs w:val="22"/>
        </w:rPr>
        <w:t xml:space="preserve">ACPM was satisfied that the submitted data (including </w:t>
      </w:r>
      <w:r w:rsidR="00297249" w:rsidRPr="00260B02">
        <w:rPr>
          <w:rFonts w:ascii="Arial" w:hAnsi="Arial"/>
          <w:sz w:val="22"/>
          <w:szCs w:val="22"/>
        </w:rPr>
        <w:t>ABEB and ABEC)</w:t>
      </w:r>
      <w:r w:rsidR="00807F50" w:rsidRPr="00260B02">
        <w:rPr>
          <w:rFonts w:ascii="Arial" w:hAnsi="Arial"/>
          <w:sz w:val="22"/>
          <w:szCs w:val="22"/>
        </w:rPr>
        <w:t xml:space="preserve"> show</w:t>
      </w:r>
      <w:r w:rsidR="00340B8C" w:rsidRPr="00260B02">
        <w:rPr>
          <w:rFonts w:ascii="Arial" w:hAnsi="Arial"/>
          <w:sz w:val="22"/>
          <w:szCs w:val="22"/>
        </w:rPr>
        <w:t>ed</w:t>
      </w:r>
      <w:r w:rsidRPr="00260B02">
        <w:rPr>
          <w:rFonts w:ascii="Arial" w:hAnsi="Arial"/>
          <w:sz w:val="22"/>
          <w:szCs w:val="22"/>
        </w:rPr>
        <w:t xml:space="preserve"> that Ba</w:t>
      </w:r>
      <w:r w:rsidR="00807F50" w:rsidRPr="00260B02">
        <w:rPr>
          <w:rFonts w:ascii="Arial" w:hAnsi="Arial"/>
          <w:sz w:val="22"/>
          <w:szCs w:val="22"/>
        </w:rPr>
        <w:t xml:space="preserve">saglar is similar to Lantus in </w:t>
      </w:r>
      <w:r w:rsidR="00C45ED8" w:rsidRPr="00260B02">
        <w:rPr>
          <w:rFonts w:ascii="Arial" w:hAnsi="Arial"/>
          <w:sz w:val="22"/>
          <w:szCs w:val="22"/>
        </w:rPr>
        <w:t xml:space="preserve">terms of efficacy and safety and the TGA registered </w:t>
      </w:r>
      <w:r w:rsidR="00653BAD" w:rsidRPr="00260B02">
        <w:rPr>
          <w:rFonts w:ascii="Arial" w:hAnsi="Arial"/>
          <w:sz w:val="22"/>
          <w:szCs w:val="22"/>
        </w:rPr>
        <w:t xml:space="preserve">Basaglar as a biosimilar medicine. Therefore, </w:t>
      </w:r>
      <w:r w:rsidRPr="00260B02">
        <w:rPr>
          <w:rFonts w:ascii="Arial" w:hAnsi="Arial"/>
          <w:sz w:val="22"/>
          <w:szCs w:val="22"/>
        </w:rPr>
        <w:t xml:space="preserve">the clinical claim </w:t>
      </w:r>
      <w:r w:rsidR="00653BAD" w:rsidRPr="00260B02">
        <w:rPr>
          <w:rFonts w:ascii="Arial" w:hAnsi="Arial"/>
          <w:sz w:val="22"/>
          <w:szCs w:val="22"/>
        </w:rPr>
        <w:t>appears to be</w:t>
      </w:r>
      <w:r w:rsidRPr="00260B02">
        <w:rPr>
          <w:rFonts w:ascii="Arial" w:hAnsi="Arial"/>
          <w:sz w:val="22"/>
          <w:szCs w:val="22"/>
        </w:rPr>
        <w:t xml:space="preserve"> </w:t>
      </w:r>
      <w:r w:rsidR="00807F50" w:rsidRPr="00260B02">
        <w:rPr>
          <w:rFonts w:ascii="Arial" w:hAnsi="Arial"/>
          <w:sz w:val="22"/>
          <w:szCs w:val="22"/>
        </w:rPr>
        <w:t xml:space="preserve">reasonable. </w:t>
      </w:r>
    </w:p>
    <w:p w:rsidR="00B92A16" w:rsidRPr="00260B02" w:rsidRDefault="00B92A16" w:rsidP="00B92A16">
      <w:pPr>
        <w:ind w:firstLine="709"/>
        <w:rPr>
          <w:rFonts w:ascii="Arial" w:hAnsi="Arial" w:cs="Arial"/>
          <w:i/>
          <w:sz w:val="22"/>
          <w:szCs w:val="22"/>
        </w:rPr>
      </w:pPr>
    </w:p>
    <w:p w:rsidR="00B92A16" w:rsidRPr="00260B02" w:rsidRDefault="00B92A16" w:rsidP="00B92A16">
      <w:pPr>
        <w:ind w:firstLine="709"/>
        <w:rPr>
          <w:rFonts w:ascii="Arial" w:hAnsi="Arial" w:cs="Arial"/>
          <w:i/>
          <w:sz w:val="22"/>
          <w:szCs w:val="22"/>
        </w:rPr>
      </w:pPr>
      <w:r w:rsidRPr="00260B02">
        <w:rPr>
          <w:rFonts w:ascii="Arial" w:hAnsi="Arial" w:cs="Arial"/>
          <w:i/>
          <w:sz w:val="22"/>
          <w:szCs w:val="22"/>
        </w:rPr>
        <w:lastRenderedPageBreak/>
        <w:t>For more detail on PBAC’s view, see section 7 “PBAC outcome”</w:t>
      </w:r>
    </w:p>
    <w:p w:rsidR="002D3588" w:rsidRPr="00260B02" w:rsidRDefault="002D3588" w:rsidP="003C6A64">
      <w:pPr>
        <w:jc w:val="both"/>
        <w:rPr>
          <w:rFonts w:ascii="Arial" w:hAnsi="Arial"/>
          <w:b/>
          <w:i/>
          <w:sz w:val="22"/>
          <w:szCs w:val="22"/>
        </w:rPr>
      </w:pPr>
    </w:p>
    <w:p w:rsidR="00350E07" w:rsidRPr="00260B02" w:rsidRDefault="00350E07" w:rsidP="003C6A64">
      <w:pPr>
        <w:jc w:val="both"/>
        <w:rPr>
          <w:rFonts w:ascii="Arial" w:hAnsi="Arial"/>
          <w:b/>
          <w:i/>
          <w:sz w:val="22"/>
          <w:szCs w:val="22"/>
        </w:rPr>
      </w:pPr>
      <w:r w:rsidRPr="00260B02">
        <w:rPr>
          <w:rFonts w:ascii="Arial" w:hAnsi="Arial"/>
          <w:b/>
          <w:i/>
          <w:sz w:val="22"/>
          <w:szCs w:val="22"/>
        </w:rPr>
        <w:t>Other matters – “a” flagging</w:t>
      </w:r>
    </w:p>
    <w:p w:rsidR="00250F29" w:rsidRPr="00260B02" w:rsidRDefault="00250F29" w:rsidP="003C6A64">
      <w:pPr>
        <w:jc w:val="both"/>
        <w:rPr>
          <w:rFonts w:ascii="Arial" w:hAnsi="Arial"/>
          <w:b/>
          <w:i/>
          <w:sz w:val="22"/>
          <w:szCs w:val="22"/>
        </w:rPr>
      </w:pPr>
    </w:p>
    <w:p w:rsidR="003A4F15" w:rsidRPr="00260B02" w:rsidRDefault="002D3588" w:rsidP="00DD0588">
      <w:pPr>
        <w:pStyle w:val="ListParagraph"/>
        <w:numPr>
          <w:ilvl w:val="1"/>
          <w:numId w:val="25"/>
        </w:numPr>
        <w:jc w:val="both"/>
        <w:rPr>
          <w:rFonts w:ascii="Arial" w:hAnsi="Arial"/>
          <w:sz w:val="22"/>
          <w:szCs w:val="22"/>
        </w:rPr>
      </w:pPr>
      <w:r w:rsidRPr="00260B02">
        <w:rPr>
          <w:rFonts w:ascii="Arial" w:hAnsi="Arial"/>
          <w:sz w:val="22"/>
          <w:szCs w:val="22"/>
        </w:rPr>
        <w:t>As outlined in Paragraphs 1.1 and 1.2, the Minister (delegate) requested PBAC provide advice</w:t>
      </w:r>
      <w:r w:rsidR="00B13D75" w:rsidRPr="00260B02">
        <w:rPr>
          <w:rFonts w:ascii="Arial" w:hAnsi="Arial"/>
          <w:sz w:val="22"/>
          <w:szCs w:val="22"/>
        </w:rPr>
        <w:t>,</w:t>
      </w:r>
      <w:r w:rsidR="00B13D75" w:rsidRPr="00260B02">
        <w:t xml:space="preserve"> </w:t>
      </w:r>
      <w:r w:rsidR="00B13D75" w:rsidRPr="00260B02">
        <w:rPr>
          <w:rFonts w:ascii="Arial" w:hAnsi="Arial"/>
          <w:sz w:val="22"/>
          <w:szCs w:val="22"/>
        </w:rPr>
        <w:t>under sub-section 101(3) of the Act,</w:t>
      </w:r>
      <w:r w:rsidRPr="00260B02">
        <w:rPr>
          <w:rFonts w:ascii="Arial" w:hAnsi="Arial"/>
          <w:sz w:val="22"/>
          <w:szCs w:val="22"/>
        </w:rPr>
        <w:t xml:space="preserve"> on the marking of Basaglar and </w:t>
      </w:r>
      <w:r w:rsidR="00350E07" w:rsidRPr="00260B02">
        <w:rPr>
          <w:rFonts w:ascii="Arial" w:hAnsi="Arial"/>
          <w:sz w:val="22"/>
          <w:szCs w:val="22"/>
        </w:rPr>
        <w:t xml:space="preserve">Lantus as equivalent </w:t>
      </w:r>
      <w:r w:rsidR="003C6A64" w:rsidRPr="00260B02">
        <w:rPr>
          <w:rFonts w:ascii="Arial" w:hAnsi="Arial"/>
          <w:sz w:val="22"/>
          <w:szCs w:val="22"/>
        </w:rPr>
        <w:t>for the purposes of substitution</w:t>
      </w:r>
      <w:r w:rsidR="001121BF" w:rsidRPr="00260B02">
        <w:rPr>
          <w:rFonts w:ascii="Arial" w:hAnsi="Arial"/>
          <w:sz w:val="22"/>
          <w:szCs w:val="22"/>
        </w:rPr>
        <w:t xml:space="preserve"> by the pharmacist at the point of dispensing</w:t>
      </w:r>
      <w:r w:rsidR="003C6A64" w:rsidRPr="00260B02">
        <w:rPr>
          <w:rFonts w:ascii="Arial" w:hAnsi="Arial"/>
          <w:sz w:val="22"/>
          <w:szCs w:val="22"/>
        </w:rPr>
        <w:t xml:space="preserve"> (i.e</w:t>
      </w:r>
      <w:r w:rsidR="006D3730" w:rsidRPr="00260B02">
        <w:rPr>
          <w:rFonts w:ascii="Arial" w:hAnsi="Arial"/>
          <w:sz w:val="22"/>
          <w:szCs w:val="22"/>
        </w:rPr>
        <w:t>., “a”</w:t>
      </w:r>
      <w:r w:rsidR="003C6A64" w:rsidRPr="00260B02">
        <w:rPr>
          <w:rFonts w:ascii="Arial" w:hAnsi="Arial"/>
          <w:sz w:val="22"/>
          <w:szCs w:val="22"/>
        </w:rPr>
        <w:t xml:space="preserve"> flagged in the Schedule </w:t>
      </w:r>
      <w:r w:rsidR="00E678DD" w:rsidRPr="00260B02">
        <w:rPr>
          <w:rFonts w:ascii="Arial" w:hAnsi="Arial"/>
          <w:sz w:val="22"/>
          <w:szCs w:val="22"/>
        </w:rPr>
        <w:t>of Pharmaceutical Benefit</w:t>
      </w:r>
      <w:r w:rsidR="00653BAD" w:rsidRPr="00260B02">
        <w:rPr>
          <w:rFonts w:ascii="Arial" w:hAnsi="Arial"/>
          <w:sz w:val="22"/>
          <w:szCs w:val="22"/>
        </w:rPr>
        <w:t>s</w:t>
      </w:r>
      <w:r w:rsidR="00E678DD" w:rsidRPr="00260B02">
        <w:rPr>
          <w:rFonts w:ascii="Arial" w:hAnsi="Arial"/>
          <w:sz w:val="22"/>
          <w:szCs w:val="22"/>
        </w:rPr>
        <w:t>)</w:t>
      </w:r>
      <w:r w:rsidR="000A4162" w:rsidRPr="00260B02">
        <w:rPr>
          <w:rFonts w:ascii="Arial" w:hAnsi="Arial"/>
          <w:sz w:val="22"/>
          <w:szCs w:val="22"/>
        </w:rPr>
        <w:t xml:space="preserve">. </w:t>
      </w:r>
    </w:p>
    <w:p w:rsidR="00CF6FD5" w:rsidRPr="00260B02" w:rsidRDefault="00CF6FD5" w:rsidP="00CF6FD5">
      <w:pPr>
        <w:jc w:val="both"/>
        <w:rPr>
          <w:rFonts w:ascii="Arial" w:hAnsi="Arial"/>
          <w:sz w:val="22"/>
          <w:szCs w:val="22"/>
        </w:rPr>
      </w:pPr>
    </w:p>
    <w:p w:rsidR="00CF6FD5" w:rsidRPr="007C50FC" w:rsidRDefault="007C50FC" w:rsidP="007C50FC">
      <w:pPr>
        <w:ind w:left="720" w:hanging="720"/>
        <w:jc w:val="both"/>
        <w:rPr>
          <w:rFonts w:ascii="Arial" w:hAnsi="Arial" w:cs="Arial"/>
          <w:sz w:val="22"/>
          <w:szCs w:val="22"/>
          <w:highlight w:val="black"/>
        </w:rPr>
      </w:pPr>
      <w:r>
        <w:rPr>
          <w:rFonts w:ascii="Arial" w:hAnsi="Arial" w:cs="Arial"/>
          <w:noProof/>
          <w:color w:val="000000"/>
          <w:sz w:val="22"/>
          <w:szCs w:val="22"/>
          <w:highlight w:val="black"/>
        </w:rPr>
        <w:t>''''''''''''''''''''' ''''''''''''' ''''''''''''''''''''''' '''''''''''''' ''''''''' '''''''''''''' '''''''''''''''''''' '''''''''''''''''''' '''''''''''' ''''''''''''''' '''' '''''''''''''''''''''' ''''' ''''''''' ''''''''''''''' '''' ''''''''''''''' '''''''''''''' ''' ''''''''''' ''''''''''''''' ''''''''''''' ''''''''' '''''''''''''''''''' '''' ''''''' ''''''''''''''' ''' ''''''''''''''''' ''''''''''' ''''''''''' '''''''''''''''''''' '''''''''''' '''''''''''''''''' ''''' '''''''''''''''''''''' '''''''''''''' '''''''''' '''''''''''' ''''''''''''''''''' '''''''''''' ''''''''' '''''''' '''''''''''''''''''' '''''''''''''''</w:t>
      </w:r>
    </w:p>
    <w:p w:rsidR="007000B6" w:rsidRPr="007C50FC" w:rsidRDefault="007000B6" w:rsidP="007000B6">
      <w:pPr>
        <w:jc w:val="both"/>
        <w:rPr>
          <w:rFonts w:ascii="Arial" w:hAnsi="Arial"/>
          <w:sz w:val="22"/>
          <w:szCs w:val="22"/>
        </w:rPr>
      </w:pPr>
    </w:p>
    <w:p w:rsidR="007A4D17" w:rsidRPr="007C50FC" w:rsidRDefault="007C50FC" w:rsidP="00CF6FD5">
      <w:pPr>
        <w:jc w:val="both"/>
        <w:rPr>
          <w:rFonts w:ascii="Arial" w:hAnsi="Arial"/>
          <w:b/>
          <w:i/>
          <w:sz w:val="22"/>
          <w:szCs w:val="22"/>
          <w:highlight w:val="black"/>
        </w:rPr>
      </w:pPr>
      <w:r>
        <w:rPr>
          <w:rFonts w:ascii="Arial" w:hAnsi="Arial"/>
          <w:b/>
          <w:i/>
          <w:noProof/>
          <w:color w:val="000000"/>
          <w:sz w:val="22"/>
          <w:szCs w:val="22"/>
          <w:highlight w:val="black"/>
        </w:rPr>
        <w:t>'''''''''''''''''' '''''''''''''''''' ''' ''''''' '''''''''''''''''</w:t>
      </w:r>
    </w:p>
    <w:p w:rsidR="00B13D75" w:rsidRPr="007C50FC" w:rsidRDefault="00B13D75" w:rsidP="00B13D75">
      <w:pPr>
        <w:pStyle w:val="ListParagraph"/>
        <w:ind w:left="709"/>
        <w:jc w:val="both"/>
        <w:rPr>
          <w:rFonts w:ascii="Arial" w:hAnsi="Arial"/>
          <w:sz w:val="22"/>
          <w:szCs w:val="22"/>
        </w:rPr>
      </w:pPr>
    </w:p>
    <w:p w:rsidR="000630F0" w:rsidRPr="007C50FC" w:rsidRDefault="007C50FC" w:rsidP="00DD0588">
      <w:pPr>
        <w:pStyle w:val="ListParagraph"/>
        <w:numPr>
          <w:ilvl w:val="1"/>
          <w:numId w:val="25"/>
        </w:numPr>
        <w:jc w:val="both"/>
        <w:rPr>
          <w:rFonts w:ascii="Arial" w:hAnsi="Arial"/>
          <w:sz w:val="22"/>
          <w:szCs w:val="22"/>
        </w:rPr>
      </w:pPr>
      <w:r>
        <w:rPr>
          <w:rFonts w:ascii="Arial" w:hAnsi="Arial"/>
          <w:noProof/>
          <w:color w:val="000000"/>
          <w:sz w:val="22"/>
          <w:szCs w:val="22"/>
          <w:highlight w:val="black"/>
        </w:rPr>
        <w:t xml:space="preserve">''''''''' ''''''''''''''''''''''''''' '''''''''''''''''''''''''' '''''''''''''''''''''' ''''''' '''''''''' '''''''''''' '''''''''' '''' '''''''''''''''''''' ''''''''''' ''''''''''' ''''''''''' ''''' '''''''''''''''''' '''''''''' ''''''''''''''''''''''''''' '''''''''''''''' ''''''' </w:t>
      </w:r>
      <w:r>
        <w:rPr>
          <w:rFonts w:ascii="Arial" w:hAnsi="Arial"/>
          <w:i/>
          <w:noProof/>
          <w:color w:val="000000"/>
          <w:sz w:val="22"/>
          <w:szCs w:val="22"/>
          <w:highlight w:val="black"/>
        </w:rPr>
        <w:t>''''''''''''''''''''''' ''''''' '''''''' ''''''''''''''''''' '''''' ''''''' ''''''''''''''''' ''''' '''' ''''''''''''''''''''''' '''''''''''' '''''''''''' '''''' '''''''''''''''''''' '''' ''''''''' ''''''''''''''''' '''''''''' ''''''''''''''''''' '''''''' ''''''' '''''''''''''''''''' '''''' '''''''''''''' '''''''''''''''''''''''''''''''''' ''''''' ''' ''''''''''''''''''''''''' ''''''''''''' ''''''''''' ''' ''''''''''''''''''''' '''''''''''' ''''''''''''' '''''' ''''''''''''''''''''' '''' ''''''''''''''''''''' ''''' '''''''''''' ''''' '''''''''''''''' '''''''''' '''''''''''''''''''''''' ''''''' ''''''''' '''''''''''''''''''''''''''''''' ''''''''''''''''''' ''''' '''''''' ''''''''''''' '''' ''''''''''''''''''''''''''''</w:t>
      </w:r>
      <w:r>
        <w:rPr>
          <w:rFonts w:ascii="Arial" w:hAnsi="Arial"/>
          <w:noProof/>
          <w:color w:val="000000"/>
          <w:sz w:val="22"/>
          <w:szCs w:val="22"/>
          <w:highlight w:val="black"/>
        </w:rPr>
        <w:t xml:space="preserve">'''' </w:t>
      </w:r>
      <w:r>
        <w:rPr>
          <w:noProof/>
          <w:color w:val="000000"/>
          <w:highlight w:val="black"/>
        </w:rPr>
        <w:t xml:space="preserve"> </w:t>
      </w:r>
      <w:r>
        <w:rPr>
          <w:rFonts w:ascii="Arial" w:hAnsi="Arial"/>
          <w:noProof/>
          <w:color w:val="000000"/>
          <w:sz w:val="22"/>
          <w:szCs w:val="22"/>
          <w:highlight w:val="black"/>
        </w:rPr>
        <w:t>'''''''''' '''''''''''''''' '''''''''''''''''''''' ''''''''' '''''''''''''''''''''''''''''' ''''''''''''''''' ''''''''' '''''''''' ''''''''''''' ''''''' '''''' '''''''''''''''''''''' '''''''''' '''''''' ''''''''''''''' '''''''''''''''''''' ''''' '''''''''''''' ''''''''''''''' '''' '''''''' '''''''''''''' '''''''''''''''''''''''''''''''''''''' ''''''''''' ''''''''''''''''' '''''''' ''''''''''''' '''''''''' '''''''''' '''''''''''' '''' ''''''''''''''''' ''''''''''''' ''''''''''''''' '''''''''''' '''''''''''' '''''''''''''' ''''''''''''''' ''''''' ''''''''' ''''''' '''''''''''''''''''''</w:t>
      </w:r>
    </w:p>
    <w:p w:rsidR="000630F0" w:rsidRPr="007C50FC" w:rsidRDefault="000630F0" w:rsidP="005E7FD5">
      <w:pPr>
        <w:jc w:val="both"/>
        <w:rPr>
          <w:rFonts w:ascii="Arial" w:hAnsi="Arial"/>
          <w:sz w:val="22"/>
          <w:szCs w:val="22"/>
        </w:rPr>
      </w:pPr>
    </w:p>
    <w:p w:rsidR="00C17C1C" w:rsidRPr="007C50FC" w:rsidRDefault="007C50FC" w:rsidP="007C50FC">
      <w:pPr>
        <w:ind w:left="720" w:hanging="720"/>
        <w:jc w:val="both"/>
        <w:rPr>
          <w:rFonts w:ascii="Arial" w:hAnsi="Arial"/>
          <w:sz w:val="22"/>
          <w:szCs w:val="22"/>
          <w:highlight w:val="black"/>
        </w:rPr>
      </w:pPr>
      <w:r>
        <w:rPr>
          <w:rFonts w:ascii="Arial" w:hAnsi="Arial"/>
          <w:noProof/>
          <w:color w:val="000000"/>
          <w:sz w:val="22"/>
          <w:szCs w:val="22"/>
          <w:highlight w:val="black"/>
        </w:rPr>
        <w:t>''''''''''''''''''' ''''''''''''''''''''''''''' ''''''''''''''' ''''''''' ''''''''''''''''''''''' '''''''''''''''''' ''''''' ''''''''''''''''''''''''''' '''''''''' '''''''''''''''' ''''''' ''''''''' '''''''''''''''' ''''' ''''''' '''''''''''''''''''''''' '''''''''''''' ''''''' ''''''' '''''''' '''''''''''''''' '''''''''' '''''''''' ''''' ''''''''''''''''''' '''''''''' '''''''''' ''''''''''''''' ''''''''''' ''' '''''''' '''' ''''''''''''''''' '''''''' '''''' ''''''''''''' '''''''''''' '''''''''''' ''''''' ''''''''''''''''''''' '''''''''''''''''''''''''''''' '''''''''''''''''' '''' ''''''' '''''''''' '''''''</w:t>
      </w:r>
    </w:p>
    <w:p w:rsidR="00C17C1C" w:rsidRPr="007C50FC" w:rsidRDefault="00C17C1C" w:rsidP="005E7FD5">
      <w:pPr>
        <w:jc w:val="both"/>
        <w:rPr>
          <w:rFonts w:ascii="Arial" w:hAnsi="Arial"/>
          <w:sz w:val="22"/>
          <w:szCs w:val="22"/>
        </w:rPr>
      </w:pPr>
    </w:p>
    <w:p w:rsidR="00C45ED8" w:rsidRPr="007C50FC" w:rsidRDefault="007C50FC" w:rsidP="007C50FC">
      <w:pPr>
        <w:ind w:left="720" w:hanging="720"/>
        <w:jc w:val="both"/>
        <w:rPr>
          <w:rFonts w:ascii="Arial" w:hAnsi="Arial"/>
          <w:sz w:val="22"/>
          <w:szCs w:val="22"/>
          <w:highlight w:val="black"/>
        </w:rPr>
      </w:pPr>
      <w:r>
        <w:rPr>
          <w:rFonts w:ascii="Arial" w:hAnsi="Arial"/>
          <w:noProof/>
          <w:color w:val="000000"/>
          <w:sz w:val="22"/>
          <w:szCs w:val="22"/>
          <w:highlight w:val="black"/>
        </w:rPr>
        <w:t xml:space="preserve">''''''''''''''' '''''''''''''''' '''' '''''''' '''''''''''''''''''''' ''''' '''''''' ''''''''''''''''''''''''''' '''''''''''''''''' '''''''''''''''''''''' '''''''''''''''''''''' ''''''''' ''''''''''''''''''''' '''''''' '''''''''''''''''''''''' '''''''''''''''''''''' '''''''''''''''' '''''''''''' </w:t>
      </w:r>
    </w:p>
    <w:p w:rsidR="004203A4" w:rsidRPr="007C50FC" w:rsidRDefault="007C50FC" w:rsidP="004203A4">
      <w:pPr>
        <w:keepNext/>
        <w:keepLines/>
        <w:ind w:left="1134"/>
        <w:jc w:val="both"/>
        <w:rPr>
          <w:rFonts w:ascii="Arial" w:hAnsi="Arial"/>
          <w:sz w:val="22"/>
          <w:szCs w:val="22"/>
          <w:highlight w:val="black"/>
        </w:rPr>
      </w:pPr>
      <w:r>
        <w:rPr>
          <w:rFonts w:ascii="Arial" w:hAnsi="Arial"/>
          <w:noProof/>
          <w:color w:val="000000"/>
          <w:sz w:val="22"/>
          <w:szCs w:val="22"/>
          <w:highlight w:val="black"/>
        </w:rPr>
        <w:t>'''''''''''' '''''''''' '''''''''''''''''''''''''''''''' '''''''''''''''''''''''' '''''' ''''''''''' ''''''''''''' ''''''''' '''' '''''''''''''''''''''' ''''''''''''''''''''''' ''''''''' '''''''''''''''''''''''' ''''''''''''''''''''''' '''''''''' '''''''''''''''''''''''' '''''' '''''''''' ''''''''''' '''' '''''''''''''''''''''''''''' '''''''''''''''''''''''' ''''''''' ''''''''''''''''''''''''''' ''''''''''''''' ''''''' '''''''''' ''''''''''''''''''''''''''' ''''' ''''''' '''''''' '''''''''''''''''''''''''''''' '''' '''''''''''''''''''''' ''''''''''''' ''''''''' '''''''''''''''''''''''' '''' ''''''''' '''''''''''''' ''''''''''''''''''''''''''''' ''''''''''''''''''''''''''''' '''' ''''''''''''''' '''''''''' '''' '''''''''''''''''''''''''' ''''''''''''''''''' '''''''''''''''''''''''' ''''''''''''' '''''''''''' ''''' ''''''''''''''''''''''''' ''''''''''''''' '''''''''''''''''''' ''''' ''''''' ''''''''''''''' ''''' '''''''''''''''''' '''''''''''' ''' ''''''''''''''''''''''''''' ''''''''''''''''''''''' ''''''''''' '''''''''' ''''''''''''''''''''' ''''''''''''''''''''''' ''''''''''''''''''''' ''' '''''''''''''' '''''''' ''''''' '''''''''''''''''''' '''''' '''''''''''''''''''' '''''''''''''''''''' ''''''''' ''''''''''''''''''''' ''''' '''''' ''''''''''''''''''''''''''''''''' '''' ''''''''' ''''''''''''''''''''''''''' ''''''''''' ''''''''' '''''''''''''''''''' '''''' '''''''''' ''''''''''''' '''''''''''''''''''''''' '''''''''''''' '''''''''''''''' ''''''''''''''''''''''''' ''''''''''''''''' '''''''' '''''''''''''''''''' '''''''''''''''''''' '''''''''' ''''''' ''''''''''''''''' ''''''''''''''''''' ''''''''''''''''''''''' ''''''''''''''''''''' ''''' ''''''''''''''''''''''' ''''''''''''''''' '''''' '''''''''''''''''''' ''''' ''''''' ''''''''''' ''''' '''''''''''''''''''''''''''''' '''''''''''''' ''''''' '''''''''''''''''' '''''''''' ''''''' ''''''''''''''''''''''''' '''' '''''''''''''''''''' '''''''' '''''''''''''''''''''''''' '''''' '''''''''''''''''''''' ''''''''''''''''' ''''''''' '''''' ''''''''''''''''''''''' '''''''''' ''''''''''' '''''''''''''''''''' ''''' '''''''''''''' ''''''''''''''''''''''''''''''</w:t>
      </w:r>
    </w:p>
    <w:p w:rsidR="000630F0" w:rsidRPr="007C50FC" w:rsidRDefault="000630F0" w:rsidP="005E7FD5">
      <w:pPr>
        <w:keepNext/>
        <w:keepLines/>
        <w:jc w:val="both"/>
        <w:rPr>
          <w:rFonts w:ascii="Arial" w:hAnsi="Arial"/>
          <w:sz w:val="22"/>
          <w:szCs w:val="22"/>
        </w:rPr>
      </w:pPr>
    </w:p>
    <w:p w:rsidR="00763EA3" w:rsidRPr="007C50FC" w:rsidRDefault="007C50FC" w:rsidP="00112699">
      <w:pPr>
        <w:ind w:left="720" w:firstLine="414"/>
        <w:jc w:val="both"/>
        <w:rPr>
          <w:rFonts w:ascii="Arial" w:hAnsi="Arial"/>
          <w:b/>
          <w:i/>
          <w:sz w:val="22"/>
          <w:szCs w:val="22"/>
          <w:highlight w:val="black"/>
        </w:rPr>
      </w:pPr>
      <w:r>
        <w:rPr>
          <w:rFonts w:ascii="Arial" w:hAnsi="Arial"/>
          <w:i/>
          <w:noProof/>
          <w:color w:val="000000"/>
          <w:sz w:val="22"/>
          <w:szCs w:val="22"/>
          <w:highlight w:val="black"/>
        </w:rPr>
        <w:t>''''''''' '''''''''''' '''''''''''''' ''''''' ''''''''''''''''''' ''''''''''' '''''''''' ''''''''''''''''' ''' ''''''''''''''' ''''''''''''''''''''''''</w:t>
      </w:r>
    </w:p>
    <w:p w:rsidR="00DD0588" w:rsidRPr="00260B02" w:rsidRDefault="00DD0588" w:rsidP="001A20F5">
      <w:pPr>
        <w:keepNext/>
        <w:keepLines/>
        <w:ind w:left="720" w:hanging="720"/>
        <w:jc w:val="both"/>
        <w:rPr>
          <w:rFonts w:ascii="Arial" w:hAnsi="Arial"/>
          <w:b/>
          <w:i/>
          <w:sz w:val="22"/>
          <w:szCs w:val="22"/>
        </w:rPr>
      </w:pPr>
    </w:p>
    <w:p w:rsidR="005A3173" w:rsidRPr="00260B02" w:rsidRDefault="005A3173" w:rsidP="001A20F5">
      <w:pPr>
        <w:keepNext/>
        <w:keepLines/>
        <w:ind w:left="720" w:hanging="720"/>
        <w:jc w:val="both"/>
        <w:rPr>
          <w:rFonts w:ascii="Arial" w:hAnsi="Arial"/>
          <w:b/>
          <w:i/>
          <w:sz w:val="22"/>
          <w:szCs w:val="22"/>
        </w:rPr>
      </w:pPr>
      <w:r w:rsidRPr="00260B02">
        <w:rPr>
          <w:rFonts w:ascii="Arial" w:hAnsi="Arial"/>
          <w:b/>
          <w:i/>
          <w:sz w:val="22"/>
          <w:szCs w:val="22"/>
        </w:rPr>
        <w:t>Economic analysis</w:t>
      </w:r>
    </w:p>
    <w:p w:rsidR="005A3173" w:rsidRPr="00260B02" w:rsidRDefault="005A3173" w:rsidP="001A20F5">
      <w:pPr>
        <w:keepNext/>
        <w:keepLines/>
        <w:ind w:left="720" w:hanging="720"/>
        <w:jc w:val="both"/>
        <w:rPr>
          <w:rFonts w:ascii="Arial" w:hAnsi="Arial"/>
          <w:sz w:val="22"/>
          <w:szCs w:val="22"/>
        </w:rPr>
      </w:pPr>
    </w:p>
    <w:p w:rsidR="00260BD1" w:rsidRPr="00260B02" w:rsidRDefault="00753530" w:rsidP="00DD0588">
      <w:pPr>
        <w:pStyle w:val="ListParagraph"/>
        <w:numPr>
          <w:ilvl w:val="1"/>
          <w:numId w:val="25"/>
        </w:numPr>
        <w:jc w:val="both"/>
        <w:rPr>
          <w:rFonts w:ascii="Arial" w:hAnsi="Arial"/>
          <w:i/>
          <w:sz w:val="22"/>
          <w:szCs w:val="22"/>
        </w:rPr>
      </w:pPr>
      <w:r w:rsidRPr="00260B02">
        <w:rPr>
          <w:rFonts w:ascii="Arial" w:hAnsi="Arial"/>
          <w:sz w:val="22"/>
          <w:szCs w:val="22"/>
        </w:rPr>
        <w:t>The submission presented</w:t>
      </w:r>
      <w:r w:rsidR="00807F50" w:rsidRPr="00260B02">
        <w:rPr>
          <w:rFonts w:ascii="Arial" w:hAnsi="Arial"/>
          <w:sz w:val="22"/>
          <w:szCs w:val="22"/>
        </w:rPr>
        <w:t xml:space="preserve"> a cost minimisation analysis against Lantus. Based on the </w:t>
      </w:r>
      <w:r w:rsidR="00290619" w:rsidRPr="00260B02">
        <w:rPr>
          <w:rFonts w:ascii="Arial" w:hAnsi="Arial"/>
          <w:sz w:val="22"/>
          <w:szCs w:val="22"/>
        </w:rPr>
        <w:t>results of the two phase 3 trials (</w:t>
      </w:r>
      <w:r w:rsidR="00297249" w:rsidRPr="00260B02">
        <w:rPr>
          <w:rFonts w:ascii="Arial" w:hAnsi="Arial"/>
          <w:sz w:val="22"/>
          <w:szCs w:val="22"/>
        </w:rPr>
        <w:t>ABEB and ABEC</w:t>
      </w:r>
      <w:r w:rsidR="00290619" w:rsidRPr="00260B02">
        <w:rPr>
          <w:rFonts w:ascii="Arial" w:hAnsi="Arial"/>
          <w:sz w:val="22"/>
          <w:szCs w:val="22"/>
        </w:rPr>
        <w:t>)</w:t>
      </w:r>
      <w:r w:rsidR="00807F50" w:rsidRPr="00260B02">
        <w:rPr>
          <w:rFonts w:ascii="Arial" w:hAnsi="Arial"/>
          <w:sz w:val="22"/>
          <w:szCs w:val="22"/>
        </w:rPr>
        <w:t xml:space="preserve">, the </w:t>
      </w:r>
      <w:r w:rsidR="00B857AB" w:rsidRPr="00260B02">
        <w:rPr>
          <w:rFonts w:ascii="Arial" w:hAnsi="Arial"/>
          <w:sz w:val="22"/>
          <w:szCs w:val="22"/>
        </w:rPr>
        <w:t>submission propose</w:t>
      </w:r>
      <w:r w:rsidRPr="00260B02">
        <w:rPr>
          <w:rFonts w:ascii="Arial" w:hAnsi="Arial"/>
          <w:sz w:val="22"/>
          <w:szCs w:val="22"/>
        </w:rPr>
        <w:t>d</w:t>
      </w:r>
      <w:r w:rsidR="00B857AB" w:rsidRPr="00260B02">
        <w:rPr>
          <w:rFonts w:ascii="Arial" w:hAnsi="Arial"/>
          <w:sz w:val="22"/>
          <w:szCs w:val="22"/>
        </w:rPr>
        <w:t xml:space="preserve"> that</w:t>
      </w:r>
      <w:r w:rsidR="00297249" w:rsidRPr="00260B02">
        <w:rPr>
          <w:rFonts w:ascii="Arial" w:hAnsi="Arial"/>
          <w:sz w:val="22"/>
          <w:szCs w:val="22"/>
        </w:rPr>
        <w:t xml:space="preserve"> </w:t>
      </w:r>
      <w:r w:rsidR="00297249" w:rsidRPr="00260B02">
        <w:rPr>
          <w:rFonts w:ascii="Arial" w:hAnsi="Arial"/>
          <w:sz w:val="22"/>
          <w:szCs w:val="22"/>
        </w:rPr>
        <w:lastRenderedPageBreak/>
        <w:t xml:space="preserve">100IU/ml of Lantus </w:t>
      </w:r>
      <w:r w:rsidR="00B857AB" w:rsidRPr="00260B02">
        <w:rPr>
          <w:rFonts w:ascii="Arial" w:hAnsi="Arial"/>
          <w:sz w:val="22"/>
          <w:szCs w:val="22"/>
        </w:rPr>
        <w:t>is</w:t>
      </w:r>
      <w:r w:rsidR="00807F50" w:rsidRPr="00260B02">
        <w:rPr>
          <w:rFonts w:ascii="Arial" w:hAnsi="Arial"/>
          <w:sz w:val="22"/>
          <w:szCs w:val="22"/>
        </w:rPr>
        <w:t xml:space="preserve"> equivalent to 100IU/ml of Basaglar. This is consistent with PBAC guidelines and </w:t>
      </w:r>
      <w:r w:rsidR="00B857AB" w:rsidRPr="00260B02">
        <w:rPr>
          <w:rFonts w:ascii="Arial" w:hAnsi="Arial"/>
          <w:sz w:val="22"/>
          <w:szCs w:val="22"/>
        </w:rPr>
        <w:t>TGA’s acceptance of</w:t>
      </w:r>
      <w:r w:rsidR="00297249" w:rsidRPr="00260B02">
        <w:rPr>
          <w:rFonts w:ascii="Arial" w:hAnsi="Arial"/>
          <w:sz w:val="22"/>
          <w:szCs w:val="22"/>
        </w:rPr>
        <w:t xml:space="preserve"> biosimilarity</w:t>
      </w:r>
      <w:r w:rsidR="00807F50" w:rsidRPr="00260B02">
        <w:rPr>
          <w:rFonts w:ascii="Arial" w:hAnsi="Arial"/>
          <w:sz w:val="22"/>
          <w:szCs w:val="22"/>
        </w:rPr>
        <w:t xml:space="preserve"> between Basaglar and Lantus. </w:t>
      </w:r>
    </w:p>
    <w:p w:rsidR="00B857AB" w:rsidRPr="00260B02" w:rsidRDefault="00B857AB" w:rsidP="003D4671">
      <w:pPr>
        <w:pStyle w:val="ListParagraph"/>
        <w:ind w:left="709"/>
        <w:jc w:val="both"/>
        <w:rPr>
          <w:rFonts w:ascii="Arial" w:hAnsi="Arial"/>
          <w:sz w:val="22"/>
          <w:szCs w:val="22"/>
        </w:rPr>
      </w:pPr>
    </w:p>
    <w:p w:rsidR="00F765E3" w:rsidRPr="00260B02" w:rsidRDefault="00B857AB" w:rsidP="00DD0588">
      <w:pPr>
        <w:pStyle w:val="ListParagraph"/>
        <w:numPr>
          <w:ilvl w:val="1"/>
          <w:numId w:val="25"/>
        </w:numPr>
        <w:jc w:val="both"/>
        <w:rPr>
          <w:rFonts w:ascii="Arial" w:hAnsi="Arial"/>
          <w:i/>
          <w:sz w:val="22"/>
          <w:szCs w:val="22"/>
        </w:rPr>
      </w:pPr>
      <w:r w:rsidRPr="00260B02">
        <w:rPr>
          <w:rFonts w:ascii="Arial" w:hAnsi="Arial"/>
          <w:sz w:val="22"/>
          <w:szCs w:val="22"/>
        </w:rPr>
        <w:t>The submission factor</w:t>
      </w:r>
      <w:r w:rsidR="005A7242" w:rsidRPr="00260B02">
        <w:rPr>
          <w:rFonts w:ascii="Arial" w:hAnsi="Arial"/>
          <w:sz w:val="22"/>
          <w:szCs w:val="22"/>
        </w:rPr>
        <w:t>ed</w:t>
      </w:r>
      <w:r w:rsidRPr="00260B02">
        <w:rPr>
          <w:rFonts w:ascii="Arial" w:hAnsi="Arial"/>
          <w:sz w:val="22"/>
          <w:szCs w:val="22"/>
        </w:rPr>
        <w:t xml:space="preserve"> in the impact of the 16% statutory price reduction that it state</w:t>
      </w:r>
      <w:r w:rsidR="005A7242" w:rsidRPr="00260B02">
        <w:rPr>
          <w:rFonts w:ascii="Arial" w:hAnsi="Arial"/>
          <w:sz w:val="22"/>
          <w:szCs w:val="22"/>
        </w:rPr>
        <w:t>d</w:t>
      </w:r>
      <w:r w:rsidRPr="00260B02">
        <w:rPr>
          <w:rFonts w:ascii="Arial" w:hAnsi="Arial"/>
          <w:sz w:val="22"/>
          <w:szCs w:val="22"/>
        </w:rPr>
        <w:t xml:space="preserve"> “is expected to apply to all brands of insulin glargine” (pg 43).”</w:t>
      </w:r>
      <w:r w:rsidR="00F765E3" w:rsidRPr="00260B02">
        <w:t xml:space="preserve"> </w:t>
      </w:r>
      <w:r w:rsidR="00F765E3" w:rsidRPr="00260B02">
        <w:rPr>
          <w:rFonts w:ascii="Arial" w:hAnsi="Arial"/>
          <w:sz w:val="22"/>
          <w:szCs w:val="22"/>
        </w:rPr>
        <w:t xml:space="preserve">This is consistent with the statutory price reduction provisions of the Act. The listing of Basaglar on the PBS would also result in insulin glargine being moved to the F2 formulary and </w:t>
      </w:r>
      <w:r w:rsidR="00B5345F" w:rsidRPr="00260B02">
        <w:rPr>
          <w:rFonts w:ascii="Arial" w:hAnsi="Arial"/>
          <w:sz w:val="22"/>
          <w:szCs w:val="22"/>
        </w:rPr>
        <w:t>being subject to price disclosure.</w:t>
      </w:r>
    </w:p>
    <w:p w:rsidR="00F765E3" w:rsidRPr="00260B02" w:rsidRDefault="00F765E3" w:rsidP="007B6795">
      <w:pPr>
        <w:pStyle w:val="ListParagraph"/>
        <w:ind w:left="1070"/>
        <w:jc w:val="both"/>
        <w:rPr>
          <w:rFonts w:ascii="Arial" w:hAnsi="Arial"/>
          <w:i/>
          <w:sz w:val="22"/>
          <w:szCs w:val="22"/>
        </w:rPr>
      </w:pPr>
    </w:p>
    <w:p w:rsidR="00B92A16" w:rsidRPr="00260B02" w:rsidRDefault="00B92A16" w:rsidP="00B92A16">
      <w:pPr>
        <w:pStyle w:val="ListParagraph"/>
        <w:ind w:left="360" w:firstLine="349"/>
        <w:rPr>
          <w:rFonts w:ascii="Arial" w:hAnsi="Arial" w:cs="Arial"/>
          <w:i/>
          <w:sz w:val="22"/>
          <w:szCs w:val="22"/>
        </w:rPr>
      </w:pPr>
      <w:r w:rsidRPr="00260B02">
        <w:rPr>
          <w:rFonts w:ascii="Arial" w:hAnsi="Arial" w:cs="Arial"/>
          <w:i/>
          <w:sz w:val="22"/>
          <w:szCs w:val="22"/>
        </w:rPr>
        <w:t>For more detail on PBAC’s view, see section 7 “PBAC outcome”</w:t>
      </w:r>
    </w:p>
    <w:p w:rsidR="00B857AB" w:rsidRPr="00260B02" w:rsidRDefault="00B857AB" w:rsidP="003D4671">
      <w:pPr>
        <w:jc w:val="both"/>
        <w:rPr>
          <w:rFonts w:ascii="Arial" w:hAnsi="Arial"/>
          <w:b/>
          <w:i/>
          <w:sz w:val="22"/>
          <w:szCs w:val="22"/>
        </w:rPr>
      </w:pPr>
    </w:p>
    <w:p w:rsidR="00260BD1" w:rsidRPr="00260B02" w:rsidRDefault="00B857AB" w:rsidP="003D4671">
      <w:pPr>
        <w:jc w:val="both"/>
        <w:rPr>
          <w:rFonts w:ascii="Arial" w:hAnsi="Arial"/>
          <w:b/>
          <w:i/>
          <w:sz w:val="22"/>
          <w:szCs w:val="22"/>
        </w:rPr>
      </w:pPr>
      <w:r w:rsidRPr="00260B02">
        <w:rPr>
          <w:rFonts w:ascii="Arial" w:hAnsi="Arial"/>
          <w:b/>
          <w:i/>
          <w:sz w:val="22"/>
          <w:szCs w:val="22"/>
        </w:rPr>
        <w:t>Estimated PBS usage &amp; financial implications</w:t>
      </w:r>
    </w:p>
    <w:p w:rsidR="00B857AB" w:rsidRPr="00260B02" w:rsidRDefault="00B857AB" w:rsidP="003D4671">
      <w:pPr>
        <w:jc w:val="both"/>
        <w:rPr>
          <w:rFonts w:ascii="Arial" w:hAnsi="Arial"/>
          <w:sz w:val="22"/>
          <w:szCs w:val="22"/>
        </w:rPr>
      </w:pPr>
    </w:p>
    <w:p w:rsidR="00E95701" w:rsidRPr="007C50FC" w:rsidRDefault="006400DD" w:rsidP="00DD0588">
      <w:pPr>
        <w:pStyle w:val="ListParagraph"/>
        <w:numPr>
          <w:ilvl w:val="1"/>
          <w:numId w:val="25"/>
        </w:numPr>
        <w:jc w:val="both"/>
        <w:rPr>
          <w:rFonts w:ascii="Arial" w:hAnsi="Arial"/>
          <w:sz w:val="22"/>
          <w:szCs w:val="22"/>
        </w:rPr>
      </w:pPr>
      <w:r w:rsidRPr="00260B02">
        <w:rPr>
          <w:rFonts w:ascii="Arial" w:hAnsi="Arial"/>
          <w:sz w:val="22"/>
          <w:szCs w:val="22"/>
        </w:rPr>
        <w:t xml:space="preserve">The current market growth for Lantus was extrapolated using PBS item report data from November 2009 to October </w:t>
      </w:r>
      <w:r w:rsidR="00297249" w:rsidRPr="00260B02">
        <w:rPr>
          <w:rFonts w:ascii="Arial" w:hAnsi="Arial"/>
          <w:sz w:val="22"/>
          <w:szCs w:val="22"/>
        </w:rPr>
        <w:t xml:space="preserve">2014. </w:t>
      </w:r>
      <w:r w:rsidR="007C50FC">
        <w:rPr>
          <w:rFonts w:ascii="Arial" w:hAnsi="Arial"/>
          <w:noProof/>
          <w:color w:val="000000"/>
          <w:sz w:val="22"/>
          <w:szCs w:val="22"/>
          <w:highlight w:val="black"/>
        </w:rPr>
        <w:t>'''''''''' '''''''''''''''''' '''''''''''''' ''''' ''''''''''''''''''' ''''''''' ''''''''''''''' ''''''' ''''''' '''''''''''''''''''''''''''''' ''''''''' '''''''''''''''''''' ''''''''''''''''''''' ''''''' ''''''''''''''''' '''''''' ''''''' ''''''''''''''' ''''' '''''''''''''''''''''</w:t>
      </w:r>
    </w:p>
    <w:p w:rsidR="00E95701" w:rsidRPr="007C50FC" w:rsidRDefault="007C50FC" w:rsidP="00E95701">
      <w:pPr>
        <w:pStyle w:val="ListParagraph"/>
        <w:ind w:left="709"/>
        <w:jc w:val="both"/>
        <w:rPr>
          <w:rFonts w:ascii="Arial" w:hAnsi="Arial"/>
          <w:sz w:val="22"/>
          <w:szCs w:val="22"/>
          <w:highlight w:val="black"/>
        </w:rPr>
      </w:pPr>
      <w:r>
        <w:rPr>
          <w:rFonts w:ascii="Arial" w:hAnsi="Arial"/>
          <w:noProof/>
          <w:color w:val="000000"/>
          <w:sz w:val="22"/>
          <w:szCs w:val="22"/>
          <w:highlight w:val="black"/>
        </w:rPr>
        <w:t xml:space="preserve"> </w:t>
      </w:r>
    </w:p>
    <w:p w:rsidR="005963BB" w:rsidRPr="007C50FC" w:rsidRDefault="007C50FC" w:rsidP="007C50FC">
      <w:pPr>
        <w:ind w:left="720" w:hanging="720"/>
        <w:jc w:val="both"/>
        <w:rPr>
          <w:rFonts w:ascii="Arial" w:hAnsi="Arial"/>
          <w:sz w:val="22"/>
          <w:szCs w:val="22"/>
          <w:highlight w:val="black"/>
        </w:rPr>
      </w:pPr>
      <w:r>
        <w:rPr>
          <w:rFonts w:ascii="Arial" w:hAnsi="Arial"/>
          <w:noProof/>
          <w:color w:val="000000"/>
          <w:sz w:val="22"/>
          <w:szCs w:val="22"/>
          <w:highlight w:val="black"/>
        </w:rPr>
        <w:t xml:space="preserve">'''''''''''''''''' ''''''''''''' ''''''''''''''''''''' '''''''''''''' ''''''''' ''' '''''''' ''''''''''''''' ''''''''''' ''''' ''''''''''''''''''''' ''''''''' ''''''' ''''''''' '''''''''''''''' ''''''' '''''''''''''''' ''''''' '''''''''''''''''''''''''''''' ''''' ''''''' ''''''''''''''''''''''''' '''''''''''' ''''' ''''''''''''''' '''''' ''''' '''''''''''''''''''''''''''''''''''''' '''''''' ''''''''''''''''''''''''' ''''''''''''''' '''''''' '''''' '''''''''''''''''''''''''''' ''''''''''''''''''''''''''' '''''''' '''''''''''''''''' ''''''''''''' ''''''''''''''''''''''' '''''''''' '''''' ''''''''''''''''''''''''''''''''''''  </w:t>
      </w:r>
    </w:p>
    <w:p w:rsidR="00260BD1" w:rsidRPr="007C50FC" w:rsidRDefault="00260BD1" w:rsidP="00260BD1">
      <w:pPr>
        <w:jc w:val="both"/>
        <w:rPr>
          <w:rFonts w:ascii="Arial" w:hAnsi="Arial"/>
          <w:i/>
          <w:sz w:val="22"/>
          <w:szCs w:val="22"/>
        </w:rPr>
      </w:pPr>
    </w:p>
    <w:p w:rsidR="000E7762" w:rsidRPr="00260B02" w:rsidRDefault="000E7762" w:rsidP="000E7762">
      <w:pPr>
        <w:pStyle w:val="ListParagraph"/>
        <w:rPr>
          <w:rFonts w:ascii="Arial Narrow" w:hAnsi="Arial Narrow"/>
          <w:b/>
          <w:sz w:val="20"/>
          <w:szCs w:val="22"/>
        </w:rPr>
      </w:pPr>
      <w:r w:rsidRPr="00260B02">
        <w:rPr>
          <w:rFonts w:ascii="Arial Narrow" w:hAnsi="Arial Narrow"/>
          <w:b/>
          <w:sz w:val="20"/>
          <w:szCs w:val="22"/>
        </w:rPr>
        <w:t>Estimated market share of Basaglar as a total of the insulin glargine market</w:t>
      </w:r>
    </w:p>
    <w:tbl>
      <w:tblPr>
        <w:tblStyle w:val="TableGrid"/>
        <w:tblW w:w="3988" w:type="pct"/>
        <w:tblInd w:w="817" w:type="dxa"/>
        <w:tblLook w:val="04A0" w:firstRow="1" w:lastRow="0" w:firstColumn="1" w:lastColumn="0" w:noHBand="0" w:noVBand="1"/>
        <w:tblCaption w:val="Estimated market share of Basaglar as a total of the insulin glargine market"/>
        <w:tblDescription w:val="Year 1 to 5"/>
      </w:tblPr>
      <w:tblGrid>
        <w:gridCol w:w="2122"/>
        <w:gridCol w:w="998"/>
        <w:gridCol w:w="994"/>
        <w:gridCol w:w="1075"/>
        <w:gridCol w:w="1213"/>
        <w:gridCol w:w="969"/>
      </w:tblGrid>
      <w:tr w:rsidR="000E7762" w:rsidRPr="00260B02" w:rsidTr="000E7762">
        <w:trPr>
          <w:trHeight w:val="300"/>
        </w:trPr>
        <w:tc>
          <w:tcPr>
            <w:tcW w:w="1439" w:type="pct"/>
            <w:hideMark/>
          </w:tcPr>
          <w:p w:rsidR="000E7762" w:rsidRPr="00260B02" w:rsidRDefault="000E7762" w:rsidP="00494609">
            <w:pPr>
              <w:pStyle w:val="Table"/>
              <w:rPr>
                <w:rStyle w:val="SmallBold"/>
                <w:rFonts w:ascii="Arial Narrow" w:hAnsi="Arial Narrow" w:cstheme="minorHAnsi"/>
              </w:rPr>
            </w:pPr>
          </w:p>
        </w:tc>
        <w:tc>
          <w:tcPr>
            <w:tcW w:w="677" w:type="pct"/>
            <w:noWrap/>
            <w:hideMark/>
          </w:tcPr>
          <w:p w:rsidR="000E7762" w:rsidRPr="00260B02" w:rsidRDefault="000E7762" w:rsidP="00494609">
            <w:pPr>
              <w:pStyle w:val="Table"/>
              <w:rPr>
                <w:rStyle w:val="SmallBold"/>
                <w:rFonts w:ascii="Arial Narrow" w:hAnsi="Arial Narrow" w:cstheme="minorHAnsi"/>
              </w:rPr>
            </w:pPr>
            <w:r w:rsidRPr="00260B02">
              <w:rPr>
                <w:rStyle w:val="SmallBold"/>
                <w:rFonts w:ascii="Arial Narrow" w:hAnsi="Arial Narrow" w:cstheme="minorHAnsi"/>
              </w:rPr>
              <w:t>Year 1</w:t>
            </w:r>
          </w:p>
        </w:tc>
        <w:tc>
          <w:tcPr>
            <w:tcW w:w="674" w:type="pct"/>
            <w:noWrap/>
            <w:hideMark/>
          </w:tcPr>
          <w:p w:rsidR="000E7762" w:rsidRPr="00260B02" w:rsidRDefault="000E7762" w:rsidP="00494609">
            <w:pPr>
              <w:pStyle w:val="Table"/>
              <w:rPr>
                <w:rStyle w:val="SmallBold"/>
                <w:rFonts w:ascii="Arial Narrow" w:hAnsi="Arial Narrow" w:cstheme="minorHAnsi"/>
              </w:rPr>
            </w:pPr>
            <w:r w:rsidRPr="00260B02">
              <w:rPr>
                <w:rStyle w:val="SmallBold"/>
                <w:rFonts w:ascii="Arial Narrow" w:hAnsi="Arial Narrow" w:cstheme="minorHAnsi"/>
              </w:rPr>
              <w:t>Year 2</w:t>
            </w:r>
          </w:p>
        </w:tc>
        <w:tc>
          <w:tcPr>
            <w:tcW w:w="729" w:type="pct"/>
            <w:noWrap/>
            <w:hideMark/>
          </w:tcPr>
          <w:p w:rsidR="000E7762" w:rsidRPr="00260B02" w:rsidRDefault="000E7762" w:rsidP="00494609">
            <w:pPr>
              <w:pStyle w:val="Table"/>
              <w:rPr>
                <w:rStyle w:val="SmallBold"/>
                <w:rFonts w:ascii="Arial Narrow" w:hAnsi="Arial Narrow" w:cstheme="minorHAnsi"/>
              </w:rPr>
            </w:pPr>
            <w:r w:rsidRPr="00260B02">
              <w:rPr>
                <w:rStyle w:val="SmallBold"/>
                <w:rFonts w:ascii="Arial Narrow" w:hAnsi="Arial Narrow" w:cstheme="minorHAnsi"/>
              </w:rPr>
              <w:t>Year 3</w:t>
            </w:r>
          </w:p>
        </w:tc>
        <w:tc>
          <w:tcPr>
            <w:tcW w:w="823" w:type="pct"/>
            <w:noWrap/>
            <w:hideMark/>
          </w:tcPr>
          <w:p w:rsidR="000E7762" w:rsidRPr="00260B02" w:rsidRDefault="000E7762" w:rsidP="00494609">
            <w:pPr>
              <w:pStyle w:val="Table"/>
              <w:rPr>
                <w:rStyle w:val="SmallBold"/>
                <w:rFonts w:ascii="Arial Narrow" w:hAnsi="Arial Narrow" w:cstheme="minorHAnsi"/>
              </w:rPr>
            </w:pPr>
            <w:r w:rsidRPr="00260B02">
              <w:rPr>
                <w:rStyle w:val="SmallBold"/>
                <w:rFonts w:ascii="Arial Narrow" w:hAnsi="Arial Narrow" w:cstheme="minorHAnsi"/>
              </w:rPr>
              <w:t>Year 4</w:t>
            </w:r>
          </w:p>
        </w:tc>
        <w:tc>
          <w:tcPr>
            <w:tcW w:w="657" w:type="pct"/>
            <w:noWrap/>
            <w:hideMark/>
          </w:tcPr>
          <w:p w:rsidR="000E7762" w:rsidRPr="00260B02" w:rsidRDefault="000E7762" w:rsidP="00494609">
            <w:pPr>
              <w:pStyle w:val="Table"/>
              <w:rPr>
                <w:rStyle w:val="SmallBold"/>
                <w:rFonts w:ascii="Arial Narrow" w:hAnsi="Arial Narrow" w:cstheme="minorHAnsi"/>
              </w:rPr>
            </w:pPr>
            <w:r w:rsidRPr="00260B02">
              <w:rPr>
                <w:rStyle w:val="SmallBold"/>
                <w:rFonts w:ascii="Arial Narrow" w:hAnsi="Arial Narrow" w:cstheme="minorHAnsi"/>
              </w:rPr>
              <w:t>Year 5</w:t>
            </w:r>
          </w:p>
        </w:tc>
      </w:tr>
      <w:tr w:rsidR="000E7762" w:rsidRPr="00260B02" w:rsidTr="000E7762">
        <w:trPr>
          <w:trHeight w:val="300"/>
        </w:trPr>
        <w:tc>
          <w:tcPr>
            <w:tcW w:w="1439" w:type="pct"/>
            <w:hideMark/>
          </w:tcPr>
          <w:p w:rsidR="000E7762" w:rsidRPr="00260B02" w:rsidRDefault="000E7762" w:rsidP="00494609">
            <w:pPr>
              <w:pStyle w:val="Table"/>
              <w:rPr>
                <w:rFonts w:ascii="Arial Narrow" w:eastAsia="Times New Roman" w:hAnsi="Arial Narrow" w:cstheme="minorHAnsi"/>
                <w:lang w:eastAsia="en-AU"/>
              </w:rPr>
            </w:pPr>
            <w:r w:rsidRPr="00260B02">
              <w:rPr>
                <w:rFonts w:ascii="Arial Narrow" w:eastAsia="Times New Roman" w:hAnsi="Arial Narrow" w:cstheme="minorHAnsi"/>
                <w:lang w:eastAsia="en-AU"/>
              </w:rPr>
              <w:t>Basaglar market share</w:t>
            </w:r>
          </w:p>
        </w:tc>
        <w:tc>
          <w:tcPr>
            <w:tcW w:w="677" w:type="pct"/>
            <w:noWrap/>
            <w:hideMark/>
          </w:tcPr>
          <w:p w:rsidR="000E7762" w:rsidRPr="00260B02" w:rsidRDefault="007C50FC" w:rsidP="00494609">
            <w:pPr>
              <w:pStyle w:val="Table"/>
              <w:rPr>
                <w:rFonts w:ascii="Arial Narrow" w:eastAsia="Times New Roman" w:hAnsi="Arial Narrow" w:cstheme="minorHAnsi"/>
                <w:lang w:eastAsia="en-AU"/>
              </w:rPr>
            </w:pPr>
            <w:r>
              <w:rPr>
                <w:rFonts w:ascii="Arial Narrow" w:eastAsia="Times New Roman" w:hAnsi="Arial Narrow" w:cs="Times New Roman"/>
                <w:noProof/>
                <w:color w:val="000000"/>
                <w:szCs w:val="20"/>
                <w:highlight w:val="black"/>
                <w:lang w:eastAsia="en-AU" w:bidi="ar-SA"/>
              </w:rPr>
              <w:t>''''''''''</w:t>
            </w:r>
            <w:r w:rsidR="000E7762" w:rsidRPr="00260B02">
              <w:rPr>
                <w:rFonts w:ascii="Arial Narrow" w:eastAsia="Times New Roman" w:hAnsi="Arial Narrow" w:cstheme="minorHAnsi"/>
                <w:lang w:eastAsia="en-AU"/>
              </w:rPr>
              <w:t>%</w:t>
            </w:r>
          </w:p>
        </w:tc>
        <w:tc>
          <w:tcPr>
            <w:tcW w:w="674" w:type="pct"/>
            <w:noWrap/>
            <w:hideMark/>
          </w:tcPr>
          <w:p w:rsidR="000E7762" w:rsidRPr="00260B02" w:rsidRDefault="007C50FC" w:rsidP="00494609">
            <w:pPr>
              <w:pStyle w:val="Table"/>
              <w:rPr>
                <w:rFonts w:ascii="Arial Narrow" w:eastAsia="Times New Roman" w:hAnsi="Arial Narrow" w:cstheme="minorHAnsi"/>
                <w:lang w:eastAsia="en-AU"/>
              </w:rPr>
            </w:pPr>
            <w:r>
              <w:rPr>
                <w:rFonts w:ascii="Arial Narrow" w:eastAsia="Times New Roman" w:hAnsi="Arial Narrow" w:cs="Times New Roman"/>
                <w:noProof/>
                <w:color w:val="000000"/>
                <w:szCs w:val="20"/>
                <w:highlight w:val="black"/>
                <w:lang w:eastAsia="en-AU" w:bidi="ar-SA"/>
              </w:rPr>
              <w:t>'''''''''''</w:t>
            </w:r>
            <w:r w:rsidR="000E7762" w:rsidRPr="00260B02">
              <w:rPr>
                <w:rFonts w:ascii="Arial Narrow" w:eastAsia="Times New Roman" w:hAnsi="Arial Narrow" w:cstheme="minorHAnsi"/>
                <w:lang w:eastAsia="en-AU"/>
              </w:rPr>
              <w:t>%</w:t>
            </w:r>
          </w:p>
        </w:tc>
        <w:tc>
          <w:tcPr>
            <w:tcW w:w="729" w:type="pct"/>
            <w:noWrap/>
            <w:hideMark/>
          </w:tcPr>
          <w:p w:rsidR="000E7762" w:rsidRPr="00260B02" w:rsidRDefault="007C50FC" w:rsidP="00494609">
            <w:pPr>
              <w:pStyle w:val="Table"/>
              <w:rPr>
                <w:rFonts w:ascii="Arial Narrow" w:eastAsia="Times New Roman" w:hAnsi="Arial Narrow" w:cstheme="minorHAnsi"/>
                <w:lang w:eastAsia="en-AU"/>
              </w:rPr>
            </w:pPr>
            <w:r>
              <w:rPr>
                <w:rFonts w:ascii="Arial Narrow" w:eastAsia="Times New Roman" w:hAnsi="Arial Narrow" w:cs="Times New Roman"/>
                <w:noProof/>
                <w:color w:val="000000"/>
                <w:szCs w:val="20"/>
                <w:highlight w:val="black"/>
                <w:lang w:eastAsia="en-AU" w:bidi="ar-SA"/>
              </w:rPr>
              <w:t>''''''''''</w:t>
            </w:r>
            <w:r w:rsidR="000E7762" w:rsidRPr="00260B02">
              <w:rPr>
                <w:rFonts w:ascii="Arial Narrow" w:eastAsia="Times New Roman" w:hAnsi="Arial Narrow" w:cstheme="minorHAnsi"/>
                <w:lang w:eastAsia="en-AU"/>
              </w:rPr>
              <w:t>%</w:t>
            </w:r>
          </w:p>
        </w:tc>
        <w:tc>
          <w:tcPr>
            <w:tcW w:w="823" w:type="pct"/>
            <w:noWrap/>
            <w:hideMark/>
          </w:tcPr>
          <w:p w:rsidR="000E7762" w:rsidRPr="00260B02" w:rsidRDefault="007C50FC" w:rsidP="00494609">
            <w:pPr>
              <w:pStyle w:val="Table"/>
              <w:rPr>
                <w:rFonts w:ascii="Arial Narrow" w:eastAsia="Times New Roman" w:hAnsi="Arial Narrow" w:cstheme="minorHAnsi"/>
                <w:lang w:eastAsia="en-AU"/>
              </w:rPr>
            </w:pPr>
            <w:r>
              <w:rPr>
                <w:rFonts w:ascii="Arial Narrow" w:eastAsia="Times New Roman" w:hAnsi="Arial Narrow" w:cs="Times New Roman"/>
                <w:noProof/>
                <w:color w:val="000000"/>
                <w:szCs w:val="20"/>
                <w:highlight w:val="black"/>
                <w:lang w:eastAsia="en-AU" w:bidi="ar-SA"/>
              </w:rPr>
              <w:t>''''''''''''''</w:t>
            </w:r>
            <w:r w:rsidR="000E7762" w:rsidRPr="00260B02">
              <w:rPr>
                <w:rFonts w:ascii="Arial Narrow" w:eastAsia="Times New Roman" w:hAnsi="Arial Narrow" w:cstheme="minorHAnsi"/>
                <w:lang w:eastAsia="en-AU"/>
              </w:rPr>
              <w:t>%</w:t>
            </w:r>
          </w:p>
        </w:tc>
        <w:tc>
          <w:tcPr>
            <w:tcW w:w="657" w:type="pct"/>
            <w:noWrap/>
            <w:hideMark/>
          </w:tcPr>
          <w:p w:rsidR="000E7762" w:rsidRPr="00260B02" w:rsidRDefault="007C50FC" w:rsidP="00494609">
            <w:pPr>
              <w:pStyle w:val="Table"/>
              <w:rPr>
                <w:rFonts w:ascii="Arial Narrow" w:eastAsia="Times New Roman" w:hAnsi="Arial Narrow" w:cstheme="minorHAnsi"/>
                <w:lang w:eastAsia="en-AU"/>
              </w:rPr>
            </w:pPr>
            <w:r>
              <w:rPr>
                <w:rFonts w:ascii="Arial Narrow" w:eastAsia="Times New Roman" w:hAnsi="Arial Narrow" w:cs="Times New Roman"/>
                <w:noProof/>
                <w:color w:val="000000"/>
                <w:szCs w:val="20"/>
                <w:highlight w:val="black"/>
                <w:lang w:eastAsia="en-AU" w:bidi="ar-SA"/>
              </w:rPr>
              <w:t>'''''''''''''</w:t>
            </w:r>
            <w:r w:rsidR="000E7762" w:rsidRPr="00260B02">
              <w:rPr>
                <w:rFonts w:ascii="Arial Narrow" w:eastAsia="Times New Roman" w:hAnsi="Arial Narrow" w:cstheme="minorHAnsi"/>
                <w:lang w:eastAsia="en-AU"/>
              </w:rPr>
              <w:t>%</w:t>
            </w:r>
          </w:p>
        </w:tc>
      </w:tr>
    </w:tbl>
    <w:p w:rsidR="000E7762" w:rsidRPr="00260B02" w:rsidRDefault="000E7762" w:rsidP="000E7762">
      <w:pPr>
        <w:pStyle w:val="CaptionFootnote"/>
        <w:ind w:firstLine="720"/>
        <w:rPr>
          <w:rFonts w:ascii="Arial Narrow" w:hAnsi="Arial Narrow" w:cstheme="minorHAnsi"/>
          <w:sz w:val="18"/>
        </w:rPr>
      </w:pPr>
      <w:r w:rsidRPr="00260B02">
        <w:rPr>
          <w:rFonts w:ascii="Arial Narrow" w:hAnsi="Arial Narrow" w:cstheme="minorHAnsi"/>
          <w:sz w:val="18"/>
        </w:rPr>
        <w:t>Source:  Section E of the submission</w:t>
      </w:r>
    </w:p>
    <w:p w:rsidR="005A3173" w:rsidRPr="00260B02" w:rsidRDefault="005A3173" w:rsidP="00882085">
      <w:pPr>
        <w:ind w:left="720" w:hanging="720"/>
        <w:jc w:val="both"/>
        <w:rPr>
          <w:rFonts w:ascii="Arial" w:hAnsi="Arial"/>
          <w:b/>
          <w:i/>
          <w:sz w:val="22"/>
          <w:szCs w:val="22"/>
        </w:rPr>
      </w:pPr>
    </w:p>
    <w:p w:rsidR="00065B97" w:rsidRPr="007C50FC" w:rsidRDefault="00C00DA7" w:rsidP="00DD0588">
      <w:pPr>
        <w:pStyle w:val="ListParagraph"/>
        <w:numPr>
          <w:ilvl w:val="1"/>
          <w:numId w:val="25"/>
        </w:numPr>
        <w:jc w:val="both"/>
        <w:rPr>
          <w:rFonts w:ascii="Arial" w:hAnsi="Arial"/>
          <w:sz w:val="22"/>
          <w:szCs w:val="22"/>
        </w:rPr>
      </w:pPr>
      <w:r w:rsidRPr="00260B02">
        <w:rPr>
          <w:rFonts w:ascii="Arial" w:hAnsi="Arial"/>
          <w:sz w:val="22"/>
          <w:szCs w:val="22"/>
        </w:rPr>
        <w:t xml:space="preserve">The minor </w:t>
      </w:r>
      <w:r w:rsidR="00753530" w:rsidRPr="00260B02">
        <w:rPr>
          <w:rFonts w:ascii="Arial" w:hAnsi="Arial"/>
          <w:sz w:val="22"/>
          <w:szCs w:val="22"/>
        </w:rPr>
        <w:t>submission estimated</w:t>
      </w:r>
      <w:r w:rsidR="00380AF2" w:rsidRPr="00260B02">
        <w:rPr>
          <w:rFonts w:ascii="Arial" w:hAnsi="Arial"/>
          <w:sz w:val="22"/>
          <w:szCs w:val="22"/>
        </w:rPr>
        <w:t xml:space="preserve"> a net </w:t>
      </w:r>
      <w:r w:rsidRPr="00260B02">
        <w:rPr>
          <w:rFonts w:ascii="Arial" w:hAnsi="Arial"/>
          <w:sz w:val="22"/>
          <w:szCs w:val="22"/>
        </w:rPr>
        <w:t>save to the PBS of $</w:t>
      </w:r>
      <w:r w:rsidR="007C50FC">
        <w:rPr>
          <w:rFonts w:ascii="Arial" w:hAnsi="Arial"/>
          <w:noProof/>
          <w:color w:val="000000"/>
          <w:sz w:val="22"/>
          <w:szCs w:val="22"/>
          <w:highlight w:val="black"/>
        </w:rPr>
        <w:t>'''''''''''''</w:t>
      </w:r>
      <w:r w:rsidR="00290619" w:rsidRPr="00260B02">
        <w:rPr>
          <w:rFonts w:ascii="Arial" w:hAnsi="Arial"/>
          <w:sz w:val="22"/>
          <w:szCs w:val="22"/>
        </w:rPr>
        <w:t xml:space="preserve"> million</w:t>
      </w:r>
      <w:r w:rsidR="00380AF2" w:rsidRPr="00260B02">
        <w:rPr>
          <w:rFonts w:ascii="Arial" w:hAnsi="Arial"/>
          <w:sz w:val="22"/>
          <w:szCs w:val="22"/>
        </w:rPr>
        <w:t xml:space="preserve"> over five years</w:t>
      </w:r>
      <w:r w:rsidRPr="00260B02">
        <w:rPr>
          <w:rFonts w:ascii="Arial" w:hAnsi="Arial"/>
          <w:sz w:val="22"/>
          <w:szCs w:val="22"/>
        </w:rPr>
        <w:t xml:space="preserve"> of listing</w:t>
      </w:r>
      <w:r w:rsidR="00380AF2" w:rsidRPr="00260B02">
        <w:rPr>
          <w:rFonts w:ascii="Arial" w:hAnsi="Arial"/>
          <w:sz w:val="22"/>
          <w:szCs w:val="22"/>
        </w:rPr>
        <w:t>.</w:t>
      </w:r>
      <w:r w:rsidR="00600423" w:rsidRPr="00260B02">
        <w:rPr>
          <w:rFonts w:ascii="Arial" w:hAnsi="Arial"/>
          <w:sz w:val="22"/>
          <w:szCs w:val="22"/>
        </w:rPr>
        <w:t xml:space="preserve"> </w:t>
      </w:r>
      <w:r w:rsidR="00753530" w:rsidRPr="00260B02">
        <w:rPr>
          <w:rFonts w:ascii="Arial" w:hAnsi="Arial"/>
          <w:sz w:val="22"/>
          <w:szCs w:val="22"/>
        </w:rPr>
        <w:t>The submission assumed</w:t>
      </w:r>
      <w:r w:rsidR="00065B97" w:rsidRPr="00260B02">
        <w:rPr>
          <w:rFonts w:ascii="Arial" w:hAnsi="Arial"/>
          <w:sz w:val="22"/>
          <w:szCs w:val="22"/>
        </w:rPr>
        <w:t xml:space="preserve"> that replacement of Lantus with Basaglar will be on a 1:1 basis. </w:t>
      </w:r>
      <w:r w:rsidR="007C50FC">
        <w:rPr>
          <w:rFonts w:ascii="Arial" w:hAnsi="Arial"/>
          <w:noProof/>
          <w:color w:val="000000"/>
          <w:sz w:val="22"/>
          <w:szCs w:val="22"/>
          <w:highlight w:val="black"/>
        </w:rPr>
        <w:t>'''''''''''''''''''''' '''''''' ''''''''''''''''''' ''''' ''''''' '''''''''' '''''''''''''''' '''''''''' ''''''''''''''' '''''' '''''''' ''''''''''''''' '''' '''''''' '''''''''''' ''''''''''''''''''' ''''''''''' '''''''''''''''''''''' ''''''''''''''''''' ''''' ''''''''''' ''''''''''''''''''''' ''''''''' ''''''''''''''''''' '''''''''' '''''''''''''''''''''''' ''''''' '''''''' '''''''''''''''''' ''''''' ''''''' ''''''''''''''' ''''' ''''''''''' ''''''''''''''''''''''' ''''''''''''''''''</w:t>
      </w:r>
    </w:p>
    <w:p w:rsidR="00065B97" w:rsidRPr="007C50FC" w:rsidRDefault="007C50FC" w:rsidP="003D4671">
      <w:pPr>
        <w:pStyle w:val="ListParagraph"/>
        <w:ind w:left="709"/>
        <w:jc w:val="both"/>
        <w:rPr>
          <w:rFonts w:ascii="Arial" w:hAnsi="Arial"/>
          <w:sz w:val="22"/>
          <w:szCs w:val="22"/>
          <w:highlight w:val="black"/>
        </w:rPr>
      </w:pPr>
      <w:r>
        <w:rPr>
          <w:rFonts w:ascii="Arial" w:hAnsi="Arial"/>
          <w:noProof/>
          <w:color w:val="000000"/>
          <w:sz w:val="22"/>
          <w:szCs w:val="22"/>
          <w:highlight w:val="black"/>
        </w:rPr>
        <w:t xml:space="preserve">''''''''''' ''''' ''''''' ''''''''' ''''''''' ''''''''''''''''''''' '''''''' '''''''''''''' ''''''' ''''''' '''''' ''''''''''''''''''''''''''''''' '''' ''''''' ''''''''''''''''''''''''''' '''''''''''' ''''''''' '''''''''''''''''' ''''' ''''''''''''' ''''''''''''''''''''''' '''''' ''''''' ''''''''''''' '''''''''''' '''' '''''''''''''' ''''''''''''''''' '''' ''''''''''''''''''''''' '''' ''''''' '''''''''''''''''''' </w:t>
      </w:r>
    </w:p>
    <w:p w:rsidR="00065B97" w:rsidRPr="00260B02" w:rsidRDefault="00065B97" w:rsidP="003D4671">
      <w:pPr>
        <w:pStyle w:val="ListParagraph"/>
        <w:ind w:left="709"/>
        <w:jc w:val="both"/>
        <w:rPr>
          <w:rFonts w:ascii="Arial" w:hAnsi="Arial"/>
          <w:sz w:val="22"/>
          <w:szCs w:val="22"/>
        </w:rPr>
      </w:pPr>
    </w:p>
    <w:p w:rsidR="00BB7EC3" w:rsidRPr="00260B02" w:rsidRDefault="00C00DA7" w:rsidP="00DD0588">
      <w:pPr>
        <w:pStyle w:val="ListParagraph"/>
        <w:numPr>
          <w:ilvl w:val="1"/>
          <w:numId w:val="25"/>
        </w:numPr>
        <w:jc w:val="both"/>
        <w:rPr>
          <w:rFonts w:ascii="Arial" w:hAnsi="Arial"/>
          <w:sz w:val="22"/>
          <w:szCs w:val="22"/>
        </w:rPr>
      </w:pPr>
      <w:r w:rsidRPr="00260B02">
        <w:rPr>
          <w:rFonts w:ascii="Arial" w:hAnsi="Arial"/>
          <w:sz w:val="22"/>
          <w:szCs w:val="22"/>
        </w:rPr>
        <w:t>Th</w:t>
      </w:r>
      <w:r w:rsidR="00260378" w:rsidRPr="00260B02">
        <w:rPr>
          <w:rFonts w:ascii="Arial" w:hAnsi="Arial"/>
          <w:sz w:val="22"/>
          <w:szCs w:val="22"/>
        </w:rPr>
        <w:t>e</w:t>
      </w:r>
      <w:r w:rsidRPr="00260B02">
        <w:rPr>
          <w:rFonts w:ascii="Arial" w:hAnsi="Arial"/>
          <w:sz w:val="22"/>
          <w:szCs w:val="22"/>
        </w:rPr>
        <w:t xml:space="preserve"> </w:t>
      </w:r>
      <w:r w:rsidR="00260378" w:rsidRPr="00260B02">
        <w:rPr>
          <w:rFonts w:ascii="Arial" w:hAnsi="Arial"/>
          <w:sz w:val="22"/>
          <w:szCs w:val="22"/>
        </w:rPr>
        <w:t>financial implications are</w:t>
      </w:r>
      <w:r w:rsidRPr="00260B02">
        <w:rPr>
          <w:rFonts w:ascii="Arial" w:hAnsi="Arial"/>
          <w:sz w:val="22"/>
          <w:szCs w:val="22"/>
        </w:rPr>
        <w:t xml:space="preserve"> summarised in the table below.</w:t>
      </w:r>
      <w:r w:rsidR="00F57A6D" w:rsidRPr="00260B02">
        <w:rPr>
          <w:rFonts w:ascii="Arial" w:hAnsi="Arial"/>
          <w:sz w:val="22"/>
          <w:szCs w:val="22"/>
        </w:rPr>
        <w:t xml:space="preserve"> </w:t>
      </w:r>
      <w:r w:rsidR="00B43E90" w:rsidRPr="00260B02">
        <w:rPr>
          <w:rFonts w:ascii="Arial" w:hAnsi="Arial"/>
          <w:sz w:val="22"/>
          <w:szCs w:val="22"/>
        </w:rPr>
        <w:t xml:space="preserve">  </w:t>
      </w:r>
    </w:p>
    <w:p w:rsidR="000E7762" w:rsidRPr="00260B02" w:rsidRDefault="000E7762" w:rsidP="000E7762">
      <w:pPr>
        <w:pStyle w:val="ListParagraph"/>
        <w:ind w:left="709"/>
        <w:jc w:val="both"/>
        <w:rPr>
          <w:rFonts w:ascii="Arial" w:hAnsi="Arial"/>
          <w:sz w:val="22"/>
          <w:szCs w:val="22"/>
        </w:rPr>
      </w:pPr>
    </w:p>
    <w:p w:rsidR="000E7762" w:rsidRPr="00260B02" w:rsidRDefault="000E7762" w:rsidP="009529A5">
      <w:pPr>
        <w:pStyle w:val="ListParagraph"/>
        <w:keepNext/>
        <w:keepLines/>
        <w:ind w:left="709"/>
        <w:rPr>
          <w:rFonts w:ascii="Arial Narrow" w:hAnsi="Arial Narrow"/>
          <w:b/>
          <w:sz w:val="20"/>
          <w:szCs w:val="20"/>
        </w:rPr>
      </w:pPr>
      <w:r w:rsidRPr="00260B02">
        <w:rPr>
          <w:rFonts w:ascii="Arial Narrow" w:hAnsi="Arial Narrow"/>
          <w:b/>
          <w:sz w:val="20"/>
          <w:szCs w:val="20"/>
        </w:rPr>
        <w:lastRenderedPageBreak/>
        <w:t>Estimated</w:t>
      </w:r>
      <w:r w:rsidR="007532B6" w:rsidRPr="00260B02">
        <w:rPr>
          <w:rFonts w:ascii="Arial Narrow" w:hAnsi="Arial Narrow"/>
          <w:b/>
          <w:sz w:val="20"/>
          <w:szCs w:val="20"/>
        </w:rPr>
        <w:t xml:space="preserve"> overall net cost </w:t>
      </w:r>
      <w:r w:rsidRPr="00260B02">
        <w:rPr>
          <w:rFonts w:ascii="Arial Narrow" w:hAnsi="Arial Narrow"/>
          <w:b/>
          <w:sz w:val="20"/>
          <w:szCs w:val="20"/>
        </w:rPr>
        <w:t>of</w:t>
      </w:r>
      <w:r w:rsidR="007532B6" w:rsidRPr="00260B02">
        <w:rPr>
          <w:rFonts w:ascii="Arial Narrow" w:hAnsi="Arial Narrow"/>
          <w:b/>
          <w:sz w:val="20"/>
          <w:szCs w:val="20"/>
        </w:rPr>
        <w:t xml:space="preserve"> </w:t>
      </w:r>
      <w:r w:rsidR="0039596F" w:rsidRPr="00260B02">
        <w:rPr>
          <w:rFonts w:ascii="Arial Narrow" w:hAnsi="Arial Narrow"/>
          <w:b/>
          <w:sz w:val="20"/>
          <w:szCs w:val="20"/>
        </w:rPr>
        <w:t>listing Basaglar</w:t>
      </w:r>
      <w:r w:rsidRPr="00260B02">
        <w:rPr>
          <w:rFonts w:ascii="Arial Narrow" w:hAnsi="Arial Narrow"/>
          <w:b/>
          <w:sz w:val="20"/>
          <w:szCs w:val="20"/>
        </w:rPr>
        <w:t xml:space="preserve"> to the PBS and RPBS over five years</w:t>
      </w:r>
    </w:p>
    <w:tbl>
      <w:tblPr>
        <w:tblStyle w:val="TableGrid"/>
        <w:tblW w:w="8425" w:type="dxa"/>
        <w:tblInd w:w="817" w:type="dxa"/>
        <w:tblLayout w:type="fixed"/>
        <w:tblLook w:val="04A0" w:firstRow="1" w:lastRow="0" w:firstColumn="1" w:lastColumn="0" w:noHBand="0" w:noVBand="1"/>
        <w:tblCaption w:val="Estimated overall net cost of listing Basaglar to the PBS and RPBS over five years"/>
      </w:tblPr>
      <w:tblGrid>
        <w:gridCol w:w="2126"/>
        <w:gridCol w:w="1276"/>
        <w:gridCol w:w="1276"/>
        <w:gridCol w:w="1276"/>
        <w:gridCol w:w="1275"/>
        <w:gridCol w:w="1196"/>
      </w:tblGrid>
      <w:tr w:rsidR="007532B6" w:rsidRPr="00260B02" w:rsidTr="0039596F">
        <w:trPr>
          <w:trHeight w:val="300"/>
        </w:trPr>
        <w:tc>
          <w:tcPr>
            <w:tcW w:w="2126" w:type="dxa"/>
            <w:vAlign w:val="center"/>
            <w:hideMark/>
          </w:tcPr>
          <w:p w:rsidR="007532B6" w:rsidRPr="00260B02" w:rsidRDefault="007532B6" w:rsidP="009529A5">
            <w:pPr>
              <w:pStyle w:val="Table"/>
              <w:keepNext/>
              <w:keepLines/>
              <w:rPr>
                <w:rStyle w:val="SmallBold"/>
                <w:rFonts w:ascii="Arial Narrow" w:hAnsi="Arial Narrow" w:cstheme="minorHAnsi"/>
                <w:szCs w:val="20"/>
              </w:rPr>
            </w:pPr>
          </w:p>
        </w:tc>
        <w:tc>
          <w:tcPr>
            <w:tcW w:w="1276" w:type="dxa"/>
            <w:vAlign w:val="center"/>
            <w:hideMark/>
          </w:tcPr>
          <w:p w:rsidR="007532B6" w:rsidRPr="00260B02" w:rsidRDefault="007532B6" w:rsidP="009529A5">
            <w:pPr>
              <w:pStyle w:val="Table"/>
              <w:keepNext/>
              <w:keepLines/>
              <w:rPr>
                <w:rStyle w:val="SmallBold"/>
                <w:rFonts w:ascii="Arial Narrow" w:hAnsi="Arial Narrow" w:cstheme="minorHAnsi"/>
                <w:szCs w:val="20"/>
              </w:rPr>
            </w:pPr>
            <w:r w:rsidRPr="00260B02">
              <w:rPr>
                <w:rStyle w:val="SmallBold"/>
                <w:rFonts w:ascii="Arial Narrow" w:hAnsi="Arial Narrow" w:cstheme="minorHAnsi"/>
                <w:szCs w:val="20"/>
              </w:rPr>
              <w:t>Year 1</w:t>
            </w:r>
          </w:p>
        </w:tc>
        <w:tc>
          <w:tcPr>
            <w:tcW w:w="1276" w:type="dxa"/>
            <w:vAlign w:val="center"/>
            <w:hideMark/>
          </w:tcPr>
          <w:p w:rsidR="007532B6" w:rsidRPr="00260B02" w:rsidRDefault="007532B6" w:rsidP="009529A5">
            <w:pPr>
              <w:pStyle w:val="Table"/>
              <w:keepNext/>
              <w:keepLines/>
              <w:rPr>
                <w:rStyle w:val="SmallBold"/>
                <w:rFonts w:ascii="Arial Narrow" w:hAnsi="Arial Narrow" w:cstheme="minorHAnsi"/>
                <w:szCs w:val="20"/>
              </w:rPr>
            </w:pPr>
            <w:r w:rsidRPr="00260B02">
              <w:rPr>
                <w:rStyle w:val="SmallBold"/>
                <w:rFonts w:ascii="Arial Narrow" w:hAnsi="Arial Narrow" w:cstheme="minorHAnsi"/>
                <w:szCs w:val="20"/>
              </w:rPr>
              <w:t>Year 2</w:t>
            </w:r>
          </w:p>
        </w:tc>
        <w:tc>
          <w:tcPr>
            <w:tcW w:w="1276" w:type="dxa"/>
            <w:vAlign w:val="center"/>
            <w:hideMark/>
          </w:tcPr>
          <w:p w:rsidR="007532B6" w:rsidRPr="00260B02" w:rsidRDefault="007532B6" w:rsidP="009529A5">
            <w:pPr>
              <w:pStyle w:val="Table"/>
              <w:keepNext/>
              <w:keepLines/>
              <w:rPr>
                <w:rStyle w:val="SmallBold"/>
                <w:rFonts w:ascii="Arial Narrow" w:hAnsi="Arial Narrow" w:cstheme="minorHAnsi"/>
                <w:szCs w:val="20"/>
              </w:rPr>
            </w:pPr>
            <w:r w:rsidRPr="00260B02">
              <w:rPr>
                <w:rStyle w:val="SmallBold"/>
                <w:rFonts w:ascii="Arial Narrow" w:hAnsi="Arial Narrow" w:cstheme="minorHAnsi"/>
                <w:szCs w:val="20"/>
              </w:rPr>
              <w:t>Year 3</w:t>
            </w:r>
          </w:p>
        </w:tc>
        <w:tc>
          <w:tcPr>
            <w:tcW w:w="1275" w:type="dxa"/>
            <w:vAlign w:val="center"/>
            <w:hideMark/>
          </w:tcPr>
          <w:p w:rsidR="007532B6" w:rsidRPr="00260B02" w:rsidRDefault="007532B6" w:rsidP="009529A5">
            <w:pPr>
              <w:pStyle w:val="Table"/>
              <w:keepNext/>
              <w:keepLines/>
              <w:rPr>
                <w:rStyle w:val="SmallBold"/>
                <w:rFonts w:ascii="Arial Narrow" w:hAnsi="Arial Narrow" w:cstheme="minorHAnsi"/>
                <w:szCs w:val="20"/>
              </w:rPr>
            </w:pPr>
            <w:r w:rsidRPr="00260B02">
              <w:rPr>
                <w:rStyle w:val="SmallBold"/>
                <w:rFonts w:ascii="Arial Narrow" w:hAnsi="Arial Narrow" w:cstheme="minorHAnsi"/>
                <w:szCs w:val="20"/>
              </w:rPr>
              <w:t>Year 4</w:t>
            </w:r>
          </w:p>
        </w:tc>
        <w:tc>
          <w:tcPr>
            <w:tcW w:w="1196" w:type="dxa"/>
            <w:vAlign w:val="center"/>
            <w:hideMark/>
          </w:tcPr>
          <w:p w:rsidR="007532B6" w:rsidRPr="00260B02" w:rsidRDefault="007532B6" w:rsidP="009529A5">
            <w:pPr>
              <w:pStyle w:val="Table"/>
              <w:keepNext/>
              <w:keepLines/>
              <w:rPr>
                <w:rStyle w:val="SmallBold"/>
                <w:rFonts w:ascii="Arial Narrow" w:hAnsi="Arial Narrow" w:cstheme="minorHAnsi"/>
                <w:szCs w:val="20"/>
              </w:rPr>
            </w:pPr>
            <w:r w:rsidRPr="00260B02">
              <w:rPr>
                <w:rStyle w:val="SmallBold"/>
                <w:rFonts w:ascii="Arial Narrow" w:hAnsi="Arial Narrow" w:cstheme="minorHAnsi"/>
                <w:szCs w:val="20"/>
              </w:rPr>
              <w:t>Year 5</w:t>
            </w:r>
          </w:p>
        </w:tc>
      </w:tr>
      <w:tr w:rsidR="00260378" w:rsidRPr="00260B02" w:rsidTr="0064151A">
        <w:trPr>
          <w:trHeight w:val="300"/>
        </w:trPr>
        <w:tc>
          <w:tcPr>
            <w:tcW w:w="8425" w:type="dxa"/>
            <w:gridSpan w:val="6"/>
            <w:vAlign w:val="center"/>
          </w:tcPr>
          <w:p w:rsidR="00260378" w:rsidRPr="00260B02" w:rsidRDefault="00260378" w:rsidP="009529A5">
            <w:pPr>
              <w:pStyle w:val="Table"/>
              <w:keepNext/>
              <w:keepLines/>
              <w:rPr>
                <w:rStyle w:val="SmallBold"/>
                <w:rFonts w:ascii="Arial Narrow" w:hAnsi="Arial Narrow" w:cstheme="minorHAnsi"/>
                <w:szCs w:val="20"/>
              </w:rPr>
            </w:pPr>
            <w:r w:rsidRPr="00260B02">
              <w:rPr>
                <w:rStyle w:val="SmallBold"/>
                <w:rFonts w:ascii="Arial Narrow" w:hAnsi="Arial Narrow" w:cstheme="minorHAnsi"/>
                <w:szCs w:val="20"/>
              </w:rPr>
              <w:t>Estimated number of</w:t>
            </w:r>
            <w:r w:rsidR="00065B97" w:rsidRPr="00260B02">
              <w:rPr>
                <w:rStyle w:val="SmallBold"/>
                <w:rFonts w:ascii="Arial Narrow" w:hAnsi="Arial Narrow" w:cstheme="minorHAnsi"/>
                <w:szCs w:val="20"/>
              </w:rPr>
              <w:t xml:space="preserve"> Basaglar</w:t>
            </w:r>
            <w:r w:rsidRPr="00260B02">
              <w:rPr>
                <w:rStyle w:val="SmallBold"/>
                <w:rFonts w:ascii="Arial Narrow" w:hAnsi="Arial Narrow" w:cstheme="minorHAnsi"/>
                <w:szCs w:val="20"/>
              </w:rPr>
              <w:t xml:space="preserve"> scripts dispensed </w:t>
            </w:r>
          </w:p>
        </w:tc>
      </w:tr>
      <w:tr w:rsidR="00260378" w:rsidRPr="00260B02" w:rsidTr="0039596F">
        <w:trPr>
          <w:trHeight w:val="300"/>
        </w:trPr>
        <w:tc>
          <w:tcPr>
            <w:tcW w:w="2126" w:type="dxa"/>
            <w:vAlign w:val="center"/>
          </w:tcPr>
          <w:p w:rsidR="00260378" w:rsidRPr="00260B02" w:rsidRDefault="00260378" w:rsidP="009529A5">
            <w:pPr>
              <w:pStyle w:val="Table"/>
              <w:keepNext/>
              <w:keepLines/>
              <w:rPr>
                <w:rStyle w:val="SmallBold"/>
                <w:rFonts w:ascii="Arial Narrow" w:hAnsi="Arial Narrow" w:cstheme="minorHAnsi"/>
                <w:b w:val="0"/>
                <w:szCs w:val="20"/>
              </w:rPr>
            </w:pPr>
            <w:r w:rsidRPr="00260B02">
              <w:rPr>
                <w:rStyle w:val="SmallBold"/>
                <w:rFonts w:ascii="Arial Narrow" w:hAnsi="Arial Narrow" w:cstheme="minorHAnsi"/>
                <w:b w:val="0"/>
                <w:szCs w:val="20"/>
              </w:rPr>
              <w:t>PBS</w:t>
            </w:r>
          </w:p>
        </w:tc>
        <w:tc>
          <w:tcPr>
            <w:tcW w:w="1276" w:type="dxa"/>
            <w:vAlign w:val="center"/>
          </w:tcPr>
          <w:p w:rsidR="00260378" w:rsidRPr="007C50FC" w:rsidRDefault="007C50FC" w:rsidP="009529A5">
            <w:pPr>
              <w:pStyle w:val="Table"/>
              <w:keepNext/>
              <w:keepLines/>
              <w:rPr>
                <w:rStyle w:val="SmallBold"/>
                <w:rFonts w:ascii="Arial Narrow" w:hAnsi="Arial Narrow" w:cstheme="minorHAnsi"/>
                <w:b w:val="0"/>
                <w:szCs w:val="20"/>
                <w:highlight w:val="black"/>
              </w:rPr>
            </w:pPr>
            <w:r>
              <w:rPr>
                <w:rStyle w:val="SmallBold"/>
                <w:rFonts w:ascii="Arial Narrow" w:hAnsi="Arial Narrow" w:cstheme="minorHAnsi"/>
                <w:b w:val="0"/>
                <w:noProof/>
                <w:color w:val="000000"/>
                <w:szCs w:val="20"/>
                <w:highlight w:val="black"/>
              </w:rPr>
              <w:t>''''''''''''</w:t>
            </w:r>
          </w:p>
        </w:tc>
        <w:tc>
          <w:tcPr>
            <w:tcW w:w="1276" w:type="dxa"/>
            <w:vAlign w:val="center"/>
          </w:tcPr>
          <w:p w:rsidR="00260378" w:rsidRPr="007C50FC" w:rsidRDefault="007C50FC" w:rsidP="009529A5">
            <w:pPr>
              <w:pStyle w:val="Table"/>
              <w:keepNext/>
              <w:keepLines/>
              <w:rPr>
                <w:rStyle w:val="SmallBold"/>
                <w:rFonts w:ascii="Arial Narrow" w:hAnsi="Arial Narrow" w:cstheme="minorHAnsi"/>
                <w:b w:val="0"/>
                <w:szCs w:val="20"/>
                <w:highlight w:val="black"/>
              </w:rPr>
            </w:pPr>
            <w:r>
              <w:rPr>
                <w:rStyle w:val="SmallBold"/>
                <w:rFonts w:ascii="Arial Narrow" w:hAnsi="Arial Narrow" w:cstheme="minorHAnsi"/>
                <w:b w:val="0"/>
                <w:noProof/>
                <w:color w:val="000000"/>
                <w:szCs w:val="20"/>
                <w:highlight w:val="black"/>
              </w:rPr>
              <w:t>''''''''''''''''</w:t>
            </w:r>
          </w:p>
        </w:tc>
        <w:tc>
          <w:tcPr>
            <w:tcW w:w="1276" w:type="dxa"/>
            <w:vAlign w:val="center"/>
          </w:tcPr>
          <w:p w:rsidR="00260378" w:rsidRPr="007C50FC" w:rsidRDefault="007C50FC" w:rsidP="009529A5">
            <w:pPr>
              <w:pStyle w:val="Table"/>
              <w:keepNext/>
              <w:keepLines/>
              <w:rPr>
                <w:rStyle w:val="SmallBold"/>
                <w:rFonts w:ascii="Arial Narrow" w:hAnsi="Arial Narrow" w:cstheme="minorHAnsi"/>
                <w:b w:val="0"/>
                <w:szCs w:val="20"/>
                <w:highlight w:val="black"/>
              </w:rPr>
            </w:pPr>
            <w:r>
              <w:rPr>
                <w:rStyle w:val="SmallBold"/>
                <w:rFonts w:ascii="Arial Narrow" w:hAnsi="Arial Narrow" w:cstheme="minorHAnsi"/>
                <w:b w:val="0"/>
                <w:noProof/>
                <w:color w:val="000000"/>
                <w:szCs w:val="20"/>
                <w:highlight w:val="black"/>
              </w:rPr>
              <w:t>'''''''''''''''''</w:t>
            </w:r>
          </w:p>
        </w:tc>
        <w:tc>
          <w:tcPr>
            <w:tcW w:w="1275" w:type="dxa"/>
            <w:vAlign w:val="center"/>
          </w:tcPr>
          <w:p w:rsidR="00260378" w:rsidRPr="007C50FC" w:rsidRDefault="007C50FC" w:rsidP="009529A5">
            <w:pPr>
              <w:pStyle w:val="Table"/>
              <w:keepNext/>
              <w:keepLines/>
              <w:rPr>
                <w:rStyle w:val="SmallBold"/>
                <w:rFonts w:ascii="Arial Narrow" w:hAnsi="Arial Narrow" w:cstheme="minorHAnsi"/>
                <w:b w:val="0"/>
                <w:szCs w:val="20"/>
                <w:highlight w:val="black"/>
              </w:rPr>
            </w:pPr>
            <w:r>
              <w:rPr>
                <w:rStyle w:val="SmallBold"/>
                <w:rFonts w:ascii="Arial Narrow" w:hAnsi="Arial Narrow" w:cstheme="minorHAnsi"/>
                <w:b w:val="0"/>
                <w:noProof/>
                <w:color w:val="000000"/>
                <w:szCs w:val="20"/>
                <w:highlight w:val="black"/>
              </w:rPr>
              <w:t>'''''''''''''''</w:t>
            </w:r>
          </w:p>
        </w:tc>
        <w:tc>
          <w:tcPr>
            <w:tcW w:w="1196" w:type="dxa"/>
            <w:vAlign w:val="center"/>
          </w:tcPr>
          <w:p w:rsidR="00260378" w:rsidRPr="007C50FC" w:rsidRDefault="007C50FC" w:rsidP="009529A5">
            <w:pPr>
              <w:pStyle w:val="Table"/>
              <w:keepNext/>
              <w:keepLines/>
              <w:rPr>
                <w:rStyle w:val="SmallBold"/>
                <w:rFonts w:ascii="Arial Narrow" w:hAnsi="Arial Narrow" w:cstheme="minorHAnsi"/>
                <w:b w:val="0"/>
                <w:szCs w:val="20"/>
                <w:highlight w:val="black"/>
              </w:rPr>
            </w:pPr>
            <w:r>
              <w:rPr>
                <w:rStyle w:val="SmallBold"/>
                <w:rFonts w:ascii="Arial Narrow" w:hAnsi="Arial Narrow" w:cstheme="minorHAnsi"/>
                <w:b w:val="0"/>
                <w:noProof/>
                <w:color w:val="000000"/>
                <w:szCs w:val="20"/>
                <w:highlight w:val="black"/>
              </w:rPr>
              <w:t>'''''''''''''''</w:t>
            </w:r>
          </w:p>
        </w:tc>
      </w:tr>
      <w:tr w:rsidR="00260378" w:rsidRPr="00260B02" w:rsidTr="0039596F">
        <w:trPr>
          <w:trHeight w:val="300"/>
        </w:trPr>
        <w:tc>
          <w:tcPr>
            <w:tcW w:w="2126" w:type="dxa"/>
            <w:vAlign w:val="center"/>
          </w:tcPr>
          <w:p w:rsidR="00260378" w:rsidRPr="00260B02" w:rsidRDefault="00260378" w:rsidP="009529A5">
            <w:pPr>
              <w:pStyle w:val="Table"/>
              <w:keepNext/>
              <w:keepLines/>
              <w:rPr>
                <w:rStyle w:val="SmallBold"/>
                <w:rFonts w:ascii="Arial Narrow" w:hAnsi="Arial Narrow" w:cstheme="minorHAnsi"/>
                <w:b w:val="0"/>
                <w:szCs w:val="20"/>
              </w:rPr>
            </w:pPr>
            <w:r w:rsidRPr="00260B02">
              <w:rPr>
                <w:rStyle w:val="SmallBold"/>
                <w:rFonts w:ascii="Arial Narrow" w:hAnsi="Arial Narrow" w:cstheme="minorHAnsi"/>
                <w:b w:val="0"/>
                <w:szCs w:val="20"/>
              </w:rPr>
              <w:t xml:space="preserve">RPBS </w:t>
            </w:r>
          </w:p>
        </w:tc>
        <w:tc>
          <w:tcPr>
            <w:tcW w:w="1276" w:type="dxa"/>
            <w:vAlign w:val="center"/>
          </w:tcPr>
          <w:p w:rsidR="00260378" w:rsidRPr="007C50FC" w:rsidRDefault="007C50FC" w:rsidP="009529A5">
            <w:pPr>
              <w:pStyle w:val="Table"/>
              <w:keepNext/>
              <w:keepLines/>
              <w:rPr>
                <w:rStyle w:val="SmallBold"/>
                <w:rFonts w:ascii="Arial Narrow" w:hAnsi="Arial Narrow" w:cstheme="minorHAnsi"/>
                <w:b w:val="0"/>
                <w:szCs w:val="20"/>
                <w:highlight w:val="black"/>
              </w:rPr>
            </w:pPr>
            <w:r>
              <w:rPr>
                <w:rStyle w:val="SmallBold"/>
                <w:rFonts w:ascii="Arial Narrow" w:hAnsi="Arial Narrow" w:cstheme="minorHAnsi"/>
                <w:b w:val="0"/>
                <w:noProof/>
                <w:color w:val="000000"/>
                <w:szCs w:val="20"/>
                <w:highlight w:val="black"/>
              </w:rPr>
              <w:t>'''''''''</w:t>
            </w:r>
          </w:p>
        </w:tc>
        <w:tc>
          <w:tcPr>
            <w:tcW w:w="1276" w:type="dxa"/>
            <w:vAlign w:val="center"/>
          </w:tcPr>
          <w:p w:rsidR="00260378" w:rsidRPr="007C50FC" w:rsidRDefault="007C50FC" w:rsidP="009529A5">
            <w:pPr>
              <w:pStyle w:val="Table"/>
              <w:keepNext/>
              <w:keepLines/>
              <w:rPr>
                <w:rStyle w:val="SmallBold"/>
                <w:rFonts w:ascii="Arial Narrow" w:hAnsi="Arial Narrow" w:cstheme="minorHAnsi"/>
                <w:b w:val="0"/>
                <w:szCs w:val="20"/>
                <w:highlight w:val="black"/>
              </w:rPr>
            </w:pPr>
            <w:r>
              <w:rPr>
                <w:rStyle w:val="SmallBold"/>
                <w:rFonts w:ascii="Arial Narrow" w:hAnsi="Arial Narrow" w:cstheme="minorHAnsi"/>
                <w:b w:val="0"/>
                <w:noProof/>
                <w:color w:val="000000"/>
                <w:szCs w:val="20"/>
                <w:highlight w:val="black"/>
              </w:rPr>
              <w:t>'''''''''</w:t>
            </w:r>
          </w:p>
        </w:tc>
        <w:tc>
          <w:tcPr>
            <w:tcW w:w="1276" w:type="dxa"/>
            <w:vAlign w:val="center"/>
          </w:tcPr>
          <w:p w:rsidR="00260378" w:rsidRPr="007C50FC" w:rsidRDefault="007C50FC" w:rsidP="009529A5">
            <w:pPr>
              <w:pStyle w:val="Table"/>
              <w:keepNext/>
              <w:keepLines/>
              <w:rPr>
                <w:rStyle w:val="SmallBold"/>
                <w:rFonts w:ascii="Arial Narrow" w:hAnsi="Arial Narrow" w:cstheme="minorHAnsi"/>
                <w:b w:val="0"/>
                <w:szCs w:val="20"/>
                <w:highlight w:val="black"/>
              </w:rPr>
            </w:pPr>
            <w:r>
              <w:rPr>
                <w:rStyle w:val="SmallBold"/>
                <w:rFonts w:ascii="Arial Narrow" w:hAnsi="Arial Narrow" w:cstheme="minorHAnsi"/>
                <w:b w:val="0"/>
                <w:noProof/>
                <w:color w:val="000000"/>
                <w:szCs w:val="20"/>
                <w:highlight w:val="black"/>
              </w:rPr>
              <w:t>'''''''''</w:t>
            </w:r>
          </w:p>
        </w:tc>
        <w:tc>
          <w:tcPr>
            <w:tcW w:w="1275" w:type="dxa"/>
            <w:vAlign w:val="center"/>
          </w:tcPr>
          <w:p w:rsidR="00260378" w:rsidRPr="007C50FC" w:rsidRDefault="007C50FC" w:rsidP="009529A5">
            <w:pPr>
              <w:pStyle w:val="Table"/>
              <w:keepNext/>
              <w:keepLines/>
              <w:rPr>
                <w:rStyle w:val="SmallBold"/>
                <w:rFonts w:ascii="Arial Narrow" w:hAnsi="Arial Narrow" w:cstheme="minorHAnsi"/>
                <w:b w:val="0"/>
                <w:szCs w:val="20"/>
                <w:highlight w:val="black"/>
              </w:rPr>
            </w:pPr>
            <w:r>
              <w:rPr>
                <w:rStyle w:val="SmallBold"/>
                <w:rFonts w:ascii="Arial Narrow" w:hAnsi="Arial Narrow" w:cstheme="minorHAnsi"/>
                <w:b w:val="0"/>
                <w:noProof/>
                <w:color w:val="000000"/>
                <w:szCs w:val="20"/>
                <w:highlight w:val="black"/>
              </w:rPr>
              <w:t>'''''''''''''</w:t>
            </w:r>
          </w:p>
        </w:tc>
        <w:tc>
          <w:tcPr>
            <w:tcW w:w="1196" w:type="dxa"/>
            <w:vAlign w:val="center"/>
          </w:tcPr>
          <w:p w:rsidR="00260378" w:rsidRPr="007C50FC" w:rsidRDefault="007C50FC" w:rsidP="009529A5">
            <w:pPr>
              <w:pStyle w:val="Table"/>
              <w:keepNext/>
              <w:keepLines/>
              <w:rPr>
                <w:rStyle w:val="SmallBold"/>
                <w:rFonts w:ascii="Arial Narrow" w:hAnsi="Arial Narrow" w:cstheme="minorHAnsi"/>
                <w:b w:val="0"/>
                <w:szCs w:val="20"/>
                <w:highlight w:val="black"/>
              </w:rPr>
            </w:pPr>
            <w:r>
              <w:rPr>
                <w:rStyle w:val="SmallBold"/>
                <w:rFonts w:ascii="Arial Narrow" w:hAnsi="Arial Narrow" w:cstheme="minorHAnsi"/>
                <w:b w:val="0"/>
                <w:noProof/>
                <w:color w:val="000000"/>
                <w:szCs w:val="20"/>
                <w:highlight w:val="black"/>
              </w:rPr>
              <w:t>''''''''''''''</w:t>
            </w:r>
          </w:p>
        </w:tc>
      </w:tr>
      <w:tr w:rsidR="007532B6" w:rsidRPr="00260B02" w:rsidTr="007532B6">
        <w:trPr>
          <w:trHeight w:val="300"/>
        </w:trPr>
        <w:tc>
          <w:tcPr>
            <w:tcW w:w="8425" w:type="dxa"/>
            <w:gridSpan w:val="6"/>
            <w:vAlign w:val="center"/>
          </w:tcPr>
          <w:p w:rsidR="007532B6" w:rsidRPr="00260B02" w:rsidRDefault="007532B6" w:rsidP="009529A5">
            <w:pPr>
              <w:keepNext/>
              <w:keepLines/>
              <w:jc w:val="both"/>
              <w:rPr>
                <w:rStyle w:val="SmallBold"/>
                <w:rFonts w:ascii="Arial Narrow" w:eastAsiaTheme="majorEastAsia" w:hAnsi="Arial Narrow" w:cstheme="minorHAnsi"/>
                <w:szCs w:val="20"/>
                <w:lang w:eastAsia="en-US" w:bidi="en-US"/>
              </w:rPr>
            </w:pPr>
            <w:r w:rsidRPr="00260B02">
              <w:rPr>
                <w:rStyle w:val="SmallBold"/>
                <w:rFonts w:ascii="Arial Narrow" w:eastAsiaTheme="majorEastAsia" w:hAnsi="Arial Narrow" w:cstheme="minorHAnsi"/>
                <w:szCs w:val="20"/>
              </w:rPr>
              <w:t>Estimated overall net cost of listing Basaglar on the PBS</w:t>
            </w:r>
            <w:r w:rsidR="003E6F86" w:rsidRPr="00260B02">
              <w:rPr>
                <w:rStyle w:val="SmallBold"/>
                <w:rFonts w:ascii="Arial Narrow" w:eastAsiaTheme="majorEastAsia" w:hAnsi="Arial Narrow" w:cstheme="minorHAnsi"/>
                <w:szCs w:val="20"/>
              </w:rPr>
              <w:t xml:space="preserve"> (savings are largely due to the 16% statutory price reduction to all insulin glargine products)</w:t>
            </w:r>
          </w:p>
        </w:tc>
      </w:tr>
      <w:tr w:rsidR="007532B6" w:rsidRPr="00260B02" w:rsidTr="0039596F">
        <w:trPr>
          <w:trHeight w:val="255"/>
        </w:trPr>
        <w:tc>
          <w:tcPr>
            <w:tcW w:w="2126" w:type="dxa"/>
            <w:vAlign w:val="center"/>
          </w:tcPr>
          <w:p w:rsidR="007532B6" w:rsidRPr="00260B02" w:rsidRDefault="007532B6" w:rsidP="009529A5">
            <w:pPr>
              <w:pStyle w:val="Table"/>
              <w:keepNext/>
              <w:keepLines/>
              <w:rPr>
                <w:rFonts w:ascii="Arial Narrow" w:hAnsi="Arial Narrow" w:cstheme="minorHAnsi"/>
                <w:szCs w:val="20"/>
              </w:rPr>
            </w:pPr>
            <w:r w:rsidRPr="00260B02">
              <w:rPr>
                <w:rFonts w:ascii="Arial Narrow" w:hAnsi="Arial Narrow" w:cstheme="minorHAnsi"/>
                <w:szCs w:val="20"/>
              </w:rPr>
              <w:t>Overall net cost to the PBS</w:t>
            </w:r>
          </w:p>
        </w:tc>
        <w:tc>
          <w:tcPr>
            <w:tcW w:w="1276" w:type="dxa"/>
            <w:noWrap/>
            <w:vAlign w:val="center"/>
          </w:tcPr>
          <w:p w:rsidR="007532B6" w:rsidRPr="007C50FC" w:rsidRDefault="007C50FC" w:rsidP="009529A5">
            <w:pPr>
              <w:keepNext/>
              <w:keepLines/>
              <w:jc w:val="center"/>
              <w:rPr>
                <w:rFonts w:ascii="Arial Narrow" w:hAnsi="Arial Narrow" w:cstheme="minorHAnsi"/>
                <w:sz w:val="20"/>
                <w:szCs w:val="20"/>
                <w:highlight w:val="black"/>
              </w:rPr>
            </w:pPr>
            <w:r>
              <w:rPr>
                <w:rFonts w:ascii="Arial Narrow" w:hAnsi="Arial Narrow" w:cstheme="minorHAnsi"/>
                <w:noProof/>
                <w:color w:val="000000"/>
                <w:sz w:val="20"/>
                <w:szCs w:val="20"/>
                <w:highlight w:val="black"/>
              </w:rPr>
              <w:t>''''''''''''''''''''''''''''</w:t>
            </w:r>
          </w:p>
        </w:tc>
        <w:tc>
          <w:tcPr>
            <w:tcW w:w="1276" w:type="dxa"/>
            <w:noWrap/>
            <w:vAlign w:val="center"/>
          </w:tcPr>
          <w:p w:rsidR="007532B6" w:rsidRPr="007C50FC" w:rsidRDefault="007C50FC" w:rsidP="009529A5">
            <w:pPr>
              <w:keepNext/>
              <w:keepLines/>
              <w:jc w:val="center"/>
              <w:rPr>
                <w:rFonts w:ascii="Arial Narrow" w:hAnsi="Arial Narrow" w:cstheme="minorHAnsi"/>
                <w:sz w:val="20"/>
                <w:szCs w:val="20"/>
                <w:highlight w:val="black"/>
              </w:rPr>
            </w:pPr>
            <w:r>
              <w:rPr>
                <w:rFonts w:ascii="Arial Narrow" w:hAnsi="Arial Narrow" w:cstheme="minorHAnsi"/>
                <w:noProof/>
                <w:color w:val="000000"/>
                <w:sz w:val="20"/>
                <w:szCs w:val="20"/>
                <w:highlight w:val="black"/>
              </w:rPr>
              <w:t>'''''''''''''''''''''''''''''''''</w:t>
            </w:r>
          </w:p>
        </w:tc>
        <w:tc>
          <w:tcPr>
            <w:tcW w:w="1276" w:type="dxa"/>
            <w:noWrap/>
            <w:vAlign w:val="center"/>
          </w:tcPr>
          <w:p w:rsidR="007532B6" w:rsidRPr="007C50FC" w:rsidRDefault="007C50FC" w:rsidP="009529A5">
            <w:pPr>
              <w:keepNext/>
              <w:keepLines/>
              <w:jc w:val="center"/>
              <w:rPr>
                <w:rFonts w:ascii="Arial Narrow" w:hAnsi="Arial Narrow" w:cstheme="minorHAnsi"/>
                <w:sz w:val="20"/>
                <w:szCs w:val="20"/>
                <w:highlight w:val="black"/>
              </w:rPr>
            </w:pPr>
            <w:r>
              <w:rPr>
                <w:rFonts w:ascii="Arial Narrow" w:hAnsi="Arial Narrow" w:cstheme="minorHAnsi"/>
                <w:noProof/>
                <w:color w:val="000000"/>
                <w:sz w:val="20"/>
                <w:szCs w:val="20"/>
                <w:highlight w:val="black"/>
              </w:rPr>
              <w:t>'''''''''''''''''''''''''''''</w:t>
            </w:r>
          </w:p>
        </w:tc>
        <w:tc>
          <w:tcPr>
            <w:tcW w:w="1275" w:type="dxa"/>
            <w:noWrap/>
            <w:vAlign w:val="center"/>
          </w:tcPr>
          <w:p w:rsidR="007532B6" w:rsidRPr="007C50FC" w:rsidRDefault="007C50FC" w:rsidP="009529A5">
            <w:pPr>
              <w:keepNext/>
              <w:keepLines/>
              <w:jc w:val="center"/>
              <w:rPr>
                <w:rFonts w:ascii="Arial Narrow" w:hAnsi="Arial Narrow" w:cstheme="minorHAnsi"/>
                <w:sz w:val="20"/>
                <w:szCs w:val="20"/>
                <w:highlight w:val="black"/>
              </w:rPr>
            </w:pPr>
            <w:r>
              <w:rPr>
                <w:rFonts w:ascii="Arial Narrow" w:hAnsi="Arial Narrow" w:cstheme="minorHAnsi"/>
                <w:noProof/>
                <w:color w:val="000000"/>
                <w:sz w:val="20"/>
                <w:szCs w:val="20"/>
                <w:highlight w:val="black"/>
              </w:rPr>
              <w:t>''''''''''''''''''''''''''''</w:t>
            </w:r>
          </w:p>
        </w:tc>
        <w:tc>
          <w:tcPr>
            <w:tcW w:w="1196" w:type="dxa"/>
            <w:noWrap/>
            <w:vAlign w:val="center"/>
          </w:tcPr>
          <w:p w:rsidR="007532B6" w:rsidRPr="007C50FC" w:rsidRDefault="007C50FC" w:rsidP="009529A5">
            <w:pPr>
              <w:keepNext/>
              <w:keepLines/>
              <w:jc w:val="center"/>
              <w:rPr>
                <w:rFonts w:ascii="Arial Narrow" w:hAnsi="Arial Narrow" w:cstheme="minorHAnsi"/>
                <w:sz w:val="20"/>
                <w:szCs w:val="20"/>
                <w:highlight w:val="black"/>
              </w:rPr>
            </w:pPr>
            <w:r>
              <w:rPr>
                <w:rFonts w:ascii="Arial Narrow" w:hAnsi="Arial Narrow" w:cstheme="minorHAnsi"/>
                <w:noProof/>
                <w:color w:val="000000"/>
                <w:sz w:val="20"/>
                <w:szCs w:val="20"/>
                <w:highlight w:val="black"/>
              </w:rPr>
              <w:t>'''''''''''''''''''''''''''''''</w:t>
            </w:r>
          </w:p>
        </w:tc>
      </w:tr>
      <w:tr w:rsidR="007532B6" w:rsidRPr="00260B02" w:rsidTr="0039596F">
        <w:trPr>
          <w:trHeight w:val="255"/>
        </w:trPr>
        <w:tc>
          <w:tcPr>
            <w:tcW w:w="2126" w:type="dxa"/>
            <w:vAlign w:val="center"/>
          </w:tcPr>
          <w:p w:rsidR="007532B6" w:rsidRPr="00260B02" w:rsidRDefault="007532B6" w:rsidP="009529A5">
            <w:pPr>
              <w:pStyle w:val="Table"/>
              <w:keepNext/>
              <w:keepLines/>
              <w:rPr>
                <w:rFonts w:ascii="Arial Narrow" w:hAnsi="Arial Narrow" w:cstheme="minorHAnsi"/>
                <w:szCs w:val="20"/>
              </w:rPr>
            </w:pPr>
            <w:r w:rsidRPr="00260B02">
              <w:rPr>
                <w:rFonts w:ascii="Arial Narrow" w:hAnsi="Arial Narrow" w:cstheme="minorHAnsi"/>
                <w:szCs w:val="20"/>
              </w:rPr>
              <w:t>Overall net cost to the RPBS</w:t>
            </w:r>
          </w:p>
        </w:tc>
        <w:tc>
          <w:tcPr>
            <w:tcW w:w="1276" w:type="dxa"/>
            <w:noWrap/>
            <w:vAlign w:val="center"/>
          </w:tcPr>
          <w:p w:rsidR="007532B6" w:rsidRPr="007C50FC" w:rsidRDefault="007C50FC" w:rsidP="009529A5">
            <w:pPr>
              <w:keepNext/>
              <w:keepLines/>
              <w:jc w:val="center"/>
              <w:rPr>
                <w:rFonts w:ascii="Arial Narrow" w:hAnsi="Arial Narrow" w:cstheme="minorHAnsi"/>
                <w:sz w:val="20"/>
                <w:szCs w:val="20"/>
                <w:highlight w:val="black"/>
              </w:rPr>
            </w:pPr>
            <w:r>
              <w:rPr>
                <w:rFonts w:ascii="Arial Narrow" w:hAnsi="Arial Narrow" w:cstheme="minorHAnsi"/>
                <w:noProof/>
                <w:color w:val="000000"/>
                <w:sz w:val="20"/>
                <w:szCs w:val="20"/>
                <w:highlight w:val="black"/>
              </w:rPr>
              <w:t>'''''''''''''''''''''''''</w:t>
            </w:r>
          </w:p>
        </w:tc>
        <w:tc>
          <w:tcPr>
            <w:tcW w:w="1276" w:type="dxa"/>
            <w:noWrap/>
            <w:vAlign w:val="center"/>
          </w:tcPr>
          <w:p w:rsidR="007532B6" w:rsidRPr="007C50FC" w:rsidRDefault="007C50FC" w:rsidP="009529A5">
            <w:pPr>
              <w:keepNext/>
              <w:keepLines/>
              <w:jc w:val="center"/>
              <w:rPr>
                <w:rFonts w:ascii="Arial Narrow" w:hAnsi="Arial Narrow" w:cstheme="minorHAnsi"/>
                <w:sz w:val="20"/>
                <w:szCs w:val="20"/>
                <w:highlight w:val="black"/>
              </w:rPr>
            </w:pPr>
            <w:r>
              <w:rPr>
                <w:rFonts w:ascii="Arial Narrow" w:hAnsi="Arial Narrow" w:cstheme="minorHAnsi"/>
                <w:noProof/>
                <w:color w:val="000000"/>
                <w:sz w:val="20"/>
                <w:szCs w:val="20"/>
                <w:highlight w:val="black"/>
              </w:rPr>
              <w:t>''''''''''''''''''''''</w:t>
            </w:r>
          </w:p>
        </w:tc>
        <w:tc>
          <w:tcPr>
            <w:tcW w:w="1276" w:type="dxa"/>
            <w:noWrap/>
            <w:vAlign w:val="center"/>
          </w:tcPr>
          <w:p w:rsidR="007532B6" w:rsidRPr="007C50FC" w:rsidRDefault="007C50FC" w:rsidP="009529A5">
            <w:pPr>
              <w:keepNext/>
              <w:keepLines/>
              <w:jc w:val="center"/>
              <w:rPr>
                <w:rFonts w:ascii="Arial Narrow" w:hAnsi="Arial Narrow" w:cstheme="minorHAnsi"/>
                <w:sz w:val="20"/>
                <w:szCs w:val="20"/>
                <w:highlight w:val="black"/>
              </w:rPr>
            </w:pPr>
            <w:r>
              <w:rPr>
                <w:rFonts w:ascii="Arial Narrow" w:hAnsi="Arial Narrow" w:cstheme="minorHAnsi"/>
                <w:noProof/>
                <w:color w:val="000000"/>
                <w:sz w:val="20"/>
                <w:szCs w:val="20"/>
                <w:highlight w:val="black"/>
              </w:rPr>
              <w:t>''''''''''''''''''''''''''</w:t>
            </w:r>
          </w:p>
        </w:tc>
        <w:tc>
          <w:tcPr>
            <w:tcW w:w="1275" w:type="dxa"/>
            <w:noWrap/>
            <w:vAlign w:val="center"/>
          </w:tcPr>
          <w:p w:rsidR="007532B6" w:rsidRPr="007C50FC" w:rsidRDefault="007C50FC" w:rsidP="009529A5">
            <w:pPr>
              <w:keepNext/>
              <w:keepLines/>
              <w:jc w:val="center"/>
              <w:rPr>
                <w:rFonts w:ascii="Arial Narrow" w:hAnsi="Arial Narrow" w:cstheme="minorHAnsi"/>
                <w:sz w:val="20"/>
                <w:szCs w:val="20"/>
                <w:highlight w:val="black"/>
              </w:rPr>
            </w:pPr>
            <w:r>
              <w:rPr>
                <w:rFonts w:ascii="Arial Narrow" w:hAnsi="Arial Narrow" w:cstheme="minorHAnsi"/>
                <w:noProof/>
                <w:color w:val="000000"/>
                <w:sz w:val="20"/>
                <w:szCs w:val="20"/>
                <w:highlight w:val="black"/>
              </w:rPr>
              <w:t>'''''''''''''''''''''''</w:t>
            </w:r>
          </w:p>
        </w:tc>
        <w:tc>
          <w:tcPr>
            <w:tcW w:w="1196" w:type="dxa"/>
            <w:noWrap/>
            <w:vAlign w:val="center"/>
          </w:tcPr>
          <w:p w:rsidR="007532B6" w:rsidRPr="007C50FC" w:rsidRDefault="007C50FC" w:rsidP="009529A5">
            <w:pPr>
              <w:keepNext/>
              <w:keepLines/>
              <w:jc w:val="center"/>
              <w:rPr>
                <w:rFonts w:ascii="Arial Narrow" w:hAnsi="Arial Narrow" w:cstheme="minorHAnsi"/>
                <w:sz w:val="20"/>
                <w:szCs w:val="20"/>
                <w:highlight w:val="black"/>
              </w:rPr>
            </w:pPr>
            <w:r>
              <w:rPr>
                <w:rFonts w:ascii="Arial Narrow" w:hAnsi="Arial Narrow" w:cstheme="minorHAnsi"/>
                <w:noProof/>
                <w:color w:val="000000"/>
                <w:sz w:val="20"/>
                <w:szCs w:val="20"/>
                <w:highlight w:val="black"/>
              </w:rPr>
              <w:t>''''''''''''''''''''''</w:t>
            </w:r>
          </w:p>
        </w:tc>
      </w:tr>
      <w:tr w:rsidR="007532B6" w:rsidRPr="00260B02" w:rsidTr="0039596F">
        <w:trPr>
          <w:trHeight w:val="255"/>
        </w:trPr>
        <w:tc>
          <w:tcPr>
            <w:tcW w:w="2126" w:type="dxa"/>
            <w:vAlign w:val="center"/>
          </w:tcPr>
          <w:p w:rsidR="007532B6" w:rsidRPr="00260B02" w:rsidRDefault="007532B6" w:rsidP="009529A5">
            <w:pPr>
              <w:pStyle w:val="Table"/>
              <w:keepNext/>
              <w:keepLines/>
              <w:rPr>
                <w:rFonts w:ascii="Arial Narrow" w:hAnsi="Arial Narrow" w:cstheme="minorHAnsi"/>
                <w:szCs w:val="20"/>
              </w:rPr>
            </w:pPr>
            <w:r w:rsidRPr="00260B02">
              <w:rPr>
                <w:rFonts w:ascii="Arial Narrow" w:hAnsi="Arial Narrow" w:cstheme="minorHAnsi"/>
                <w:szCs w:val="20"/>
              </w:rPr>
              <w:t>Overall net cost to the PBS/RPBS</w:t>
            </w:r>
          </w:p>
        </w:tc>
        <w:tc>
          <w:tcPr>
            <w:tcW w:w="1276" w:type="dxa"/>
            <w:noWrap/>
            <w:vAlign w:val="center"/>
          </w:tcPr>
          <w:p w:rsidR="007532B6" w:rsidRPr="007C50FC" w:rsidRDefault="007C50FC" w:rsidP="009529A5">
            <w:pPr>
              <w:keepNext/>
              <w:keepLines/>
              <w:jc w:val="center"/>
              <w:rPr>
                <w:rFonts w:ascii="Arial Narrow" w:hAnsi="Arial Narrow" w:cstheme="minorHAnsi"/>
                <w:bCs/>
                <w:sz w:val="20"/>
                <w:szCs w:val="20"/>
                <w:highlight w:val="black"/>
              </w:rPr>
            </w:pPr>
            <w:r>
              <w:rPr>
                <w:rFonts w:ascii="Arial Narrow" w:hAnsi="Arial Narrow" w:cstheme="minorHAnsi"/>
                <w:bCs/>
                <w:noProof/>
                <w:color w:val="000000"/>
                <w:sz w:val="20"/>
                <w:szCs w:val="20"/>
                <w:highlight w:val="black"/>
              </w:rPr>
              <w:t>'''''''''''''''''''''''''''''''</w:t>
            </w:r>
          </w:p>
        </w:tc>
        <w:tc>
          <w:tcPr>
            <w:tcW w:w="1276" w:type="dxa"/>
            <w:noWrap/>
            <w:vAlign w:val="center"/>
          </w:tcPr>
          <w:p w:rsidR="007532B6" w:rsidRPr="007C50FC" w:rsidRDefault="007C50FC" w:rsidP="009529A5">
            <w:pPr>
              <w:keepNext/>
              <w:keepLines/>
              <w:jc w:val="center"/>
              <w:rPr>
                <w:rFonts w:ascii="Arial Narrow" w:hAnsi="Arial Narrow" w:cstheme="minorHAnsi"/>
                <w:bCs/>
                <w:sz w:val="20"/>
                <w:szCs w:val="20"/>
                <w:highlight w:val="black"/>
              </w:rPr>
            </w:pPr>
            <w:r>
              <w:rPr>
                <w:rFonts w:ascii="Arial Narrow" w:hAnsi="Arial Narrow" w:cstheme="minorHAnsi"/>
                <w:bCs/>
                <w:noProof/>
                <w:color w:val="000000"/>
                <w:sz w:val="20"/>
                <w:szCs w:val="20"/>
                <w:highlight w:val="black"/>
              </w:rPr>
              <w:t>'''''''''''''''''''''''''''''''''</w:t>
            </w:r>
          </w:p>
        </w:tc>
        <w:tc>
          <w:tcPr>
            <w:tcW w:w="1276" w:type="dxa"/>
            <w:noWrap/>
            <w:vAlign w:val="center"/>
          </w:tcPr>
          <w:p w:rsidR="007532B6" w:rsidRPr="007C50FC" w:rsidRDefault="007C50FC" w:rsidP="009529A5">
            <w:pPr>
              <w:keepNext/>
              <w:keepLines/>
              <w:jc w:val="center"/>
              <w:rPr>
                <w:rFonts w:ascii="Arial Narrow" w:hAnsi="Arial Narrow" w:cstheme="minorHAnsi"/>
                <w:bCs/>
                <w:sz w:val="20"/>
                <w:szCs w:val="20"/>
                <w:highlight w:val="black"/>
              </w:rPr>
            </w:pPr>
            <w:r>
              <w:rPr>
                <w:rFonts w:ascii="Arial Narrow" w:hAnsi="Arial Narrow" w:cstheme="minorHAnsi"/>
                <w:bCs/>
                <w:noProof/>
                <w:color w:val="000000"/>
                <w:sz w:val="20"/>
                <w:szCs w:val="20"/>
                <w:highlight w:val="black"/>
              </w:rPr>
              <w:t>''''''''''''''''''''''''''''''</w:t>
            </w:r>
          </w:p>
        </w:tc>
        <w:tc>
          <w:tcPr>
            <w:tcW w:w="1275" w:type="dxa"/>
            <w:noWrap/>
            <w:vAlign w:val="center"/>
          </w:tcPr>
          <w:p w:rsidR="007532B6" w:rsidRPr="007C50FC" w:rsidRDefault="007C50FC" w:rsidP="009529A5">
            <w:pPr>
              <w:keepNext/>
              <w:keepLines/>
              <w:jc w:val="center"/>
              <w:rPr>
                <w:rFonts w:ascii="Arial Narrow" w:hAnsi="Arial Narrow" w:cstheme="minorHAnsi"/>
                <w:bCs/>
                <w:sz w:val="20"/>
                <w:szCs w:val="20"/>
                <w:highlight w:val="black"/>
              </w:rPr>
            </w:pPr>
            <w:r>
              <w:rPr>
                <w:rFonts w:ascii="Arial Narrow" w:hAnsi="Arial Narrow" w:cstheme="minorHAnsi"/>
                <w:bCs/>
                <w:noProof/>
                <w:color w:val="000000"/>
                <w:sz w:val="20"/>
                <w:szCs w:val="20"/>
                <w:highlight w:val="black"/>
              </w:rPr>
              <w:t>'''''''''''''''''''''''''''''</w:t>
            </w:r>
          </w:p>
        </w:tc>
        <w:tc>
          <w:tcPr>
            <w:tcW w:w="1196" w:type="dxa"/>
            <w:noWrap/>
            <w:vAlign w:val="center"/>
          </w:tcPr>
          <w:p w:rsidR="007532B6" w:rsidRPr="007C50FC" w:rsidRDefault="007C50FC" w:rsidP="009529A5">
            <w:pPr>
              <w:keepNext/>
              <w:keepLines/>
              <w:jc w:val="center"/>
              <w:rPr>
                <w:rFonts w:ascii="Arial Narrow" w:hAnsi="Arial Narrow" w:cstheme="minorHAnsi"/>
                <w:bCs/>
                <w:sz w:val="20"/>
                <w:szCs w:val="20"/>
                <w:highlight w:val="black"/>
              </w:rPr>
            </w:pPr>
            <w:r>
              <w:rPr>
                <w:rFonts w:ascii="Arial Narrow" w:hAnsi="Arial Narrow" w:cstheme="minorHAnsi"/>
                <w:bCs/>
                <w:noProof/>
                <w:color w:val="000000"/>
                <w:sz w:val="20"/>
                <w:szCs w:val="20"/>
                <w:highlight w:val="black"/>
              </w:rPr>
              <w:t>'''''''''''''''''''''''''''''''</w:t>
            </w:r>
            <w:bookmarkStart w:id="9" w:name="_GoBack"/>
            <w:bookmarkEnd w:id="9"/>
          </w:p>
        </w:tc>
      </w:tr>
      <w:tr w:rsidR="007532B6" w:rsidRPr="00260B02" w:rsidTr="0039596F">
        <w:trPr>
          <w:trHeight w:val="255"/>
        </w:trPr>
        <w:tc>
          <w:tcPr>
            <w:tcW w:w="2126" w:type="dxa"/>
            <w:vAlign w:val="center"/>
          </w:tcPr>
          <w:p w:rsidR="007532B6" w:rsidRPr="00260B02" w:rsidRDefault="007532B6" w:rsidP="009529A5">
            <w:pPr>
              <w:pStyle w:val="Table"/>
              <w:keepNext/>
              <w:keepLines/>
              <w:rPr>
                <w:rFonts w:ascii="Arial Narrow" w:hAnsi="Arial Narrow" w:cstheme="minorHAnsi"/>
                <w:szCs w:val="20"/>
              </w:rPr>
            </w:pPr>
            <w:r w:rsidRPr="00260B02">
              <w:rPr>
                <w:rStyle w:val="SmallBold"/>
                <w:rFonts w:ascii="Arial Narrow" w:hAnsi="Arial Narrow" w:cstheme="minorHAnsi"/>
                <w:szCs w:val="20"/>
              </w:rPr>
              <w:t>Combined overall net cost to the PBS/RPBS over five years</w:t>
            </w:r>
          </w:p>
        </w:tc>
        <w:tc>
          <w:tcPr>
            <w:tcW w:w="6299" w:type="dxa"/>
            <w:gridSpan w:val="5"/>
            <w:noWrap/>
            <w:vAlign w:val="center"/>
          </w:tcPr>
          <w:p w:rsidR="007532B6" w:rsidRPr="007C50FC" w:rsidRDefault="007C50FC" w:rsidP="009529A5">
            <w:pPr>
              <w:keepNext/>
              <w:keepLines/>
              <w:jc w:val="center"/>
              <w:rPr>
                <w:rFonts w:ascii="Arial Narrow" w:hAnsi="Arial Narrow" w:cstheme="minorHAnsi"/>
                <w:sz w:val="20"/>
                <w:szCs w:val="20"/>
                <w:highlight w:val="black"/>
              </w:rPr>
            </w:pPr>
            <w:r>
              <w:rPr>
                <w:rFonts w:ascii="Arial Narrow" w:hAnsi="Arial Narrow" w:cstheme="minorHAnsi"/>
                <w:b/>
                <w:bCs/>
                <w:noProof/>
                <w:color w:val="000000"/>
                <w:sz w:val="20"/>
                <w:szCs w:val="20"/>
                <w:highlight w:val="black"/>
              </w:rPr>
              <w:t>''''''''''''''''''''''''''''</w:t>
            </w:r>
          </w:p>
        </w:tc>
      </w:tr>
    </w:tbl>
    <w:p w:rsidR="000E7762" w:rsidRPr="00260B02" w:rsidRDefault="000E7762" w:rsidP="009529A5">
      <w:pPr>
        <w:pStyle w:val="CaptionFootnote"/>
        <w:keepLines/>
        <w:ind w:firstLine="720"/>
        <w:rPr>
          <w:rFonts w:ascii="Arial Narrow" w:hAnsi="Arial Narrow" w:cstheme="minorHAnsi"/>
          <w:sz w:val="20"/>
          <w:szCs w:val="20"/>
        </w:rPr>
      </w:pPr>
      <w:r w:rsidRPr="00260B02">
        <w:rPr>
          <w:rFonts w:ascii="Arial Narrow" w:hAnsi="Arial Narrow" w:cstheme="minorHAnsi"/>
          <w:sz w:val="20"/>
          <w:szCs w:val="20"/>
        </w:rPr>
        <w:t xml:space="preserve">Source: Section E of the submission </w:t>
      </w:r>
    </w:p>
    <w:p w:rsidR="00494609" w:rsidRPr="00260B02" w:rsidRDefault="00494609" w:rsidP="009529A5">
      <w:pPr>
        <w:pStyle w:val="CaptionFootnote"/>
        <w:keepLines/>
        <w:rPr>
          <w:rFonts w:ascii="Arial Narrow" w:hAnsi="Arial Narrow" w:cstheme="minorHAnsi"/>
          <w:sz w:val="18"/>
        </w:rPr>
      </w:pPr>
    </w:p>
    <w:p w:rsidR="004600C9" w:rsidRPr="00260B02" w:rsidRDefault="004600C9" w:rsidP="004600C9">
      <w:pPr>
        <w:ind w:firstLine="720"/>
        <w:rPr>
          <w:rFonts w:ascii="Arial" w:hAnsi="Arial" w:cs="Arial"/>
          <w:snapToGrid w:val="0"/>
          <w:sz w:val="22"/>
          <w:szCs w:val="20"/>
          <w:lang w:eastAsia="en-US"/>
        </w:rPr>
      </w:pPr>
      <w:r w:rsidRPr="00260B02">
        <w:rPr>
          <w:rFonts w:ascii="Arial" w:hAnsi="Arial" w:cs="Arial"/>
          <w:snapToGrid w:val="0"/>
          <w:sz w:val="22"/>
          <w:szCs w:val="20"/>
          <w:lang w:eastAsia="en-US"/>
        </w:rPr>
        <w:t>The redacted table above shows:</w:t>
      </w:r>
    </w:p>
    <w:p w:rsidR="004600C9" w:rsidRPr="00260B02" w:rsidRDefault="004600C9" w:rsidP="004600C9">
      <w:pPr>
        <w:ind w:left="720"/>
        <w:rPr>
          <w:rFonts w:ascii="Arial" w:hAnsi="Arial" w:cs="Arial"/>
          <w:snapToGrid w:val="0"/>
          <w:sz w:val="22"/>
          <w:szCs w:val="20"/>
          <w:lang w:eastAsia="en-US"/>
        </w:rPr>
      </w:pPr>
      <w:r w:rsidRPr="00260B02">
        <w:rPr>
          <w:rFonts w:ascii="Arial" w:hAnsi="Arial" w:cs="Arial"/>
          <w:snapToGrid w:val="0"/>
          <w:sz w:val="22"/>
          <w:szCs w:val="20"/>
          <w:lang w:eastAsia="en-US"/>
        </w:rPr>
        <w:t>Estimated financial impact: Savings of $20 - $30 million per year in Year 1, increasing to savings of $30 -$60 million per year in Year 5.</w:t>
      </w:r>
    </w:p>
    <w:p w:rsidR="004600C9" w:rsidRPr="00260B02" w:rsidRDefault="004600C9" w:rsidP="009529A5">
      <w:pPr>
        <w:pStyle w:val="CaptionFootnote"/>
        <w:keepLines/>
        <w:rPr>
          <w:rFonts w:ascii="Arial Narrow" w:hAnsi="Arial Narrow" w:cstheme="minorHAnsi"/>
          <w:sz w:val="18"/>
        </w:rPr>
      </w:pPr>
    </w:p>
    <w:p w:rsidR="004600C9" w:rsidRPr="00260B02" w:rsidRDefault="004600C9" w:rsidP="009529A5">
      <w:pPr>
        <w:pStyle w:val="CaptionFootnote"/>
        <w:keepLines/>
        <w:rPr>
          <w:rFonts w:ascii="Arial Narrow" w:hAnsi="Arial Narrow" w:cstheme="minorHAnsi"/>
          <w:sz w:val="18"/>
        </w:rPr>
      </w:pPr>
    </w:p>
    <w:p w:rsidR="00F765E3" w:rsidRPr="00260B02" w:rsidRDefault="00494609" w:rsidP="00DD0588">
      <w:pPr>
        <w:pStyle w:val="ListParagraph"/>
        <w:numPr>
          <w:ilvl w:val="1"/>
          <w:numId w:val="25"/>
        </w:numPr>
        <w:jc w:val="both"/>
        <w:rPr>
          <w:rFonts w:ascii="Arial" w:hAnsi="Arial"/>
          <w:i/>
          <w:sz w:val="22"/>
          <w:szCs w:val="22"/>
        </w:rPr>
      </w:pPr>
      <w:r w:rsidRPr="00260B02">
        <w:rPr>
          <w:rFonts w:ascii="Arial" w:hAnsi="Arial"/>
          <w:sz w:val="22"/>
          <w:szCs w:val="22"/>
        </w:rPr>
        <w:t>The costs were estimated using a DPMQ of $</w:t>
      </w:r>
      <w:r w:rsidR="007C50FC">
        <w:rPr>
          <w:rFonts w:ascii="Arial" w:hAnsi="Arial"/>
          <w:noProof/>
          <w:color w:val="000000"/>
          <w:sz w:val="22"/>
          <w:szCs w:val="22"/>
          <w:highlight w:val="black"/>
        </w:rPr>
        <w:t>''''''''''''''''''</w:t>
      </w:r>
      <w:r w:rsidR="005A7242" w:rsidRPr="00260B02">
        <w:rPr>
          <w:rFonts w:ascii="Arial" w:hAnsi="Arial"/>
          <w:sz w:val="22"/>
          <w:szCs w:val="22"/>
        </w:rPr>
        <w:t xml:space="preserve"> per script of Basaglar (5 </w:t>
      </w:r>
      <w:r w:rsidRPr="00260B02">
        <w:rPr>
          <w:rFonts w:ascii="Arial" w:hAnsi="Arial"/>
          <w:sz w:val="22"/>
          <w:szCs w:val="22"/>
        </w:rPr>
        <w:t>packs containing 5 x 3mL cartridges/pens),</w:t>
      </w:r>
      <w:r w:rsidR="0039596F" w:rsidRPr="00260B02">
        <w:rPr>
          <w:rFonts w:ascii="Arial" w:hAnsi="Arial"/>
          <w:sz w:val="22"/>
          <w:szCs w:val="22"/>
        </w:rPr>
        <w:t xml:space="preserve"> which include</w:t>
      </w:r>
      <w:r w:rsidR="005A7242" w:rsidRPr="00260B02">
        <w:rPr>
          <w:rFonts w:ascii="Arial" w:hAnsi="Arial"/>
          <w:sz w:val="22"/>
          <w:szCs w:val="22"/>
        </w:rPr>
        <w:t>d</w:t>
      </w:r>
      <w:r w:rsidR="0039596F" w:rsidRPr="00260B02">
        <w:rPr>
          <w:rFonts w:ascii="Arial" w:hAnsi="Arial"/>
          <w:sz w:val="22"/>
          <w:szCs w:val="22"/>
        </w:rPr>
        <w:t xml:space="preserve"> the</w:t>
      </w:r>
      <w:r w:rsidR="00DD2F74" w:rsidRPr="00260B02">
        <w:rPr>
          <w:rFonts w:ascii="Arial" w:hAnsi="Arial"/>
          <w:sz w:val="22"/>
          <w:szCs w:val="22"/>
        </w:rPr>
        <w:t xml:space="preserve"> 16% price reduction that would be triggered upon listing Basaglar. </w:t>
      </w:r>
    </w:p>
    <w:p w:rsidR="000E7762" w:rsidRPr="00260B02" w:rsidRDefault="000E7762" w:rsidP="007B6795">
      <w:pPr>
        <w:jc w:val="both"/>
        <w:rPr>
          <w:rFonts w:ascii="Arial" w:hAnsi="Arial"/>
          <w:sz w:val="22"/>
          <w:szCs w:val="22"/>
        </w:rPr>
      </w:pPr>
    </w:p>
    <w:p w:rsidR="00B92A16" w:rsidRPr="00260B02" w:rsidRDefault="00B92A16" w:rsidP="00B92A16">
      <w:pPr>
        <w:pStyle w:val="ListParagraph"/>
        <w:ind w:left="360" w:firstLine="349"/>
        <w:rPr>
          <w:rFonts w:ascii="Arial" w:hAnsi="Arial" w:cs="Arial"/>
          <w:i/>
          <w:sz w:val="22"/>
          <w:szCs w:val="22"/>
        </w:rPr>
      </w:pPr>
      <w:r w:rsidRPr="00260B02">
        <w:rPr>
          <w:rFonts w:ascii="Arial" w:hAnsi="Arial" w:cs="Arial"/>
          <w:i/>
          <w:sz w:val="22"/>
          <w:szCs w:val="22"/>
        </w:rPr>
        <w:t>For more detail on PBAC’s view, see section 7 “PBAC outcome”</w:t>
      </w:r>
    </w:p>
    <w:p w:rsidR="00B92A16" w:rsidRPr="00260B02" w:rsidRDefault="00B92A16" w:rsidP="007B6795">
      <w:pPr>
        <w:jc w:val="both"/>
        <w:rPr>
          <w:rFonts w:ascii="Arial" w:hAnsi="Arial"/>
          <w:sz w:val="22"/>
          <w:szCs w:val="22"/>
        </w:rPr>
      </w:pPr>
    </w:p>
    <w:p w:rsidR="00B92A16" w:rsidRPr="00260B02" w:rsidRDefault="00B92A16" w:rsidP="00D30CA9">
      <w:pPr>
        <w:pStyle w:val="PBACheading1"/>
      </w:pPr>
      <w:r w:rsidRPr="00260B02">
        <w:t xml:space="preserve">PBAC Outcome </w:t>
      </w:r>
    </w:p>
    <w:p w:rsidR="00A555F9" w:rsidRPr="00260B02" w:rsidRDefault="00A555F9" w:rsidP="004203A4">
      <w:pPr>
        <w:pStyle w:val="PBACHeading10"/>
        <w:keepNext/>
        <w:keepLines/>
        <w:ind w:left="360" w:firstLine="0"/>
      </w:pPr>
    </w:p>
    <w:p w:rsidR="00B92A16" w:rsidRPr="00260B02" w:rsidRDefault="00B92A16" w:rsidP="00DD0588">
      <w:pPr>
        <w:pStyle w:val="ListParagraph"/>
        <w:numPr>
          <w:ilvl w:val="1"/>
          <w:numId w:val="25"/>
        </w:numPr>
        <w:jc w:val="both"/>
        <w:rPr>
          <w:rFonts w:ascii="Arial" w:hAnsi="Arial" w:cs="Arial"/>
          <w:sz w:val="22"/>
          <w:szCs w:val="22"/>
        </w:rPr>
      </w:pPr>
      <w:r w:rsidRPr="00260B02">
        <w:rPr>
          <w:rFonts w:ascii="Arial" w:hAnsi="Arial" w:cs="Arial"/>
          <w:sz w:val="22"/>
          <w:szCs w:val="22"/>
        </w:rPr>
        <w:t>The PBAC recommended the</w:t>
      </w:r>
      <w:r w:rsidR="00F8207F" w:rsidRPr="00260B02">
        <w:rPr>
          <w:rFonts w:ascii="Arial" w:hAnsi="Arial" w:cs="Arial"/>
          <w:sz w:val="22"/>
          <w:szCs w:val="22"/>
        </w:rPr>
        <w:t xml:space="preserve"> unrestricted benefit </w:t>
      </w:r>
      <w:r w:rsidRPr="00260B02">
        <w:rPr>
          <w:rFonts w:ascii="Arial" w:hAnsi="Arial" w:cs="Arial"/>
          <w:sz w:val="22"/>
          <w:szCs w:val="22"/>
        </w:rPr>
        <w:t>listing of</w:t>
      </w:r>
      <w:r w:rsidR="001E7ADC" w:rsidRPr="00260B02">
        <w:rPr>
          <w:rFonts w:ascii="Arial" w:hAnsi="Arial" w:cs="Arial"/>
          <w:sz w:val="22"/>
          <w:szCs w:val="22"/>
        </w:rPr>
        <w:t xml:space="preserve"> the </w:t>
      </w:r>
      <w:r w:rsidR="007E0EA4" w:rsidRPr="00260B02">
        <w:rPr>
          <w:rFonts w:ascii="Arial" w:hAnsi="Arial" w:cs="Arial"/>
          <w:sz w:val="22"/>
          <w:szCs w:val="22"/>
        </w:rPr>
        <w:t>biosimilar</w:t>
      </w:r>
      <w:r w:rsidRPr="00260B02">
        <w:rPr>
          <w:rFonts w:ascii="Arial" w:hAnsi="Arial" w:cs="Arial"/>
          <w:sz w:val="22"/>
          <w:szCs w:val="22"/>
        </w:rPr>
        <w:t xml:space="preserve"> </w:t>
      </w:r>
      <w:r w:rsidR="009C254B" w:rsidRPr="00260B02">
        <w:rPr>
          <w:rFonts w:ascii="Arial" w:hAnsi="Arial" w:cs="Arial"/>
          <w:sz w:val="22"/>
          <w:szCs w:val="22"/>
        </w:rPr>
        <w:t xml:space="preserve">insulin glargine </w:t>
      </w:r>
      <w:r w:rsidR="00680DF6" w:rsidRPr="00260B02">
        <w:rPr>
          <w:rFonts w:ascii="Arial" w:hAnsi="Arial" w:cs="Arial"/>
          <w:sz w:val="22"/>
          <w:szCs w:val="22"/>
        </w:rPr>
        <w:t>Basaglar</w:t>
      </w:r>
      <w:r w:rsidR="009C254B" w:rsidRPr="00260B02">
        <w:rPr>
          <w:rFonts w:ascii="Arial" w:hAnsi="Arial" w:cs="Arial"/>
          <w:sz w:val="22"/>
          <w:szCs w:val="22"/>
          <w:vertAlign w:val="superscript"/>
        </w:rPr>
        <w:t>®</w:t>
      </w:r>
      <w:r w:rsidR="00F8207F" w:rsidRPr="00260B02">
        <w:rPr>
          <w:rFonts w:ascii="Arial" w:hAnsi="Arial" w:cs="Arial"/>
          <w:sz w:val="22"/>
          <w:szCs w:val="22"/>
        </w:rPr>
        <w:t xml:space="preserve"> for the treatment of type 1</w:t>
      </w:r>
      <w:r w:rsidR="00047D6B" w:rsidRPr="00260B02">
        <w:rPr>
          <w:rFonts w:ascii="Arial" w:hAnsi="Arial" w:cs="Arial"/>
          <w:sz w:val="22"/>
          <w:szCs w:val="22"/>
        </w:rPr>
        <w:t xml:space="preserve"> </w:t>
      </w:r>
      <w:r w:rsidR="00F8207F" w:rsidRPr="00260B02">
        <w:rPr>
          <w:rFonts w:ascii="Arial" w:hAnsi="Arial" w:cs="Arial"/>
          <w:sz w:val="22"/>
          <w:szCs w:val="22"/>
        </w:rPr>
        <w:t>and 2 diabetes mellitus on</w:t>
      </w:r>
      <w:r w:rsidR="00C52B49" w:rsidRPr="00260B02">
        <w:rPr>
          <w:rFonts w:ascii="Arial" w:hAnsi="Arial" w:cs="Arial"/>
          <w:sz w:val="22"/>
          <w:szCs w:val="22"/>
        </w:rPr>
        <w:t xml:space="preserve"> a</w:t>
      </w:r>
      <w:r w:rsidR="00F8207F" w:rsidRPr="00260B02">
        <w:rPr>
          <w:rFonts w:ascii="Arial" w:hAnsi="Arial" w:cs="Arial"/>
          <w:sz w:val="22"/>
          <w:szCs w:val="22"/>
        </w:rPr>
        <w:t xml:space="preserve"> cost-minimisation </w:t>
      </w:r>
      <w:r w:rsidR="00047D6B" w:rsidRPr="00260B02">
        <w:rPr>
          <w:rFonts w:ascii="Arial" w:hAnsi="Arial" w:cs="Arial"/>
          <w:sz w:val="22"/>
          <w:szCs w:val="22"/>
        </w:rPr>
        <w:t>basis</w:t>
      </w:r>
      <w:r w:rsidR="00A555F9" w:rsidRPr="00260B02">
        <w:rPr>
          <w:rFonts w:ascii="Arial" w:hAnsi="Arial" w:cs="Arial"/>
          <w:sz w:val="22"/>
          <w:szCs w:val="22"/>
        </w:rPr>
        <w:t xml:space="preserve"> with </w:t>
      </w:r>
      <w:r w:rsidR="001E7ADC" w:rsidRPr="00260B02">
        <w:rPr>
          <w:rFonts w:ascii="Arial" w:hAnsi="Arial" w:cs="Arial"/>
          <w:sz w:val="22"/>
          <w:szCs w:val="22"/>
        </w:rPr>
        <w:t xml:space="preserve">insulin glargine </w:t>
      </w:r>
      <w:r w:rsidR="00A555F9" w:rsidRPr="00260B02">
        <w:rPr>
          <w:rFonts w:ascii="Arial" w:hAnsi="Arial" w:cs="Arial"/>
          <w:sz w:val="22"/>
          <w:szCs w:val="22"/>
        </w:rPr>
        <w:t>Lantus</w:t>
      </w:r>
      <w:r w:rsidR="00F8207F" w:rsidRPr="00260B02">
        <w:rPr>
          <w:rFonts w:ascii="Arial" w:hAnsi="Arial" w:cs="Arial"/>
          <w:sz w:val="22"/>
          <w:szCs w:val="22"/>
        </w:rPr>
        <w:t>. The</w:t>
      </w:r>
      <w:r w:rsidR="008D663C" w:rsidRPr="00260B02">
        <w:rPr>
          <w:rFonts w:ascii="Arial" w:hAnsi="Arial" w:cs="Arial"/>
          <w:sz w:val="22"/>
          <w:szCs w:val="22"/>
        </w:rPr>
        <w:t xml:space="preserve"> equi</w:t>
      </w:r>
      <w:r w:rsidR="008D663C" w:rsidRPr="00260B02">
        <w:rPr>
          <w:rFonts w:ascii="Arial" w:hAnsi="Arial" w:cs="Arial"/>
          <w:sz w:val="22"/>
          <w:szCs w:val="22"/>
        </w:rPr>
        <w:noBreakHyphen/>
      </w:r>
      <w:r w:rsidR="00680DF6" w:rsidRPr="00260B02">
        <w:rPr>
          <w:rFonts w:ascii="Arial" w:hAnsi="Arial" w:cs="Arial"/>
          <w:sz w:val="22"/>
          <w:szCs w:val="22"/>
        </w:rPr>
        <w:t>effective dose</w:t>
      </w:r>
      <w:r w:rsidR="00F8207F" w:rsidRPr="00260B02">
        <w:rPr>
          <w:rFonts w:ascii="Arial" w:hAnsi="Arial" w:cs="Arial"/>
          <w:sz w:val="22"/>
          <w:szCs w:val="22"/>
        </w:rPr>
        <w:t>s are</w:t>
      </w:r>
      <w:r w:rsidR="00680DF6" w:rsidRPr="00260B02">
        <w:rPr>
          <w:rFonts w:ascii="Arial" w:hAnsi="Arial" w:cs="Arial"/>
          <w:sz w:val="22"/>
          <w:szCs w:val="22"/>
        </w:rPr>
        <w:t xml:space="preserve"> 100 IU/m</w:t>
      </w:r>
      <w:r w:rsidR="00F8207F" w:rsidRPr="00260B02">
        <w:rPr>
          <w:rFonts w:ascii="Arial" w:hAnsi="Arial" w:cs="Arial"/>
          <w:sz w:val="22"/>
          <w:szCs w:val="22"/>
        </w:rPr>
        <w:t>L</w:t>
      </w:r>
      <w:r w:rsidR="00680DF6" w:rsidRPr="00260B02">
        <w:rPr>
          <w:rFonts w:ascii="Arial" w:hAnsi="Arial" w:cs="Arial"/>
          <w:sz w:val="22"/>
          <w:szCs w:val="22"/>
        </w:rPr>
        <w:t xml:space="preserve"> Basaglar </w:t>
      </w:r>
      <w:r w:rsidR="009C254B" w:rsidRPr="00260B02">
        <w:rPr>
          <w:rFonts w:ascii="Arial" w:hAnsi="Arial" w:cs="Arial"/>
          <w:sz w:val="22"/>
          <w:szCs w:val="22"/>
        </w:rPr>
        <w:t>and</w:t>
      </w:r>
      <w:r w:rsidR="00680DF6" w:rsidRPr="00260B02">
        <w:rPr>
          <w:rFonts w:ascii="Arial" w:hAnsi="Arial" w:cs="Arial"/>
          <w:sz w:val="22"/>
          <w:szCs w:val="22"/>
        </w:rPr>
        <w:t xml:space="preserve"> 10</w:t>
      </w:r>
      <w:r w:rsidR="00F8207F" w:rsidRPr="00260B02">
        <w:rPr>
          <w:rFonts w:ascii="Arial" w:hAnsi="Arial" w:cs="Arial"/>
          <w:sz w:val="22"/>
          <w:szCs w:val="22"/>
        </w:rPr>
        <w:t>0</w:t>
      </w:r>
      <w:r w:rsidR="00680DF6" w:rsidRPr="00260B02">
        <w:rPr>
          <w:rFonts w:ascii="Arial" w:hAnsi="Arial" w:cs="Arial"/>
          <w:sz w:val="22"/>
          <w:szCs w:val="22"/>
        </w:rPr>
        <w:t xml:space="preserve"> IU/mL Lantus. </w:t>
      </w:r>
      <w:r w:rsidRPr="00260B02">
        <w:rPr>
          <w:rFonts w:ascii="Arial" w:hAnsi="Arial" w:cs="Arial"/>
          <w:sz w:val="22"/>
          <w:szCs w:val="22"/>
        </w:rPr>
        <w:t xml:space="preserve"> </w:t>
      </w:r>
    </w:p>
    <w:p w:rsidR="00B92A16" w:rsidRPr="00260B02" w:rsidRDefault="00B92A16" w:rsidP="00303B39">
      <w:pPr>
        <w:contextualSpacing/>
        <w:rPr>
          <w:rFonts w:ascii="Arial" w:hAnsi="Arial" w:cs="Arial"/>
          <w:sz w:val="22"/>
          <w:szCs w:val="22"/>
        </w:rPr>
      </w:pPr>
    </w:p>
    <w:p w:rsidR="00E31460" w:rsidRPr="00260B02" w:rsidRDefault="00A555F9" w:rsidP="00DD0588">
      <w:pPr>
        <w:pStyle w:val="ListParagraph"/>
        <w:numPr>
          <w:ilvl w:val="1"/>
          <w:numId w:val="25"/>
        </w:numPr>
        <w:jc w:val="both"/>
        <w:rPr>
          <w:rFonts w:ascii="Arial" w:hAnsi="Arial" w:cs="Arial"/>
          <w:sz w:val="22"/>
          <w:szCs w:val="22"/>
        </w:rPr>
      </w:pPr>
      <w:r w:rsidRPr="00260B02">
        <w:rPr>
          <w:rFonts w:ascii="Arial" w:hAnsi="Arial" w:cs="Arial"/>
          <w:sz w:val="22"/>
          <w:szCs w:val="22"/>
        </w:rPr>
        <w:t xml:space="preserve">The PBAC </w:t>
      </w:r>
      <w:r w:rsidR="009C254B" w:rsidRPr="00260B02">
        <w:rPr>
          <w:rFonts w:ascii="Arial" w:hAnsi="Arial" w:cs="Arial"/>
          <w:sz w:val="22"/>
          <w:szCs w:val="22"/>
        </w:rPr>
        <w:t>considered that the claim of</w:t>
      </w:r>
      <w:r w:rsidR="00303B39" w:rsidRPr="00260B02">
        <w:rPr>
          <w:rFonts w:ascii="Arial" w:hAnsi="Arial" w:cs="Arial"/>
          <w:sz w:val="22"/>
          <w:szCs w:val="22"/>
        </w:rPr>
        <w:t xml:space="preserve"> non-inferior comparative effectiveness and no</w:t>
      </w:r>
      <w:r w:rsidR="008B356A" w:rsidRPr="00260B02">
        <w:rPr>
          <w:rFonts w:ascii="Arial" w:hAnsi="Arial" w:cs="Arial"/>
          <w:sz w:val="22"/>
          <w:szCs w:val="22"/>
        </w:rPr>
        <w:t>n</w:t>
      </w:r>
      <w:r w:rsidR="008D663C" w:rsidRPr="00260B02">
        <w:rPr>
          <w:rFonts w:ascii="Arial" w:hAnsi="Arial" w:cs="Arial"/>
          <w:sz w:val="22"/>
          <w:szCs w:val="22"/>
        </w:rPr>
        <w:noBreakHyphen/>
      </w:r>
      <w:r w:rsidR="00303B39" w:rsidRPr="00260B02">
        <w:rPr>
          <w:rFonts w:ascii="Arial" w:hAnsi="Arial" w:cs="Arial"/>
          <w:sz w:val="22"/>
          <w:szCs w:val="22"/>
        </w:rPr>
        <w:t>inferior comparative</w:t>
      </w:r>
      <w:r w:rsidR="009C254B" w:rsidRPr="00260B02">
        <w:rPr>
          <w:rFonts w:ascii="Arial" w:hAnsi="Arial" w:cs="Arial"/>
          <w:sz w:val="22"/>
          <w:szCs w:val="22"/>
        </w:rPr>
        <w:t xml:space="preserve"> safety</w:t>
      </w:r>
      <w:r w:rsidR="00303B39" w:rsidRPr="00260B02">
        <w:rPr>
          <w:rFonts w:ascii="Arial" w:hAnsi="Arial" w:cs="Arial"/>
          <w:sz w:val="22"/>
          <w:szCs w:val="22"/>
        </w:rPr>
        <w:t xml:space="preserve"> </w:t>
      </w:r>
      <w:r w:rsidR="009C254B" w:rsidRPr="00260B02">
        <w:rPr>
          <w:rFonts w:ascii="Arial" w:hAnsi="Arial" w:cs="Arial"/>
          <w:sz w:val="22"/>
          <w:szCs w:val="22"/>
        </w:rPr>
        <w:t>was</w:t>
      </w:r>
      <w:r w:rsidRPr="00260B02">
        <w:rPr>
          <w:rFonts w:ascii="Arial" w:hAnsi="Arial" w:cs="Arial"/>
          <w:sz w:val="22"/>
          <w:szCs w:val="22"/>
        </w:rPr>
        <w:t xml:space="preserve"> adequately supported. </w:t>
      </w:r>
      <w:r w:rsidR="009C254B" w:rsidRPr="00260B02">
        <w:rPr>
          <w:rFonts w:ascii="Arial" w:hAnsi="Arial" w:cs="Arial"/>
          <w:sz w:val="22"/>
          <w:szCs w:val="22"/>
        </w:rPr>
        <w:t xml:space="preserve">The </w:t>
      </w:r>
      <w:r w:rsidR="006B3954" w:rsidRPr="00260B02">
        <w:rPr>
          <w:rFonts w:ascii="Arial" w:hAnsi="Arial" w:cs="Arial"/>
          <w:sz w:val="22"/>
          <w:szCs w:val="22"/>
        </w:rPr>
        <w:t xml:space="preserve">PBAC noted that the </w:t>
      </w:r>
      <w:r w:rsidR="009C254B" w:rsidRPr="00260B02">
        <w:rPr>
          <w:rFonts w:ascii="Arial" w:hAnsi="Arial" w:cs="Arial"/>
          <w:sz w:val="22"/>
          <w:szCs w:val="22"/>
        </w:rPr>
        <w:t xml:space="preserve">ACPM was satisfied that the submitted data (including </w:t>
      </w:r>
      <w:r w:rsidR="00C036C7" w:rsidRPr="00260B02">
        <w:rPr>
          <w:rFonts w:ascii="Arial" w:hAnsi="Arial" w:cs="Arial"/>
          <w:sz w:val="22"/>
          <w:szCs w:val="22"/>
        </w:rPr>
        <w:t xml:space="preserve">from the clinical trials </w:t>
      </w:r>
      <w:r w:rsidR="009C254B" w:rsidRPr="00260B02">
        <w:rPr>
          <w:rFonts w:ascii="Arial" w:hAnsi="Arial" w:cs="Arial"/>
          <w:sz w:val="22"/>
          <w:szCs w:val="22"/>
        </w:rPr>
        <w:t>ABEB and ABEC) showed that Basaglar is similar to Lantus in terms of efficacy and safety</w:t>
      </w:r>
      <w:r w:rsidR="006B3954" w:rsidRPr="00260B02">
        <w:rPr>
          <w:rFonts w:ascii="Arial" w:hAnsi="Arial" w:cs="Arial"/>
          <w:sz w:val="22"/>
          <w:szCs w:val="22"/>
        </w:rPr>
        <w:t>,</w:t>
      </w:r>
      <w:r w:rsidR="009C254B" w:rsidRPr="00260B02">
        <w:rPr>
          <w:rFonts w:ascii="Arial" w:hAnsi="Arial" w:cs="Arial"/>
          <w:sz w:val="22"/>
          <w:szCs w:val="22"/>
        </w:rPr>
        <w:t xml:space="preserve"> and </w:t>
      </w:r>
      <w:r w:rsidR="006B3954" w:rsidRPr="00260B02">
        <w:rPr>
          <w:rFonts w:ascii="Arial" w:hAnsi="Arial" w:cs="Arial"/>
          <w:sz w:val="22"/>
          <w:szCs w:val="22"/>
        </w:rPr>
        <w:t xml:space="preserve">further noted that </w:t>
      </w:r>
      <w:r w:rsidR="009C254B" w:rsidRPr="00260B02">
        <w:rPr>
          <w:rFonts w:ascii="Arial" w:hAnsi="Arial" w:cs="Arial"/>
          <w:sz w:val="22"/>
          <w:szCs w:val="22"/>
        </w:rPr>
        <w:t xml:space="preserve">the TGA registered Basaglar as a biosimilar medicine. </w:t>
      </w:r>
    </w:p>
    <w:p w:rsidR="00C036C7" w:rsidRPr="00260B02" w:rsidRDefault="00C036C7" w:rsidP="00407231">
      <w:pPr>
        <w:pStyle w:val="ListParagraph"/>
        <w:rPr>
          <w:rFonts w:ascii="Arial" w:hAnsi="Arial" w:cs="Arial"/>
          <w:sz w:val="22"/>
          <w:szCs w:val="22"/>
        </w:rPr>
      </w:pPr>
    </w:p>
    <w:p w:rsidR="00FA6D96" w:rsidRPr="007C50FC" w:rsidRDefault="007C50FC" w:rsidP="00DD0588">
      <w:pPr>
        <w:pStyle w:val="ListParagraph"/>
        <w:numPr>
          <w:ilvl w:val="1"/>
          <w:numId w:val="25"/>
        </w:numPr>
        <w:jc w:val="both"/>
        <w:rPr>
          <w:rFonts w:ascii="Arial" w:hAnsi="Arial" w:cs="Arial"/>
          <w:sz w:val="22"/>
          <w:szCs w:val="22"/>
        </w:rPr>
      </w:pPr>
      <w:r>
        <w:rPr>
          <w:rFonts w:ascii="Arial" w:hAnsi="Arial" w:cs="Arial"/>
          <w:noProof/>
          <w:color w:val="000000"/>
          <w:sz w:val="22"/>
          <w:szCs w:val="22"/>
          <w:highlight w:val="black"/>
        </w:rPr>
        <w:t>'''''''''' ''''''''''''''' ''''''''''''''' '''''''''''''''''' '''''''' '''''''''''''''''''' '''''''''' '''' ''''''''''''''''''''''' ''''''' ''''''''''''''''''' ''''''''' '''''''''''''''' ''''''''''''''''' ''''' ''''''''''''''' ''''''''''''''''' '''''''''''''''''''''''' ''''''''''''' '''''' '''''''''''''''''''' '''''' ''''''''''''''''''''''''''' ''''' ''''''' '''''''''''''''''''''''' '''''' '''''''' '''''''''''''''''''''''' ''''' '''''''''''''''''''''''''' '''''' ''''''' ''''''''''''''''''''''' '''' ''''''''' ''''''''''' ''''' ''''''''''''''''''''''''' ''''''''''''''''' ''''''' '''''''''''''' '''''''''''''''''' ''''''''' ''''''''''''''''''''' '''''''''''''''''''' '''''''''' ''''''''''''''' ''''''''''''''''''</w:t>
      </w:r>
      <w:r>
        <w:rPr>
          <w:noProof/>
          <w:color w:val="000000"/>
          <w:highlight w:val="black"/>
        </w:rPr>
        <w:t xml:space="preserve"> </w:t>
      </w:r>
      <w:r>
        <w:rPr>
          <w:rFonts w:ascii="Arial" w:hAnsi="Arial" w:cs="Arial"/>
          <w:noProof/>
          <w:color w:val="000000"/>
          <w:sz w:val="22"/>
          <w:szCs w:val="22"/>
          <w:highlight w:val="black"/>
        </w:rPr>
        <w:t>''''''''''''''''' '''' '''''''''''''''' ''''''''''''''''''' '''''''''''''''''''' ''''''''''''''''''''''''''' '''''''''''' '''''''''''''' '''''''''' '''''' ''''''''''''''''''' ''''' '''''''''''''''''''''''''' ''''' ''''''''' ''''''''''''''''''''''' ''''''' ''''''' '''''''''''''''''''''''' '''' '''''''''''''''''''''''''''' ''''''''''''''''''''' ''''''' ''''''''''''''' '''''''''''''''''''''''' ''''''''' ''''''' ''''''''''''''''''''''''' '''''''''''''''''''''' ''''''' '''''''''''''''''''''''' '''''''' ''''''''' ''''' ''''''''''''''''''''' ''''''''''''''' ''''''''''''''' '''''''''''''''''''' ''''''''''''''''''''''' '''''''''''' ''''''''''''' ''''''''''''''''''''''' ''''' '''''''''''''''''''''' ''''''''''''''''''''''''''''' ''''''''''''''''''''' ''''''''''''''''''''''''' '''''''''' '''''''''''''''''' '''''''''''''''''''''''''' ''''''''''''</w:t>
      </w:r>
    </w:p>
    <w:p w:rsidR="00FA6D96" w:rsidRPr="007C50FC" w:rsidRDefault="00FA6D96" w:rsidP="00407231">
      <w:pPr>
        <w:pStyle w:val="ListParagraph"/>
        <w:rPr>
          <w:rFonts w:ascii="Arial" w:hAnsi="Arial" w:cs="Arial"/>
          <w:sz w:val="22"/>
          <w:szCs w:val="22"/>
        </w:rPr>
      </w:pPr>
    </w:p>
    <w:p w:rsidR="00FA6D96" w:rsidRPr="007C50FC" w:rsidRDefault="007C50FC" w:rsidP="007C50FC">
      <w:pPr>
        <w:ind w:left="720" w:hanging="720"/>
        <w:jc w:val="both"/>
        <w:rPr>
          <w:rFonts w:ascii="Arial" w:hAnsi="Arial" w:cs="Arial"/>
          <w:sz w:val="22"/>
          <w:szCs w:val="22"/>
          <w:highlight w:val="black"/>
        </w:rPr>
      </w:pPr>
      <w:r>
        <w:rPr>
          <w:rFonts w:ascii="Arial" w:hAnsi="Arial" w:cs="Arial"/>
          <w:noProof/>
          <w:color w:val="000000"/>
          <w:sz w:val="22"/>
          <w:szCs w:val="22"/>
          <w:highlight w:val="black"/>
        </w:rPr>
        <w:t xml:space="preserve">''''''''''' ''''''''''''''''' '''''' '''''''''' '''''' ''''''''''''' ''''''''''''''''''''''''''''' '''''''' '''''''''''''''''''''''' ''''''' ''''''''''''''' ''''''''''''''''''''''' ''' '''''''''''''' ''''' '''''''''''''''''' ''''''''''''''''''' '''''''''' '''''''''''''''''' '''''''''''''''''''''' '''' '''''''''''''''''''''''' ''''''''''''''''''' ''''''''''''''''''' </w:t>
      </w:r>
      <w:r>
        <w:rPr>
          <w:rFonts w:ascii="Arial" w:hAnsi="Arial" w:cs="Arial"/>
          <w:noProof/>
          <w:color w:val="000000"/>
          <w:sz w:val="22"/>
          <w:szCs w:val="22"/>
          <w:highlight w:val="black"/>
        </w:rPr>
        <w:lastRenderedPageBreak/>
        <w:t>'''''''''''''''''''''''''''''''' ''''' '''''''''''''''''''''' ''''''''''''''''''''''''''''' ''''''''' '''''''''' '''''''''''' '''''''''''''''' '''''''''''''''' ''''''''''''''''''' ''''' ''''''''''''''' ''''''''''''''''' '''''' ''''''''''''''' '''''''''''' '''''''''''''''''''''''''''''''' ''''''''''' '''''''''' '''''''''''''''''''''''' ''''''' '''''''''''''''''''''' ''''''''' '''' '''''''''''''''''''''''' ''''''''''''''' ''''' ''''''''''''''''''' ''''' ''''''''''' '''''''' ''''''''''''''' '''''''''''''' ''''''''''''' '''''''' ''''''''''''''''''''''''''''''''' ''''''''''' '''''''''' '''''''''' '''' ''''''''''''''''''''' ''''''''''''''''''''' ''''''''''' ''''''''''''''' ''''' '''''''''''''''''''''' ''''' '''''''' ''''''''''''''''''''' ''''''''' ''''' ''''''' '''''''''''''' '''''''''' ''''''''''''''' ''''''''''' ''''''''''''''''''''''''''' '''''''''''''' '''''''' '''''''''''''''''''' ''''''''''''''''''''''' '''''''''''''''' '''''''''''' ''''''''''</w:t>
      </w:r>
    </w:p>
    <w:p w:rsidR="00C3346E" w:rsidRPr="007C50FC" w:rsidRDefault="00C3346E" w:rsidP="00C3346E">
      <w:pPr>
        <w:keepNext/>
        <w:keepLines/>
        <w:jc w:val="both"/>
        <w:rPr>
          <w:rFonts w:ascii="Arial" w:hAnsi="Arial" w:cs="Arial"/>
          <w:sz w:val="22"/>
          <w:szCs w:val="22"/>
        </w:rPr>
      </w:pPr>
    </w:p>
    <w:p w:rsidR="007A5BE0" w:rsidRPr="007C50FC" w:rsidRDefault="007C50FC" w:rsidP="007C50FC">
      <w:pPr>
        <w:ind w:left="720" w:hanging="720"/>
        <w:jc w:val="both"/>
        <w:rPr>
          <w:rFonts w:ascii="Arial" w:hAnsi="Arial" w:cs="Arial"/>
          <w:sz w:val="22"/>
          <w:szCs w:val="22"/>
          <w:highlight w:val="black"/>
        </w:rPr>
      </w:pPr>
      <w:r>
        <w:rPr>
          <w:rFonts w:ascii="Arial" w:hAnsi="Arial" w:cs="Arial"/>
          <w:noProof/>
          <w:color w:val="000000"/>
          <w:sz w:val="22"/>
          <w:szCs w:val="22"/>
          <w:highlight w:val="black"/>
        </w:rPr>
        <w:t>'''''''''''''''' '''''''''''''''' '''''''''''' ''''''''''</w:t>
      </w:r>
    </w:p>
    <w:p w:rsidR="00CC512C" w:rsidRPr="007C50FC" w:rsidRDefault="007C50FC" w:rsidP="007C50FC">
      <w:pPr>
        <w:ind w:left="1440" w:hanging="360"/>
        <w:jc w:val="both"/>
        <w:rPr>
          <w:rFonts w:ascii="Arial" w:hAnsi="Arial" w:cs="Arial"/>
          <w:sz w:val="22"/>
          <w:szCs w:val="22"/>
          <w:highlight w:val="black"/>
        </w:rPr>
      </w:pPr>
      <w:r>
        <w:rPr>
          <w:rFonts w:ascii="Arial" w:hAnsi="Arial" w:cs="Arial"/>
          <w:noProof/>
          <w:color w:val="000000"/>
          <w:sz w:val="22"/>
          <w:szCs w:val="22"/>
          <w:highlight w:val="black"/>
        </w:rPr>
        <w:t>''''''''''' '''''''''''''''' ''''''''''' '''''''''''''''' ''''''''''''''''''''''''' '''''' ''''''''''''''''''''' '''''''''''''' ''''''''' ''''''' '''''''''''''''''''''''''''''' ''''' ''''''''''''''' '''''''''' ''''''''''''''''''''''' '''''' '''''''''' ''''''''''''''' ''''''''''''''' '''''''''' '''''''''''' ''''''''''' ''''''''''''''' ''''''' ''''''''''''''''''''''''''' ''''' ''''''' ''''''''''''''''''''''''''''' ''''''''''''''''''' ''''''''''''''''''''''''''''' ''''''''' ''''''''' '''''''''''''''''''''' ''''' ''''' ''''''''' '''''''''' '''''''' '''''''''''' ''''''''''''''''''''' '''''''''''''' ''''''''''''''''''''''''' '''' '''''''''''''''''''''''''''' '''''''''''' '''''''''' ''''''''''''' '''''' '''''' ''''''''''''''''''''''''''''''''''''''''''''''''''''''''''''''''''''''''''''''''''''''''''''''''''''''''''''''''''''''''''''''''''''  '''' '''' '''''''''' ''''''''''''''''''''''' ''''''''''' ''''''' '''''''''''' '''''''''''''''''''''' ''''''''''''''''''''''''' '''''''''''''' '''''' ''''''''''''''''' ''''''''''''''''''''''' '''''''''''''''''''''''' ''''''''''''''''''''' ''''''''''''''' '''' '''''' '''''''''''''' ''''''''''''''''</w:t>
      </w:r>
    </w:p>
    <w:p w:rsidR="009954CC" w:rsidRPr="007C50FC" w:rsidRDefault="007C50FC" w:rsidP="007D638F">
      <w:pPr>
        <w:pStyle w:val="ListParagraph"/>
        <w:numPr>
          <w:ilvl w:val="1"/>
          <w:numId w:val="48"/>
        </w:numPr>
        <w:jc w:val="both"/>
        <w:rPr>
          <w:rFonts w:ascii="Arial" w:hAnsi="Arial" w:cs="Arial"/>
          <w:sz w:val="22"/>
          <w:szCs w:val="22"/>
        </w:rPr>
      </w:pPr>
      <w:r>
        <w:rPr>
          <w:rFonts w:ascii="Arial" w:hAnsi="Arial" w:cs="Arial"/>
          <w:noProof/>
          <w:color w:val="000000"/>
          <w:sz w:val="22"/>
          <w:szCs w:val="22"/>
          <w:highlight w:val="black"/>
        </w:rPr>
        <w:t>'''''''''''''''''''' '''''''''' '''''''''''''''' ''''''''' ''''''''''' '''''''''''''''''''''''' ''''''' ''''''''' ''''''''' '''' ''''''''''''''''''''''''''' ''''''''''''''''''''' ''''''''''' '''''''''''''''''''''' ''''''''''''''''''''' ''''''''' '''''''''''''''' ''''''''''''''''''''' ''''''''' ''''''''''' ''''''''''''''''' '''''''''''''''''''''''' '''''''''''''' ''''''''' ''''''''''''''' '''''''''''' '''''''''' ''''''''''''''''''''''''' ''''''''''''''''''''' '''' '''''''''''''''''''' '''''' ''''''''' ''''' ''' '''''''''''''''''''''''' '''''''''' ''''''''' ''' ''''''''''''''''''''''' '''''''''' ''''''''''' '''''''''''''''''' ''''''''''''''''' ''''''''''''''''</w:t>
      </w:r>
      <w:r>
        <w:rPr>
          <w:noProof/>
          <w:color w:val="000000"/>
          <w:highlight w:val="black"/>
        </w:rPr>
        <w:t xml:space="preserve"> </w:t>
      </w:r>
      <w:r>
        <w:rPr>
          <w:rFonts w:ascii="Arial" w:hAnsi="Arial" w:cs="Arial"/>
          <w:noProof/>
          <w:color w:val="000000"/>
          <w:sz w:val="22"/>
          <w:szCs w:val="22"/>
          <w:highlight w:val="black"/>
        </w:rPr>
        <w:t xml:space="preserve">''''''''''''''''''''''''''' '''''''''''''''''' ''''''''''''''''' ''''''''''''''''''''''' '''''''' ''' '''''''''' '''''''''''''''  </w:t>
      </w:r>
    </w:p>
    <w:p w:rsidR="005A2123" w:rsidRPr="007C50FC" w:rsidRDefault="005A2123" w:rsidP="005A2123">
      <w:pPr>
        <w:pStyle w:val="ListParagraph"/>
        <w:rPr>
          <w:rFonts w:ascii="Arial" w:hAnsi="Arial" w:cs="Arial"/>
          <w:sz w:val="22"/>
          <w:szCs w:val="22"/>
        </w:rPr>
      </w:pPr>
    </w:p>
    <w:p w:rsidR="003515CB" w:rsidRPr="007C50FC" w:rsidRDefault="007C50FC" w:rsidP="007C50FC">
      <w:pPr>
        <w:ind w:left="720" w:hanging="720"/>
        <w:jc w:val="both"/>
        <w:rPr>
          <w:rFonts w:ascii="Arial" w:hAnsi="Arial" w:cs="Arial"/>
          <w:sz w:val="22"/>
          <w:szCs w:val="22"/>
          <w:highlight w:val="black"/>
        </w:rPr>
      </w:pPr>
      <w:r>
        <w:rPr>
          <w:rFonts w:ascii="Arial" w:hAnsi="Arial" w:cs="Arial"/>
          <w:noProof/>
          <w:color w:val="000000"/>
          <w:sz w:val="22"/>
          <w:szCs w:val="22"/>
          <w:highlight w:val="black"/>
        </w:rPr>
        <w:t>'''''''''''''''''' '''''''''''''''' '''''''''' '''''''''''''' ''''''''' '''''''' '''''''''''''''' ''''''''' '''''''''''''''''' '''''''' ''''''''''''''''''''''''''' '''''''''''''''''''''' '''''''''''''''''''' ''''''''''''''''' ''''''''''''''''''''''' '''''''''' '''''''''''''''''' ''''''''' '''''''''''' ''''''''''''''''''''''''''''''' ''''' '''''''' ''''''' '''''''''' ''''''' ''''''''''''''''''' ''''''''''''''' '''''''''''''''''''''''''''' '''''''''''''''''' '''''''''''''' '''''''''''''' ''''''''''' '''''''''' '''''''''''''''''' '''''''''' ''''''''''''''''''''' ''''''''''''''''''' '''''''''''''''''''''''''''' '''''''''''''''''''''''' '''' ''''''''''' ''''''''''''''''''''''' ''''' '''''''' '''''''''''''' ''''''''''''' ''''' '''''''''''''''''' '''''''''''' '''''''''' ''''''''''''''''''''' ''''' '''''''''''''' '''''''''''''''''''''''''' ''''''''''' ''''''''''''''' ''''''''' '''''''''''' ''''''''''' '''''''''''''' '''''''''''''''''' '''''''''''''''''''''''''''''' '''''''' '''''''''''''''' '''''''''''''''''' '''''''''' '''' ''''''''''''' '''''''''''''''' '''''''''' ''''''''''''' ''''''''''''''' '''''''''' ''''' '''''''''''''''''''''''''''''''' ''''''''''''''''''''''''''''' ''''''''''''''' '''''''''''''''''''''''''''' '''' ''''''''''''''''' '''''''''''''' '''''''''''''''' ''''''' '''''''''''''''''''''''' ''''' '''''''''''''''''''''''' '''''''''''' ''''''''''''''' ''''''''' ''''''''' '''''''''''' ''''' ''''''''''''''' '''''''''' '''''''' '''''''''''''''' ''''''''''''''''''''''' '''''''''' ''''''' ''''''''' '''' '''''''''''''' ''''' ''''''''''''''' '''''''''' '''''''''''''''''''''''' ''''''''''''''''' '''' ''''''' '''''''''''''''' '''''' '''' '''''''''''''' ''''''''''''''''''''' ''''''''''''''''''''' '''''''''' '''''''''''''''''' ''''''''''' '''''' ''''''''''''''''''''''' ''''''''' ''''' '''''''''''''''' '''''' '''''''''''''''''''''''''</w:t>
      </w:r>
    </w:p>
    <w:p w:rsidR="003515CB" w:rsidRPr="007C50FC" w:rsidRDefault="003515CB" w:rsidP="00407231">
      <w:pPr>
        <w:pStyle w:val="ListParagraph"/>
        <w:ind w:left="709"/>
        <w:jc w:val="both"/>
        <w:rPr>
          <w:rFonts w:ascii="Arial" w:hAnsi="Arial" w:cs="Arial"/>
          <w:sz w:val="22"/>
          <w:szCs w:val="22"/>
        </w:rPr>
      </w:pPr>
    </w:p>
    <w:p w:rsidR="00C3346E" w:rsidRPr="007C50FC" w:rsidRDefault="007C50FC" w:rsidP="007C50FC">
      <w:pPr>
        <w:ind w:left="720" w:hanging="720"/>
        <w:jc w:val="both"/>
        <w:rPr>
          <w:rFonts w:ascii="Arial" w:hAnsi="Arial" w:cs="Arial"/>
          <w:sz w:val="22"/>
          <w:szCs w:val="22"/>
          <w:highlight w:val="black"/>
        </w:rPr>
      </w:pPr>
      <w:r>
        <w:rPr>
          <w:rFonts w:ascii="Arial" w:hAnsi="Arial" w:cs="Arial"/>
          <w:noProof/>
          <w:color w:val="000000"/>
          <w:sz w:val="22"/>
          <w:szCs w:val="22"/>
          <w:highlight w:val="black"/>
        </w:rPr>
        <w:t xml:space="preserve">'''''''''''''''''' '''''''''''''' '''''''''' ''''''''''''''''''''''' ''''''''' '''''''' ''''''''''''''''''''''''''' '''' ''''''' '''''''''''''''''''''''' '''''''''' ''''''''''''''''''' '''''''''' ''''''' '''''''''''''''''''''''' ''''' '''''''' '''''''''''''''''' '''' ''''''' ''''''''''''''''' ''''''''''''''' '''''''''''''''''''''''' '''''''''' ''''''''''''''''''''''''''' '''''' '''''''' ''''''''' ''''' '''''''' '''''''''''''''''' '''''''''' '''' '''''''''''''''''''' ''''' ''''''''''''''''' '''''' ''''''''''''''''''''''''''' ''''''''''''''''''''''''''''' ''''''''' ''''''''''''''''''' ''''''''''''''''''''''''''' '''''''' ''''''''' '''''''''''' ''''''''''''''''''''''''''' '''''''''''' ''''''''' ''''''''''''''''''''''' ''''' '''''''''''''''''''''' ''''''''''''''''''''' ''''''' ''''''''' ''''''''''''''' '''''' ''''''''''''''''''''''''''' '''''''''''''''''''''' ''''''' '''''''''''''' ''''''''''''''''''''''''' ''''''''' ''''''''' ''''''''''''''''''''''''''' ''''' ''''''' '''''''''''''''''''''' ''''''''''''''''''''''''' ''''''''' '''''''''''''''''''' '''''''' '''''' ''''''''''''''''''''' ''''' ''''''' '''''''''''''''' '''' ''''''' '''''''''''''''''' '''''''''''''''''' '''''''''''''''''''''' '''''''''' '''''''''''''''''''''''''''' </w:t>
      </w:r>
    </w:p>
    <w:p w:rsidR="00112699" w:rsidRPr="00260B02" w:rsidRDefault="00112699" w:rsidP="009F44FD">
      <w:pPr>
        <w:pStyle w:val="ListParagraph"/>
        <w:ind w:left="709"/>
        <w:jc w:val="both"/>
        <w:rPr>
          <w:rFonts w:ascii="Arial" w:hAnsi="Arial" w:cs="Arial"/>
          <w:sz w:val="22"/>
          <w:szCs w:val="22"/>
        </w:rPr>
      </w:pPr>
    </w:p>
    <w:p w:rsidR="007A5BE0" w:rsidRPr="00260B02" w:rsidRDefault="00794DA5" w:rsidP="00DD0588">
      <w:pPr>
        <w:pStyle w:val="ListParagraph"/>
        <w:numPr>
          <w:ilvl w:val="1"/>
          <w:numId w:val="25"/>
        </w:numPr>
        <w:jc w:val="both"/>
        <w:rPr>
          <w:rFonts w:ascii="Arial" w:hAnsi="Arial" w:cs="Arial"/>
          <w:sz w:val="22"/>
          <w:szCs w:val="22"/>
        </w:rPr>
      </w:pPr>
      <w:r w:rsidRPr="00260B02">
        <w:rPr>
          <w:rFonts w:ascii="Arial" w:hAnsi="Arial" w:cs="Arial"/>
          <w:sz w:val="22"/>
          <w:szCs w:val="22"/>
        </w:rPr>
        <w:t>In a broader context, t</w:t>
      </w:r>
      <w:r w:rsidR="007A5BE0" w:rsidRPr="00260B02">
        <w:rPr>
          <w:rFonts w:ascii="Arial" w:hAnsi="Arial" w:cs="Arial"/>
          <w:sz w:val="22"/>
          <w:szCs w:val="22"/>
        </w:rPr>
        <w:t xml:space="preserve">he PBAC </w:t>
      </w:r>
      <w:r w:rsidRPr="00260B02">
        <w:rPr>
          <w:rFonts w:ascii="Arial" w:hAnsi="Arial" w:cs="Arial"/>
          <w:sz w:val="22"/>
          <w:szCs w:val="22"/>
        </w:rPr>
        <w:t xml:space="preserve">foreshadowed </w:t>
      </w:r>
      <w:r w:rsidR="005A2123" w:rsidRPr="00260B02">
        <w:rPr>
          <w:rFonts w:ascii="Arial" w:hAnsi="Arial" w:cs="Arial"/>
          <w:sz w:val="22"/>
          <w:szCs w:val="22"/>
        </w:rPr>
        <w:t>that</w:t>
      </w:r>
      <w:r w:rsidR="00F94C44" w:rsidRPr="00260B02">
        <w:rPr>
          <w:rFonts w:ascii="Arial" w:hAnsi="Arial" w:cs="Arial"/>
          <w:sz w:val="22"/>
          <w:szCs w:val="22"/>
        </w:rPr>
        <w:t xml:space="preserve"> </w:t>
      </w:r>
      <w:r w:rsidR="005A2123" w:rsidRPr="00260B02">
        <w:rPr>
          <w:rFonts w:ascii="Arial" w:hAnsi="Arial" w:cs="Arial"/>
          <w:sz w:val="22"/>
          <w:szCs w:val="22"/>
        </w:rPr>
        <w:t xml:space="preserve">it </w:t>
      </w:r>
      <w:r w:rsidR="00F94C44" w:rsidRPr="00260B02">
        <w:rPr>
          <w:rFonts w:ascii="Arial" w:hAnsi="Arial" w:cs="Arial"/>
          <w:sz w:val="22"/>
          <w:szCs w:val="22"/>
        </w:rPr>
        <w:t>is</w:t>
      </w:r>
      <w:r w:rsidR="005A2123" w:rsidRPr="00260B02">
        <w:rPr>
          <w:rFonts w:ascii="Arial" w:hAnsi="Arial" w:cs="Arial"/>
          <w:sz w:val="22"/>
          <w:szCs w:val="22"/>
        </w:rPr>
        <w:t xml:space="preserve"> of a mind to </w:t>
      </w:r>
      <w:r w:rsidR="007A5BE0" w:rsidRPr="00260B02">
        <w:rPr>
          <w:rFonts w:ascii="Arial" w:hAnsi="Arial" w:cs="Arial"/>
          <w:sz w:val="22"/>
          <w:szCs w:val="22"/>
        </w:rPr>
        <w:t xml:space="preserve">consider </w:t>
      </w:r>
      <w:r w:rsidR="005A2123" w:rsidRPr="00260B02">
        <w:rPr>
          <w:rFonts w:ascii="Arial" w:hAnsi="Arial" w:cs="Arial"/>
          <w:sz w:val="22"/>
          <w:szCs w:val="22"/>
        </w:rPr>
        <w:t>whether a biosimilar medicine is suitable for substitution by pharmacists on the basis of each application</w:t>
      </w:r>
      <w:r w:rsidR="007A5BE0" w:rsidRPr="00260B02">
        <w:rPr>
          <w:rFonts w:ascii="Arial" w:hAnsi="Arial" w:cs="Arial"/>
          <w:sz w:val="22"/>
          <w:szCs w:val="22"/>
        </w:rPr>
        <w:t xml:space="preserve"> on its own merit, based on the evidence presented in each case, rather than adopting an overall policy-position </w:t>
      </w:r>
      <w:r w:rsidR="007A5BE0" w:rsidRPr="00260B02">
        <w:rPr>
          <w:rFonts w:ascii="Arial" w:hAnsi="Arial" w:cs="Arial"/>
          <w:i/>
          <w:sz w:val="22"/>
          <w:szCs w:val="22"/>
        </w:rPr>
        <w:t>a priori</w:t>
      </w:r>
      <w:r w:rsidR="007A5BE0" w:rsidRPr="00260B02">
        <w:rPr>
          <w:rFonts w:ascii="Arial" w:hAnsi="Arial" w:cs="Arial"/>
          <w:sz w:val="22"/>
          <w:szCs w:val="22"/>
        </w:rPr>
        <w:t xml:space="preserve">. </w:t>
      </w:r>
    </w:p>
    <w:p w:rsidR="007A5BE0" w:rsidRPr="00260B02" w:rsidRDefault="007A5BE0" w:rsidP="00E735C4">
      <w:pPr>
        <w:pStyle w:val="ListParagraph"/>
        <w:rPr>
          <w:rFonts w:ascii="Arial" w:hAnsi="Arial" w:cs="Arial"/>
          <w:sz w:val="22"/>
          <w:szCs w:val="22"/>
        </w:rPr>
      </w:pPr>
    </w:p>
    <w:p w:rsidR="001D7A3F" w:rsidRPr="00260B02" w:rsidRDefault="00F8207F" w:rsidP="00DD0588">
      <w:pPr>
        <w:pStyle w:val="ListParagraph"/>
        <w:numPr>
          <w:ilvl w:val="1"/>
          <w:numId w:val="25"/>
        </w:numPr>
        <w:jc w:val="both"/>
        <w:rPr>
          <w:rFonts w:ascii="Arial" w:hAnsi="Arial" w:cs="Arial"/>
          <w:sz w:val="22"/>
          <w:szCs w:val="22"/>
        </w:rPr>
      </w:pPr>
      <w:r w:rsidRPr="00260B02">
        <w:rPr>
          <w:rFonts w:ascii="Arial" w:hAnsi="Arial" w:cs="Arial"/>
          <w:sz w:val="22"/>
          <w:szCs w:val="22"/>
        </w:rPr>
        <w:t xml:space="preserve">The </w:t>
      </w:r>
      <w:r w:rsidR="00464B44" w:rsidRPr="00260B02">
        <w:rPr>
          <w:rFonts w:ascii="Arial" w:hAnsi="Arial" w:cs="Arial"/>
          <w:sz w:val="22"/>
          <w:szCs w:val="22"/>
        </w:rPr>
        <w:t xml:space="preserve">PBAC noted the </w:t>
      </w:r>
      <w:r w:rsidR="003767DA" w:rsidRPr="00260B02">
        <w:rPr>
          <w:rFonts w:ascii="Arial" w:hAnsi="Arial" w:cs="Arial"/>
          <w:sz w:val="22"/>
          <w:szCs w:val="22"/>
        </w:rPr>
        <w:t>submission estimated net overall saving</w:t>
      </w:r>
      <w:r w:rsidR="00464B44" w:rsidRPr="00260B02">
        <w:rPr>
          <w:rFonts w:ascii="Arial" w:hAnsi="Arial" w:cs="Arial"/>
          <w:sz w:val="22"/>
          <w:szCs w:val="22"/>
        </w:rPr>
        <w:t>s</w:t>
      </w:r>
      <w:r w:rsidR="003767DA" w:rsidRPr="00260B02">
        <w:rPr>
          <w:rFonts w:ascii="Arial" w:hAnsi="Arial" w:cs="Arial"/>
          <w:sz w:val="22"/>
          <w:szCs w:val="22"/>
        </w:rPr>
        <w:t xml:space="preserve"> to the PBS/RPBS</w:t>
      </w:r>
      <w:r w:rsidRPr="00260B02">
        <w:rPr>
          <w:rFonts w:ascii="Arial" w:hAnsi="Arial" w:cs="Arial"/>
          <w:sz w:val="22"/>
          <w:szCs w:val="22"/>
        </w:rPr>
        <w:t xml:space="preserve"> of </w:t>
      </w:r>
      <w:r w:rsidR="001D7A3F" w:rsidRPr="00260B02">
        <w:rPr>
          <w:rFonts w:ascii="Arial" w:hAnsi="Arial" w:cs="Arial"/>
          <w:sz w:val="22"/>
          <w:szCs w:val="22"/>
        </w:rPr>
        <w:t>approximately</w:t>
      </w:r>
      <w:r w:rsidR="00520BEA" w:rsidRPr="00260B02">
        <w:rPr>
          <w:rFonts w:ascii="Arial" w:hAnsi="Arial" w:cs="Arial"/>
          <w:sz w:val="22"/>
          <w:szCs w:val="22"/>
        </w:rPr>
        <w:t xml:space="preserve"> $</w:t>
      </w:r>
      <w:r w:rsidR="007C50FC">
        <w:rPr>
          <w:rFonts w:ascii="Arial" w:hAnsi="Arial" w:cs="Arial"/>
          <w:noProof/>
          <w:color w:val="000000"/>
          <w:sz w:val="22"/>
          <w:szCs w:val="22"/>
          <w:highlight w:val="black"/>
        </w:rPr>
        <w:t>''''''''' '''''''''''''''</w:t>
      </w:r>
      <w:r w:rsidRPr="00260B02">
        <w:rPr>
          <w:rFonts w:ascii="Arial" w:hAnsi="Arial" w:cs="Arial"/>
          <w:sz w:val="22"/>
          <w:szCs w:val="22"/>
        </w:rPr>
        <w:t xml:space="preserve"> over</w:t>
      </w:r>
      <w:r w:rsidR="003767DA" w:rsidRPr="00260B02">
        <w:rPr>
          <w:rFonts w:ascii="Arial" w:hAnsi="Arial" w:cs="Arial"/>
          <w:sz w:val="22"/>
          <w:szCs w:val="22"/>
        </w:rPr>
        <w:t xml:space="preserve"> the first</w:t>
      </w:r>
      <w:r w:rsidRPr="00260B02">
        <w:rPr>
          <w:rFonts w:ascii="Arial" w:hAnsi="Arial" w:cs="Arial"/>
          <w:sz w:val="22"/>
          <w:szCs w:val="22"/>
        </w:rPr>
        <w:t xml:space="preserve"> five years of </w:t>
      </w:r>
      <w:r w:rsidR="001D7A3F" w:rsidRPr="00260B02">
        <w:rPr>
          <w:rFonts w:ascii="Arial" w:hAnsi="Arial" w:cs="Arial"/>
          <w:sz w:val="22"/>
          <w:szCs w:val="22"/>
        </w:rPr>
        <w:t>listing</w:t>
      </w:r>
      <w:r w:rsidR="003767DA" w:rsidRPr="00260B02">
        <w:rPr>
          <w:rFonts w:ascii="Arial" w:hAnsi="Arial" w:cs="Arial"/>
          <w:sz w:val="22"/>
          <w:szCs w:val="22"/>
        </w:rPr>
        <w:t>. This was based on the impact of the</w:t>
      </w:r>
      <w:r w:rsidR="0057605B" w:rsidRPr="00260B02">
        <w:rPr>
          <w:rFonts w:ascii="Arial" w:hAnsi="Arial" w:cs="Arial"/>
          <w:sz w:val="22"/>
          <w:szCs w:val="22"/>
        </w:rPr>
        <w:t xml:space="preserve"> </w:t>
      </w:r>
      <w:r w:rsidR="00C52B49" w:rsidRPr="00260B02">
        <w:rPr>
          <w:rFonts w:ascii="Arial" w:hAnsi="Arial" w:cs="Arial"/>
          <w:sz w:val="22"/>
          <w:szCs w:val="22"/>
        </w:rPr>
        <w:t>statutory 16% price reduction</w:t>
      </w:r>
      <w:r w:rsidR="00CC512C" w:rsidRPr="00260B02">
        <w:rPr>
          <w:rFonts w:ascii="Arial" w:hAnsi="Arial" w:cs="Arial"/>
          <w:sz w:val="22"/>
          <w:szCs w:val="22"/>
        </w:rPr>
        <w:t xml:space="preserve"> following the listing of a biosimilar brand.</w:t>
      </w:r>
      <w:r w:rsidRPr="00260B02">
        <w:rPr>
          <w:rFonts w:ascii="Arial" w:hAnsi="Arial" w:cs="Arial"/>
          <w:sz w:val="22"/>
          <w:szCs w:val="22"/>
        </w:rPr>
        <w:t xml:space="preserve"> </w:t>
      </w:r>
      <w:r w:rsidR="00520BEA" w:rsidRPr="00260B02">
        <w:rPr>
          <w:rFonts w:ascii="Arial" w:hAnsi="Arial" w:cs="Arial"/>
          <w:sz w:val="22"/>
          <w:szCs w:val="22"/>
        </w:rPr>
        <w:t xml:space="preserve">The </w:t>
      </w:r>
      <w:r w:rsidR="007A5BE0" w:rsidRPr="00260B02">
        <w:rPr>
          <w:rFonts w:ascii="Arial" w:hAnsi="Arial" w:cs="Arial"/>
          <w:sz w:val="22"/>
          <w:szCs w:val="22"/>
        </w:rPr>
        <w:t xml:space="preserve">financial estimates did not </w:t>
      </w:r>
      <w:r w:rsidR="003767DA" w:rsidRPr="00260B02">
        <w:rPr>
          <w:rFonts w:ascii="Arial" w:hAnsi="Arial" w:cs="Arial"/>
          <w:sz w:val="22"/>
          <w:szCs w:val="22"/>
        </w:rPr>
        <w:t xml:space="preserve">account for any potential </w:t>
      </w:r>
      <w:r w:rsidR="007A5BE0" w:rsidRPr="00260B02">
        <w:rPr>
          <w:rFonts w:ascii="Arial" w:hAnsi="Arial" w:cs="Arial"/>
          <w:sz w:val="22"/>
          <w:szCs w:val="22"/>
        </w:rPr>
        <w:t>impact</w:t>
      </w:r>
      <w:r w:rsidR="003767DA" w:rsidRPr="00260B02">
        <w:rPr>
          <w:rFonts w:ascii="Arial" w:hAnsi="Arial" w:cs="Arial"/>
          <w:sz w:val="22"/>
          <w:szCs w:val="22"/>
        </w:rPr>
        <w:t>s</w:t>
      </w:r>
      <w:r w:rsidR="007A5BE0" w:rsidRPr="00260B02">
        <w:rPr>
          <w:rFonts w:ascii="Arial" w:hAnsi="Arial" w:cs="Arial"/>
          <w:sz w:val="22"/>
          <w:szCs w:val="22"/>
        </w:rPr>
        <w:t xml:space="preserve"> of</w:t>
      </w:r>
      <w:r w:rsidR="00C52B49" w:rsidRPr="00260B02">
        <w:rPr>
          <w:rFonts w:ascii="Arial" w:hAnsi="Arial" w:cs="Arial"/>
          <w:sz w:val="22"/>
          <w:szCs w:val="22"/>
        </w:rPr>
        <w:t xml:space="preserve"> </w:t>
      </w:r>
      <w:r w:rsidR="003767DA" w:rsidRPr="00260B02">
        <w:rPr>
          <w:rFonts w:ascii="Arial" w:hAnsi="Arial" w:cs="Arial"/>
          <w:sz w:val="22"/>
          <w:szCs w:val="22"/>
        </w:rPr>
        <w:t>p</w:t>
      </w:r>
      <w:r w:rsidR="00520BEA" w:rsidRPr="00260B02">
        <w:rPr>
          <w:rFonts w:ascii="Arial" w:hAnsi="Arial" w:cs="Arial"/>
          <w:sz w:val="22"/>
          <w:szCs w:val="22"/>
        </w:rPr>
        <w:t xml:space="preserve">rice </w:t>
      </w:r>
      <w:r w:rsidR="003767DA" w:rsidRPr="00260B02">
        <w:rPr>
          <w:rFonts w:ascii="Arial" w:hAnsi="Arial" w:cs="Arial"/>
          <w:sz w:val="22"/>
          <w:szCs w:val="22"/>
        </w:rPr>
        <w:t>d</w:t>
      </w:r>
      <w:r w:rsidR="00520BEA" w:rsidRPr="00260B02">
        <w:rPr>
          <w:rFonts w:ascii="Arial" w:hAnsi="Arial" w:cs="Arial"/>
          <w:sz w:val="22"/>
          <w:szCs w:val="22"/>
        </w:rPr>
        <w:t xml:space="preserve">isclosure. </w:t>
      </w:r>
    </w:p>
    <w:p w:rsidR="00B92A16" w:rsidRPr="00260B02" w:rsidRDefault="00B92A16" w:rsidP="00A555F9">
      <w:pPr>
        <w:rPr>
          <w:rFonts w:ascii="Arial" w:hAnsi="Arial" w:cs="Arial"/>
          <w:i/>
          <w:sz w:val="22"/>
          <w:szCs w:val="22"/>
        </w:rPr>
      </w:pPr>
    </w:p>
    <w:p w:rsidR="00B92A16" w:rsidRPr="00260B02" w:rsidRDefault="00B92A16" w:rsidP="00DD0588">
      <w:pPr>
        <w:pStyle w:val="ListParagraph"/>
        <w:numPr>
          <w:ilvl w:val="1"/>
          <w:numId w:val="25"/>
        </w:numPr>
        <w:jc w:val="both"/>
        <w:rPr>
          <w:rFonts w:ascii="Arial" w:hAnsi="Arial" w:cs="Arial"/>
          <w:sz w:val="22"/>
          <w:szCs w:val="22"/>
        </w:rPr>
      </w:pPr>
      <w:r w:rsidRPr="00260B02">
        <w:rPr>
          <w:rFonts w:ascii="Arial" w:hAnsi="Arial" w:cs="Arial"/>
          <w:sz w:val="22"/>
          <w:szCs w:val="22"/>
        </w:rPr>
        <w:t>The PBAC advised that</w:t>
      </w:r>
      <w:r w:rsidR="00111AEA" w:rsidRPr="00260B02">
        <w:rPr>
          <w:rFonts w:ascii="Arial" w:hAnsi="Arial" w:cs="Arial"/>
          <w:sz w:val="22"/>
          <w:szCs w:val="22"/>
        </w:rPr>
        <w:t xml:space="preserve"> Basaglar is suitable</w:t>
      </w:r>
      <w:r w:rsidRPr="00260B02">
        <w:rPr>
          <w:rFonts w:ascii="Arial" w:hAnsi="Arial" w:cs="Arial"/>
          <w:sz w:val="22"/>
          <w:szCs w:val="22"/>
        </w:rPr>
        <w:t xml:space="preserve"> for presc</w:t>
      </w:r>
      <w:r w:rsidR="00111AEA" w:rsidRPr="00260B02">
        <w:rPr>
          <w:rFonts w:ascii="Arial" w:hAnsi="Arial" w:cs="Arial"/>
          <w:sz w:val="22"/>
          <w:szCs w:val="22"/>
        </w:rPr>
        <w:t xml:space="preserve">ribing by nurse practitioners, as with Lantus. </w:t>
      </w:r>
    </w:p>
    <w:p w:rsidR="00B92A16" w:rsidRPr="00260B02" w:rsidRDefault="00B92A16" w:rsidP="00B92A16">
      <w:pPr>
        <w:ind w:left="709" w:hanging="709"/>
        <w:contextualSpacing/>
        <w:rPr>
          <w:rFonts w:ascii="Arial" w:hAnsi="Arial" w:cs="Arial"/>
          <w:sz w:val="22"/>
          <w:szCs w:val="22"/>
        </w:rPr>
      </w:pPr>
    </w:p>
    <w:p w:rsidR="00B92A16" w:rsidRPr="00260B02" w:rsidRDefault="00B92A16" w:rsidP="00DD0588">
      <w:pPr>
        <w:pStyle w:val="ListParagraph"/>
        <w:numPr>
          <w:ilvl w:val="1"/>
          <w:numId w:val="25"/>
        </w:numPr>
        <w:jc w:val="both"/>
        <w:rPr>
          <w:rFonts w:ascii="Arial" w:hAnsi="Arial" w:cs="Arial"/>
          <w:sz w:val="22"/>
          <w:szCs w:val="22"/>
        </w:rPr>
      </w:pPr>
      <w:r w:rsidRPr="00260B02">
        <w:rPr>
          <w:rFonts w:ascii="Arial" w:hAnsi="Arial" w:cs="Arial"/>
          <w:sz w:val="22"/>
          <w:szCs w:val="22"/>
        </w:rPr>
        <w:t>The PBAC recommended that th</w:t>
      </w:r>
      <w:r w:rsidR="00111AEA" w:rsidRPr="00260B02">
        <w:rPr>
          <w:rFonts w:ascii="Arial" w:hAnsi="Arial" w:cs="Arial"/>
          <w:sz w:val="22"/>
          <w:szCs w:val="22"/>
        </w:rPr>
        <w:t xml:space="preserve">e Safety Net 20 Day Rule </w:t>
      </w:r>
      <w:r w:rsidRPr="00260B02">
        <w:rPr>
          <w:rFonts w:ascii="Arial" w:hAnsi="Arial" w:cs="Arial"/>
          <w:sz w:val="22"/>
          <w:szCs w:val="22"/>
        </w:rPr>
        <w:t xml:space="preserve">should not apply. </w:t>
      </w:r>
    </w:p>
    <w:p w:rsidR="007B2E4E" w:rsidRPr="00260B02" w:rsidRDefault="007B2E4E" w:rsidP="00C3346E">
      <w:pPr>
        <w:jc w:val="both"/>
        <w:rPr>
          <w:rFonts w:ascii="Arial" w:hAnsi="Arial" w:cs="Arial"/>
          <w:sz w:val="22"/>
          <w:szCs w:val="22"/>
        </w:rPr>
      </w:pPr>
    </w:p>
    <w:p w:rsidR="00B92A16" w:rsidRPr="00260B02" w:rsidRDefault="00B92A16" w:rsidP="00B92A16">
      <w:pPr>
        <w:rPr>
          <w:szCs w:val="22"/>
        </w:rPr>
      </w:pPr>
    </w:p>
    <w:p w:rsidR="00DD0588" w:rsidRPr="00260B02" w:rsidRDefault="00DD0588" w:rsidP="00B92A16">
      <w:pPr>
        <w:rPr>
          <w:szCs w:val="22"/>
        </w:rPr>
      </w:pPr>
    </w:p>
    <w:p w:rsidR="00B92A16" w:rsidRPr="00260B02" w:rsidRDefault="00B92A16" w:rsidP="00B92A16">
      <w:pPr>
        <w:rPr>
          <w:rFonts w:ascii="Arial" w:hAnsi="Arial" w:cs="Arial"/>
          <w:b/>
          <w:sz w:val="22"/>
          <w:szCs w:val="22"/>
        </w:rPr>
      </w:pPr>
      <w:r w:rsidRPr="00260B02">
        <w:rPr>
          <w:rFonts w:ascii="Arial" w:hAnsi="Arial" w:cs="Arial"/>
          <w:b/>
          <w:sz w:val="22"/>
          <w:szCs w:val="22"/>
        </w:rPr>
        <w:t>Outcome:</w:t>
      </w:r>
    </w:p>
    <w:p w:rsidR="00B92A16" w:rsidRPr="00260B02" w:rsidRDefault="00111AEA" w:rsidP="00B92A16">
      <w:pPr>
        <w:rPr>
          <w:rFonts w:ascii="Arial" w:hAnsi="Arial" w:cs="Arial"/>
          <w:sz w:val="22"/>
          <w:szCs w:val="22"/>
        </w:rPr>
      </w:pPr>
      <w:r w:rsidRPr="00260B02">
        <w:rPr>
          <w:rFonts w:ascii="Arial" w:hAnsi="Arial" w:cs="Arial"/>
          <w:sz w:val="22"/>
          <w:szCs w:val="22"/>
        </w:rPr>
        <w:t xml:space="preserve">Recommended </w:t>
      </w:r>
    </w:p>
    <w:p w:rsidR="00047D6B" w:rsidRPr="00260B02" w:rsidRDefault="00047D6B" w:rsidP="00B92A16">
      <w:pPr>
        <w:rPr>
          <w:rFonts w:ascii="Arial" w:hAnsi="Arial" w:cs="Arial"/>
          <w:sz w:val="22"/>
          <w:szCs w:val="22"/>
        </w:rPr>
      </w:pPr>
    </w:p>
    <w:p w:rsidR="009E3FD4" w:rsidRPr="00260B02" w:rsidRDefault="009E3FD4" w:rsidP="00B92A16">
      <w:pPr>
        <w:rPr>
          <w:szCs w:val="22"/>
        </w:rPr>
      </w:pPr>
    </w:p>
    <w:p w:rsidR="00B92A16" w:rsidRPr="00260B02" w:rsidRDefault="00B92A16" w:rsidP="00D30CA9">
      <w:pPr>
        <w:pStyle w:val="PBACheading1"/>
        <w:rPr>
          <w:sz w:val="20"/>
        </w:rPr>
      </w:pPr>
      <w:r w:rsidRPr="00260B02">
        <w:t>Recommended listing</w:t>
      </w:r>
    </w:p>
    <w:p w:rsidR="00B92A16" w:rsidRPr="00260B02" w:rsidRDefault="00B92A16" w:rsidP="00B92A16">
      <w:pPr>
        <w:rPr>
          <w:szCs w:val="22"/>
        </w:rPr>
      </w:pPr>
    </w:p>
    <w:p w:rsidR="00B92A16" w:rsidRPr="00260B02" w:rsidRDefault="00B92A16" w:rsidP="00DD0588">
      <w:pPr>
        <w:pStyle w:val="ListParagraph"/>
        <w:numPr>
          <w:ilvl w:val="1"/>
          <w:numId w:val="25"/>
        </w:numPr>
        <w:jc w:val="both"/>
        <w:rPr>
          <w:rFonts w:ascii="Arial" w:hAnsi="Arial" w:cs="Arial"/>
          <w:sz w:val="22"/>
          <w:szCs w:val="22"/>
        </w:rPr>
      </w:pPr>
      <w:r w:rsidRPr="00260B02">
        <w:rPr>
          <w:rFonts w:ascii="Arial" w:hAnsi="Arial" w:cs="Arial"/>
          <w:sz w:val="22"/>
          <w:szCs w:val="22"/>
        </w:rPr>
        <w:t>Add new item:</w:t>
      </w:r>
    </w:p>
    <w:p w:rsidR="00DF4D72" w:rsidRPr="00260B02" w:rsidRDefault="00DF4D72" w:rsidP="00DF4D72">
      <w:pPr>
        <w:pStyle w:val="ListParagraph"/>
        <w:ind w:left="1070"/>
        <w:jc w:val="both"/>
        <w:rPr>
          <w:szCs w:val="22"/>
        </w:rPr>
      </w:pPr>
    </w:p>
    <w:tbl>
      <w:tblPr>
        <w:tblW w:w="9214" w:type="dxa"/>
        <w:tblInd w:w="108" w:type="dxa"/>
        <w:tblLayout w:type="fixed"/>
        <w:tblLook w:val="0000" w:firstRow="0" w:lastRow="0" w:firstColumn="0" w:lastColumn="0" w:noHBand="0" w:noVBand="0"/>
      </w:tblPr>
      <w:tblGrid>
        <w:gridCol w:w="1843"/>
        <w:gridCol w:w="1418"/>
        <w:gridCol w:w="567"/>
        <w:gridCol w:w="850"/>
        <w:gridCol w:w="1701"/>
        <w:gridCol w:w="1559"/>
        <w:gridCol w:w="1276"/>
      </w:tblGrid>
      <w:tr w:rsidR="004C21B7" w:rsidRPr="00260B02" w:rsidTr="00C52B49">
        <w:trPr>
          <w:cantSplit/>
          <w:trHeight w:val="471"/>
        </w:trPr>
        <w:tc>
          <w:tcPr>
            <w:tcW w:w="3261" w:type="dxa"/>
            <w:gridSpan w:val="2"/>
            <w:tcBorders>
              <w:bottom w:val="single" w:sz="4" w:space="0" w:color="auto"/>
            </w:tcBorders>
          </w:tcPr>
          <w:p w:rsidR="004C21B7" w:rsidRPr="00260B02" w:rsidRDefault="004C21B7" w:rsidP="00C52B49">
            <w:pPr>
              <w:keepNext/>
              <w:ind w:left="-108"/>
              <w:jc w:val="both"/>
              <w:rPr>
                <w:rFonts w:ascii="Arial Narrow" w:hAnsi="Arial Narrow" w:cs="Arial"/>
                <w:sz w:val="20"/>
                <w:szCs w:val="20"/>
              </w:rPr>
            </w:pPr>
            <w:r w:rsidRPr="00260B02">
              <w:rPr>
                <w:rFonts w:ascii="Arial Narrow" w:hAnsi="Arial Narrow" w:cs="Arial"/>
                <w:sz w:val="20"/>
                <w:szCs w:val="20"/>
              </w:rPr>
              <w:t>Name, Restriction,</w:t>
            </w:r>
          </w:p>
          <w:p w:rsidR="004C21B7" w:rsidRPr="00260B02" w:rsidRDefault="004C21B7" w:rsidP="00C52B49">
            <w:pPr>
              <w:keepNext/>
              <w:ind w:left="-108"/>
              <w:jc w:val="both"/>
              <w:rPr>
                <w:rFonts w:ascii="Arial Narrow" w:hAnsi="Arial Narrow" w:cs="Arial"/>
                <w:sz w:val="20"/>
                <w:szCs w:val="20"/>
              </w:rPr>
            </w:pPr>
            <w:r w:rsidRPr="00260B02">
              <w:rPr>
                <w:rFonts w:ascii="Arial Narrow" w:hAnsi="Arial Narrow" w:cs="Arial"/>
                <w:sz w:val="20"/>
                <w:szCs w:val="20"/>
              </w:rPr>
              <w:t>Manner of administration and form</w:t>
            </w:r>
          </w:p>
        </w:tc>
        <w:tc>
          <w:tcPr>
            <w:tcW w:w="567" w:type="dxa"/>
            <w:tcBorders>
              <w:bottom w:val="single" w:sz="4" w:space="0" w:color="auto"/>
            </w:tcBorders>
          </w:tcPr>
          <w:p w:rsidR="004C21B7" w:rsidRPr="00260B02" w:rsidRDefault="004C21B7" w:rsidP="00C52B49">
            <w:pPr>
              <w:keepNext/>
              <w:ind w:left="-108"/>
              <w:jc w:val="both"/>
              <w:rPr>
                <w:rFonts w:ascii="Arial Narrow" w:hAnsi="Arial Narrow" w:cs="Arial"/>
                <w:sz w:val="20"/>
                <w:szCs w:val="20"/>
              </w:rPr>
            </w:pPr>
            <w:r w:rsidRPr="00260B02">
              <w:rPr>
                <w:rFonts w:ascii="Arial Narrow" w:hAnsi="Arial Narrow" w:cs="Arial"/>
                <w:sz w:val="20"/>
                <w:szCs w:val="20"/>
              </w:rPr>
              <w:t>Max.</w:t>
            </w:r>
          </w:p>
          <w:p w:rsidR="004C21B7" w:rsidRPr="00260B02" w:rsidRDefault="004C21B7" w:rsidP="00C52B49">
            <w:pPr>
              <w:keepNext/>
              <w:ind w:left="-108"/>
              <w:jc w:val="both"/>
              <w:rPr>
                <w:rFonts w:ascii="Arial Narrow" w:hAnsi="Arial Narrow" w:cs="Arial"/>
                <w:sz w:val="20"/>
                <w:szCs w:val="20"/>
              </w:rPr>
            </w:pPr>
            <w:r w:rsidRPr="00260B02">
              <w:rPr>
                <w:rFonts w:ascii="Arial Narrow" w:hAnsi="Arial Narrow" w:cs="Arial"/>
                <w:sz w:val="20"/>
                <w:szCs w:val="20"/>
              </w:rPr>
              <w:t>Qty</w:t>
            </w:r>
          </w:p>
        </w:tc>
        <w:tc>
          <w:tcPr>
            <w:tcW w:w="850" w:type="dxa"/>
            <w:tcBorders>
              <w:bottom w:val="single" w:sz="4" w:space="0" w:color="auto"/>
            </w:tcBorders>
          </w:tcPr>
          <w:p w:rsidR="004C21B7" w:rsidRPr="00260B02" w:rsidRDefault="004C21B7" w:rsidP="00C52B49">
            <w:pPr>
              <w:keepNext/>
              <w:ind w:left="-108"/>
              <w:jc w:val="both"/>
              <w:rPr>
                <w:rFonts w:ascii="Arial Narrow" w:hAnsi="Arial Narrow" w:cs="Arial"/>
                <w:sz w:val="20"/>
                <w:szCs w:val="20"/>
              </w:rPr>
            </w:pPr>
            <w:r w:rsidRPr="00260B02">
              <w:rPr>
                <w:rFonts w:ascii="Arial Narrow" w:hAnsi="Arial Narrow" w:cs="Arial"/>
                <w:sz w:val="20"/>
                <w:szCs w:val="20"/>
              </w:rPr>
              <w:t>№.of</w:t>
            </w:r>
          </w:p>
          <w:p w:rsidR="004C21B7" w:rsidRPr="00260B02" w:rsidRDefault="004C21B7" w:rsidP="00C52B49">
            <w:pPr>
              <w:keepNext/>
              <w:ind w:left="-108"/>
              <w:jc w:val="both"/>
              <w:rPr>
                <w:rFonts w:ascii="Arial Narrow" w:hAnsi="Arial Narrow" w:cs="Arial"/>
                <w:sz w:val="20"/>
                <w:szCs w:val="20"/>
              </w:rPr>
            </w:pPr>
            <w:r w:rsidRPr="00260B02">
              <w:rPr>
                <w:rFonts w:ascii="Arial Narrow" w:hAnsi="Arial Narrow" w:cs="Arial"/>
                <w:sz w:val="20"/>
                <w:szCs w:val="20"/>
              </w:rPr>
              <w:t>Rpts</w:t>
            </w:r>
          </w:p>
        </w:tc>
        <w:tc>
          <w:tcPr>
            <w:tcW w:w="1701" w:type="dxa"/>
            <w:tcBorders>
              <w:bottom w:val="single" w:sz="4" w:space="0" w:color="auto"/>
            </w:tcBorders>
          </w:tcPr>
          <w:p w:rsidR="004C21B7" w:rsidRPr="00260B02" w:rsidRDefault="004C21B7" w:rsidP="00C52B49">
            <w:pPr>
              <w:keepNext/>
              <w:ind w:left="-108"/>
              <w:jc w:val="both"/>
              <w:rPr>
                <w:rFonts w:ascii="Arial Narrow" w:hAnsi="Arial Narrow" w:cs="Arial"/>
                <w:sz w:val="20"/>
                <w:szCs w:val="20"/>
              </w:rPr>
            </w:pPr>
          </w:p>
        </w:tc>
        <w:tc>
          <w:tcPr>
            <w:tcW w:w="2835" w:type="dxa"/>
            <w:gridSpan w:val="2"/>
            <w:tcBorders>
              <w:bottom w:val="single" w:sz="4" w:space="0" w:color="auto"/>
            </w:tcBorders>
          </w:tcPr>
          <w:p w:rsidR="004C21B7" w:rsidRPr="00260B02" w:rsidRDefault="004C21B7" w:rsidP="00C52B49">
            <w:pPr>
              <w:keepNext/>
              <w:jc w:val="both"/>
              <w:rPr>
                <w:rFonts w:ascii="Arial Narrow" w:hAnsi="Arial Narrow" w:cs="Arial"/>
                <w:sz w:val="20"/>
                <w:szCs w:val="20"/>
                <w:lang w:val="fr-FR"/>
              </w:rPr>
            </w:pPr>
            <w:r w:rsidRPr="00260B02">
              <w:rPr>
                <w:rFonts w:ascii="Arial Narrow" w:hAnsi="Arial Narrow" w:cs="Arial"/>
                <w:sz w:val="20"/>
                <w:szCs w:val="20"/>
              </w:rPr>
              <w:t>Proprietary Name and Manufacturer</w:t>
            </w:r>
          </w:p>
        </w:tc>
      </w:tr>
      <w:tr w:rsidR="004C21B7" w:rsidRPr="009F44FD" w:rsidTr="00C52B49">
        <w:trPr>
          <w:cantSplit/>
          <w:trHeight w:val="808"/>
        </w:trPr>
        <w:tc>
          <w:tcPr>
            <w:tcW w:w="3261" w:type="dxa"/>
            <w:gridSpan w:val="2"/>
          </w:tcPr>
          <w:p w:rsidR="004C21B7" w:rsidRPr="00260B02" w:rsidRDefault="004C21B7" w:rsidP="00C52B49">
            <w:pPr>
              <w:keepNext/>
              <w:ind w:left="-108"/>
              <w:jc w:val="both"/>
              <w:rPr>
                <w:rFonts w:ascii="Arial Narrow" w:hAnsi="Arial Narrow" w:cs="Arial"/>
                <w:sz w:val="20"/>
                <w:szCs w:val="20"/>
              </w:rPr>
            </w:pPr>
            <w:r w:rsidRPr="00260B02">
              <w:rPr>
                <w:rFonts w:ascii="Arial Narrow" w:hAnsi="Arial Narrow" w:cs="Arial"/>
                <w:smallCaps/>
                <w:sz w:val="20"/>
                <w:szCs w:val="20"/>
              </w:rPr>
              <w:t>INSULIN GLARGINE</w:t>
            </w:r>
          </w:p>
          <w:p w:rsidR="004C21B7" w:rsidRPr="00260B02" w:rsidRDefault="004C21B7" w:rsidP="00C52B49">
            <w:pPr>
              <w:keepNext/>
              <w:ind w:left="-108"/>
              <w:jc w:val="both"/>
              <w:rPr>
                <w:rFonts w:ascii="Arial Narrow" w:hAnsi="Arial Narrow" w:cs="Arial"/>
                <w:sz w:val="20"/>
                <w:szCs w:val="20"/>
              </w:rPr>
            </w:pPr>
            <w:r w:rsidRPr="00260B02">
              <w:rPr>
                <w:rFonts w:ascii="Arial Narrow" w:hAnsi="Arial Narrow" w:cs="Arial"/>
                <w:sz w:val="20"/>
                <w:szCs w:val="20"/>
              </w:rPr>
              <w:t>Insulin glargine 100 international units/mL injection, 5 x 3 mL cartridges</w:t>
            </w:r>
          </w:p>
        </w:tc>
        <w:tc>
          <w:tcPr>
            <w:tcW w:w="567" w:type="dxa"/>
          </w:tcPr>
          <w:p w:rsidR="004C21B7" w:rsidRPr="00260B02" w:rsidRDefault="004C21B7" w:rsidP="00C52B49">
            <w:pPr>
              <w:keepNext/>
              <w:ind w:left="-108"/>
              <w:jc w:val="both"/>
              <w:rPr>
                <w:rFonts w:ascii="Arial Narrow" w:hAnsi="Arial Narrow" w:cs="Arial"/>
                <w:sz w:val="20"/>
                <w:szCs w:val="20"/>
              </w:rPr>
            </w:pPr>
            <w:r w:rsidRPr="00260B02">
              <w:rPr>
                <w:rFonts w:ascii="Arial Narrow" w:hAnsi="Arial Narrow" w:cs="Arial"/>
                <w:sz w:val="20"/>
                <w:szCs w:val="20"/>
              </w:rPr>
              <w:t>5</w:t>
            </w:r>
          </w:p>
        </w:tc>
        <w:tc>
          <w:tcPr>
            <w:tcW w:w="850" w:type="dxa"/>
          </w:tcPr>
          <w:p w:rsidR="004C21B7" w:rsidRPr="00260B02" w:rsidRDefault="004C21B7" w:rsidP="00C52B49">
            <w:pPr>
              <w:keepNext/>
              <w:ind w:left="-108"/>
              <w:jc w:val="both"/>
              <w:rPr>
                <w:rFonts w:ascii="Arial Narrow" w:hAnsi="Arial Narrow" w:cs="Arial"/>
                <w:sz w:val="20"/>
                <w:szCs w:val="20"/>
              </w:rPr>
            </w:pPr>
            <w:r w:rsidRPr="00260B02">
              <w:rPr>
                <w:rFonts w:ascii="Arial Narrow" w:hAnsi="Arial Narrow" w:cs="Arial"/>
                <w:sz w:val="20"/>
                <w:szCs w:val="20"/>
              </w:rPr>
              <w:t>1</w:t>
            </w:r>
          </w:p>
        </w:tc>
        <w:tc>
          <w:tcPr>
            <w:tcW w:w="1701" w:type="dxa"/>
          </w:tcPr>
          <w:p w:rsidR="004C21B7" w:rsidRPr="00260B02" w:rsidRDefault="004C21B7" w:rsidP="00C52B49">
            <w:pPr>
              <w:keepNext/>
              <w:ind w:left="-108"/>
              <w:jc w:val="both"/>
              <w:rPr>
                <w:rFonts w:ascii="Arial Narrow" w:hAnsi="Arial Narrow" w:cs="Arial"/>
                <w:sz w:val="20"/>
                <w:szCs w:val="20"/>
              </w:rPr>
            </w:pPr>
          </w:p>
        </w:tc>
        <w:tc>
          <w:tcPr>
            <w:tcW w:w="1559" w:type="dxa"/>
          </w:tcPr>
          <w:p w:rsidR="004C21B7" w:rsidRPr="007C50FC" w:rsidRDefault="007C50FC" w:rsidP="00C52B49">
            <w:pPr>
              <w:keepNext/>
              <w:jc w:val="both"/>
              <w:rPr>
                <w:rFonts w:ascii="Arial Narrow" w:hAnsi="Arial Narrow" w:cs="Arial"/>
                <w:sz w:val="20"/>
                <w:szCs w:val="20"/>
                <w:highlight w:val="black"/>
              </w:rPr>
            </w:pPr>
            <w:r>
              <w:rPr>
                <w:rFonts w:ascii="Arial Narrow" w:hAnsi="Arial Narrow" w:cs="Arial"/>
                <w:noProof/>
                <w:color w:val="000000"/>
                <w:sz w:val="20"/>
                <w:szCs w:val="20"/>
                <w:highlight w:val="black"/>
                <w:vertAlign w:val="superscript"/>
              </w:rPr>
              <w:t>'''''''''''''''''''''''''''</w:t>
            </w:r>
          </w:p>
          <w:p w:rsidR="004C21B7" w:rsidRPr="007C50FC" w:rsidRDefault="007C50FC" w:rsidP="00C52B49">
            <w:pPr>
              <w:keepNext/>
              <w:jc w:val="both"/>
              <w:rPr>
                <w:rFonts w:ascii="Arial Narrow" w:hAnsi="Arial Narrow" w:cs="Arial"/>
                <w:sz w:val="20"/>
                <w:szCs w:val="20"/>
                <w:highlight w:val="black"/>
              </w:rPr>
            </w:pPr>
            <w:r>
              <w:rPr>
                <w:rFonts w:ascii="Arial Narrow" w:hAnsi="Arial Narrow" w:cs="Arial"/>
                <w:noProof/>
                <w:color w:val="000000"/>
                <w:sz w:val="20"/>
                <w:szCs w:val="20"/>
                <w:highlight w:val="black"/>
                <w:vertAlign w:val="superscript"/>
              </w:rPr>
              <w:t>''''''''''''''''''''''''' '''''''''''''''''''''</w:t>
            </w:r>
          </w:p>
          <w:p w:rsidR="004C21B7" w:rsidRPr="007C50FC" w:rsidRDefault="007C50FC" w:rsidP="00C52B49">
            <w:pPr>
              <w:keepNext/>
              <w:jc w:val="both"/>
              <w:rPr>
                <w:rFonts w:ascii="Arial Narrow" w:hAnsi="Arial Narrow" w:cs="Arial"/>
                <w:sz w:val="20"/>
                <w:szCs w:val="20"/>
                <w:highlight w:val="black"/>
              </w:rPr>
            </w:pPr>
            <w:r>
              <w:rPr>
                <w:rFonts w:ascii="Arial Narrow" w:hAnsi="Arial Narrow" w:cs="Arial"/>
                <w:noProof/>
                <w:color w:val="000000"/>
                <w:sz w:val="20"/>
                <w:szCs w:val="20"/>
                <w:highlight w:val="black"/>
                <w:vertAlign w:val="superscript"/>
              </w:rPr>
              <w:t>''''''''''''''''''''</w:t>
            </w:r>
          </w:p>
          <w:p w:rsidR="004C21B7" w:rsidRPr="007C50FC" w:rsidRDefault="007C50FC" w:rsidP="00C52B49">
            <w:pPr>
              <w:keepNext/>
              <w:jc w:val="both"/>
              <w:rPr>
                <w:rFonts w:ascii="Arial Narrow" w:hAnsi="Arial Narrow" w:cs="Arial"/>
                <w:sz w:val="20"/>
                <w:szCs w:val="20"/>
                <w:highlight w:val="black"/>
              </w:rPr>
            </w:pPr>
            <w:r>
              <w:rPr>
                <w:rFonts w:ascii="Arial Narrow" w:hAnsi="Arial Narrow" w:cs="Arial"/>
                <w:noProof/>
                <w:color w:val="000000"/>
                <w:sz w:val="20"/>
                <w:szCs w:val="20"/>
                <w:highlight w:val="black"/>
                <w:vertAlign w:val="superscript"/>
              </w:rPr>
              <w:t>''''''''''''''''' '''''''''''''''''''</w:t>
            </w:r>
          </w:p>
        </w:tc>
        <w:tc>
          <w:tcPr>
            <w:tcW w:w="1276" w:type="dxa"/>
          </w:tcPr>
          <w:p w:rsidR="004C21B7" w:rsidRPr="007C50FC" w:rsidRDefault="007C50FC" w:rsidP="00C52B49">
            <w:pPr>
              <w:keepNext/>
              <w:jc w:val="both"/>
              <w:rPr>
                <w:rFonts w:ascii="Arial Narrow" w:hAnsi="Arial Narrow" w:cs="Arial"/>
                <w:sz w:val="20"/>
                <w:szCs w:val="20"/>
                <w:highlight w:val="black"/>
              </w:rPr>
            </w:pPr>
            <w:r>
              <w:rPr>
                <w:rFonts w:ascii="Arial Narrow" w:hAnsi="Arial Narrow" w:cs="Arial"/>
                <w:noProof/>
                <w:color w:val="000000"/>
                <w:sz w:val="20"/>
                <w:szCs w:val="20"/>
                <w:highlight w:val="black"/>
              </w:rPr>
              <w:t>'''''''</w:t>
            </w:r>
          </w:p>
          <w:p w:rsidR="004C21B7" w:rsidRPr="007C50FC" w:rsidRDefault="007C50FC" w:rsidP="004C21B7">
            <w:pPr>
              <w:keepNext/>
              <w:jc w:val="both"/>
              <w:rPr>
                <w:rFonts w:ascii="Arial Narrow" w:hAnsi="Arial Narrow" w:cs="Arial"/>
                <w:sz w:val="20"/>
                <w:szCs w:val="20"/>
                <w:highlight w:val="black"/>
              </w:rPr>
            </w:pPr>
            <w:r>
              <w:rPr>
                <w:rFonts w:ascii="Arial Narrow" w:hAnsi="Arial Narrow" w:cs="Arial"/>
                <w:noProof/>
                <w:color w:val="000000"/>
                <w:sz w:val="20"/>
                <w:szCs w:val="20"/>
                <w:highlight w:val="black"/>
              </w:rPr>
              <w:t>'''''''</w:t>
            </w:r>
          </w:p>
          <w:p w:rsidR="004C21B7" w:rsidRPr="007C50FC" w:rsidRDefault="004C21B7" w:rsidP="004C21B7">
            <w:pPr>
              <w:rPr>
                <w:rFonts w:ascii="Arial Narrow" w:hAnsi="Arial Narrow" w:cs="Arial"/>
                <w:sz w:val="20"/>
                <w:szCs w:val="20"/>
              </w:rPr>
            </w:pPr>
          </w:p>
          <w:p w:rsidR="004C21B7" w:rsidRPr="007C50FC" w:rsidRDefault="007C50FC" w:rsidP="004C21B7">
            <w:pPr>
              <w:rPr>
                <w:rFonts w:ascii="Arial Narrow" w:hAnsi="Arial Narrow" w:cs="Arial"/>
                <w:sz w:val="20"/>
                <w:szCs w:val="20"/>
                <w:highlight w:val="black"/>
              </w:rPr>
            </w:pPr>
            <w:r>
              <w:rPr>
                <w:rFonts w:ascii="Arial Narrow" w:hAnsi="Arial Narrow" w:cs="Arial"/>
                <w:noProof/>
                <w:color w:val="000000"/>
                <w:sz w:val="20"/>
                <w:szCs w:val="20"/>
                <w:highlight w:val="black"/>
              </w:rPr>
              <w:t>'''''''''</w:t>
            </w:r>
          </w:p>
          <w:p w:rsidR="004C21B7" w:rsidRPr="007C50FC" w:rsidRDefault="007C50FC" w:rsidP="004C21B7">
            <w:pPr>
              <w:rPr>
                <w:rFonts w:ascii="Arial Narrow" w:hAnsi="Arial Narrow" w:cs="Arial"/>
                <w:sz w:val="20"/>
                <w:szCs w:val="20"/>
                <w:highlight w:val="black"/>
              </w:rPr>
            </w:pPr>
            <w:r>
              <w:rPr>
                <w:rFonts w:ascii="Arial Narrow" w:hAnsi="Arial Narrow" w:cs="Arial"/>
                <w:noProof/>
                <w:color w:val="000000"/>
                <w:sz w:val="20"/>
                <w:szCs w:val="20"/>
                <w:highlight w:val="black"/>
              </w:rPr>
              <w:t>'''''''''</w:t>
            </w:r>
          </w:p>
        </w:tc>
      </w:tr>
      <w:tr w:rsidR="004C21B7" w:rsidRPr="009F44FD" w:rsidTr="00C52B49">
        <w:trPr>
          <w:cantSplit/>
          <w:trHeight w:val="360"/>
        </w:trPr>
        <w:tc>
          <w:tcPr>
            <w:tcW w:w="9214" w:type="dxa"/>
            <w:gridSpan w:val="7"/>
            <w:tcBorders>
              <w:bottom w:val="single" w:sz="4" w:space="0" w:color="auto"/>
            </w:tcBorders>
          </w:tcPr>
          <w:p w:rsidR="004C21B7" w:rsidRPr="009F44FD" w:rsidRDefault="004C21B7" w:rsidP="00C52B49">
            <w:pPr>
              <w:jc w:val="both"/>
              <w:rPr>
                <w:rFonts w:ascii="Arial Narrow" w:hAnsi="Arial Narrow" w:cs="Arial"/>
                <w:sz w:val="18"/>
                <w:szCs w:val="18"/>
              </w:rPr>
            </w:pPr>
            <w:r w:rsidRPr="009F44FD">
              <w:rPr>
                <w:rFonts w:ascii="Arial Narrow" w:hAnsi="Arial Narrow" w:cs="Arial"/>
                <w:sz w:val="18"/>
                <w:szCs w:val="18"/>
              </w:rPr>
              <w:t>*Trade name was previously Abasria</w:t>
            </w:r>
            <w:r w:rsidRPr="009F44FD">
              <w:rPr>
                <w:rFonts w:ascii="Arial" w:hAnsi="Arial"/>
                <w:sz w:val="18"/>
                <w:szCs w:val="18"/>
                <w:vertAlign w:val="superscript"/>
              </w:rPr>
              <w:t>®</w:t>
            </w:r>
          </w:p>
        </w:tc>
      </w:tr>
      <w:tr w:rsidR="004C21B7" w:rsidRPr="009F44FD" w:rsidTr="00C52B49">
        <w:trPr>
          <w:cantSplit/>
          <w:trHeight w:val="474"/>
        </w:trPr>
        <w:tc>
          <w:tcPr>
            <w:tcW w:w="1843" w:type="dxa"/>
            <w:tcBorders>
              <w:top w:val="single" w:sz="4" w:space="0" w:color="auto"/>
              <w:left w:val="single" w:sz="4" w:space="0" w:color="auto"/>
              <w:bottom w:val="single" w:sz="4" w:space="0" w:color="auto"/>
              <w:right w:val="single" w:sz="4" w:space="0" w:color="auto"/>
            </w:tcBorders>
          </w:tcPr>
          <w:p w:rsidR="004C21B7" w:rsidRPr="009F44FD" w:rsidRDefault="004C21B7" w:rsidP="00C52B49">
            <w:pPr>
              <w:jc w:val="both"/>
              <w:rPr>
                <w:rFonts w:ascii="Arial Narrow" w:hAnsi="Arial Narrow" w:cs="Arial"/>
                <w:b/>
                <w:sz w:val="20"/>
                <w:szCs w:val="20"/>
              </w:rPr>
            </w:pPr>
            <w:r w:rsidRPr="009F44FD">
              <w:rPr>
                <w:rFonts w:ascii="Arial Narrow" w:hAnsi="Arial Narrow" w:cs="Arial"/>
                <w:b/>
                <w:sz w:val="20"/>
                <w:szCs w:val="20"/>
              </w:rPr>
              <w:t xml:space="preserve">Category / </w:t>
            </w:r>
          </w:p>
          <w:p w:rsidR="004C21B7" w:rsidRPr="009F44FD" w:rsidRDefault="004C21B7" w:rsidP="00C52B49">
            <w:pPr>
              <w:jc w:val="both"/>
              <w:rPr>
                <w:rFonts w:ascii="Arial Narrow" w:hAnsi="Arial Narrow" w:cs="Arial"/>
                <w:b/>
                <w:sz w:val="20"/>
                <w:szCs w:val="20"/>
              </w:rPr>
            </w:pPr>
            <w:r w:rsidRPr="009F44FD">
              <w:rPr>
                <w:rFonts w:ascii="Arial Narrow" w:hAnsi="Arial Narrow" w:cs="Arial"/>
                <w:b/>
                <w:sz w:val="20"/>
                <w:szCs w:val="20"/>
              </w:rPr>
              <w:t>Program</w:t>
            </w:r>
          </w:p>
        </w:tc>
        <w:tc>
          <w:tcPr>
            <w:tcW w:w="7371" w:type="dxa"/>
            <w:gridSpan w:val="6"/>
            <w:tcBorders>
              <w:top w:val="single" w:sz="4" w:space="0" w:color="auto"/>
              <w:left w:val="single" w:sz="4" w:space="0" w:color="auto"/>
              <w:bottom w:val="single" w:sz="4" w:space="0" w:color="auto"/>
              <w:right w:val="single" w:sz="4" w:space="0" w:color="auto"/>
            </w:tcBorders>
          </w:tcPr>
          <w:p w:rsidR="004C21B7" w:rsidRPr="009F44FD" w:rsidRDefault="004C21B7" w:rsidP="00C52B49">
            <w:pPr>
              <w:rPr>
                <w:rFonts w:ascii="Arial Narrow" w:hAnsi="Arial Narrow" w:cs="Arial"/>
                <w:sz w:val="20"/>
                <w:szCs w:val="20"/>
              </w:rPr>
            </w:pPr>
            <w:r w:rsidRPr="009F44FD">
              <w:rPr>
                <w:rFonts w:ascii="Arial Narrow" w:hAnsi="Arial Narrow" w:cs="Arial"/>
                <w:sz w:val="20"/>
                <w:szCs w:val="20"/>
              </w:rPr>
              <w:t>GENERAL – General Schedule (Code GE)</w:t>
            </w:r>
          </w:p>
          <w:p w:rsidR="004C21B7" w:rsidRPr="009F44FD" w:rsidRDefault="004C21B7" w:rsidP="00C52B49">
            <w:pPr>
              <w:rPr>
                <w:rFonts w:ascii="Arial Narrow" w:hAnsi="Arial Narrow" w:cs="Arial"/>
                <w:sz w:val="20"/>
                <w:szCs w:val="20"/>
              </w:rPr>
            </w:pPr>
          </w:p>
        </w:tc>
      </w:tr>
      <w:tr w:rsidR="004C21B7" w:rsidRPr="009F44FD" w:rsidTr="00C52B49">
        <w:trPr>
          <w:cantSplit/>
          <w:trHeight w:val="360"/>
        </w:trPr>
        <w:tc>
          <w:tcPr>
            <w:tcW w:w="1843" w:type="dxa"/>
            <w:tcBorders>
              <w:top w:val="single" w:sz="4" w:space="0" w:color="auto"/>
              <w:left w:val="single" w:sz="4" w:space="0" w:color="auto"/>
              <w:bottom w:val="single" w:sz="4" w:space="0" w:color="auto"/>
              <w:right w:val="single" w:sz="4" w:space="0" w:color="auto"/>
            </w:tcBorders>
          </w:tcPr>
          <w:p w:rsidR="004C21B7" w:rsidRPr="009F44FD" w:rsidRDefault="004C21B7" w:rsidP="00C52B49">
            <w:pPr>
              <w:jc w:val="both"/>
              <w:rPr>
                <w:rFonts w:ascii="Arial Narrow" w:hAnsi="Arial Narrow" w:cs="Arial"/>
                <w:b/>
                <w:sz w:val="20"/>
                <w:szCs w:val="20"/>
              </w:rPr>
            </w:pPr>
            <w:r w:rsidRPr="009F44FD">
              <w:rPr>
                <w:rFonts w:ascii="Arial Narrow" w:hAnsi="Arial Narrow" w:cs="Arial"/>
                <w:b/>
                <w:sz w:val="20"/>
                <w:szCs w:val="20"/>
              </w:rPr>
              <w:t>Prescriber type:</w:t>
            </w:r>
          </w:p>
        </w:tc>
        <w:tc>
          <w:tcPr>
            <w:tcW w:w="7371" w:type="dxa"/>
            <w:gridSpan w:val="6"/>
            <w:tcBorders>
              <w:top w:val="single" w:sz="4" w:space="0" w:color="auto"/>
              <w:left w:val="single" w:sz="4" w:space="0" w:color="auto"/>
              <w:bottom w:val="single" w:sz="4" w:space="0" w:color="auto"/>
              <w:right w:val="single" w:sz="4" w:space="0" w:color="auto"/>
            </w:tcBorders>
          </w:tcPr>
          <w:p w:rsidR="004C21B7" w:rsidRPr="009F44FD" w:rsidRDefault="004C21B7" w:rsidP="00C52B49">
            <w:pPr>
              <w:rPr>
                <w:rFonts w:ascii="Arial Narrow" w:hAnsi="Arial Narrow" w:cs="Arial"/>
                <w:sz w:val="20"/>
                <w:szCs w:val="20"/>
              </w:rPr>
            </w:pPr>
            <w:r w:rsidRPr="009F44FD">
              <w:rPr>
                <w:rFonts w:ascii="Arial Narrow" w:hAnsi="Arial Narrow" w:cs="Arial"/>
                <w:sz w:val="20"/>
                <w:szCs w:val="20"/>
              </w:rPr>
              <w:fldChar w:fldCharType="begin">
                <w:ffData>
                  <w:name w:val=""/>
                  <w:enabled/>
                  <w:calcOnExit w:val="0"/>
                  <w:checkBox>
                    <w:sizeAuto/>
                    <w:default w:val="1"/>
                  </w:checkBox>
                </w:ffData>
              </w:fldChar>
            </w:r>
            <w:r w:rsidRPr="009F44FD">
              <w:rPr>
                <w:rFonts w:ascii="Arial Narrow" w:hAnsi="Arial Narrow" w:cs="Arial"/>
                <w:sz w:val="20"/>
                <w:szCs w:val="20"/>
              </w:rPr>
              <w:instrText xml:space="preserve"> FORMCHECKBOX </w:instrText>
            </w:r>
            <w:r w:rsidR="007E0DA2">
              <w:rPr>
                <w:rFonts w:ascii="Arial Narrow" w:hAnsi="Arial Narrow" w:cs="Arial"/>
                <w:sz w:val="20"/>
                <w:szCs w:val="20"/>
              </w:rPr>
            </w:r>
            <w:r w:rsidR="007E0DA2">
              <w:rPr>
                <w:rFonts w:ascii="Arial Narrow" w:hAnsi="Arial Narrow" w:cs="Arial"/>
                <w:sz w:val="20"/>
                <w:szCs w:val="20"/>
              </w:rPr>
              <w:fldChar w:fldCharType="separate"/>
            </w:r>
            <w:r w:rsidRPr="009F44FD">
              <w:rPr>
                <w:rFonts w:ascii="Arial Narrow" w:hAnsi="Arial Narrow" w:cs="Arial"/>
                <w:sz w:val="20"/>
                <w:szCs w:val="20"/>
              </w:rPr>
              <w:fldChar w:fldCharType="end"/>
            </w:r>
            <w:r w:rsidRPr="009F44FD">
              <w:rPr>
                <w:rFonts w:ascii="Arial Narrow" w:hAnsi="Arial Narrow" w:cs="Arial"/>
                <w:sz w:val="20"/>
                <w:szCs w:val="20"/>
              </w:rPr>
              <w:t xml:space="preserve">Medical Practitioners  </w:t>
            </w:r>
            <w:r w:rsidRPr="009F44FD">
              <w:rPr>
                <w:rFonts w:ascii="Arial Narrow" w:hAnsi="Arial Narrow" w:cs="Arial"/>
                <w:sz w:val="20"/>
                <w:szCs w:val="20"/>
              </w:rPr>
              <w:fldChar w:fldCharType="begin">
                <w:ffData>
                  <w:name w:val="Check3"/>
                  <w:enabled/>
                  <w:calcOnExit w:val="0"/>
                  <w:checkBox>
                    <w:sizeAuto/>
                    <w:default w:val="1"/>
                  </w:checkBox>
                </w:ffData>
              </w:fldChar>
            </w:r>
            <w:r w:rsidRPr="009F44FD">
              <w:rPr>
                <w:rFonts w:ascii="Arial Narrow" w:hAnsi="Arial Narrow" w:cs="Arial"/>
                <w:sz w:val="20"/>
                <w:szCs w:val="20"/>
              </w:rPr>
              <w:instrText xml:space="preserve"> FORMCHECKBOX </w:instrText>
            </w:r>
            <w:r w:rsidR="007E0DA2">
              <w:rPr>
                <w:rFonts w:ascii="Arial Narrow" w:hAnsi="Arial Narrow" w:cs="Arial"/>
                <w:sz w:val="20"/>
                <w:szCs w:val="20"/>
              </w:rPr>
            </w:r>
            <w:r w:rsidR="007E0DA2">
              <w:rPr>
                <w:rFonts w:ascii="Arial Narrow" w:hAnsi="Arial Narrow" w:cs="Arial"/>
                <w:sz w:val="20"/>
                <w:szCs w:val="20"/>
              </w:rPr>
              <w:fldChar w:fldCharType="separate"/>
            </w:r>
            <w:r w:rsidRPr="009F44FD">
              <w:rPr>
                <w:rFonts w:ascii="Arial Narrow" w:hAnsi="Arial Narrow" w:cs="Arial"/>
                <w:sz w:val="20"/>
                <w:szCs w:val="20"/>
              </w:rPr>
              <w:fldChar w:fldCharType="end"/>
            </w:r>
            <w:r w:rsidRPr="009F44FD">
              <w:rPr>
                <w:rFonts w:ascii="Arial Narrow" w:hAnsi="Arial Narrow" w:cs="Arial"/>
                <w:sz w:val="20"/>
                <w:szCs w:val="20"/>
              </w:rPr>
              <w:t xml:space="preserve">Nurse practitioners  </w:t>
            </w:r>
          </w:p>
        </w:tc>
      </w:tr>
      <w:tr w:rsidR="00692561" w:rsidRPr="009F44FD" w:rsidTr="00C52B49">
        <w:trPr>
          <w:cantSplit/>
          <w:trHeight w:val="360"/>
        </w:trPr>
        <w:tc>
          <w:tcPr>
            <w:tcW w:w="1843" w:type="dxa"/>
            <w:tcBorders>
              <w:top w:val="single" w:sz="4" w:space="0" w:color="auto"/>
              <w:left w:val="single" w:sz="4" w:space="0" w:color="auto"/>
              <w:bottom w:val="single" w:sz="4" w:space="0" w:color="auto"/>
              <w:right w:val="single" w:sz="4" w:space="0" w:color="auto"/>
            </w:tcBorders>
          </w:tcPr>
          <w:p w:rsidR="00692561" w:rsidRPr="009F44FD" w:rsidRDefault="00692561" w:rsidP="00C52B49">
            <w:pPr>
              <w:jc w:val="both"/>
              <w:rPr>
                <w:rFonts w:ascii="Arial Narrow" w:hAnsi="Arial Narrow" w:cs="Arial"/>
                <w:b/>
                <w:sz w:val="20"/>
                <w:szCs w:val="20"/>
              </w:rPr>
            </w:pPr>
            <w:r>
              <w:rPr>
                <w:rFonts w:ascii="Arial Narrow" w:hAnsi="Arial Narrow" w:cs="Arial"/>
                <w:b/>
                <w:sz w:val="20"/>
                <w:szCs w:val="20"/>
              </w:rPr>
              <w:t xml:space="preserve">Restriction Level / Method: </w:t>
            </w:r>
          </w:p>
        </w:tc>
        <w:tc>
          <w:tcPr>
            <w:tcW w:w="7371" w:type="dxa"/>
            <w:gridSpan w:val="6"/>
            <w:tcBorders>
              <w:top w:val="single" w:sz="4" w:space="0" w:color="auto"/>
              <w:left w:val="single" w:sz="4" w:space="0" w:color="auto"/>
              <w:bottom w:val="single" w:sz="4" w:space="0" w:color="auto"/>
              <w:right w:val="single" w:sz="4" w:space="0" w:color="auto"/>
            </w:tcBorders>
          </w:tcPr>
          <w:p w:rsidR="00692561" w:rsidRPr="009F44FD" w:rsidRDefault="00692561" w:rsidP="00C52B49">
            <w:pPr>
              <w:rPr>
                <w:rFonts w:ascii="Arial Narrow" w:hAnsi="Arial Narrow" w:cs="Arial"/>
                <w:sz w:val="20"/>
                <w:szCs w:val="20"/>
              </w:rPr>
            </w:pPr>
            <w:r>
              <w:rPr>
                <w:rFonts w:ascii="Arial Narrow" w:hAnsi="Arial Narrow" w:cs="Arial"/>
                <w:sz w:val="20"/>
                <w:szCs w:val="20"/>
              </w:rPr>
              <w:t>Unrestricted</w:t>
            </w:r>
          </w:p>
        </w:tc>
      </w:tr>
    </w:tbl>
    <w:p w:rsidR="00C82D2A" w:rsidRDefault="00C82D2A" w:rsidP="005F0C30">
      <w:pPr>
        <w:rPr>
          <w:rFonts w:ascii="Arial" w:hAnsi="Arial"/>
          <w:b/>
          <w:sz w:val="22"/>
          <w:szCs w:val="22"/>
        </w:rPr>
      </w:pPr>
    </w:p>
    <w:p w:rsidR="00014253" w:rsidRDefault="00014253" w:rsidP="005F0C30">
      <w:pPr>
        <w:rPr>
          <w:rFonts w:ascii="Arial" w:hAnsi="Arial"/>
          <w:b/>
          <w:sz w:val="22"/>
          <w:szCs w:val="22"/>
        </w:rPr>
      </w:pPr>
    </w:p>
    <w:p w:rsidR="00014253" w:rsidRPr="00014253" w:rsidRDefault="00014253" w:rsidP="00D30CA9">
      <w:pPr>
        <w:pStyle w:val="PBACheading1"/>
        <w:rPr>
          <w:snapToGrid w:val="0"/>
          <w:lang w:eastAsia="en-US"/>
        </w:rPr>
      </w:pPr>
      <w:r w:rsidRPr="00014253">
        <w:rPr>
          <w:snapToGrid w:val="0"/>
          <w:lang w:eastAsia="en-US"/>
        </w:rPr>
        <w:t>Context for Decision</w:t>
      </w:r>
    </w:p>
    <w:p w:rsidR="00014253" w:rsidRPr="00014253" w:rsidRDefault="00014253" w:rsidP="00014253">
      <w:pPr>
        <w:widowControl w:val="0"/>
        <w:ind w:left="720"/>
        <w:contextualSpacing/>
        <w:jc w:val="both"/>
        <w:rPr>
          <w:rFonts w:ascii="Arial" w:hAnsi="Arial" w:cs="Arial"/>
          <w:b/>
          <w:snapToGrid w:val="0"/>
          <w:sz w:val="22"/>
          <w:szCs w:val="20"/>
          <w:lang w:eastAsia="en-US"/>
        </w:rPr>
      </w:pPr>
    </w:p>
    <w:p w:rsidR="00014253" w:rsidRPr="00014253" w:rsidRDefault="00014253" w:rsidP="00014253">
      <w:pPr>
        <w:widowControl w:val="0"/>
        <w:ind w:left="720"/>
        <w:jc w:val="both"/>
        <w:rPr>
          <w:rFonts w:ascii="Arial" w:hAnsi="Arial" w:cs="Arial"/>
          <w:snapToGrid w:val="0"/>
          <w:sz w:val="22"/>
          <w:szCs w:val="20"/>
          <w:lang w:eastAsia="en-US"/>
        </w:rPr>
      </w:pPr>
      <w:r w:rsidRPr="00014253">
        <w:rPr>
          <w:rFonts w:ascii="Arial" w:hAnsi="Arial" w:cs="Arial"/>
          <w:snapToGrid w:val="0"/>
          <w:sz w:val="22"/>
          <w:szCs w:val="20"/>
          <w:lang w:eastAsia="en-US"/>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014253" w:rsidRPr="00014253" w:rsidRDefault="00014253" w:rsidP="00014253">
      <w:pPr>
        <w:widowControl w:val="0"/>
        <w:jc w:val="both"/>
        <w:rPr>
          <w:rFonts w:ascii="Arial" w:hAnsi="Arial" w:cs="Arial"/>
          <w:snapToGrid w:val="0"/>
          <w:sz w:val="22"/>
          <w:szCs w:val="20"/>
          <w:lang w:eastAsia="en-US"/>
        </w:rPr>
      </w:pPr>
    </w:p>
    <w:p w:rsidR="00014253" w:rsidRPr="00014253" w:rsidRDefault="00014253" w:rsidP="00014253">
      <w:pPr>
        <w:widowControl w:val="0"/>
        <w:jc w:val="both"/>
        <w:rPr>
          <w:rFonts w:ascii="Arial" w:hAnsi="Arial" w:cs="Arial"/>
          <w:snapToGrid w:val="0"/>
          <w:sz w:val="22"/>
          <w:szCs w:val="20"/>
          <w:lang w:eastAsia="en-US"/>
        </w:rPr>
      </w:pPr>
    </w:p>
    <w:p w:rsidR="00014253" w:rsidRPr="00014253" w:rsidRDefault="00014253" w:rsidP="00D30CA9">
      <w:pPr>
        <w:pStyle w:val="PBACheading1"/>
        <w:rPr>
          <w:snapToGrid w:val="0"/>
          <w:lang w:eastAsia="en-US"/>
        </w:rPr>
      </w:pPr>
      <w:r w:rsidRPr="00014253">
        <w:rPr>
          <w:snapToGrid w:val="0"/>
          <w:lang w:eastAsia="en-US"/>
        </w:rPr>
        <w:t>Sponsor’s Comment</w:t>
      </w:r>
    </w:p>
    <w:p w:rsidR="00014253" w:rsidRDefault="00014253" w:rsidP="00014253">
      <w:pPr>
        <w:rPr>
          <w:rFonts w:ascii="Arial" w:hAnsi="Arial" w:cs="Arial"/>
          <w:snapToGrid w:val="0"/>
          <w:sz w:val="22"/>
          <w:szCs w:val="20"/>
          <w:lang w:eastAsia="en-US"/>
        </w:rPr>
      </w:pPr>
    </w:p>
    <w:p w:rsidR="001A4BFF" w:rsidRPr="00014253" w:rsidRDefault="001A4BFF" w:rsidP="001A4BFF">
      <w:pPr>
        <w:ind w:left="720"/>
        <w:rPr>
          <w:rFonts w:ascii="Arial" w:hAnsi="Arial" w:cs="Arial"/>
          <w:snapToGrid w:val="0"/>
          <w:sz w:val="22"/>
          <w:szCs w:val="20"/>
          <w:lang w:eastAsia="en-US"/>
        </w:rPr>
      </w:pPr>
      <w:r>
        <w:rPr>
          <w:rFonts w:ascii="Arial" w:hAnsi="Arial" w:cs="Arial"/>
          <w:snapToGrid w:val="0"/>
          <w:sz w:val="22"/>
          <w:szCs w:val="20"/>
          <w:lang w:eastAsia="en-US"/>
        </w:rPr>
        <w:t xml:space="preserve">The Sponsor had no comment. </w:t>
      </w:r>
    </w:p>
    <w:sectPr w:rsidR="001A4BFF" w:rsidRPr="00014253" w:rsidSect="00653D69">
      <w:headerReference w:type="even" r:id="rId9"/>
      <w:headerReference w:type="default" r:id="rId10"/>
      <w:footerReference w:type="even" r:id="rId11"/>
      <w:footerReference w:type="default" r:id="rId12"/>
      <w:footerReference w:type="first" r:id="rId13"/>
      <w:pgSz w:w="11906" w:h="16838" w:code="9"/>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50FC" w:rsidRDefault="007C50FC">
      <w:r>
        <w:separator/>
      </w:r>
    </w:p>
  </w:endnote>
  <w:endnote w:type="continuationSeparator" w:id="0">
    <w:p w:rsidR="007C50FC" w:rsidRDefault="007C5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TimesNewRomanPSMT">
    <w:altName w:val="Times New Roman"/>
    <w:panose1 w:val="00000000000000000000"/>
    <w:charset w:val="0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C123A2" w:rsidTr="005A3173">
      <w:trPr>
        <w:trHeight w:val="151"/>
      </w:trPr>
      <w:tc>
        <w:tcPr>
          <w:tcW w:w="2250" w:type="pct"/>
          <w:tcBorders>
            <w:top w:val="nil"/>
            <w:left w:val="nil"/>
            <w:bottom w:val="single" w:sz="4" w:space="0" w:color="4F81BD"/>
            <w:right w:val="nil"/>
          </w:tcBorders>
        </w:tcPr>
        <w:p w:rsidR="00C123A2" w:rsidRPr="005A3173" w:rsidRDefault="00C123A2" w:rsidP="005A3173">
          <w:pPr>
            <w:pStyle w:val="Header"/>
            <w:spacing w:line="276" w:lineRule="auto"/>
            <w:rPr>
              <w:rFonts w:ascii="Calibri" w:eastAsia="MS Gothic" w:hAnsi="Calibri"/>
              <w:b/>
              <w:bCs/>
              <w:color w:val="4F81BD"/>
            </w:rPr>
          </w:pPr>
        </w:p>
      </w:tc>
      <w:tc>
        <w:tcPr>
          <w:tcW w:w="500" w:type="pct"/>
          <w:vMerge w:val="restart"/>
          <w:noWrap/>
          <w:vAlign w:val="center"/>
          <w:hideMark/>
        </w:tcPr>
        <w:p w:rsidR="00C123A2" w:rsidRPr="005A3173" w:rsidRDefault="00C123A2"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C123A2" w:rsidRPr="005A3173" w:rsidRDefault="00C123A2" w:rsidP="005A3173">
          <w:pPr>
            <w:pStyle w:val="Header"/>
            <w:spacing w:line="276" w:lineRule="auto"/>
            <w:rPr>
              <w:rFonts w:ascii="Calibri" w:eastAsia="MS Gothic" w:hAnsi="Calibri"/>
              <w:b/>
              <w:bCs/>
              <w:color w:val="4F81BD"/>
            </w:rPr>
          </w:pPr>
        </w:p>
      </w:tc>
    </w:tr>
    <w:tr w:rsidR="00C123A2" w:rsidTr="005A3173">
      <w:trPr>
        <w:trHeight w:val="150"/>
      </w:trPr>
      <w:tc>
        <w:tcPr>
          <w:tcW w:w="2250" w:type="pct"/>
          <w:tcBorders>
            <w:top w:val="single" w:sz="4" w:space="0" w:color="4F81BD"/>
            <w:left w:val="nil"/>
            <w:bottom w:val="nil"/>
            <w:right w:val="nil"/>
          </w:tcBorders>
        </w:tcPr>
        <w:p w:rsidR="00C123A2" w:rsidRPr="005A3173" w:rsidRDefault="00C123A2" w:rsidP="005A3173">
          <w:pPr>
            <w:pStyle w:val="Header"/>
            <w:spacing w:line="276" w:lineRule="auto"/>
            <w:rPr>
              <w:rFonts w:ascii="Calibri" w:eastAsia="MS Gothic" w:hAnsi="Calibri"/>
              <w:b/>
              <w:bCs/>
              <w:color w:val="4F81BD"/>
            </w:rPr>
          </w:pPr>
        </w:p>
      </w:tc>
      <w:tc>
        <w:tcPr>
          <w:tcW w:w="0" w:type="auto"/>
          <w:vMerge/>
          <w:vAlign w:val="center"/>
          <w:hideMark/>
        </w:tcPr>
        <w:p w:rsidR="00C123A2" w:rsidRPr="005A3173" w:rsidRDefault="00C123A2" w:rsidP="005A3173">
          <w:pPr>
            <w:rPr>
              <w:rFonts w:ascii="Calibri" w:hAnsi="Calibri"/>
              <w:color w:val="365F91"/>
              <w:sz w:val="22"/>
              <w:szCs w:val="22"/>
            </w:rPr>
          </w:pPr>
        </w:p>
      </w:tc>
      <w:tc>
        <w:tcPr>
          <w:tcW w:w="2250" w:type="pct"/>
          <w:tcBorders>
            <w:top w:val="single" w:sz="4" w:space="0" w:color="4F81BD"/>
            <w:left w:val="nil"/>
            <w:bottom w:val="nil"/>
            <w:right w:val="nil"/>
          </w:tcBorders>
        </w:tcPr>
        <w:p w:rsidR="00C123A2" w:rsidRPr="005A3173" w:rsidRDefault="00C123A2" w:rsidP="005A3173">
          <w:pPr>
            <w:pStyle w:val="Header"/>
            <w:spacing w:line="276" w:lineRule="auto"/>
            <w:rPr>
              <w:rFonts w:ascii="Calibri" w:eastAsia="MS Gothic" w:hAnsi="Calibri"/>
              <w:b/>
              <w:bCs/>
              <w:color w:val="4F81BD"/>
            </w:rPr>
          </w:pPr>
        </w:p>
      </w:tc>
    </w:tr>
  </w:tbl>
  <w:p w:rsidR="00C123A2" w:rsidRDefault="00C123A2"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123A2" w:rsidRDefault="00C123A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3A2" w:rsidRDefault="00C123A2" w:rsidP="00EF44A0">
    <w:pPr>
      <w:pStyle w:val="Footer"/>
      <w:jc w:val="center"/>
      <w:rPr>
        <w:rFonts w:ascii="Arial" w:hAnsi="Arial" w:cs="Arial"/>
        <w:b/>
        <w:sz w:val="20"/>
        <w:szCs w:val="20"/>
      </w:rPr>
    </w:pPr>
  </w:p>
  <w:p w:rsidR="00C123A2" w:rsidRDefault="00C123A2" w:rsidP="00EF44A0">
    <w:pPr>
      <w:pStyle w:val="Footer"/>
    </w:pPr>
  </w:p>
  <w:p w:rsidR="00C123A2" w:rsidRPr="00020678" w:rsidRDefault="007E0DA2">
    <w:pPr>
      <w:pStyle w:val="Footer"/>
      <w:jc w:val="center"/>
      <w:rPr>
        <w:rFonts w:ascii="Arial" w:hAnsi="Arial" w:cs="Arial"/>
        <w:sz w:val="22"/>
        <w:szCs w:val="22"/>
      </w:rPr>
    </w:pPr>
    <w:sdt>
      <w:sdtPr>
        <w:id w:val="646254239"/>
        <w:docPartObj>
          <w:docPartGallery w:val="Page Numbers (Bottom of Page)"/>
          <w:docPartUnique/>
        </w:docPartObj>
      </w:sdtPr>
      <w:sdtEndPr>
        <w:rPr>
          <w:rFonts w:ascii="Arial" w:hAnsi="Arial" w:cs="Arial"/>
          <w:noProof/>
          <w:sz w:val="22"/>
          <w:szCs w:val="22"/>
        </w:rPr>
      </w:sdtEndPr>
      <w:sdtContent>
        <w:r w:rsidR="00C123A2" w:rsidRPr="00020678">
          <w:rPr>
            <w:rFonts w:ascii="Arial" w:hAnsi="Arial" w:cs="Arial"/>
            <w:sz w:val="22"/>
            <w:szCs w:val="22"/>
          </w:rPr>
          <w:fldChar w:fldCharType="begin"/>
        </w:r>
        <w:r w:rsidR="00C123A2" w:rsidRPr="00020678">
          <w:rPr>
            <w:rFonts w:ascii="Arial" w:hAnsi="Arial" w:cs="Arial"/>
            <w:sz w:val="22"/>
            <w:szCs w:val="22"/>
          </w:rPr>
          <w:instrText xml:space="preserve"> PAGE   \* MERGEFORMAT </w:instrText>
        </w:r>
        <w:r w:rsidR="00C123A2" w:rsidRPr="00020678">
          <w:rPr>
            <w:rFonts w:ascii="Arial" w:hAnsi="Arial" w:cs="Arial"/>
            <w:sz w:val="22"/>
            <w:szCs w:val="22"/>
          </w:rPr>
          <w:fldChar w:fldCharType="separate"/>
        </w:r>
        <w:r>
          <w:rPr>
            <w:rFonts w:ascii="Arial" w:hAnsi="Arial" w:cs="Arial"/>
            <w:noProof/>
            <w:sz w:val="22"/>
            <w:szCs w:val="22"/>
          </w:rPr>
          <w:t>15</w:t>
        </w:r>
        <w:r w:rsidR="00C123A2" w:rsidRPr="00020678">
          <w:rPr>
            <w:rFonts w:ascii="Arial" w:hAnsi="Arial" w:cs="Arial"/>
            <w:noProof/>
            <w:sz w:val="22"/>
            <w:szCs w:val="22"/>
          </w:rPr>
          <w:fldChar w:fldCharType="end"/>
        </w:r>
      </w:sdtContent>
    </w:sdt>
  </w:p>
  <w:p w:rsidR="00C123A2" w:rsidRPr="008F1434" w:rsidRDefault="00C123A2" w:rsidP="008F143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C123A2" w:rsidTr="005A3173">
      <w:trPr>
        <w:trHeight w:val="151"/>
      </w:trPr>
      <w:tc>
        <w:tcPr>
          <w:tcW w:w="2250" w:type="pct"/>
          <w:tcBorders>
            <w:top w:val="nil"/>
            <w:left w:val="nil"/>
            <w:bottom w:val="single" w:sz="4" w:space="0" w:color="4F81BD"/>
            <w:right w:val="nil"/>
          </w:tcBorders>
        </w:tcPr>
        <w:p w:rsidR="00C123A2" w:rsidRPr="005A3173" w:rsidRDefault="00C123A2" w:rsidP="005A3173">
          <w:pPr>
            <w:pStyle w:val="Header"/>
            <w:spacing w:line="276" w:lineRule="auto"/>
            <w:rPr>
              <w:rFonts w:ascii="Calibri" w:eastAsia="MS Gothic" w:hAnsi="Calibri"/>
              <w:b/>
              <w:bCs/>
              <w:color w:val="4F81BD"/>
            </w:rPr>
          </w:pPr>
        </w:p>
      </w:tc>
      <w:tc>
        <w:tcPr>
          <w:tcW w:w="500" w:type="pct"/>
          <w:vMerge w:val="restart"/>
          <w:noWrap/>
          <w:vAlign w:val="center"/>
          <w:hideMark/>
        </w:tcPr>
        <w:p w:rsidR="00C123A2" w:rsidRPr="005A3173" w:rsidRDefault="00C123A2"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C123A2" w:rsidRPr="005A3173" w:rsidRDefault="00C123A2" w:rsidP="005A3173">
          <w:pPr>
            <w:pStyle w:val="Header"/>
            <w:spacing w:line="276" w:lineRule="auto"/>
            <w:rPr>
              <w:rFonts w:ascii="Calibri" w:eastAsia="MS Gothic" w:hAnsi="Calibri"/>
              <w:b/>
              <w:bCs/>
              <w:color w:val="4F81BD"/>
            </w:rPr>
          </w:pPr>
        </w:p>
      </w:tc>
    </w:tr>
    <w:tr w:rsidR="00C123A2" w:rsidTr="005A3173">
      <w:trPr>
        <w:trHeight w:val="150"/>
      </w:trPr>
      <w:tc>
        <w:tcPr>
          <w:tcW w:w="2250" w:type="pct"/>
          <w:tcBorders>
            <w:top w:val="single" w:sz="4" w:space="0" w:color="4F81BD"/>
            <w:left w:val="nil"/>
            <w:bottom w:val="nil"/>
            <w:right w:val="nil"/>
          </w:tcBorders>
        </w:tcPr>
        <w:p w:rsidR="00C123A2" w:rsidRPr="005A3173" w:rsidRDefault="00C123A2" w:rsidP="005A3173">
          <w:pPr>
            <w:pStyle w:val="Header"/>
            <w:spacing w:line="276" w:lineRule="auto"/>
            <w:rPr>
              <w:rFonts w:ascii="Calibri" w:eastAsia="MS Gothic" w:hAnsi="Calibri"/>
              <w:b/>
              <w:bCs/>
              <w:color w:val="4F81BD"/>
            </w:rPr>
          </w:pPr>
        </w:p>
      </w:tc>
      <w:tc>
        <w:tcPr>
          <w:tcW w:w="0" w:type="auto"/>
          <w:vMerge/>
          <w:vAlign w:val="center"/>
          <w:hideMark/>
        </w:tcPr>
        <w:p w:rsidR="00C123A2" w:rsidRPr="005A3173" w:rsidRDefault="00C123A2" w:rsidP="005A3173">
          <w:pPr>
            <w:rPr>
              <w:rFonts w:ascii="Calibri" w:hAnsi="Calibri"/>
              <w:color w:val="365F91"/>
              <w:sz w:val="22"/>
              <w:szCs w:val="22"/>
            </w:rPr>
          </w:pPr>
        </w:p>
      </w:tc>
      <w:tc>
        <w:tcPr>
          <w:tcW w:w="2250" w:type="pct"/>
          <w:tcBorders>
            <w:top w:val="single" w:sz="4" w:space="0" w:color="4F81BD"/>
            <w:left w:val="nil"/>
            <w:bottom w:val="nil"/>
            <w:right w:val="nil"/>
          </w:tcBorders>
        </w:tcPr>
        <w:p w:rsidR="00C123A2" w:rsidRPr="005A3173" w:rsidRDefault="00C123A2"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C123A2" w:rsidTr="005A3173">
      <w:trPr>
        <w:trHeight w:val="151"/>
      </w:trPr>
      <w:tc>
        <w:tcPr>
          <w:tcW w:w="2250" w:type="pct"/>
          <w:tcBorders>
            <w:top w:val="nil"/>
            <w:left w:val="nil"/>
            <w:bottom w:val="single" w:sz="4" w:space="0" w:color="4F81BD"/>
            <w:right w:val="nil"/>
          </w:tcBorders>
        </w:tcPr>
        <w:p w:rsidR="00C123A2" w:rsidRPr="005A3173" w:rsidRDefault="00C123A2" w:rsidP="005A3173">
          <w:pPr>
            <w:pStyle w:val="Header"/>
            <w:spacing w:line="276" w:lineRule="auto"/>
            <w:rPr>
              <w:rFonts w:ascii="Calibri" w:eastAsia="MS Gothic" w:hAnsi="Calibri"/>
              <w:b/>
              <w:bCs/>
              <w:color w:val="4F81BD"/>
            </w:rPr>
          </w:pPr>
        </w:p>
      </w:tc>
      <w:tc>
        <w:tcPr>
          <w:tcW w:w="500" w:type="pct"/>
          <w:vMerge w:val="restart"/>
          <w:noWrap/>
          <w:vAlign w:val="center"/>
          <w:hideMark/>
        </w:tcPr>
        <w:p w:rsidR="00C123A2" w:rsidRPr="005A3173" w:rsidRDefault="00C123A2"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C123A2" w:rsidRPr="005A3173" w:rsidRDefault="00C123A2" w:rsidP="005A3173">
          <w:pPr>
            <w:pStyle w:val="Header"/>
            <w:spacing w:line="276" w:lineRule="auto"/>
            <w:rPr>
              <w:rFonts w:ascii="Calibri" w:eastAsia="MS Gothic" w:hAnsi="Calibri"/>
              <w:b/>
              <w:bCs/>
              <w:color w:val="4F81BD"/>
            </w:rPr>
          </w:pPr>
        </w:p>
      </w:tc>
    </w:tr>
    <w:tr w:rsidR="00C123A2" w:rsidTr="005A3173">
      <w:trPr>
        <w:trHeight w:val="150"/>
      </w:trPr>
      <w:tc>
        <w:tcPr>
          <w:tcW w:w="2250" w:type="pct"/>
          <w:tcBorders>
            <w:top w:val="single" w:sz="4" w:space="0" w:color="4F81BD"/>
            <w:left w:val="nil"/>
            <w:bottom w:val="nil"/>
            <w:right w:val="nil"/>
          </w:tcBorders>
        </w:tcPr>
        <w:p w:rsidR="00C123A2" w:rsidRPr="005A3173" w:rsidRDefault="00C123A2" w:rsidP="005A3173">
          <w:pPr>
            <w:pStyle w:val="Header"/>
            <w:spacing w:line="276" w:lineRule="auto"/>
            <w:rPr>
              <w:rFonts w:ascii="Calibri" w:eastAsia="MS Gothic" w:hAnsi="Calibri"/>
              <w:b/>
              <w:bCs/>
              <w:color w:val="4F81BD"/>
            </w:rPr>
          </w:pPr>
        </w:p>
      </w:tc>
      <w:tc>
        <w:tcPr>
          <w:tcW w:w="0" w:type="auto"/>
          <w:vMerge/>
          <w:vAlign w:val="center"/>
          <w:hideMark/>
        </w:tcPr>
        <w:p w:rsidR="00C123A2" w:rsidRPr="005A3173" w:rsidRDefault="00C123A2" w:rsidP="005A3173">
          <w:pPr>
            <w:rPr>
              <w:rFonts w:ascii="Calibri" w:hAnsi="Calibri"/>
              <w:color w:val="365F91"/>
              <w:sz w:val="22"/>
              <w:szCs w:val="22"/>
            </w:rPr>
          </w:pPr>
        </w:p>
      </w:tc>
      <w:tc>
        <w:tcPr>
          <w:tcW w:w="2250" w:type="pct"/>
          <w:tcBorders>
            <w:top w:val="single" w:sz="4" w:space="0" w:color="4F81BD"/>
            <w:left w:val="nil"/>
            <w:bottom w:val="nil"/>
            <w:right w:val="nil"/>
          </w:tcBorders>
        </w:tcPr>
        <w:p w:rsidR="00C123A2" w:rsidRPr="005A3173" w:rsidRDefault="00C123A2" w:rsidP="005A3173">
          <w:pPr>
            <w:pStyle w:val="Header"/>
            <w:spacing w:line="276" w:lineRule="auto"/>
            <w:rPr>
              <w:rFonts w:ascii="Calibri" w:eastAsia="MS Gothic" w:hAnsi="Calibri"/>
              <w:b/>
              <w:bCs/>
              <w:color w:val="4F81BD"/>
            </w:rPr>
          </w:pPr>
        </w:p>
      </w:tc>
    </w:tr>
  </w:tbl>
  <w:p w:rsidR="00C123A2" w:rsidRPr="007C0F57" w:rsidRDefault="00C123A2"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C123A2" w:rsidRPr="007C0F57" w:rsidRDefault="00C123A2" w:rsidP="007C0F57">
    <w:pPr>
      <w:pStyle w:val="Footer"/>
      <w:jc w:val="center"/>
      <w:rPr>
        <w:b/>
        <w:i/>
        <w:sz w:val="20"/>
        <w:szCs w:val="20"/>
      </w:rPr>
    </w:pPr>
    <w:r w:rsidRPr="007C0F57">
      <w:rPr>
        <w:b/>
        <w:i/>
        <w:sz w:val="20"/>
        <w:szCs w:val="20"/>
      </w:rPr>
      <w:t>Commercial-in-Confidence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50FC" w:rsidRDefault="007C50FC">
      <w:r>
        <w:separator/>
      </w:r>
    </w:p>
  </w:footnote>
  <w:footnote w:type="continuationSeparator" w:id="0">
    <w:p w:rsidR="007C50FC" w:rsidRDefault="007C50FC">
      <w:r>
        <w:continuationSeparator/>
      </w:r>
    </w:p>
  </w:footnote>
  <w:footnote w:id="1">
    <w:p w:rsidR="00C123A2" w:rsidRDefault="00C123A2" w:rsidP="004C47CB">
      <w:pPr>
        <w:pStyle w:val="FootnoteText"/>
      </w:pPr>
      <w:r>
        <w:rPr>
          <w:rStyle w:val="FootnoteReference"/>
        </w:rPr>
        <w:footnoteRef/>
      </w:r>
      <w:r>
        <w:t xml:space="preserve"> </w:t>
      </w:r>
      <w:r w:rsidRPr="00163663">
        <w:rPr>
          <w:rFonts w:ascii="Arial Narrow" w:hAnsi="Arial Narrow" w:cs="Arial"/>
          <w:sz w:val="18"/>
          <w:szCs w:val="18"/>
        </w:rPr>
        <w:t>Barlas, S. "The Pharmaceutical Industry Tussles Over Biosimilars: Federal and State Decisions Will Have a Big Impact on Pharmacists." Pharmacy and Therapeutics 39.4 (2014): 278</w:t>
      </w:r>
      <w:r>
        <w:rPr>
          <w:rFonts w:ascii="Arial Narrow" w:hAnsi="Arial Narrow" w:cs="Arial"/>
          <w:sz w:val="18"/>
          <w:szCs w:val="18"/>
        </w:rPr>
        <w:t>-80.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C123A2" w:rsidRPr="008E0D90" w:rsidTr="00A06225">
      <w:trPr>
        <w:trHeight w:val="151"/>
      </w:trPr>
      <w:tc>
        <w:tcPr>
          <w:tcW w:w="2389" w:type="pct"/>
          <w:tcBorders>
            <w:top w:val="nil"/>
            <w:left w:val="nil"/>
            <w:bottom w:val="single" w:sz="4" w:space="0" w:color="4F81BD"/>
            <w:right w:val="nil"/>
          </w:tcBorders>
        </w:tcPr>
        <w:p w:rsidR="00C123A2" w:rsidRPr="00A06225" w:rsidRDefault="00C123A2">
          <w:pPr>
            <w:pStyle w:val="Header"/>
            <w:spacing w:line="276" w:lineRule="auto"/>
            <w:rPr>
              <w:rFonts w:ascii="Cambria" w:eastAsia="MS Gothic" w:hAnsi="Cambria"/>
              <w:b/>
              <w:bCs/>
              <w:color w:val="4F81BD"/>
            </w:rPr>
          </w:pPr>
        </w:p>
      </w:tc>
      <w:tc>
        <w:tcPr>
          <w:tcW w:w="333" w:type="pct"/>
          <w:vMerge w:val="restart"/>
          <w:noWrap/>
          <w:vAlign w:val="center"/>
          <w:hideMark/>
        </w:tcPr>
        <w:p w:rsidR="00C123A2" w:rsidRPr="00A06225" w:rsidRDefault="00C123A2"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C123A2" w:rsidRPr="00A06225" w:rsidRDefault="00C123A2">
          <w:pPr>
            <w:pStyle w:val="Header"/>
            <w:spacing w:line="276" w:lineRule="auto"/>
            <w:rPr>
              <w:rFonts w:ascii="Cambria" w:eastAsia="MS Gothic" w:hAnsi="Cambria"/>
              <w:b/>
              <w:bCs/>
              <w:color w:val="4F81BD"/>
            </w:rPr>
          </w:pPr>
        </w:p>
      </w:tc>
    </w:tr>
    <w:tr w:rsidR="00C123A2" w:rsidRPr="008E0D90" w:rsidTr="00A06225">
      <w:trPr>
        <w:trHeight w:val="150"/>
      </w:trPr>
      <w:tc>
        <w:tcPr>
          <w:tcW w:w="2389" w:type="pct"/>
          <w:tcBorders>
            <w:top w:val="single" w:sz="4" w:space="0" w:color="4F81BD"/>
            <w:left w:val="nil"/>
            <w:bottom w:val="nil"/>
            <w:right w:val="nil"/>
          </w:tcBorders>
        </w:tcPr>
        <w:p w:rsidR="00C123A2" w:rsidRPr="00A06225" w:rsidRDefault="00C123A2">
          <w:pPr>
            <w:pStyle w:val="Header"/>
            <w:spacing w:line="276" w:lineRule="auto"/>
            <w:rPr>
              <w:rFonts w:ascii="Cambria" w:eastAsia="MS Gothic" w:hAnsi="Cambria"/>
              <w:b/>
              <w:bCs/>
              <w:color w:val="4F81BD"/>
            </w:rPr>
          </w:pPr>
        </w:p>
      </w:tc>
      <w:tc>
        <w:tcPr>
          <w:tcW w:w="0" w:type="auto"/>
          <w:vMerge/>
          <w:vAlign w:val="center"/>
          <w:hideMark/>
        </w:tcPr>
        <w:p w:rsidR="00C123A2" w:rsidRPr="00A06225" w:rsidRDefault="00C123A2">
          <w:pPr>
            <w:rPr>
              <w:rFonts w:ascii="Cambria" w:hAnsi="Cambria"/>
              <w:color w:val="4F81BD"/>
              <w:sz w:val="22"/>
              <w:szCs w:val="22"/>
            </w:rPr>
          </w:pPr>
        </w:p>
      </w:tc>
      <w:tc>
        <w:tcPr>
          <w:tcW w:w="2278" w:type="pct"/>
          <w:tcBorders>
            <w:top w:val="single" w:sz="4" w:space="0" w:color="4F81BD"/>
            <w:left w:val="nil"/>
            <w:bottom w:val="nil"/>
            <w:right w:val="nil"/>
          </w:tcBorders>
        </w:tcPr>
        <w:p w:rsidR="00C123A2" w:rsidRPr="00A06225" w:rsidRDefault="00C123A2">
          <w:pPr>
            <w:pStyle w:val="Header"/>
            <w:spacing w:line="276" w:lineRule="auto"/>
            <w:rPr>
              <w:rFonts w:ascii="Cambria" w:eastAsia="MS Gothic" w:hAnsi="Cambria"/>
              <w:b/>
              <w:bCs/>
              <w:color w:val="4F81BD"/>
            </w:rPr>
          </w:pPr>
        </w:p>
      </w:tc>
    </w:tr>
  </w:tbl>
  <w:p w:rsidR="00C123A2" w:rsidRDefault="00C123A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3A2" w:rsidRPr="00EA4493" w:rsidRDefault="00C123A2" w:rsidP="00B92A16">
    <w:pPr>
      <w:tabs>
        <w:tab w:val="center" w:pos="4513"/>
        <w:tab w:val="right" w:pos="9026"/>
      </w:tabs>
      <w:jc w:val="center"/>
      <w:rPr>
        <w:rFonts w:ascii="Arial" w:hAnsi="Arial" w:cs="Arial"/>
        <w:i/>
        <w:color w:val="808080"/>
      </w:rPr>
    </w:pPr>
    <w:r>
      <w:rPr>
        <w:rFonts w:ascii="Arial" w:hAnsi="Arial" w:cs="Arial"/>
        <w:i/>
        <w:color w:val="808080"/>
      </w:rPr>
      <w:t>Public Summary Document</w:t>
    </w:r>
    <w:r w:rsidRPr="00EA4493">
      <w:rPr>
        <w:rFonts w:ascii="Arial" w:hAnsi="Arial" w:cs="Arial"/>
        <w:i/>
        <w:color w:val="808080"/>
      </w:rPr>
      <w:t xml:space="preserve"> – March 2015 PBAC Meeting</w:t>
    </w:r>
  </w:p>
  <w:p w:rsidR="00C123A2" w:rsidRPr="00EA4493" w:rsidRDefault="00C123A2" w:rsidP="00501E0F">
    <w:pPr>
      <w:tabs>
        <w:tab w:val="center" w:pos="4513"/>
        <w:tab w:val="left" w:pos="6949"/>
        <w:tab w:val="right" w:pos="9026"/>
      </w:tabs>
      <w:rPr>
        <w:rFonts w:ascii="Arial" w:hAnsi="Arial" w:cs="Arial"/>
        <w:i/>
        <w:color w:val="808080"/>
      </w:rPr>
    </w:pPr>
  </w:p>
  <w:p w:rsidR="00C123A2" w:rsidRDefault="00C123A2" w:rsidP="00501554">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tentative="1">
      <w:start w:val="1"/>
      <w:numFmt w:val="bullet"/>
      <w:lvlText w:val="o"/>
      <w:lvlJc w:val="left"/>
      <w:pPr>
        <w:tabs>
          <w:tab w:val="num" w:pos="1440"/>
        </w:tabs>
        <w:ind w:left="1440" w:hanging="360"/>
      </w:pPr>
      <w:rPr>
        <w:rFonts w:ascii="Courier New" w:hAnsi="Courier New" w:cs="Courier New" w:hint="default"/>
      </w:rPr>
    </w:lvl>
    <w:lvl w:ilvl="2" w:tplc="8E7CC4D4" w:tentative="1">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1">
    <w:nsid w:val="04CB1954"/>
    <w:multiLevelType w:val="hybridMultilevel"/>
    <w:tmpl w:val="FDFAED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nsid w:val="0B486DC1"/>
    <w:multiLevelType w:val="hybridMultilevel"/>
    <w:tmpl w:val="87AC74E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nsid w:val="0CCB7669"/>
    <w:multiLevelType w:val="hybridMultilevel"/>
    <w:tmpl w:val="F4A28330"/>
    <w:lvl w:ilvl="0" w:tplc="83A001E2">
      <w:start w:val="2001"/>
      <w:numFmt w:val="bullet"/>
      <w:lvlText w:val="-"/>
      <w:lvlJc w:val="left"/>
      <w:pPr>
        <w:tabs>
          <w:tab w:val="num" w:pos="564"/>
        </w:tabs>
        <w:ind w:left="564"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DD0267F"/>
    <w:multiLevelType w:val="hybridMultilevel"/>
    <w:tmpl w:val="31E8D81E"/>
    <w:lvl w:ilvl="0" w:tplc="14C6623C">
      <w:start w:val="2"/>
      <w:numFmt w:val="bullet"/>
      <w:lvlText w:val="-"/>
      <w:lvlJc w:val="left"/>
      <w:pPr>
        <w:ind w:left="1069" w:hanging="360"/>
      </w:pPr>
      <w:rPr>
        <w:rFonts w:ascii="Arial" w:eastAsia="Times New Roman" w:hAnsi="Arial" w:cs="Aria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6">
    <w:nsid w:val="0ED53C7B"/>
    <w:multiLevelType w:val="hybridMultilevel"/>
    <w:tmpl w:val="3146A6DC"/>
    <w:lvl w:ilvl="0" w:tplc="11A68620">
      <w:start w:val="1"/>
      <w:numFmt w:val="bullet"/>
      <w:lvlText w:val=""/>
      <w:lvlJc w:val="left"/>
      <w:pPr>
        <w:tabs>
          <w:tab w:val="num" w:pos="1440"/>
        </w:tabs>
        <w:ind w:left="1440" w:hanging="360"/>
      </w:pPr>
      <w:rPr>
        <w:rFonts w:ascii="Symbol" w:hAnsi="Symbol" w:hint="default"/>
      </w:rPr>
    </w:lvl>
    <w:lvl w:ilvl="1" w:tplc="20407D32" w:tentative="1">
      <w:start w:val="1"/>
      <w:numFmt w:val="bullet"/>
      <w:lvlText w:val="o"/>
      <w:lvlJc w:val="left"/>
      <w:pPr>
        <w:tabs>
          <w:tab w:val="num" w:pos="2160"/>
        </w:tabs>
        <w:ind w:left="2160" w:hanging="360"/>
      </w:pPr>
      <w:rPr>
        <w:rFonts w:ascii="Courier New" w:hAnsi="Courier New" w:cs="Courier New" w:hint="default"/>
      </w:rPr>
    </w:lvl>
    <w:lvl w:ilvl="2" w:tplc="69AAF76E" w:tentative="1">
      <w:start w:val="1"/>
      <w:numFmt w:val="bullet"/>
      <w:lvlText w:val=""/>
      <w:lvlJc w:val="left"/>
      <w:pPr>
        <w:tabs>
          <w:tab w:val="num" w:pos="2880"/>
        </w:tabs>
        <w:ind w:left="2880" w:hanging="360"/>
      </w:pPr>
      <w:rPr>
        <w:rFonts w:ascii="Wingdings" w:hAnsi="Wingdings" w:hint="default"/>
      </w:rPr>
    </w:lvl>
    <w:lvl w:ilvl="3" w:tplc="D2DA9822" w:tentative="1">
      <w:start w:val="1"/>
      <w:numFmt w:val="bullet"/>
      <w:lvlText w:val=""/>
      <w:lvlJc w:val="left"/>
      <w:pPr>
        <w:tabs>
          <w:tab w:val="num" w:pos="3600"/>
        </w:tabs>
        <w:ind w:left="3600" w:hanging="360"/>
      </w:pPr>
      <w:rPr>
        <w:rFonts w:ascii="Symbol" w:hAnsi="Symbol" w:hint="default"/>
      </w:rPr>
    </w:lvl>
    <w:lvl w:ilvl="4" w:tplc="CD2A682A" w:tentative="1">
      <w:start w:val="1"/>
      <w:numFmt w:val="bullet"/>
      <w:lvlText w:val="o"/>
      <w:lvlJc w:val="left"/>
      <w:pPr>
        <w:tabs>
          <w:tab w:val="num" w:pos="4320"/>
        </w:tabs>
        <w:ind w:left="4320" w:hanging="360"/>
      </w:pPr>
      <w:rPr>
        <w:rFonts w:ascii="Courier New" w:hAnsi="Courier New" w:cs="Courier New" w:hint="default"/>
      </w:rPr>
    </w:lvl>
    <w:lvl w:ilvl="5" w:tplc="98B01800" w:tentative="1">
      <w:start w:val="1"/>
      <w:numFmt w:val="bullet"/>
      <w:lvlText w:val=""/>
      <w:lvlJc w:val="left"/>
      <w:pPr>
        <w:tabs>
          <w:tab w:val="num" w:pos="5040"/>
        </w:tabs>
        <w:ind w:left="5040" w:hanging="360"/>
      </w:pPr>
      <w:rPr>
        <w:rFonts w:ascii="Wingdings" w:hAnsi="Wingdings" w:hint="default"/>
      </w:rPr>
    </w:lvl>
    <w:lvl w:ilvl="6" w:tplc="2CD2F398" w:tentative="1">
      <w:start w:val="1"/>
      <w:numFmt w:val="bullet"/>
      <w:lvlText w:val=""/>
      <w:lvlJc w:val="left"/>
      <w:pPr>
        <w:tabs>
          <w:tab w:val="num" w:pos="5760"/>
        </w:tabs>
        <w:ind w:left="5760" w:hanging="360"/>
      </w:pPr>
      <w:rPr>
        <w:rFonts w:ascii="Symbol" w:hAnsi="Symbol" w:hint="default"/>
      </w:rPr>
    </w:lvl>
    <w:lvl w:ilvl="7" w:tplc="94EC8F56" w:tentative="1">
      <w:start w:val="1"/>
      <w:numFmt w:val="bullet"/>
      <w:lvlText w:val="o"/>
      <w:lvlJc w:val="left"/>
      <w:pPr>
        <w:tabs>
          <w:tab w:val="num" w:pos="6480"/>
        </w:tabs>
        <w:ind w:left="6480" w:hanging="360"/>
      </w:pPr>
      <w:rPr>
        <w:rFonts w:ascii="Courier New" w:hAnsi="Courier New" w:cs="Courier New" w:hint="default"/>
      </w:rPr>
    </w:lvl>
    <w:lvl w:ilvl="8" w:tplc="77740B72" w:tentative="1">
      <w:start w:val="1"/>
      <w:numFmt w:val="bullet"/>
      <w:lvlText w:val=""/>
      <w:lvlJc w:val="left"/>
      <w:pPr>
        <w:tabs>
          <w:tab w:val="num" w:pos="7200"/>
        </w:tabs>
        <w:ind w:left="7200" w:hanging="360"/>
      </w:pPr>
      <w:rPr>
        <w:rFonts w:ascii="Wingdings" w:hAnsi="Wingdings" w:hint="default"/>
      </w:rPr>
    </w:lvl>
  </w:abstractNum>
  <w:abstractNum w:abstractNumId="7">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8">
    <w:nsid w:val="108628D3"/>
    <w:multiLevelType w:val="hybridMultilevel"/>
    <w:tmpl w:val="6D444AB6"/>
    <w:lvl w:ilvl="0" w:tplc="5D4EED54">
      <w:numFmt w:val="bullet"/>
      <w:lvlText w:val="-"/>
      <w:lvlJc w:val="left"/>
      <w:pPr>
        <w:ind w:left="1140" w:hanging="360"/>
      </w:pPr>
      <w:rPr>
        <w:rFonts w:ascii="Arial" w:eastAsia="Times New Roman" w:hAnsi="Arial" w:cs="Arial" w:hint="default"/>
      </w:rPr>
    </w:lvl>
    <w:lvl w:ilvl="1" w:tplc="0C090003" w:tentative="1">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9">
    <w:nsid w:val="141A6610"/>
    <w:multiLevelType w:val="hybridMultilevel"/>
    <w:tmpl w:val="962EFEB2"/>
    <w:lvl w:ilvl="0" w:tplc="3C725AD2">
      <w:start w:val="1"/>
      <w:numFmt w:val="decimal"/>
      <w:lvlText w:val="%1."/>
      <w:lvlJc w:val="left"/>
      <w:pPr>
        <w:ind w:left="1080" w:hanging="360"/>
      </w:pPr>
      <w:rPr>
        <w:rFonts w:hint="default"/>
        <w:i/>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nsid w:val="17DD3355"/>
    <w:multiLevelType w:val="hybridMultilevel"/>
    <w:tmpl w:val="0CF8F39C"/>
    <w:lvl w:ilvl="0" w:tplc="A11C36BA">
      <w:start w:val="1"/>
      <w:numFmt w:val="decimal"/>
      <w:lvlText w:val="%1."/>
      <w:lvlJc w:val="left"/>
      <w:pPr>
        <w:tabs>
          <w:tab w:val="num" w:pos="1080"/>
        </w:tabs>
        <w:ind w:left="1080" w:hanging="720"/>
      </w:pPr>
      <w:rPr>
        <w:rFonts w:hint="default"/>
        <w:b w:val="0"/>
      </w:rPr>
    </w:lvl>
    <w:lvl w:ilvl="1" w:tplc="D0EC86D2" w:tentative="1">
      <w:start w:val="1"/>
      <w:numFmt w:val="lowerLetter"/>
      <w:lvlText w:val="%2."/>
      <w:lvlJc w:val="left"/>
      <w:pPr>
        <w:tabs>
          <w:tab w:val="num" w:pos="1440"/>
        </w:tabs>
        <w:ind w:left="1440" w:hanging="360"/>
      </w:pPr>
    </w:lvl>
    <w:lvl w:ilvl="2" w:tplc="8D14A0C2" w:tentative="1">
      <w:start w:val="1"/>
      <w:numFmt w:val="lowerRoman"/>
      <w:lvlText w:val="%3."/>
      <w:lvlJc w:val="right"/>
      <w:pPr>
        <w:tabs>
          <w:tab w:val="num" w:pos="2160"/>
        </w:tabs>
        <w:ind w:left="2160" w:hanging="180"/>
      </w:pPr>
    </w:lvl>
    <w:lvl w:ilvl="3" w:tplc="C4BE3906" w:tentative="1">
      <w:start w:val="1"/>
      <w:numFmt w:val="decimal"/>
      <w:lvlText w:val="%4."/>
      <w:lvlJc w:val="left"/>
      <w:pPr>
        <w:tabs>
          <w:tab w:val="num" w:pos="2880"/>
        </w:tabs>
        <w:ind w:left="2880" w:hanging="360"/>
      </w:pPr>
    </w:lvl>
    <w:lvl w:ilvl="4" w:tplc="1D220490" w:tentative="1">
      <w:start w:val="1"/>
      <w:numFmt w:val="lowerLetter"/>
      <w:lvlText w:val="%5."/>
      <w:lvlJc w:val="left"/>
      <w:pPr>
        <w:tabs>
          <w:tab w:val="num" w:pos="3600"/>
        </w:tabs>
        <w:ind w:left="3600" w:hanging="360"/>
      </w:pPr>
    </w:lvl>
    <w:lvl w:ilvl="5" w:tplc="676CFA04" w:tentative="1">
      <w:start w:val="1"/>
      <w:numFmt w:val="lowerRoman"/>
      <w:lvlText w:val="%6."/>
      <w:lvlJc w:val="right"/>
      <w:pPr>
        <w:tabs>
          <w:tab w:val="num" w:pos="4320"/>
        </w:tabs>
        <w:ind w:left="4320" w:hanging="180"/>
      </w:pPr>
    </w:lvl>
    <w:lvl w:ilvl="6" w:tplc="0558725C" w:tentative="1">
      <w:start w:val="1"/>
      <w:numFmt w:val="decimal"/>
      <w:lvlText w:val="%7."/>
      <w:lvlJc w:val="left"/>
      <w:pPr>
        <w:tabs>
          <w:tab w:val="num" w:pos="5040"/>
        </w:tabs>
        <w:ind w:left="5040" w:hanging="360"/>
      </w:pPr>
    </w:lvl>
    <w:lvl w:ilvl="7" w:tplc="ADE47330" w:tentative="1">
      <w:start w:val="1"/>
      <w:numFmt w:val="lowerLetter"/>
      <w:lvlText w:val="%8."/>
      <w:lvlJc w:val="left"/>
      <w:pPr>
        <w:tabs>
          <w:tab w:val="num" w:pos="5760"/>
        </w:tabs>
        <w:ind w:left="5760" w:hanging="360"/>
      </w:pPr>
    </w:lvl>
    <w:lvl w:ilvl="8" w:tplc="8346BE84" w:tentative="1">
      <w:start w:val="1"/>
      <w:numFmt w:val="lowerRoman"/>
      <w:lvlText w:val="%9."/>
      <w:lvlJc w:val="right"/>
      <w:pPr>
        <w:tabs>
          <w:tab w:val="num" w:pos="6480"/>
        </w:tabs>
        <w:ind w:left="6480" w:hanging="180"/>
      </w:pPr>
    </w:lvl>
  </w:abstractNum>
  <w:abstractNum w:abstractNumId="11">
    <w:nsid w:val="189677E3"/>
    <w:multiLevelType w:val="hybridMultilevel"/>
    <w:tmpl w:val="7EFE4306"/>
    <w:lvl w:ilvl="0" w:tplc="28824E9E">
      <w:start w:val="1"/>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14">
    <w:nsid w:val="1F8E53D6"/>
    <w:multiLevelType w:val="hybridMultilevel"/>
    <w:tmpl w:val="1AA23FC0"/>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15">
    <w:nsid w:val="1FD562B8"/>
    <w:multiLevelType w:val="multilevel"/>
    <w:tmpl w:val="EE1084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223878BE"/>
    <w:multiLevelType w:val="multilevel"/>
    <w:tmpl w:val="A50A1636"/>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7">
    <w:nsid w:val="28515C96"/>
    <w:multiLevelType w:val="hybridMultilevel"/>
    <w:tmpl w:val="78302D3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nsid w:val="28E630EF"/>
    <w:multiLevelType w:val="multilevel"/>
    <w:tmpl w:val="5484A226"/>
    <w:lvl w:ilvl="0">
      <w:start w:val="6"/>
      <w:numFmt w:val="decimal"/>
      <w:lvlText w:val="%1"/>
      <w:lvlJc w:val="left"/>
      <w:pPr>
        <w:ind w:left="360" w:hanging="360"/>
      </w:pPr>
      <w:rPr>
        <w:rFonts w:hint="default"/>
        <w:i w:val="0"/>
      </w:rPr>
    </w:lvl>
    <w:lvl w:ilvl="1">
      <w:start w:val="1"/>
      <w:numFmt w:val="decimal"/>
      <w:lvlText w:val="%1.%2"/>
      <w:lvlJc w:val="left"/>
      <w:pPr>
        <w:ind w:left="1070" w:hanging="360"/>
      </w:pPr>
      <w:rPr>
        <w:rFonts w:ascii="Arial" w:hAnsi="Arial" w:cs="Arial" w:hint="default"/>
        <w:b w:val="0"/>
        <w:i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30F55E2F"/>
    <w:multiLevelType w:val="hybridMultilevel"/>
    <w:tmpl w:val="AD041582"/>
    <w:lvl w:ilvl="0" w:tplc="62EEA6B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353D2333"/>
    <w:multiLevelType w:val="hybridMultilevel"/>
    <w:tmpl w:val="437C4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5594AD6"/>
    <w:multiLevelType w:val="hybridMultilevel"/>
    <w:tmpl w:val="7DB4DC82"/>
    <w:lvl w:ilvl="0" w:tplc="22B017EA">
      <w:start w:val="1"/>
      <w:numFmt w:val="decimal"/>
      <w:lvlText w:val="%1."/>
      <w:lvlJc w:val="left"/>
      <w:pPr>
        <w:tabs>
          <w:tab w:val="num" w:pos="1080"/>
        </w:tabs>
        <w:ind w:left="1080" w:hanging="720"/>
      </w:pPr>
      <w:rPr>
        <w:rFonts w:hint="default"/>
      </w:rPr>
    </w:lvl>
    <w:lvl w:ilvl="1" w:tplc="DF9E6316">
      <w:start w:val="1"/>
      <w:numFmt w:val="bullet"/>
      <w:lvlText w:val=""/>
      <w:lvlJc w:val="left"/>
      <w:pPr>
        <w:tabs>
          <w:tab w:val="num" w:pos="1440"/>
        </w:tabs>
        <w:ind w:left="1440" w:hanging="360"/>
      </w:pPr>
      <w:rPr>
        <w:rFonts w:ascii="Symbol" w:hAnsi="Symbol" w:hint="default"/>
      </w:rPr>
    </w:lvl>
    <w:lvl w:ilvl="2" w:tplc="C9926760" w:tentative="1">
      <w:start w:val="1"/>
      <w:numFmt w:val="lowerRoman"/>
      <w:lvlText w:val="%3."/>
      <w:lvlJc w:val="right"/>
      <w:pPr>
        <w:tabs>
          <w:tab w:val="num" w:pos="2160"/>
        </w:tabs>
        <w:ind w:left="2160" w:hanging="180"/>
      </w:pPr>
    </w:lvl>
    <w:lvl w:ilvl="3" w:tplc="4C4A2488" w:tentative="1">
      <w:start w:val="1"/>
      <w:numFmt w:val="decimal"/>
      <w:lvlText w:val="%4."/>
      <w:lvlJc w:val="left"/>
      <w:pPr>
        <w:tabs>
          <w:tab w:val="num" w:pos="2880"/>
        </w:tabs>
        <w:ind w:left="2880" w:hanging="360"/>
      </w:pPr>
    </w:lvl>
    <w:lvl w:ilvl="4" w:tplc="E2046DE8" w:tentative="1">
      <w:start w:val="1"/>
      <w:numFmt w:val="lowerLetter"/>
      <w:lvlText w:val="%5."/>
      <w:lvlJc w:val="left"/>
      <w:pPr>
        <w:tabs>
          <w:tab w:val="num" w:pos="3600"/>
        </w:tabs>
        <w:ind w:left="3600" w:hanging="360"/>
      </w:pPr>
    </w:lvl>
    <w:lvl w:ilvl="5" w:tplc="FC2E3076" w:tentative="1">
      <w:start w:val="1"/>
      <w:numFmt w:val="lowerRoman"/>
      <w:lvlText w:val="%6."/>
      <w:lvlJc w:val="right"/>
      <w:pPr>
        <w:tabs>
          <w:tab w:val="num" w:pos="4320"/>
        </w:tabs>
        <w:ind w:left="4320" w:hanging="180"/>
      </w:pPr>
    </w:lvl>
    <w:lvl w:ilvl="6" w:tplc="7C7E4D22" w:tentative="1">
      <w:start w:val="1"/>
      <w:numFmt w:val="decimal"/>
      <w:lvlText w:val="%7."/>
      <w:lvlJc w:val="left"/>
      <w:pPr>
        <w:tabs>
          <w:tab w:val="num" w:pos="5040"/>
        </w:tabs>
        <w:ind w:left="5040" w:hanging="360"/>
      </w:pPr>
    </w:lvl>
    <w:lvl w:ilvl="7" w:tplc="8A88F2DA" w:tentative="1">
      <w:start w:val="1"/>
      <w:numFmt w:val="lowerLetter"/>
      <w:lvlText w:val="%8."/>
      <w:lvlJc w:val="left"/>
      <w:pPr>
        <w:tabs>
          <w:tab w:val="num" w:pos="5760"/>
        </w:tabs>
        <w:ind w:left="5760" w:hanging="360"/>
      </w:pPr>
    </w:lvl>
    <w:lvl w:ilvl="8" w:tplc="4BF21BD6" w:tentative="1">
      <w:start w:val="1"/>
      <w:numFmt w:val="lowerRoman"/>
      <w:lvlText w:val="%9."/>
      <w:lvlJc w:val="right"/>
      <w:pPr>
        <w:tabs>
          <w:tab w:val="num" w:pos="6480"/>
        </w:tabs>
        <w:ind w:left="6480" w:hanging="180"/>
      </w:pPr>
    </w:lvl>
  </w:abstractNum>
  <w:abstractNum w:abstractNumId="23">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B6F5F56"/>
    <w:multiLevelType w:val="hybridMultilevel"/>
    <w:tmpl w:val="611C0734"/>
    <w:lvl w:ilvl="0" w:tplc="172C78AA">
      <w:start w:val="1"/>
      <w:numFmt w:val="bullet"/>
      <w:lvlText w:val=""/>
      <w:lvlJc w:val="left"/>
      <w:pPr>
        <w:tabs>
          <w:tab w:val="num" w:pos="1140"/>
        </w:tabs>
        <w:ind w:left="1140" w:hanging="360"/>
      </w:pPr>
      <w:rPr>
        <w:rFonts w:ascii="Symbol" w:hAnsi="Symbol" w:hint="default"/>
      </w:rPr>
    </w:lvl>
    <w:lvl w:ilvl="1" w:tplc="0C090003" w:tentative="1">
      <w:start w:val="1"/>
      <w:numFmt w:val="bullet"/>
      <w:lvlText w:val="o"/>
      <w:lvlJc w:val="left"/>
      <w:pPr>
        <w:tabs>
          <w:tab w:val="num" w:pos="2220"/>
        </w:tabs>
        <w:ind w:left="2220" w:hanging="360"/>
      </w:pPr>
      <w:rPr>
        <w:rFonts w:ascii="Courier New" w:hAnsi="Courier New" w:cs="Courier New" w:hint="default"/>
      </w:rPr>
    </w:lvl>
    <w:lvl w:ilvl="2" w:tplc="0C090005" w:tentative="1">
      <w:start w:val="1"/>
      <w:numFmt w:val="bullet"/>
      <w:lvlText w:val=""/>
      <w:lvlJc w:val="left"/>
      <w:pPr>
        <w:tabs>
          <w:tab w:val="num" w:pos="2940"/>
        </w:tabs>
        <w:ind w:left="2940" w:hanging="360"/>
      </w:pPr>
      <w:rPr>
        <w:rFonts w:ascii="Wingdings" w:hAnsi="Wingdings" w:hint="default"/>
      </w:rPr>
    </w:lvl>
    <w:lvl w:ilvl="3" w:tplc="0C090001" w:tentative="1">
      <w:start w:val="1"/>
      <w:numFmt w:val="bullet"/>
      <w:lvlText w:val=""/>
      <w:lvlJc w:val="left"/>
      <w:pPr>
        <w:tabs>
          <w:tab w:val="num" w:pos="3660"/>
        </w:tabs>
        <w:ind w:left="3660" w:hanging="360"/>
      </w:pPr>
      <w:rPr>
        <w:rFonts w:ascii="Symbol" w:hAnsi="Symbol" w:hint="default"/>
      </w:rPr>
    </w:lvl>
    <w:lvl w:ilvl="4" w:tplc="0C090003" w:tentative="1">
      <w:start w:val="1"/>
      <w:numFmt w:val="bullet"/>
      <w:lvlText w:val="o"/>
      <w:lvlJc w:val="left"/>
      <w:pPr>
        <w:tabs>
          <w:tab w:val="num" w:pos="4380"/>
        </w:tabs>
        <w:ind w:left="4380" w:hanging="360"/>
      </w:pPr>
      <w:rPr>
        <w:rFonts w:ascii="Courier New" w:hAnsi="Courier New" w:cs="Courier New" w:hint="default"/>
      </w:rPr>
    </w:lvl>
    <w:lvl w:ilvl="5" w:tplc="0C090005" w:tentative="1">
      <w:start w:val="1"/>
      <w:numFmt w:val="bullet"/>
      <w:lvlText w:val=""/>
      <w:lvlJc w:val="left"/>
      <w:pPr>
        <w:tabs>
          <w:tab w:val="num" w:pos="5100"/>
        </w:tabs>
        <w:ind w:left="5100" w:hanging="360"/>
      </w:pPr>
      <w:rPr>
        <w:rFonts w:ascii="Wingdings" w:hAnsi="Wingdings" w:hint="default"/>
      </w:rPr>
    </w:lvl>
    <w:lvl w:ilvl="6" w:tplc="0C090001" w:tentative="1">
      <w:start w:val="1"/>
      <w:numFmt w:val="bullet"/>
      <w:lvlText w:val=""/>
      <w:lvlJc w:val="left"/>
      <w:pPr>
        <w:tabs>
          <w:tab w:val="num" w:pos="5820"/>
        </w:tabs>
        <w:ind w:left="5820" w:hanging="360"/>
      </w:pPr>
      <w:rPr>
        <w:rFonts w:ascii="Symbol" w:hAnsi="Symbol" w:hint="default"/>
      </w:rPr>
    </w:lvl>
    <w:lvl w:ilvl="7" w:tplc="0C090003" w:tentative="1">
      <w:start w:val="1"/>
      <w:numFmt w:val="bullet"/>
      <w:lvlText w:val="o"/>
      <w:lvlJc w:val="left"/>
      <w:pPr>
        <w:tabs>
          <w:tab w:val="num" w:pos="6540"/>
        </w:tabs>
        <w:ind w:left="6540" w:hanging="360"/>
      </w:pPr>
      <w:rPr>
        <w:rFonts w:ascii="Courier New" w:hAnsi="Courier New" w:cs="Courier New" w:hint="default"/>
      </w:rPr>
    </w:lvl>
    <w:lvl w:ilvl="8" w:tplc="0C090005" w:tentative="1">
      <w:start w:val="1"/>
      <w:numFmt w:val="bullet"/>
      <w:lvlText w:val=""/>
      <w:lvlJc w:val="left"/>
      <w:pPr>
        <w:tabs>
          <w:tab w:val="num" w:pos="7260"/>
        </w:tabs>
        <w:ind w:left="7260" w:hanging="360"/>
      </w:pPr>
      <w:rPr>
        <w:rFonts w:ascii="Wingdings" w:hAnsi="Wingdings" w:hint="default"/>
      </w:rPr>
    </w:lvl>
  </w:abstractNum>
  <w:abstractNum w:abstractNumId="25">
    <w:nsid w:val="3C0435A2"/>
    <w:multiLevelType w:val="multilevel"/>
    <w:tmpl w:val="FF40DA9A"/>
    <w:lvl w:ilvl="0">
      <w:start w:val="1"/>
      <w:numFmt w:val="upperLetter"/>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3983" w:hanging="864"/>
      </w:pPr>
      <w:rPr>
        <w:rFonts w:hint="default"/>
      </w:rPr>
    </w:lvl>
    <w:lvl w:ilvl="4">
      <w:start w:val="1"/>
      <w:numFmt w:val="decimal"/>
      <w:lvlText w:val="%1.%2.%3.%4.%5."/>
      <w:lvlJc w:val="left"/>
      <w:pPr>
        <w:ind w:left="1859"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nsid w:val="3D0D5913"/>
    <w:multiLevelType w:val="hybridMultilevel"/>
    <w:tmpl w:val="DB7C9EEC"/>
    <w:lvl w:ilvl="0" w:tplc="01B82BD6">
      <w:start w:val="1"/>
      <w:numFmt w:val="lowerLetter"/>
      <w:lvlText w:val="%1)"/>
      <w:lvlJc w:val="left"/>
      <w:pPr>
        <w:tabs>
          <w:tab w:val="num" w:pos="720"/>
        </w:tabs>
        <w:ind w:left="720" w:hanging="360"/>
      </w:pPr>
      <w:rPr>
        <w:rFonts w:hint="default"/>
      </w:rPr>
    </w:lvl>
    <w:lvl w:ilvl="1" w:tplc="0DA0F9B6" w:tentative="1">
      <w:start w:val="1"/>
      <w:numFmt w:val="lowerLetter"/>
      <w:lvlText w:val="%2."/>
      <w:lvlJc w:val="left"/>
      <w:pPr>
        <w:tabs>
          <w:tab w:val="num" w:pos="1440"/>
        </w:tabs>
        <w:ind w:left="1440" w:hanging="360"/>
      </w:pPr>
    </w:lvl>
    <w:lvl w:ilvl="2" w:tplc="6028710A" w:tentative="1">
      <w:start w:val="1"/>
      <w:numFmt w:val="lowerRoman"/>
      <w:lvlText w:val="%3."/>
      <w:lvlJc w:val="right"/>
      <w:pPr>
        <w:tabs>
          <w:tab w:val="num" w:pos="2160"/>
        </w:tabs>
        <w:ind w:left="2160" w:hanging="180"/>
      </w:pPr>
    </w:lvl>
    <w:lvl w:ilvl="3" w:tplc="1FD486B0" w:tentative="1">
      <w:start w:val="1"/>
      <w:numFmt w:val="decimal"/>
      <w:lvlText w:val="%4."/>
      <w:lvlJc w:val="left"/>
      <w:pPr>
        <w:tabs>
          <w:tab w:val="num" w:pos="2880"/>
        </w:tabs>
        <w:ind w:left="2880" w:hanging="360"/>
      </w:pPr>
    </w:lvl>
    <w:lvl w:ilvl="4" w:tplc="9BE2B8D4" w:tentative="1">
      <w:start w:val="1"/>
      <w:numFmt w:val="lowerLetter"/>
      <w:lvlText w:val="%5."/>
      <w:lvlJc w:val="left"/>
      <w:pPr>
        <w:tabs>
          <w:tab w:val="num" w:pos="3600"/>
        </w:tabs>
        <w:ind w:left="3600" w:hanging="360"/>
      </w:pPr>
    </w:lvl>
    <w:lvl w:ilvl="5" w:tplc="43E8AAE6" w:tentative="1">
      <w:start w:val="1"/>
      <w:numFmt w:val="lowerRoman"/>
      <w:lvlText w:val="%6."/>
      <w:lvlJc w:val="right"/>
      <w:pPr>
        <w:tabs>
          <w:tab w:val="num" w:pos="4320"/>
        </w:tabs>
        <w:ind w:left="4320" w:hanging="180"/>
      </w:pPr>
    </w:lvl>
    <w:lvl w:ilvl="6" w:tplc="BEA67336" w:tentative="1">
      <w:start w:val="1"/>
      <w:numFmt w:val="decimal"/>
      <w:lvlText w:val="%7."/>
      <w:lvlJc w:val="left"/>
      <w:pPr>
        <w:tabs>
          <w:tab w:val="num" w:pos="5040"/>
        </w:tabs>
        <w:ind w:left="5040" w:hanging="360"/>
      </w:pPr>
    </w:lvl>
    <w:lvl w:ilvl="7" w:tplc="3ACE5E54" w:tentative="1">
      <w:start w:val="1"/>
      <w:numFmt w:val="lowerLetter"/>
      <w:lvlText w:val="%8."/>
      <w:lvlJc w:val="left"/>
      <w:pPr>
        <w:tabs>
          <w:tab w:val="num" w:pos="5760"/>
        </w:tabs>
        <w:ind w:left="5760" w:hanging="360"/>
      </w:pPr>
    </w:lvl>
    <w:lvl w:ilvl="8" w:tplc="53A2C09C" w:tentative="1">
      <w:start w:val="1"/>
      <w:numFmt w:val="lowerRoman"/>
      <w:lvlText w:val="%9."/>
      <w:lvlJc w:val="right"/>
      <w:pPr>
        <w:tabs>
          <w:tab w:val="num" w:pos="6480"/>
        </w:tabs>
        <w:ind w:left="6480" w:hanging="180"/>
      </w:pPr>
    </w:lvl>
  </w:abstractNum>
  <w:abstractNum w:abstractNumId="27">
    <w:nsid w:val="43957815"/>
    <w:multiLevelType w:val="hybridMultilevel"/>
    <w:tmpl w:val="DED65E58"/>
    <w:lvl w:ilvl="0" w:tplc="3D042618">
      <w:start w:val="1"/>
      <w:numFmt w:val="bullet"/>
      <w:lvlText w:val="-"/>
      <w:lvlJc w:val="left"/>
      <w:pPr>
        <w:ind w:left="720" w:hanging="360"/>
      </w:pPr>
      <w:rPr>
        <w:rFonts w:ascii="Arial Narrow" w:eastAsia="Times New Roman" w:hAnsi="Arial Narrow" w:cs="Times New Roman" w:hint="default"/>
      </w:rPr>
    </w:lvl>
    <w:lvl w:ilvl="1" w:tplc="5D4EED54">
      <w:numFmt w:val="bullet"/>
      <w:lvlText w:val="-"/>
      <w:lvlJc w:val="left"/>
      <w:pPr>
        <w:ind w:left="1440" w:hanging="36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49FF02A6"/>
    <w:multiLevelType w:val="hybridMultilevel"/>
    <w:tmpl w:val="17A6BABA"/>
    <w:lvl w:ilvl="0" w:tplc="9DD805DA">
      <w:start w:val="1"/>
      <w:numFmt w:val="bullet"/>
      <w:lvlText w:val=""/>
      <w:lvlJc w:val="left"/>
      <w:pPr>
        <w:tabs>
          <w:tab w:val="num" w:pos="720"/>
        </w:tabs>
        <w:ind w:left="720" w:hanging="360"/>
      </w:pPr>
      <w:rPr>
        <w:rFonts w:ascii="Symbol" w:hAnsi="Symbol" w:hint="default"/>
      </w:rPr>
    </w:lvl>
    <w:lvl w:ilvl="1" w:tplc="EA02E690" w:tentative="1">
      <w:start w:val="1"/>
      <w:numFmt w:val="bullet"/>
      <w:lvlText w:val="o"/>
      <w:lvlJc w:val="left"/>
      <w:pPr>
        <w:tabs>
          <w:tab w:val="num" w:pos="1440"/>
        </w:tabs>
        <w:ind w:left="1440" w:hanging="360"/>
      </w:pPr>
      <w:rPr>
        <w:rFonts w:ascii="Courier New" w:hAnsi="Courier New" w:cs="Courier New" w:hint="default"/>
      </w:rPr>
    </w:lvl>
    <w:lvl w:ilvl="2" w:tplc="C8EC9974" w:tentative="1">
      <w:start w:val="1"/>
      <w:numFmt w:val="bullet"/>
      <w:lvlText w:val=""/>
      <w:lvlJc w:val="left"/>
      <w:pPr>
        <w:tabs>
          <w:tab w:val="num" w:pos="2160"/>
        </w:tabs>
        <w:ind w:left="2160" w:hanging="360"/>
      </w:pPr>
      <w:rPr>
        <w:rFonts w:ascii="Wingdings" w:hAnsi="Wingdings" w:hint="default"/>
      </w:rPr>
    </w:lvl>
    <w:lvl w:ilvl="3" w:tplc="7602CA3C" w:tentative="1">
      <w:start w:val="1"/>
      <w:numFmt w:val="bullet"/>
      <w:lvlText w:val=""/>
      <w:lvlJc w:val="left"/>
      <w:pPr>
        <w:tabs>
          <w:tab w:val="num" w:pos="2880"/>
        </w:tabs>
        <w:ind w:left="2880" w:hanging="360"/>
      </w:pPr>
      <w:rPr>
        <w:rFonts w:ascii="Symbol" w:hAnsi="Symbol" w:hint="default"/>
      </w:rPr>
    </w:lvl>
    <w:lvl w:ilvl="4" w:tplc="DE7CEBFA" w:tentative="1">
      <w:start w:val="1"/>
      <w:numFmt w:val="bullet"/>
      <w:lvlText w:val="o"/>
      <w:lvlJc w:val="left"/>
      <w:pPr>
        <w:tabs>
          <w:tab w:val="num" w:pos="3600"/>
        </w:tabs>
        <w:ind w:left="3600" w:hanging="360"/>
      </w:pPr>
      <w:rPr>
        <w:rFonts w:ascii="Courier New" w:hAnsi="Courier New" w:cs="Courier New" w:hint="default"/>
      </w:rPr>
    </w:lvl>
    <w:lvl w:ilvl="5" w:tplc="58CE6F88" w:tentative="1">
      <w:start w:val="1"/>
      <w:numFmt w:val="bullet"/>
      <w:lvlText w:val=""/>
      <w:lvlJc w:val="left"/>
      <w:pPr>
        <w:tabs>
          <w:tab w:val="num" w:pos="4320"/>
        </w:tabs>
        <w:ind w:left="4320" w:hanging="360"/>
      </w:pPr>
      <w:rPr>
        <w:rFonts w:ascii="Wingdings" w:hAnsi="Wingdings" w:hint="default"/>
      </w:rPr>
    </w:lvl>
    <w:lvl w:ilvl="6" w:tplc="2DA8E5A8" w:tentative="1">
      <w:start w:val="1"/>
      <w:numFmt w:val="bullet"/>
      <w:lvlText w:val=""/>
      <w:lvlJc w:val="left"/>
      <w:pPr>
        <w:tabs>
          <w:tab w:val="num" w:pos="5040"/>
        </w:tabs>
        <w:ind w:left="5040" w:hanging="360"/>
      </w:pPr>
      <w:rPr>
        <w:rFonts w:ascii="Symbol" w:hAnsi="Symbol" w:hint="default"/>
      </w:rPr>
    </w:lvl>
    <w:lvl w:ilvl="7" w:tplc="23E461DE" w:tentative="1">
      <w:start w:val="1"/>
      <w:numFmt w:val="bullet"/>
      <w:lvlText w:val="o"/>
      <w:lvlJc w:val="left"/>
      <w:pPr>
        <w:tabs>
          <w:tab w:val="num" w:pos="5760"/>
        </w:tabs>
        <w:ind w:left="5760" w:hanging="360"/>
      </w:pPr>
      <w:rPr>
        <w:rFonts w:ascii="Courier New" w:hAnsi="Courier New" w:cs="Courier New" w:hint="default"/>
      </w:rPr>
    </w:lvl>
    <w:lvl w:ilvl="8" w:tplc="F3F22F68" w:tentative="1">
      <w:start w:val="1"/>
      <w:numFmt w:val="bullet"/>
      <w:lvlText w:val=""/>
      <w:lvlJc w:val="left"/>
      <w:pPr>
        <w:tabs>
          <w:tab w:val="num" w:pos="6480"/>
        </w:tabs>
        <w:ind w:left="6480" w:hanging="360"/>
      </w:pPr>
      <w:rPr>
        <w:rFonts w:ascii="Wingdings" w:hAnsi="Wingdings" w:hint="default"/>
      </w:rPr>
    </w:lvl>
  </w:abstractNum>
  <w:abstractNum w:abstractNumId="29">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0">
    <w:nsid w:val="4AE45A34"/>
    <w:multiLevelType w:val="hybridMultilevel"/>
    <w:tmpl w:val="2F24CF5E"/>
    <w:lvl w:ilvl="0" w:tplc="81F03A40">
      <w:start w:val="1"/>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4B913F4A"/>
    <w:multiLevelType w:val="hybridMultilevel"/>
    <w:tmpl w:val="913C34B6"/>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32">
    <w:nsid w:val="4FCC14D5"/>
    <w:multiLevelType w:val="hybridMultilevel"/>
    <w:tmpl w:val="72827708"/>
    <w:lvl w:ilvl="0" w:tplc="0D527340">
      <w:start w:val="1"/>
      <w:numFmt w:val="decimal"/>
      <w:lvlText w:val="%1."/>
      <w:lvlJc w:val="left"/>
      <w:pPr>
        <w:tabs>
          <w:tab w:val="num" w:pos="360"/>
        </w:tabs>
        <w:ind w:left="360" w:hanging="360"/>
      </w:pPr>
      <w:rPr>
        <w:color w:val="auto"/>
      </w:r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33">
    <w:nsid w:val="4FE6779D"/>
    <w:multiLevelType w:val="hybridMultilevel"/>
    <w:tmpl w:val="844CCC3A"/>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4">
    <w:nsid w:val="51822598"/>
    <w:multiLevelType w:val="multilevel"/>
    <w:tmpl w:val="A87079A4"/>
    <w:lvl w:ilvl="0">
      <w:start w:val="1"/>
      <w:numFmt w:val="lowerLetter"/>
      <w:lvlText w:val="(%1)"/>
      <w:lvlJc w:val="left"/>
      <w:pPr>
        <w:ind w:left="1788" w:hanging="795"/>
      </w:pPr>
      <w:rPr>
        <w:rFonts w:hint="default"/>
      </w:rPr>
    </w:lvl>
    <w:lvl w:ilvl="1" w:tentative="1">
      <w:start w:val="1"/>
      <w:numFmt w:val="lowerLetter"/>
      <w:lvlText w:val="%2."/>
      <w:lvlJc w:val="left"/>
      <w:pPr>
        <w:ind w:left="2073" w:hanging="360"/>
      </w:pPr>
    </w:lvl>
    <w:lvl w:ilvl="2" w:tentative="1">
      <w:start w:val="1"/>
      <w:numFmt w:val="lowerRoman"/>
      <w:lvlText w:val="%3."/>
      <w:lvlJc w:val="right"/>
      <w:pPr>
        <w:ind w:left="2793" w:hanging="180"/>
      </w:pPr>
    </w:lvl>
    <w:lvl w:ilvl="3" w:tentative="1">
      <w:start w:val="1"/>
      <w:numFmt w:val="decimal"/>
      <w:lvlText w:val="%4."/>
      <w:lvlJc w:val="left"/>
      <w:pPr>
        <w:ind w:left="3513" w:hanging="360"/>
      </w:pPr>
    </w:lvl>
    <w:lvl w:ilvl="4" w:tentative="1">
      <w:start w:val="1"/>
      <w:numFmt w:val="lowerLetter"/>
      <w:lvlText w:val="%5."/>
      <w:lvlJc w:val="left"/>
      <w:pPr>
        <w:ind w:left="4233" w:hanging="360"/>
      </w:pPr>
    </w:lvl>
    <w:lvl w:ilvl="5" w:tentative="1">
      <w:start w:val="1"/>
      <w:numFmt w:val="lowerRoman"/>
      <w:lvlText w:val="%6."/>
      <w:lvlJc w:val="right"/>
      <w:pPr>
        <w:ind w:left="4953" w:hanging="180"/>
      </w:pPr>
    </w:lvl>
    <w:lvl w:ilvl="6" w:tentative="1">
      <w:start w:val="1"/>
      <w:numFmt w:val="decimal"/>
      <w:lvlText w:val="%7."/>
      <w:lvlJc w:val="left"/>
      <w:pPr>
        <w:ind w:left="5673" w:hanging="360"/>
      </w:pPr>
    </w:lvl>
    <w:lvl w:ilvl="7" w:tentative="1">
      <w:start w:val="1"/>
      <w:numFmt w:val="lowerLetter"/>
      <w:lvlText w:val="%8."/>
      <w:lvlJc w:val="left"/>
      <w:pPr>
        <w:ind w:left="6393" w:hanging="360"/>
      </w:pPr>
    </w:lvl>
    <w:lvl w:ilvl="8" w:tentative="1">
      <w:start w:val="1"/>
      <w:numFmt w:val="lowerRoman"/>
      <w:lvlText w:val="%9."/>
      <w:lvlJc w:val="right"/>
      <w:pPr>
        <w:ind w:left="7113" w:hanging="180"/>
      </w:pPr>
    </w:lvl>
  </w:abstractNum>
  <w:abstractNum w:abstractNumId="35">
    <w:nsid w:val="51CF3102"/>
    <w:multiLevelType w:val="hybridMultilevel"/>
    <w:tmpl w:val="A8D09DBA"/>
    <w:lvl w:ilvl="0" w:tplc="5D4EED54">
      <w:numFmt w:val="bullet"/>
      <w:lvlText w:val="-"/>
      <w:lvlJc w:val="left"/>
      <w:pPr>
        <w:ind w:left="1849" w:hanging="360"/>
      </w:pPr>
      <w:rPr>
        <w:rFonts w:ascii="Arial" w:eastAsia="Times New Roman" w:hAnsi="Arial" w:cs="Aria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36">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562D32C1"/>
    <w:multiLevelType w:val="hybridMultilevel"/>
    <w:tmpl w:val="B5CCE7EA"/>
    <w:lvl w:ilvl="0" w:tplc="A538F58C">
      <w:start w:val="1"/>
      <w:numFmt w:val="decimal"/>
      <w:lvlText w:val="%1."/>
      <w:lvlJc w:val="left"/>
      <w:pPr>
        <w:tabs>
          <w:tab w:val="num" w:pos="720"/>
        </w:tabs>
        <w:ind w:left="720" w:hanging="360"/>
      </w:pPr>
      <w:rPr>
        <w:rFonts w:hint="default"/>
        <w:i/>
        <w:color w:val="auto"/>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8">
    <w:nsid w:val="59BC5196"/>
    <w:multiLevelType w:val="multilevel"/>
    <w:tmpl w:val="5484A226"/>
    <w:lvl w:ilvl="0">
      <w:start w:val="6"/>
      <w:numFmt w:val="decimal"/>
      <w:lvlText w:val="%1"/>
      <w:lvlJc w:val="left"/>
      <w:pPr>
        <w:ind w:left="1069" w:hanging="360"/>
      </w:pPr>
      <w:rPr>
        <w:rFonts w:hint="default"/>
        <w:i w:val="0"/>
      </w:rPr>
    </w:lvl>
    <w:lvl w:ilvl="1">
      <w:start w:val="1"/>
      <w:numFmt w:val="decimal"/>
      <w:lvlText w:val="%1.%2"/>
      <w:lvlJc w:val="left"/>
      <w:pPr>
        <w:ind w:left="1779" w:hanging="360"/>
      </w:pPr>
      <w:rPr>
        <w:rFonts w:ascii="Arial" w:hAnsi="Arial" w:cs="Arial" w:hint="default"/>
        <w:b w:val="0"/>
        <w:i w:val="0"/>
        <w:color w:val="auto"/>
        <w:sz w:val="22"/>
        <w:szCs w:val="22"/>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149" w:hanging="144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509" w:hanging="1800"/>
      </w:pPr>
      <w:rPr>
        <w:rFonts w:hint="default"/>
      </w:rPr>
    </w:lvl>
  </w:abstractNum>
  <w:abstractNum w:abstractNumId="39">
    <w:nsid w:val="5ED00A85"/>
    <w:multiLevelType w:val="hybridMultilevel"/>
    <w:tmpl w:val="A1223F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nsid w:val="62A175B5"/>
    <w:multiLevelType w:val="hybridMultilevel"/>
    <w:tmpl w:val="08A63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8711169"/>
    <w:multiLevelType w:val="hybridMultilevel"/>
    <w:tmpl w:val="31120B4E"/>
    <w:lvl w:ilvl="0" w:tplc="F31ABA22">
      <w:start w:val="1"/>
      <w:numFmt w:val="bullet"/>
      <w:lvlText w:val="•"/>
      <w:lvlJc w:val="left"/>
      <w:pPr>
        <w:tabs>
          <w:tab w:val="num" w:pos="720"/>
        </w:tabs>
        <w:ind w:left="720" w:hanging="360"/>
      </w:pPr>
      <w:rPr>
        <w:rFonts w:ascii="Arial" w:hAnsi="Arial" w:hint="default"/>
      </w:rPr>
    </w:lvl>
    <w:lvl w:ilvl="1" w:tplc="4A10DC28" w:tentative="1">
      <w:start w:val="1"/>
      <w:numFmt w:val="bullet"/>
      <w:lvlText w:val="•"/>
      <w:lvlJc w:val="left"/>
      <w:pPr>
        <w:tabs>
          <w:tab w:val="num" w:pos="1440"/>
        </w:tabs>
        <w:ind w:left="1440" w:hanging="360"/>
      </w:pPr>
      <w:rPr>
        <w:rFonts w:ascii="Arial" w:hAnsi="Arial" w:hint="default"/>
      </w:rPr>
    </w:lvl>
    <w:lvl w:ilvl="2" w:tplc="A5F88F18">
      <w:start w:val="1"/>
      <w:numFmt w:val="bullet"/>
      <w:lvlText w:val="•"/>
      <w:lvlJc w:val="left"/>
      <w:pPr>
        <w:tabs>
          <w:tab w:val="num" w:pos="2160"/>
        </w:tabs>
        <w:ind w:left="2160" w:hanging="360"/>
      </w:pPr>
      <w:rPr>
        <w:rFonts w:ascii="Arial" w:hAnsi="Arial" w:hint="default"/>
      </w:rPr>
    </w:lvl>
    <w:lvl w:ilvl="3" w:tplc="F456504A" w:tentative="1">
      <w:start w:val="1"/>
      <w:numFmt w:val="bullet"/>
      <w:lvlText w:val="•"/>
      <w:lvlJc w:val="left"/>
      <w:pPr>
        <w:tabs>
          <w:tab w:val="num" w:pos="2880"/>
        </w:tabs>
        <w:ind w:left="2880" w:hanging="360"/>
      </w:pPr>
      <w:rPr>
        <w:rFonts w:ascii="Arial" w:hAnsi="Arial" w:hint="default"/>
      </w:rPr>
    </w:lvl>
    <w:lvl w:ilvl="4" w:tplc="B4EEC248" w:tentative="1">
      <w:start w:val="1"/>
      <w:numFmt w:val="bullet"/>
      <w:lvlText w:val="•"/>
      <w:lvlJc w:val="left"/>
      <w:pPr>
        <w:tabs>
          <w:tab w:val="num" w:pos="3600"/>
        </w:tabs>
        <w:ind w:left="3600" w:hanging="360"/>
      </w:pPr>
      <w:rPr>
        <w:rFonts w:ascii="Arial" w:hAnsi="Arial" w:hint="default"/>
      </w:rPr>
    </w:lvl>
    <w:lvl w:ilvl="5" w:tplc="C762A68C" w:tentative="1">
      <w:start w:val="1"/>
      <w:numFmt w:val="bullet"/>
      <w:lvlText w:val="•"/>
      <w:lvlJc w:val="left"/>
      <w:pPr>
        <w:tabs>
          <w:tab w:val="num" w:pos="4320"/>
        </w:tabs>
        <w:ind w:left="4320" w:hanging="360"/>
      </w:pPr>
      <w:rPr>
        <w:rFonts w:ascii="Arial" w:hAnsi="Arial" w:hint="default"/>
      </w:rPr>
    </w:lvl>
    <w:lvl w:ilvl="6" w:tplc="ED208200" w:tentative="1">
      <w:start w:val="1"/>
      <w:numFmt w:val="bullet"/>
      <w:lvlText w:val="•"/>
      <w:lvlJc w:val="left"/>
      <w:pPr>
        <w:tabs>
          <w:tab w:val="num" w:pos="5040"/>
        </w:tabs>
        <w:ind w:left="5040" w:hanging="360"/>
      </w:pPr>
      <w:rPr>
        <w:rFonts w:ascii="Arial" w:hAnsi="Arial" w:hint="default"/>
      </w:rPr>
    </w:lvl>
    <w:lvl w:ilvl="7" w:tplc="D244182E" w:tentative="1">
      <w:start w:val="1"/>
      <w:numFmt w:val="bullet"/>
      <w:lvlText w:val="•"/>
      <w:lvlJc w:val="left"/>
      <w:pPr>
        <w:tabs>
          <w:tab w:val="num" w:pos="5760"/>
        </w:tabs>
        <w:ind w:left="5760" w:hanging="360"/>
      </w:pPr>
      <w:rPr>
        <w:rFonts w:ascii="Arial" w:hAnsi="Arial" w:hint="default"/>
      </w:rPr>
    </w:lvl>
    <w:lvl w:ilvl="8" w:tplc="DECA9C1A" w:tentative="1">
      <w:start w:val="1"/>
      <w:numFmt w:val="bullet"/>
      <w:lvlText w:val="•"/>
      <w:lvlJc w:val="left"/>
      <w:pPr>
        <w:tabs>
          <w:tab w:val="num" w:pos="6480"/>
        </w:tabs>
        <w:ind w:left="6480" w:hanging="360"/>
      </w:pPr>
      <w:rPr>
        <w:rFonts w:ascii="Arial" w:hAnsi="Arial" w:hint="default"/>
      </w:rPr>
    </w:lvl>
  </w:abstractNum>
  <w:abstractNum w:abstractNumId="42">
    <w:nsid w:val="6B905492"/>
    <w:multiLevelType w:val="hybridMultilevel"/>
    <w:tmpl w:val="2084D5D4"/>
    <w:lvl w:ilvl="0" w:tplc="513E3F20">
      <w:start w:val="4"/>
      <w:numFmt w:val="decimal"/>
      <w:lvlText w:val="%1."/>
      <w:lvlJc w:val="left"/>
      <w:pPr>
        <w:tabs>
          <w:tab w:val="num" w:pos="720"/>
        </w:tabs>
        <w:ind w:left="720" w:hanging="360"/>
      </w:pPr>
      <w:rPr>
        <w:rFonts w:hint="default"/>
      </w:rPr>
    </w:lvl>
    <w:lvl w:ilvl="1" w:tplc="02E6A8EE" w:tentative="1">
      <w:start w:val="1"/>
      <w:numFmt w:val="lowerLetter"/>
      <w:lvlText w:val="%2."/>
      <w:lvlJc w:val="left"/>
      <w:pPr>
        <w:tabs>
          <w:tab w:val="num" w:pos="1440"/>
        </w:tabs>
        <w:ind w:left="1440" w:hanging="360"/>
      </w:pPr>
    </w:lvl>
    <w:lvl w:ilvl="2" w:tplc="59C2CD90" w:tentative="1">
      <w:start w:val="1"/>
      <w:numFmt w:val="lowerRoman"/>
      <w:lvlText w:val="%3."/>
      <w:lvlJc w:val="right"/>
      <w:pPr>
        <w:tabs>
          <w:tab w:val="num" w:pos="2160"/>
        </w:tabs>
        <w:ind w:left="2160" w:hanging="180"/>
      </w:pPr>
    </w:lvl>
    <w:lvl w:ilvl="3" w:tplc="B706D67C" w:tentative="1">
      <w:start w:val="1"/>
      <w:numFmt w:val="decimal"/>
      <w:lvlText w:val="%4."/>
      <w:lvlJc w:val="left"/>
      <w:pPr>
        <w:tabs>
          <w:tab w:val="num" w:pos="2880"/>
        </w:tabs>
        <w:ind w:left="2880" w:hanging="360"/>
      </w:pPr>
    </w:lvl>
    <w:lvl w:ilvl="4" w:tplc="CF22E9E2" w:tentative="1">
      <w:start w:val="1"/>
      <w:numFmt w:val="lowerLetter"/>
      <w:lvlText w:val="%5."/>
      <w:lvlJc w:val="left"/>
      <w:pPr>
        <w:tabs>
          <w:tab w:val="num" w:pos="3600"/>
        </w:tabs>
        <w:ind w:left="3600" w:hanging="360"/>
      </w:pPr>
    </w:lvl>
    <w:lvl w:ilvl="5" w:tplc="2FF2CB52" w:tentative="1">
      <w:start w:val="1"/>
      <w:numFmt w:val="lowerRoman"/>
      <w:lvlText w:val="%6."/>
      <w:lvlJc w:val="right"/>
      <w:pPr>
        <w:tabs>
          <w:tab w:val="num" w:pos="4320"/>
        </w:tabs>
        <w:ind w:left="4320" w:hanging="180"/>
      </w:pPr>
    </w:lvl>
    <w:lvl w:ilvl="6" w:tplc="C0086DAC" w:tentative="1">
      <w:start w:val="1"/>
      <w:numFmt w:val="decimal"/>
      <w:lvlText w:val="%7."/>
      <w:lvlJc w:val="left"/>
      <w:pPr>
        <w:tabs>
          <w:tab w:val="num" w:pos="5040"/>
        </w:tabs>
        <w:ind w:left="5040" w:hanging="360"/>
      </w:pPr>
    </w:lvl>
    <w:lvl w:ilvl="7" w:tplc="E192646A" w:tentative="1">
      <w:start w:val="1"/>
      <w:numFmt w:val="lowerLetter"/>
      <w:lvlText w:val="%8."/>
      <w:lvlJc w:val="left"/>
      <w:pPr>
        <w:tabs>
          <w:tab w:val="num" w:pos="5760"/>
        </w:tabs>
        <w:ind w:left="5760" w:hanging="360"/>
      </w:pPr>
    </w:lvl>
    <w:lvl w:ilvl="8" w:tplc="A33818BA" w:tentative="1">
      <w:start w:val="1"/>
      <w:numFmt w:val="lowerRoman"/>
      <w:lvlText w:val="%9."/>
      <w:lvlJc w:val="right"/>
      <w:pPr>
        <w:tabs>
          <w:tab w:val="num" w:pos="6480"/>
        </w:tabs>
        <w:ind w:left="6480" w:hanging="180"/>
      </w:pPr>
    </w:lvl>
  </w:abstractNum>
  <w:abstractNum w:abstractNumId="43">
    <w:nsid w:val="6C6407F1"/>
    <w:multiLevelType w:val="hybridMultilevel"/>
    <w:tmpl w:val="CAE41E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E452EBA"/>
    <w:multiLevelType w:val="hybridMultilevel"/>
    <w:tmpl w:val="0582D05A"/>
    <w:lvl w:ilvl="0" w:tplc="2E500086">
      <w:start w:val="1"/>
      <w:numFmt w:val="bullet"/>
      <w:lvlText w:val=""/>
      <w:lvlJc w:val="left"/>
      <w:pPr>
        <w:tabs>
          <w:tab w:val="num" w:pos="720"/>
        </w:tabs>
        <w:ind w:left="720" w:hanging="360"/>
      </w:pPr>
      <w:rPr>
        <w:rFonts w:ascii="Symbol" w:hAnsi="Symbol" w:hint="default"/>
      </w:rPr>
    </w:lvl>
    <w:lvl w:ilvl="1" w:tplc="6F5A277C" w:tentative="1">
      <w:start w:val="1"/>
      <w:numFmt w:val="bullet"/>
      <w:lvlText w:val="o"/>
      <w:lvlJc w:val="left"/>
      <w:pPr>
        <w:tabs>
          <w:tab w:val="num" w:pos="1440"/>
        </w:tabs>
        <w:ind w:left="1440" w:hanging="360"/>
      </w:pPr>
      <w:rPr>
        <w:rFonts w:ascii="Courier New" w:hAnsi="Courier New" w:cs="Courier New" w:hint="default"/>
      </w:rPr>
    </w:lvl>
    <w:lvl w:ilvl="2" w:tplc="40A2ED06" w:tentative="1">
      <w:start w:val="1"/>
      <w:numFmt w:val="bullet"/>
      <w:lvlText w:val=""/>
      <w:lvlJc w:val="left"/>
      <w:pPr>
        <w:tabs>
          <w:tab w:val="num" w:pos="2160"/>
        </w:tabs>
        <w:ind w:left="2160" w:hanging="360"/>
      </w:pPr>
      <w:rPr>
        <w:rFonts w:ascii="Wingdings" w:hAnsi="Wingdings" w:hint="default"/>
      </w:rPr>
    </w:lvl>
    <w:lvl w:ilvl="3" w:tplc="8CE4AD88" w:tentative="1">
      <w:start w:val="1"/>
      <w:numFmt w:val="bullet"/>
      <w:lvlText w:val=""/>
      <w:lvlJc w:val="left"/>
      <w:pPr>
        <w:tabs>
          <w:tab w:val="num" w:pos="2880"/>
        </w:tabs>
        <w:ind w:left="2880" w:hanging="360"/>
      </w:pPr>
      <w:rPr>
        <w:rFonts w:ascii="Symbol" w:hAnsi="Symbol" w:hint="default"/>
      </w:rPr>
    </w:lvl>
    <w:lvl w:ilvl="4" w:tplc="AB789EA2" w:tentative="1">
      <w:start w:val="1"/>
      <w:numFmt w:val="bullet"/>
      <w:lvlText w:val="o"/>
      <w:lvlJc w:val="left"/>
      <w:pPr>
        <w:tabs>
          <w:tab w:val="num" w:pos="3600"/>
        </w:tabs>
        <w:ind w:left="3600" w:hanging="360"/>
      </w:pPr>
      <w:rPr>
        <w:rFonts w:ascii="Courier New" w:hAnsi="Courier New" w:cs="Courier New" w:hint="default"/>
      </w:rPr>
    </w:lvl>
    <w:lvl w:ilvl="5" w:tplc="27D6AEFC" w:tentative="1">
      <w:start w:val="1"/>
      <w:numFmt w:val="bullet"/>
      <w:lvlText w:val=""/>
      <w:lvlJc w:val="left"/>
      <w:pPr>
        <w:tabs>
          <w:tab w:val="num" w:pos="4320"/>
        </w:tabs>
        <w:ind w:left="4320" w:hanging="360"/>
      </w:pPr>
      <w:rPr>
        <w:rFonts w:ascii="Wingdings" w:hAnsi="Wingdings" w:hint="default"/>
      </w:rPr>
    </w:lvl>
    <w:lvl w:ilvl="6" w:tplc="7EFC1546" w:tentative="1">
      <w:start w:val="1"/>
      <w:numFmt w:val="bullet"/>
      <w:lvlText w:val=""/>
      <w:lvlJc w:val="left"/>
      <w:pPr>
        <w:tabs>
          <w:tab w:val="num" w:pos="5040"/>
        </w:tabs>
        <w:ind w:left="5040" w:hanging="360"/>
      </w:pPr>
      <w:rPr>
        <w:rFonts w:ascii="Symbol" w:hAnsi="Symbol" w:hint="default"/>
      </w:rPr>
    </w:lvl>
    <w:lvl w:ilvl="7" w:tplc="9424ADAC" w:tentative="1">
      <w:start w:val="1"/>
      <w:numFmt w:val="bullet"/>
      <w:lvlText w:val="o"/>
      <w:lvlJc w:val="left"/>
      <w:pPr>
        <w:tabs>
          <w:tab w:val="num" w:pos="5760"/>
        </w:tabs>
        <w:ind w:left="5760" w:hanging="360"/>
      </w:pPr>
      <w:rPr>
        <w:rFonts w:ascii="Courier New" w:hAnsi="Courier New" w:cs="Courier New" w:hint="default"/>
      </w:rPr>
    </w:lvl>
    <w:lvl w:ilvl="8" w:tplc="2F346262" w:tentative="1">
      <w:start w:val="1"/>
      <w:numFmt w:val="bullet"/>
      <w:lvlText w:val=""/>
      <w:lvlJc w:val="left"/>
      <w:pPr>
        <w:tabs>
          <w:tab w:val="num" w:pos="6480"/>
        </w:tabs>
        <w:ind w:left="6480" w:hanging="360"/>
      </w:pPr>
      <w:rPr>
        <w:rFonts w:ascii="Wingdings" w:hAnsi="Wingdings" w:hint="default"/>
      </w:rPr>
    </w:lvl>
  </w:abstractNum>
  <w:abstractNum w:abstractNumId="45">
    <w:nsid w:val="6EBB4D7B"/>
    <w:multiLevelType w:val="hybridMultilevel"/>
    <w:tmpl w:val="5CD8634A"/>
    <w:lvl w:ilvl="0" w:tplc="172C78AA">
      <w:start w:val="1"/>
      <w:numFmt w:val="bullet"/>
      <w:lvlText w:val=""/>
      <w:lvlJc w:val="left"/>
      <w:pPr>
        <w:tabs>
          <w:tab w:val="num" w:pos="420"/>
        </w:tabs>
        <w:ind w:left="42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46">
    <w:nsid w:val="75E5122E"/>
    <w:multiLevelType w:val="hybridMultilevel"/>
    <w:tmpl w:val="76A4D332"/>
    <w:lvl w:ilvl="0" w:tplc="3500A968">
      <w:start w:val="2"/>
      <w:numFmt w:val="bullet"/>
      <w:lvlText w:val="-"/>
      <w:lvlJc w:val="left"/>
      <w:pPr>
        <w:ind w:left="1440" w:hanging="360"/>
      </w:pPr>
      <w:rPr>
        <w:rFonts w:ascii="Arial" w:eastAsia="Times New Roman" w:hAnsi="Arial" w:cs="Arial" w:hint="default"/>
      </w:rPr>
    </w:lvl>
    <w:lvl w:ilvl="1" w:tplc="3500A968">
      <w:start w:val="2"/>
      <w:numFmt w:val="bullet"/>
      <w:lvlText w:val="-"/>
      <w:lvlJc w:val="left"/>
      <w:pPr>
        <w:ind w:left="2160" w:hanging="360"/>
      </w:pPr>
      <w:rPr>
        <w:rFonts w:ascii="Arial" w:eastAsia="Times New Roman" w:hAnsi="Arial" w:cs="Arial"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7">
    <w:nsid w:val="76346CBF"/>
    <w:multiLevelType w:val="hybridMultilevel"/>
    <w:tmpl w:val="A87079A4"/>
    <w:lvl w:ilvl="0" w:tplc="0DBC61CE">
      <w:start w:val="1"/>
      <w:numFmt w:val="lowerLetter"/>
      <w:lvlText w:val="(%1)"/>
      <w:lvlJc w:val="left"/>
      <w:pPr>
        <w:ind w:left="1788" w:hanging="795"/>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48">
    <w:nsid w:val="779D0873"/>
    <w:multiLevelType w:val="hybridMultilevel"/>
    <w:tmpl w:val="DB8E6D4A"/>
    <w:lvl w:ilvl="0" w:tplc="11FC3552">
      <w:start w:val="1"/>
      <w:numFmt w:val="bullet"/>
      <w:lvlText w:val=""/>
      <w:lvlJc w:val="left"/>
      <w:pPr>
        <w:tabs>
          <w:tab w:val="num" w:pos="1440"/>
        </w:tabs>
        <w:ind w:left="1440" w:hanging="360"/>
      </w:pPr>
      <w:rPr>
        <w:rFonts w:ascii="Symbol" w:hAnsi="Symbol" w:hint="default"/>
        <w:color w:val="auto"/>
      </w:rPr>
    </w:lvl>
    <w:lvl w:ilvl="1" w:tplc="0C090003" w:tentative="1">
      <w:start w:val="1"/>
      <w:numFmt w:val="bullet"/>
      <w:lvlText w:val="o"/>
      <w:lvlJc w:val="left"/>
      <w:pPr>
        <w:tabs>
          <w:tab w:val="num" w:pos="2520"/>
        </w:tabs>
        <w:ind w:left="2520" w:hanging="360"/>
      </w:pPr>
      <w:rPr>
        <w:rFonts w:ascii="Courier New" w:hAnsi="Courier New" w:cs="Courier New" w:hint="default"/>
      </w:rPr>
    </w:lvl>
    <w:lvl w:ilvl="2" w:tplc="0C090005" w:tentative="1">
      <w:start w:val="1"/>
      <w:numFmt w:val="bullet"/>
      <w:lvlText w:val=""/>
      <w:lvlJc w:val="left"/>
      <w:pPr>
        <w:tabs>
          <w:tab w:val="num" w:pos="3240"/>
        </w:tabs>
        <w:ind w:left="3240" w:hanging="360"/>
      </w:pPr>
      <w:rPr>
        <w:rFonts w:ascii="Wingdings" w:hAnsi="Wingdings" w:hint="default"/>
      </w:rPr>
    </w:lvl>
    <w:lvl w:ilvl="3" w:tplc="0C090001" w:tentative="1">
      <w:start w:val="1"/>
      <w:numFmt w:val="bullet"/>
      <w:lvlText w:val=""/>
      <w:lvlJc w:val="left"/>
      <w:pPr>
        <w:tabs>
          <w:tab w:val="num" w:pos="3960"/>
        </w:tabs>
        <w:ind w:left="3960" w:hanging="360"/>
      </w:pPr>
      <w:rPr>
        <w:rFonts w:ascii="Symbol" w:hAnsi="Symbol" w:hint="default"/>
      </w:rPr>
    </w:lvl>
    <w:lvl w:ilvl="4" w:tplc="0C090003" w:tentative="1">
      <w:start w:val="1"/>
      <w:numFmt w:val="bullet"/>
      <w:lvlText w:val="o"/>
      <w:lvlJc w:val="left"/>
      <w:pPr>
        <w:tabs>
          <w:tab w:val="num" w:pos="4680"/>
        </w:tabs>
        <w:ind w:left="4680" w:hanging="360"/>
      </w:pPr>
      <w:rPr>
        <w:rFonts w:ascii="Courier New" w:hAnsi="Courier New" w:cs="Courier New" w:hint="default"/>
      </w:rPr>
    </w:lvl>
    <w:lvl w:ilvl="5" w:tplc="0C090005" w:tentative="1">
      <w:start w:val="1"/>
      <w:numFmt w:val="bullet"/>
      <w:lvlText w:val=""/>
      <w:lvlJc w:val="left"/>
      <w:pPr>
        <w:tabs>
          <w:tab w:val="num" w:pos="5400"/>
        </w:tabs>
        <w:ind w:left="5400" w:hanging="360"/>
      </w:pPr>
      <w:rPr>
        <w:rFonts w:ascii="Wingdings" w:hAnsi="Wingdings" w:hint="default"/>
      </w:rPr>
    </w:lvl>
    <w:lvl w:ilvl="6" w:tplc="0C090001" w:tentative="1">
      <w:start w:val="1"/>
      <w:numFmt w:val="bullet"/>
      <w:lvlText w:val=""/>
      <w:lvlJc w:val="left"/>
      <w:pPr>
        <w:tabs>
          <w:tab w:val="num" w:pos="6120"/>
        </w:tabs>
        <w:ind w:left="6120" w:hanging="360"/>
      </w:pPr>
      <w:rPr>
        <w:rFonts w:ascii="Symbol" w:hAnsi="Symbol" w:hint="default"/>
      </w:rPr>
    </w:lvl>
    <w:lvl w:ilvl="7" w:tplc="0C090003" w:tentative="1">
      <w:start w:val="1"/>
      <w:numFmt w:val="bullet"/>
      <w:lvlText w:val="o"/>
      <w:lvlJc w:val="left"/>
      <w:pPr>
        <w:tabs>
          <w:tab w:val="num" w:pos="6840"/>
        </w:tabs>
        <w:ind w:left="6840" w:hanging="360"/>
      </w:pPr>
      <w:rPr>
        <w:rFonts w:ascii="Courier New" w:hAnsi="Courier New" w:cs="Courier New" w:hint="default"/>
      </w:rPr>
    </w:lvl>
    <w:lvl w:ilvl="8" w:tplc="0C090005" w:tentative="1">
      <w:start w:val="1"/>
      <w:numFmt w:val="bullet"/>
      <w:lvlText w:val=""/>
      <w:lvlJc w:val="left"/>
      <w:pPr>
        <w:tabs>
          <w:tab w:val="num" w:pos="7560"/>
        </w:tabs>
        <w:ind w:left="7560" w:hanging="360"/>
      </w:pPr>
      <w:rPr>
        <w:rFonts w:ascii="Wingdings" w:hAnsi="Wingdings" w:hint="default"/>
      </w:rPr>
    </w:lvl>
  </w:abstractNum>
  <w:abstractNum w:abstractNumId="49">
    <w:nsid w:val="784D033C"/>
    <w:multiLevelType w:val="multilevel"/>
    <w:tmpl w:val="38265BEA"/>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0">
    <w:nsid w:val="795C0764"/>
    <w:multiLevelType w:val="multilevel"/>
    <w:tmpl w:val="85EAC406"/>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1">
    <w:nsid w:val="79DA634B"/>
    <w:multiLevelType w:val="hybridMultilevel"/>
    <w:tmpl w:val="E6B0A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D101EF5"/>
    <w:multiLevelType w:val="hybridMultilevel"/>
    <w:tmpl w:val="408E12BC"/>
    <w:lvl w:ilvl="0" w:tplc="FC4E0402">
      <w:start w:val="1"/>
      <w:numFmt w:val="lowerLetter"/>
      <w:lvlText w:val="(%1)"/>
      <w:lvlJc w:val="left"/>
      <w:pPr>
        <w:ind w:left="1444" w:hanging="735"/>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num w:numId="1">
    <w:abstractNumId w:val="13"/>
  </w:num>
  <w:num w:numId="2">
    <w:abstractNumId w:val="44"/>
  </w:num>
  <w:num w:numId="3">
    <w:abstractNumId w:val="28"/>
  </w:num>
  <w:num w:numId="4">
    <w:abstractNumId w:val="0"/>
  </w:num>
  <w:num w:numId="5">
    <w:abstractNumId w:val="7"/>
  </w:num>
  <w:num w:numId="6">
    <w:abstractNumId w:val="26"/>
  </w:num>
  <w:num w:numId="7">
    <w:abstractNumId w:val="22"/>
  </w:num>
  <w:num w:numId="8">
    <w:abstractNumId w:val="6"/>
  </w:num>
  <w:num w:numId="9">
    <w:abstractNumId w:val="10"/>
  </w:num>
  <w:num w:numId="10">
    <w:abstractNumId w:val="42"/>
  </w:num>
  <w:num w:numId="11">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num>
  <w:num w:numId="14">
    <w:abstractNumId w:val="45"/>
  </w:num>
  <w:num w:numId="15">
    <w:abstractNumId w:val="37"/>
  </w:num>
  <w:num w:numId="16">
    <w:abstractNumId w:val="32"/>
  </w:num>
  <w:num w:numId="17">
    <w:abstractNumId w:val="48"/>
  </w:num>
  <w:num w:numId="18">
    <w:abstractNumId w:val="16"/>
  </w:num>
  <w:num w:numId="19">
    <w:abstractNumId w:val="24"/>
  </w:num>
  <w:num w:numId="20">
    <w:abstractNumId w:val="4"/>
  </w:num>
  <w:num w:numId="21">
    <w:abstractNumId w:val="40"/>
  </w:num>
  <w:num w:numId="22">
    <w:abstractNumId w:val="43"/>
  </w:num>
  <w:num w:numId="23">
    <w:abstractNumId w:val="51"/>
  </w:num>
  <w:num w:numId="24">
    <w:abstractNumId w:val="21"/>
  </w:num>
  <w:num w:numId="25">
    <w:abstractNumId w:val="49"/>
  </w:num>
  <w:num w:numId="26">
    <w:abstractNumId w:val="38"/>
  </w:num>
  <w:num w:numId="27">
    <w:abstractNumId w:val="15"/>
  </w:num>
  <w:num w:numId="28">
    <w:abstractNumId w:val="8"/>
  </w:num>
  <w:num w:numId="29">
    <w:abstractNumId w:val="35"/>
  </w:num>
  <w:num w:numId="30">
    <w:abstractNumId w:val="3"/>
  </w:num>
  <w:num w:numId="31">
    <w:abstractNumId w:val="36"/>
  </w:num>
  <w:num w:numId="32">
    <w:abstractNumId w:val="47"/>
  </w:num>
  <w:num w:numId="33">
    <w:abstractNumId w:val="34"/>
  </w:num>
  <w:num w:numId="34">
    <w:abstractNumId w:val="52"/>
  </w:num>
  <w:num w:numId="35">
    <w:abstractNumId w:val="14"/>
  </w:num>
  <w:num w:numId="36">
    <w:abstractNumId w:val="31"/>
  </w:num>
  <w:num w:numId="37">
    <w:abstractNumId w:val="39"/>
  </w:num>
  <w:num w:numId="38">
    <w:abstractNumId w:val="12"/>
  </w:num>
  <w:num w:numId="39">
    <w:abstractNumId w:val="23"/>
  </w:num>
  <w:num w:numId="40">
    <w:abstractNumId w:val="2"/>
  </w:num>
  <w:num w:numId="41">
    <w:abstractNumId w:val="20"/>
  </w:num>
  <w:num w:numId="42">
    <w:abstractNumId w:val="25"/>
  </w:num>
  <w:num w:numId="43">
    <w:abstractNumId w:val="19"/>
  </w:num>
  <w:num w:numId="44">
    <w:abstractNumId w:val="11"/>
  </w:num>
  <w:num w:numId="45">
    <w:abstractNumId w:val="30"/>
  </w:num>
  <w:num w:numId="46">
    <w:abstractNumId w:val="46"/>
  </w:num>
  <w:num w:numId="47">
    <w:abstractNumId w:val="50"/>
  </w:num>
  <w:num w:numId="48">
    <w:abstractNumId w:val="27"/>
  </w:num>
  <w:num w:numId="49">
    <w:abstractNumId w:val="5"/>
  </w:num>
  <w:num w:numId="50">
    <w:abstractNumId w:val="9"/>
  </w:num>
  <w:num w:numId="51">
    <w:abstractNumId w:val="17"/>
  </w:num>
  <w:num w:numId="52">
    <w:abstractNumId w:val="33"/>
  </w:num>
  <w:num w:numId="53">
    <w:abstractNumId w:val="1"/>
  </w:num>
  <w:num w:numId="54">
    <w:abstractNumId w:val="41"/>
  </w:num>
  <w:num w:numId="55">
    <w:abstractNumId w:val="1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dOptMainDocument" w:val="!"/>
    <w:docVar w:name="iddOptSourceDocument" w:val="!"/>
  </w:docVars>
  <w:rsids>
    <w:rsidRoot w:val="0004240E"/>
    <w:rsid w:val="000025AD"/>
    <w:rsid w:val="00003E92"/>
    <w:rsid w:val="00014253"/>
    <w:rsid w:val="000157CF"/>
    <w:rsid w:val="000172AD"/>
    <w:rsid w:val="00020678"/>
    <w:rsid w:val="0002345C"/>
    <w:rsid w:val="0002464A"/>
    <w:rsid w:val="000279C3"/>
    <w:rsid w:val="0003106B"/>
    <w:rsid w:val="000315F8"/>
    <w:rsid w:val="000354A1"/>
    <w:rsid w:val="00040AB9"/>
    <w:rsid w:val="0004159D"/>
    <w:rsid w:val="00041679"/>
    <w:rsid w:val="000421A1"/>
    <w:rsid w:val="0004240E"/>
    <w:rsid w:val="00045E26"/>
    <w:rsid w:val="00046AB1"/>
    <w:rsid w:val="00047542"/>
    <w:rsid w:val="00047D6B"/>
    <w:rsid w:val="000514B5"/>
    <w:rsid w:val="00052104"/>
    <w:rsid w:val="00054051"/>
    <w:rsid w:val="000600E1"/>
    <w:rsid w:val="00060E64"/>
    <w:rsid w:val="000630F0"/>
    <w:rsid w:val="00065B97"/>
    <w:rsid w:val="00066755"/>
    <w:rsid w:val="000669F8"/>
    <w:rsid w:val="00066DC2"/>
    <w:rsid w:val="0006788D"/>
    <w:rsid w:val="00073DD9"/>
    <w:rsid w:val="00083E22"/>
    <w:rsid w:val="00083EAA"/>
    <w:rsid w:val="00085FE1"/>
    <w:rsid w:val="000926BA"/>
    <w:rsid w:val="00092D06"/>
    <w:rsid w:val="000969AD"/>
    <w:rsid w:val="000A0468"/>
    <w:rsid w:val="000A4162"/>
    <w:rsid w:val="000B2349"/>
    <w:rsid w:val="000B5584"/>
    <w:rsid w:val="000B558D"/>
    <w:rsid w:val="000C3A3D"/>
    <w:rsid w:val="000C4467"/>
    <w:rsid w:val="000C545B"/>
    <w:rsid w:val="000C6033"/>
    <w:rsid w:val="000C6996"/>
    <w:rsid w:val="000C7993"/>
    <w:rsid w:val="000D23BA"/>
    <w:rsid w:val="000D2919"/>
    <w:rsid w:val="000D5122"/>
    <w:rsid w:val="000E1652"/>
    <w:rsid w:val="000E45CB"/>
    <w:rsid w:val="000E531C"/>
    <w:rsid w:val="000E6662"/>
    <w:rsid w:val="000E681E"/>
    <w:rsid w:val="000E7762"/>
    <w:rsid w:val="000F4E6A"/>
    <w:rsid w:val="00100E1A"/>
    <w:rsid w:val="00101417"/>
    <w:rsid w:val="00110658"/>
    <w:rsid w:val="001107BF"/>
    <w:rsid w:val="00111AEA"/>
    <w:rsid w:val="001121BF"/>
    <w:rsid w:val="00112699"/>
    <w:rsid w:val="0012417C"/>
    <w:rsid w:val="00134D2A"/>
    <w:rsid w:val="00136910"/>
    <w:rsid w:val="00136C2C"/>
    <w:rsid w:val="00142395"/>
    <w:rsid w:val="00142714"/>
    <w:rsid w:val="001452ED"/>
    <w:rsid w:val="00145858"/>
    <w:rsid w:val="00145F2F"/>
    <w:rsid w:val="00153798"/>
    <w:rsid w:val="001543CA"/>
    <w:rsid w:val="00155506"/>
    <w:rsid w:val="001556D7"/>
    <w:rsid w:val="001628C2"/>
    <w:rsid w:val="00163663"/>
    <w:rsid w:val="00172F46"/>
    <w:rsid w:val="00180F6C"/>
    <w:rsid w:val="001830CE"/>
    <w:rsid w:val="00184143"/>
    <w:rsid w:val="001866CD"/>
    <w:rsid w:val="00191752"/>
    <w:rsid w:val="00196307"/>
    <w:rsid w:val="001A20F5"/>
    <w:rsid w:val="001A3AC2"/>
    <w:rsid w:val="001A4BFF"/>
    <w:rsid w:val="001A4EBA"/>
    <w:rsid w:val="001B017F"/>
    <w:rsid w:val="001B1ADF"/>
    <w:rsid w:val="001B369F"/>
    <w:rsid w:val="001B5129"/>
    <w:rsid w:val="001B7936"/>
    <w:rsid w:val="001C1195"/>
    <w:rsid w:val="001C41F4"/>
    <w:rsid w:val="001C4D0A"/>
    <w:rsid w:val="001C7D46"/>
    <w:rsid w:val="001D7A3F"/>
    <w:rsid w:val="001E7ADC"/>
    <w:rsid w:val="001F26BD"/>
    <w:rsid w:val="001F60C8"/>
    <w:rsid w:val="001F7A42"/>
    <w:rsid w:val="002006A7"/>
    <w:rsid w:val="00205E2B"/>
    <w:rsid w:val="00207150"/>
    <w:rsid w:val="00213CFB"/>
    <w:rsid w:val="00215956"/>
    <w:rsid w:val="002257AA"/>
    <w:rsid w:val="002341AF"/>
    <w:rsid w:val="002422C4"/>
    <w:rsid w:val="00250F29"/>
    <w:rsid w:val="002520C4"/>
    <w:rsid w:val="00254E47"/>
    <w:rsid w:val="00260378"/>
    <w:rsid w:val="0026080B"/>
    <w:rsid w:val="00260B02"/>
    <w:rsid w:val="00260BD1"/>
    <w:rsid w:val="00262D32"/>
    <w:rsid w:val="002658E5"/>
    <w:rsid w:val="002665E0"/>
    <w:rsid w:val="00271BA1"/>
    <w:rsid w:val="00277505"/>
    <w:rsid w:val="002825DB"/>
    <w:rsid w:val="002844D4"/>
    <w:rsid w:val="002877DE"/>
    <w:rsid w:val="00290619"/>
    <w:rsid w:val="00290624"/>
    <w:rsid w:val="0029458F"/>
    <w:rsid w:val="00296693"/>
    <w:rsid w:val="00297249"/>
    <w:rsid w:val="002A104C"/>
    <w:rsid w:val="002A4960"/>
    <w:rsid w:val="002A6BED"/>
    <w:rsid w:val="002A70C2"/>
    <w:rsid w:val="002B03DC"/>
    <w:rsid w:val="002B1AE6"/>
    <w:rsid w:val="002B30F8"/>
    <w:rsid w:val="002B5CF0"/>
    <w:rsid w:val="002C0D11"/>
    <w:rsid w:val="002C212F"/>
    <w:rsid w:val="002C3F6A"/>
    <w:rsid w:val="002C5A29"/>
    <w:rsid w:val="002D1A17"/>
    <w:rsid w:val="002D22E9"/>
    <w:rsid w:val="002D3588"/>
    <w:rsid w:val="002E3256"/>
    <w:rsid w:val="002E72CA"/>
    <w:rsid w:val="002E7861"/>
    <w:rsid w:val="0030213C"/>
    <w:rsid w:val="00303B39"/>
    <w:rsid w:val="003112B8"/>
    <w:rsid w:val="003160D7"/>
    <w:rsid w:val="0031718F"/>
    <w:rsid w:val="003257CE"/>
    <w:rsid w:val="00326E79"/>
    <w:rsid w:val="00332BE5"/>
    <w:rsid w:val="00333F02"/>
    <w:rsid w:val="00336298"/>
    <w:rsid w:val="003367EF"/>
    <w:rsid w:val="00336823"/>
    <w:rsid w:val="00340B8C"/>
    <w:rsid w:val="00341AE4"/>
    <w:rsid w:val="00345BF7"/>
    <w:rsid w:val="00350E07"/>
    <w:rsid w:val="003515CB"/>
    <w:rsid w:val="00353991"/>
    <w:rsid w:val="0035519B"/>
    <w:rsid w:val="003708B5"/>
    <w:rsid w:val="00376210"/>
    <w:rsid w:val="003767DA"/>
    <w:rsid w:val="00380AF2"/>
    <w:rsid w:val="0038309C"/>
    <w:rsid w:val="00384FDF"/>
    <w:rsid w:val="0039596F"/>
    <w:rsid w:val="003A4F15"/>
    <w:rsid w:val="003A54ED"/>
    <w:rsid w:val="003A5B4A"/>
    <w:rsid w:val="003B23C5"/>
    <w:rsid w:val="003B2A75"/>
    <w:rsid w:val="003B4FDC"/>
    <w:rsid w:val="003B5E55"/>
    <w:rsid w:val="003C32EC"/>
    <w:rsid w:val="003C4D11"/>
    <w:rsid w:val="003C56C6"/>
    <w:rsid w:val="003C6A64"/>
    <w:rsid w:val="003D377E"/>
    <w:rsid w:val="003D4671"/>
    <w:rsid w:val="003D4AC4"/>
    <w:rsid w:val="003D5A78"/>
    <w:rsid w:val="003D5C7B"/>
    <w:rsid w:val="003D63B7"/>
    <w:rsid w:val="003E2DC5"/>
    <w:rsid w:val="003E468B"/>
    <w:rsid w:val="003E6F86"/>
    <w:rsid w:val="003F5C8C"/>
    <w:rsid w:val="003F72DC"/>
    <w:rsid w:val="003F7D51"/>
    <w:rsid w:val="00402A87"/>
    <w:rsid w:val="004063F2"/>
    <w:rsid w:val="00407231"/>
    <w:rsid w:val="004133BB"/>
    <w:rsid w:val="004201F1"/>
    <w:rsid w:val="004203A4"/>
    <w:rsid w:val="00421834"/>
    <w:rsid w:val="004465BD"/>
    <w:rsid w:val="00447AB0"/>
    <w:rsid w:val="004600C9"/>
    <w:rsid w:val="00462545"/>
    <w:rsid w:val="0046320F"/>
    <w:rsid w:val="00464B44"/>
    <w:rsid w:val="004652C5"/>
    <w:rsid w:val="00466ADA"/>
    <w:rsid w:val="004709BB"/>
    <w:rsid w:val="00476245"/>
    <w:rsid w:val="00480464"/>
    <w:rsid w:val="00482D11"/>
    <w:rsid w:val="00483650"/>
    <w:rsid w:val="00485940"/>
    <w:rsid w:val="004873A7"/>
    <w:rsid w:val="00491329"/>
    <w:rsid w:val="00493A17"/>
    <w:rsid w:val="00494609"/>
    <w:rsid w:val="004954DD"/>
    <w:rsid w:val="004A5651"/>
    <w:rsid w:val="004A5A85"/>
    <w:rsid w:val="004B40AB"/>
    <w:rsid w:val="004B416A"/>
    <w:rsid w:val="004B5640"/>
    <w:rsid w:val="004C1BD7"/>
    <w:rsid w:val="004C21B7"/>
    <w:rsid w:val="004C47CB"/>
    <w:rsid w:val="004C691D"/>
    <w:rsid w:val="004D22C3"/>
    <w:rsid w:val="004D4565"/>
    <w:rsid w:val="004D5072"/>
    <w:rsid w:val="004E0AA5"/>
    <w:rsid w:val="004E3527"/>
    <w:rsid w:val="004E5163"/>
    <w:rsid w:val="004E692D"/>
    <w:rsid w:val="004F3F28"/>
    <w:rsid w:val="004F78FB"/>
    <w:rsid w:val="004F7955"/>
    <w:rsid w:val="00501554"/>
    <w:rsid w:val="00501C8A"/>
    <w:rsid w:val="00501DD3"/>
    <w:rsid w:val="00501E0F"/>
    <w:rsid w:val="00503272"/>
    <w:rsid w:val="00504C9F"/>
    <w:rsid w:val="00514CD7"/>
    <w:rsid w:val="00520BEA"/>
    <w:rsid w:val="005213D1"/>
    <w:rsid w:val="00522AC9"/>
    <w:rsid w:val="00532C74"/>
    <w:rsid w:val="00534E2E"/>
    <w:rsid w:val="00540EB0"/>
    <w:rsid w:val="005417DB"/>
    <w:rsid w:val="005423B2"/>
    <w:rsid w:val="00543A65"/>
    <w:rsid w:val="00544552"/>
    <w:rsid w:val="00552B82"/>
    <w:rsid w:val="00552DCE"/>
    <w:rsid w:val="00553027"/>
    <w:rsid w:val="00554318"/>
    <w:rsid w:val="00560A82"/>
    <w:rsid w:val="00575716"/>
    <w:rsid w:val="0057605B"/>
    <w:rsid w:val="00581932"/>
    <w:rsid w:val="005842D6"/>
    <w:rsid w:val="00584CC0"/>
    <w:rsid w:val="0058661D"/>
    <w:rsid w:val="005963BB"/>
    <w:rsid w:val="005A0688"/>
    <w:rsid w:val="005A2123"/>
    <w:rsid w:val="005A3173"/>
    <w:rsid w:val="005A3223"/>
    <w:rsid w:val="005A3DA3"/>
    <w:rsid w:val="005A52C4"/>
    <w:rsid w:val="005A6044"/>
    <w:rsid w:val="005A7242"/>
    <w:rsid w:val="005B00B3"/>
    <w:rsid w:val="005D03AB"/>
    <w:rsid w:val="005D2343"/>
    <w:rsid w:val="005D5017"/>
    <w:rsid w:val="005E3D85"/>
    <w:rsid w:val="005E7FD5"/>
    <w:rsid w:val="005F0C30"/>
    <w:rsid w:val="005F0CEE"/>
    <w:rsid w:val="005F79C3"/>
    <w:rsid w:val="00600026"/>
    <w:rsid w:val="00600423"/>
    <w:rsid w:val="00601A91"/>
    <w:rsid w:val="00602ABC"/>
    <w:rsid w:val="00602BA3"/>
    <w:rsid w:val="00612FAE"/>
    <w:rsid w:val="00613B5D"/>
    <w:rsid w:val="00614159"/>
    <w:rsid w:val="00617C00"/>
    <w:rsid w:val="00623A62"/>
    <w:rsid w:val="006263BF"/>
    <w:rsid w:val="0062748A"/>
    <w:rsid w:val="00630A2C"/>
    <w:rsid w:val="006400DD"/>
    <w:rsid w:val="0064151A"/>
    <w:rsid w:val="00651169"/>
    <w:rsid w:val="00651187"/>
    <w:rsid w:val="00653BAD"/>
    <w:rsid w:val="00653D69"/>
    <w:rsid w:val="00655A4F"/>
    <w:rsid w:val="00656943"/>
    <w:rsid w:val="00665D6B"/>
    <w:rsid w:val="0066786F"/>
    <w:rsid w:val="00670A76"/>
    <w:rsid w:val="006711AA"/>
    <w:rsid w:val="00674DB0"/>
    <w:rsid w:val="00675622"/>
    <w:rsid w:val="00680DF6"/>
    <w:rsid w:val="00683D86"/>
    <w:rsid w:val="006906DB"/>
    <w:rsid w:val="00692561"/>
    <w:rsid w:val="006A12A5"/>
    <w:rsid w:val="006A1380"/>
    <w:rsid w:val="006A30A3"/>
    <w:rsid w:val="006B0D94"/>
    <w:rsid w:val="006B3954"/>
    <w:rsid w:val="006B485D"/>
    <w:rsid w:val="006C58F7"/>
    <w:rsid w:val="006C60C9"/>
    <w:rsid w:val="006C708E"/>
    <w:rsid w:val="006D2013"/>
    <w:rsid w:val="006D3730"/>
    <w:rsid w:val="006D5ACE"/>
    <w:rsid w:val="006D6EC7"/>
    <w:rsid w:val="006E1FAD"/>
    <w:rsid w:val="006E41BB"/>
    <w:rsid w:val="006F5125"/>
    <w:rsid w:val="007000B6"/>
    <w:rsid w:val="007174BB"/>
    <w:rsid w:val="007348DC"/>
    <w:rsid w:val="00747962"/>
    <w:rsid w:val="007508CD"/>
    <w:rsid w:val="007532B6"/>
    <w:rsid w:val="00753530"/>
    <w:rsid w:val="007548E2"/>
    <w:rsid w:val="0076207F"/>
    <w:rsid w:val="00763EA3"/>
    <w:rsid w:val="0076420C"/>
    <w:rsid w:val="007753C2"/>
    <w:rsid w:val="007838B8"/>
    <w:rsid w:val="00787141"/>
    <w:rsid w:val="00787C4E"/>
    <w:rsid w:val="00794DA5"/>
    <w:rsid w:val="007972DC"/>
    <w:rsid w:val="007A1F8E"/>
    <w:rsid w:val="007A1FA7"/>
    <w:rsid w:val="007A4D17"/>
    <w:rsid w:val="007A5BE0"/>
    <w:rsid w:val="007B22CE"/>
    <w:rsid w:val="007B2E4E"/>
    <w:rsid w:val="007B5456"/>
    <w:rsid w:val="007B6795"/>
    <w:rsid w:val="007B68CC"/>
    <w:rsid w:val="007C0F57"/>
    <w:rsid w:val="007C40B6"/>
    <w:rsid w:val="007C50FC"/>
    <w:rsid w:val="007C5BD4"/>
    <w:rsid w:val="007C729F"/>
    <w:rsid w:val="007C75B7"/>
    <w:rsid w:val="007D532D"/>
    <w:rsid w:val="007D638F"/>
    <w:rsid w:val="007E0DA2"/>
    <w:rsid w:val="007E0EA4"/>
    <w:rsid w:val="007E1CAD"/>
    <w:rsid w:val="007E1CD1"/>
    <w:rsid w:val="007E1D28"/>
    <w:rsid w:val="007E46C7"/>
    <w:rsid w:val="007F2641"/>
    <w:rsid w:val="007F348D"/>
    <w:rsid w:val="007F7C36"/>
    <w:rsid w:val="0080352F"/>
    <w:rsid w:val="0080415B"/>
    <w:rsid w:val="00806796"/>
    <w:rsid w:val="00807F50"/>
    <w:rsid w:val="00811B52"/>
    <w:rsid w:val="008144E4"/>
    <w:rsid w:val="008149B8"/>
    <w:rsid w:val="00816785"/>
    <w:rsid w:val="00817943"/>
    <w:rsid w:val="00826F6D"/>
    <w:rsid w:val="00841684"/>
    <w:rsid w:val="00844590"/>
    <w:rsid w:val="00852A14"/>
    <w:rsid w:val="00856DDD"/>
    <w:rsid w:val="00863E68"/>
    <w:rsid w:val="00866322"/>
    <w:rsid w:val="008677F4"/>
    <w:rsid w:val="008732CE"/>
    <w:rsid w:val="00882075"/>
    <w:rsid w:val="00882085"/>
    <w:rsid w:val="00883188"/>
    <w:rsid w:val="00884800"/>
    <w:rsid w:val="00885B54"/>
    <w:rsid w:val="00897D58"/>
    <w:rsid w:val="008A1956"/>
    <w:rsid w:val="008A4937"/>
    <w:rsid w:val="008A6007"/>
    <w:rsid w:val="008B356A"/>
    <w:rsid w:val="008C0F9C"/>
    <w:rsid w:val="008D0EEA"/>
    <w:rsid w:val="008D1212"/>
    <w:rsid w:val="008D3C82"/>
    <w:rsid w:val="008D447E"/>
    <w:rsid w:val="008D663C"/>
    <w:rsid w:val="008D7A41"/>
    <w:rsid w:val="008E329F"/>
    <w:rsid w:val="008E3680"/>
    <w:rsid w:val="008E5870"/>
    <w:rsid w:val="008E7A29"/>
    <w:rsid w:val="008F1434"/>
    <w:rsid w:val="008F20E5"/>
    <w:rsid w:val="008F326D"/>
    <w:rsid w:val="008F7355"/>
    <w:rsid w:val="008F79A8"/>
    <w:rsid w:val="008F7E9F"/>
    <w:rsid w:val="00900F52"/>
    <w:rsid w:val="009035B9"/>
    <w:rsid w:val="00904133"/>
    <w:rsid w:val="00904522"/>
    <w:rsid w:val="009067B7"/>
    <w:rsid w:val="009101CC"/>
    <w:rsid w:val="00912AC0"/>
    <w:rsid w:val="0091649E"/>
    <w:rsid w:val="00930937"/>
    <w:rsid w:val="00933E6C"/>
    <w:rsid w:val="00934ABA"/>
    <w:rsid w:val="00941894"/>
    <w:rsid w:val="00942160"/>
    <w:rsid w:val="00945C18"/>
    <w:rsid w:val="009529A5"/>
    <w:rsid w:val="00952CDE"/>
    <w:rsid w:val="009602C5"/>
    <w:rsid w:val="009639B0"/>
    <w:rsid w:val="00965C23"/>
    <w:rsid w:val="00974C21"/>
    <w:rsid w:val="009839D2"/>
    <w:rsid w:val="00987EAD"/>
    <w:rsid w:val="00991E54"/>
    <w:rsid w:val="009954CC"/>
    <w:rsid w:val="009A005D"/>
    <w:rsid w:val="009A36C3"/>
    <w:rsid w:val="009B0F67"/>
    <w:rsid w:val="009B6F80"/>
    <w:rsid w:val="009C254B"/>
    <w:rsid w:val="009C703C"/>
    <w:rsid w:val="009D3CAA"/>
    <w:rsid w:val="009E3FD4"/>
    <w:rsid w:val="009F44FD"/>
    <w:rsid w:val="009F4E46"/>
    <w:rsid w:val="009F5B65"/>
    <w:rsid w:val="009F5F2E"/>
    <w:rsid w:val="00A02812"/>
    <w:rsid w:val="00A0495E"/>
    <w:rsid w:val="00A058B3"/>
    <w:rsid w:val="00A06225"/>
    <w:rsid w:val="00A122C6"/>
    <w:rsid w:val="00A275A0"/>
    <w:rsid w:val="00A301FA"/>
    <w:rsid w:val="00A35C0F"/>
    <w:rsid w:val="00A37C8D"/>
    <w:rsid w:val="00A44828"/>
    <w:rsid w:val="00A46010"/>
    <w:rsid w:val="00A5273B"/>
    <w:rsid w:val="00A53A9D"/>
    <w:rsid w:val="00A54467"/>
    <w:rsid w:val="00A555F9"/>
    <w:rsid w:val="00A60B7B"/>
    <w:rsid w:val="00A62C1A"/>
    <w:rsid w:val="00A6426D"/>
    <w:rsid w:val="00A645FF"/>
    <w:rsid w:val="00A70622"/>
    <w:rsid w:val="00A70977"/>
    <w:rsid w:val="00A70BD8"/>
    <w:rsid w:val="00A731B3"/>
    <w:rsid w:val="00A8048E"/>
    <w:rsid w:val="00A825D4"/>
    <w:rsid w:val="00A8390C"/>
    <w:rsid w:val="00A86BF5"/>
    <w:rsid w:val="00AA1DFF"/>
    <w:rsid w:val="00AA4D1C"/>
    <w:rsid w:val="00AA6128"/>
    <w:rsid w:val="00AB0121"/>
    <w:rsid w:val="00AB2B12"/>
    <w:rsid w:val="00AC5206"/>
    <w:rsid w:val="00AD0F2E"/>
    <w:rsid w:val="00AD1D6C"/>
    <w:rsid w:val="00AD549E"/>
    <w:rsid w:val="00AE11A5"/>
    <w:rsid w:val="00AE15F6"/>
    <w:rsid w:val="00AE3C98"/>
    <w:rsid w:val="00AF5B9E"/>
    <w:rsid w:val="00AF68CC"/>
    <w:rsid w:val="00B00AB1"/>
    <w:rsid w:val="00B02DD9"/>
    <w:rsid w:val="00B04C5D"/>
    <w:rsid w:val="00B07324"/>
    <w:rsid w:val="00B13D75"/>
    <w:rsid w:val="00B1614F"/>
    <w:rsid w:val="00B205AA"/>
    <w:rsid w:val="00B22B92"/>
    <w:rsid w:val="00B22E84"/>
    <w:rsid w:val="00B23E47"/>
    <w:rsid w:val="00B25F75"/>
    <w:rsid w:val="00B30090"/>
    <w:rsid w:val="00B34897"/>
    <w:rsid w:val="00B37005"/>
    <w:rsid w:val="00B40C0F"/>
    <w:rsid w:val="00B40D5F"/>
    <w:rsid w:val="00B43E90"/>
    <w:rsid w:val="00B475A3"/>
    <w:rsid w:val="00B502F5"/>
    <w:rsid w:val="00B51161"/>
    <w:rsid w:val="00B5345F"/>
    <w:rsid w:val="00B5588B"/>
    <w:rsid w:val="00B56118"/>
    <w:rsid w:val="00B571DA"/>
    <w:rsid w:val="00B60673"/>
    <w:rsid w:val="00B60A51"/>
    <w:rsid w:val="00B6773F"/>
    <w:rsid w:val="00B7203F"/>
    <w:rsid w:val="00B801BA"/>
    <w:rsid w:val="00B82583"/>
    <w:rsid w:val="00B82926"/>
    <w:rsid w:val="00B82CB9"/>
    <w:rsid w:val="00B857AB"/>
    <w:rsid w:val="00B92040"/>
    <w:rsid w:val="00B92A16"/>
    <w:rsid w:val="00B9448A"/>
    <w:rsid w:val="00B967B7"/>
    <w:rsid w:val="00BA62D9"/>
    <w:rsid w:val="00BB28C1"/>
    <w:rsid w:val="00BB69F5"/>
    <w:rsid w:val="00BB7EC3"/>
    <w:rsid w:val="00BC22E8"/>
    <w:rsid w:val="00BC3D91"/>
    <w:rsid w:val="00BC4840"/>
    <w:rsid w:val="00BC4B9A"/>
    <w:rsid w:val="00BD4874"/>
    <w:rsid w:val="00BD784C"/>
    <w:rsid w:val="00BE0AD5"/>
    <w:rsid w:val="00BE226D"/>
    <w:rsid w:val="00BE2314"/>
    <w:rsid w:val="00BE45B9"/>
    <w:rsid w:val="00BF0716"/>
    <w:rsid w:val="00BF4CB6"/>
    <w:rsid w:val="00C00DA7"/>
    <w:rsid w:val="00C019DB"/>
    <w:rsid w:val="00C02AB6"/>
    <w:rsid w:val="00C02BD2"/>
    <w:rsid w:val="00C0308D"/>
    <w:rsid w:val="00C035A8"/>
    <w:rsid w:val="00C036C7"/>
    <w:rsid w:val="00C06499"/>
    <w:rsid w:val="00C123A2"/>
    <w:rsid w:val="00C12768"/>
    <w:rsid w:val="00C17515"/>
    <w:rsid w:val="00C17C1C"/>
    <w:rsid w:val="00C22293"/>
    <w:rsid w:val="00C3346E"/>
    <w:rsid w:val="00C34C71"/>
    <w:rsid w:val="00C35996"/>
    <w:rsid w:val="00C370E4"/>
    <w:rsid w:val="00C42F25"/>
    <w:rsid w:val="00C43135"/>
    <w:rsid w:val="00C45ED8"/>
    <w:rsid w:val="00C51B99"/>
    <w:rsid w:val="00C52B49"/>
    <w:rsid w:val="00C5342C"/>
    <w:rsid w:val="00C550A9"/>
    <w:rsid w:val="00C61550"/>
    <w:rsid w:val="00C6256A"/>
    <w:rsid w:val="00C64599"/>
    <w:rsid w:val="00C6689C"/>
    <w:rsid w:val="00C67257"/>
    <w:rsid w:val="00C7256D"/>
    <w:rsid w:val="00C80E30"/>
    <w:rsid w:val="00C82D2A"/>
    <w:rsid w:val="00C87328"/>
    <w:rsid w:val="00C91449"/>
    <w:rsid w:val="00C92D10"/>
    <w:rsid w:val="00CB1306"/>
    <w:rsid w:val="00CB3DCA"/>
    <w:rsid w:val="00CB5482"/>
    <w:rsid w:val="00CC1625"/>
    <w:rsid w:val="00CC273E"/>
    <w:rsid w:val="00CC512C"/>
    <w:rsid w:val="00CD1DDF"/>
    <w:rsid w:val="00CD3973"/>
    <w:rsid w:val="00CD5AEA"/>
    <w:rsid w:val="00CE10C4"/>
    <w:rsid w:val="00CE25C1"/>
    <w:rsid w:val="00CE27B5"/>
    <w:rsid w:val="00CE554D"/>
    <w:rsid w:val="00CE7DE9"/>
    <w:rsid w:val="00CF0E38"/>
    <w:rsid w:val="00CF421F"/>
    <w:rsid w:val="00CF5D5E"/>
    <w:rsid w:val="00CF6FD5"/>
    <w:rsid w:val="00D01EF5"/>
    <w:rsid w:val="00D0321E"/>
    <w:rsid w:val="00D0366E"/>
    <w:rsid w:val="00D0708C"/>
    <w:rsid w:val="00D1455A"/>
    <w:rsid w:val="00D22D8F"/>
    <w:rsid w:val="00D30CA9"/>
    <w:rsid w:val="00D3280C"/>
    <w:rsid w:val="00D3406A"/>
    <w:rsid w:val="00D36C6E"/>
    <w:rsid w:val="00D405C7"/>
    <w:rsid w:val="00D43EB8"/>
    <w:rsid w:val="00D4539A"/>
    <w:rsid w:val="00D469B2"/>
    <w:rsid w:val="00D47346"/>
    <w:rsid w:val="00D524B2"/>
    <w:rsid w:val="00D558B1"/>
    <w:rsid w:val="00D56E76"/>
    <w:rsid w:val="00D60AC6"/>
    <w:rsid w:val="00D64580"/>
    <w:rsid w:val="00D65476"/>
    <w:rsid w:val="00D66281"/>
    <w:rsid w:val="00D741EB"/>
    <w:rsid w:val="00D8075B"/>
    <w:rsid w:val="00D85003"/>
    <w:rsid w:val="00D91271"/>
    <w:rsid w:val="00DA2CB5"/>
    <w:rsid w:val="00DA4BAC"/>
    <w:rsid w:val="00DB1CF9"/>
    <w:rsid w:val="00DC22F2"/>
    <w:rsid w:val="00DC46AD"/>
    <w:rsid w:val="00DD0588"/>
    <w:rsid w:val="00DD2F74"/>
    <w:rsid w:val="00DD6CD8"/>
    <w:rsid w:val="00DE6D27"/>
    <w:rsid w:val="00DF13E0"/>
    <w:rsid w:val="00DF147D"/>
    <w:rsid w:val="00DF217D"/>
    <w:rsid w:val="00DF26A7"/>
    <w:rsid w:val="00DF374E"/>
    <w:rsid w:val="00DF4A0B"/>
    <w:rsid w:val="00DF4D72"/>
    <w:rsid w:val="00DF5C1D"/>
    <w:rsid w:val="00E00C60"/>
    <w:rsid w:val="00E043A8"/>
    <w:rsid w:val="00E10227"/>
    <w:rsid w:val="00E164B3"/>
    <w:rsid w:val="00E16910"/>
    <w:rsid w:val="00E17AD2"/>
    <w:rsid w:val="00E2016D"/>
    <w:rsid w:val="00E23825"/>
    <w:rsid w:val="00E2510F"/>
    <w:rsid w:val="00E31460"/>
    <w:rsid w:val="00E56638"/>
    <w:rsid w:val="00E657AC"/>
    <w:rsid w:val="00E65E54"/>
    <w:rsid w:val="00E66847"/>
    <w:rsid w:val="00E678DD"/>
    <w:rsid w:val="00E7161A"/>
    <w:rsid w:val="00E71C70"/>
    <w:rsid w:val="00E735C4"/>
    <w:rsid w:val="00E7719F"/>
    <w:rsid w:val="00E80155"/>
    <w:rsid w:val="00E80AB2"/>
    <w:rsid w:val="00E83817"/>
    <w:rsid w:val="00E848C0"/>
    <w:rsid w:val="00E86F2A"/>
    <w:rsid w:val="00E91B96"/>
    <w:rsid w:val="00E941A1"/>
    <w:rsid w:val="00E95701"/>
    <w:rsid w:val="00E95CE3"/>
    <w:rsid w:val="00EA2825"/>
    <w:rsid w:val="00EA3ACF"/>
    <w:rsid w:val="00EA4493"/>
    <w:rsid w:val="00EB0D95"/>
    <w:rsid w:val="00EB2307"/>
    <w:rsid w:val="00EB47B9"/>
    <w:rsid w:val="00EB5088"/>
    <w:rsid w:val="00EC43CF"/>
    <w:rsid w:val="00ED1644"/>
    <w:rsid w:val="00EE1126"/>
    <w:rsid w:val="00EE7F79"/>
    <w:rsid w:val="00EF3556"/>
    <w:rsid w:val="00EF44A0"/>
    <w:rsid w:val="00EF4B57"/>
    <w:rsid w:val="00F050BD"/>
    <w:rsid w:val="00F05657"/>
    <w:rsid w:val="00F12281"/>
    <w:rsid w:val="00F143FE"/>
    <w:rsid w:val="00F14EE0"/>
    <w:rsid w:val="00F16AA8"/>
    <w:rsid w:val="00F2144D"/>
    <w:rsid w:val="00F23777"/>
    <w:rsid w:val="00F25578"/>
    <w:rsid w:val="00F258E5"/>
    <w:rsid w:val="00F300BC"/>
    <w:rsid w:val="00F3058C"/>
    <w:rsid w:val="00F316AF"/>
    <w:rsid w:val="00F331A0"/>
    <w:rsid w:val="00F3334E"/>
    <w:rsid w:val="00F45895"/>
    <w:rsid w:val="00F4773A"/>
    <w:rsid w:val="00F50635"/>
    <w:rsid w:val="00F50EC4"/>
    <w:rsid w:val="00F5254F"/>
    <w:rsid w:val="00F57A6D"/>
    <w:rsid w:val="00F607A9"/>
    <w:rsid w:val="00F638CC"/>
    <w:rsid w:val="00F63D60"/>
    <w:rsid w:val="00F67072"/>
    <w:rsid w:val="00F765E3"/>
    <w:rsid w:val="00F809B1"/>
    <w:rsid w:val="00F8107D"/>
    <w:rsid w:val="00F8207F"/>
    <w:rsid w:val="00F8247A"/>
    <w:rsid w:val="00F85D49"/>
    <w:rsid w:val="00F94C44"/>
    <w:rsid w:val="00F9629A"/>
    <w:rsid w:val="00FA5883"/>
    <w:rsid w:val="00FA6055"/>
    <w:rsid w:val="00FA6D96"/>
    <w:rsid w:val="00FB322F"/>
    <w:rsid w:val="00FB442F"/>
    <w:rsid w:val="00FC1458"/>
    <w:rsid w:val="00FC1929"/>
    <w:rsid w:val="00FC446F"/>
    <w:rsid w:val="00FC5B46"/>
    <w:rsid w:val="00FD0556"/>
    <w:rsid w:val="00FD259F"/>
    <w:rsid w:val="00FD7C41"/>
    <w:rsid w:val="00FE1C56"/>
    <w:rsid w:val="00FE538F"/>
    <w:rsid w:val="00FF00BD"/>
    <w:rsid w:val="00FF1ED4"/>
    <w:rsid w:val="00FF6F58"/>
    <w:rsid w:val="00FF72C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iPriority="9" w:unhideWhenUsed="1" w:qFormat="1"/>
    <w:lsdException w:name="heading 5" w:uiPriority="9" w:qFormat="1"/>
    <w:lsdException w:name="heading 6" w:uiPriority="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header" w:uiPriority="99"/>
    <w:lsdException w:name="footer" w:uiPriority="99"/>
    <w:lsdException w:name="caption" w:semiHidden="1" w:uiPriority="99" w:unhideWhenUsed="1" w:qFormat="1"/>
    <w:lsdException w:name="footnote reference" w:uiPriority="99"/>
    <w:lsdException w:name="annotation reference" w:uiPriority="99"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32"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style>
  <w:style w:type="paragraph" w:styleId="Heading3">
    <w:name w:val="heading 3"/>
    <w:basedOn w:val="Normal"/>
    <w:next w:val="Normal"/>
    <w:link w:val="Heading3Char"/>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Heading1"/>
    <w:next w:val="Normal"/>
    <w:link w:val="Heading4Char"/>
    <w:uiPriority w:val="9"/>
    <w:qFormat/>
    <w:rsid w:val="007532B6"/>
    <w:pPr>
      <w:keepNext w:val="0"/>
      <w:spacing w:after="240" w:line="276" w:lineRule="auto"/>
      <w:ind w:left="3983" w:hanging="864"/>
      <w:contextualSpacing/>
      <w:outlineLvl w:val="3"/>
    </w:pPr>
    <w:rPr>
      <w:rFonts w:ascii="Candara" w:eastAsiaTheme="majorEastAsia" w:hAnsi="Candara" w:cstheme="majorBidi"/>
      <w:bCs/>
      <w:spacing w:val="5"/>
      <w:lang w:eastAsia="en-US" w:bidi="en-US"/>
    </w:rPr>
  </w:style>
  <w:style w:type="paragraph" w:styleId="Heading5">
    <w:name w:val="heading 5"/>
    <w:basedOn w:val="Normal"/>
    <w:next w:val="Normal"/>
    <w:link w:val="Heading5Char"/>
    <w:uiPriority w:val="9"/>
    <w:qFormat/>
    <w:pPr>
      <w:spacing w:before="240" w:after="60"/>
      <w:outlineLvl w:val="4"/>
    </w:pPr>
    <w:rPr>
      <w:b/>
      <w:bCs/>
      <w:i/>
      <w:iCs/>
      <w:sz w:val="26"/>
      <w:szCs w:val="26"/>
    </w:rPr>
  </w:style>
  <w:style w:type="paragraph" w:styleId="Heading6">
    <w:name w:val="heading 6"/>
    <w:basedOn w:val="Normal"/>
    <w:next w:val="Normal"/>
    <w:uiPriority w:val="9"/>
    <w:qFormat/>
    <w:pPr>
      <w:spacing w:before="240" w:after="60"/>
      <w:outlineLvl w:val="5"/>
    </w:pPr>
    <w:rPr>
      <w:b/>
      <w:bCs/>
      <w:sz w:val="22"/>
      <w:szCs w:val="22"/>
    </w:rPr>
  </w:style>
  <w:style w:type="paragraph" w:styleId="Heading7">
    <w:name w:val="heading 7"/>
    <w:basedOn w:val="Normal"/>
    <w:next w:val="Normal"/>
    <w:link w:val="Heading7Char"/>
    <w:uiPriority w:val="99"/>
    <w:qFormat/>
    <w:rsid w:val="007532B6"/>
    <w:pPr>
      <w:spacing w:line="276" w:lineRule="auto"/>
      <w:ind w:left="1296" w:hanging="1296"/>
      <w:outlineLvl w:val="6"/>
    </w:pPr>
    <w:rPr>
      <w:rFonts w:ascii="Candara" w:eastAsiaTheme="majorEastAsia" w:hAnsi="Candara" w:cstheme="majorBidi"/>
      <w:b/>
      <w:bCs/>
      <w:i/>
      <w:iCs/>
      <w:color w:val="5A5A5A" w:themeColor="text1" w:themeTint="A5"/>
      <w:szCs w:val="20"/>
      <w:lang w:eastAsia="en-US" w:bidi="en-US"/>
    </w:rPr>
  </w:style>
  <w:style w:type="paragraph" w:styleId="Heading8">
    <w:name w:val="heading 8"/>
    <w:basedOn w:val="Normal"/>
    <w:next w:val="Normal"/>
    <w:link w:val="Heading8Char"/>
    <w:uiPriority w:val="99"/>
    <w:qFormat/>
    <w:rsid w:val="007532B6"/>
    <w:pPr>
      <w:spacing w:line="276" w:lineRule="auto"/>
      <w:ind w:left="1440" w:hanging="1440"/>
      <w:outlineLvl w:val="7"/>
    </w:pPr>
    <w:rPr>
      <w:rFonts w:ascii="Candara" w:eastAsiaTheme="majorEastAsia" w:hAnsi="Candara" w:cstheme="majorBidi"/>
      <w:b/>
      <w:bCs/>
      <w:color w:val="7F7F7F" w:themeColor="text1" w:themeTint="80"/>
      <w:sz w:val="20"/>
      <w:szCs w:val="20"/>
      <w:lang w:eastAsia="en-US" w:bidi="en-US"/>
    </w:rPr>
  </w:style>
  <w:style w:type="paragraph" w:styleId="Heading9">
    <w:name w:val="heading 9"/>
    <w:basedOn w:val="Normal"/>
    <w:next w:val="Normal"/>
    <w:link w:val="Heading9Char"/>
    <w:uiPriority w:val="99"/>
    <w:qFormat/>
    <w:rsid w:val="007532B6"/>
    <w:pPr>
      <w:spacing w:line="271" w:lineRule="auto"/>
      <w:ind w:left="1584" w:hanging="1584"/>
      <w:outlineLvl w:val="8"/>
    </w:pPr>
    <w:rPr>
      <w:rFonts w:ascii="Candara" w:eastAsiaTheme="majorEastAsia" w:hAnsi="Candara" w:cstheme="majorBidi"/>
      <w:b/>
      <w:bCs/>
      <w:i/>
      <w:iCs/>
      <w:color w:val="7F7F7F" w:themeColor="text1" w:themeTint="80"/>
      <w:szCs w:val="18"/>
      <w:lang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customStyle="1" w:styleId="Table">
    <w:name w:val="Table"/>
    <w:basedOn w:val="Normal"/>
    <w:link w:val="TableChar"/>
    <w:qFormat/>
    <w:rsid w:val="00B04C5D"/>
    <w:rPr>
      <w:rFonts w:ascii="Candara" w:eastAsiaTheme="majorEastAsia" w:hAnsi="Candara" w:cstheme="majorBidi"/>
      <w:sz w:val="20"/>
      <w:szCs w:val="22"/>
      <w:lang w:eastAsia="en-US" w:bidi="en-US"/>
    </w:rPr>
  </w:style>
  <w:style w:type="character" w:customStyle="1" w:styleId="TableChar">
    <w:name w:val="Table Char"/>
    <w:basedOn w:val="DefaultParagraphFont"/>
    <w:link w:val="Table"/>
    <w:locked/>
    <w:rsid w:val="00B04C5D"/>
    <w:rPr>
      <w:rFonts w:ascii="Candara" w:eastAsiaTheme="majorEastAsia" w:hAnsi="Candara" w:cstheme="majorBidi"/>
      <w:szCs w:val="22"/>
      <w:lang w:eastAsia="en-US" w:bidi="en-US"/>
    </w:rPr>
  </w:style>
  <w:style w:type="paragraph" w:styleId="Caption">
    <w:name w:val="caption"/>
    <w:basedOn w:val="Normal"/>
    <w:next w:val="Normal"/>
    <w:link w:val="CaptionChar"/>
    <w:uiPriority w:val="99"/>
    <w:qFormat/>
    <w:rsid w:val="00B04C5D"/>
    <w:pPr>
      <w:keepNext/>
      <w:spacing w:after="200"/>
    </w:pPr>
    <w:rPr>
      <w:rFonts w:ascii="Candara" w:eastAsiaTheme="majorEastAsia" w:hAnsi="Candara" w:cstheme="majorBidi"/>
      <w:b/>
      <w:bCs/>
      <w:szCs w:val="18"/>
      <w:lang w:eastAsia="en-US" w:bidi="en-US"/>
    </w:rPr>
  </w:style>
  <w:style w:type="character" w:customStyle="1" w:styleId="CaptionChar">
    <w:name w:val="Caption Char"/>
    <w:basedOn w:val="DefaultParagraphFont"/>
    <w:link w:val="Caption"/>
    <w:uiPriority w:val="99"/>
    <w:rsid w:val="00B04C5D"/>
    <w:rPr>
      <w:rFonts w:ascii="Candara" w:eastAsiaTheme="majorEastAsia" w:hAnsi="Candara" w:cstheme="majorBidi"/>
      <w:b/>
      <w:bCs/>
      <w:sz w:val="24"/>
      <w:szCs w:val="18"/>
      <w:lang w:eastAsia="en-US" w:bidi="en-US"/>
    </w:rPr>
  </w:style>
  <w:style w:type="character" w:customStyle="1" w:styleId="Small">
    <w:name w:val="Small"/>
    <w:basedOn w:val="DefaultParagraphFont"/>
    <w:uiPriority w:val="4"/>
    <w:qFormat/>
    <w:rsid w:val="00B04C5D"/>
    <w:rPr>
      <w:rFonts w:ascii="Candara" w:hAnsi="Candara"/>
      <w:sz w:val="20"/>
    </w:rPr>
  </w:style>
  <w:style w:type="character" w:customStyle="1" w:styleId="SmallBold">
    <w:name w:val="Small Bold"/>
    <w:basedOn w:val="Small"/>
    <w:uiPriority w:val="4"/>
    <w:qFormat/>
    <w:rsid w:val="00B04C5D"/>
    <w:rPr>
      <w:rFonts w:ascii="Candara" w:hAnsi="Candara"/>
      <w:b/>
      <w:sz w:val="20"/>
      <w:lang w:val="en-AU"/>
    </w:rPr>
  </w:style>
  <w:style w:type="paragraph" w:customStyle="1" w:styleId="Default">
    <w:name w:val="Default"/>
    <w:rsid w:val="00B04C5D"/>
    <w:pPr>
      <w:autoSpaceDE w:val="0"/>
      <w:autoSpaceDN w:val="0"/>
      <w:adjustRightInd w:val="0"/>
    </w:pPr>
    <w:rPr>
      <w:rFonts w:eastAsiaTheme="majorEastAsia"/>
      <w:color w:val="000000"/>
      <w:sz w:val="24"/>
      <w:szCs w:val="24"/>
      <w:lang w:val="en-US" w:eastAsia="en-US"/>
    </w:rPr>
  </w:style>
  <w:style w:type="paragraph" w:customStyle="1" w:styleId="TableCentre">
    <w:name w:val="Table Centre"/>
    <w:basedOn w:val="Table"/>
    <w:qFormat/>
    <w:rsid w:val="00CE25C1"/>
    <w:pPr>
      <w:jc w:val="center"/>
    </w:pPr>
  </w:style>
  <w:style w:type="paragraph" w:customStyle="1" w:styleId="CaptionFootnote">
    <w:name w:val="Caption Footnote"/>
    <w:basedOn w:val="Caption"/>
    <w:link w:val="CaptionFootnoteChar"/>
    <w:qFormat/>
    <w:rsid w:val="00CE25C1"/>
    <w:pPr>
      <w:widowControl w:val="0"/>
      <w:spacing w:after="0"/>
    </w:pPr>
    <w:rPr>
      <w:b w:val="0"/>
      <w:sz w:val="16"/>
    </w:rPr>
  </w:style>
  <w:style w:type="character" w:customStyle="1" w:styleId="CaptionFootnoteChar">
    <w:name w:val="Caption Footnote Char"/>
    <w:basedOn w:val="CaptionChar"/>
    <w:link w:val="CaptionFootnote"/>
    <w:rsid w:val="00CE25C1"/>
    <w:rPr>
      <w:rFonts w:ascii="Candara" w:eastAsiaTheme="majorEastAsia" w:hAnsi="Candara" w:cstheme="majorBidi"/>
      <w:b w:val="0"/>
      <w:bCs/>
      <w:sz w:val="16"/>
      <w:szCs w:val="18"/>
      <w:lang w:eastAsia="en-US" w:bidi="en-US"/>
    </w:rPr>
  </w:style>
  <w:style w:type="character" w:styleId="Hyperlink">
    <w:name w:val="Hyperlink"/>
    <w:basedOn w:val="DefaultParagraphFont"/>
    <w:rsid w:val="003B4FDC"/>
    <w:rPr>
      <w:color w:val="0000FF" w:themeColor="hyperlink"/>
      <w:u w:val="single"/>
    </w:rPr>
  </w:style>
  <w:style w:type="character" w:customStyle="1" w:styleId="SmallItalics">
    <w:name w:val="Small Italics"/>
    <w:basedOn w:val="Small"/>
    <w:uiPriority w:val="4"/>
    <w:qFormat/>
    <w:rsid w:val="007532B6"/>
    <w:rPr>
      <w:rFonts w:ascii="Arial Narrow" w:hAnsi="Arial Narrow"/>
      <w:i/>
      <w:sz w:val="20"/>
    </w:rPr>
  </w:style>
  <w:style w:type="paragraph" w:customStyle="1" w:styleId="AltLevel2">
    <w:name w:val="Alt Level 2"/>
    <w:basedOn w:val="Normal"/>
    <w:link w:val="AltLevel2Char"/>
    <w:semiHidden/>
    <w:unhideWhenUsed/>
    <w:qFormat/>
    <w:rsid w:val="007532B6"/>
    <w:pPr>
      <w:spacing w:after="200" w:line="276" w:lineRule="auto"/>
      <w:ind w:left="357" w:hanging="357"/>
      <w:contextualSpacing/>
    </w:pPr>
    <w:rPr>
      <w:rFonts w:ascii="Verdana" w:eastAsiaTheme="majorEastAsia" w:hAnsi="Verdana" w:cstheme="majorBidi"/>
      <w:b/>
      <w:sz w:val="28"/>
      <w:szCs w:val="22"/>
      <w:lang w:eastAsia="en-US" w:bidi="en-US"/>
    </w:rPr>
  </w:style>
  <w:style w:type="character" w:customStyle="1" w:styleId="AltLevel2Char">
    <w:name w:val="Alt Level 2 Char"/>
    <w:basedOn w:val="DefaultParagraphFont"/>
    <w:link w:val="AltLevel2"/>
    <w:semiHidden/>
    <w:rsid w:val="007532B6"/>
    <w:rPr>
      <w:rFonts w:ascii="Verdana" w:eastAsiaTheme="majorEastAsia" w:hAnsi="Verdana" w:cstheme="majorBidi"/>
      <w:b/>
      <w:sz w:val="28"/>
      <w:szCs w:val="22"/>
      <w:lang w:eastAsia="en-US" w:bidi="en-US"/>
    </w:rPr>
  </w:style>
  <w:style w:type="character" w:customStyle="1" w:styleId="Heading4Char">
    <w:name w:val="Heading 4 Char"/>
    <w:basedOn w:val="DefaultParagraphFont"/>
    <w:link w:val="Heading4"/>
    <w:uiPriority w:val="9"/>
    <w:rsid w:val="007532B6"/>
    <w:rPr>
      <w:rFonts w:ascii="Candara" w:eastAsiaTheme="majorEastAsia" w:hAnsi="Candara" w:cstheme="majorBidi"/>
      <w:b/>
      <w:bCs/>
      <w:spacing w:val="5"/>
      <w:sz w:val="24"/>
      <w:szCs w:val="24"/>
      <w:lang w:eastAsia="en-US" w:bidi="en-US"/>
    </w:rPr>
  </w:style>
  <w:style w:type="character" w:customStyle="1" w:styleId="Heading7Char">
    <w:name w:val="Heading 7 Char"/>
    <w:basedOn w:val="DefaultParagraphFont"/>
    <w:link w:val="Heading7"/>
    <w:uiPriority w:val="99"/>
    <w:rsid w:val="007532B6"/>
    <w:rPr>
      <w:rFonts w:ascii="Candara" w:eastAsiaTheme="majorEastAsia" w:hAnsi="Candara" w:cstheme="majorBidi"/>
      <w:b/>
      <w:bCs/>
      <w:i/>
      <w:iCs/>
      <w:color w:val="5A5A5A" w:themeColor="text1" w:themeTint="A5"/>
      <w:sz w:val="24"/>
      <w:lang w:eastAsia="en-US" w:bidi="en-US"/>
    </w:rPr>
  </w:style>
  <w:style w:type="character" w:customStyle="1" w:styleId="Heading8Char">
    <w:name w:val="Heading 8 Char"/>
    <w:basedOn w:val="DefaultParagraphFont"/>
    <w:link w:val="Heading8"/>
    <w:uiPriority w:val="99"/>
    <w:rsid w:val="007532B6"/>
    <w:rPr>
      <w:rFonts w:ascii="Candara" w:eastAsiaTheme="majorEastAsia" w:hAnsi="Candara" w:cstheme="majorBidi"/>
      <w:b/>
      <w:bCs/>
      <w:color w:val="7F7F7F" w:themeColor="text1" w:themeTint="80"/>
      <w:lang w:eastAsia="en-US" w:bidi="en-US"/>
    </w:rPr>
  </w:style>
  <w:style w:type="character" w:customStyle="1" w:styleId="Heading9Char">
    <w:name w:val="Heading 9 Char"/>
    <w:basedOn w:val="DefaultParagraphFont"/>
    <w:link w:val="Heading9"/>
    <w:uiPriority w:val="99"/>
    <w:rsid w:val="007532B6"/>
    <w:rPr>
      <w:rFonts w:ascii="Candara" w:eastAsiaTheme="majorEastAsia" w:hAnsi="Candara" w:cstheme="majorBidi"/>
      <w:b/>
      <w:bCs/>
      <w:i/>
      <w:iCs/>
      <w:color w:val="7F7F7F" w:themeColor="text1" w:themeTint="80"/>
      <w:sz w:val="24"/>
      <w:szCs w:val="18"/>
      <w:lang w:eastAsia="en-US" w:bidi="en-US"/>
    </w:rPr>
  </w:style>
  <w:style w:type="character" w:customStyle="1" w:styleId="Heading5Char">
    <w:name w:val="Heading 5 Char"/>
    <w:basedOn w:val="DefaultParagraphFont"/>
    <w:link w:val="Heading5"/>
    <w:uiPriority w:val="9"/>
    <w:rsid w:val="007532B6"/>
    <w:rPr>
      <w:b/>
      <w:bCs/>
      <w:i/>
      <w:iCs/>
      <w:sz w:val="26"/>
      <w:szCs w:val="26"/>
    </w:rPr>
  </w:style>
  <w:style w:type="character" w:customStyle="1" w:styleId="FontHighlight">
    <w:name w:val="Font Highlight"/>
    <w:basedOn w:val="DefaultParagraphFont"/>
    <w:uiPriority w:val="2"/>
    <w:qFormat/>
    <w:rsid w:val="007532B6"/>
    <w:rPr>
      <w:rFonts w:ascii="Candara" w:hAnsi="Candara"/>
      <w:sz w:val="24"/>
      <w:bdr w:val="none" w:sz="0" w:space="0" w:color="auto"/>
      <w:shd w:val="clear" w:color="auto" w:fill="FFFF00"/>
    </w:rPr>
  </w:style>
  <w:style w:type="paragraph" w:styleId="Revision">
    <w:name w:val="Revision"/>
    <w:hidden/>
    <w:uiPriority w:val="71"/>
    <w:rsid w:val="004E5163"/>
    <w:rPr>
      <w:sz w:val="24"/>
      <w:szCs w:val="24"/>
    </w:rPr>
  </w:style>
  <w:style w:type="table" w:customStyle="1" w:styleId="TableGrid1">
    <w:name w:val="Table Grid1"/>
    <w:basedOn w:val="TableNormal"/>
    <w:next w:val="TableGrid"/>
    <w:uiPriority w:val="39"/>
    <w:rsid w:val="00E10227"/>
    <w:rPr>
      <w:rFonts w:ascii="Candara" w:hAnsi="Candara"/>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blHeader/>
    </w:trPr>
  </w:style>
  <w:style w:type="table" w:customStyle="1" w:styleId="TableGrid2">
    <w:name w:val="Table Grid2"/>
    <w:basedOn w:val="TableNormal"/>
    <w:next w:val="TableGrid"/>
    <w:uiPriority w:val="39"/>
    <w:rsid w:val="00E10227"/>
    <w:rPr>
      <w:rFonts w:ascii="Candara" w:hAnsi="Candara"/>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blHeader/>
    </w:trPr>
  </w:style>
  <w:style w:type="paragraph" w:styleId="FootnoteText">
    <w:name w:val="footnote text"/>
    <w:basedOn w:val="Normal"/>
    <w:link w:val="FootnoteTextChar"/>
    <w:rsid w:val="00B60A51"/>
    <w:rPr>
      <w:sz w:val="20"/>
      <w:szCs w:val="20"/>
    </w:rPr>
  </w:style>
  <w:style w:type="character" w:customStyle="1" w:styleId="FootnoteTextChar">
    <w:name w:val="Footnote Text Char"/>
    <w:basedOn w:val="DefaultParagraphFont"/>
    <w:link w:val="FootnoteText"/>
    <w:rsid w:val="00B60A51"/>
  </w:style>
  <w:style w:type="character" w:styleId="FootnoteReference">
    <w:name w:val="footnote reference"/>
    <w:basedOn w:val="DefaultParagraphFont"/>
    <w:uiPriority w:val="99"/>
    <w:rsid w:val="00B60A51"/>
    <w:rPr>
      <w:vertAlign w:val="superscript"/>
    </w:rPr>
  </w:style>
  <w:style w:type="character" w:styleId="IntenseReference">
    <w:name w:val="Intense Reference"/>
    <w:basedOn w:val="DefaultParagraphFont"/>
    <w:uiPriority w:val="32"/>
    <w:qFormat/>
    <w:rsid w:val="00447AB0"/>
    <w:rPr>
      <w:b/>
      <w:bCs/>
      <w:i/>
      <w:smallCaps/>
      <w:color w:val="C0504D" w:themeColor="accent2"/>
      <w:spacing w:val="5"/>
      <w:u w:val="none"/>
    </w:rPr>
  </w:style>
  <w:style w:type="paragraph" w:customStyle="1" w:styleId="PBACHeading10">
    <w:name w:val="PBAC Heading 1"/>
    <w:qFormat/>
    <w:rsid w:val="00B92A16"/>
    <w:pPr>
      <w:ind w:left="720" w:hanging="720"/>
    </w:pPr>
    <w:rPr>
      <w:rFonts w:ascii="Arial" w:hAnsi="Arial" w:cs="Arial"/>
      <w:b/>
      <w:snapToGrid w:val="0"/>
      <w:sz w:val="22"/>
      <w:szCs w:val="22"/>
      <w:lang w:eastAsia="en-US"/>
    </w:rPr>
  </w:style>
  <w:style w:type="character" w:customStyle="1" w:styleId="ListParagraphChar">
    <w:name w:val="List Paragraph Char"/>
    <w:link w:val="ListParagraph"/>
    <w:uiPriority w:val="34"/>
    <w:rsid w:val="00B92A16"/>
    <w:rPr>
      <w:sz w:val="24"/>
      <w:szCs w:val="24"/>
    </w:rPr>
  </w:style>
  <w:style w:type="paragraph" w:customStyle="1" w:styleId="PBACheading1">
    <w:name w:val="PBAC heading 1"/>
    <w:basedOn w:val="ListParagraph"/>
    <w:qFormat/>
    <w:rsid w:val="00D30CA9"/>
    <w:pPr>
      <w:numPr>
        <w:numId w:val="25"/>
      </w:numPr>
      <w:jc w:val="both"/>
    </w:pPr>
    <w:rPr>
      <w:rFonts w:ascii="Arial" w:hAnsi="Arial"/>
      <w:b/>
      <w:sz w:val="22"/>
      <w:szCs w:val="22"/>
    </w:rPr>
  </w:style>
  <w:style w:type="paragraph" w:styleId="Title">
    <w:name w:val="Title"/>
    <w:basedOn w:val="Normal"/>
    <w:next w:val="Normal"/>
    <w:link w:val="TitleChar"/>
    <w:qFormat/>
    <w:rsid w:val="00D30CA9"/>
    <w:pPr>
      <w:ind w:left="720" w:hanging="720"/>
    </w:pPr>
    <w:rPr>
      <w:rFonts w:ascii="Arial" w:hAnsi="Arial"/>
      <w:b/>
      <w:sz w:val="28"/>
      <w:szCs w:val="28"/>
    </w:rPr>
  </w:style>
  <w:style w:type="character" w:customStyle="1" w:styleId="TitleChar">
    <w:name w:val="Title Char"/>
    <w:basedOn w:val="DefaultParagraphFont"/>
    <w:link w:val="Title"/>
    <w:rsid w:val="00D30CA9"/>
    <w:rPr>
      <w:rFonts w:ascii="Arial" w:hAnsi="Arial"/>
      <w:b/>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iPriority="9" w:unhideWhenUsed="1" w:qFormat="1"/>
    <w:lsdException w:name="heading 5" w:uiPriority="9" w:qFormat="1"/>
    <w:lsdException w:name="heading 6" w:uiPriority="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header" w:uiPriority="99"/>
    <w:lsdException w:name="footer" w:uiPriority="99"/>
    <w:lsdException w:name="caption" w:semiHidden="1" w:uiPriority="99" w:unhideWhenUsed="1" w:qFormat="1"/>
    <w:lsdException w:name="footnote reference" w:uiPriority="99"/>
    <w:lsdException w:name="annotation reference" w:uiPriority="99"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32"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style>
  <w:style w:type="paragraph" w:styleId="Heading3">
    <w:name w:val="heading 3"/>
    <w:basedOn w:val="Normal"/>
    <w:next w:val="Normal"/>
    <w:link w:val="Heading3Char"/>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Heading1"/>
    <w:next w:val="Normal"/>
    <w:link w:val="Heading4Char"/>
    <w:uiPriority w:val="9"/>
    <w:qFormat/>
    <w:rsid w:val="007532B6"/>
    <w:pPr>
      <w:keepNext w:val="0"/>
      <w:spacing w:after="240" w:line="276" w:lineRule="auto"/>
      <w:ind w:left="3983" w:hanging="864"/>
      <w:contextualSpacing/>
      <w:outlineLvl w:val="3"/>
    </w:pPr>
    <w:rPr>
      <w:rFonts w:ascii="Candara" w:eastAsiaTheme="majorEastAsia" w:hAnsi="Candara" w:cstheme="majorBidi"/>
      <w:bCs/>
      <w:spacing w:val="5"/>
      <w:lang w:eastAsia="en-US" w:bidi="en-US"/>
    </w:rPr>
  </w:style>
  <w:style w:type="paragraph" w:styleId="Heading5">
    <w:name w:val="heading 5"/>
    <w:basedOn w:val="Normal"/>
    <w:next w:val="Normal"/>
    <w:link w:val="Heading5Char"/>
    <w:uiPriority w:val="9"/>
    <w:qFormat/>
    <w:pPr>
      <w:spacing w:before="240" w:after="60"/>
      <w:outlineLvl w:val="4"/>
    </w:pPr>
    <w:rPr>
      <w:b/>
      <w:bCs/>
      <w:i/>
      <w:iCs/>
      <w:sz w:val="26"/>
      <w:szCs w:val="26"/>
    </w:rPr>
  </w:style>
  <w:style w:type="paragraph" w:styleId="Heading6">
    <w:name w:val="heading 6"/>
    <w:basedOn w:val="Normal"/>
    <w:next w:val="Normal"/>
    <w:uiPriority w:val="9"/>
    <w:qFormat/>
    <w:pPr>
      <w:spacing w:before="240" w:after="60"/>
      <w:outlineLvl w:val="5"/>
    </w:pPr>
    <w:rPr>
      <w:b/>
      <w:bCs/>
      <w:sz w:val="22"/>
      <w:szCs w:val="22"/>
    </w:rPr>
  </w:style>
  <w:style w:type="paragraph" w:styleId="Heading7">
    <w:name w:val="heading 7"/>
    <w:basedOn w:val="Normal"/>
    <w:next w:val="Normal"/>
    <w:link w:val="Heading7Char"/>
    <w:uiPriority w:val="99"/>
    <w:qFormat/>
    <w:rsid w:val="007532B6"/>
    <w:pPr>
      <w:spacing w:line="276" w:lineRule="auto"/>
      <w:ind w:left="1296" w:hanging="1296"/>
      <w:outlineLvl w:val="6"/>
    </w:pPr>
    <w:rPr>
      <w:rFonts w:ascii="Candara" w:eastAsiaTheme="majorEastAsia" w:hAnsi="Candara" w:cstheme="majorBidi"/>
      <w:b/>
      <w:bCs/>
      <w:i/>
      <w:iCs/>
      <w:color w:val="5A5A5A" w:themeColor="text1" w:themeTint="A5"/>
      <w:szCs w:val="20"/>
      <w:lang w:eastAsia="en-US" w:bidi="en-US"/>
    </w:rPr>
  </w:style>
  <w:style w:type="paragraph" w:styleId="Heading8">
    <w:name w:val="heading 8"/>
    <w:basedOn w:val="Normal"/>
    <w:next w:val="Normal"/>
    <w:link w:val="Heading8Char"/>
    <w:uiPriority w:val="99"/>
    <w:qFormat/>
    <w:rsid w:val="007532B6"/>
    <w:pPr>
      <w:spacing w:line="276" w:lineRule="auto"/>
      <w:ind w:left="1440" w:hanging="1440"/>
      <w:outlineLvl w:val="7"/>
    </w:pPr>
    <w:rPr>
      <w:rFonts w:ascii="Candara" w:eastAsiaTheme="majorEastAsia" w:hAnsi="Candara" w:cstheme="majorBidi"/>
      <w:b/>
      <w:bCs/>
      <w:color w:val="7F7F7F" w:themeColor="text1" w:themeTint="80"/>
      <w:sz w:val="20"/>
      <w:szCs w:val="20"/>
      <w:lang w:eastAsia="en-US" w:bidi="en-US"/>
    </w:rPr>
  </w:style>
  <w:style w:type="paragraph" w:styleId="Heading9">
    <w:name w:val="heading 9"/>
    <w:basedOn w:val="Normal"/>
    <w:next w:val="Normal"/>
    <w:link w:val="Heading9Char"/>
    <w:uiPriority w:val="99"/>
    <w:qFormat/>
    <w:rsid w:val="007532B6"/>
    <w:pPr>
      <w:spacing w:line="271" w:lineRule="auto"/>
      <w:ind w:left="1584" w:hanging="1584"/>
      <w:outlineLvl w:val="8"/>
    </w:pPr>
    <w:rPr>
      <w:rFonts w:ascii="Candara" w:eastAsiaTheme="majorEastAsia" w:hAnsi="Candara" w:cstheme="majorBidi"/>
      <w:b/>
      <w:bCs/>
      <w:i/>
      <w:iCs/>
      <w:color w:val="7F7F7F" w:themeColor="text1" w:themeTint="80"/>
      <w:szCs w:val="18"/>
      <w:lang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customStyle="1" w:styleId="Table">
    <w:name w:val="Table"/>
    <w:basedOn w:val="Normal"/>
    <w:link w:val="TableChar"/>
    <w:qFormat/>
    <w:rsid w:val="00B04C5D"/>
    <w:rPr>
      <w:rFonts w:ascii="Candara" w:eastAsiaTheme="majorEastAsia" w:hAnsi="Candara" w:cstheme="majorBidi"/>
      <w:sz w:val="20"/>
      <w:szCs w:val="22"/>
      <w:lang w:eastAsia="en-US" w:bidi="en-US"/>
    </w:rPr>
  </w:style>
  <w:style w:type="character" w:customStyle="1" w:styleId="TableChar">
    <w:name w:val="Table Char"/>
    <w:basedOn w:val="DefaultParagraphFont"/>
    <w:link w:val="Table"/>
    <w:locked/>
    <w:rsid w:val="00B04C5D"/>
    <w:rPr>
      <w:rFonts w:ascii="Candara" w:eastAsiaTheme="majorEastAsia" w:hAnsi="Candara" w:cstheme="majorBidi"/>
      <w:szCs w:val="22"/>
      <w:lang w:eastAsia="en-US" w:bidi="en-US"/>
    </w:rPr>
  </w:style>
  <w:style w:type="paragraph" w:styleId="Caption">
    <w:name w:val="caption"/>
    <w:basedOn w:val="Normal"/>
    <w:next w:val="Normal"/>
    <w:link w:val="CaptionChar"/>
    <w:uiPriority w:val="99"/>
    <w:qFormat/>
    <w:rsid w:val="00B04C5D"/>
    <w:pPr>
      <w:keepNext/>
      <w:spacing w:after="200"/>
    </w:pPr>
    <w:rPr>
      <w:rFonts w:ascii="Candara" w:eastAsiaTheme="majorEastAsia" w:hAnsi="Candara" w:cstheme="majorBidi"/>
      <w:b/>
      <w:bCs/>
      <w:szCs w:val="18"/>
      <w:lang w:eastAsia="en-US" w:bidi="en-US"/>
    </w:rPr>
  </w:style>
  <w:style w:type="character" w:customStyle="1" w:styleId="CaptionChar">
    <w:name w:val="Caption Char"/>
    <w:basedOn w:val="DefaultParagraphFont"/>
    <w:link w:val="Caption"/>
    <w:uiPriority w:val="99"/>
    <w:rsid w:val="00B04C5D"/>
    <w:rPr>
      <w:rFonts w:ascii="Candara" w:eastAsiaTheme="majorEastAsia" w:hAnsi="Candara" w:cstheme="majorBidi"/>
      <w:b/>
      <w:bCs/>
      <w:sz w:val="24"/>
      <w:szCs w:val="18"/>
      <w:lang w:eastAsia="en-US" w:bidi="en-US"/>
    </w:rPr>
  </w:style>
  <w:style w:type="character" w:customStyle="1" w:styleId="Small">
    <w:name w:val="Small"/>
    <w:basedOn w:val="DefaultParagraphFont"/>
    <w:uiPriority w:val="4"/>
    <w:qFormat/>
    <w:rsid w:val="00B04C5D"/>
    <w:rPr>
      <w:rFonts w:ascii="Candara" w:hAnsi="Candara"/>
      <w:sz w:val="20"/>
    </w:rPr>
  </w:style>
  <w:style w:type="character" w:customStyle="1" w:styleId="SmallBold">
    <w:name w:val="Small Bold"/>
    <w:basedOn w:val="Small"/>
    <w:uiPriority w:val="4"/>
    <w:qFormat/>
    <w:rsid w:val="00B04C5D"/>
    <w:rPr>
      <w:rFonts w:ascii="Candara" w:hAnsi="Candara"/>
      <w:b/>
      <w:sz w:val="20"/>
      <w:lang w:val="en-AU"/>
    </w:rPr>
  </w:style>
  <w:style w:type="paragraph" w:customStyle="1" w:styleId="Default">
    <w:name w:val="Default"/>
    <w:rsid w:val="00B04C5D"/>
    <w:pPr>
      <w:autoSpaceDE w:val="0"/>
      <w:autoSpaceDN w:val="0"/>
      <w:adjustRightInd w:val="0"/>
    </w:pPr>
    <w:rPr>
      <w:rFonts w:eastAsiaTheme="majorEastAsia"/>
      <w:color w:val="000000"/>
      <w:sz w:val="24"/>
      <w:szCs w:val="24"/>
      <w:lang w:val="en-US" w:eastAsia="en-US"/>
    </w:rPr>
  </w:style>
  <w:style w:type="paragraph" w:customStyle="1" w:styleId="TableCentre">
    <w:name w:val="Table Centre"/>
    <w:basedOn w:val="Table"/>
    <w:qFormat/>
    <w:rsid w:val="00CE25C1"/>
    <w:pPr>
      <w:jc w:val="center"/>
    </w:pPr>
  </w:style>
  <w:style w:type="paragraph" w:customStyle="1" w:styleId="CaptionFootnote">
    <w:name w:val="Caption Footnote"/>
    <w:basedOn w:val="Caption"/>
    <w:link w:val="CaptionFootnoteChar"/>
    <w:qFormat/>
    <w:rsid w:val="00CE25C1"/>
    <w:pPr>
      <w:widowControl w:val="0"/>
      <w:spacing w:after="0"/>
    </w:pPr>
    <w:rPr>
      <w:b w:val="0"/>
      <w:sz w:val="16"/>
    </w:rPr>
  </w:style>
  <w:style w:type="character" w:customStyle="1" w:styleId="CaptionFootnoteChar">
    <w:name w:val="Caption Footnote Char"/>
    <w:basedOn w:val="CaptionChar"/>
    <w:link w:val="CaptionFootnote"/>
    <w:rsid w:val="00CE25C1"/>
    <w:rPr>
      <w:rFonts w:ascii="Candara" w:eastAsiaTheme="majorEastAsia" w:hAnsi="Candara" w:cstheme="majorBidi"/>
      <w:b w:val="0"/>
      <w:bCs/>
      <w:sz w:val="16"/>
      <w:szCs w:val="18"/>
      <w:lang w:eastAsia="en-US" w:bidi="en-US"/>
    </w:rPr>
  </w:style>
  <w:style w:type="character" w:styleId="Hyperlink">
    <w:name w:val="Hyperlink"/>
    <w:basedOn w:val="DefaultParagraphFont"/>
    <w:rsid w:val="003B4FDC"/>
    <w:rPr>
      <w:color w:val="0000FF" w:themeColor="hyperlink"/>
      <w:u w:val="single"/>
    </w:rPr>
  </w:style>
  <w:style w:type="character" w:customStyle="1" w:styleId="SmallItalics">
    <w:name w:val="Small Italics"/>
    <w:basedOn w:val="Small"/>
    <w:uiPriority w:val="4"/>
    <w:qFormat/>
    <w:rsid w:val="007532B6"/>
    <w:rPr>
      <w:rFonts w:ascii="Arial Narrow" w:hAnsi="Arial Narrow"/>
      <w:i/>
      <w:sz w:val="20"/>
    </w:rPr>
  </w:style>
  <w:style w:type="paragraph" w:customStyle="1" w:styleId="AltLevel2">
    <w:name w:val="Alt Level 2"/>
    <w:basedOn w:val="Normal"/>
    <w:link w:val="AltLevel2Char"/>
    <w:semiHidden/>
    <w:unhideWhenUsed/>
    <w:qFormat/>
    <w:rsid w:val="007532B6"/>
    <w:pPr>
      <w:spacing w:after="200" w:line="276" w:lineRule="auto"/>
      <w:ind w:left="357" w:hanging="357"/>
      <w:contextualSpacing/>
    </w:pPr>
    <w:rPr>
      <w:rFonts w:ascii="Verdana" w:eastAsiaTheme="majorEastAsia" w:hAnsi="Verdana" w:cstheme="majorBidi"/>
      <w:b/>
      <w:sz w:val="28"/>
      <w:szCs w:val="22"/>
      <w:lang w:eastAsia="en-US" w:bidi="en-US"/>
    </w:rPr>
  </w:style>
  <w:style w:type="character" w:customStyle="1" w:styleId="AltLevel2Char">
    <w:name w:val="Alt Level 2 Char"/>
    <w:basedOn w:val="DefaultParagraphFont"/>
    <w:link w:val="AltLevel2"/>
    <w:semiHidden/>
    <w:rsid w:val="007532B6"/>
    <w:rPr>
      <w:rFonts w:ascii="Verdana" w:eastAsiaTheme="majorEastAsia" w:hAnsi="Verdana" w:cstheme="majorBidi"/>
      <w:b/>
      <w:sz w:val="28"/>
      <w:szCs w:val="22"/>
      <w:lang w:eastAsia="en-US" w:bidi="en-US"/>
    </w:rPr>
  </w:style>
  <w:style w:type="character" w:customStyle="1" w:styleId="Heading4Char">
    <w:name w:val="Heading 4 Char"/>
    <w:basedOn w:val="DefaultParagraphFont"/>
    <w:link w:val="Heading4"/>
    <w:uiPriority w:val="9"/>
    <w:rsid w:val="007532B6"/>
    <w:rPr>
      <w:rFonts w:ascii="Candara" w:eastAsiaTheme="majorEastAsia" w:hAnsi="Candara" w:cstheme="majorBidi"/>
      <w:b/>
      <w:bCs/>
      <w:spacing w:val="5"/>
      <w:sz w:val="24"/>
      <w:szCs w:val="24"/>
      <w:lang w:eastAsia="en-US" w:bidi="en-US"/>
    </w:rPr>
  </w:style>
  <w:style w:type="character" w:customStyle="1" w:styleId="Heading7Char">
    <w:name w:val="Heading 7 Char"/>
    <w:basedOn w:val="DefaultParagraphFont"/>
    <w:link w:val="Heading7"/>
    <w:uiPriority w:val="99"/>
    <w:rsid w:val="007532B6"/>
    <w:rPr>
      <w:rFonts w:ascii="Candara" w:eastAsiaTheme="majorEastAsia" w:hAnsi="Candara" w:cstheme="majorBidi"/>
      <w:b/>
      <w:bCs/>
      <w:i/>
      <w:iCs/>
      <w:color w:val="5A5A5A" w:themeColor="text1" w:themeTint="A5"/>
      <w:sz w:val="24"/>
      <w:lang w:eastAsia="en-US" w:bidi="en-US"/>
    </w:rPr>
  </w:style>
  <w:style w:type="character" w:customStyle="1" w:styleId="Heading8Char">
    <w:name w:val="Heading 8 Char"/>
    <w:basedOn w:val="DefaultParagraphFont"/>
    <w:link w:val="Heading8"/>
    <w:uiPriority w:val="99"/>
    <w:rsid w:val="007532B6"/>
    <w:rPr>
      <w:rFonts w:ascii="Candara" w:eastAsiaTheme="majorEastAsia" w:hAnsi="Candara" w:cstheme="majorBidi"/>
      <w:b/>
      <w:bCs/>
      <w:color w:val="7F7F7F" w:themeColor="text1" w:themeTint="80"/>
      <w:lang w:eastAsia="en-US" w:bidi="en-US"/>
    </w:rPr>
  </w:style>
  <w:style w:type="character" w:customStyle="1" w:styleId="Heading9Char">
    <w:name w:val="Heading 9 Char"/>
    <w:basedOn w:val="DefaultParagraphFont"/>
    <w:link w:val="Heading9"/>
    <w:uiPriority w:val="99"/>
    <w:rsid w:val="007532B6"/>
    <w:rPr>
      <w:rFonts w:ascii="Candara" w:eastAsiaTheme="majorEastAsia" w:hAnsi="Candara" w:cstheme="majorBidi"/>
      <w:b/>
      <w:bCs/>
      <w:i/>
      <w:iCs/>
      <w:color w:val="7F7F7F" w:themeColor="text1" w:themeTint="80"/>
      <w:sz w:val="24"/>
      <w:szCs w:val="18"/>
      <w:lang w:eastAsia="en-US" w:bidi="en-US"/>
    </w:rPr>
  </w:style>
  <w:style w:type="character" w:customStyle="1" w:styleId="Heading5Char">
    <w:name w:val="Heading 5 Char"/>
    <w:basedOn w:val="DefaultParagraphFont"/>
    <w:link w:val="Heading5"/>
    <w:uiPriority w:val="9"/>
    <w:rsid w:val="007532B6"/>
    <w:rPr>
      <w:b/>
      <w:bCs/>
      <w:i/>
      <w:iCs/>
      <w:sz w:val="26"/>
      <w:szCs w:val="26"/>
    </w:rPr>
  </w:style>
  <w:style w:type="character" w:customStyle="1" w:styleId="FontHighlight">
    <w:name w:val="Font Highlight"/>
    <w:basedOn w:val="DefaultParagraphFont"/>
    <w:uiPriority w:val="2"/>
    <w:qFormat/>
    <w:rsid w:val="007532B6"/>
    <w:rPr>
      <w:rFonts w:ascii="Candara" w:hAnsi="Candara"/>
      <w:sz w:val="24"/>
      <w:bdr w:val="none" w:sz="0" w:space="0" w:color="auto"/>
      <w:shd w:val="clear" w:color="auto" w:fill="FFFF00"/>
    </w:rPr>
  </w:style>
  <w:style w:type="paragraph" w:styleId="Revision">
    <w:name w:val="Revision"/>
    <w:hidden/>
    <w:uiPriority w:val="71"/>
    <w:rsid w:val="004E5163"/>
    <w:rPr>
      <w:sz w:val="24"/>
      <w:szCs w:val="24"/>
    </w:rPr>
  </w:style>
  <w:style w:type="table" w:customStyle="1" w:styleId="TableGrid1">
    <w:name w:val="Table Grid1"/>
    <w:basedOn w:val="TableNormal"/>
    <w:next w:val="TableGrid"/>
    <w:uiPriority w:val="39"/>
    <w:rsid w:val="00E10227"/>
    <w:rPr>
      <w:rFonts w:ascii="Candara" w:hAnsi="Candara"/>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blHeader/>
    </w:trPr>
  </w:style>
  <w:style w:type="table" w:customStyle="1" w:styleId="TableGrid2">
    <w:name w:val="Table Grid2"/>
    <w:basedOn w:val="TableNormal"/>
    <w:next w:val="TableGrid"/>
    <w:uiPriority w:val="39"/>
    <w:rsid w:val="00E10227"/>
    <w:rPr>
      <w:rFonts w:ascii="Candara" w:hAnsi="Candara"/>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blHeader/>
    </w:trPr>
  </w:style>
  <w:style w:type="paragraph" w:styleId="FootnoteText">
    <w:name w:val="footnote text"/>
    <w:basedOn w:val="Normal"/>
    <w:link w:val="FootnoteTextChar"/>
    <w:rsid w:val="00B60A51"/>
    <w:rPr>
      <w:sz w:val="20"/>
      <w:szCs w:val="20"/>
    </w:rPr>
  </w:style>
  <w:style w:type="character" w:customStyle="1" w:styleId="FootnoteTextChar">
    <w:name w:val="Footnote Text Char"/>
    <w:basedOn w:val="DefaultParagraphFont"/>
    <w:link w:val="FootnoteText"/>
    <w:rsid w:val="00B60A51"/>
  </w:style>
  <w:style w:type="character" w:styleId="FootnoteReference">
    <w:name w:val="footnote reference"/>
    <w:basedOn w:val="DefaultParagraphFont"/>
    <w:uiPriority w:val="99"/>
    <w:rsid w:val="00B60A51"/>
    <w:rPr>
      <w:vertAlign w:val="superscript"/>
    </w:rPr>
  </w:style>
  <w:style w:type="character" w:styleId="IntenseReference">
    <w:name w:val="Intense Reference"/>
    <w:basedOn w:val="DefaultParagraphFont"/>
    <w:uiPriority w:val="32"/>
    <w:qFormat/>
    <w:rsid w:val="00447AB0"/>
    <w:rPr>
      <w:b/>
      <w:bCs/>
      <w:i/>
      <w:smallCaps/>
      <w:color w:val="C0504D" w:themeColor="accent2"/>
      <w:spacing w:val="5"/>
      <w:u w:val="none"/>
    </w:rPr>
  </w:style>
  <w:style w:type="paragraph" w:customStyle="1" w:styleId="PBACHeading10">
    <w:name w:val="PBAC Heading 1"/>
    <w:qFormat/>
    <w:rsid w:val="00B92A16"/>
    <w:pPr>
      <w:ind w:left="720" w:hanging="720"/>
    </w:pPr>
    <w:rPr>
      <w:rFonts w:ascii="Arial" w:hAnsi="Arial" w:cs="Arial"/>
      <w:b/>
      <w:snapToGrid w:val="0"/>
      <w:sz w:val="22"/>
      <w:szCs w:val="22"/>
      <w:lang w:eastAsia="en-US"/>
    </w:rPr>
  </w:style>
  <w:style w:type="character" w:customStyle="1" w:styleId="ListParagraphChar">
    <w:name w:val="List Paragraph Char"/>
    <w:link w:val="ListParagraph"/>
    <w:uiPriority w:val="34"/>
    <w:rsid w:val="00B92A16"/>
    <w:rPr>
      <w:sz w:val="24"/>
      <w:szCs w:val="24"/>
    </w:rPr>
  </w:style>
  <w:style w:type="paragraph" w:customStyle="1" w:styleId="PBACheading1">
    <w:name w:val="PBAC heading 1"/>
    <w:basedOn w:val="ListParagraph"/>
    <w:qFormat/>
    <w:rsid w:val="00D30CA9"/>
    <w:pPr>
      <w:numPr>
        <w:numId w:val="25"/>
      </w:numPr>
      <w:jc w:val="both"/>
    </w:pPr>
    <w:rPr>
      <w:rFonts w:ascii="Arial" w:hAnsi="Arial"/>
      <w:b/>
      <w:sz w:val="22"/>
      <w:szCs w:val="22"/>
    </w:rPr>
  </w:style>
  <w:style w:type="paragraph" w:styleId="Title">
    <w:name w:val="Title"/>
    <w:basedOn w:val="Normal"/>
    <w:next w:val="Normal"/>
    <w:link w:val="TitleChar"/>
    <w:qFormat/>
    <w:rsid w:val="00D30CA9"/>
    <w:pPr>
      <w:ind w:left="720" w:hanging="720"/>
    </w:pPr>
    <w:rPr>
      <w:rFonts w:ascii="Arial" w:hAnsi="Arial"/>
      <w:b/>
      <w:sz w:val="28"/>
      <w:szCs w:val="28"/>
    </w:rPr>
  </w:style>
  <w:style w:type="character" w:customStyle="1" w:styleId="TitleChar">
    <w:name w:val="Title Char"/>
    <w:basedOn w:val="DefaultParagraphFont"/>
    <w:link w:val="Title"/>
    <w:rsid w:val="00D30CA9"/>
    <w:rPr>
      <w:rFonts w:ascii="Arial" w:hAnsi="Arial"/>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181482631">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159924680">
      <w:bodyDiv w:val="1"/>
      <w:marLeft w:val="0"/>
      <w:marRight w:val="0"/>
      <w:marTop w:val="0"/>
      <w:marBottom w:val="0"/>
      <w:divBdr>
        <w:top w:val="none" w:sz="0" w:space="0" w:color="auto"/>
        <w:left w:val="none" w:sz="0" w:space="0" w:color="auto"/>
        <w:bottom w:val="none" w:sz="0" w:space="0" w:color="auto"/>
        <w:right w:val="none" w:sz="0" w:space="0" w:color="auto"/>
      </w:divBdr>
    </w:div>
    <w:div w:id="1396123788">
      <w:bodyDiv w:val="1"/>
      <w:marLeft w:val="0"/>
      <w:marRight w:val="0"/>
      <w:marTop w:val="0"/>
      <w:marBottom w:val="0"/>
      <w:divBdr>
        <w:top w:val="none" w:sz="0" w:space="0" w:color="auto"/>
        <w:left w:val="none" w:sz="0" w:space="0" w:color="auto"/>
        <w:bottom w:val="none" w:sz="0" w:space="0" w:color="auto"/>
        <w:right w:val="none" w:sz="0" w:space="0" w:color="auto"/>
      </w:divBdr>
      <w:divsChild>
        <w:div w:id="2095855318">
          <w:marLeft w:val="1800"/>
          <w:marRight w:val="0"/>
          <w:marTop w:val="115"/>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977D3E-650F-466C-8567-D6B55A8C4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6762</Words>
  <Characters>48431</Characters>
  <Application>Microsoft Office Word</Application>
  <DocSecurity>0</DocSecurity>
  <Lines>403</Lines>
  <Paragraphs>110</Paragraphs>
  <ScaleCrop>false</ScaleCrop>
  <HeadingPairs>
    <vt:vector size="2" baseType="variant">
      <vt:variant>
        <vt:lpstr>Title</vt:lpstr>
      </vt:variant>
      <vt:variant>
        <vt:i4>1</vt:i4>
      </vt:variant>
    </vt:vector>
  </HeadingPairs>
  <TitlesOfParts>
    <vt:vector size="1" baseType="lpstr">
      <vt:lpstr>5.31 insulin glargine </vt:lpstr>
    </vt:vector>
  </TitlesOfParts>
  <LinksUpToDate>false</LinksUpToDate>
  <CharactersWithSpaces>55083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5.31 insulin glargine</dc:title>
  <dc:creator/>
  <cp:lastModifiedBy/>
  <cp:revision>1</cp:revision>
  <dcterms:created xsi:type="dcterms:W3CDTF">2015-06-29T05:24:00Z</dcterms:created>
  <dcterms:modified xsi:type="dcterms:W3CDTF">2015-06-29T07:50:00Z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DocID">
    <vt:lpwstr>30542412v1</vt:lpwstr>
  </property>
</Properties>
</file>