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12D" w:rsidRDefault="00215D92" w:rsidP="00A57A52">
      <w:pPr>
        <w:pStyle w:val="Title"/>
      </w:pPr>
      <w:r w:rsidRPr="00A57A52">
        <w:t>5</w:t>
      </w:r>
      <w:r w:rsidR="00F421DB" w:rsidRPr="00A57A52">
        <w:t>.</w:t>
      </w:r>
      <w:r w:rsidRPr="00A57A52">
        <w:t>29</w:t>
      </w:r>
      <w:r w:rsidR="00F421DB" w:rsidRPr="00A57A52">
        <w:tab/>
      </w:r>
      <w:r w:rsidR="00370D2A" w:rsidRPr="00A57A52">
        <w:t>GLATIRAMER ACETATE</w:t>
      </w:r>
    </w:p>
    <w:p w:rsidR="00DD312D" w:rsidRDefault="00215D92" w:rsidP="00DD312D">
      <w:pPr>
        <w:pStyle w:val="Title"/>
        <w:ind w:firstLine="0"/>
      </w:pPr>
      <w:r w:rsidRPr="00A57A52">
        <w:t>40 mg/mL</w:t>
      </w:r>
      <w:r w:rsidR="00370D2A" w:rsidRPr="00A57A52">
        <w:t xml:space="preserve"> injection</w:t>
      </w:r>
      <w:r w:rsidR="00DD312D">
        <w:t>;</w:t>
      </w:r>
    </w:p>
    <w:p w:rsidR="00F421DB" w:rsidRPr="00A57A52" w:rsidRDefault="00370D2A" w:rsidP="00DD312D">
      <w:pPr>
        <w:pStyle w:val="Title"/>
        <w:ind w:firstLine="0"/>
      </w:pPr>
      <w:r w:rsidRPr="00A57A52">
        <w:t>Copaxone</w:t>
      </w:r>
      <w:r w:rsidR="00F421DB" w:rsidRPr="00A57A52">
        <w:t xml:space="preserve">®, </w:t>
      </w:r>
      <w:r w:rsidR="00215D92" w:rsidRPr="00A57A52">
        <w:t>bioCSL</w:t>
      </w:r>
    </w:p>
    <w:p w:rsidR="00F421DB" w:rsidRDefault="00F421DB" w:rsidP="00F421DB">
      <w:pPr>
        <w:rPr>
          <w:rFonts w:ascii="Arial" w:hAnsi="Arial"/>
          <w:b/>
        </w:rPr>
      </w:pPr>
    </w:p>
    <w:p w:rsidR="00F421DB" w:rsidRPr="00A57A52" w:rsidRDefault="00F421DB" w:rsidP="00A57A52">
      <w:pPr>
        <w:pStyle w:val="PBACHeading1"/>
      </w:pPr>
      <w:r w:rsidRPr="00A57A52">
        <w:t>Purpose of Application</w:t>
      </w:r>
    </w:p>
    <w:p w:rsidR="00F421DB" w:rsidRPr="00882085" w:rsidRDefault="00F421DB" w:rsidP="00F421DB">
      <w:pPr>
        <w:jc w:val="both"/>
        <w:rPr>
          <w:rFonts w:ascii="Arial" w:hAnsi="Arial"/>
          <w:sz w:val="22"/>
          <w:szCs w:val="22"/>
        </w:rPr>
      </w:pPr>
    </w:p>
    <w:p w:rsidR="00F421DB" w:rsidRPr="00EF44A0" w:rsidRDefault="00F421DB" w:rsidP="00F421DB">
      <w:pPr>
        <w:pStyle w:val="ListParagraph"/>
        <w:numPr>
          <w:ilvl w:val="1"/>
          <w:numId w:val="9"/>
        </w:numPr>
        <w:jc w:val="both"/>
        <w:rPr>
          <w:rFonts w:ascii="Arial" w:hAnsi="Arial"/>
          <w:b/>
          <w:sz w:val="22"/>
          <w:szCs w:val="22"/>
        </w:rPr>
      </w:pPr>
      <w:r>
        <w:rPr>
          <w:rFonts w:ascii="Arial" w:hAnsi="Arial"/>
          <w:sz w:val="22"/>
          <w:szCs w:val="22"/>
        </w:rPr>
        <w:t>The minor submission requests</w:t>
      </w:r>
      <w:r w:rsidR="00215D92">
        <w:rPr>
          <w:rFonts w:ascii="Arial" w:hAnsi="Arial"/>
          <w:sz w:val="22"/>
          <w:szCs w:val="22"/>
        </w:rPr>
        <w:t xml:space="preserve"> a</w:t>
      </w:r>
      <w:r w:rsidR="007A03BF">
        <w:rPr>
          <w:rFonts w:ascii="Arial" w:hAnsi="Arial"/>
          <w:sz w:val="22"/>
          <w:szCs w:val="22"/>
        </w:rPr>
        <w:t>n Authority Required</w:t>
      </w:r>
      <w:r w:rsidR="00215D92">
        <w:rPr>
          <w:rFonts w:ascii="Arial" w:hAnsi="Arial"/>
          <w:sz w:val="22"/>
          <w:szCs w:val="22"/>
        </w:rPr>
        <w:t xml:space="preserve"> </w:t>
      </w:r>
      <w:r>
        <w:rPr>
          <w:rFonts w:ascii="Arial" w:hAnsi="Arial"/>
          <w:sz w:val="22"/>
          <w:szCs w:val="22"/>
        </w:rPr>
        <w:t>listing</w:t>
      </w:r>
      <w:r w:rsidR="00215D92">
        <w:rPr>
          <w:rFonts w:ascii="Arial" w:hAnsi="Arial"/>
          <w:sz w:val="22"/>
          <w:szCs w:val="22"/>
        </w:rPr>
        <w:t xml:space="preserve"> for an additional strength of the currently listed drug</w:t>
      </w:r>
      <w:r w:rsidR="00B871CE">
        <w:rPr>
          <w:rFonts w:ascii="Arial" w:hAnsi="Arial"/>
          <w:sz w:val="22"/>
          <w:szCs w:val="22"/>
        </w:rPr>
        <w:t xml:space="preserve"> glatiramer acetate</w:t>
      </w:r>
      <w:r w:rsidR="00F62952">
        <w:rPr>
          <w:rFonts w:ascii="Arial" w:hAnsi="Arial"/>
          <w:sz w:val="22"/>
          <w:szCs w:val="22"/>
        </w:rPr>
        <w:t xml:space="preserve"> </w:t>
      </w:r>
      <w:r w:rsidR="00BD417F">
        <w:rPr>
          <w:rFonts w:ascii="Arial" w:hAnsi="Arial"/>
          <w:sz w:val="22"/>
          <w:szCs w:val="22"/>
        </w:rPr>
        <w:t xml:space="preserve">injection </w:t>
      </w:r>
      <w:r w:rsidR="00F62952">
        <w:rPr>
          <w:rFonts w:ascii="Arial" w:hAnsi="Arial"/>
          <w:sz w:val="22"/>
          <w:szCs w:val="22"/>
        </w:rPr>
        <w:t>for multiple sclerosis.</w:t>
      </w:r>
    </w:p>
    <w:p w:rsidR="00F421DB" w:rsidRPr="00377B68" w:rsidRDefault="00F421DB" w:rsidP="00377B68">
      <w:pPr>
        <w:jc w:val="both"/>
        <w:rPr>
          <w:rFonts w:ascii="Arial" w:hAnsi="Arial"/>
          <w:b/>
          <w:sz w:val="22"/>
          <w:szCs w:val="22"/>
        </w:rPr>
      </w:pPr>
    </w:p>
    <w:p w:rsidR="00F421DB" w:rsidRPr="00882085" w:rsidRDefault="00F421DB" w:rsidP="00A57A52">
      <w:pPr>
        <w:pStyle w:val="PBACHeading1"/>
      </w:pPr>
      <w:r w:rsidRPr="00882085">
        <w:t>Requested listing</w:t>
      </w:r>
    </w:p>
    <w:p w:rsidR="00F421DB" w:rsidRPr="00882085" w:rsidRDefault="00F421DB" w:rsidP="00F421DB">
      <w:pPr>
        <w:jc w:val="both"/>
        <w:rPr>
          <w:rFonts w:ascii="Arial" w:hAnsi="Arial"/>
          <w:b/>
          <w:sz w:val="22"/>
          <w:szCs w:val="22"/>
        </w:rPr>
      </w:pPr>
    </w:p>
    <w:p w:rsidR="00F421DB" w:rsidRPr="0077267E" w:rsidRDefault="00F421DB" w:rsidP="00F421DB">
      <w:pPr>
        <w:pStyle w:val="ListParagraph"/>
        <w:numPr>
          <w:ilvl w:val="1"/>
          <w:numId w:val="9"/>
        </w:numPr>
        <w:jc w:val="both"/>
        <w:rPr>
          <w:rFonts w:ascii="Arial" w:hAnsi="Arial"/>
          <w:sz w:val="22"/>
          <w:szCs w:val="22"/>
        </w:rPr>
      </w:pPr>
      <w:r>
        <w:rPr>
          <w:rFonts w:ascii="Arial" w:hAnsi="Arial"/>
          <w:sz w:val="22"/>
          <w:szCs w:val="22"/>
        </w:rPr>
        <w:t xml:space="preserve">The submission </w:t>
      </w:r>
      <w:r w:rsidR="007B6496">
        <w:rPr>
          <w:rFonts w:ascii="Arial" w:hAnsi="Arial"/>
          <w:sz w:val="22"/>
          <w:szCs w:val="22"/>
        </w:rPr>
        <w:t>sought</w:t>
      </w:r>
      <w:r>
        <w:rPr>
          <w:rFonts w:ascii="Arial" w:hAnsi="Arial"/>
          <w:sz w:val="22"/>
          <w:szCs w:val="22"/>
        </w:rPr>
        <w:t xml:space="preserve"> the </w:t>
      </w:r>
      <w:r w:rsidR="00BD417F">
        <w:rPr>
          <w:rFonts w:ascii="Arial" w:hAnsi="Arial"/>
          <w:sz w:val="22"/>
          <w:szCs w:val="22"/>
        </w:rPr>
        <w:t>same restriction as for the existing 20mg/mL listing</w:t>
      </w:r>
      <w:r>
        <w:rPr>
          <w:rFonts w:ascii="Arial" w:hAnsi="Arial"/>
          <w:sz w:val="22"/>
          <w:szCs w:val="22"/>
        </w:rPr>
        <w:t xml:space="preserve">: </w:t>
      </w:r>
    </w:p>
    <w:p w:rsidR="0077267E" w:rsidRDefault="0077267E" w:rsidP="0077267E">
      <w:pPr>
        <w:pStyle w:val="ListParagraph"/>
        <w:jc w:val="both"/>
        <w:rPr>
          <w:rFonts w:ascii="Arial" w:hAnsi="Arial"/>
          <w:b/>
          <w:color w:val="FF00FF"/>
          <w:sz w:val="22"/>
          <w:szCs w:val="22"/>
        </w:rPr>
      </w:pPr>
    </w:p>
    <w:p w:rsidR="0077267E" w:rsidRPr="004412AD" w:rsidRDefault="0077267E" w:rsidP="0077267E">
      <w:pPr>
        <w:pStyle w:val="ListParagraph"/>
        <w:jc w:val="both"/>
        <w:rPr>
          <w:rFonts w:ascii="Arial" w:hAnsi="Arial"/>
          <w:sz w:val="22"/>
          <w:szCs w:val="22"/>
          <w:u w:val="single"/>
        </w:rPr>
      </w:pPr>
      <w:r w:rsidRPr="004412AD">
        <w:rPr>
          <w:rFonts w:ascii="Arial" w:hAnsi="Arial"/>
          <w:sz w:val="22"/>
          <w:szCs w:val="22"/>
          <w:u w:val="single"/>
        </w:rPr>
        <w:t>Authority Required</w:t>
      </w:r>
    </w:p>
    <w:p w:rsidR="0077267E" w:rsidRPr="004412AD" w:rsidRDefault="0077267E" w:rsidP="0077267E">
      <w:pPr>
        <w:pStyle w:val="ListParagraph"/>
        <w:jc w:val="both"/>
        <w:rPr>
          <w:rFonts w:ascii="Arial" w:hAnsi="Arial"/>
          <w:sz w:val="22"/>
          <w:szCs w:val="22"/>
        </w:rPr>
      </w:pPr>
      <w:r w:rsidRPr="004412AD">
        <w:rPr>
          <w:rFonts w:ascii="Arial" w:hAnsi="Arial"/>
          <w:sz w:val="22"/>
          <w:szCs w:val="22"/>
        </w:rPr>
        <w:t>Initial treatment of clinically definite relapsing-remitting multiple sclerosis in ambulatory (without assistance or support) patients who have experienced at least two documented attacks of neurological dysfunction, believed to be due to the multiple sclerosis, in the preceding two years.  The diagnosis must be confirmed by magnetic resonance imaging of the brain and/or spinal cord and the date of the scan included in the authority application, unless the authority application is accompanied by written certification provided by a radiologist that an MRI scan is contraindicated, because of the risk of physical (not psychological) injury to the patient.  The authority will be limited to the maximum quantity and number of repeats indicated in the Schedule.</w:t>
      </w:r>
    </w:p>
    <w:p w:rsidR="0077267E" w:rsidRPr="004412AD" w:rsidRDefault="0077267E" w:rsidP="0077267E">
      <w:pPr>
        <w:pStyle w:val="ListParagraph"/>
        <w:jc w:val="both"/>
        <w:rPr>
          <w:rFonts w:ascii="Arial" w:hAnsi="Arial"/>
          <w:sz w:val="22"/>
          <w:szCs w:val="22"/>
        </w:rPr>
      </w:pPr>
    </w:p>
    <w:p w:rsidR="0077267E" w:rsidRPr="004412AD" w:rsidRDefault="0077267E" w:rsidP="0077267E">
      <w:pPr>
        <w:pStyle w:val="ListParagraph"/>
        <w:jc w:val="both"/>
        <w:rPr>
          <w:rFonts w:ascii="Arial" w:hAnsi="Arial"/>
          <w:sz w:val="22"/>
          <w:szCs w:val="22"/>
          <w:u w:val="single"/>
        </w:rPr>
      </w:pPr>
      <w:r w:rsidRPr="004412AD">
        <w:rPr>
          <w:rFonts w:ascii="Arial" w:hAnsi="Arial"/>
          <w:sz w:val="22"/>
          <w:szCs w:val="22"/>
          <w:u w:val="single"/>
        </w:rPr>
        <w:t>Authority Required</w:t>
      </w:r>
    </w:p>
    <w:p w:rsidR="00C7741E" w:rsidRDefault="0077267E" w:rsidP="0073726E">
      <w:pPr>
        <w:pStyle w:val="ListParagraph"/>
        <w:jc w:val="both"/>
        <w:rPr>
          <w:rFonts w:ascii="Arial" w:hAnsi="Arial"/>
          <w:sz w:val="22"/>
          <w:szCs w:val="22"/>
        </w:rPr>
      </w:pPr>
      <w:r w:rsidRPr="004412AD">
        <w:rPr>
          <w:rFonts w:ascii="Arial" w:hAnsi="Arial"/>
          <w:sz w:val="22"/>
          <w:szCs w:val="22"/>
        </w:rPr>
        <w:t>Continuing treatment of clinically definite relapsing-remitting multiple sclerosis in patients previously issued with an authority prescription for this drug who do not show continuing progression of disability while on treatment with this drug and who have demonstrated compliance with, and an ability to tolerate, this therapy.  Authorities will be limited to the maximum quantity and number of repeats indicated in the Schedule.</w:t>
      </w:r>
    </w:p>
    <w:p w:rsidR="00905A55" w:rsidRPr="00377B68" w:rsidRDefault="00905A55" w:rsidP="004412AD">
      <w:pPr>
        <w:jc w:val="both"/>
        <w:rPr>
          <w:rFonts w:ascii="Arial" w:hAnsi="Arial"/>
          <w:sz w:val="22"/>
          <w:szCs w:val="22"/>
        </w:rPr>
      </w:pPr>
    </w:p>
    <w:p w:rsidR="00905A55" w:rsidRPr="00377B68" w:rsidRDefault="00905A55" w:rsidP="004412AD">
      <w:pPr>
        <w:pStyle w:val="ListParagraph"/>
        <w:numPr>
          <w:ilvl w:val="1"/>
          <w:numId w:val="9"/>
        </w:numPr>
        <w:jc w:val="both"/>
        <w:rPr>
          <w:rFonts w:ascii="Arial" w:hAnsi="Arial"/>
          <w:sz w:val="22"/>
          <w:szCs w:val="22"/>
        </w:rPr>
      </w:pPr>
      <w:r w:rsidRPr="00377B68">
        <w:rPr>
          <w:rFonts w:ascii="Arial" w:hAnsi="Arial"/>
          <w:sz w:val="22"/>
          <w:szCs w:val="22"/>
        </w:rPr>
        <w:t xml:space="preserve">The </w:t>
      </w:r>
      <w:r w:rsidR="003E3F09" w:rsidRPr="00377B68">
        <w:rPr>
          <w:rFonts w:ascii="Arial" w:hAnsi="Arial"/>
          <w:sz w:val="22"/>
          <w:szCs w:val="22"/>
        </w:rPr>
        <w:t>Secretariat</w:t>
      </w:r>
      <w:r w:rsidR="007B6496">
        <w:rPr>
          <w:rFonts w:ascii="Arial" w:hAnsi="Arial"/>
          <w:sz w:val="22"/>
          <w:szCs w:val="22"/>
        </w:rPr>
        <w:t xml:space="preserve"> </w:t>
      </w:r>
      <w:r w:rsidR="003E3F09" w:rsidRPr="00377B68">
        <w:rPr>
          <w:rFonts w:ascii="Arial" w:hAnsi="Arial"/>
          <w:sz w:val="22"/>
          <w:szCs w:val="22"/>
        </w:rPr>
        <w:t xml:space="preserve">remodelled the requested </w:t>
      </w:r>
      <w:r w:rsidRPr="00377B68">
        <w:rPr>
          <w:rFonts w:ascii="Arial" w:hAnsi="Arial"/>
          <w:sz w:val="22"/>
          <w:szCs w:val="22"/>
        </w:rPr>
        <w:t xml:space="preserve">listing </w:t>
      </w:r>
      <w:r w:rsidR="003E3F09" w:rsidRPr="00377B68">
        <w:rPr>
          <w:rFonts w:ascii="Arial" w:hAnsi="Arial"/>
          <w:sz w:val="22"/>
          <w:szCs w:val="22"/>
        </w:rPr>
        <w:t>into the PharmCIS format</w:t>
      </w:r>
      <w:r w:rsidR="00E37125" w:rsidRPr="00377B68">
        <w:rPr>
          <w:rFonts w:ascii="Arial" w:hAnsi="Arial"/>
          <w:sz w:val="22"/>
          <w:szCs w:val="22"/>
        </w:rPr>
        <w:t xml:space="preserve"> to minimise duplication between the criteria and the indication</w:t>
      </w:r>
      <w:r w:rsidR="00A45512">
        <w:rPr>
          <w:rFonts w:ascii="Arial" w:hAnsi="Arial"/>
          <w:sz w:val="22"/>
          <w:szCs w:val="22"/>
        </w:rPr>
        <w:t xml:space="preserve"> (see below)</w:t>
      </w:r>
      <w:r w:rsidR="003E3F09" w:rsidRPr="00377B68">
        <w:rPr>
          <w:rFonts w:ascii="Arial" w:hAnsi="Arial"/>
          <w:sz w:val="22"/>
          <w:szCs w:val="22"/>
        </w:rPr>
        <w:t xml:space="preserve">. </w:t>
      </w:r>
      <w:r w:rsidR="000A4D64">
        <w:rPr>
          <w:rFonts w:ascii="Arial" w:hAnsi="Arial"/>
          <w:sz w:val="22"/>
          <w:szCs w:val="22"/>
        </w:rPr>
        <w:t>T</w:t>
      </w:r>
      <w:r w:rsidR="003E3F09" w:rsidRPr="00377B68">
        <w:rPr>
          <w:rFonts w:ascii="Arial" w:hAnsi="Arial"/>
          <w:sz w:val="22"/>
          <w:szCs w:val="22"/>
        </w:rPr>
        <w:t xml:space="preserve">his remodelled format </w:t>
      </w:r>
      <w:r w:rsidR="000A4D64">
        <w:rPr>
          <w:rFonts w:ascii="Arial" w:hAnsi="Arial"/>
          <w:sz w:val="22"/>
          <w:szCs w:val="22"/>
        </w:rPr>
        <w:t>will</w:t>
      </w:r>
      <w:r w:rsidR="000A4D64" w:rsidRPr="00377B68">
        <w:rPr>
          <w:rFonts w:ascii="Arial" w:hAnsi="Arial"/>
          <w:sz w:val="22"/>
          <w:szCs w:val="22"/>
        </w:rPr>
        <w:t xml:space="preserve"> </w:t>
      </w:r>
      <w:r w:rsidR="003E3F09" w:rsidRPr="00377B68">
        <w:rPr>
          <w:rFonts w:ascii="Arial" w:hAnsi="Arial"/>
          <w:sz w:val="22"/>
          <w:szCs w:val="22"/>
        </w:rPr>
        <w:t xml:space="preserve">also be applied to the </w:t>
      </w:r>
      <w:r w:rsidRPr="00377B68">
        <w:rPr>
          <w:rFonts w:ascii="Arial" w:hAnsi="Arial"/>
          <w:sz w:val="22"/>
          <w:szCs w:val="22"/>
        </w:rPr>
        <w:t>20</w:t>
      </w:r>
      <w:r w:rsidR="00415BD9" w:rsidRPr="00377B68">
        <w:rPr>
          <w:rFonts w:ascii="Arial" w:hAnsi="Arial"/>
          <w:sz w:val="22"/>
          <w:szCs w:val="22"/>
        </w:rPr>
        <w:t xml:space="preserve"> </w:t>
      </w:r>
      <w:r w:rsidRPr="00377B68">
        <w:rPr>
          <w:rFonts w:ascii="Arial" w:hAnsi="Arial"/>
          <w:sz w:val="22"/>
          <w:szCs w:val="22"/>
        </w:rPr>
        <w:t>mg/mL</w:t>
      </w:r>
      <w:r w:rsidR="003E3F09" w:rsidRPr="00377B68">
        <w:rPr>
          <w:rFonts w:ascii="Arial" w:hAnsi="Arial"/>
          <w:sz w:val="22"/>
          <w:szCs w:val="22"/>
        </w:rPr>
        <w:t xml:space="preserve"> listing</w:t>
      </w:r>
      <w:r w:rsidRPr="00377B68">
        <w:rPr>
          <w:rFonts w:ascii="Arial" w:hAnsi="Arial"/>
          <w:sz w:val="22"/>
          <w:szCs w:val="22"/>
        </w:rPr>
        <w:t>.</w:t>
      </w:r>
    </w:p>
    <w:p w:rsidR="00A45512" w:rsidRDefault="00A45512">
      <w:pPr>
        <w:rPr>
          <w:rFonts w:ascii="Arial" w:hAnsi="Arial"/>
          <w:sz w:val="22"/>
          <w:szCs w:val="22"/>
        </w:rPr>
      </w:pPr>
    </w:p>
    <w:p w:rsidR="00905A55" w:rsidRPr="00377B68" w:rsidRDefault="00905A55" w:rsidP="004412AD">
      <w:pPr>
        <w:jc w:val="both"/>
        <w:rPr>
          <w:rFonts w:ascii="Arial" w:hAnsi="Arial"/>
          <w:sz w:val="22"/>
          <w:szCs w:val="22"/>
        </w:rPr>
      </w:pPr>
    </w:p>
    <w:p w:rsidR="00F421DB" w:rsidRPr="00552722" w:rsidRDefault="00F421DB" w:rsidP="00F421DB">
      <w:pPr>
        <w:jc w:val="both"/>
        <w:rPr>
          <w:rFonts w:ascii="Arial" w:hAnsi="Arial" w:cs="Arial"/>
          <w:sz w:val="22"/>
          <w:szCs w:val="22"/>
        </w:rPr>
      </w:pPr>
    </w:p>
    <w:tbl>
      <w:tblPr>
        <w:tblW w:w="9214" w:type="dxa"/>
        <w:tblInd w:w="108" w:type="dxa"/>
        <w:tblLayout w:type="fixed"/>
        <w:tblLook w:val="0000" w:firstRow="0" w:lastRow="0" w:firstColumn="0" w:lastColumn="0" w:noHBand="0" w:noVBand="0"/>
      </w:tblPr>
      <w:tblGrid>
        <w:gridCol w:w="1843"/>
        <w:gridCol w:w="1418"/>
        <w:gridCol w:w="567"/>
        <w:gridCol w:w="850"/>
        <w:gridCol w:w="1701"/>
        <w:gridCol w:w="1559"/>
        <w:gridCol w:w="1276"/>
      </w:tblGrid>
      <w:tr w:rsidR="0077267E" w:rsidRPr="00260CE3" w:rsidTr="00EE1596">
        <w:trPr>
          <w:cantSplit/>
          <w:trHeight w:val="471"/>
        </w:trPr>
        <w:tc>
          <w:tcPr>
            <w:tcW w:w="3261" w:type="dxa"/>
            <w:gridSpan w:val="2"/>
            <w:tcBorders>
              <w:bottom w:val="single" w:sz="4" w:space="0" w:color="auto"/>
            </w:tcBorders>
          </w:tcPr>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Max.</w:t>
            </w:r>
          </w:p>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№.of</w:t>
            </w:r>
          </w:p>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Dispensed Price for Max. Qty</w:t>
            </w:r>
          </w:p>
        </w:tc>
        <w:tc>
          <w:tcPr>
            <w:tcW w:w="2835" w:type="dxa"/>
            <w:gridSpan w:val="2"/>
            <w:tcBorders>
              <w:bottom w:val="single" w:sz="4" w:space="0" w:color="auto"/>
            </w:tcBorders>
          </w:tcPr>
          <w:p w:rsidR="0077267E" w:rsidRPr="00260CE3" w:rsidRDefault="0077267E" w:rsidP="00EE1596">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77267E" w:rsidRPr="00260CE3" w:rsidTr="00EE1596">
        <w:trPr>
          <w:cantSplit/>
          <w:trHeight w:val="577"/>
        </w:trPr>
        <w:tc>
          <w:tcPr>
            <w:tcW w:w="3261" w:type="dxa"/>
            <w:gridSpan w:val="2"/>
          </w:tcPr>
          <w:p w:rsidR="0077267E" w:rsidRDefault="0077267E" w:rsidP="00EE1596">
            <w:pPr>
              <w:keepNext/>
              <w:ind w:left="-108"/>
              <w:jc w:val="both"/>
              <w:rPr>
                <w:rFonts w:ascii="Arial Narrow" w:hAnsi="Arial Narrow" w:cs="Arial"/>
                <w:smallCaps/>
                <w:sz w:val="20"/>
                <w:szCs w:val="20"/>
              </w:rPr>
            </w:pPr>
            <w:r>
              <w:rPr>
                <w:rFonts w:ascii="Arial Narrow" w:hAnsi="Arial Narrow" w:cs="Arial"/>
                <w:smallCaps/>
                <w:sz w:val="20"/>
                <w:szCs w:val="20"/>
              </w:rPr>
              <w:t xml:space="preserve">GLATIRAMER </w:t>
            </w:r>
            <w:r w:rsidRPr="00F62952">
              <w:rPr>
                <w:rFonts w:ascii="Arial Narrow" w:hAnsi="Arial Narrow" w:cs="Arial"/>
                <w:smallCaps/>
                <w:sz w:val="20"/>
                <w:szCs w:val="20"/>
              </w:rPr>
              <w:t xml:space="preserve">ACETATE </w:t>
            </w:r>
          </w:p>
          <w:p w:rsidR="0077267E" w:rsidRPr="00260CE3" w:rsidRDefault="0077267E" w:rsidP="00EE1596">
            <w:pPr>
              <w:keepNext/>
              <w:ind w:left="-108"/>
              <w:jc w:val="both"/>
              <w:rPr>
                <w:rFonts w:ascii="Arial Narrow" w:hAnsi="Arial Narrow" w:cs="Arial"/>
                <w:sz w:val="20"/>
                <w:szCs w:val="20"/>
              </w:rPr>
            </w:pPr>
            <w:r>
              <w:rPr>
                <w:rFonts w:ascii="Arial Narrow" w:hAnsi="Arial Narrow" w:cs="Arial"/>
                <w:sz w:val="20"/>
                <w:szCs w:val="20"/>
              </w:rPr>
              <w:t>40 mg/mL injection, 12</w:t>
            </w:r>
          </w:p>
        </w:tc>
        <w:tc>
          <w:tcPr>
            <w:tcW w:w="567" w:type="dxa"/>
          </w:tcPr>
          <w:p w:rsidR="0077267E" w:rsidRPr="00260CE3" w:rsidRDefault="0077267E" w:rsidP="00EE1596">
            <w:pPr>
              <w:keepNext/>
              <w:ind w:left="-108"/>
              <w:jc w:val="both"/>
              <w:rPr>
                <w:rFonts w:ascii="Arial Narrow" w:hAnsi="Arial Narrow" w:cs="Arial"/>
                <w:sz w:val="20"/>
                <w:szCs w:val="20"/>
              </w:rPr>
            </w:pPr>
          </w:p>
          <w:p w:rsidR="0077267E" w:rsidRPr="00260CE3" w:rsidRDefault="0077267E" w:rsidP="00EE1596">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77267E" w:rsidRPr="00260CE3" w:rsidRDefault="0077267E" w:rsidP="00EE1596">
            <w:pPr>
              <w:keepNext/>
              <w:ind w:left="-108"/>
              <w:jc w:val="both"/>
              <w:rPr>
                <w:rFonts w:ascii="Arial Narrow" w:hAnsi="Arial Narrow" w:cs="Arial"/>
                <w:sz w:val="20"/>
                <w:szCs w:val="20"/>
              </w:rPr>
            </w:pPr>
          </w:p>
          <w:p w:rsidR="0077267E" w:rsidRPr="00260CE3" w:rsidRDefault="0077267E" w:rsidP="00EE1596">
            <w:pPr>
              <w:keepNext/>
              <w:ind w:left="-108"/>
              <w:jc w:val="both"/>
              <w:rPr>
                <w:rFonts w:ascii="Arial Narrow" w:hAnsi="Arial Narrow" w:cs="Arial"/>
                <w:sz w:val="20"/>
                <w:szCs w:val="20"/>
              </w:rPr>
            </w:pPr>
            <w:r>
              <w:rPr>
                <w:rFonts w:ascii="Arial Narrow" w:hAnsi="Arial Narrow" w:cs="Arial"/>
                <w:sz w:val="20"/>
                <w:szCs w:val="20"/>
              </w:rPr>
              <w:t>5</w:t>
            </w:r>
          </w:p>
        </w:tc>
        <w:tc>
          <w:tcPr>
            <w:tcW w:w="1701" w:type="dxa"/>
          </w:tcPr>
          <w:p w:rsidR="0077267E" w:rsidRPr="00260CE3" w:rsidRDefault="0077267E" w:rsidP="00EE1596">
            <w:pPr>
              <w:keepNext/>
              <w:ind w:left="-108"/>
              <w:jc w:val="both"/>
              <w:rPr>
                <w:rFonts w:ascii="Arial Narrow" w:hAnsi="Arial Narrow" w:cs="Arial"/>
                <w:sz w:val="20"/>
                <w:szCs w:val="20"/>
              </w:rPr>
            </w:pPr>
          </w:p>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w:t>
            </w:r>
            <w:r w:rsidRPr="00185693">
              <w:rPr>
                <w:rFonts w:ascii="Arial Narrow" w:hAnsi="Arial Narrow" w:cs="Arial"/>
                <w:sz w:val="20"/>
                <w:szCs w:val="20"/>
              </w:rPr>
              <w:t>1,092.99</w:t>
            </w:r>
          </w:p>
        </w:tc>
        <w:tc>
          <w:tcPr>
            <w:tcW w:w="1559" w:type="dxa"/>
          </w:tcPr>
          <w:p w:rsidR="0077267E" w:rsidRPr="00260CE3" w:rsidRDefault="0077267E" w:rsidP="00EE1596">
            <w:pPr>
              <w:keepNext/>
              <w:jc w:val="both"/>
              <w:rPr>
                <w:rFonts w:ascii="Arial Narrow" w:hAnsi="Arial Narrow" w:cs="Arial"/>
                <w:sz w:val="20"/>
                <w:szCs w:val="20"/>
              </w:rPr>
            </w:pPr>
            <w:r>
              <w:rPr>
                <w:rFonts w:ascii="Arial Narrow" w:hAnsi="Arial Narrow" w:cs="Arial"/>
                <w:sz w:val="20"/>
                <w:szCs w:val="20"/>
              </w:rPr>
              <w:t>Copaxone</w:t>
            </w:r>
          </w:p>
        </w:tc>
        <w:tc>
          <w:tcPr>
            <w:tcW w:w="1276" w:type="dxa"/>
          </w:tcPr>
          <w:p w:rsidR="0077267E" w:rsidRPr="00260CE3" w:rsidRDefault="0077267E" w:rsidP="00EE1596">
            <w:pPr>
              <w:keepNext/>
              <w:jc w:val="both"/>
              <w:rPr>
                <w:rFonts w:ascii="Arial Narrow" w:hAnsi="Arial Narrow" w:cs="Arial"/>
                <w:sz w:val="20"/>
                <w:szCs w:val="20"/>
              </w:rPr>
            </w:pPr>
            <w:r>
              <w:rPr>
                <w:rFonts w:ascii="Arial Narrow" w:hAnsi="Arial Narrow" w:cs="Arial"/>
                <w:sz w:val="20"/>
                <w:szCs w:val="20"/>
              </w:rPr>
              <w:t>bioCSL</w:t>
            </w:r>
          </w:p>
        </w:tc>
      </w:tr>
      <w:tr w:rsidR="0077267E" w:rsidRPr="00260CE3" w:rsidTr="00EE1596">
        <w:trPr>
          <w:cantSplit/>
          <w:trHeight w:val="360"/>
        </w:trPr>
        <w:tc>
          <w:tcPr>
            <w:tcW w:w="9214" w:type="dxa"/>
            <w:gridSpan w:val="7"/>
            <w:tcBorders>
              <w:bottom w:val="single" w:sz="4" w:space="0" w:color="auto"/>
            </w:tcBorders>
          </w:tcPr>
          <w:p w:rsidR="0077267E" w:rsidRPr="00260CE3" w:rsidRDefault="0077267E" w:rsidP="00EE1596">
            <w:pPr>
              <w:jc w:val="both"/>
              <w:rPr>
                <w:rFonts w:ascii="Arial Narrow" w:hAnsi="Arial Narrow" w:cs="Arial"/>
                <w:sz w:val="20"/>
                <w:szCs w:val="20"/>
              </w:rPr>
            </w:pP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 xml:space="preserve">Category / </w:t>
            </w:r>
          </w:p>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Program</w:t>
            </w:r>
          </w:p>
        </w:tc>
        <w:tc>
          <w:tcPr>
            <w:tcW w:w="7371" w:type="dxa"/>
            <w:gridSpan w:val="6"/>
            <w:tcBorders>
              <w:top w:val="single" w:sz="4" w:space="0" w:color="auto"/>
              <w:left w:val="single" w:sz="4" w:space="0" w:color="auto"/>
              <w:bottom w:val="single" w:sz="4" w:space="0" w:color="auto"/>
              <w:right w:val="single" w:sz="4" w:space="0" w:color="auto"/>
            </w:tcBorders>
          </w:tcPr>
          <w:p w:rsidR="0077267E" w:rsidRPr="00260CE3" w:rsidRDefault="0077267E" w:rsidP="00EE1596">
            <w:pPr>
              <w:rPr>
                <w:rFonts w:ascii="Arial Narrow" w:hAnsi="Arial Narrow" w:cs="Arial"/>
                <w:sz w:val="20"/>
                <w:szCs w:val="20"/>
              </w:rPr>
            </w:pPr>
            <w:r w:rsidRPr="00260CE3">
              <w:rPr>
                <w:rFonts w:ascii="Arial Narrow" w:hAnsi="Arial Narrow" w:cs="Arial"/>
                <w:sz w:val="20"/>
                <w:szCs w:val="20"/>
              </w:rPr>
              <w:t>GENERAL – General Schedule (Code GE)</w:t>
            </w: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Prescriber type:</w:t>
            </w:r>
          </w:p>
        </w:tc>
        <w:tc>
          <w:tcPr>
            <w:tcW w:w="7371" w:type="dxa"/>
            <w:gridSpan w:val="6"/>
            <w:tcBorders>
              <w:top w:val="single" w:sz="4" w:space="0" w:color="auto"/>
              <w:left w:val="single" w:sz="4" w:space="0" w:color="auto"/>
              <w:bottom w:val="single" w:sz="4" w:space="0" w:color="auto"/>
              <w:right w:val="single" w:sz="4" w:space="0" w:color="auto"/>
            </w:tcBorders>
          </w:tcPr>
          <w:p w:rsidR="0077267E" w:rsidRPr="00260CE3" w:rsidRDefault="0077267E" w:rsidP="00EE1596">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77267E" w:rsidRPr="00260CE3" w:rsidRDefault="0077267E" w:rsidP="00EE1596">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Episodicity:</w:t>
            </w:r>
          </w:p>
        </w:tc>
        <w:tc>
          <w:tcPr>
            <w:tcW w:w="7371" w:type="dxa"/>
            <w:gridSpan w:val="6"/>
            <w:tcBorders>
              <w:top w:val="single" w:sz="4" w:space="0" w:color="auto"/>
              <w:left w:val="single" w:sz="4" w:space="0" w:color="auto"/>
              <w:bottom w:val="single" w:sz="4" w:space="0" w:color="auto"/>
              <w:right w:val="single" w:sz="4" w:space="0" w:color="auto"/>
            </w:tcBorders>
          </w:tcPr>
          <w:p w:rsidR="0077267E" w:rsidRPr="00260CE3" w:rsidRDefault="0077267E" w:rsidP="00EE1596">
            <w:pPr>
              <w:rPr>
                <w:rFonts w:ascii="Arial Narrow" w:hAnsi="Arial Narrow" w:cs="Arial"/>
                <w:sz w:val="20"/>
                <w:szCs w:val="20"/>
              </w:rPr>
            </w:pP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Severity:</w:t>
            </w:r>
          </w:p>
        </w:tc>
        <w:tc>
          <w:tcPr>
            <w:tcW w:w="7371" w:type="dxa"/>
            <w:gridSpan w:val="6"/>
            <w:tcBorders>
              <w:top w:val="single" w:sz="4" w:space="0" w:color="auto"/>
              <w:left w:val="single" w:sz="4" w:space="0" w:color="auto"/>
              <w:bottom w:val="single" w:sz="4" w:space="0" w:color="auto"/>
              <w:right w:val="single" w:sz="4" w:space="0" w:color="auto"/>
            </w:tcBorders>
          </w:tcPr>
          <w:p w:rsidR="0077267E" w:rsidRPr="00260CE3" w:rsidRDefault="0077267E" w:rsidP="00EE1596">
            <w:pPr>
              <w:rPr>
                <w:rFonts w:ascii="Arial Narrow" w:hAnsi="Arial Narrow" w:cs="Arial"/>
                <w:sz w:val="20"/>
                <w:szCs w:val="20"/>
              </w:rPr>
            </w:pP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Pr>
          <w:p w:rsidR="0077267E" w:rsidRPr="00260CE3" w:rsidRDefault="009D5B99" w:rsidP="0091590C">
            <w:pPr>
              <w:rPr>
                <w:rFonts w:ascii="Arial Narrow" w:hAnsi="Arial Narrow" w:cs="Arial"/>
                <w:sz w:val="20"/>
                <w:szCs w:val="20"/>
              </w:rPr>
            </w:pPr>
            <w:r>
              <w:rPr>
                <w:rFonts w:ascii="Arial Narrow" w:hAnsi="Arial Narrow" w:cs="Arial"/>
                <w:sz w:val="20"/>
                <w:szCs w:val="20"/>
              </w:rPr>
              <w:t>M</w:t>
            </w:r>
            <w:r w:rsidRPr="00B17683">
              <w:rPr>
                <w:rFonts w:ascii="Arial Narrow" w:hAnsi="Arial Narrow" w:cs="Arial"/>
                <w:sz w:val="20"/>
                <w:szCs w:val="20"/>
              </w:rPr>
              <w:t>ultiple sclerosis</w:t>
            </w: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lastRenderedPageBreak/>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77267E" w:rsidRPr="00260CE3" w:rsidRDefault="00393994" w:rsidP="00EE1596">
            <w:pPr>
              <w:rPr>
                <w:rFonts w:ascii="Arial Narrow" w:hAnsi="Arial Narrow" w:cs="Arial"/>
                <w:sz w:val="20"/>
                <w:szCs w:val="20"/>
              </w:rPr>
            </w:pPr>
            <w:r>
              <w:rPr>
                <w:rFonts w:ascii="Arial Narrow" w:hAnsi="Arial Narrow" w:cs="Arial"/>
                <w:sz w:val="20"/>
                <w:szCs w:val="20"/>
              </w:rPr>
              <w:t>M</w:t>
            </w:r>
            <w:r w:rsidR="0077267E" w:rsidRPr="00B17683">
              <w:rPr>
                <w:rFonts w:ascii="Arial Narrow" w:hAnsi="Arial Narrow" w:cs="Arial"/>
                <w:sz w:val="20"/>
                <w:szCs w:val="20"/>
              </w:rPr>
              <w:t>ultiple sclerosis</w:t>
            </w: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6679FD" w:rsidRDefault="0077267E" w:rsidP="00EE1596">
            <w:pPr>
              <w:jc w:val="both"/>
              <w:rPr>
                <w:rFonts w:ascii="Arial Narrow" w:hAnsi="Arial Narrow" w:cs="Arial"/>
                <w:b/>
                <w:sz w:val="20"/>
                <w:szCs w:val="20"/>
              </w:rPr>
            </w:pPr>
            <w:r w:rsidRPr="00260CE3">
              <w:rPr>
                <w:rFonts w:ascii="Arial Narrow" w:hAnsi="Arial Narrow" w:cs="Arial"/>
                <w:b/>
                <w:sz w:val="20"/>
                <w:szCs w:val="20"/>
              </w:rPr>
              <w:t>Treatment phase:</w:t>
            </w:r>
          </w:p>
        </w:tc>
        <w:tc>
          <w:tcPr>
            <w:tcW w:w="7371" w:type="dxa"/>
            <w:gridSpan w:val="6"/>
            <w:tcBorders>
              <w:top w:val="single" w:sz="4" w:space="0" w:color="auto"/>
              <w:left w:val="single" w:sz="4" w:space="0" w:color="auto"/>
              <w:bottom w:val="single" w:sz="4" w:space="0" w:color="auto"/>
              <w:right w:val="single" w:sz="4" w:space="0" w:color="auto"/>
            </w:tcBorders>
          </w:tcPr>
          <w:p w:rsidR="0077267E" w:rsidRPr="00260CE3" w:rsidRDefault="0077267E" w:rsidP="00EE1596">
            <w:pPr>
              <w:rPr>
                <w:rFonts w:ascii="Arial Narrow" w:hAnsi="Arial Narrow" w:cs="Arial"/>
                <w:sz w:val="20"/>
                <w:szCs w:val="20"/>
              </w:rPr>
            </w:pPr>
            <w:r>
              <w:rPr>
                <w:rFonts w:ascii="Arial Narrow" w:hAnsi="Arial Narrow" w:cs="Arial"/>
                <w:sz w:val="20"/>
                <w:szCs w:val="20"/>
              </w:rPr>
              <w:t xml:space="preserve">Initial </w:t>
            </w: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77267E" w:rsidRPr="00260CE3" w:rsidRDefault="0077267E" w:rsidP="00EE1596">
            <w:pPr>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77267E" w:rsidRPr="00106BCF" w:rsidRDefault="0077267E" w:rsidP="00EE1596">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77267E" w:rsidRPr="00106BCF" w:rsidRDefault="0077267E" w:rsidP="00EE159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77267E" w:rsidRPr="00106BCF" w:rsidRDefault="0077267E" w:rsidP="00EE159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77267E" w:rsidRPr="00106BCF" w:rsidRDefault="0077267E" w:rsidP="00EE159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77267E" w:rsidRPr="00106BCF" w:rsidRDefault="0077267E" w:rsidP="00EE1596">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0" w:name="Check5"/>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bookmarkEnd w:id="0"/>
            <w:r w:rsidRPr="00106BCF">
              <w:rPr>
                <w:rFonts w:ascii="Arial Narrow" w:hAnsi="Arial Narrow" w:cs="Arial"/>
                <w:sz w:val="20"/>
                <w:szCs w:val="20"/>
              </w:rPr>
              <w:t>Authority Required - Electronic</w:t>
            </w:r>
          </w:p>
          <w:p w:rsidR="0077267E" w:rsidRPr="00260CE3" w:rsidRDefault="0077267E" w:rsidP="00EE1596">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Clinical criteria:</w:t>
            </w:r>
          </w:p>
          <w:p w:rsidR="0077267E" w:rsidRPr="00260CE3" w:rsidRDefault="0077267E" w:rsidP="00EE1596">
            <w:pPr>
              <w:jc w:val="both"/>
              <w:rPr>
                <w:rFonts w:ascii="Arial Narrow" w:hAnsi="Arial Narrow" w:cs="Arial"/>
                <w:i/>
                <w:sz w:val="20"/>
                <w:szCs w:val="20"/>
              </w:rPr>
            </w:pPr>
          </w:p>
          <w:p w:rsidR="0077267E" w:rsidRPr="00260CE3" w:rsidRDefault="0077267E" w:rsidP="006679FD">
            <w:pPr>
              <w:jc w:val="both"/>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77267E" w:rsidRDefault="0077267E" w:rsidP="00EE1596">
            <w:pPr>
              <w:rPr>
                <w:rFonts w:ascii="Arial Narrow" w:hAnsi="Arial Narrow" w:cs="Arial"/>
                <w:sz w:val="20"/>
                <w:szCs w:val="20"/>
              </w:rPr>
            </w:pPr>
            <w:r w:rsidRPr="005D6AC7">
              <w:rPr>
                <w:rFonts w:ascii="Arial Narrow" w:hAnsi="Arial Narrow" w:cs="Arial"/>
                <w:sz w:val="20"/>
                <w:szCs w:val="20"/>
              </w:rPr>
              <w:t xml:space="preserve">Patient must be ambulatory </w:t>
            </w:r>
            <w:r>
              <w:rPr>
                <w:rFonts w:ascii="Arial Narrow" w:hAnsi="Arial Narrow" w:cs="Arial"/>
                <w:sz w:val="20"/>
                <w:szCs w:val="20"/>
              </w:rPr>
              <w:t>(without assistance or support),</w:t>
            </w:r>
          </w:p>
          <w:p w:rsidR="0077267E" w:rsidRDefault="0077267E" w:rsidP="00EE1596">
            <w:pPr>
              <w:rPr>
                <w:rFonts w:ascii="Arial Narrow" w:hAnsi="Arial Narrow" w:cs="Arial"/>
                <w:sz w:val="20"/>
                <w:szCs w:val="20"/>
              </w:rPr>
            </w:pPr>
          </w:p>
          <w:p w:rsidR="0077267E" w:rsidRDefault="0077267E" w:rsidP="00EE1596">
            <w:pPr>
              <w:rPr>
                <w:rFonts w:ascii="Arial Narrow" w:hAnsi="Arial Narrow" w:cs="Arial"/>
                <w:sz w:val="20"/>
                <w:szCs w:val="20"/>
              </w:rPr>
            </w:pPr>
            <w:r>
              <w:rPr>
                <w:rFonts w:ascii="Arial Narrow" w:hAnsi="Arial Narrow" w:cs="Arial"/>
                <w:sz w:val="20"/>
                <w:szCs w:val="20"/>
              </w:rPr>
              <w:t>AND</w:t>
            </w:r>
          </w:p>
          <w:p w:rsidR="0077267E" w:rsidRDefault="0077267E" w:rsidP="00EE1596">
            <w:pPr>
              <w:rPr>
                <w:rFonts w:ascii="Arial Narrow" w:hAnsi="Arial Narrow" w:cs="Arial"/>
                <w:sz w:val="20"/>
                <w:szCs w:val="20"/>
              </w:rPr>
            </w:pPr>
          </w:p>
          <w:p w:rsidR="0077267E" w:rsidRDefault="0077267E" w:rsidP="00EE1596">
            <w:pPr>
              <w:rPr>
                <w:rFonts w:ascii="Arial Narrow" w:hAnsi="Arial Narrow" w:cs="Arial"/>
                <w:sz w:val="20"/>
                <w:szCs w:val="20"/>
              </w:rPr>
            </w:pPr>
            <w:r w:rsidRPr="0077267E">
              <w:rPr>
                <w:rFonts w:ascii="Arial Narrow" w:hAnsi="Arial Narrow" w:cs="Arial"/>
                <w:sz w:val="20"/>
                <w:szCs w:val="20"/>
              </w:rPr>
              <w:t>Patient must have experienced at least 2 documented attacks of neurological dysfunction, believed to be due to the multiple scle</w:t>
            </w:r>
            <w:r>
              <w:rPr>
                <w:rFonts w:ascii="Arial Narrow" w:hAnsi="Arial Narrow" w:cs="Arial"/>
                <w:sz w:val="20"/>
                <w:szCs w:val="20"/>
              </w:rPr>
              <w:t>rosis, in the preceding 2 years,</w:t>
            </w:r>
          </w:p>
          <w:p w:rsidR="0077267E" w:rsidRDefault="0077267E" w:rsidP="00EE1596">
            <w:pPr>
              <w:rPr>
                <w:rFonts w:ascii="Arial Narrow" w:hAnsi="Arial Narrow" w:cs="Arial"/>
                <w:sz w:val="20"/>
                <w:szCs w:val="20"/>
              </w:rPr>
            </w:pPr>
          </w:p>
          <w:p w:rsidR="0077267E" w:rsidRDefault="0077267E" w:rsidP="00EE1596">
            <w:pPr>
              <w:rPr>
                <w:rFonts w:ascii="Arial Narrow" w:hAnsi="Arial Narrow" w:cs="Arial"/>
                <w:sz w:val="20"/>
                <w:szCs w:val="20"/>
              </w:rPr>
            </w:pPr>
            <w:r>
              <w:rPr>
                <w:rFonts w:ascii="Arial Narrow" w:hAnsi="Arial Narrow" w:cs="Arial"/>
                <w:sz w:val="20"/>
                <w:szCs w:val="20"/>
              </w:rPr>
              <w:t>AND</w:t>
            </w:r>
          </w:p>
          <w:p w:rsidR="0077267E" w:rsidRDefault="0077267E" w:rsidP="00EE1596">
            <w:pPr>
              <w:rPr>
                <w:rFonts w:ascii="Arial Narrow" w:hAnsi="Arial Narrow" w:cs="Arial"/>
                <w:sz w:val="20"/>
                <w:szCs w:val="20"/>
              </w:rPr>
            </w:pPr>
          </w:p>
          <w:p w:rsidR="0077267E" w:rsidRDefault="0077267E" w:rsidP="00EE1596">
            <w:pPr>
              <w:rPr>
                <w:rFonts w:ascii="Arial Narrow" w:hAnsi="Arial Narrow" w:cs="Arial"/>
                <w:sz w:val="20"/>
                <w:szCs w:val="20"/>
              </w:rPr>
            </w:pPr>
            <w:r w:rsidRPr="0077267E">
              <w:rPr>
                <w:rFonts w:ascii="Arial Narrow" w:hAnsi="Arial Narrow" w:cs="Arial"/>
                <w:sz w:val="20"/>
                <w:szCs w:val="20"/>
              </w:rPr>
              <w:t>The condition must be diagnosed as clinically definite relapsing-remitting multiple sclerosis by magnetic resonance imaging of the brain and/or spinal cord</w:t>
            </w:r>
            <w:r>
              <w:rPr>
                <w:rFonts w:ascii="Arial Narrow" w:hAnsi="Arial Narrow" w:cs="Arial"/>
                <w:sz w:val="20"/>
                <w:szCs w:val="20"/>
              </w:rPr>
              <w:t>,</w:t>
            </w:r>
          </w:p>
          <w:p w:rsidR="00B81EFE" w:rsidRDefault="00B81EFE" w:rsidP="00B81EFE">
            <w:pPr>
              <w:rPr>
                <w:rFonts w:ascii="Arial Narrow" w:hAnsi="Arial Narrow" w:cs="Arial"/>
                <w:sz w:val="20"/>
                <w:szCs w:val="20"/>
              </w:rPr>
            </w:pPr>
          </w:p>
          <w:p w:rsidR="00B81EFE" w:rsidRDefault="00B81EFE" w:rsidP="00B81EFE">
            <w:pPr>
              <w:rPr>
                <w:rFonts w:ascii="Arial Narrow" w:hAnsi="Arial Narrow" w:cs="Arial"/>
                <w:sz w:val="20"/>
                <w:szCs w:val="20"/>
              </w:rPr>
            </w:pPr>
            <w:r>
              <w:rPr>
                <w:rFonts w:ascii="Arial Narrow" w:hAnsi="Arial Narrow" w:cs="Arial"/>
                <w:sz w:val="20"/>
                <w:szCs w:val="20"/>
              </w:rPr>
              <w:t>AND</w:t>
            </w:r>
          </w:p>
          <w:p w:rsidR="00B81EFE" w:rsidRDefault="00B81EFE" w:rsidP="00B81EFE">
            <w:pPr>
              <w:rPr>
                <w:rFonts w:ascii="Arial Narrow" w:hAnsi="Arial Narrow" w:cs="Arial"/>
                <w:sz w:val="20"/>
                <w:szCs w:val="20"/>
              </w:rPr>
            </w:pPr>
          </w:p>
          <w:p w:rsidR="0077267E" w:rsidRDefault="00B81EFE" w:rsidP="00B81EFE">
            <w:pPr>
              <w:rPr>
                <w:rFonts w:ascii="Arial Narrow" w:hAnsi="Arial Narrow" w:cs="Arial"/>
                <w:sz w:val="20"/>
                <w:szCs w:val="20"/>
              </w:rPr>
            </w:pPr>
            <w:r w:rsidRPr="00B81EFE">
              <w:rPr>
                <w:rFonts w:ascii="Arial Narrow" w:hAnsi="Arial Narrow" w:cs="Arial"/>
                <w:sz w:val="20"/>
                <w:szCs w:val="20"/>
              </w:rPr>
              <w:t>Where applicable, the date of the magnetic resonance imaging scan must be provided with the authority application</w:t>
            </w:r>
            <w:r>
              <w:rPr>
                <w:rFonts w:ascii="Arial Narrow" w:hAnsi="Arial Narrow" w:cs="Arial"/>
                <w:sz w:val="20"/>
                <w:szCs w:val="20"/>
              </w:rPr>
              <w:t>,</w:t>
            </w:r>
          </w:p>
          <w:p w:rsidR="00B81EFE" w:rsidRDefault="00B81EFE" w:rsidP="00EE1596">
            <w:pPr>
              <w:rPr>
                <w:rFonts w:ascii="Arial Narrow" w:hAnsi="Arial Narrow" w:cs="Arial"/>
                <w:sz w:val="20"/>
                <w:szCs w:val="20"/>
              </w:rPr>
            </w:pPr>
          </w:p>
          <w:p w:rsidR="0077267E" w:rsidRDefault="0077267E" w:rsidP="00EE1596">
            <w:pPr>
              <w:rPr>
                <w:rFonts w:ascii="Arial Narrow" w:hAnsi="Arial Narrow" w:cs="Arial"/>
                <w:sz w:val="20"/>
                <w:szCs w:val="20"/>
              </w:rPr>
            </w:pPr>
            <w:r>
              <w:rPr>
                <w:rFonts w:ascii="Arial Narrow" w:hAnsi="Arial Narrow" w:cs="Arial"/>
                <w:sz w:val="20"/>
                <w:szCs w:val="20"/>
              </w:rPr>
              <w:t>OR</w:t>
            </w:r>
          </w:p>
          <w:p w:rsidR="0077267E" w:rsidRDefault="0077267E" w:rsidP="00EE1596">
            <w:pPr>
              <w:rPr>
                <w:rFonts w:ascii="Arial Narrow" w:hAnsi="Arial Narrow" w:cs="Arial"/>
                <w:sz w:val="20"/>
                <w:szCs w:val="20"/>
              </w:rPr>
            </w:pPr>
          </w:p>
          <w:p w:rsidR="0077267E" w:rsidRPr="00260CE3" w:rsidRDefault="0077267E" w:rsidP="00B81EFE">
            <w:pPr>
              <w:rPr>
                <w:rFonts w:ascii="Arial Narrow" w:hAnsi="Arial Narrow" w:cs="Arial"/>
                <w:sz w:val="20"/>
                <w:szCs w:val="20"/>
              </w:rPr>
            </w:pPr>
            <w:r w:rsidRPr="0077267E">
              <w:rPr>
                <w:rFonts w:ascii="Arial Narrow" w:hAnsi="Arial Narrow" w:cs="Arial"/>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w:t>
            </w:r>
            <w:r w:rsidR="00B81EFE">
              <w:rPr>
                <w:rFonts w:ascii="Arial Narrow" w:hAnsi="Arial Narrow" w:cs="Arial"/>
                <w:sz w:val="20"/>
                <w:szCs w:val="20"/>
              </w:rPr>
              <w:t>ological) injury to the patient.</w:t>
            </w:r>
          </w:p>
          <w:p w:rsidR="0077267E" w:rsidRPr="00260CE3" w:rsidRDefault="0077267E" w:rsidP="00EE1596">
            <w:pPr>
              <w:jc w:val="both"/>
              <w:rPr>
                <w:rFonts w:ascii="Arial Narrow" w:hAnsi="Arial Narrow" w:cs="Arial"/>
                <w:sz w:val="20"/>
                <w:szCs w:val="20"/>
              </w:rPr>
            </w:pP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Administrative Advice</w:t>
            </w:r>
          </w:p>
          <w:p w:rsidR="0077267E" w:rsidRPr="00260CE3" w:rsidRDefault="0077267E" w:rsidP="006679FD">
            <w:pPr>
              <w:jc w:val="both"/>
              <w:rPr>
                <w:rFonts w:ascii="Arial Narrow" w:hAnsi="Arial Narrow" w:cs="Arial"/>
                <w:i/>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77267E" w:rsidRPr="0077267E" w:rsidRDefault="0077267E" w:rsidP="00EE1596">
            <w:pPr>
              <w:rPr>
                <w:rFonts w:ascii="Arial Narrow" w:hAnsi="Arial Narrow" w:cs="Arial"/>
                <w:sz w:val="20"/>
                <w:szCs w:val="20"/>
              </w:rPr>
            </w:pPr>
            <w:r w:rsidRPr="0077267E">
              <w:rPr>
                <w:rFonts w:ascii="Arial Narrow" w:hAnsi="Arial Narrow" w:cs="Arial"/>
                <w:sz w:val="20"/>
                <w:szCs w:val="20"/>
              </w:rPr>
              <w:t>No increase in the maximum number of repeats may be authorised.</w:t>
            </w:r>
          </w:p>
          <w:p w:rsidR="0077267E" w:rsidRPr="0077267E" w:rsidRDefault="0077267E" w:rsidP="00EE1596">
            <w:pPr>
              <w:rPr>
                <w:rFonts w:ascii="Arial Narrow" w:hAnsi="Arial Narrow" w:cs="Arial"/>
                <w:sz w:val="20"/>
                <w:szCs w:val="20"/>
              </w:rPr>
            </w:pPr>
          </w:p>
          <w:p w:rsidR="0077267E" w:rsidRPr="00260CE3" w:rsidRDefault="0077267E" w:rsidP="00EE1596">
            <w:pPr>
              <w:rPr>
                <w:rFonts w:ascii="Arial Narrow" w:hAnsi="Arial Narrow" w:cs="Arial"/>
                <w:sz w:val="20"/>
                <w:szCs w:val="20"/>
              </w:rPr>
            </w:pPr>
            <w:r w:rsidRPr="0077267E">
              <w:rPr>
                <w:rFonts w:ascii="Arial Narrow" w:hAnsi="Arial Narrow" w:cs="Arial"/>
                <w:sz w:val="20"/>
                <w:szCs w:val="20"/>
              </w:rPr>
              <w:t>No increase in the maximum quantity or number of units may be authorised.</w:t>
            </w:r>
          </w:p>
        </w:tc>
      </w:tr>
    </w:tbl>
    <w:p w:rsidR="00F421DB" w:rsidRDefault="00F421DB" w:rsidP="00F421DB">
      <w:pPr>
        <w:rPr>
          <w:rFonts w:ascii="Arial" w:hAnsi="Arial" w:cs="Arial"/>
          <w:sz w:val="22"/>
          <w:szCs w:val="22"/>
        </w:rPr>
      </w:pPr>
    </w:p>
    <w:p w:rsidR="0077267E" w:rsidRPr="00552722" w:rsidRDefault="0077267E" w:rsidP="00F421DB">
      <w:pPr>
        <w:rPr>
          <w:rFonts w:ascii="Arial" w:hAnsi="Arial" w:cs="Arial"/>
          <w:sz w:val="22"/>
          <w:szCs w:val="22"/>
        </w:rPr>
      </w:pPr>
    </w:p>
    <w:p w:rsidR="00F421DB" w:rsidRDefault="00F421DB" w:rsidP="00F421DB">
      <w:pPr>
        <w:jc w:val="both"/>
        <w:rPr>
          <w:rFonts w:ascii="Arial" w:hAnsi="Arial" w:cs="Arial"/>
          <w:sz w:val="22"/>
          <w:szCs w:val="22"/>
        </w:rPr>
      </w:pPr>
    </w:p>
    <w:tbl>
      <w:tblPr>
        <w:tblW w:w="9214" w:type="dxa"/>
        <w:tblInd w:w="108" w:type="dxa"/>
        <w:tblLayout w:type="fixed"/>
        <w:tblLook w:val="0000" w:firstRow="0" w:lastRow="0" w:firstColumn="0" w:lastColumn="0" w:noHBand="0" w:noVBand="0"/>
      </w:tblPr>
      <w:tblGrid>
        <w:gridCol w:w="1843"/>
        <w:gridCol w:w="1418"/>
        <w:gridCol w:w="567"/>
        <w:gridCol w:w="850"/>
        <w:gridCol w:w="1701"/>
        <w:gridCol w:w="1559"/>
        <w:gridCol w:w="1276"/>
      </w:tblGrid>
      <w:tr w:rsidR="0077267E" w:rsidRPr="00260CE3" w:rsidTr="00EE1596">
        <w:trPr>
          <w:cantSplit/>
          <w:trHeight w:val="471"/>
        </w:trPr>
        <w:tc>
          <w:tcPr>
            <w:tcW w:w="3261" w:type="dxa"/>
            <w:gridSpan w:val="2"/>
            <w:tcBorders>
              <w:bottom w:val="single" w:sz="4" w:space="0" w:color="auto"/>
            </w:tcBorders>
          </w:tcPr>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Max.</w:t>
            </w:r>
          </w:p>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№.of</w:t>
            </w:r>
          </w:p>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Dispensed Price for Max. Qty</w:t>
            </w:r>
          </w:p>
        </w:tc>
        <w:tc>
          <w:tcPr>
            <w:tcW w:w="2835" w:type="dxa"/>
            <w:gridSpan w:val="2"/>
            <w:tcBorders>
              <w:bottom w:val="single" w:sz="4" w:space="0" w:color="auto"/>
            </w:tcBorders>
          </w:tcPr>
          <w:p w:rsidR="0077267E" w:rsidRPr="00260CE3" w:rsidRDefault="0077267E" w:rsidP="00EE1596">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77267E" w:rsidRPr="00260CE3" w:rsidTr="00EE1596">
        <w:trPr>
          <w:cantSplit/>
          <w:trHeight w:val="577"/>
        </w:trPr>
        <w:tc>
          <w:tcPr>
            <w:tcW w:w="3261" w:type="dxa"/>
            <w:gridSpan w:val="2"/>
          </w:tcPr>
          <w:p w:rsidR="0077267E" w:rsidRDefault="0077267E" w:rsidP="00EE1596">
            <w:pPr>
              <w:keepNext/>
              <w:ind w:left="-108"/>
              <w:jc w:val="both"/>
              <w:rPr>
                <w:rFonts w:ascii="Arial Narrow" w:hAnsi="Arial Narrow" w:cs="Arial"/>
                <w:smallCaps/>
                <w:sz w:val="20"/>
                <w:szCs w:val="20"/>
              </w:rPr>
            </w:pPr>
            <w:r>
              <w:rPr>
                <w:rFonts w:ascii="Arial Narrow" w:hAnsi="Arial Narrow" w:cs="Arial"/>
                <w:smallCaps/>
                <w:sz w:val="20"/>
                <w:szCs w:val="20"/>
              </w:rPr>
              <w:t xml:space="preserve">GLATIRAMER </w:t>
            </w:r>
            <w:r w:rsidRPr="00F62952">
              <w:rPr>
                <w:rFonts w:ascii="Arial Narrow" w:hAnsi="Arial Narrow" w:cs="Arial"/>
                <w:smallCaps/>
                <w:sz w:val="20"/>
                <w:szCs w:val="20"/>
              </w:rPr>
              <w:t xml:space="preserve">ACETATE </w:t>
            </w:r>
          </w:p>
          <w:p w:rsidR="0077267E" w:rsidRPr="00260CE3" w:rsidRDefault="0077267E" w:rsidP="00EE1596">
            <w:pPr>
              <w:keepNext/>
              <w:ind w:left="-108"/>
              <w:jc w:val="both"/>
              <w:rPr>
                <w:rFonts w:ascii="Arial Narrow" w:hAnsi="Arial Narrow" w:cs="Arial"/>
                <w:sz w:val="20"/>
                <w:szCs w:val="20"/>
              </w:rPr>
            </w:pPr>
            <w:r>
              <w:rPr>
                <w:rFonts w:ascii="Arial Narrow" w:hAnsi="Arial Narrow" w:cs="Arial"/>
                <w:sz w:val="20"/>
                <w:szCs w:val="20"/>
              </w:rPr>
              <w:t>40 mg/mL injection, 12</w:t>
            </w:r>
          </w:p>
        </w:tc>
        <w:tc>
          <w:tcPr>
            <w:tcW w:w="567" w:type="dxa"/>
          </w:tcPr>
          <w:p w:rsidR="0077267E" w:rsidRPr="00260CE3" w:rsidRDefault="0077267E" w:rsidP="00EE1596">
            <w:pPr>
              <w:keepNext/>
              <w:ind w:left="-108"/>
              <w:jc w:val="both"/>
              <w:rPr>
                <w:rFonts w:ascii="Arial Narrow" w:hAnsi="Arial Narrow" w:cs="Arial"/>
                <w:sz w:val="20"/>
                <w:szCs w:val="20"/>
              </w:rPr>
            </w:pPr>
          </w:p>
          <w:p w:rsidR="0077267E" w:rsidRPr="00260CE3" w:rsidRDefault="0077267E" w:rsidP="00EE1596">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77267E" w:rsidRPr="00260CE3" w:rsidRDefault="0077267E" w:rsidP="00EE1596">
            <w:pPr>
              <w:keepNext/>
              <w:ind w:left="-108"/>
              <w:jc w:val="both"/>
              <w:rPr>
                <w:rFonts w:ascii="Arial Narrow" w:hAnsi="Arial Narrow" w:cs="Arial"/>
                <w:sz w:val="20"/>
                <w:szCs w:val="20"/>
              </w:rPr>
            </w:pPr>
          </w:p>
          <w:p w:rsidR="0077267E" w:rsidRPr="00260CE3" w:rsidRDefault="0077267E" w:rsidP="00EE1596">
            <w:pPr>
              <w:keepNext/>
              <w:ind w:left="-108"/>
              <w:jc w:val="both"/>
              <w:rPr>
                <w:rFonts w:ascii="Arial Narrow" w:hAnsi="Arial Narrow" w:cs="Arial"/>
                <w:sz w:val="20"/>
                <w:szCs w:val="20"/>
              </w:rPr>
            </w:pPr>
            <w:r>
              <w:rPr>
                <w:rFonts w:ascii="Arial Narrow" w:hAnsi="Arial Narrow" w:cs="Arial"/>
                <w:sz w:val="20"/>
                <w:szCs w:val="20"/>
              </w:rPr>
              <w:t>5</w:t>
            </w:r>
          </w:p>
        </w:tc>
        <w:tc>
          <w:tcPr>
            <w:tcW w:w="1701" w:type="dxa"/>
          </w:tcPr>
          <w:p w:rsidR="0077267E" w:rsidRPr="00260CE3" w:rsidRDefault="0077267E" w:rsidP="00EE1596">
            <w:pPr>
              <w:keepNext/>
              <w:ind w:left="-108"/>
              <w:jc w:val="both"/>
              <w:rPr>
                <w:rFonts w:ascii="Arial Narrow" w:hAnsi="Arial Narrow" w:cs="Arial"/>
                <w:sz w:val="20"/>
                <w:szCs w:val="20"/>
              </w:rPr>
            </w:pPr>
          </w:p>
          <w:p w:rsidR="0077267E" w:rsidRPr="00260CE3" w:rsidRDefault="0077267E" w:rsidP="00EE1596">
            <w:pPr>
              <w:keepNext/>
              <w:ind w:left="-108"/>
              <w:jc w:val="both"/>
              <w:rPr>
                <w:rFonts w:ascii="Arial Narrow" w:hAnsi="Arial Narrow" w:cs="Arial"/>
                <w:sz w:val="20"/>
                <w:szCs w:val="20"/>
              </w:rPr>
            </w:pPr>
            <w:r w:rsidRPr="00260CE3">
              <w:rPr>
                <w:rFonts w:ascii="Arial Narrow" w:hAnsi="Arial Narrow" w:cs="Arial"/>
                <w:sz w:val="20"/>
                <w:szCs w:val="20"/>
              </w:rPr>
              <w:t>$</w:t>
            </w:r>
            <w:r w:rsidRPr="00185693">
              <w:rPr>
                <w:rFonts w:ascii="Arial Narrow" w:hAnsi="Arial Narrow" w:cs="Arial"/>
                <w:sz w:val="20"/>
                <w:szCs w:val="20"/>
              </w:rPr>
              <w:t>1,092.99</w:t>
            </w:r>
          </w:p>
        </w:tc>
        <w:tc>
          <w:tcPr>
            <w:tcW w:w="1559" w:type="dxa"/>
          </w:tcPr>
          <w:p w:rsidR="0077267E" w:rsidRPr="00260CE3" w:rsidRDefault="0077267E" w:rsidP="00EE1596">
            <w:pPr>
              <w:keepNext/>
              <w:jc w:val="both"/>
              <w:rPr>
                <w:rFonts w:ascii="Arial Narrow" w:hAnsi="Arial Narrow" w:cs="Arial"/>
                <w:sz w:val="20"/>
                <w:szCs w:val="20"/>
              </w:rPr>
            </w:pPr>
            <w:r>
              <w:rPr>
                <w:rFonts w:ascii="Arial Narrow" w:hAnsi="Arial Narrow" w:cs="Arial"/>
                <w:sz w:val="20"/>
                <w:szCs w:val="20"/>
              </w:rPr>
              <w:t>Copaxone</w:t>
            </w:r>
          </w:p>
        </w:tc>
        <w:tc>
          <w:tcPr>
            <w:tcW w:w="1276" w:type="dxa"/>
          </w:tcPr>
          <w:p w:rsidR="0077267E" w:rsidRPr="00260CE3" w:rsidRDefault="0077267E" w:rsidP="00EE1596">
            <w:pPr>
              <w:keepNext/>
              <w:jc w:val="both"/>
              <w:rPr>
                <w:rFonts w:ascii="Arial Narrow" w:hAnsi="Arial Narrow" w:cs="Arial"/>
                <w:sz w:val="20"/>
                <w:szCs w:val="20"/>
              </w:rPr>
            </w:pPr>
            <w:r>
              <w:rPr>
                <w:rFonts w:ascii="Arial Narrow" w:hAnsi="Arial Narrow" w:cs="Arial"/>
                <w:sz w:val="20"/>
                <w:szCs w:val="20"/>
              </w:rPr>
              <w:t>bioCSL</w:t>
            </w:r>
          </w:p>
        </w:tc>
      </w:tr>
      <w:tr w:rsidR="0077267E" w:rsidRPr="00260CE3" w:rsidTr="00EE1596">
        <w:trPr>
          <w:cantSplit/>
          <w:trHeight w:val="360"/>
        </w:trPr>
        <w:tc>
          <w:tcPr>
            <w:tcW w:w="9214" w:type="dxa"/>
            <w:gridSpan w:val="7"/>
            <w:tcBorders>
              <w:bottom w:val="single" w:sz="4" w:space="0" w:color="auto"/>
            </w:tcBorders>
          </w:tcPr>
          <w:p w:rsidR="0077267E" w:rsidRPr="00260CE3" w:rsidRDefault="0077267E" w:rsidP="00EE1596">
            <w:pPr>
              <w:jc w:val="both"/>
              <w:rPr>
                <w:rFonts w:ascii="Arial Narrow" w:hAnsi="Arial Narrow" w:cs="Arial"/>
                <w:sz w:val="20"/>
                <w:szCs w:val="20"/>
              </w:rPr>
            </w:pP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 xml:space="preserve">Category / </w:t>
            </w:r>
          </w:p>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Program</w:t>
            </w:r>
          </w:p>
        </w:tc>
        <w:tc>
          <w:tcPr>
            <w:tcW w:w="7371" w:type="dxa"/>
            <w:gridSpan w:val="6"/>
            <w:tcBorders>
              <w:top w:val="single" w:sz="4" w:space="0" w:color="auto"/>
              <w:left w:val="single" w:sz="4" w:space="0" w:color="auto"/>
              <w:bottom w:val="single" w:sz="4" w:space="0" w:color="auto"/>
              <w:right w:val="single" w:sz="4" w:space="0" w:color="auto"/>
            </w:tcBorders>
          </w:tcPr>
          <w:p w:rsidR="0077267E" w:rsidRPr="00260CE3" w:rsidRDefault="0077267E" w:rsidP="00EE1596">
            <w:pPr>
              <w:rPr>
                <w:rFonts w:ascii="Arial Narrow" w:hAnsi="Arial Narrow" w:cs="Arial"/>
                <w:sz w:val="20"/>
                <w:szCs w:val="20"/>
              </w:rPr>
            </w:pPr>
            <w:r w:rsidRPr="00260CE3">
              <w:rPr>
                <w:rFonts w:ascii="Arial Narrow" w:hAnsi="Arial Narrow" w:cs="Arial"/>
                <w:sz w:val="20"/>
                <w:szCs w:val="20"/>
              </w:rPr>
              <w:t>GENERAL – General Schedule (Code GE)</w:t>
            </w: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Prescriber type:</w:t>
            </w:r>
          </w:p>
        </w:tc>
        <w:tc>
          <w:tcPr>
            <w:tcW w:w="7371" w:type="dxa"/>
            <w:gridSpan w:val="6"/>
            <w:tcBorders>
              <w:top w:val="single" w:sz="4" w:space="0" w:color="auto"/>
              <w:left w:val="single" w:sz="4" w:space="0" w:color="auto"/>
              <w:bottom w:val="single" w:sz="4" w:space="0" w:color="auto"/>
              <w:right w:val="single" w:sz="4" w:space="0" w:color="auto"/>
            </w:tcBorders>
          </w:tcPr>
          <w:p w:rsidR="0077267E" w:rsidRPr="00260CE3" w:rsidRDefault="0077267E" w:rsidP="00EE1596">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77267E" w:rsidRPr="00260CE3" w:rsidRDefault="0077267E" w:rsidP="00EE1596">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Episodicity:</w:t>
            </w:r>
          </w:p>
        </w:tc>
        <w:tc>
          <w:tcPr>
            <w:tcW w:w="7371" w:type="dxa"/>
            <w:gridSpan w:val="6"/>
            <w:tcBorders>
              <w:top w:val="single" w:sz="4" w:space="0" w:color="auto"/>
              <w:left w:val="single" w:sz="4" w:space="0" w:color="auto"/>
              <w:bottom w:val="single" w:sz="4" w:space="0" w:color="auto"/>
              <w:right w:val="single" w:sz="4" w:space="0" w:color="auto"/>
            </w:tcBorders>
          </w:tcPr>
          <w:p w:rsidR="0077267E" w:rsidRPr="00260CE3" w:rsidRDefault="0077267E" w:rsidP="00EE1596">
            <w:pPr>
              <w:rPr>
                <w:rFonts w:ascii="Arial Narrow" w:hAnsi="Arial Narrow" w:cs="Arial"/>
                <w:sz w:val="20"/>
                <w:szCs w:val="20"/>
              </w:rPr>
            </w:pP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Severity:</w:t>
            </w:r>
          </w:p>
        </w:tc>
        <w:tc>
          <w:tcPr>
            <w:tcW w:w="7371" w:type="dxa"/>
            <w:gridSpan w:val="6"/>
            <w:tcBorders>
              <w:top w:val="single" w:sz="4" w:space="0" w:color="auto"/>
              <w:left w:val="single" w:sz="4" w:space="0" w:color="auto"/>
              <w:bottom w:val="single" w:sz="4" w:space="0" w:color="auto"/>
              <w:right w:val="single" w:sz="4" w:space="0" w:color="auto"/>
            </w:tcBorders>
          </w:tcPr>
          <w:p w:rsidR="0077267E" w:rsidRPr="00260CE3" w:rsidRDefault="0077267E" w:rsidP="00EE1596">
            <w:pPr>
              <w:rPr>
                <w:rFonts w:ascii="Arial Narrow" w:hAnsi="Arial Narrow" w:cs="Arial"/>
                <w:sz w:val="20"/>
                <w:szCs w:val="20"/>
              </w:rPr>
            </w:pP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Pr>
          <w:p w:rsidR="0077267E" w:rsidRPr="00260CE3" w:rsidRDefault="00393994" w:rsidP="00EE1596">
            <w:pPr>
              <w:rPr>
                <w:rFonts w:ascii="Arial Narrow" w:hAnsi="Arial Narrow" w:cs="Arial"/>
                <w:sz w:val="20"/>
                <w:szCs w:val="20"/>
              </w:rPr>
            </w:pPr>
            <w:r>
              <w:rPr>
                <w:rFonts w:ascii="Arial Narrow" w:hAnsi="Arial Narrow" w:cs="Arial"/>
                <w:sz w:val="20"/>
                <w:szCs w:val="20"/>
              </w:rPr>
              <w:t>M</w:t>
            </w:r>
            <w:r w:rsidR="0077267E" w:rsidRPr="00BB268F">
              <w:rPr>
                <w:rFonts w:ascii="Arial Narrow" w:hAnsi="Arial Narrow" w:cs="Arial"/>
                <w:sz w:val="20"/>
                <w:szCs w:val="20"/>
              </w:rPr>
              <w:t>ultiple sclerosis</w:t>
            </w: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77267E" w:rsidRPr="00260CE3" w:rsidRDefault="009D5B99" w:rsidP="00EE1596">
            <w:pPr>
              <w:rPr>
                <w:rFonts w:ascii="Arial Narrow" w:hAnsi="Arial Narrow" w:cs="Arial"/>
                <w:sz w:val="20"/>
                <w:szCs w:val="20"/>
              </w:rPr>
            </w:pPr>
            <w:r>
              <w:rPr>
                <w:rFonts w:ascii="Arial Narrow" w:hAnsi="Arial Narrow" w:cs="Arial"/>
                <w:sz w:val="20"/>
                <w:szCs w:val="20"/>
              </w:rPr>
              <w:t>M</w:t>
            </w:r>
            <w:r w:rsidR="0077267E" w:rsidRPr="00B17683">
              <w:rPr>
                <w:rFonts w:ascii="Arial Narrow" w:hAnsi="Arial Narrow" w:cs="Arial"/>
                <w:sz w:val="20"/>
                <w:szCs w:val="20"/>
              </w:rPr>
              <w:t>ultiple sclerosis</w:t>
            </w: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Treatment phase:</w:t>
            </w:r>
          </w:p>
          <w:p w:rsidR="0077267E" w:rsidRPr="00260CE3" w:rsidRDefault="0077267E" w:rsidP="00EE1596">
            <w:pPr>
              <w:jc w:val="both"/>
              <w:rPr>
                <w:rFonts w:ascii="Arial Narrow" w:hAnsi="Arial Narrow" w:cs="Arial"/>
                <w:i/>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77267E" w:rsidRPr="00260CE3" w:rsidRDefault="0077267E" w:rsidP="00EE1596">
            <w:pPr>
              <w:rPr>
                <w:rFonts w:ascii="Arial Narrow" w:hAnsi="Arial Narrow" w:cs="Arial"/>
                <w:sz w:val="20"/>
                <w:szCs w:val="20"/>
              </w:rPr>
            </w:pPr>
            <w:r>
              <w:rPr>
                <w:rFonts w:ascii="Arial Narrow" w:hAnsi="Arial Narrow" w:cs="Arial"/>
                <w:sz w:val="20"/>
                <w:szCs w:val="20"/>
              </w:rPr>
              <w:t>Continuing</w:t>
            </w: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77267E" w:rsidRPr="00260CE3" w:rsidRDefault="0077267E" w:rsidP="00EE1596">
            <w:pPr>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77267E" w:rsidRPr="00106BCF" w:rsidRDefault="0077267E" w:rsidP="00EE1596">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77267E" w:rsidRPr="00106BCF" w:rsidRDefault="0077267E" w:rsidP="00EE159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77267E" w:rsidRPr="00106BCF" w:rsidRDefault="0077267E" w:rsidP="00EE1596">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Authority Required - Telephone</w:t>
            </w:r>
          </w:p>
          <w:p w:rsidR="0077267E" w:rsidRPr="00106BCF" w:rsidRDefault="0077267E" w:rsidP="00EE159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77267E" w:rsidRPr="00106BCF" w:rsidRDefault="0077267E" w:rsidP="00EE159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77267E" w:rsidRPr="00260CE3" w:rsidRDefault="0077267E" w:rsidP="00EE1596">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Clinical criteria:</w:t>
            </w:r>
          </w:p>
          <w:p w:rsidR="0077267E" w:rsidRPr="00260CE3" w:rsidRDefault="0077267E" w:rsidP="00EE1596">
            <w:pPr>
              <w:jc w:val="both"/>
              <w:rPr>
                <w:rFonts w:ascii="Arial Narrow" w:hAnsi="Arial Narrow" w:cs="Arial"/>
                <w:i/>
                <w:sz w:val="20"/>
                <w:szCs w:val="20"/>
              </w:rPr>
            </w:pPr>
          </w:p>
          <w:p w:rsidR="0077267E" w:rsidRPr="00260CE3" w:rsidRDefault="0077267E" w:rsidP="006679FD">
            <w:pPr>
              <w:jc w:val="both"/>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77267E" w:rsidRDefault="0077267E" w:rsidP="00EE1596">
            <w:pPr>
              <w:rPr>
                <w:rFonts w:ascii="Arial Narrow" w:hAnsi="Arial Narrow" w:cs="Arial"/>
                <w:sz w:val="20"/>
                <w:szCs w:val="20"/>
              </w:rPr>
            </w:pPr>
            <w:r w:rsidRPr="00B17683">
              <w:rPr>
                <w:rFonts w:ascii="Arial Narrow" w:hAnsi="Arial Narrow" w:cs="Arial"/>
                <w:sz w:val="20"/>
                <w:szCs w:val="20"/>
              </w:rPr>
              <w:t>Patient must have previously been issued with an authority prescription for this drug,</w:t>
            </w:r>
          </w:p>
          <w:p w:rsidR="0077267E" w:rsidRDefault="0077267E" w:rsidP="00EE1596">
            <w:pPr>
              <w:rPr>
                <w:rFonts w:ascii="Arial Narrow" w:hAnsi="Arial Narrow" w:cs="Arial"/>
                <w:sz w:val="20"/>
                <w:szCs w:val="20"/>
              </w:rPr>
            </w:pPr>
          </w:p>
          <w:p w:rsidR="0077267E" w:rsidRDefault="0077267E" w:rsidP="00EE1596">
            <w:pPr>
              <w:rPr>
                <w:rFonts w:ascii="Arial Narrow" w:hAnsi="Arial Narrow" w:cs="Arial"/>
                <w:sz w:val="20"/>
                <w:szCs w:val="20"/>
              </w:rPr>
            </w:pPr>
            <w:r>
              <w:rPr>
                <w:rFonts w:ascii="Arial Narrow" w:hAnsi="Arial Narrow" w:cs="Arial"/>
                <w:sz w:val="20"/>
                <w:szCs w:val="20"/>
              </w:rPr>
              <w:t>AND</w:t>
            </w:r>
          </w:p>
          <w:p w:rsidR="0077267E" w:rsidRDefault="0077267E" w:rsidP="00EE1596">
            <w:pPr>
              <w:rPr>
                <w:rFonts w:ascii="Arial Narrow" w:hAnsi="Arial Narrow" w:cs="Arial"/>
                <w:sz w:val="20"/>
                <w:szCs w:val="20"/>
              </w:rPr>
            </w:pPr>
          </w:p>
          <w:p w:rsidR="0077267E" w:rsidRPr="00260CE3" w:rsidRDefault="0077267E" w:rsidP="00EE1596">
            <w:pPr>
              <w:rPr>
                <w:rFonts w:ascii="Arial Narrow" w:hAnsi="Arial Narrow" w:cs="Arial"/>
                <w:sz w:val="20"/>
                <w:szCs w:val="20"/>
              </w:rPr>
            </w:pPr>
            <w:r w:rsidRPr="00B17683">
              <w:rPr>
                <w:rFonts w:ascii="Arial Narrow" w:hAnsi="Arial Narrow" w:cs="Arial"/>
                <w:sz w:val="20"/>
                <w:szCs w:val="20"/>
              </w:rPr>
              <w:t>Patient must not show continuing progression of disability while on treatment with</w:t>
            </w:r>
            <w:r>
              <w:rPr>
                <w:rFonts w:ascii="Arial Narrow" w:hAnsi="Arial Narrow" w:cs="Arial"/>
                <w:sz w:val="20"/>
                <w:szCs w:val="20"/>
              </w:rPr>
              <w:t xml:space="preserve"> this drug,</w:t>
            </w:r>
          </w:p>
          <w:p w:rsidR="0077267E" w:rsidRPr="00260CE3" w:rsidRDefault="0077267E" w:rsidP="00EE1596">
            <w:pPr>
              <w:jc w:val="both"/>
              <w:rPr>
                <w:rFonts w:ascii="Arial Narrow" w:hAnsi="Arial Narrow" w:cs="Arial"/>
                <w:sz w:val="20"/>
                <w:szCs w:val="20"/>
              </w:rPr>
            </w:pPr>
          </w:p>
          <w:p w:rsidR="0077267E" w:rsidRDefault="0077267E" w:rsidP="00EE1596">
            <w:pPr>
              <w:jc w:val="both"/>
              <w:rPr>
                <w:rFonts w:ascii="Arial Narrow" w:hAnsi="Arial Narrow" w:cs="Arial"/>
                <w:sz w:val="20"/>
                <w:szCs w:val="20"/>
              </w:rPr>
            </w:pPr>
            <w:r>
              <w:rPr>
                <w:rFonts w:ascii="Arial Narrow" w:hAnsi="Arial Narrow" w:cs="Arial"/>
                <w:sz w:val="20"/>
                <w:szCs w:val="20"/>
              </w:rPr>
              <w:t>AND</w:t>
            </w:r>
          </w:p>
          <w:p w:rsidR="0077267E" w:rsidRDefault="0077267E" w:rsidP="00EE1596">
            <w:pPr>
              <w:jc w:val="both"/>
              <w:rPr>
                <w:rFonts w:ascii="Arial Narrow" w:hAnsi="Arial Narrow" w:cs="Arial"/>
                <w:sz w:val="20"/>
                <w:szCs w:val="20"/>
              </w:rPr>
            </w:pPr>
          </w:p>
          <w:p w:rsidR="0077267E" w:rsidRPr="00260CE3" w:rsidRDefault="0077267E" w:rsidP="00EE1596">
            <w:pPr>
              <w:jc w:val="both"/>
              <w:rPr>
                <w:rFonts w:ascii="Arial Narrow" w:hAnsi="Arial Narrow" w:cs="Arial"/>
                <w:sz w:val="20"/>
                <w:szCs w:val="20"/>
              </w:rPr>
            </w:pPr>
            <w:r w:rsidRPr="00B17683">
              <w:rPr>
                <w:rFonts w:ascii="Arial Narrow" w:hAnsi="Arial Narrow" w:cs="Arial"/>
                <w:sz w:val="20"/>
                <w:szCs w:val="20"/>
              </w:rPr>
              <w:t>Patient must have demonstrated compliance with, and an ability to tolerate</w:t>
            </w:r>
            <w:r w:rsidR="00043458">
              <w:rPr>
                <w:rFonts w:ascii="Arial Narrow" w:hAnsi="Arial Narrow" w:cs="Arial"/>
                <w:sz w:val="20"/>
                <w:szCs w:val="20"/>
              </w:rPr>
              <w:t>,</w:t>
            </w:r>
            <w:r w:rsidRPr="00B17683">
              <w:rPr>
                <w:rFonts w:ascii="Arial Narrow" w:hAnsi="Arial Narrow" w:cs="Arial"/>
                <w:sz w:val="20"/>
                <w:szCs w:val="20"/>
              </w:rPr>
              <w:t xml:space="preserve"> this therapy</w:t>
            </w:r>
          </w:p>
        </w:tc>
      </w:tr>
      <w:tr w:rsidR="0077267E" w:rsidRPr="00260CE3" w:rsidTr="00EE15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77267E" w:rsidRPr="00260CE3" w:rsidRDefault="0077267E" w:rsidP="00EE1596">
            <w:pPr>
              <w:jc w:val="both"/>
              <w:rPr>
                <w:rFonts w:ascii="Arial Narrow" w:hAnsi="Arial Narrow" w:cs="Arial"/>
                <w:b/>
                <w:sz w:val="20"/>
                <w:szCs w:val="20"/>
              </w:rPr>
            </w:pPr>
            <w:r w:rsidRPr="00260CE3">
              <w:rPr>
                <w:rFonts w:ascii="Arial Narrow" w:hAnsi="Arial Narrow" w:cs="Arial"/>
                <w:b/>
                <w:sz w:val="20"/>
                <w:szCs w:val="20"/>
              </w:rPr>
              <w:t>Administrative Advice</w:t>
            </w:r>
          </w:p>
          <w:p w:rsidR="0077267E" w:rsidRPr="00260CE3" w:rsidRDefault="0077267E" w:rsidP="00EE1596">
            <w:pPr>
              <w:jc w:val="both"/>
              <w:rPr>
                <w:rFonts w:ascii="Arial Narrow" w:hAnsi="Arial Narrow" w:cs="Arial"/>
                <w:i/>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77267E" w:rsidRDefault="0077267E" w:rsidP="00EE1596">
            <w:pPr>
              <w:rPr>
                <w:rFonts w:ascii="Arial Narrow" w:hAnsi="Arial Narrow" w:cs="Arial"/>
                <w:sz w:val="20"/>
                <w:szCs w:val="20"/>
              </w:rPr>
            </w:pPr>
            <w:r w:rsidRPr="00B17683">
              <w:rPr>
                <w:rFonts w:ascii="Arial Narrow" w:hAnsi="Arial Narrow" w:cs="Arial"/>
                <w:sz w:val="20"/>
                <w:szCs w:val="20"/>
              </w:rPr>
              <w:t>No increase in the maximum number of repeats may be authorised</w:t>
            </w:r>
            <w:r>
              <w:rPr>
                <w:rFonts w:ascii="Arial Narrow" w:hAnsi="Arial Narrow" w:cs="Arial"/>
                <w:sz w:val="20"/>
                <w:szCs w:val="20"/>
              </w:rPr>
              <w:t>.</w:t>
            </w:r>
          </w:p>
          <w:p w:rsidR="0077267E" w:rsidRDefault="0077267E" w:rsidP="00EE1596">
            <w:pPr>
              <w:rPr>
                <w:rFonts w:ascii="Arial Narrow" w:hAnsi="Arial Narrow" w:cs="Arial"/>
                <w:sz w:val="20"/>
                <w:szCs w:val="20"/>
              </w:rPr>
            </w:pPr>
          </w:p>
          <w:p w:rsidR="0077267E" w:rsidRPr="00260CE3" w:rsidRDefault="0077267E" w:rsidP="00EE1596">
            <w:pPr>
              <w:rPr>
                <w:rFonts w:ascii="Arial Narrow" w:hAnsi="Arial Narrow" w:cs="Arial"/>
                <w:sz w:val="20"/>
                <w:szCs w:val="20"/>
              </w:rPr>
            </w:pPr>
            <w:r w:rsidRPr="006709DE">
              <w:rPr>
                <w:rFonts w:ascii="Arial Narrow" w:hAnsi="Arial Narrow" w:cs="Arial"/>
                <w:sz w:val="20"/>
                <w:szCs w:val="20"/>
              </w:rPr>
              <w:t>No increase in the maximum quantity or number of units may be authorised.</w:t>
            </w:r>
          </w:p>
        </w:tc>
      </w:tr>
    </w:tbl>
    <w:p w:rsidR="0077267E" w:rsidRPr="00552722" w:rsidRDefault="0077267E" w:rsidP="00F421DB">
      <w:pPr>
        <w:jc w:val="both"/>
        <w:rPr>
          <w:rFonts w:ascii="Arial" w:hAnsi="Arial" w:cs="Arial"/>
          <w:sz w:val="22"/>
          <w:szCs w:val="22"/>
        </w:rPr>
      </w:pPr>
    </w:p>
    <w:p w:rsidR="00F421DB" w:rsidRPr="00882085" w:rsidRDefault="00F421DB" w:rsidP="00F421DB">
      <w:pPr>
        <w:jc w:val="both"/>
        <w:rPr>
          <w:rFonts w:ascii="Arial" w:hAnsi="Arial"/>
          <w:b/>
          <w:sz w:val="22"/>
          <w:szCs w:val="22"/>
        </w:rPr>
      </w:pPr>
    </w:p>
    <w:p w:rsidR="00F421DB" w:rsidRPr="00882085" w:rsidRDefault="00F421DB" w:rsidP="00A57A52">
      <w:pPr>
        <w:pStyle w:val="PBACHeading1"/>
      </w:pPr>
      <w:r w:rsidRPr="00882085">
        <w:t>Background</w:t>
      </w:r>
    </w:p>
    <w:p w:rsidR="00F421DB" w:rsidRPr="00882085" w:rsidRDefault="00F421DB" w:rsidP="00F421DB">
      <w:pPr>
        <w:jc w:val="both"/>
        <w:rPr>
          <w:rFonts w:ascii="Arial" w:hAnsi="Arial"/>
          <w:sz w:val="22"/>
          <w:szCs w:val="22"/>
        </w:rPr>
      </w:pPr>
    </w:p>
    <w:p w:rsidR="005D5ED3" w:rsidRDefault="00B53833" w:rsidP="00377B68">
      <w:pPr>
        <w:pStyle w:val="ListParagraph"/>
        <w:jc w:val="both"/>
        <w:rPr>
          <w:rFonts w:ascii="Arial" w:hAnsi="Arial"/>
          <w:sz w:val="22"/>
          <w:szCs w:val="22"/>
        </w:rPr>
      </w:pPr>
      <w:bookmarkStart w:id="2" w:name="_GoBack"/>
      <w:r w:rsidRPr="000A4D64">
        <w:rPr>
          <w:rFonts w:ascii="Arial" w:hAnsi="Arial"/>
          <w:sz w:val="22"/>
          <w:szCs w:val="22"/>
        </w:rPr>
        <w:t>Glatiramer</w:t>
      </w:r>
      <w:bookmarkEnd w:id="2"/>
      <w:r w:rsidRPr="000A4D64">
        <w:rPr>
          <w:rFonts w:ascii="Arial" w:hAnsi="Arial"/>
          <w:sz w:val="22"/>
          <w:szCs w:val="22"/>
        </w:rPr>
        <w:t xml:space="preserve"> acetate</w:t>
      </w:r>
      <w:r w:rsidR="00F421DB" w:rsidRPr="00F42D85">
        <w:rPr>
          <w:rFonts w:ascii="Arial" w:hAnsi="Arial"/>
          <w:sz w:val="22"/>
          <w:szCs w:val="22"/>
        </w:rPr>
        <w:t xml:space="preserve"> is TGA registered for</w:t>
      </w:r>
      <w:r w:rsidR="00043458" w:rsidRPr="00F42D85">
        <w:rPr>
          <w:rFonts w:ascii="Arial" w:hAnsi="Arial"/>
          <w:sz w:val="22"/>
          <w:szCs w:val="22"/>
        </w:rPr>
        <w:t xml:space="preserve"> the following indication:</w:t>
      </w:r>
      <w:r w:rsidRPr="004D0B68">
        <w:rPr>
          <w:rFonts w:ascii="Arial" w:hAnsi="Arial"/>
          <w:sz w:val="22"/>
          <w:szCs w:val="22"/>
        </w:rPr>
        <w:t xml:space="preserve"> </w:t>
      </w:r>
      <w:r w:rsidR="00043458" w:rsidRPr="004D0B68">
        <w:rPr>
          <w:rFonts w:ascii="Arial" w:hAnsi="Arial"/>
          <w:sz w:val="22"/>
          <w:szCs w:val="22"/>
        </w:rPr>
        <w:br/>
        <w:t>R</w:t>
      </w:r>
      <w:r w:rsidRPr="004D0B68">
        <w:rPr>
          <w:rFonts w:ascii="Arial" w:hAnsi="Arial"/>
          <w:sz w:val="22"/>
          <w:szCs w:val="22"/>
        </w:rPr>
        <w:t>eduction of the frequency of relapses in patients with Relapsing Remitting Multiple Sclerosis.  Treatment of patients with a single clinical event suggestive of multiple sclerosis and at least two clinically silent MRI lesions characteristic of multiple sclerosis, if alternative diagnoses have been excluded.</w:t>
      </w:r>
      <w:r w:rsidR="00AE7661">
        <w:rPr>
          <w:rFonts w:ascii="Arial" w:hAnsi="Arial"/>
          <w:sz w:val="22"/>
          <w:szCs w:val="22"/>
        </w:rPr>
        <w:t xml:space="preserve"> </w:t>
      </w:r>
    </w:p>
    <w:p w:rsidR="005D5ED3" w:rsidRDefault="005D5ED3" w:rsidP="00377B68">
      <w:pPr>
        <w:pStyle w:val="ListParagraph"/>
        <w:jc w:val="both"/>
        <w:rPr>
          <w:rFonts w:ascii="Arial" w:hAnsi="Arial"/>
          <w:sz w:val="22"/>
          <w:szCs w:val="22"/>
        </w:rPr>
      </w:pPr>
    </w:p>
    <w:p w:rsidR="00B83C93" w:rsidRPr="00377B68" w:rsidRDefault="00B83C93" w:rsidP="009A2550">
      <w:pPr>
        <w:pStyle w:val="ListParagraph"/>
        <w:numPr>
          <w:ilvl w:val="1"/>
          <w:numId w:val="9"/>
        </w:numPr>
        <w:jc w:val="both"/>
        <w:rPr>
          <w:rFonts w:ascii="Arial" w:hAnsi="Arial"/>
          <w:sz w:val="22"/>
          <w:szCs w:val="22"/>
        </w:rPr>
      </w:pPr>
      <w:r w:rsidRPr="00377B68">
        <w:rPr>
          <w:rFonts w:ascii="Arial" w:hAnsi="Arial"/>
          <w:sz w:val="22"/>
          <w:szCs w:val="22"/>
        </w:rPr>
        <w:t>The Delegate recommended approval for Copaxone 40 mg/mL injection in the Delegate’s Overview (Request for ACPM Advice) dated 6 November 2014.  The Advisory Committee recommended approval for the product at the 301st meeting of the ACPM on 5 December 2014.</w:t>
      </w:r>
      <w:r w:rsidR="005D5ED3">
        <w:rPr>
          <w:rFonts w:ascii="Arial" w:hAnsi="Arial"/>
          <w:sz w:val="22"/>
          <w:szCs w:val="22"/>
        </w:rPr>
        <w:t xml:space="preserve"> </w:t>
      </w:r>
      <w:r w:rsidR="0004630D">
        <w:rPr>
          <w:rFonts w:ascii="Arial" w:hAnsi="Arial"/>
          <w:sz w:val="22"/>
          <w:szCs w:val="22"/>
        </w:rPr>
        <w:t xml:space="preserve">With respect </w:t>
      </w:r>
      <w:r w:rsidR="005D5ED3">
        <w:rPr>
          <w:rFonts w:ascii="Arial" w:hAnsi="Arial"/>
          <w:sz w:val="22"/>
          <w:szCs w:val="22"/>
        </w:rPr>
        <w:t>to the 40mg/mL 3 times per week regime, the</w:t>
      </w:r>
      <w:r w:rsidR="006B434C">
        <w:rPr>
          <w:rFonts w:ascii="Arial" w:hAnsi="Arial"/>
          <w:sz w:val="22"/>
          <w:szCs w:val="22"/>
        </w:rPr>
        <w:t xml:space="preserve"> TGA Delegate agreed with the</w:t>
      </w:r>
      <w:r w:rsidR="005D5ED3">
        <w:rPr>
          <w:rFonts w:ascii="Arial" w:hAnsi="Arial"/>
          <w:sz w:val="22"/>
          <w:szCs w:val="22"/>
        </w:rPr>
        <w:t xml:space="preserve"> Clinical Evaluation Report </w:t>
      </w:r>
      <w:r w:rsidR="006B434C">
        <w:rPr>
          <w:rFonts w:ascii="Arial" w:hAnsi="Arial"/>
          <w:sz w:val="22"/>
          <w:szCs w:val="22"/>
        </w:rPr>
        <w:t>in stating</w:t>
      </w:r>
      <w:r w:rsidR="005D5ED3">
        <w:rPr>
          <w:rFonts w:ascii="Arial" w:hAnsi="Arial"/>
          <w:sz w:val="22"/>
          <w:szCs w:val="22"/>
        </w:rPr>
        <w:t xml:space="preserve"> that</w:t>
      </w:r>
      <w:r w:rsidR="004A44D5">
        <w:rPr>
          <w:rFonts w:ascii="Arial" w:hAnsi="Arial"/>
          <w:sz w:val="22"/>
          <w:szCs w:val="22"/>
        </w:rPr>
        <w:t xml:space="preserve"> this regimen</w:t>
      </w:r>
      <w:r w:rsidR="005D5ED3">
        <w:rPr>
          <w:rFonts w:ascii="Arial" w:hAnsi="Arial"/>
          <w:sz w:val="22"/>
          <w:szCs w:val="22"/>
        </w:rPr>
        <w:t xml:space="preserve"> ‘…is similar in its extent to the treatment benefit (in terms of relapse rate) demonstrated for the 20mg daily dose regimen for glatiramer.’</w:t>
      </w:r>
    </w:p>
    <w:p w:rsidR="00F421DB" w:rsidRPr="00882085" w:rsidRDefault="00F421DB" w:rsidP="00F421DB">
      <w:pPr>
        <w:pStyle w:val="ListParagraph"/>
        <w:jc w:val="both"/>
        <w:rPr>
          <w:rFonts w:ascii="Arial" w:hAnsi="Arial"/>
          <w:sz w:val="22"/>
          <w:szCs w:val="22"/>
        </w:rPr>
      </w:pPr>
    </w:p>
    <w:p w:rsidR="00F421DB" w:rsidRDefault="006679FD" w:rsidP="00377B68">
      <w:pPr>
        <w:pStyle w:val="ListParagraph"/>
        <w:numPr>
          <w:ilvl w:val="1"/>
          <w:numId w:val="9"/>
        </w:numPr>
        <w:jc w:val="both"/>
        <w:rPr>
          <w:rFonts w:ascii="Arial" w:hAnsi="Arial"/>
          <w:sz w:val="22"/>
          <w:szCs w:val="22"/>
        </w:rPr>
      </w:pPr>
      <w:r>
        <w:rPr>
          <w:rFonts w:ascii="Arial" w:hAnsi="Arial"/>
          <w:sz w:val="22"/>
          <w:szCs w:val="22"/>
        </w:rPr>
        <w:t>Glatiramer acetate 20</w:t>
      </w:r>
      <w:r w:rsidR="00415BD9">
        <w:rPr>
          <w:rFonts w:ascii="Arial" w:hAnsi="Arial"/>
          <w:sz w:val="22"/>
          <w:szCs w:val="22"/>
        </w:rPr>
        <w:t xml:space="preserve"> </w:t>
      </w:r>
      <w:r>
        <w:rPr>
          <w:rFonts w:ascii="Arial" w:hAnsi="Arial"/>
          <w:sz w:val="22"/>
          <w:szCs w:val="22"/>
        </w:rPr>
        <w:t xml:space="preserve">mg/mL daily was first listed on the PBS in </w:t>
      </w:r>
      <w:r w:rsidR="00043458">
        <w:rPr>
          <w:rFonts w:ascii="Arial" w:hAnsi="Arial"/>
          <w:sz w:val="22"/>
          <w:szCs w:val="22"/>
        </w:rPr>
        <w:t xml:space="preserve">June </w:t>
      </w:r>
      <w:r>
        <w:rPr>
          <w:rFonts w:ascii="Arial" w:hAnsi="Arial"/>
          <w:sz w:val="22"/>
          <w:szCs w:val="22"/>
        </w:rPr>
        <w:t>1999</w:t>
      </w:r>
      <w:r w:rsidR="00043458">
        <w:rPr>
          <w:rFonts w:ascii="Arial" w:hAnsi="Arial"/>
          <w:sz w:val="22"/>
          <w:szCs w:val="22"/>
        </w:rPr>
        <w:t>.</w:t>
      </w:r>
    </w:p>
    <w:p w:rsidR="006679FD" w:rsidRPr="006679FD" w:rsidRDefault="006679FD" w:rsidP="006679FD">
      <w:pPr>
        <w:pStyle w:val="ListParagraph"/>
        <w:jc w:val="both"/>
        <w:rPr>
          <w:rFonts w:ascii="Arial" w:hAnsi="Arial"/>
          <w:sz w:val="22"/>
          <w:szCs w:val="22"/>
        </w:rPr>
      </w:pPr>
    </w:p>
    <w:p w:rsidR="00F421DB" w:rsidRPr="005A3223" w:rsidRDefault="00365426" w:rsidP="00377B68">
      <w:pPr>
        <w:pStyle w:val="ListParagraph"/>
        <w:numPr>
          <w:ilvl w:val="1"/>
          <w:numId w:val="9"/>
        </w:numPr>
        <w:jc w:val="both"/>
        <w:rPr>
          <w:rFonts w:ascii="Arial" w:hAnsi="Arial"/>
          <w:sz w:val="22"/>
          <w:szCs w:val="22"/>
        </w:rPr>
      </w:pPr>
      <w:r>
        <w:rPr>
          <w:rFonts w:ascii="Arial" w:hAnsi="Arial"/>
          <w:sz w:val="22"/>
          <w:szCs w:val="22"/>
        </w:rPr>
        <w:t>Glati</w:t>
      </w:r>
      <w:r w:rsidR="00B53833">
        <w:rPr>
          <w:rFonts w:ascii="Arial" w:hAnsi="Arial"/>
          <w:sz w:val="22"/>
          <w:szCs w:val="22"/>
        </w:rPr>
        <w:t>ramer acetate in 40</w:t>
      </w:r>
      <w:r w:rsidR="00415BD9">
        <w:rPr>
          <w:rFonts w:ascii="Arial" w:hAnsi="Arial"/>
          <w:sz w:val="22"/>
          <w:szCs w:val="22"/>
        </w:rPr>
        <w:t xml:space="preserve"> </w:t>
      </w:r>
      <w:r w:rsidR="00B53833">
        <w:rPr>
          <w:rFonts w:ascii="Arial" w:hAnsi="Arial"/>
          <w:sz w:val="22"/>
          <w:szCs w:val="22"/>
        </w:rPr>
        <w:t>mg/mL syringes have not previously been considered by the PBAC</w:t>
      </w:r>
      <w:r w:rsidR="00043458">
        <w:rPr>
          <w:rFonts w:ascii="Arial" w:hAnsi="Arial"/>
          <w:sz w:val="22"/>
          <w:szCs w:val="22"/>
        </w:rPr>
        <w:t>.</w:t>
      </w:r>
    </w:p>
    <w:p w:rsidR="00F421DB" w:rsidRPr="006D1FEB" w:rsidRDefault="00F421DB" w:rsidP="00F421DB">
      <w:pPr>
        <w:jc w:val="both"/>
        <w:rPr>
          <w:rFonts w:ascii="Arial" w:hAnsi="Arial"/>
          <w:b/>
          <w:sz w:val="22"/>
          <w:szCs w:val="22"/>
        </w:rPr>
      </w:pPr>
    </w:p>
    <w:p w:rsidR="00F421DB" w:rsidRPr="006D1FEB" w:rsidRDefault="00F421DB" w:rsidP="00A57A52">
      <w:pPr>
        <w:pStyle w:val="PBACHeading1"/>
      </w:pPr>
      <w:r w:rsidRPr="006D1FEB">
        <w:t>Clinical place for the proposed therapy</w:t>
      </w:r>
    </w:p>
    <w:p w:rsidR="00F421DB" w:rsidRPr="006D1FEB" w:rsidRDefault="00F421DB" w:rsidP="00F421DB">
      <w:pPr>
        <w:jc w:val="both"/>
        <w:rPr>
          <w:rFonts w:ascii="Arial" w:hAnsi="Arial"/>
          <w:sz w:val="22"/>
          <w:szCs w:val="22"/>
        </w:rPr>
      </w:pPr>
      <w:r w:rsidRPr="006D1FEB">
        <w:rPr>
          <w:rFonts w:ascii="Arial" w:hAnsi="Arial"/>
          <w:sz w:val="22"/>
          <w:szCs w:val="22"/>
        </w:rPr>
        <w:t xml:space="preserve"> </w:t>
      </w:r>
    </w:p>
    <w:p w:rsidR="00F421DB" w:rsidRPr="006D1FEB" w:rsidRDefault="006D1FEB" w:rsidP="00377B68">
      <w:pPr>
        <w:pStyle w:val="ListParagraph"/>
        <w:numPr>
          <w:ilvl w:val="1"/>
          <w:numId w:val="9"/>
        </w:numPr>
        <w:jc w:val="both"/>
        <w:rPr>
          <w:rFonts w:ascii="Arial" w:hAnsi="Arial"/>
          <w:sz w:val="22"/>
          <w:szCs w:val="22"/>
        </w:rPr>
      </w:pPr>
      <w:r>
        <w:rPr>
          <w:rFonts w:ascii="Arial" w:hAnsi="Arial"/>
          <w:sz w:val="22"/>
          <w:szCs w:val="22"/>
        </w:rPr>
        <w:t>Glatiramer acetate</w:t>
      </w:r>
      <w:r w:rsidRPr="006D1FEB">
        <w:rPr>
          <w:rFonts w:ascii="Arial" w:hAnsi="Arial"/>
          <w:sz w:val="22"/>
          <w:szCs w:val="22"/>
        </w:rPr>
        <w:t xml:space="preserve"> 40 mg/mL three times weekly is an alternative treatment option for patients either currently taking </w:t>
      </w:r>
      <w:r>
        <w:rPr>
          <w:rFonts w:ascii="Arial" w:hAnsi="Arial"/>
          <w:sz w:val="22"/>
          <w:szCs w:val="22"/>
        </w:rPr>
        <w:t>glatiramer acetate</w:t>
      </w:r>
      <w:r w:rsidRPr="006D1FEB">
        <w:rPr>
          <w:rFonts w:ascii="Arial" w:hAnsi="Arial"/>
          <w:sz w:val="22"/>
          <w:szCs w:val="22"/>
        </w:rPr>
        <w:t xml:space="preserve"> 20 mg/mL daily or for those initiating treatment with </w:t>
      </w:r>
      <w:r>
        <w:rPr>
          <w:rFonts w:ascii="Arial" w:hAnsi="Arial"/>
          <w:sz w:val="22"/>
          <w:szCs w:val="22"/>
        </w:rPr>
        <w:t>glatiramer acetate</w:t>
      </w:r>
      <w:r w:rsidRPr="006D1FEB">
        <w:rPr>
          <w:rFonts w:ascii="Arial" w:hAnsi="Arial"/>
          <w:sz w:val="22"/>
          <w:szCs w:val="22"/>
        </w:rPr>
        <w:t xml:space="preserve">. </w:t>
      </w:r>
      <w:r w:rsidR="00043458">
        <w:rPr>
          <w:rFonts w:ascii="Arial" w:hAnsi="Arial"/>
          <w:sz w:val="22"/>
          <w:szCs w:val="22"/>
        </w:rPr>
        <w:t>The submission does</w:t>
      </w:r>
      <w:r w:rsidRPr="006D1FEB">
        <w:rPr>
          <w:rFonts w:ascii="Arial" w:hAnsi="Arial"/>
          <w:sz w:val="22"/>
          <w:szCs w:val="22"/>
        </w:rPr>
        <w:t xml:space="preserve"> not anticipate that there will be any significant switch from the other established injectable immunomodulators or from any of the more recent oral therapies for </w:t>
      </w:r>
      <w:r>
        <w:rPr>
          <w:rFonts w:ascii="Arial" w:hAnsi="Arial"/>
          <w:sz w:val="22"/>
          <w:szCs w:val="22"/>
        </w:rPr>
        <w:t>relapsing-remitting multiple sclerosis</w:t>
      </w:r>
      <w:r w:rsidRPr="006D1FEB">
        <w:rPr>
          <w:rFonts w:ascii="Arial" w:hAnsi="Arial"/>
          <w:sz w:val="22"/>
          <w:szCs w:val="22"/>
        </w:rPr>
        <w:t>.</w:t>
      </w:r>
    </w:p>
    <w:p w:rsidR="00F421DB" w:rsidRPr="00882085" w:rsidRDefault="00F421DB" w:rsidP="00377B68">
      <w:pPr>
        <w:pStyle w:val="ListParagraph"/>
        <w:jc w:val="both"/>
      </w:pPr>
      <w:r w:rsidRPr="006679FD">
        <w:rPr>
          <w:rFonts w:ascii="Arial" w:hAnsi="Arial"/>
          <w:color w:val="FF0000"/>
          <w:sz w:val="22"/>
          <w:szCs w:val="22"/>
        </w:rPr>
        <w:tab/>
      </w:r>
    </w:p>
    <w:p w:rsidR="00F421DB" w:rsidRPr="00882085" w:rsidRDefault="00F421DB" w:rsidP="00A57A52">
      <w:pPr>
        <w:pStyle w:val="PBACHeading1"/>
      </w:pPr>
      <w:r w:rsidRPr="00882085">
        <w:t>Comparator</w:t>
      </w:r>
    </w:p>
    <w:p w:rsidR="00F421DB" w:rsidRPr="00882085" w:rsidRDefault="00F421DB" w:rsidP="00F421DB">
      <w:pPr>
        <w:pStyle w:val="Header"/>
        <w:tabs>
          <w:tab w:val="clear" w:pos="4153"/>
          <w:tab w:val="clear" w:pos="8306"/>
        </w:tabs>
        <w:jc w:val="both"/>
        <w:rPr>
          <w:rFonts w:ascii="Arial" w:hAnsi="Arial"/>
          <w:b/>
          <w:sz w:val="22"/>
          <w:szCs w:val="22"/>
        </w:rPr>
      </w:pPr>
    </w:p>
    <w:p w:rsidR="00F421DB" w:rsidRDefault="00F421DB" w:rsidP="00377B68">
      <w:pPr>
        <w:pStyle w:val="ListParagraph"/>
        <w:numPr>
          <w:ilvl w:val="1"/>
          <w:numId w:val="9"/>
        </w:numPr>
        <w:jc w:val="both"/>
        <w:rPr>
          <w:rFonts w:ascii="Arial" w:hAnsi="Arial"/>
          <w:sz w:val="22"/>
          <w:szCs w:val="22"/>
        </w:rPr>
      </w:pPr>
      <w:r>
        <w:rPr>
          <w:rFonts w:ascii="Arial" w:hAnsi="Arial"/>
          <w:sz w:val="22"/>
          <w:szCs w:val="22"/>
        </w:rPr>
        <w:t>The minor submission nominates</w:t>
      </w:r>
      <w:r w:rsidR="006563A0">
        <w:rPr>
          <w:rFonts w:ascii="Arial" w:hAnsi="Arial"/>
          <w:sz w:val="22"/>
          <w:szCs w:val="22"/>
        </w:rPr>
        <w:t xml:space="preserve"> glatiramer acetate 20</w:t>
      </w:r>
      <w:r w:rsidR="00415BD9">
        <w:rPr>
          <w:rFonts w:ascii="Arial" w:hAnsi="Arial"/>
          <w:sz w:val="22"/>
          <w:szCs w:val="22"/>
        </w:rPr>
        <w:t xml:space="preserve"> </w:t>
      </w:r>
      <w:r w:rsidR="006563A0">
        <w:rPr>
          <w:rFonts w:ascii="Arial" w:hAnsi="Arial"/>
          <w:sz w:val="22"/>
          <w:szCs w:val="22"/>
        </w:rPr>
        <w:t>mg/mL injection taken daily as the comparator</w:t>
      </w:r>
      <w:r w:rsidR="00043458">
        <w:rPr>
          <w:rFonts w:ascii="Arial" w:hAnsi="Arial"/>
          <w:sz w:val="22"/>
          <w:szCs w:val="22"/>
        </w:rPr>
        <w:t xml:space="preserve"> for glatiramer acetate 40 mg/mL three times weekly.</w:t>
      </w:r>
    </w:p>
    <w:p w:rsidR="00F421DB" w:rsidRDefault="00F421DB" w:rsidP="00F421DB">
      <w:pPr>
        <w:jc w:val="both"/>
        <w:rPr>
          <w:rFonts w:ascii="Arial" w:hAnsi="Arial"/>
          <w:sz w:val="22"/>
          <w:szCs w:val="22"/>
        </w:rPr>
      </w:pPr>
      <w:r w:rsidRPr="00476245">
        <w:rPr>
          <w:rFonts w:ascii="Arial" w:hAnsi="Arial"/>
          <w:sz w:val="22"/>
          <w:szCs w:val="22"/>
        </w:rPr>
        <w:tab/>
      </w:r>
    </w:p>
    <w:p w:rsidR="00F421DB" w:rsidRPr="00476245" w:rsidRDefault="00F421DB" w:rsidP="00F421DB">
      <w:pPr>
        <w:jc w:val="both"/>
        <w:rPr>
          <w:rFonts w:ascii="Arial" w:hAnsi="Arial"/>
          <w:sz w:val="22"/>
          <w:szCs w:val="22"/>
        </w:rPr>
      </w:pPr>
    </w:p>
    <w:p w:rsidR="0046348D" w:rsidRDefault="00F421DB" w:rsidP="00A57A52">
      <w:pPr>
        <w:pStyle w:val="PBACHeading1"/>
      </w:pPr>
      <w:r>
        <w:t>C</w:t>
      </w:r>
      <w:r w:rsidR="0046348D">
        <w:t>onsideration of evidence</w:t>
      </w:r>
    </w:p>
    <w:p w:rsidR="0046348D" w:rsidRDefault="0046348D" w:rsidP="0033363A">
      <w:pPr>
        <w:pStyle w:val="Header"/>
        <w:tabs>
          <w:tab w:val="clear" w:pos="4153"/>
          <w:tab w:val="clear" w:pos="8306"/>
        </w:tabs>
        <w:jc w:val="both"/>
        <w:rPr>
          <w:rFonts w:ascii="Arial" w:hAnsi="Arial"/>
          <w:b/>
          <w:sz w:val="22"/>
          <w:szCs w:val="22"/>
        </w:rPr>
      </w:pPr>
    </w:p>
    <w:p w:rsidR="0046348D" w:rsidRPr="00F85173" w:rsidRDefault="0046348D" w:rsidP="0046348D">
      <w:pPr>
        <w:jc w:val="both"/>
        <w:rPr>
          <w:rFonts w:ascii="Arial" w:hAnsi="Arial"/>
          <w:b/>
          <w:i/>
          <w:sz w:val="22"/>
          <w:szCs w:val="22"/>
        </w:rPr>
      </w:pPr>
      <w:r>
        <w:rPr>
          <w:rFonts w:ascii="Arial" w:hAnsi="Arial"/>
          <w:b/>
          <w:i/>
          <w:sz w:val="22"/>
          <w:szCs w:val="22"/>
        </w:rPr>
        <w:t>Consumer comments</w:t>
      </w:r>
    </w:p>
    <w:p w:rsidR="0046348D" w:rsidRDefault="0046348D" w:rsidP="0033363A">
      <w:pPr>
        <w:pStyle w:val="ListParagraph"/>
        <w:ind w:left="709"/>
        <w:jc w:val="both"/>
        <w:rPr>
          <w:rFonts w:ascii="Arial" w:hAnsi="Arial"/>
          <w:sz w:val="22"/>
          <w:szCs w:val="22"/>
        </w:rPr>
      </w:pPr>
    </w:p>
    <w:p w:rsidR="0046348D" w:rsidRPr="006679FD" w:rsidRDefault="0046348D" w:rsidP="00E870C8">
      <w:pPr>
        <w:pStyle w:val="ListParagraph"/>
        <w:numPr>
          <w:ilvl w:val="1"/>
          <w:numId w:val="9"/>
        </w:numPr>
        <w:jc w:val="both"/>
        <w:rPr>
          <w:rFonts w:ascii="Arial" w:hAnsi="Arial"/>
          <w:sz w:val="22"/>
          <w:szCs w:val="22"/>
        </w:rPr>
      </w:pPr>
      <w:r w:rsidRPr="006679FD">
        <w:rPr>
          <w:rFonts w:ascii="Arial" w:hAnsi="Arial"/>
          <w:sz w:val="22"/>
          <w:szCs w:val="22"/>
        </w:rPr>
        <w:t xml:space="preserve">The </w:t>
      </w:r>
      <w:r>
        <w:rPr>
          <w:rFonts w:ascii="Arial" w:hAnsi="Arial"/>
          <w:sz w:val="22"/>
          <w:szCs w:val="22"/>
        </w:rPr>
        <w:t xml:space="preserve">PBAC noted and welcomed the input from two organizations via the Consumer Comments facility on the PBS website. The comments indicated the importance of maximising choice for the consumer and the additional benefits of less frequent dosing.  </w:t>
      </w:r>
    </w:p>
    <w:p w:rsidR="0046348D" w:rsidRDefault="0046348D" w:rsidP="0033363A">
      <w:pPr>
        <w:pStyle w:val="Header"/>
        <w:tabs>
          <w:tab w:val="clear" w:pos="4153"/>
          <w:tab w:val="clear" w:pos="8306"/>
        </w:tabs>
        <w:jc w:val="both"/>
      </w:pPr>
    </w:p>
    <w:p w:rsidR="0046348D" w:rsidRPr="0033363A" w:rsidRDefault="0046348D" w:rsidP="0033363A">
      <w:pPr>
        <w:jc w:val="both"/>
        <w:rPr>
          <w:rFonts w:ascii="Arial" w:hAnsi="Arial"/>
          <w:b/>
          <w:i/>
          <w:sz w:val="22"/>
          <w:szCs w:val="22"/>
        </w:rPr>
      </w:pPr>
      <w:r>
        <w:rPr>
          <w:rFonts w:ascii="Arial" w:hAnsi="Arial"/>
          <w:b/>
          <w:i/>
          <w:sz w:val="22"/>
          <w:szCs w:val="22"/>
        </w:rPr>
        <w:t>Clinical trials</w:t>
      </w:r>
    </w:p>
    <w:p w:rsidR="00F421DB" w:rsidRPr="00F9629A" w:rsidRDefault="00F421DB" w:rsidP="00F421DB">
      <w:pPr>
        <w:jc w:val="both"/>
        <w:rPr>
          <w:rFonts w:ascii="Arial" w:hAnsi="Arial"/>
          <w:sz w:val="22"/>
          <w:szCs w:val="22"/>
        </w:rPr>
      </w:pPr>
    </w:p>
    <w:p w:rsidR="00F421DB" w:rsidRPr="006679FD" w:rsidRDefault="00F421DB" w:rsidP="00E870C8">
      <w:pPr>
        <w:pStyle w:val="ListParagraph"/>
        <w:numPr>
          <w:ilvl w:val="1"/>
          <w:numId w:val="9"/>
        </w:numPr>
        <w:jc w:val="both"/>
        <w:rPr>
          <w:rFonts w:ascii="Arial" w:hAnsi="Arial"/>
          <w:sz w:val="22"/>
          <w:szCs w:val="22"/>
        </w:rPr>
      </w:pPr>
      <w:r w:rsidRPr="006679FD">
        <w:rPr>
          <w:rFonts w:ascii="Arial" w:hAnsi="Arial"/>
          <w:sz w:val="22"/>
          <w:szCs w:val="22"/>
        </w:rPr>
        <w:t>The minor submission presented the following clinical trials</w:t>
      </w:r>
      <w:r w:rsidR="00043458">
        <w:rPr>
          <w:rFonts w:ascii="Arial" w:hAnsi="Arial"/>
          <w:sz w:val="22"/>
          <w:szCs w:val="22"/>
        </w:rPr>
        <w:t>:</w:t>
      </w:r>
    </w:p>
    <w:p w:rsidR="00F421DB" w:rsidRDefault="00F421DB" w:rsidP="00F421DB">
      <w:pPr>
        <w:ind w:left="709"/>
        <w:jc w:val="both"/>
        <w:rPr>
          <w:rFonts w:ascii="Arial" w:hAnsi="Arial"/>
          <w:sz w:val="22"/>
          <w:szCs w:val="22"/>
        </w:rPr>
      </w:pPr>
    </w:p>
    <w:p w:rsidR="00F421DB" w:rsidRPr="009F5F2E" w:rsidRDefault="00F421DB" w:rsidP="00F421DB">
      <w:pPr>
        <w:keepNext/>
        <w:ind w:firstLine="709"/>
        <w:rPr>
          <w:rFonts w:ascii="Arial Narrow" w:hAnsi="Arial Narrow"/>
          <w:b/>
          <w:sz w:val="20"/>
        </w:rPr>
      </w:pPr>
      <w:r w:rsidRPr="009F5F2E">
        <w:rPr>
          <w:rFonts w:ascii="Arial Narrow" w:hAnsi="Arial Narrow"/>
          <w:b/>
          <w:sz w:val="20"/>
        </w:rPr>
        <w:t>Trials and associated reports presented in the re-submission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linical trials and associated reports presented in the submission"/>
      </w:tblPr>
      <w:tblGrid>
        <w:gridCol w:w="1686"/>
        <w:gridCol w:w="4757"/>
        <w:gridCol w:w="1921"/>
      </w:tblGrid>
      <w:tr w:rsidR="00F421DB" w:rsidRPr="00541558" w:rsidTr="00E410C9">
        <w:trPr>
          <w:cantSplit/>
          <w:tblHeader/>
        </w:trPr>
        <w:tc>
          <w:tcPr>
            <w:tcW w:w="1686" w:type="dxa"/>
          </w:tcPr>
          <w:p w:rsidR="00325FFE" w:rsidRDefault="00F421DB" w:rsidP="00215D92">
            <w:pPr>
              <w:keepNext/>
              <w:rPr>
                <w:rFonts w:ascii="Arial Narrow" w:hAnsi="Arial Narrow"/>
                <w:b/>
                <w:sz w:val="20"/>
              </w:rPr>
            </w:pPr>
            <w:r w:rsidRPr="00541558">
              <w:rPr>
                <w:rFonts w:ascii="Arial Narrow" w:hAnsi="Arial Narrow"/>
                <w:b/>
                <w:sz w:val="20"/>
              </w:rPr>
              <w:t>Trial ID</w:t>
            </w:r>
            <w:r w:rsidR="00325FFE">
              <w:rPr>
                <w:rFonts w:ascii="Arial Narrow" w:hAnsi="Arial Narrow"/>
                <w:b/>
                <w:sz w:val="20"/>
              </w:rPr>
              <w:t>/</w:t>
            </w:r>
          </w:p>
          <w:p w:rsidR="00F421DB" w:rsidRPr="00F42D85" w:rsidRDefault="00325FFE" w:rsidP="00215D92">
            <w:pPr>
              <w:keepNext/>
              <w:rPr>
                <w:rFonts w:ascii="Arial Narrow" w:hAnsi="Arial Narrow"/>
                <w:b/>
                <w:sz w:val="20"/>
              </w:rPr>
            </w:pPr>
            <w:r>
              <w:rPr>
                <w:rFonts w:ascii="Arial Narrow" w:hAnsi="Arial Narrow"/>
                <w:b/>
                <w:sz w:val="20"/>
              </w:rPr>
              <w:t>First Author</w:t>
            </w:r>
          </w:p>
        </w:tc>
        <w:tc>
          <w:tcPr>
            <w:tcW w:w="4757" w:type="dxa"/>
          </w:tcPr>
          <w:p w:rsidR="00F421DB" w:rsidRPr="00541558" w:rsidRDefault="00F421DB" w:rsidP="00215D92">
            <w:pPr>
              <w:keepNext/>
              <w:jc w:val="center"/>
              <w:rPr>
                <w:rFonts w:ascii="Arial Narrow" w:hAnsi="Arial Narrow"/>
                <w:b/>
                <w:sz w:val="20"/>
              </w:rPr>
            </w:pPr>
            <w:r w:rsidRPr="00541558">
              <w:rPr>
                <w:rFonts w:ascii="Arial Narrow" w:hAnsi="Arial Narrow"/>
                <w:b/>
                <w:sz w:val="20"/>
              </w:rPr>
              <w:t>Protocol title/ Publication title</w:t>
            </w:r>
          </w:p>
        </w:tc>
        <w:tc>
          <w:tcPr>
            <w:tcW w:w="1921" w:type="dxa"/>
          </w:tcPr>
          <w:p w:rsidR="00F421DB" w:rsidRPr="00541558" w:rsidRDefault="00F421DB" w:rsidP="00215D92">
            <w:pPr>
              <w:keepNext/>
              <w:rPr>
                <w:rFonts w:ascii="Arial Narrow" w:hAnsi="Arial Narrow"/>
                <w:b/>
                <w:sz w:val="20"/>
              </w:rPr>
            </w:pPr>
            <w:r w:rsidRPr="00541558">
              <w:rPr>
                <w:rFonts w:ascii="Arial Narrow" w:hAnsi="Arial Narrow"/>
                <w:b/>
                <w:sz w:val="20"/>
              </w:rPr>
              <w:t>Publication citation</w:t>
            </w:r>
          </w:p>
        </w:tc>
      </w:tr>
      <w:tr w:rsidR="00F421DB" w:rsidRPr="00541558" w:rsidTr="00377B68">
        <w:trPr>
          <w:cantSplit/>
        </w:trPr>
        <w:tc>
          <w:tcPr>
            <w:tcW w:w="8364" w:type="dxa"/>
            <w:gridSpan w:val="3"/>
            <w:tcBorders>
              <w:bottom w:val="single" w:sz="4" w:space="0" w:color="auto"/>
            </w:tcBorders>
          </w:tcPr>
          <w:p w:rsidR="00F421DB" w:rsidRPr="00541558" w:rsidRDefault="00F421DB" w:rsidP="00215D92">
            <w:pPr>
              <w:keepNext/>
              <w:rPr>
                <w:rFonts w:ascii="Arial Narrow" w:hAnsi="Arial Narrow"/>
                <w:b/>
                <w:sz w:val="20"/>
              </w:rPr>
            </w:pPr>
            <w:r w:rsidRPr="00541558">
              <w:rPr>
                <w:rFonts w:ascii="Arial Narrow" w:hAnsi="Arial Narrow"/>
                <w:b/>
                <w:sz w:val="20"/>
              </w:rPr>
              <w:t>Indirect randomised trials</w:t>
            </w:r>
          </w:p>
        </w:tc>
      </w:tr>
      <w:tr w:rsidR="00300CE8" w:rsidRPr="00541558" w:rsidTr="00377B68">
        <w:trPr>
          <w:cantSplit/>
        </w:trPr>
        <w:tc>
          <w:tcPr>
            <w:tcW w:w="1686" w:type="dxa"/>
            <w:tcBorders>
              <w:bottom w:val="nil"/>
              <w:right w:val="single" w:sz="4" w:space="0" w:color="auto"/>
            </w:tcBorders>
          </w:tcPr>
          <w:p w:rsidR="00300CE8" w:rsidRPr="00541558" w:rsidRDefault="00300CE8" w:rsidP="00EE1596">
            <w:pPr>
              <w:keepNext/>
              <w:rPr>
                <w:rFonts w:ascii="Arial Narrow" w:hAnsi="Arial Narrow"/>
                <w:sz w:val="20"/>
              </w:rPr>
            </w:pPr>
            <w:r w:rsidRPr="00541558">
              <w:rPr>
                <w:rFonts w:ascii="Arial Narrow" w:hAnsi="Arial Narrow"/>
                <w:sz w:val="20"/>
              </w:rPr>
              <w:t>GALA</w:t>
            </w:r>
          </w:p>
        </w:tc>
        <w:tc>
          <w:tcPr>
            <w:tcW w:w="4757" w:type="dxa"/>
            <w:tcBorders>
              <w:left w:val="single" w:sz="4" w:space="0" w:color="auto"/>
              <w:bottom w:val="nil"/>
              <w:right w:val="single" w:sz="4" w:space="0" w:color="auto"/>
            </w:tcBorders>
          </w:tcPr>
          <w:p w:rsidR="00313209" w:rsidRDefault="00313209" w:rsidP="00F42D85">
            <w:pPr>
              <w:keepNext/>
              <w:rPr>
                <w:rFonts w:ascii="Arial Narrow" w:hAnsi="Arial Narrow"/>
                <w:sz w:val="20"/>
              </w:rPr>
            </w:pPr>
            <w:r>
              <w:rPr>
                <w:rFonts w:ascii="Arial Narrow" w:hAnsi="Arial Narrow"/>
                <w:sz w:val="20"/>
              </w:rPr>
              <w:t xml:space="preserve">Glatiramer Acetate Low-frequency Administration </w:t>
            </w:r>
          </w:p>
          <w:p w:rsidR="00300CE8" w:rsidRPr="00541558" w:rsidRDefault="00300CE8" w:rsidP="00F42D85">
            <w:pPr>
              <w:keepNext/>
              <w:rPr>
                <w:rFonts w:ascii="Arial Narrow" w:hAnsi="Arial Narrow"/>
                <w:sz w:val="20"/>
              </w:rPr>
            </w:pPr>
          </w:p>
        </w:tc>
        <w:tc>
          <w:tcPr>
            <w:tcW w:w="1921" w:type="dxa"/>
            <w:tcBorders>
              <w:left w:val="single" w:sz="4" w:space="0" w:color="auto"/>
              <w:bottom w:val="nil"/>
            </w:tcBorders>
          </w:tcPr>
          <w:p w:rsidR="00300CE8" w:rsidRPr="00541558" w:rsidRDefault="00300CE8" w:rsidP="00300CE8">
            <w:pPr>
              <w:keepNext/>
              <w:rPr>
                <w:rFonts w:ascii="Arial Narrow" w:hAnsi="Arial Narrow"/>
                <w:sz w:val="20"/>
              </w:rPr>
            </w:pPr>
          </w:p>
        </w:tc>
      </w:tr>
      <w:tr w:rsidR="00325FFE" w:rsidRPr="00541558" w:rsidTr="00377B68">
        <w:trPr>
          <w:cantSplit/>
        </w:trPr>
        <w:tc>
          <w:tcPr>
            <w:tcW w:w="1686" w:type="dxa"/>
            <w:tcBorders>
              <w:top w:val="nil"/>
              <w:bottom w:val="nil"/>
              <w:right w:val="single" w:sz="4" w:space="0" w:color="auto"/>
            </w:tcBorders>
          </w:tcPr>
          <w:p w:rsidR="00325FFE" w:rsidRPr="00F42D85" w:rsidRDefault="00325FFE" w:rsidP="00EE1596">
            <w:pPr>
              <w:keepNext/>
              <w:rPr>
                <w:rFonts w:ascii="Arial Narrow" w:hAnsi="Arial Narrow"/>
                <w:sz w:val="20"/>
              </w:rPr>
            </w:pPr>
            <w:r w:rsidRPr="00634113">
              <w:rPr>
                <w:rFonts w:ascii="Arial Narrow" w:hAnsi="Arial Narrow"/>
                <w:sz w:val="20"/>
              </w:rPr>
              <w:t>Khan</w:t>
            </w:r>
          </w:p>
        </w:tc>
        <w:tc>
          <w:tcPr>
            <w:tcW w:w="4757" w:type="dxa"/>
            <w:tcBorders>
              <w:top w:val="nil"/>
              <w:left w:val="single" w:sz="4" w:space="0" w:color="auto"/>
              <w:bottom w:val="nil"/>
              <w:right w:val="single" w:sz="4" w:space="0" w:color="auto"/>
            </w:tcBorders>
          </w:tcPr>
          <w:p w:rsidR="00325FFE" w:rsidRDefault="00325FFE" w:rsidP="00EE1596">
            <w:pPr>
              <w:keepNext/>
              <w:rPr>
                <w:rFonts w:ascii="Arial Narrow" w:hAnsi="Arial Narrow"/>
                <w:sz w:val="20"/>
              </w:rPr>
            </w:pPr>
            <w:r w:rsidRPr="00634113">
              <w:rPr>
                <w:rFonts w:ascii="Arial Narrow" w:hAnsi="Arial Narrow"/>
                <w:sz w:val="20"/>
              </w:rPr>
              <w:t>Three times weekly glatiramer acetate in relapsing-remitting placebo-controlled trial. The Copolymer 1 Multiple Sclerosis Study Group</w:t>
            </w:r>
            <w:r>
              <w:rPr>
                <w:rFonts w:ascii="Arial Narrow" w:hAnsi="Arial Narrow"/>
                <w:sz w:val="20"/>
              </w:rPr>
              <w:t>.</w:t>
            </w:r>
          </w:p>
          <w:p w:rsidR="00325FFE" w:rsidRPr="00F42D85" w:rsidRDefault="00325FFE" w:rsidP="00EE1596">
            <w:pPr>
              <w:keepNext/>
              <w:rPr>
                <w:rFonts w:ascii="Arial Narrow" w:hAnsi="Arial Narrow"/>
                <w:sz w:val="20"/>
              </w:rPr>
            </w:pPr>
          </w:p>
        </w:tc>
        <w:tc>
          <w:tcPr>
            <w:tcW w:w="1921" w:type="dxa"/>
            <w:tcBorders>
              <w:top w:val="nil"/>
              <w:left w:val="single" w:sz="4" w:space="0" w:color="auto"/>
              <w:bottom w:val="nil"/>
            </w:tcBorders>
          </w:tcPr>
          <w:p w:rsidR="00325FFE" w:rsidRPr="00F42D85" w:rsidRDefault="00325FFE" w:rsidP="00300CE8">
            <w:pPr>
              <w:keepNext/>
              <w:rPr>
                <w:rFonts w:ascii="Arial Narrow" w:hAnsi="Arial Narrow"/>
                <w:sz w:val="20"/>
              </w:rPr>
            </w:pPr>
            <w:r w:rsidRPr="00634113">
              <w:rPr>
                <w:rFonts w:ascii="Arial Narrow" w:hAnsi="Arial Narrow"/>
                <w:sz w:val="20"/>
              </w:rPr>
              <w:t>Neurology 2013;73(6):705-13</w:t>
            </w:r>
          </w:p>
        </w:tc>
      </w:tr>
      <w:tr w:rsidR="0050138B" w:rsidRPr="00541558" w:rsidTr="00377B68">
        <w:trPr>
          <w:cantSplit/>
        </w:trPr>
        <w:tc>
          <w:tcPr>
            <w:tcW w:w="1686" w:type="dxa"/>
            <w:tcBorders>
              <w:top w:val="nil"/>
              <w:bottom w:val="single" w:sz="4" w:space="0" w:color="auto"/>
              <w:right w:val="single" w:sz="4" w:space="0" w:color="auto"/>
            </w:tcBorders>
          </w:tcPr>
          <w:p w:rsidR="0050138B" w:rsidRPr="00F42D85" w:rsidRDefault="00325FFE" w:rsidP="00EE1596">
            <w:pPr>
              <w:keepNext/>
              <w:rPr>
                <w:rFonts w:ascii="Arial Narrow" w:hAnsi="Arial Narrow"/>
                <w:sz w:val="20"/>
              </w:rPr>
            </w:pPr>
            <w:r w:rsidRPr="00634113">
              <w:rPr>
                <w:rFonts w:ascii="Arial Narrow" w:hAnsi="Arial Narrow"/>
                <w:sz w:val="20"/>
              </w:rPr>
              <w:t>Khan</w:t>
            </w:r>
          </w:p>
        </w:tc>
        <w:tc>
          <w:tcPr>
            <w:tcW w:w="4757" w:type="dxa"/>
            <w:tcBorders>
              <w:top w:val="nil"/>
              <w:left w:val="single" w:sz="4" w:space="0" w:color="auto"/>
              <w:bottom w:val="single" w:sz="4" w:space="0" w:color="auto"/>
              <w:right w:val="single" w:sz="4" w:space="0" w:color="auto"/>
            </w:tcBorders>
          </w:tcPr>
          <w:p w:rsidR="0050138B" w:rsidRDefault="0050138B" w:rsidP="00F42D85">
            <w:pPr>
              <w:keepNext/>
              <w:rPr>
                <w:rFonts w:ascii="Arial Narrow" w:hAnsi="Arial Narrow"/>
                <w:sz w:val="20"/>
              </w:rPr>
            </w:pPr>
            <w:r w:rsidRPr="00541558">
              <w:rPr>
                <w:rFonts w:ascii="Arial Narrow" w:hAnsi="Arial Narrow"/>
                <w:sz w:val="20"/>
              </w:rPr>
              <w:t>24-Month Efficacy and Safety of Glatiramer Acetate 40mg/1mL 3-Times Weekly: Open-label Extension Study of the GALA Trial in Subjects With Relapsing-Remitting Multiple Sclerosis (S31.003).</w:t>
            </w:r>
          </w:p>
          <w:p w:rsidR="00325FFE" w:rsidRPr="00F42D85" w:rsidRDefault="00325FFE" w:rsidP="00F42D85">
            <w:pPr>
              <w:keepNext/>
              <w:rPr>
                <w:rFonts w:ascii="Arial Narrow" w:hAnsi="Arial Narrow"/>
                <w:sz w:val="20"/>
              </w:rPr>
            </w:pPr>
          </w:p>
        </w:tc>
        <w:tc>
          <w:tcPr>
            <w:tcW w:w="1921" w:type="dxa"/>
            <w:tcBorders>
              <w:top w:val="nil"/>
              <w:left w:val="single" w:sz="4" w:space="0" w:color="auto"/>
              <w:bottom w:val="single" w:sz="4" w:space="0" w:color="auto"/>
            </w:tcBorders>
          </w:tcPr>
          <w:p w:rsidR="0050138B" w:rsidRPr="00541558" w:rsidRDefault="0050138B" w:rsidP="00EE1596">
            <w:pPr>
              <w:keepNext/>
              <w:rPr>
                <w:rFonts w:ascii="Arial Narrow" w:hAnsi="Arial Narrow"/>
                <w:sz w:val="20"/>
              </w:rPr>
            </w:pPr>
            <w:r w:rsidRPr="00541558">
              <w:rPr>
                <w:rFonts w:ascii="Arial Narrow" w:hAnsi="Arial Narrow"/>
                <w:sz w:val="20"/>
              </w:rPr>
              <w:t>Neurology.  April 8, 2014;82(10 Supplement):S31.003.</w:t>
            </w:r>
          </w:p>
        </w:tc>
      </w:tr>
      <w:tr w:rsidR="0050138B" w:rsidRPr="00541558" w:rsidTr="00377B68">
        <w:trPr>
          <w:cantSplit/>
        </w:trPr>
        <w:tc>
          <w:tcPr>
            <w:tcW w:w="1686" w:type="dxa"/>
            <w:tcBorders>
              <w:bottom w:val="nil"/>
            </w:tcBorders>
          </w:tcPr>
          <w:p w:rsidR="0050138B" w:rsidRPr="00541558" w:rsidRDefault="0050138B" w:rsidP="00EE1596">
            <w:pPr>
              <w:keepNext/>
              <w:rPr>
                <w:rFonts w:ascii="Arial Narrow" w:hAnsi="Arial Narrow"/>
                <w:sz w:val="20"/>
              </w:rPr>
            </w:pPr>
            <w:r w:rsidRPr="00541558">
              <w:rPr>
                <w:rFonts w:ascii="Arial Narrow" w:hAnsi="Arial Narrow"/>
                <w:sz w:val="20"/>
              </w:rPr>
              <w:t>CONFIRM</w:t>
            </w:r>
          </w:p>
        </w:tc>
        <w:tc>
          <w:tcPr>
            <w:tcW w:w="4757" w:type="dxa"/>
            <w:tcBorders>
              <w:bottom w:val="nil"/>
            </w:tcBorders>
          </w:tcPr>
          <w:p w:rsidR="00F42D85" w:rsidRDefault="00F42D85" w:rsidP="00EE1596">
            <w:pPr>
              <w:keepNext/>
              <w:rPr>
                <w:rFonts w:ascii="Arial Narrow" w:hAnsi="Arial Narrow"/>
                <w:sz w:val="20"/>
              </w:rPr>
            </w:pPr>
            <w:r w:rsidRPr="00F42D85">
              <w:rPr>
                <w:rFonts w:ascii="Arial Narrow" w:hAnsi="Arial Narrow"/>
                <w:sz w:val="20"/>
              </w:rPr>
              <w:t>Comparator and an Oral Fumarate in R</w:t>
            </w:r>
            <w:r w:rsidR="00313209">
              <w:rPr>
                <w:rFonts w:ascii="Arial Narrow" w:hAnsi="Arial Narrow"/>
                <w:sz w:val="20"/>
              </w:rPr>
              <w:t>elapsing-Remitting Multiple Sclerosis</w:t>
            </w:r>
          </w:p>
          <w:p w:rsidR="0050138B" w:rsidRPr="00541558" w:rsidRDefault="0050138B" w:rsidP="00EE1596">
            <w:pPr>
              <w:keepNext/>
              <w:rPr>
                <w:rFonts w:ascii="Arial Narrow" w:hAnsi="Arial Narrow"/>
                <w:sz w:val="20"/>
              </w:rPr>
            </w:pPr>
          </w:p>
        </w:tc>
        <w:tc>
          <w:tcPr>
            <w:tcW w:w="1921" w:type="dxa"/>
            <w:tcBorders>
              <w:bottom w:val="nil"/>
            </w:tcBorders>
          </w:tcPr>
          <w:p w:rsidR="0050138B" w:rsidRPr="00541558" w:rsidRDefault="0050138B" w:rsidP="00EE1596">
            <w:pPr>
              <w:keepNext/>
              <w:rPr>
                <w:rFonts w:ascii="Arial Narrow" w:hAnsi="Arial Narrow"/>
                <w:sz w:val="20"/>
              </w:rPr>
            </w:pPr>
          </w:p>
        </w:tc>
      </w:tr>
      <w:tr w:rsidR="00325FFE" w:rsidRPr="00541558" w:rsidTr="00377B68">
        <w:trPr>
          <w:cantSplit/>
        </w:trPr>
        <w:tc>
          <w:tcPr>
            <w:tcW w:w="1686" w:type="dxa"/>
            <w:tcBorders>
              <w:top w:val="nil"/>
            </w:tcBorders>
          </w:tcPr>
          <w:p w:rsidR="00325FFE" w:rsidRPr="00F42D85" w:rsidRDefault="00325FFE" w:rsidP="00EE1596">
            <w:pPr>
              <w:keepNext/>
              <w:rPr>
                <w:rFonts w:ascii="Arial Narrow" w:hAnsi="Arial Narrow"/>
                <w:sz w:val="20"/>
              </w:rPr>
            </w:pPr>
            <w:r w:rsidRPr="00634113">
              <w:rPr>
                <w:rFonts w:ascii="Arial Narrow" w:hAnsi="Arial Narrow"/>
                <w:sz w:val="20"/>
              </w:rPr>
              <w:t>Fox</w:t>
            </w:r>
          </w:p>
        </w:tc>
        <w:tc>
          <w:tcPr>
            <w:tcW w:w="4757" w:type="dxa"/>
            <w:tcBorders>
              <w:top w:val="nil"/>
            </w:tcBorders>
          </w:tcPr>
          <w:p w:rsidR="00325FFE" w:rsidRPr="00F42D85" w:rsidRDefault="00325FFE" w:rsidP="00EE1596">
            <w:pPr>
              <w:keepNext/>
              <w:rPr>
                <w:rFonts w:ascii="Arial Narrow" w:hAnsi="Arial Narrow"/>
                <w:sz w:val="20"/>
              </w:rPr>
            </w:pPr>
            <w:r w:rsidRPr="00634113">
              <w:rPr>
                <w:rFonts w:ascii="Arial Narrow" w:hAnsi="Arial Narrow"/>
                <w:sz w:val="20"/>
              </w:rPr>
              <w:t>Placebo-controlled phase 3 study of oral BG-12 or glatiramer in multiple sclerosis.</w:t>
            </w:r>
          </w:p>
        </w:tc>
        <w:tc>
          <w:tcPr>
            <w:tcW w:w="1921" w:type="dxa"/>
            <w:tcBorders>
              <w:top w:val="nil"/>
            </w:tcBorders>
          </w:tcPr>
          <w:p w:rsidR="00325FFE" w:rsidRPr="00F42D85" w:rsidRDefault="00325FFE" w:rsidP="00EE1596">
            <w:pPr>
              <w:keepNext/>
              <w:rPr>
                <w:rFonts w:ascii="Arial Narrow" w:hAnsi="Arial Narrow"/>
                <w:sz w:val="20"/>
              </w:rPr>
            </w:pPr>
            <w:r w:rsidRPr="00A22662">
              <w:rPr>
                <w:rFonts w:ascii="Arial Narrow" w:hAnsi="Arial Narrow"/>
                <w:sz w:val="20"/>
              </w:rPr>
              <w:t>The New England journal of medicine. 2012;367(12):1087–1097</w:t>
            </w:r>
          </w:p>
        </w:tc>
      </w:tr>
      <w:tr w:rsidR="0050138B" w:rsidRPr="00541558" w:rsidTr="00215D92">
        <w:trPr>
          <w:cantSplit/>
        </w:trPr>
        <w:tc>
          <w:tcPr>
            <w:tcW w:w="8364" w:type="dxa"/>
            <w:gridSpan w:val="3"/>
          </w:tcPr>
          <w:p w:rsidR="0050138B" w:rsidRPr="00541558" w:rsidRDefault="0050138B" w:rsidP="00215D92">
            <w:pPr>
              <w:keepNext/>
              <w:rPr>
                <w:rFonts w:ascii="Arial Narrow" w:hAnsi="Arial Narrow"/>
                <w:b/>
                <w:sz w:val="20"/>
              </w:rPr>
            </w:pPr>
            <w:r w:rsidRPr="00541558">
              <w:rPr>
                <w:rFonts w:ascii="Arial Narrow" w:hAnsi="Arial Narrow"/>
                <w:b/>
                <w:sz w:val="20"/>
              </w:rPr>
              <w:t>Supplementary randomised trial</w:t>
            </w:r>
          </w:p>
        </w:tc>
      </w:tr>
      <w:tr w:rsidR="0050138B" w:rsidRPr="00541558" w:rsidTr="00E410C9">
        <w:trPr>
          <w:cantSplit/>
        </w:trPr>
        <w:tc>
          <w:tcPr>
            <w:tcW w:w="1686" w:type="dxa"/>
          </w:tcPr>
          <w:p w:rsidR="0050138B" w:rsidRPr="00F42D85" w:rsidRDefault="00325FFE" w:rsidP="00215D92">
            <w:pPr>
              <w:keepNext/>
              <w:rPr>
                <w:rFonts w:ascii="Arial Narrow" w:hAnsi="Arial Narrow"/>
                <w:sz w:val="20"/>
              </w:rPr>
            </w:pPr>
            <w:r w:rsidRPr="00634113">
              <w:rPr>
                <w:rFonts w:ascii="Arial Narrow" w:hAnsi="Arial Narrow"/>
                <w:sz w:val="20"/>
              </w:rPr>
              <w:t>Comi</w:t>
            </w:r>
          </w:p>
        </w:tc>
        <w:tc>
          <w:tcPr>
            <w:tcW w:w="4757" w:type="dxa"/>
          </w:tcPr>
          <w:p w:rsidR="0050138B" w:rsidRPr="00541558" w:rsidRDefault="0050138B" w:rsidP="00215D92">
            <w:pPr>
              <w:keepNext/>
              <w:rPr>
                <w:rFonts w:ascii="Arial Narrow" w:hAnsi="Arial Narrow"/>
                <w:sz w:val="20"/>
              </w:rPr>
            </w:pPr>
            <w:r w:rsidRPr="00541558">
              <w:rPr>
                <w:rFonts w:ascii="Arial Narrow" w:hAnsi="Arial Narrow"/>
                <w:sz w:val="20"/>
              </w:rPr>
              <w:t>European/Canadian multicenter, double-blind, randomized, placebo-controlled study of the effects of glatiramer acetate on magnetic resonance imaging--measured disease activity and burden in patients with relapsing multiple sclerosis. European/Canadian Glatiramer Acetate Study Group.</w:t>
            </w:r>
          </w:p>
        </w:tc>
        <w:tc>
          <w:tcPr>
            <w:tcW w:w="1921" w:type="dxa"/>
          </w:tcPr>
          <w:p w:rsidR="0050138B" w:rsidRPr="00541558" w:rsidRDefault="0050138B" w:rsidP="00215D92">
            <w:pPr>
              <w:keepNext/>
              <w:rPr>
                <w:rFonts w:ascii="Arial Narrow" w:hAnsi="Arial Narrow"/>
                <w:sz w:val="20"/>
              </w:rPr>
            </w:pPr>
            <w:r w:rsidRPr="00541558">
              <w:rPr>
                <w:rFonts w:ascii="Arial Narrow" w:hAnsi="Arial Narrow"/>
                <w:sz w:val="20"/>
              </w:rPr>
              <w:t>Annals of neurology. 2001;49(3):290–297.</w:t>
            </w:r>
          </w:p>
        </w:tc>
      </w:tr>
      <w:tr w:rsidR="0050138B" w:rsidRPr="00541558" w:rsidTr="00E410C9">
        <w:trPr>
          <w:cantSplit/>
        </w:trPr>
        <w:tc>
          <w:tcPr>
            <w:tcW w:w="1686" w:type="dxa"/>
          </w:tcPr>
          <w:p w:rsidR="0050138B" w:rsidRPr="00F42D85" w:rsidRDefault="00325FFE" w:rsidP="00215D92">
            <w:pPr>
              <w:keepNext/>
              <w:rPr>
                <w:rFonts w:ascii="Arial Narrow" w:hAnsi="Arial Narrow"/>
                <w:sz w:val="20"/>
              </w:rPr>
            </w:pPr>
            <w:r w:rsidRPr="00634113">
              <w:rPr>
                <w:rFonts w:ascii="Arial Narrow" w:hAnsi="Arial Narrow"/>
                <w:sz w:val="20"/>
              </w:rPr>
              <w:t>Johnson</w:t>
            </w:r>
          </w:p>
        </w:tc>
        <w:tc>
          <w:tcPr>
            <w:tcW w:w="4757" w:type="dxa"/>
          </w:tcPr>
          <w:p w:rsidR="0050138B" w:rsidRPr="00541558" w:rsidRDefault="0050138B" w:rsidP="00215D92">
            <w:pPr>
              <w:keepNext/>
              <w:rPr>
                <w:rFonts w:ascii="Arial Narrow" w:hAnsi="Arial Narrow"/>
                <w:sz w:val="20"/>
              </w:rPr>
            </w:pPr>
            <w:r w:rsidRPr="00541558">
              <w:rPr>
                <w:rFonts w:ascii="Arial Narrow" w:hAnsi="Arial Narrow"/>
                <w:sz w:val="20"/>
              </w:rPr>
              <w:t>Copolymer 1 reduces relapse rate and improves disability in relapsing-remitting multiple sclerosis: results of a phase III multicenter, double-blind placebo-controlled trial. The Copolymer 1 Multiple Sclerosis Study Group.</w:t>
            </w:r>
          </w:p>
        </w:tc>
        <w:tc>
          <w:tcPr>
            <w:tcW w:w="1921" w:type="dxa"/>
          </w:tcPr>
          <w:p w:rsidR="0050138B" w:rsidRPr="00541558" w:rsidRDefault="0050138B" w:rsidP="00215D92">
            <w:pPr>
              <w:keepNext/>
              <w:rPr>
                <w:rFonts w:ascii="Arial Narrow" w:hAnsi="Arial Narrow"/>
                <w:sz w:val="20"/>
              </w:rPr>
            </w:pPr>
            <w:r w:rsidRPr="00541558">
              <w:rPr>
                <w:rFonts w:ascii="Arial Narrow" w:hAnsi="Arial Narrow"/>
                <w:sz w:val="20"/>
              </w:rPr>
              <w:t>Neurology. 1995;45(7):1268–1276.</w:t>
            </w:r>
          </w:p>
        </w:tc>
      </w:tr>
      <w:tr w:rsidR="0050138B" w:rsidRPr="005838CB" w:rsidTr="00E410C9">
        <w:trPr>
          <w:cantSplit/>
        </w:trPr>
        <w:tc>
          <w:tcPr>
            <w:tcW w:w="1686" w:type="dxa"/>
          </w:tcPr>
          <w:p w:rsidR="0050138B" w:rsidRPr="00F42D85" w:rsidRDefault="00325FFE" w:rsidP="00215D92">
            <w:pPr>
              <w:keepNext/>
              <w:rPr>
                <w:rFonts w:ascii="Arial Narrow" w:hAnsi="Arial Narrow"/>
                <w:sz w:val="20"/>
              </w:rPr>
            </w:pPr>
            <w:r w:rsidRPr="00634113">
              <w:rPr>
                <w:rFonts w:ascii="Arial Narrow" w:hAnsi="Arial Narrow"/>
                <w:sz w:val="20"/>
              </w:rPr>
              <w:t>Bornstein</w:t>
            </w:r>
          </w:p>
        </w:tc>
        <w:tc>
          <w:tcPr>
            <w:tcW w:w="4757" w:type="dxa"/>
          </w:tcPr>
          <w:p w:rsidR="0050138B" w:rsidRPr="00541558" w:rsidRDefault="0050138B" w:rsidP="00215D92">
            <w:pPr>
              <w:keepNext/>
              <w:rPr>
                <w:rFonts w:ascii="Arial Narrow" w:hAnsi="Arial Narrow"/>
                <w:sz w:val="20"/>
              </w:rPr>
            </w:pPr>
            <w:r w:rsidRPr="00541558">
              <w:rPr>
                <w:rFonts w:ascii="Arial Narrow" w:hAnsi="Arial Narrow"/>
                <w:sz w:val="20"/>
              </w:rPr>
              <w:t>A pilot trial of Cop 1 in exacerbating-remitting multiple sclerosis.</w:t>
            </w:r>
          </w:p>
        </w:tc>
        <w:tc>
          <w:tcPr>
            <w:tcW w:w="1921" w:type="dxa"/>
          </w:tcPr>
          <w:p w:rsidR="0050138B" w:rsidRPr="004412AD" w:rsidRDefault="0050138B" w:rsidP="00215D92">
            <w:pPr>
              <w:keepNext/>
              <w:rPr>
                <w:rFonts w:ascii="Arial Narrow" w:hAnsi="Arial Narrow"/>
                <w:sz w:val="20"/>
              </w:rPr>
            </w:pPr>
            <w:r w:rsidRPr="00541558">
              <w:rPr>
                <w:rFonts w:ascii="Arial Narrow" w:hAnsi="Arial Narrow"/>
                <w:sz w:val="20"/>
              </w:rPr>
              <w:t>The New England journal of medicine. 1987;317(7):408–414.</w:t>
            </w:r>
          </w:p>
        </w:tc>
      </w:tr>
    </w:tbl>
    <w:p w:rsidR="00F421DB" w:rsidRPr="0076420C" w:rsidRDefault="00F421DB" w:rsidP="00F421DB">
      <w:pPr>
        <w:pStyle w:val="tablenotes"/>
        <w:ind w:firstLine="709"/>
        <w:rPr>
          <w:rFonts w:ascii="Arial Narrow" w:hAnsi="Arial Narrow"/>
          <w:sz w:val="18"/>
          <w:szCs w:val="18"/>
        </w:rPr>
      </w:pPr>
      <w:r w:rsidRPr="005838CB">
        <w:rPr>
          <w:rFonts w:ascii="Arial Narrow" w:hAnsi="Arial Narrow"/>
          <w:sz w:val="18"/>
          <w:szCs w:val="18"/>
        </w:rPr>
        <w:t xml:space="preserve">Source: </w:t>
      </w:r>
      <w:r w:rsidR="00E410C9">
        <w:rPr>
          <w:rFonts w:ascii="Arial Narrow" w:hAnsi="Arial Narrow"/>
          <w:sz w:val="18"/>
          <w:szCs w:val="18"/>
        </w:rPr>
        <w:t>Submission p.10</w:t>
      </w:r>
    </w:p>
    <w:p w:rsidR="003E3F09" w:rsidRDefault="003E3F09" w:rsidP="004412AD">
      <w:pPr>
        <w:pStyle w:val="ListParagraph"/>
        <w:ind w:left="709"/>
        <w:jc w:val="both"/>
        <w:rPr>
          <w:rFonts w:ascii="Arial" w:hAnsi="Arial"/>
          <w:sz w:val="22"/>
          <w:szCs w:val="22"/>
        </w:rPr>
      </w:pPr>
    </w:p>
    <w:p w:rsidR="00A45512" w:rsidRDefault="00A45512" w:rsidP="004412AD">
      <w:pPr>
        <w:pStyle w:val="ListParagraph"/>
        <w:ind w:left="709"/>
        <w:jc w:val="both"/>
        <w:rPr>
          <w:rFonts w:ascii="Arial" w:hAnsi="Arial"/>
          <w:sz w:val="22"/>
          <w:szCs w:val="22"/>
        </w:rPr>
      </w:pPr>
    </w:p>
    <w:p w:rsidR="00A45512" w:rsidRDefault="00A45512" w:rsidP="004412AD">
      <w:pPr>
        <w:pStyle w:val="ListParagraph"/>
        <w:ind w:left="709"/>
        <w:jc w:val="both"/>
        <w:rPr>
          <w:rFonts w:ascii="Arial" w:hAnsi="Arial"/>
          <w:sz w:val="22"/>
          <w:szCs w:val="22"/>
        </w:rPr>
      </w:pPr>
    </w:p>
    <w:p w:rsidR="00A57A52" w:rsidRDefault="00A57A52" w:rsidP="004412AD">
      <w:pPr>
        <w:pStyle w:val="ListParagraph"/>
        <w:ind w:left="709"/>
        <w:jc w:val="both"/>
        <w:rPr>
          <w:rFonts w:ascii="Arial" w:hAnsi="Arial"/>
          <w:sz w:val="22"/>
          <w:szCs w:val="22"/>
        </w:rPr>
      </w:pPr>
    </w:p>
    <w:p w:rsidR="00A57A52" w:rsidRDefault="00A57A52" w:rsidP="004412AD">
      <w:pPr>
        <w:pStyle w:val="ListParagraph"/>
        <w:ind w:left="709"/>
        <w:jc w:val="both"/>
        <w:rPr>
          <w:rFonts w:ascii="Arial" w:hAnsi="Arial"/>
          <w:sz w:val="22"/>
          <w:szCs w:val="22"/>
        </w:rPr>
      </w:pPr>
    </w:p>
    <w:p w:rsidR="00A57A52" w:rsidRPr="00882085" w:rsidRDefault="00A57A52" w:rsidP="004412AD">
      <w:pPr>
        <w:pStyle w:val="ListParagraph"/>
        <w:ind w:left="709"/>
        <w:jc w:val="both"/>
        <w:rPr>
          <w:rFonts w:ascii="Arial" w:hAnsi="Arial"/>
          <w:sz w:val="22"/>
          <w:szCs w:val="22"/>
        </w:rPr>
      </w:pPr>
    </w:p>
    <w:p w:rsidR="00F421DB" w:rsidRPr="00882085" w:rsidRDefault="00F421DB" w:rsidP="00F421DB">
      <w:pPr>
        <w:jc w:val="both"/>
        <w:rPr>
          <w:rFonts w:ascii="Arial" w:hAnsi="Arial"/>
          <w:b/>
          <w:i/>
          <w:sz w:val="22"/>
          <w:szCs w:val="22"/>
        </w:rPr>
      </w:pPr>
      <w:r w:rsidRPr="00882085">
        <w:rPr>
          <w:rFonts w:ascii="Arial" w:hAnsi="Arial"/>
          <w:b/>
          <w:i/>
          <w:sz w:val="22"/>
          <w:szCs w:val="22"/>
        </w:rPr>
        <w:lastRenderedPageBreak/>
        <w:t>Comparative effectiveness</w:t>
      </w:r>
    </w:p>
    <w:p w:rsidR="00F421DB" w:rsidRPr="00882085" w:rsidRDefault="00F421DB" w:rsidP="00F421DB">
      <w:pPr>
        <w:jc w:val="both"/>
        <w:rPr>
          <w:rFonts w:ascii="Arial" w:hAnsi="Arial"/>
          <w:sz w:val="22"/>
          <w:szCs w:val="22"/>
        </w:rPr>
      </w:pPr>
    </w:p>
    <w:p w:rsidR="00F421DB" w:rsidRPr="00EC2B10" w:rsidRDefault="0050138B" w:rsidP="00E870C8">
      <w:pPr>
        <w:pStyle w:val="ListParagraph"/>
        <w:numPr>
          <w:ilvl w:val="1"/>
          <w:numId w:val="9"/>
        </w:numPr>
        <w:jc w:val="both"/>
        <w:rPr>
          <w:rFonts w:ascii="Arial" w:hAnsi="Arial"/>
          <w:color w:val="FF00FF"/>
          <w:sz w:val="22"/>
          <w:szCs w:val="22"/>
        </w:rPr>
      </w:pPr>
      <w:r>
        <w:rPr>
          <w:rFonts w:ascii="Arial" w:hAnsi="Arial"/>
          <w:sz w:val="22"/>
          <w:szCs w:val="22"/>
        </w:rPr>
        <w:t xml:space="preserve">An indirect comparison of the effect of glatiramer acetate 20 mg/mL versus glatiramer acetate 40 mg/mL using placebo as the common comparator is </w:t>
      </w:r>
      <w:r w:rsidR="00F421DB" w:rsidRPr="00EC2B10">
        <w:rPr>
          <w:rFonts w:ascii="Arial" w:hAnsi="Arial"/>
          <w:sz w:val="22"/>
          <w:szCs w:val="22"/>
        </w:rPr>
        <w:t>summarised in the table below</w:t>
      </w:r>
      <w:r w:rsidR="00C957B3" w:rsidRPr="00EC2B10">
        <w:rPr>
          <w:rFonts w:ascii="Arial" w:hAnsi="Arial"/>
          <w:sz w:val="22"/>
          <w:szCs w:val="22"/>
        </w:rPr>
        <w:t>.</w:t>
      </w:r>
      <w:r>
        <w:rPr>
          <w:rFonts w:ascii="Arial" w:hAnsi="Arial"/>
          <w:sz w:val="22"/>
          <w:szCs w:val="22"/>
        </w:rPr>
        <w:t xml:space="preserve"> The submission claim</w:t>
      </w:r>
      <w:r w:rsidR="0004630D">
        <w:rPr>
          <w:rFonts w:ascii="Arial" w:hAnsi="Arial"/>
          <w:sz w:val="22"/>
          <w:szCs w:val="22"/>
        </w:rPr>
        <w:t>ed</w:t>
      </w:r>
      <w:r>
        <w:rPr>
          <w:rFonts w:ascii="Arial" w:hAnsi="Arial"/>
          <w:sz w:val="22"/>
          <w:szCs w:val="22"/>
        </w:rPr>
        <w:t xml:space="preserve"> that CONFIRM is the most relevant tr</w:t>
      </w:r>
      <w:r w:rsidR="00013644">
        <w:rPr>
          <w:rFonts w:ascii="Arial" w:hAnsi="Arial"/>
          <w:sz w:val="22"/>
          <w:szCs w:val="22"/>
        </w:rPr>
        <w:t>ia</w:t>
      </w:r>
      <w:r>
        <w:rPr>
          <w:rFonts w:ascii="Arial" w:hAnsi="Arial"/>
          <w:sz w:val="22"/>
          <w:szCs w:val="22"/>
        </w:rPr>
        <w:t>l to compare with GALA, as it was conducted over the same time period and, used the same diagnostic criteria for multiple sclerosis, had similar baseline characteristics, and similar relapse rates in the placebo arm.</w:t>
      </w:r>
    </w:p>
    <w:p w:rsidR="00C957B3" w:rsidRDefault="00C957B3" w:rsidP="00F421DB">
      <w:pPr>
        <w:pStyle w:val="ListParagraph"/>
        <w:ind w:left="709"/>
        <w:jc w:val="both"/>
        <w:rPr>
          <w:rFonts w:ascii="Arial" w:hAnsi="Arial"/>
          <w:sz w:val="22"/>
          <w:szCs w:val="22"/>
        </w:rPr>
      </w:pPr>
    </w:p>
    <w:p w:rsidR="00C957B3" w:rsidRPr="004412AD" w:rsidRDefault="00A7308E" w:rsidP="00D26BC9">
      <w:pPr>
        <w:pStyle w:val="ListParagraph"/>
        <w:keepNext/>
        <w:ind w:left="709"/>
        <w:jc w:val="both"/>
        <w:rPr>
          <w:rFonts w:ascii="Arial Narrow" w:hAnsi="Arial Narrow"/>
          <w:b/>
          <w:sz w:val="20"/>
          <w:szCs w:val="20"/>
        </w:rPr>
      </w:pPr>
      <w:r>
        <w:rPr>
          <w:rFonts w:ascii="Arial Narrow" w:hAnsi="Arial Narrow"/>
          <w:b/>
          <w:sz w:val="20"/>
          <w:szCs w:val="20"/>
        </w:rPr>
        <w:t>R</w:t>
      </w:r>
      <w:r w:rsidR="004E31B5" w:rsidRPr="004412AD">
        <w:rPr>
          <w:rFonts w:ascii="Arial Narrow" w:hAnsi="Arial Narrow"/>
          <w:b/>
          <w:sz w:val="20"/>
          <w:szCs w:val="20"/>
        </w:rPr>
        <w:t>elapse rate reduction</w:t>
      </w:r>
      <w:r w:rsidR="0020414F" w:rsidRPr="004412AD">
        <w:rPr>
          <w:rFonts w:ascii="Arial Narrow" w:hAnsi="Arial Narrow"/>
          <w:b/>
          <w:sz w:val="20"/>
          <w:szCs w:val="20"/>
        </w:rPr>
        <w:t xml:space="preserve">: </w:t>
      </w:r>
      <w:r w:rsidR="0020414F" w:rsidRPr="0020414F">
        <w:rPr>
          <w:rFonts w:ascii="Arial Narrow" w:hAnsi="Arial Narrow"/>
          <w:b/>
          <w:sz w:val="20"/>
          <w:szCs w:val="20"/>
        </w:rPr>
        <w:t>Glatiramer acetate 20 mg/mL versus 40 mg/mL</w:t>
      </w:r>
    </w:p>
    <w:tbl>
      <w:tblPr>
        <w:tblStyle w:val="TableGrid"/>
        <w:tblW w:w="8363" w:type="dxa"/>
        <w:tblInd w:w="817" w:type="dxa"/>
        <w:tblLook w:val="04A0" w:firstRow="1" w:lastRow="0" w:firstColumn="1" w:lastColumn="0" w:noHBand="0" w:noVBand="1"/>
      </w:tblPr>
      <w:tblGrid>
        <w:gridCol w:w="2409"/>
        <w:gridCol w:w="1718"/>
        <w:gridCol w:w="1555"/>
        <w:gridCol w:w="2681"/>
      </w:tblGrid>
      <w:tr w:rsidR="00C957B3" w:rsidRPr="00C957B3" w:rsidTr="00C957B3">
        <w:trPr>
          <w:cantSplit/>
        </w:trPr>
        <w:tc>
          <w:tcPr>
            <w:tcW w:w="8363" w:type="dxa"/>
            <w:gridSpan w:val="4"/>
            <w:shd w:val="clear" w:color="auto" w:fill="D9D9D9" w:themeFill="background1" w:themeFillShade="D9"/>
          </w:tcPr>
          <w:p w:rsidR="00C957B3" w:rsidRPr="00C957B3" w:rsidRDefault="0020414F" w:rsidP="00013644">
            <w:pPr>
              <w:pStyle w:val="ListParagraph"/>
              <w:keepNext/>
              <w:ind w:left="34"/>
              <w:jc w:val="both"/>
              <w:rPr>
                <w:rFonts w:ascii="Arial Narrow" w:hAnsi="Arial Narrow"/>
                <w:b/>
                <w:sz w:val="20"/>
                <w:szCs w:val="20"/>
              </w:rPr>
            </w:pPr>
            <w:r>
              <w:rPr>
                <w:rFonts w:ascii="Arial Narrow" w:hAnsi="Arial Narrow"/>
                <w:b/>
                <w:sz w:val="20"/>
                <w:szCs w:val="20"/>
              </w:rPr>
              <w:t>Glatiramer acetate</w:t>
            </w:r>
            <w:r w:rsidRPr="00C957B3">
              <w:rPr>
                <w:rFonts w:ascii="Arial Narrow" w:hAnsi="Arial Narrow"/>
                <w:b/>
                <w:sz w:val="20"/>
                <w:szCs w:val="20"/>
              </w:rPr>
              <w:t xml:space="preserve"> </w:t>
            </w:r>
            <w:r w:rsidR="00C957B3" w:rsidRPr="00C957B3">
              <w:rPr>
                <w:rFonts w:ascii="Arial Narrow" w:hAnsi="Arial Narrow"/>
                <w:b/>
                <w:sz w:val="20"/>
                <w:szCs w:val="20"/>
              </w:rPr>
              <w:t>20 mg</w:t>
            </w:r>
            <w:r>
              <w:rPr>
                <w:rFonts w:ascii="Arial Narrow" w:hAnsi="Arial Narrow"/>
                <w:b/>
                <w:sz w:val="20"/>
                <w:szCs w:val="20"/>
              </w:rPr>
              <w:t>/mL</w:t>
            </w:r>
            <w:r w:rsidR="00C957B3" w:rsidRPr="00C957B3">
              <w:rPr>
                <w:rFonts w:ascii="Arial Narrow" w:hAnsi="Arial Narrow"/>
                <w:b/>
                <w:sz w:val="20"/>
                <w:szCs w:val="20"/>
              </w:rPr>
              <w:t xml:space="preserve"> versus placebo</w:t>
            </w:r>
          </w:p>
        </w:tc>
      </w:tr>
      <w:tr w:rsidR="00C957B3" w:rsidRPr="00C957B3" w:rsidTr="00C957B3">
        <w:trPr>
          <w:cantSplit/>
        </w:trPr>
        <w:tc>
          <w:tcPr>
            <w:tcW w:w="2409" w:type="dxa"/>
          </w:tcPr>
          <w:p w:rsidR="00C957B3" w:rsidRPr="00A7308E" w:rsidRDefault="00C957B3" w:rsidP="00A7308E">
            <w:pPr>
              <w:keepNext/>
              <w:jc w:val="both"/>
              <w:rPr>
                <w:rFonts w:ascii="Arial Narrow" w:hAnsi="Arial Narrow"/>
                <w:sz w:val="20"/>
                <w:szCs w:val="20"/>
              </w:rPr>
            </w:pPr>
          </w:p>
        </w:tc>
        <w:tc>
          <w:tcPr>
            <w:tcW w:w="1718" w:type="dxa"/>
          </w:tcPr>
          <w:p w:rsidR="00C957B3" w:rsidRPr="00C957B3" w:rsidRDefault="0020414F" w:rsidP="00A7308E">
            <w:pPr>
              <w:keepNext/>
              <w:rPr>
                <w:rFonts w:ascii="Arial Narrow" w:hAnsi="Arial Narrow"/>
                <w:b/>
                <w:sz w:val="20"/>
                <w:szCs w:val="20"/>
              </w:rPr>
            </w:pPr>
            <w:r>
              <w:rPr>
                <w:rFonts w:ascii="Arial Narrow" w:hAnsi="Arial Narrow"/>
                <w:b/>
                <w:sz w:val="20"/>
                <w:szCs w:val="20"/>
              </w:rPr>
              <w:t>Glatiramer acetate</w:t>
            </w:r>
            <w:r w:rsidRPr="00C957B3" w:rsidDel="0020414F">
              <w:rPr>
                <w:rFonts w:ascii="Arial Narrow" w:hAnsi="Arial Narrow"/>
                <w:b/>
                <w:sz w:val="20"/>
                <w:szCs w:val="20"/>
              </w:rPr>
              <w:t xml:space="preserve"> </w:t>
            </w:r>
            <w:r w:rsidR="00C957B3" w:rsidRPr="00C957B3">
              <w:rPr>
                <w:rFonts w:ascii="Arial Narrow" w:hAnsi="Arial Narrow"/>
                <w:b/>
                <w:sz w:val="20"/>
                <w:szCs w:val="20"/>
              </w:rPr>
              <w:t>20</w:t>
            </w:r>
            <w:r>
              <w:rPr>
                <w:rFonts w:ascii="Arial Narrow" w:hAnsi="Arial Narrow"/>
                <w:b/>
                <w:sz w:val="20"/>
                <w:szCs w:val="20"/>
              </w:rPr>
              <w:t> </w:t>
            </w:r>
            <w:r w:rsidR="00C957B3" w:rsidRPr="00C957B3">
              <w:rPr>
                <w:rFonts w:ascii="Arial Narrow" w:hAnsi="Arial Narrow"/>
                <w:b/>
                <w:sz w:val="20"/>
                <w:szCs w:val="20"/>
              </w:rPr>
              <w:t>mg</w:t>
            </w:r>
            <w:r>
              <w:rPr>
                <w:rFonts w:ascii="Arial Narrow" w:hAnsi="Arial Narrow"/>
                <w:b/>
                <w:sz w:val="20"/>
                <w:szCs w:val="20"/>
              </w:rPr>
              <w:t>/mL</w:t>
            </w:r>
          </w:p>
        </w:tc>
        <w:tc>
          <w:tcPr>
            <w:tcW w:w="1555" w:type="dxa"/>
          </w:tcPr>
          <w:p w:rsidR="00C957B3" w:rsidRPr="00C957B3" w:rsidRDefault="00C957B3" w:rsidP="00A7308E">
            <w:pPr>
              <w:keepNext/>
              <w:rPr>
                <w:rFonts w:ascii="Arial Narrow" w:hAnsi="Arial Narrow"/>
                <w:b/>
                <w:sz w:val="20"/>
                <w:szCs w:val="20"/>
              </w:rPr>
            </w:pPr>
            <w:r w:rsidRPr="00C957B3">
              <w:rPr>
                <w:rFonts w:ascii="Arial Narrow" w:hAnsi="Arial Narrow"/>
                <w:b/>
                <w:sz w:val="20"/>
                <w:szCs w:val="20"/>
              </w:rPr>
              <w:t>Placebo</w:t>
            </w:r>
          </w:p>
        </w:tc>
        <w:tc>
          <w:tcPr>
            <w:tcW w:w="2681" w:type="dxa"/>
          </w:tcPr>
          <w:p w:rsidR="00C957B3" w:rsidRPr="00C957B3" w:rsidRDefault="00C957B3" w:rsidP="00013644">
            <w:pPr>
              <w:keepNext/>
              <w:jc w:val="both"/>
              <w:rPr>
                <w:rFonts w:ascii="Arial Narrow" w:hAnsi="Arial Narrow"/>
                <w:b/>
                <w:sz w:val="20"/>
                <w:szCs w:val="20"/>
              </w:rPr>
            </w:pPr>
            <w:r>
              <w:rPr>
                <w:rFonts w:ascii="Arial Narrow" w:hAnsi="Arial Narrow"/>
                <w:b/>
                <w:sz w:val="20"/>
                <w:szCs w:val="20"/>
              </w:rPr>
              <w:t xml:space="preserve">Relapse </w:t>
            </w:r>
            <w:r w:rsidRPr="00C957B3">
              <w:rPr>
                <w:rFonts w:ascii="Arial Narrow" w:hAnsi="Arial Narrow"/>
                <w:b/>
                <w:sz w:val="20"/>
                <w:szCs w:val="20"/>
              </w:rPr>
              <w:t>Rate reduction</w:t>
            </w:r>
          </w:p>
        </w:tc>
      </w:tr>
      <w:tr w:rsidR="00C957B3" w:rsidRPr="00C957B3" w:rsidTr="00C957B3">
        <w:trPr>
          <w:cantSplit/>
        </w:trPr>
        <w:tc>
          <w:tcPr>
            <w:tcW w:w="2409" w:type="dxa"/>
          </w:tcPr>
          <w:p w:rsidR="00C957B3" w:rsidRPr="00C957B3" w:rsidRDefault="00C957B3" w:rsidP="00A7308E">
            <w:pPr>
              <w:keepNext/>
              <w:rPr>
                <w:rFonts w:ascii="Arial Narrow" w:hAnsi="Arial Narrow"/>
                <w:sz w:val="20"/>
                <w:szCs w:val="20"/>
              </w:rPr>
            </w:pPr>
            <w:r w:rsidRPr="00C957B3">
              <w:rPr>
                <w:rFonts w:ascii="Arial Narrow" w:hAnsi="Arial Narrow"/>
                <w:sz w:val="20"/>
                <w:szCs w:val="20"/>
              </w:rPr>
              <w:t>Johnson et al 1995; ARR measured over 2 years</w:t>
            </w:r>
          </w:p>
        </w:tc>
        <w:tc>
          <w:tcPr>
            <w:tcW w:w="1718" w:type="dxa"/>
          </w:tcPr>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(N=125)</w:t>
            </w:r>
          </w:p>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0.59</w:t>
            </w:r>
          </w:p>
        </w:tc>
        <w:tc>
          <w:tcPr>
            <w:tcW w:w="1555" w:type="dxa"/>
          </w:tcPr>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(N= 126)</w:t>
            </w:r>
          </w:p>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0.84</w:t>
            </w:r>
          </w:p>
        </w:tc>
        <w:tc>
          <w:tcPr>
            <w:tcW w:w="2681" w:type="dxa"/>
          </w:tcPr>
          <w:p w:rsidR="00C957B3" w:rsidRPr="00C957B3" w:rsidRDefault="00C957B3" w:rsidP="00013644">
            <w:pPr>
              <w:pStyle w:val="ListParagraph"/>
              <w:keepNext/>
              <w:ind w:left="709"/>
              <w:jc w:val="both"/>
              <w:rPr>
                <w:rFonts w:ascii="Arial Narrow" w:hAnsi="Arial Narrow"/>
                <w:sz w:val="20"/>
                <w:szCs w:val="20"/>
              </w:rPr>
            </w:pPr>
          </w:p>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29% (p=0.007)</w:t>
            </w:r>
          </w:p>
        </w:tc>
      </w:tr>
      <w:tr w:rsidR="00C957B3" w:rsidRPr="00C957B3" w:rsidTr="00C957B3">
        <w:trPr>
          <w:cantSplit/>
        </w:trPr>
        <w:tc>
          <w:tcPr>
            <w:tcW w:w="2409" w:type="dxa"/>
          </w:tcPr>
          <w:p w:rsidR="00C957B3" w:rsidRPr="00C957B3" w:rsidRDefault="00C957B3" w:rsidP="00A7308E">
            <w:pPr>
              <w:keepNext/>
              <w:rPr>
                <w:rFonts w:ascii="Arial Narrow" w:hAnsi="Arial Narrow"/>
                <w:sz w:val="20"/>
                <w:szCs w:val="20"/>
              </w:rPr>
            </w:pPr>
            <w:r w:rsidRPr="00C957B3">
              <w:rPr>
                <w:rFonts w:ascii="Arial Narrow" w:hAnsi="Arial Narrow"/>
                <w:sz w:val="20"/>
                <w:szCs w:val="20"/>
              </w:rPr>
              <w:t>Comi et al 2001; ARR measured over 9 months</w:t>
            </w:r>
          </w:p>
        </w:tc>
        <w:tc>
          <w:tcPr>
            <w:tcW w:w="1718" w:type="dxa"/>
          </w:tcPr>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 xml:space="preserve">(N=119) </w:t>
            </w:r>
          </w:p>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0.81</w:t>
            </w:r>
          </w:p>
        </w:tc>
        <w:tc>
          <w:tcPr>
            <w:tcW w:w="1555" w:type="dxa"/>
          </w:tcPr>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(N=120)</w:t>
            </w:r>
          </w:p>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1.21</w:t>
            </w:r>
          </w:p>
        </w:tc>
        <w:tc>
          <w:tcPr>
            <w:tcW w:w="2681" w:type="dxa"/>
          </w:tcPr>
          <w:p w:rsidR="00C957B3" w:rsidRPr="00C957B3" w:rsidRDefault="00C957B3" w:rsidP="00013644">
            <w:pPr>
              <w:pStyle w:val="ListParagraph"/>
              <w:keepNext/>
              <w:ind w:left="709"/>
              <w:jc w:val="both"/>
              <w:rPr>
                <w:rFonts w:ascii="Arial Narrow" w:hAnsi="Arial Narrow"/>
                <w:sz w:val="20"/>
                <w:szCs w:val="20"/>
              </w:rPr>
            </w:pPr>
          </w:p>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33% (p=0.012)</w:t>
            </w:r>
          </w:p>
        </w:tc>
      </w:tr>
      <w:tr w:rsidR="00C957B3" w:rsidRPr="00C957B3" w:rsidTr="00C957B3">
        <w:trPr>
          <w:cantSplit/>
        </w:trPr>
        <w:tc>
          <w:tcPr>
            <w:tcW w:w="2409" w:type="dxa"/>
          </w:tcPr>
          <w:p w:rsidR="00C957B3" w:rsidRPr="00C957B3" w:rsidRDefault="00C957B3" w:rsidP="00A7308E">
            <w:pPr>
              <w:keepNext/>
              <w:rPr>
                <w:rFonts w:ascii="Arial Narrow" w:hAnsi="Arial Narrow"/>
                <w:sz w:val="20"/>
                <w:szCs w:val="20"/>
              </w:rPr>
            </w:pPr>
            <w:r w:rsidRPr="00C957B3">
              <w:rPr>
                <w:rFonts w:ascii="Arial Narrow" w:hAnsi="Arial Narrow"/>
                <w:sz w:val="20"/>
                <w:szCs w:val="20"/>
              </w:rPr>
              <w:t>Fox et al 2012 (CONFIRM); ARR measured over 2 years</w:t>
            </w:r>
          </w:p>
        </w:tc>
        <w:tc>
          <w:tcPr>
            <w:tcW w:w="1718" w:type="dxa"/>
          </w:tcPr>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(N=350)</w:t>
            </w:r>
          </w:p>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0.29</w:t>
            </w:r>
          </w:p>
        </w:tc>
        <w:tc>
          <w:tcPr>
            <w:tcW w:w="1555" w:type="dxa"/>
          </w:tcPr>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(N=363)</w:t>
            </w:r>
          </w:p>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0.40</w:t>
            </w:r>
          </w:p>
        </w:tc>
        <w:tc>
          <w:tcPr>
            <w:tcW w:w="2681" w:type="dxa"/>
          </w:tcPr>
          <w:p w:rsidR="00C957B3" w:rsidRPr="00C957B3" w:rsidRDefault="00C957B3" w:rsidP="00013644">
            <w:pPr>
              <w:pStyle w:val="ListParagraph"/>
              <w:keepNext/>
              <w:ind w:left="709"/>
              <w:jc w:val="both"/>
              <w:rPr>
                <w:rFonts w:ascii="Arial Narrow" w:hAnsi="Arial Narrow"/>
                <w:sz w:val="20"/>
                <w:szCs w:val="20"/>
              </w:rPr>
            </w:pPr>
          </w:p>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29% (p&lt;0.05)</w:t>
            </w:r>
          </w:p>
        </w:tc>
      </w:tr>
      <w:tr w:rsidR="00C957B3" w:rsidRPr="00C957B3" w:rsidTr="00C957B3">
        <w:trPr>
          <w:cantSplit/>
        </w:trPr>
        <w:tc>
          <w:tcPr>
            <w:tcW w:w="8363" w:type="dxa"/>
            <w:gridSpan w:val="4"/>
            <w:shd w:val="clear" w:color="auto" w:fill="D9D9D9" w:themeFill="background1" w:themeFillShade="D9"/>
          </w:tcPr>
          <w:p w:rsidR="00C957B3" w:rsidRPr="00C957B3" w:rsidRDefault="00013644" w:rsidP="00013644">
            <w:pPr>
              <w:pStyle w:val="ListParagraph"/>
              <w:keepNext/>
              <w:ind w:left="34"/>
              <w:jc w:val="both"/>
              <w:rPr>
                <w:rFonts w:ascii="Arial Narrow" w:hAnsi="Arial Narrow"/>
                <w:b/>
                <w:sz w:val="20"/>
                <w:szCs w:val="20"/>
              </w:rPr>
            </w:pPr>
            <w:r>
              <w:rPr>
                <w:rFonts w:ascii="Arial Narrow" w:hAnsi="Arial Narrow"/>
                <w:b/>
                <w:sz w:val="20"/>
                <w:szCs w:val="20"/>
              </w:rPr>
              <w:t>Glatiramer acetate</w:t>
            </w:r>
            <w:r w:rsidRPr="00C957B3">
              <w:rPr>
                <w:rFonts w:ascii="Arial Narrow" w:hAnsi="Arial Narrow"/>
                <w:b/>
                <w:sz w:val="20"/>
                <w:szCs w:val="20"/>
              </w:rPr>
              <w:t xml:space="preserve"> </w:t>
            </w:r>
            <w:r w:rsidR="00C957B3" w:rsidRPr="00C957B3">
              <w:rPr>
                <w:rFonts w:ascii="Arial Narrow" w:hAnsi="Arial Narrow"/>
                <w:b/>
                <w:sz w:val="20"/>
                <w:szCs w:val="20"/>
              </w:rPr>
              <w:t>40 mg versus placebo</w:t>
            </w:r>
          </w:p>
        </w:tc>
      </w:tr>
      <w:tr w:rsidR="00C957B3" w:rsidRPr="00C957B3" w:rsidTr="00C957B3">
        <w:trPr>
          <w:cantSplit/>
        </w:trPr>
        <w:tc>
          <w:tcPr>
            <w:tcW w:w="2409" w:type="dxa"/>
          </w:tcPr>
          <w:p w:rsidR="00C957B3" w:rsidRPr="00C957B3" w:rsidRDefault="00C957B3" w:rsidP="00013644">
            <w:pPr>
              <w:pStyle w:val="ListParagraph"/>
              <w:keepNext/>
              <w:ind w:left="709"/>
              <w:jc w:val="both"/>
              <w:rPr>
                <w:rFonts w:ascii="Arial Narrow" w:hAnsi="Arial Narrow"/>
                <w:sz w:val="20"/>
                <w:szCs w:val="20"/>
              </w:rPr>
            </w:pPr>
          </w:p>
        </w:tc>
        <w:tc>
          <w:tcPr>
            <w:tcW w:w="1718" w:type="dxa"/>
          </w:tcPr>
          <w:p w:rsidR="00C957B3" w:rsidRPr="00C957B3" w:rsidRDefault="0020414F" w:rsidP="00A7308E">
            <w:pPr>
              <w:keepNext/>
              <w:rPr>
                <w:rFonts w:ascii="Arial Narrow" w:hAnsi="Arial Narrow"/>
                <w:b/>
                <w:sz w:val="20"/>
                <w:szCs w:val="20"/>
              </w:rPr>
            </w:pPr>
            <w:r>
              <w:rPr>
                <w:rFonts w:ascii="Arial Narrow" w:hAnsi="Arial Narrow"/>
                <w:b/>
                <w:sz w:val="20"/>
                <w:szCs w:val="20"/>
              </w:rPr>
              <w:t>Glatiramer acetate</w:t>
            </w:r>
            <w:r w:rsidRPr="00C957B3" w:rsidDel="0020414F">
              <w:rPr>
                <w:rFonts w:ascii="Arial Narrow" w:hAnsi="Arial Narrow"/>
                <w:b/>
                <w:sz w:val="20"/>
                <w:szCs w:val="20"/>
              </w:rPr>
              <w:t xml:space="preserve"> </w:t>
            </w:r>
            <w:r w:rsidR="00C957B3" w:rsidRPr="00C957B3">
              <w:rPr>
                <w:rFonts w:ascii="Arial Narrow" w:hAnsi="Arial Narrow"/>
                <w:b/>
                <w:sz w:val="20"/>
                <w:szCs w:val="20"/>
              </w:rPr>
              <w:t>40</w:t>
            </w:r>
            <w:r>
              <w:rPr>
                <w:rFonts w:ascii="Arial Narrow" w:hAnsi="Arial Narrow"/>
                <w:b/>
                <w:sz w:val="20"/>
                <w:szCs w:val="20"/>
              </w:rPr>
              <w:t> </w:t>
            </w:r>
            <w:r w:rsidR="00C957B3" w:rsidRPr="00C957B3">
              <w:rPr>
                <w:rFonts w:ascii="Arial Narrow" w:hAnsi="Arial Narrow"/>
                <w:b/>
                <w:sz w:val="20"/>
                <w:szCs w:val="20"/>
              </w:rPr>
              <w:t>mg</w:t>
            </w:r>
            <w:r>
              <w:rPr>
                <w:rFonts w:ascii="Arial Narrow" w:hAnsi="Arial Narrow"/>
                <w:b/>
                <w:sz w:val="20"/>
                <w:szCs w:val="20"/>
              </w:rPr>
              <w:t>/mL</w:t>
            </w:r>
          </w:p>
          <w:p w:rsidR="00C957B3" w:rsidRPr="00C957B3" w:rsidRDefault="00C957B3" w:rsidP="00A7308E">
            <w:pPr>
              <w:keepNext/>
              <w:rPr>
                <w:rFonts w:ascii="Arial Narrow" w:hAnsi="Arial Narrow"/>
                <w:b/>
                <w:sz w:val="20"/>
                <w:szCs w:val="20"/>
              </w:rPr>
            </w:pPr>
            <w:r w:rsidRPr="00C957B3">
              <w:rPr>
                <w:rFonts w:ascii="Arial Narrow" w:hAnsi="Arial Narrow"/>
                <w:b/>
                <w:sz w:val="20"/>
                <w:szCs w:val="20"/>
              </w:rPr>
              <w:t>(N=943)</w:t>
            </w:r>
          </w:p>
        </w:tc>
        <w:tc>
          <w:tcPr>
            <w:tcW w:w="1555" w:type="dxa"/>
          </w:tcPr>
          <w:p w:rsidR="00C957B3" w:rsidRPr="00C957B3" w:rsidRDefault="00C957B3" w:rsidP="00A7308E">
            <w:pPr>
              <w:keepNext/>
              <w:rPr>
                <w:rFonts w:ascii="Arial Narrow" w:hAnsi="Arial Narrow"/>
                <w:b/>
                <w:sz w:val="20"/>
                <w:szCs w:val="20"/>
              </w:rPr>
            </w:pPr>
            <w:r w:rsidRPr="00C957B3">
              <w:rPr>
                <w:rFonts w:ascii="Arial Narrow" w:hAnsi="Arial Narrow"/>
                <w:b/>
                <w:sz w:val="20"/>
                <w:szCs w:val="20"/>
              </w:rPr>
              <w:t>Placebo (N=461)</w:t>
            </w:r>
          </w:p>
        </w:tc>
        <w:tc>
          <w:tcPr>
            <w:tcW w:w="2681" w:type="dxa"/>
          </w:tcPr>
          <w:p w:rsidR="00C957B3" w:rsidRPr="00C957B3" w:rsidRDefault="00C957B3" w:rsidP="00013644">
            <w:pPr>
              <w:keepNext/>
              <w:jc w:val="both"/>
              <w:rPr>
                <w:rFonts w:ascii="Arial Narrow" w:hAnsi="Arial Narrow"/>
                <w:b/>
                <w:sz w:val="20"/>
                <w:szCs w:val="20"/>
              </w:rPr>
            </w:pPr>
            <w:r>
              <w:rPr>
                <w:rFonts w:ascii="Arial Narrow" w:hAnsi="Arial Narrow"/>
                <w:b/>
                <w:sz w:val="20"/>
                <w:szCs w:val="20"/>
              </w:rPr>
              <w:t xml:space="preserve">Relapse </w:t>
            </w:r>
            <w:r w:rsidRPr="00C957B3">
              <w:rPr>
                <w:rFonts w:ascii="Arial Narrow" w:hAnsi="Arial Narrow"/>
                <w:b/>
                <w:sz w:val="20"/>
                <w:szCs w:val="20"/>
              </w:rPr>
              <w:t>Rate reduction</w:t>
            </w:r>
          </w:p>
        </w:tc>
      </w:tr>
      <w:tr w:rsidR="00C957B3" w:rsidRPr="00C957B3" w:rsidTr="00C957B3">
        <w:trPr>
          <w:cantSplit/>
        </w:trPr>
        <w:tc>
          <w:tcPr>
            <w:tcW w:w="2409" w:type="dxa"/>
          </w:tcPr>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GALA; ARR over 1 year</w:t>
            </w:r>
          </w:p>
        </w:tc>
        <w:tc>
          <w:tcPr>
            <w:tcW w:w="1718" w:type="dxa"/>
          </w:tcPr>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0.33</w:t>
            </w:r>
          </w:p>
        </w:tc>
        <w:tc>
          <w:tcPr>
            <w:tcW w:w="1555" w:type="dxa"/>
          </w:tcPr>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0.51</w:t>
            </w:r>
          </w:p>
        </w:tc>
        <w:tc>
          <w:tcPr>
            <w:tcW w:w="2681" w:type="dxa"/>
          </w:tcPr>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34% (p&lt;0.0001)</w:t>
            </w:r>
          </w:p>
        </w:tc>
      </w:tr>
      <w:tr w:rsidR="00C957B3" w:rsidRPr="00C957B3" w:rsidTr="00C957B3">
        <w:trPr>
          <w:cantSplit/>
        </w:trPr>
        <w:tc>
          <w:tcPr>
            <w:tcW w:w="8363" w:type="dxa"/>
            <w:gridSpan w:val="4"/>
            <w:shd w:val="clear" w:color="auto" w:fill="D9D9D9" w:themeFill="background1" w:themeFillShade="D9"/>
          </w:tcPr>
          <w:p w:rsidR="00C957B3" w:rsidRPr="00C957B3" w:rsidRDefault="00C957B3" w:rsidP="00013644">
            <w:pPr>
              <w:pStyle w:val="ListParagraph"/>
              <w:keepNext/>
              <w:ind w:left="34"/>
              <w:jc w:val="both"/>
              <w:rPr>
                <w:rFonts w:ascii="Arial Narrow" w:hAnsi="Arial Narrow"/>
                <w:b/>
                <w:sz w:val="20"/>
                <w:szCs w:val="20"/>
              </w:rPr>
            </w:pPr>
            <w:r w:rsidRPr="00C957B3">
              <w:rPr>
                <w:rFonts w:ascii="Arial Narrow" w:hAnsi="Arial Narrow"/>
                <w:b/>
                <w:sz w:val="20"/>
                <w:szCs w:val="20"/>
              </w:rPr>
              <w:t>Indirect treatment comparison analysis using GALA and CONFIRM*</w:t>
            </w:r>
          </w:p>
        </w:tc>
      </w:tr>
      <w:tr w:rsidR="00C957B3" w:rsidRPr="00C957B3" w:rsidTr="00C957B3">
        <w:trPr>
          <w:cantSplit/>
        </w:trPr>
        <w:tc>
          <w:tcPr>
            <w:tcW w:w="2409" w:type="dxa"/>
          </w:tcPr>
          <w:p w:rsidR="00C957B3" w:rsidRPr="00C957B3" w:rsidRDefault="00C957B3" w:rsidP="00A7308E">
            <w:pPr>
              <w:keepNext/>
              <w:rPr>
                <w:rFonts w:ascii="Arial Narrow" w:hAnsi="Arial Narrow"/>
                <w:sz w:val="20"/>
                <w:szCs w:val="20"/>
              </w:rPr>
            </w:pPr>
            <w:r w:rsidRPr="00C957B3">
              <w:rPr>
                <w:rFonts w:ascii="Arial Narrow" w:hAnsi="Arial Narrow"/>
                <w:sz w:val="20"/>
                <w:szCs w:val="20"/>
              </w:rPr>
              <w:t xml:space="preserve">Risk ratio </w:t>
            </w:r>
            <w:r w:rsidR="0020414F" w:rsidRPr="00013644">
              <w:rPr>
                <w:rFonts w:ascii="Arial Narrow" w:hAnsi="Arial Narrow"/>
                <w:sz w:val="20"/>
                <w:szCs w:val="20"/>
              </w:rPr>
              <w:t>glatiramer acetate</w:t>
            </w:r>
            <w:r w:rsidR="0020414F" w:rsidRPr="00C957B3" w:rsidDel="0020414F">
              <w:rPr>
                <w:rFonts w:ascii="Arial Narrow" w:hAnsi="Arial Narrow"/>
                <w:sz w:val="20"/>
                <w:szCs w:val="20"/>
              </w:rPr>
              <w:t xml:space="preserve"> </w:t>
            </w:r>
            <w:r w:rsidRPr="00C957B3">
              <w:rPr>
                <w:rFonts w:ascii="Arial Narrow" w:hAnsi="Arial Narrow"/>
                <w:sz w:val="20"/>
                <w:szCs w:val="20"/>
              </w:rPr>
              <w:t>40 mg</w:t>
            </w:r>
            <w:r w:rsidR="0020414F">
              <w:rPr>
                <w:rFonts w:ascii="Arial Narrow" w:hAnsi="Arial Narrow"/>
                <w:sz w:val="20"/>
                <w:szCs w:val="20"/>
              </w:rPr>
              <w:t>/mL</w:t>
            </w:r>
            <w:r w:rsidRPr="00C957B3">
              <w:rPr>
                <w:rFonts w:ascii="Arial Narrow" w:hAnsi="Arial Narrow"/>
                <w:sz w:val="20"/>
                <w:szCs w:val="20"/>
              </w:rPr>
              <w:t xml:space="preserve"> versus </w:t>
            </w:r>
            <w:r w:rsidR="0020414F" w:rsidRPr="000F652E">
              <w:rPr>
                <w:rFonts w:ascii="Arial Narrow" w:hAnsi="Arial Narrow"/>
                <w:sz w:val="20"/>
                <w:szCs w:val="20"/>
              </w:rPr>
              <w:t>glatiramer acetate</w:t>
            </w:r>
            <w:r w:rsidR="0020414F" w:rsidRPr="00C957B3" w:rsidDel="0020414F">
              <w:rPr>
                <w:rFonts w:ascii="Arial Narrow" w:hAnsi="Arial Narrow"/>
                <w:sz w:val="20"/>
                <w:szCs w:val="20"/>
              </w:rPr>
              <w:t xml:space="preserve"> </w:t>
            </w:r>
            <w:r w:rsidRPr="00C957B3">
              <w:rPr>
                <w:rFonts w:ascii="Arial Narrow" w:hAnsi="Arial Narrow"/>
                <w:sz w:val="20"/>
                <w:szCs w:val="20"/>
              </w:rPr>
              <w:t>20 mg</w:t>
            </w:r>
            <w:r w:rsidR="0020414F">
              <w:rPr>
                <w:rFonts w:ascii="Arial Narrow" w:hAnsi="Arial Narrow"/>
                <w:sz w:val="20"/>
                <w:szCs w:val="20"/>
              </w:rPr>
              <w:t>/mL</w:t>
            </w:r>
            <w:r w:rsidRPr="00C957B3">
              <w:rPr>
                <w:rFonts w:ascii="Arial Narrow" w:hAnsi="Arial Narrow"/>
                <w:sz w:val="20"/>
                <w:szCs w:val="20"/>
              </w:rPr>
              <w:t xml:space="preserve"> (95% CI)</w:t>
            </w:r>
          </w:p>
        </w:tc>
        <w:tc>
          <w:tcPr>
            <w:tcW w:w="1718" w:type="dxa"/>
          </w:tcPr>
          <w:p w:rsidR="00C957B3" w:rsidRPr="00C957B3" w:rsidRDefault="00C957B3" w:rsidP="00013644">
            <w:pPr>
              <w:pStyle w:val="ListParagraph"/>
              <w:keepNext/>
              <w:ind w:left="709"/>
              <w:jc w:val="both"/>
              <w:rPr>
                <w:rFonts w:ascii="Arial Narrow" w:hAnsi="Arial Narrow"/>
                <w:sz w:val="20"/>
                <w:szCs w:val="20"/>
              </w:rPr>
            </w:pPr>
          </w:p>
        </w:tc>
        <w:tc>
          <w:tcPr>
            <w:tcW w:w="1555" w:type="dxa"/>
          </w:tcPr>
          <w:p w:rsidR="00C957B3" w:rsidRPr="00C957B3" w:rsidRDefault="00C957B3" w:rsidP="00013644">
            <w:pPr>
              <w:pStyle w:val="ListParagraph"/>
              <w:keepNext/>
              <w:ind w:left="709"/>
              <w:jc w:val="both"/>
              <w:rPr>
                <w:rFonts w:ascii="Arial Narrow" w:hAnsi="Arial Narrow"/>
                <w:sz w:val="20"/>
                <w:szCs w:val="20"/>
              </w:rPr>
            </w:pPr>
          </w:p>
        </w:tc>
        <w:tc>
          <w:tcPr>
            <w:tcW w:w="2681" w:type="dxa"/>
          </w:tcPr>
          <w:p w:rsidR="00C957B3" w:rsidRPr="00C957B3" w:rsidRDefault="00C957B3" w:rsidP="00013644">
            <w:pPr>
              <w:keepNext/>
              <w:jc w:val="both"/>
              <w:rPr>
                <w:rFonts w:ascii="Arial Narrow" w:hAnsi="Arial Narrow"/>
                <w:sz w:val="20"/>
                <w:szCs w:val="20"/>
              </w:rPr>
            </w:pPr>
            <w:r w:rsidRPr="00C957B3">
              <w:rPr>
                <w:rFonts w:ascii="Arial Narrow" w:hAnsi="Arial Narrow"/>
                <w:sz w:val="20"/>
                <w:szCs w:val="20"/>
              </w:rPr>
              <w:t>0.92 (0.66 – 1.28)</w:t>
            </w:r>
          </w:p>
        </w:tc>
      </w:tr>
    </w:tbl>
    <w:p w:rsidR="000F5241" w:rsidRDefault="000F5241" w:rsidP="00013644">
      <w:pPr>
        <w:pStyle w:val="tablenotes"/>
        <w:keepNext/>
        <w:ind w:firstLine="709"/>
        <w:rPr>
          <w:rFonts w:ascii="Arial Narrow" w:hAnsi="Arial Narrow"/>
          <w:sz w:val="18"/>
          <w:szCs w:val="18"/>
        </w:rPr>
      </w:pPr>
      <w:r w:rsidRPr="005838CB">
        <w:rPr>
          <w:rFonts w:ascii="Arial Narrow" w:hAnsi="Arial Narrow"/>
          <w:sz w:val="18"/>
          <w:szCs w:val="18"/>
        </w:rPr>
        <w:t xml:space="preserve">Source: </w:t>
      </w:r>
      <w:r>
        <w:rPr>
          <w:rFonts w:ascii="Arial Narrow" w:hAnsi="Arial Narrow"/>
          <w:sz w:val="18"/>
          <w:szCs w:val="18"/>
        </w:rPr>
        <w:t xml:space="preserve">Submission p.7 </w:t>
      </w:r>
    </w:p>
    <w:p w:rsidR="000F5241" w:rsidRPr="000F5241" w:rsidRDefault="000F5241" w:rsidP="00013644">
      <w:pPr>
        <w:pStyle w:val="tablenotes"/>
        <w:keepNext/>
        <w:ind w:firstLine="709"/>
        <w:rPr>
          <w:rFonts w:ascii="Arial Narrow" w:hAnsi="Arial Narrow"/>
          <w:sz w:val="18"/>
          <w:szCs w:val="18"/>
        </w:rPr>
      </w:pPr>
      <w:r w:rsidRPr="000F5241">
        <w:rPr>
          <w:rFonts w:ascii="Arial Narrow" w:hAnsi="Arial Narrow"/>
          <w:sz w:val="18"/>
          <w:szCs w:val="18"/>
        </w:rPr>
        <w:t xml:space="preserve">ARR = Annual relapse rate </w:t>
      </w:r>
    </w:p>
    <w:p w:rsidR="000F5241" w:rsidRPr="0076420C" w:rsidRDefault="000F5241" w:rsidP="000F5241">
      <w:pPr>
        <w:pStyle w:val="tablenotes"/>
        <w:ind w:firstLine="709"/>
        <w:rPr>
          <w:rFonts w:ascii="Arial Narrow" w:hAnsi="Arial Narrow"/>
          <w:sz w:val="18"/>
          <w:szCs w:val="18"/>
        </w:rPr>
      </w:pPr>
      <w:r w:rsidRPr="000F5241">
        <w:rPr>
          <w:rFonts w:ascii="Arial Narrow" w:hAnsi="Arial Narrow"/>
          <w:sz w:val="18"/>
          <w:szCs w:val="18"/>
        </w:rPr>
        <w:t>* Performed using the adjusted indirect method described by Bucher et al .</w:t>
      </w:r>
    </w:p>
    <w:p w:rsidR="00F421DB" w:rsidRDefault="00F421DB" w:rsidP="00F421DB">
      <w:pPr>
        <w:jc w:val="both"/>
        <w:rPr>
          <w:rFonts w:ascii="Arial" w:hAnsi="Arial"/>
          <w:sz w:val="22"/>
          <w:szCs w:val="22"/>
        </w:rPr>
      </w:pPr>
    </w:p>
    <w:p w:rsidR="00EC2B10" w:rsidRDefault="000B1C3A" w:rsidP="00E870C8">
      <w:pPr>
        <w:pStyle w:val="ListParagraph"/>
        <w:numPr>
          <w:ilvl w:val="1"/>
          <w:numId w:val="9"/>
        </w:numPr>
        <w:jc w:val="both"/>
        <w:rPr>
          <w:rFonts w:ascii="Arial" w:hAnsi="Arial"/>
          <w:sz w:val="22"/>
          <w:szCs w:val="22"/>
        </w:rPr>
      </w:pPr>
      <w:r>
        <w:rPr>
          <w:rFonts w:ascii="Arial" w:hAnsi="Arial"/>
          <w:sz w:val="22"/>
          <w:szCs w:val="22"/>
        </w:rPr>
        <w:t>The submission</w:t>
      </w:r>
      <w:r w:rsidR="0000517E">
        <w:rPr>
          <w:rFonts w:ascii="Arial" w:hAnsi="Arial"/>
          <w:sz w:val="22"/>
          <w:szCs w:val="22"/>
        </w:rPr>
        <w:t xml:space="preserve"> state</w:t>
      </w:r>
      <w:r w:rsidR="0004630D">
        <w:rPr>
          <w:rFonts w:ascii="Arial" w:hAnsi="Arial"/>
          <w:sz w:val="22"/>
          <w:szCs w:val="22"/>
        </w:rPr>
        <w:t>d</w:t>
      </w:r>
      <w:r>
        <w:rPr>
          <w:rFonts w:ascii="Arial" w:hAnsi="Arial"/>
          <w:sz w:val="22"/>
          <w:szCs w:val="22"/>
        </w:rPr>
        <w:t xml:space="preserve"> </w:t>
      </w:r>
      <w:r w:rsidR="0081512E" w:rsidRPr="0081512E">
        <w:rPr>
          <w:rFonts w:ascii="Arial" w:hAnsi="Arial"/>
          <w:sz w:val="22"/>
          <w:szCs w:val="22"/>
        </w:rPr>
        <w:t xml:space="preserve">that the relapse rate reduction for </w:t>
      </w:r>
      <w:r w:rsidR="0000517E">
        <w:rPr>
          <w:rFonts w:ascii="Arial" w:hAnsi="Arial"/>
          <w:sz w:val="22"/>
          <w:szCs w:val="22"/>
        </w:rPr>
        <w:t>glatiramer acetate</w:t>
      </w:r>
      <w:r w:rsidR="0081512E" w:rsidRPr="0081512E">
        <w:rPr>
          <w:rFonts w:ascii="Arial" w:hAnsi="Arial"/>
          <w:sz w:val="22"/>
          <w:szCs w:val="22"/>
        </w:rPr>
        <w:t xml:space="preserve"> 40</w:t>
      </w:r>
      <w:r w:rsidR="0020414F">
        <w:rPr>
          <w:rFonts w:ascii="Arial" w:hAnsi="Arial"/>
          <w:sz w:val="22"/>
          <w:szCs w:val="22"/>
        </w:rPr>
        <w:t> </w:t>
      </w:r>
      <w:r w:rsidR="0081512E" w:rsidRPr="0081512E">
        <w:rPr>
          <w:rFonts w:ascii="Arial" w:hAnsi="Arial"/>
          <w:sz w:val="22"/>
          <w:szCs w:val="22"/>
        </w:rPr>
        <w:t>mg</w:t>
      </w:r>
      <w:r w:rsidR="0020414F">
        <w:rPr>
          <w:rFonts w:ascii="Arial" w:hAnsi="Arial"/>
          <w:sz w:val="22"/>
          <w:szCs w:val="22"/>
        </w:rPr>
        <w:t>/mL</w:t>
      </w:r>
      <w:r w:rsidR="0081512E" w:rsidRPr="0081512E">
        <w:rPr>
          <w:rFonts w:ascii="Arial" w:hAnsi="Arial"/>
          <w:sz w:val="22"/>
          <w:szCs w:val="22"/>
        </w:rPr>
        <w:t xml:space="preserve"> compared to placebo (34%) is similar to that for </w:t>
      </w:r>
      <w:r w:rsidR="0000517E">
        <w:rPr>
          <w:rFonts w:ascii="Arial" w:hAnsi="Arial"/>
          <w:sz w:val="22"/>
          <w:szCs w:val="22"/>
        </w:rPr>
        <w:t>glatiramer acetate</w:t>
      </w:r>
      <w:r w:rsidR="0000517E" w:rsidRPr="0081512E">
        <w:rPr>
          <w:rFonts w:ascii="Arial" w:hAnsi="Arial"/>
          <w:sz w:val="22"/>
          <w:szCs w:val="22"/>
        </w:rPr>
        <w:t xml:space="preserve"> </w:t>
      </w:r>
      <w:r w:rsidR="0081512E" w:rsidRPr="0081512E">
        <w:rPr>
          <w:rFonts w:ascii="Arial" w:hAnsi="Arial"/>
          <w:sz w:val="22"/>
          <w:szCs w:val="22"/>
        </w:rPr>
        <w:t>20</w:t>
      </w:r>
      <w:r w:rsidR="0020414F">
        <w:rPr>
          <w:rFonts w:ascii="Arial" w:hAnsi="Arial"/>
          <w:sz w:val="22"/>
          <w:szCs w:val="22"/>
        </w:rPr>
        <w:t> </w:t>
      </w:r>
      <w:r w:rsidR="0081512E" w:rsidRPr="0081512E">
        <w:rPr>
          <w:rFonts w:ascii="Arial" w:hAnsi="Arial"/>
          <w:sz w:val="22"/>
          <w:szCs w:val="22"/>
        </w:rPr>
        <w:t>mg</w:t>
      </w:r>
      <w:r w:rsidR="0020414F">
        <w:rPr>
          <w:rFonts w:ascii="Arial" w:hAnsi="Arial"/>
          <w:sz w:val="22"/>
          <w:szCs w:val="22"/>
        </w:rPr>
        <w:t>/mL</w:t>
      </w:r>
      <w:r w:rsidR="0081512E" w:rsidRPr="0081512E">
        <w:rPr>
          <w:rFonts w:ascii="Arial" w:hAnsi="Arial"/>
          <w:sz w:val="22"/>
          <w:szCs w:val="22"/>
        </w:rPr>
        <w:t xml:space="preserve"> compared to placebo (29-33%).</w:t>
      </w:r>
    </w:p>
    <w:p w:rsidR="00EC2B10" w:rsidRDefault="00EC2B10" w:rsidP="00EC2B10">
      <w:pPr>
        <w:pStyle w:val="ListParagraph"/>
        <w:ind w:left="709"/>
        <w:jc w:val="both"/>
        <w:rPr>
          <w:rFonts w:ascii="Arial" w:hAnsi="Arial"/>
          <w:sz w:val="22"/>
          <w:szCs w:val="22"/>
        </w:rPr>
      </w:pPr>
    </w:p>
    <w:p w:rsidR="002B7B5C" w:rsidRPr="00377B68" w:rsidRDefault="0000517E" w:rsidP="00E870C8">
      <w:pPr>
        <w:pStyle w:val="ListParagraph"/>
        <w:numPr>
          <w:ilvl w:val="1"/>
          <w:numId w:val="9"/>
        </w:numPr>
        <w:jc w:val="both"/>
        <w:rPr>
          <w:rFonts w:ascii="Arial" w:hAnsi="Arial"/>
          <w:sz w:val="22"/>
          <w:szCs w:val="22"/>
        </w:rPr>
      </w:pPr>
      <w:r w:rsidRPr="00377B68">
        <w:rPr>
          <w:rFonts w:ascii="Arial" w:hAnsi="Arial"/>
          <w:sz w:val="22"/>
          <w:szCs w:val="22"/>
        </w:rPr>
        <w:t xml:space="preserve">The </w:t>
      </w:r>
      <w:r w:rsidR="006C5841">
        <w:rPr>
          <w:rFonts w:ascii="Arial" w:hAnsi="Arial"/>
          <w:sz w:val="22"/>
          <w:szCs w:val="22"/>
        </w:rPr>
        <w:t>PBAC</w:t>
      </w:r>
      <w:r w:rsidR="006C5841" w:rsidRPr="00377B68">
        <w:rPr>
          <w:rFonts w:ascii="Arial" w:hAnsi="Arial"/>
          <w:sz w:val="22"/>
          <w:szCs w:val="22"/>
        </w:rPr>
        <w:t xml:space="preserve"> </w:t>
      </w:r>
      <w:r w:rsidRPr="00377B68">
        <w:rPr>
          <w:rFonts w:ascii="Arial" w:hAnsi="Arial"/>
          <w:sz w:val="22"/>
          <w:szCs w:val="22"/>
        </w:rPr>
        <w:t>note</w:t>
      </w:r>
      <w:r w:rsidR="006C5841">
        <w:rPr>
          <w:rFonts w:ascii="Arial" w:hAnsi="Arial"/>
          <w:sz w:val="22"/>
          <w:szCs w:val="22"/>
        </w:rPr>
        <w:t>d</w:t>
      </w:r>
      <w:r w:rsidR="00EC2B10" w:rsidRPr="00377B68">
        <w:rPr>
          <w:rFonts w:ascii="Arial" w:hAnsi="Arial"/>
          <w:sz w:val="22"/>
          <w:szCs w:val="22"/>
        </w:rPr>
        <w:t xml:space="preserve"> that </w:t>
      </w:r>
      <w:r w:rsidR="0004630D">
        <w:rPr>
          <w:rFonts w:ascii="Arial" w:hAnsi="Arial"/>
          <w:sz w:val="22"/>
          <w:szCs w:val="22"/>
        </w:rPr>
        <w:t xml:space="preserve">a formal evaluation of the </w:t>
      </w:r>
      <w:r w:rsidR="00EC2B10" w:rsidRPr="00377B68">
        <w:rPr>
          <w:rFonts w:ascii="Arial" w:hAnsi="Arial"/>
          <w:sz w:val="22"/>
          <w:szCs w:val="22"/>
        </w:rPr>
        <w:t>indirect comparison</w:t>
      </w:r>
      <w:r w:rsidR="0004630D">
        <w:rPr>
          <w:rFonts w:ascii="Arial" w:hAnsi="Arial"/>
          <w:sz w:val="22"/>
          <w:szCs w:val="22"/>
        </w:rPr>
        <w:t xml:space="preserve"> was not carried out as this submission was presented as a</w:t>
      </w:r>
      <w:r w:rsidR="00EC2B10" w:rsidRPr="00377B68">
        <w:rPr>
          <w:rFonts w:ascii="Arial" w:hAnsi="Arial"/>
          <w:sz w:val="22"/>
          <w:szCs w:val="22"/>
        </w:rPr>
        <w:t xml:space="preserve"> minor submission.</w:t>
      </w:r>
    </w:p>
    <w:p w:rsidR="00F421DB" w:rsidRPr="00882085" w:rsidRDefault="00F421DB" w:rsidP="00A7308E">
      <w:pPr>
        <w:jc w:val="both"/>
        <w:rPr>
          <w:rFonts w:ascii="Arial" w:hAnsi="Arial"/>
          <w:sz w:val="22"/>
          <w:szCs w:val="22"/>
        </w:rPr>
      </w:pPr>
    </w:p>
    <w:p w:rsidR="00F421DB" w:rsidRPr="00882085" w:rsidRDefault="00F421DB" w:rsidP="00F421DB">
      <w:pPr>
        <w:jc w:val="both"/>
        <w:rPr>
          <w:rFonts w:ascii="Arial" w:hAnsi="Arial"/>
          <w:b/>
          <w:i/>
          <w:sz w:val="22"/>
          <w:szCs w:val="22"/>
        </w:rPr>
      </w:pPr>
      <w:r w:rsidRPr="00882085">
        <w:rPr>
          <w:rFonts w:ascii="Arial" w:hAnsi="Arial"/>
          <w:b/>
          <w:i/>
          <w:sz w:val="22"/>
          <w:szCs w:val="22"/>
        </w:rPr>
        <w:t>Comparative harms</w:t>
      </w:r>
    </w:p>
    <w:p w:rsidR="00F421DB" w:rsidRPr="00882085" w:rsidRDefault="00F421DB" w:rsidP="00F421DB">
      <w:pPr>
        <w:ind w:left="720" w:hanging="720"/>
        <w:jc w:val="both"/>
        <w:rPr>
          <w:rFonts w:ascii="Arial" w:hAnsi="Arial"/>
          <w:sz w:val="22"/>
          <w:szCs w:val="22"/>
        </w:rPr>
      </w:pPr>
    </w:p>
    <w:p w:rsidR="002B7B5C" w:rsidRPr="002B7B5C" w:rsidRDefault="002B7B5C" w:rsidP="00E870C8">
      <w:pPr>
        <w:pStyle w:val="ListParagraph"/>
        <w:numPr>
          <w:ilvl w:val="1"/>
          <w:numId w:val="9"/>
        </w:numPr>
        <w:jc w:val="both"/>
        <w:rPr>
          <w:rFonts w:ascii="Arial" w:hAnsi="Arial"/>
          <w:sz w:val="22"/>
          <w:szCs w:val="22"/>
        </w:rPr>
      </w:pPr>
      <w:r w:rsidRPr="002B7B5C">
        <w:rPr>
          <w:rFonts w:ascii="Arial" w:hAnsi="Arial"/>
          <w:sz w:val="22"/>
          <w:szCs w:val="22"/>
        </w:rPr>
        <w:t>The submission stat</w:t>
      </w:r>
      <w:r w:rsidR="0004630D">
        <w:rPr>
          <w:rFonts w:ascii="Arial" w:hAnsi="Arial"/>
          <w:sz w:val="22"/>
          <w:szCs w:val="22"/>
        </w:rPr>
        <w:t>ed</w:t>
      </w:r>
      <w:r w:rsidRPr="002B7B5C">
        <w:rPr>
          <w:rFonts w:ascii="Arial" w:hAnsi="Arial"/>
          <w:sz w:val="22"/>
          <w:szCs w:val="22"/>
        </w:rPr>
        <w:t xml:space="preserve"> that the adverse drug reactions </w:t>
      </w:r>
      <w:r w:rsidR="00FA04DB">
        <w:rPr>
          <w:rFonts w:ascii="Arial" w:hAnsi="Arial"/>
          <w:sz w:val="22"/>
          <w:szCs w:val="22"/>
        </w:rPr>
        <w:t xml:space="preserve">(ADRs) </w:t>
      </w:r>
      <w:r w:rsidRPr="002B7B5C">
        <w:rPr>
          <w:rFonts w:ascii="Arial" w:hAnsi="Arial"/>
          <w:sz w:val="22"/>
          <w:szCs w:val="22"/>
        </w:rPr>
        <w:t xml:space="preserve">seen in patients treated with </w:t>
      </w:r>
      <w:r w:rsidR="00781CC0">
        <w:rPr>
          <w:rFonts w:ascii="Arial" w:hAnsi="Arial"/>
          <w:sz w:val="22"/>
          <w:szCs w:val="22"/>
        </w:rPr>
        <w:t>glatiramer acetate</w:t>
      </w:r>
      <w:r w:rsidR="00781CC0" w:rsidRPr="0081512E">
        <w:rPr>
          <w:rFonts w:ascii="Arial" w:hAnsi="Arial"/>
          <w:sz w:val="22"/>
          <w:szCs w:val="22"/>
        </w:rPr>
        <w:t xml:space="preserve"> </w:t>
      </w:r>
      <w:r w:rsidRPr="002B7B5C">
        <w:rPr>
          <w:rFonts w:ascii="Arial" w:hAnsi="Arial"/>
          <w:sz w:val="22"/>
          <w:szCs w:val="22"/>
        </w:rPr>
        <w:t xml:space="preserve">40 mg/mL three times weekly were those already known and </w:t>
      </w:r>
      <w:r w:rsidR="0004630D">
        <w:rPr>
          <w:rFonts w:ascii="Arial" w:hAnsi="Arial"/>
          <w:sz w:val="22"/>
          <w:szCs w:val="22"/>
        </w:rPr>
        <w:t>reported</w:t>
      </w:r>
      <w:r w:rsidRPr="002B7B5C">
        <w:rPr>
          <w:rFonts w:ascii="Arial" w:hAnsi="Arial"/>
          <w:sz w:val="22"/>
          <w:szCs w:val="22"/>
        </w:rPr>
        <w:t xml:space="preserve"> for </w:t>
      </w:r>
      <w:r w:rsidR="00781CC0">
        <w:rPr>
          <w:rFonts w:ascii="Arial" w:hAnsi="Arial"/>
          <w:sz w:val="22"/>
          <w:szCs w:val="22"/>
        </w:rPr>
        <w:t>glatiramer acetate</w:t>
      </w:r>
      <w:r w:rsidR="00781CC0" w:rsidRPr="0081512E">
        <w:rPr>
          <w:rFonts w:ascii="Arial" w:hAnsi="Arial"/>
          <w:sz w:val="22"/>
          <w:szCs w:val="22"/>
        </w:rPr>
        <w:t xml:space="preserve"> </w:t>
      </w:r>
      <w:r w:rsidRPr="002B7B5C">
        <w:rPr>
          <w:rFonts w:ascii="Arial" w:hAnsi="Arial"/>
          <w:sz w:val="22"/>
          <w:szCs w:val="22"/>
        </w:rPr>
        <w:t xml:space="preserve">20 mg/mL daily and </w:t>
      </w:r>
      <w:r w:rsidR="0004630D">
        <w:rPr>
          <w:rFonts w:ascii="Arial" w:hAnsi="Arial"/>
          <w:sz w:val="22"/>
          <w:szCs w:val="22"/>
        </w:rPr>
        <w:t xml:space="preserve">were </w:t>
      </w:r>
      <w:r w:rsidRPr="002B7B5C">
        <w:rPr>
          <w:rFonts w:ascii="Arial" w:hAnsi="Arial"/>
          <w:sz w:val="22"/>
          <w:szCs w:val="22"/>
        </w:rPr>
        <w:t>mostly reported at a similar or lower frequency.</w:t>
      </w:r>
    </w:p>
    <w:p w:rsidR="002B7B5C" w:rsidRPr="002B7B5C" w:rsidRDefault="002B7B5C" w:rsidP="002B7B5C">
      <w:pPr>
        <w:pStyle w:val="ListParagraph"/>
        <w:ind w:left="709"/>
        <w:jc w:val="both"/>
        <w:rPr>
          <w:rFonts w:ascii="Arial" w:hAnsi="Arial"/>
          <w:color w:val="FF00FF"/>
          <w:sz w:val="22"/>
          <w:szCs w:val="22"/>
        </w:rPr>
      </w:pPr>
      <w:r w:rsidRPr="002B7B5C">
        <w:rPr>
          <w:rFonts w:ascii="Arial" w:hAnsi="Arial"/>
          <w:color w:val="FF00FF"/>
          <w:sz w:val="22"/>
          <w:szCs w:val="22"/>
        </w:rPr>
        <w:t xml:space="preserve"> </w:t>
      </w:r>
    </w:p>
    <w:p w:rsidR="002B7B5C" w:rsidRPr="00A7308E" w:rsidRDefault="002B7B5C" w:rsidP="00E870C8">
      <w:pPr>
        <w:pStyle w:val="ListParagraph"/>
        <w:numPr>
          <w:ilvl w:val="1"/>
          <w:numId w:val="9"/>
        </w:numPr>
        <w:jc w:val="both"/>
        <w:rPr>
          <w:rFonts w:ascii="Arial" w:hAnsi="Arial"/>
          <w:bCs/>
          <w:sz w:val="22"/>
          <w:szCs w:val="22"/>
        </w:rPr>
      </w:pPr>
      <w:r>
        <w:rPr>
          <w:rFonts w:ascii="Arial" w:hAnsi="Arial"/>
          <w:sz w:val="22"/>
          <w:szCs w:val="22"/>
        </w:rPr>
        <w:t>The submission state</w:t>
      </w:r>
      <w:r w:rsidR="0004630D">
        <w:rPr>
          <w:rFonts w:ascii="Arial" w:hAnsi="Arial"/>
          <w:sz w:val="22"/>
          <w:szCs w:val="22"/>
        </w:rPr>
        <w:t>d</w:t>
      </w:r>
      <w:r>
        <w:rPr>
          <w:rFonts w:ascii="Arial" w:hAnsi="Arial"/>
          <w:sz w:val="22"/>
          <w:szCs w:val="22"/>
        </w:rPr>
        <w:t xml:space="preserve"> that </w:t>
      </w:r>
      <w:r w:rsidR="00672761">
        <w:rPr>
          <w:rFonts w:ascii="Arial" w:hAnsi="Arial"/>
          <w:sz w:val="22"/>
          <w:szCs w:val="22"/>
        </w:rPr>
        <w:t>i</w:t>
      </w:r>
      <w:r w:rsidRPr="002B7B5C">
        <w:rPr>
          <w:rFonts w:ascii="Arial" w:hAnsi="Arial"/>
          <w:sz w:val="22"/>
          <w:szCs w:val="22"/>
        </w:rPr>
        <w:t xml:space="preserve">njection site reactions and </w:t>
      </w:r>
      <w:r w:rsidR="00672761">
        <w:rPr>
          <w:rFonts w:ascii="Arial" w:hAnsi="Arial"/>
          <w:sz w:val="22"/>
          <w:szCs w:val="22"/>
        </w:rPr>
        <w:t>i</w:t>
      </w:r>
      <w:r w:rsidRPr="002B7B5C">
        <w:rPr>
          <w:rFonts w:ascii="Arial" w:hAnsi="Arial"/>
          <w:sz w:val="22"/>
          <w:szCs w:val="22"/>
        </w:rPr>
        <w:t xml:space="preserve">mmediate </w:t>
      </w:r>
      <w:r w:rsidR="00672761">
        <w:rPr>
          <w:rFonts w:ascii="Arial" w:hAnsi="Arial"/>
          <w:sz w:val="22"/>
          <w:szCs w:val="22"/>
        </w:rPr>
        <w:t>p</w:t>
      </w:r>
      <w:r w:rsidRPr="002B7B5C">
        <w:rPr>
          <w:rFonts w:ascii="Arial" w:hAnsi="Arial"/>
          <w:sz w:val="22"/>
          <w:szCs w:val="22"/>
        </w:rPr>
        <w:t>ost-</w:t>
      </w:r>
      <w:r w:rsidR="00672761">
        <w:rPr>
          <w:rFonts w:ascii="Arial" w:hAnsi="Arial"/>
          <w:sz w:val="22"/>
          <w:szCs w:val="22"/>
        </w:rPr>
        <w:t>i</w:t>
      </w:r>
      <w:r w:rsidRPr="002B7B5C">
        <w:rPr>
          <w:rFonts w:ascii="Arial" w:hAnsi="Arial"/>
          <w:sz w:val="22"/>
          <w:szCs w:val="22"/>
        </w:rPr>
        <w:t xml:space="preserve">njection </w:t>
      </w:r>
      <w:r w:rsidR="00672761">
        <w:rPr>
          <w:rFonts w:ascii="Arial" w:hAnsi="Arial"/>
          <w:sz w:val="22"/>
          <w:szCs w:val="22"/>
        </w:rPr>
        <w:t>r</w:t>
      </w:r>
      <w:r w:rsidRPr="002B7B5C">
        <w:rPr>
          <w:rFonts w:ascii="Arial" w:hAnsi="Arial"/>
          <w:sz w:val="22"/>
          <w:szCs w:val="22"/>
        </w:rPr>
        <w:t xml:space="preserve">eactions, commonly reported in patients treated with </w:t>
      </w:r>
      <w:r w:rsidR="00672761">
        <w:rPr>
          <w:rFonts w:ascii="Arial" w:hAnsi="Arial"/>
          <w:sz w:val="22"/>
          <w:szCs w:val="22"/>
        </w:rPr>
        <w:t>glatiramer acetate</w:t>
      </w:r>
      <w:r w:rsidR="00672761" w:rsidRPr="0081512E">
        <w:rPr>
          <w:rFonts w:ascii="Arial" w:hAnsi="Arial"/>
          <w:sz w:val="22"/>
          <w:szCs w:val="22"/>
        </w:rPr>
        <w:t xml:space="preserve"> </w:t>
      </w:r>
      <w:r w:rsidRPr="002B7B5C">
        <w:rPr>
          <w:rFonts w:ascii="Arial" w:hAnsi="Arial"/>
          <w:sz w:val="22"/>
          <w:szCs w:val="22"/>
        </w:rPr>
        <w:t xml:space="preserve">20 mg/mL, were reported in the </w:t>
      </w:r>
      <w:r w:rsidR="00672761">
        <w:rPr>
          <w:rFonts w:ascii="Arial" w:hAnsi="Arial"/>
          <w:sz w:val="22"/>
          <w:szCs w:val="22"/>
        </w:rPr>
        <w:t>glatiramer acetate</w:t>
      </w:r>
      <w:r w:rsidR="00672761" w:rsidRPr="0081512E">
        <w:rPr>
          <w:rFonts w:ascii="Arial" w:hAnsi="Arial"/>
          <w:sz w:val="22"/>
          <w:szCs w:val="22"/>
        </w:rPr>
        <w:t xml:space="preserve"> </w:t>
      </w:r>
      <w:r w:rsidRPr="002B7B5C">
        <w:rPr>
          <w:rFonts w:ascii="Arial" w:hAnsi="Arial"/>
          <w:sz w:val="22"/>
          <w:szCs w:val="22"/>
        </w:rPr>
        <w:t>40 mg/mL three times weekly group, but at lower frequency – most likely due to th</w:t>
      </w:r>
      <w:r w:rsidR="0032366A">
        <w:rPr>
          <w:rFonts w:ascii="Arial" w:hAnsi="Arial"/>
          <w:sz w:val="22"/>
          <w:szCs w:val="22"/>
        </w:rPr>
        <w:t>e lower frequency of injection.</w:t>
      </w:r>
      <w:r w:rsidRPr="002B7B5C">
        <w:rPr>
          <w:rFonts w:ascii="Arial" w:hAnsi="Arial"/>
          <w:sz w:val="22"/>
          <w:szCs w:val="22"/>
        </w:rPr>
        <w:t xml:space="preserve"> Chest pain, described in 13% of patients exposed to </w:t>
      </w:r>
      <w:r w:rsidR="00672761">
        <w:rPr>
          <w:rFonts w:ascii="Arial" w:hAnsi="Arial"/>
          <w:sz w:val="22"/>
          <w:szCs w:val="22"/>
        </w:rPr>
        <w:t>glatiramer acetate</w:t>
      </w:r>
      <w:r w:rsidR="00672761" w:rsidRPr="0081512E">
        <w:rPr>
          <w:rFonts w:ascii="Arial" w:hAnsi="Arial"/>
          <w:sz w:val="22"/>
          <w:szCs w:val="22"/>
        </w:rPr>
        <w:t xml:space="preserve"> </w:t>
      </w:r>
      <w:r w:rsidRPr="002B7B5C">
        <w:rPr>
          <w:rFonts w:ascii="Arial" w:hAnsi="Arial"/>
          <w:sz w:val="22"/>
          <w:szCs w:val="22"/>
        </w:rPr>
        <w:t>20 mg/mL in the five placebo controlled trials, was seen at a rate of a</w:t>
      </w:r>
      <w:r w:rsidRPr="002B7B5C">
        <w:rPr>
          <w:rFonts w:ascii="Arial" w:hAnsi="Arial"/>
          <w:bCs/>
          <w:sz w:val="22"/>
          <w:szCs w:val="22"/>
        </w:rPr>
        <w:t xml:space="preserve">pproximately 2% of patients exposed to </w:t>
      </w:r>
      <w:r w:rsidR="00672761">
        <w:rPr>
          <w:rFonts w:ascii="Arial" w:hAnsi="Arial"/>
          <w:sz w:val="22"/>
          <w:szCs w:val="22"/>
        </w:rPr>
        <w:t>glatiramer acetate</w:t>
      </w:r>
      <w:r w:rsidR="00672761" w:rsidRPr="0081512E">
        <w:rPr>
          <w:rFonts w:ascii="Arial" w:hAnsi="Arial"/>
          <w:sz w:val="22"/>
          <w:szCs w:val="22"/>
        </w:rPr>
        <w:t xml:space="preserve"> </w:t>
      </w:r>
      <w:r w:rsidRPr="002B7B5C">
        <w:rPr>
          <w:rFonts w:ascii="Arial" w:hAnsi="Arial"/>
          <w:bCs/>
          <w:sz w:val="22"/>
          <w:szCs w:val="22"/>
        </w:rPr>
        <w:t>40</w:t>
      </w:r>
      <w:r w:rsidR="004E31B5">
        <w:rPr>
          <w:rFonts w:ascii="Arial" w:hAnsi="Arial"/>
          <w:bCs/>
          <w:sz w:val="22"/>
          <w:szCs w:val="22"/>
        </w:rPr>
        <w:t> </w:t>
      </w:r>
      <w:r w:rsidRPr="002B7B5C">
        <w:rPr>
          <w:rFonts w:ascii="Arial" w:hAnsi="Arial"/>
          <w:bCs/>
          <w:sz w:val="22"/>
          <w:szCs w:val="22"/>
        </w:rPr>
        <w:t xml:space="preserve">mg/mL in </w:t>
      </w:r>
      <w:r w:rsidR="00672761">
        <w:rPr>
          <w:rFonts w:ascii="Arial" w:hAnsi="Arial"/>
          <w:bCs/>
          <w:sz w:val="22"/>
          <w:szCs w:val="22"/>
        </w:rPr>
        <w:t xml:space="preserve">the </w:t>
      </w:r>
      <w:r w:rsidRPr="002B7B5C">
        <w:rPr>
          <w:rFonts w:ascii="Arial" w:hAnsi="Arial"/>
          <w:bCs/>
          <w:sz w:val="22"/>
          <w:szCs w:val="22"/>
        </w:rPr>
        <w:t>GALA</w:t>
      </w:r>
      <w:r w:rsidR="00672761">
        <w:rPr>
          <w:rFonts w:ascii="Arial" w:hAnsi="Arial"/>
          <w:bCs/>
          <w:sz w:val="22"/>
          <w:szCs w:val="22"/>
        </w:rPr>
        <w:t xml:space="preserve"> trial</w:t>
      </w:r>
      <w:r w:rsidR="0032366A">
        <w:rPr>
          <w:rFonts w:ascii="Arial" w:hAnsi="Arial"/>
          <w:bCs/>
          <w:sz w:val="22"/>
          <w:szCs w:val="22"/>
        </w:rPr>
        <w:t>.</w:t>
      </w:r>
    </w:p>
    <w:p w:rsidR="00F421DB" w:rsidRDefault="00F421DB" w:rsidP="00F421DB">
      <w:pPr>
        <w:jc w:val="both"/>
        <w:rPr>
          <w:rFonts w:ascii="Arial" w:hAnsi="Arial"/>
          <w:b/>
          <w:i/>
          <w:sz w:val="22"/>
          <w:szCs w:val="22"/>
        </w:rPr>
      </w:pPr>
    </w:p>
    <w:p w:rsidR="00A45512" w:rsidRDefault="00A45512" w:rsidP="00F421DB">
      <w:pPr>
        <w:jc w:val="both"/>
        <w:rPr>
          <w:rFonts w:ascii="Arial" w:hAnsi="Arial"/>
          <w:b/>
          <w:i/>
          <w:sz w:val="22"/>
          <w:szCs w:val="22"/>
        </w:rPr>
      </w:pPr>
    </w:p>
    <w:p w:rsidR="00F421DB" w:rsidRPr="00882085" w:rsidRDefault="00F421DB" w:rsidP="004412AD">
      <w:pPr>
        <w:keepNext/>
        <w:jc w:val="both"/>
        <w:rPr>
          <w:rFonts w:ascii="Arial" w:hAnsi="Arial"/>
          <w:b/>
          <w:i/>
          <w:sz w:val="22"/>
          <w:szCs w:val="22"/>
        </w:rPr>
      </w:pPr>
      <w:r w:rsidRPr="00882085">
        <w:rPr>
          <w:rFonts w:ascii="Arial" w:hAnsi="Arial"/>
          <w:b/>
          <w:i/>
          <w:sz w:val="22"/>
          <w:szCs w:val="22"/>
        </w:rPr>
        <w:lastRenderedPageBreak/>
        <w:t>Clinical claim</w:t>
      </w:r>
    </w:p>
    <w:p w:rsidR="00F421DB" w:rsidRPr="00882085" w:rsidRDefault="00F421DB" w:rsidP="004412AD">
      <w:pPr>
        <w:keepNext/>
        <w:ind w:left="720" w:hanging="720"/>
        <w:jc w:val="both"/>
        <w:rPr>
          <w:rFonts w:ascii="Arial" w:hAnsi="Arial"/>
          <w:sz w:val="22"/>
          <w:szCs w:val="22"/>
        </w:rPr>
      </w:pPr>
    </w:p>
    <w:p w:rsidR="00802547" w:rsidRDefault="00F421DB" w:rsidP="00E870C8">
      <w:pPr>
        <w:pStyle w:val="ListParagraph"/>
        <w:numPr>
          <w:ilvl w:val="1"/>
          <w:numId w:val="9"/>
        </w:numPr>
        <w:jc w:val="both"/>
        <w:rPr>
          <w:rFonts w:ascii="Arial" w:hAnsi="Arial"/>
          <w:sz w:val="22"/>
          <w:szCs w:val="22"/>
        </w:rPr>
      </w:pPr>
      <w:r w:rsidRPr="00802547">
        <w:rPr>
          <w:rFonts w:ascii="Arial" w:hAnsi="Arial"/>
          <w:sz w:val="22"/>
          <w:szCs w:val="22"/>
        </w:rPr>
        <w:t>The submission claim</w:t>
      </w:r>
      <w:r w:rsidR="0004630D">
        <w:rPr>
          <w:rFonts w:ascii="Arial" w:hAnsi="Arial"/>
          <w:sz w:val="22"/>
          <w:szCs w:val="22"/>
        </w:rPr>
        <w:t>ed</w:t>
      </w:r>
      <w:r w:rsidRPr="00802547">
        <w:rPr>
          <w:rFonts w:ascii="Arial" w:hAnsi="Arial"/>
          <w:sz w:val="22"/>
          <w:szCs w:val="22"/>
        </w:rPr>
        <w:t xml:space="preserve"> </w:t>
      </w:r>
      <w:r w:rsidR="00672761" w:rsidRPr="00802547">
        <w:rPr>
          <w:rFonts w:ascii="Arial" w:hAnsi="Arial"/>
          <w:sz w:val="22"/>
          <w:szCs w:val="22"/>
        </w:rPr>
        <w:t>non-inferior</w:t>
      </w:r>
      <w:r w:rsidRPr="00802547">
        <w:rPr>
          <w:rFonts w:ascii="Arial" w:hAnsi="Arial"/>
          <w:sz w:val="22"/>
          <w:szCs w:val="22"/>
        </w:rPr>
        <w:t xml:space="preserve"> comparative effectiveness and non-inferior comparative safety of</w:t>
      </w:r>
      <w:r w:rsidR="00672761" w:rsidRPr="00802547">
        <w:rPr>
          <w:rFonts w:ascii="Arial" w:hAnsi="Arial"/>
          <w:sz w:val="22"/>
          <w:szCs w:val="22"/>
        </w:rPr>
        <w:t xml:space="preserve"> glatiramer acetate 40 mg/mL three times per week</w:t>
      </w:r>
      <w:r w:rsidRPr="00802547">
        <w:rPr>
          <w:rFonts w:ascii="Arial" w:hAnsi="Arial"/>
          <w:i/>
          <w:sz w:val="22"/>
          <w:szCs w:val="22"/>
        </w:rPr>
        <w:t xml:space="preserve"> </w:t>
      </w:r>
      <w:r w:rsidRPr="00802547">
        <w:rPr>
          <w:rFonts w:ascii="Arial" w:hAnsi="Arial"/>
          <w:sz w:val="22"/>
          <w:szCs w:val="22"/>
        </w:rPr>
        <w:t>compared with</w:t>
      </w:r>
      <w:r w:rsidR="00672761" w:rsidRPr="00802547">
        <w:rPr>
          <w:rFonts w:ascii="Arial" w:hAnsi="Arial"/>
          <w:i/>
          <w:sz w:val="22"/>
          <w:szCs w:val="22"/>
        </w:rPr>
        <w:t xml:space="preserve"> </w:t>
      </w:r>
      <w:r w:rsidR="00672761" w:rsidRPr="00802547">
        <w:rPr>
          <w:rFonts w:ascii="Arial" w:hAnsi="Arial"/>
          <w:sz w:val="22"/>
          <w:szCs w:val="22"/>
        </w:rPr>
        <w:t>glatiramer acetate 20 mg/mL daily</w:t>
      </w:r>
      <w:r w:rsidRPr="00802547">
        <w:rPr>
          <w:rFonts w:ascii="Arial" w:hAnsi="Arial"/>
          <w:sz w:val="22"/>
          <w:szCs w:val="22"/>
        </w:rPr>
        <w:t xml:space="preserve">. </w:t>
      </w:r>
    </w:p>
    <w:p w:rsidR="00F421DB" w:rsidRPr="00882085" w:rsidRDefault="00F421DB" w:rsidP="00377B68">
      <w:pPr>
        <w:pStyle w:val="ListParagraph"/>
        <w:ind w:left="709"/>
        <w:jc w:val="both"/>
        <w:rPr>
          <w:rFonts w:ascii="Arial" w:hAnsi="Arial"/>
          <w:sz w:val="22"/>
          <w:szCs w:val="22"/>
        </w:rPr>
      </w:pPr>
    </w:p>
    <w:p w:rsidR="00F421DB" w:rsidRPr="00882085" w:rsidRDefault="00F421DB" w:rsidP="00F421DB">
      <w:pPr>
        <w:keepNext/>
        <w:ind w:left="720" w:hanging="720"/>
        <w:jc w:val="both"/>
        <w:rPr>
          <w:rFonts w:ascii="Arial" w:hAnsi="Arial"/>
          <w:b/>
          <w:i/>
          <w:sz w:val="22"/>
          <w:szCs w:val="22"/>
        </w:rPr>
      </w:pPr>
      <w:r w:rsidRPr="00882085">
        <w:rPr>
          <w:rFonts w:ascii="Arial" w:hAnsi="Arial"/>
          <w:b/>
          <w:i/>
          <w:sz w:val="22"/>
          <w:szCs w:val="22"/>
        </w:rPr>
        <w:t>Economic analysis</w:t>
      </w:r>
    </w:p>
    <w:p w:rsidR="00F421DB" w:rsidRPr="00882085" w:rsidRDefault="00F421DB" w:rsidP="00F421DB">
      <w:pPr>
        <w:keepNext/>
        <w:ind w:left="720" w:hanging="720"/>
        <w:jc w:val="both"/>
        <w:rPr>
          <w:rFonts w:ascii="Arial" w:hAnsi="Arial"/>
          <w:sz w:val="22"/>
          <w:szCs w:val="22"/>
        </w:rPr>
      </w:pPr>
    </w:p>
    <w:p w:rsidR="004E31B5" w:rsidRDefault="004E31B5" w:rsidP="00E870C8">
      <w:pPr>
        <w:pStyle w:val="ListParagraph"/>
        <w:numPr>
          <w:ilvl w:val="1"/>
          <w:numId w:val="9"/>
        </w:numPr>
        <w:jc w:val="both"/>
        <w:rPr>
          <w:rFonts w:ascii="Arial" w:hAnsi="Arial"/>
          <w:sz w:val="22"/>
          <w:szCs w:val="22"/>
        </w:rPr>
      </w:pPr>
      <w:r w:rsidRPr="004E31B5">
        <w:rPr>
          <w:rFonts w:ascii="Arial" w:hAnsi="Arial"/>
          <w:sz w:val="22"/>
          <w:szCs w:val="22"/>
        </w:rPr>
        <w:t xml:space="preserve">As a minor submission, there </w:t>
      </w:r>
      <w:r w:rsidR="0004630D">
        <w:rPr>
          <w:rFonts w:ascii="Arial" w:hAnsi="Arial"/>
          <w:sz w:val="22"/>
          <w:szCs w:val="22"/>
        </w:rPr>
        <w:t>was</w:t>
      </w:r>
      <w:r w:rsidRPr="004E31B5">
        <w:rPr>
          <w:rFonts w:ascii="Arial" w:hAnsi="Arial"/>
          <w:sz w:val="22"/>
          <w:szCs w:val="22"/>
        </w:rPr>
        <w:t xml:space="preserve"> no economic comparison presented.</w:t>
      </w:r>
    </w:p>
    <w:p w:rsidR="004E31B5" w:rsidRDefault="004E31B5" w:rsidP="004412AD">
      <w:pPr>
        <w:pStyle w:val="ListParagraph"/>
        <w:ind w:left="709"/>
        <w:jc w:val="both"/>
        <w:rPr>
          <w:rFonts w:ascii="Arial" w:hAnsi="Arial"/>
          <w:sz w:val="22"/>
          <w:szCs w:val="22"/>
        </w:rPr>
      </w:pPr>
    </w:p>
    <w:p w:rsidR="00F421DB" w:rsidRPr="00071C25" w:rsidRDefault="007125C6" w:rsidP="00E870C8">
      <w:pPr>
        <w:pStyle w:val="ListParagraph"/>
        <w:numPr>
          <w:ilvl w:val="1"/>
          <w:numId w:val="9"/>
        </w:numPr>
        <w:jc w:val="both"/>
        <w:rPr>
          <w:rFonts w:ascii="Arial" w:hAnsi="Arial"/>
          <w:sz w:val="22"/>
          <w:szCs w:val="22"/>
        </w:rPr>
      </w:pPr>
      <w:r>
        <w:rPr>
          <w:rFonts w:ascii="Arial" w:hAnsi="Arial"/>
          <w:sz w:val="22"/>
          <w:szCs w:val="22"/>
        </w:rPr>
        <w:t xml:space="preserve">The minor submission </w:t>
      </w:r>
      <w:r w:rsidR="004E31B5">
        <w:rPr>
          <w:rFonts w:ascii="Arial" w:hAnsi="Arial"/>
          <w:sz w:val="22"/>
          <w:szCs w:val="22"/>
        </w:rPr>
        <w:t>request</w:t>
      </w:r>
      <w:r w:rsidR="0004630D">
        <w:rPr>
          <w:rFonts w:ascii="Arial" w:hAnsi="Arial"/>
          <w:sz w:val="22"/>
          <w:szCs w:val="22"/>
        </w:rPr>
        <w:t>ed</w:t>
      </w:r>
      <w:r w:rsidR="004E31B5">
        <w:rPr>
          <w:rFonts w:ascii="Arial" w:hAnsi="Arial"/>
          <w:sz w:val="22"/>
          <w:szCs w:val="22"/>
        </w:rPr>
        <w:t xml:space="preserve"> </w:t>
      </w:r>
      <w:r>
        <w:rPr>
          <w:rFonts w:ascii="Arial" w:hAnsi="Arial"/>
          <w:sz w:val="22"/>
          <w:szCs w:val="22"/>
        </w:rPr>
        <w:t xml:space="preserve">that the </w:t>
      </w:r>
      <w:r w:rsidR="004E31B5">
        <w:rPr>
          <w:rFonts w:ascii="Arial" w:hAnsi="Arial"/>
          <w:sz w:val="22"/>
          <w:szCs w:val="22"/>
        </w:rPr>
        <w:t xml:space="preserve">monthly treatment price of </w:t>
      </w:r>
      <w:r>
        <w:rPr>
          <w:rFonts w:ascii="Arial" w:hAnsi="Arial"/>
          <w:sz w:val="22"/>
          <w:szCs w:val="22"/>
        </w:rPr>
        <w:t xml:space="preserve">40 mg/mL three times a week </w:t>
      </w:r>
      <w:r w:rsidR="00FA04DB">
        <w:rPr>
          <w:rFonts w:ascii="Arial" w:hAnsi="Arial"/>
          <w:sz w:val="22"/>
          <w:szCs w:val="22"/>
        </w:rPr>
        <w:t xml:space="preserve">(total of 480 mg per month) </w:t>
      </w:r>
      <w:r>
        <w:rPr>
          <w:rFonts w:ascii="Arial" w:hAnsi="Arial"/>
          <w:sz w:val="22"/>
          <w:szCs w:val="22"/>
        </w:rPr>
        <w:t>should be same as that of a monthly regiment of 20 mg/mL taken daily</w:t>
      </w:r>
      <w:r w:rsidR="00FA04DB">
        <w:rPr>
          <w:rFonts w:ascii="Arial" w:hAnsi="Arial"/>
          <w:sz w:val="22"/>
          <w:szCs w:val="22"/>
        </w:rPr>
        <w:t xml:space="preserve"> (total of 560 mg per month)</w:t>
      </w:r>
      <w:r>
        <w:rPr>
          <w:rFonts w:ascii="Arial" w:hAnsi="Arial"/>
          <w:sz w:val="22"/>
          <w:szCs w:val="22"/>
        </w:rPr>
        <w:t>.</w:t>
      </w:r>
      <w:r w:rsidR="004E31B5">
        <w:rPr>
          <w:rFonts w:ascii="Arial" w:hAnsi="Arial"/>
          <w:sz w:val="22"/>
          <w:szCs w:val="22"/>
        </w:rPr>
        <w:t xml:space="preserve"> </w:t>
      </w:r>
    </w:p>
    <w:p w:rsidR="00F421DB" w:rsidRPr="00882085" w:rsidRDefault="00F421DB" w:rsidP="00F421DB">
      <w:pPr>
        <w:ind w:left="720" w:hanging="720"/>
        <w:jc w:val="both"/>
        <w:rPr>
          <w:rFonts w:ascii="Arial" w:hAnsi="Arial"/>
          <w:sz w:val="22"/>
          <w:szCs w:val="22"/>
        </w:rPr>
      </w:pPr>
    </w:p>
    <w:p w:rsidR="00F421DB" w:rsidRPr="00882085" w:rsidRDefault="00F421DB" w:rsidP="00F421DB">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F421DB" w:rsidRPr="00882085" w:rsidRDefault="00F421DB" w:rsidP="00F421DB">
      <w:pPr>
        <w:ind w:left="720" w:hanging="720"/>
        <w:jc w:val="both"/>
        <w:rPr>
          <w:rFonts w:ascii="Arial" w:hAnsi="Arial"/>
          <w:b/>
          <w:i/>
          <w:sz w:val="22"/>
          <w:szCs w:val="22"/>
        </w:rPr>
      </w:pPr>
    </w:p>
    <w:p w:rsidR="00F421DB" w:rsidRPr="00071C25" w:rsidRDefault="00F421DB" w:rsidP="00E870C8">
      <w:pPr>
        <w:pStyle w:val="ListParagraph"/>
        <w:numPr>
          <w:ilvl w:val="1"/>
          <w:numId w:val="9"/>
        </w:numPr>
        <w:jc w:val="both"/>
        <w:rPr>
          <w:rFonts w:ascii="Arial" w:hAnsi="Arial"/>
          <w:b/>
          <w:color w:val="FF00FF"/>
          <w:sz w:val="22"/>
          <w:szCs w:val="22"/>
        </w:rPr>
      </w:pPr>
      <w:r>
        <w:rPr>
          <w:rFonts w:ascii="Arial" w:hAnsi="Arial"/>
          <w:sz w:val="22"/>
          <w:szCs w:val="22"/>
        </w:rPr>
        <w:t>The minor submission estimate</w:t>
      </w:r>
      <w:r w:rsidR="0004630D">
        <w:rPr>
          <w:rFonts w:ascii="Arial" w:hAnsi="Arial"/>
          <w:sz w:val="22"/>
          <w:szCs w:val="22"/>
        </w:rPr>
        <w:t>d</w:t>
      </w:r>
      <w:r>
        <w:rPr>
          <w:rFonts w:ascii="Arial" w:hAnsi="Arial"/>
          <w:sz w:val="22"/>
          <w:szCs w:val="22"/>
        </w:rPr>
        <w:t xml:space="preserve"> there to be no financial implications </w:t>
      </w:r>
      <w:r w:rsidR="0004630D">
        <w:rPr>
          <w:rFonts w:ascii="Arial" w:hAnsi="Arial"/>
          <w:sz w:val="22"/>
          <w:szCs w:val="22"/>
        </w:rPr>
        <w:t>from</w:t>
      </w:r>
      <w:r>
        <w:rPr>
          <w:rFonts w:ascii="Arial" w:hAnsi="Arial"/>
          <w:sz w:val="22"/>
          <w:szCs w:val="22"/>
        </w:rPr>
        <w:t xml:space="preserve"> changes in PBS usage as the submission expect</w:t>
      </w:r>
      <w:r w:rsidR="0004630D">
        <w:rPr>
          <w:rFonts w:ascii="Arial" w:hAnsi="Arial"/>
          <w:sz w:val="22"/>
          <w:szCs w:val="22"/>
        </w:rPr>
        <w:t>ed</w:t>
      </w:r>
      <w:r>
        <w:rPr>
          <w:rFonts w:ascii="Arial" w:hAnsi="Arial"/>
          <w:sz w:val="22"/>
          <w:szCs w:val="22"/>
        </w:rPr>
        <w:t xml:space="preserve"> </w:t>
      </w:r>
      <w:r w:rsidR="00DE5A68">
        <w:rPr>
          <w:rFonts w:ascii="Arial" w:hAnsi="Arial"/>
          <w:sz w:val="22"/>
          <w:szCs w:val="22"/>
        </w:rPr>
        <w:t>glatiramer acetate 40 mg/mL three time</w:t>
      </w:r>
      <w:r w:rsidR="00BC5A44">
        <w:rPr>
          <w:rFonts w:ascii="Arial" w:hAnsi="Arial"/>
          <w:sz w:val="22"/>
          <w:szCs w:val="22"/>
        </w:rPr>
        <w:t>s per</w:t>
      </w:r>
      <w:r w:rsidR="00DE5A68">
        <w:rPr>
          <w:rFonts w:ascii="Arial" w:hAnsi="Arial"/>
          <w:sz w:val="22"/>
          <w:szCs w:val="22"/>
        </w:rPr>
        <w:t xml:space="preserve"> week </w:t>
      </w:r>
      <w:r>
        <w:rPr>
          <w:rFonts w:ascii="Arial" w:hAnsi="Arial"/>
          <w:sz w:val="22"/>
          <w:szCs w:val="22"/>
        </w:rPr>
        <w:t xml:space="preserve">to substitute for </w:t>
      </w:r>
      <w:r w:rsidR="00DE5A68">
        <w:rPr>
          <w:rFonts w:ascii="Arial" w:hAnsi="Arial"/>
          <w:sz w:val="22"/>
          <w:szCs w:val="22"/>
        </w:rPr>
        <w:t>glatiramer acetate 20 mg/mL daily</w:t>
      </w:r>
      <w:r w:rsidR="0004630D">
        <w:rPr>
          <w:rFonts w:ascii="Arial" w:hAnsi="Arial"/>
          <w:sz w:val="22"/>
          <w:szCs w:val="22"/>
        </w:rPr>
        <w:t>,</w:t>
      </w:r>
      <w:r>
        <w:rPr>
          <w:rFonts w:ascii="Arial" w:hAnsi="Arial"/>
          <w:sz w:val="22"/>
          <w:szCs w:val="22"/>
        </w:rPr>
        <w:t xml:space="preserve"> </w:t>
      </w:r>
      <w:r w:rsidR="004E31B5">
        <w:rPr>
          <w:rFonts w:ascii="Arial" w:hAnsi="Arial"/>
          <w:sz w:val="22"/>
          <w:szCs w:val="22"/>
        </w:rPr>
        <w:t>for the same monthly price</w:t>
      </w:r>
      <w:r>
        <w:rPr>
          <w:rFonts w:ascii="Arial" w:hAnsi="Arial"/>
          <w:sz w:val="22"/>
          <w:szCs w:val="22"/>
        </w:rPr>
        <w:t>.</w:t>
      </w:r>
    </w:p>
    <w:p w:rsidR="00A45512" w:rsidRDefault="00A45512" w:rsidP="00F421DB">
      <w:pPr>
        <w:pStyle w:val="ListParagraph"/>
        <w:ind w:left="709"/>
        <w:jc w:val="both"/>
        <w:rPr>
          <w:rFonts w:ascii="Arial" w:hAnsi="Arial"/>
          <w:sz w:val="22"/>
          <w:szCs w:val="22"/>
        </w:rPr>
      </w:pPr>
    </w:p>
    <w:p w:rsidR="00F421DB" w:rsidRPr="00331C60" w:rsidRDefault="00F421DB" w:rsidP="00F421DB">
      <w:pPr>
        <w:jc w:val="both"/>
        <w:rPr>
          <w:rFonts w:ascii="Arial" w:hAnsi="Arial" w:cs="Arial"/>
          <w:sz w:val="22"/>
          <w:szCs w:val="22"/>
        </w:rPr>
      </w:pPr>
    </w:p>
    <w:p w:rsidR="00CE704F" w:rsidRDefault="00CE704F" w:rsidP="00DD312D">
      <w:pPr>
        <w:pStyle w:val="PBACHeading1"/>
      </w:pPr>
      <w:r>
        <w:t>PBAC Outcome</w:t>
      </w:r>
    </w:p>
    <w:p w:rsidR="00CE704F" w:rsidRDefault="00CE704F" w:rsidP="00377B68">
      <w:pPr>
        <w:pStyle w:val="ListParagraph"/>
        <w:jc w:val="both"/>
        <w:rPr>
          <w:rFonts w:ascii="Arial" w:hAnsi="Arial"/>
          <w:b/>
          <w:sz w:val="22"/>
          <w:szCs w:val="22"/>
        </w:rPr>
      </w:pPr>
    </w:p>
    <w:p w:rsidR="00CE704F" w:rsidRDefault="00CE704F" w:rsidP="00377B68">
      <w:pPr>
        <w:pStyle w:val="ListParagraph"/>
        <w:numPr>
          <w:ilvl w:val="1"/>
          <w:numId w:val="9"/>
        </w:numPr>
        <w:rPr>
          <w:rFonts w:ascii="Arial" w:hAnsi="Arial"/>
          <w:sz w:val="22"/>
          <w:szCs w:val="22"/>
        </w:rPr>
      </w:pPr>
      <w:r>
        <w:rPr>
          <w:rFonts w:ascii="Arial" w:hAnsi="Arial"/>
          <w:sz w:val="22"/>
          <w:szCs w:val="22"/>
        </w:rPr>
        <w:t>The PBAC recommended the listing of glatiramer acetate</w:t>
      </w:r>
      <w:r w:rsidR="00B838F8">
        <w:rPr>
          <w:rFonts w:ascii="Arial" w:hAnsi="Arial"/>
          <w:sz w:val="22"/>
          <w:szCs w:val="22"/>
        </w:rPr>
        <w:t xml:space="preserve"> </w:t>
      </w:r>
      <w:r w:rsidR="00B838F8" w:rsidRPr="00B838F8">
        <w:rPr>
          <w:rFonts w:ascii="Arial" w:hAnsi="Arial"/>
          <w:sz w:val="22"/>
          <w:szCs w:val="22"/>
        </w:rPr>
        <w:t>40 mg/mL injection</w:t>
      </w:r>
      <w:r>
        <w:rPr>
          <w:rFonts w:ascii="Arial" w:hAnsi="Arial"/>
          <w:sz w:val="22"/>
          <w:szCs w:val="22"/>
        </w:rPr>
        <w:t xml:space="preserve"> for the treatment of multiple sclerosis</w:t>
      </w:r>
      <w:r w:rsidR="00B838F8">
        <w:rPr>
          <w:rFonts w:ascii="Arial" w:hAnsi="Arial"/>
          <w:sz w:val="22"/>
          <w:szCs w:val="22"/>
        </w:rPr>
        <w:t>.</w:t>
      </w:r>
    </w:p>
    <w:p w:rsidR="00CE704F" w:rsidRDefault="00CE704F" w:rsidP="00377B68">
      <w:pPr>
        <w:pStyle w:val="ListParagraph"/>
        <w:rPr>
          <w:rFonts w:ascii="Arial" w:hAnsi="Arial"/>
          <w:sz w:val="22"/>
          <w:szCs w:val="22"/>
        </w:rPr>
      </w:pPr>
    </w:p>
    <w:p w:rsidR="00CE704F" w:rsidRDefault="00CE704F" w:rsidP="00377B68">
      <w:pPr>
        <w:pStyle w:val="ListParagraph"/>
        <w:numPr>
          <w:ilvl w:val="1"/>
          <w:numId w:val="9"/>
        </w:numPr>
        <w:rPr>
          <w:rFonts w:ascii="Arial" w:hAnsi="Arial"/>
          <w:sz w:val="22"/>
          <w:szCs w:val="22"/>
        </w:rPr>
      </w:pPr>
      <w:r>
        <w:rPr>
          <w:rFonts w:ascii="Arial" w:hAnsi="Arial"/>
          <w:sz w:val="22"/>
          <w:szCs w:val="22"/>
        </w:rPr>
        <w:t xml:space="preserve">The </w:t>
      </w:r>
      <w:r w:rsidR="00377B68">
        <w:rPr>
          <w:rFonts w:ascii="Arial" w:hAnsi="Arial"/>
          <w:sz w:val="22"/>
          <w:szCs w:val="22"/>
        </w:rPr>
        <w:t xml:space="preserve">PBAC </w:t>
      </w:r>
      <w:r>
        <w:rPr>
          <w:rFonts w:ascii="Arial" w:hAnsi="Arial"/>
          <w:sz w:val="22"/>
          <w:szCs w:val="22"/>
        </w:rPr>
        <w:t>noted</w:t>
      </w:r>
      <w:r w:rsidRPr="00CE704F">
        <w:rPr>
          <w:rFonts w:ascii="Arial" w:hAnsi="Arial"/>
          <w:sz w:val="22"/>
          <w:szCs w:val="22"/>
        </w:rPr>
        <w:t xml:space="preserve"> that the submission </w:t>
      </w:r>
      <w:r w:rsidR="00377B68" w:rsidRPr="00CE704F">
        <w:rPr>
          <w:rFonts w:ascii="Arial" w:hAnsi="Arial"/>
          <w:sz w:val="22"/>
          <w:szCs w:val="22"/>
        </w:rPr>
        <w:t>request</w:t>
      </w:r>
      <w:r w:rsidR="00377B68">
        <w:rPr>
          <w:rFonts w:ascii="Arial" w:hAnsi="Arial"/>
          <w:sz w:val="22"/>
          <w:szCs w:val="22"/>
        </w:rPr>
        <w:t>ed</w:t>
      </w:r>
      <w:r w:rsidR="00377B68" w:rsidRPr="00CE704F">
        <w:rPr>
          <w:rFonts w:ascii="Arial" w:hAnsi="Arial"/>
          <w:sz w:val="22"/>
          <w:szCs w:val="22"/>
        </w:rPr>
        <w:t xml:space="preserve"> </w:t>
      </w:r>
      <w:r w:rsidRPr="00CE704F">
        <w:rPr>
          <w:rFonts w:ascii="Arial" w:hAnsi="Arial"/>
          <w:sz w:val="22"/>
          <w:szCs w:val="22"/>
        </w:rPr>
        <w:t xml:space="preserve">the same </w:t>
      </w:r>
      <w:r w:rsidR="00377B68">
        <w:rPr>
          <w:rFonts w:ascii="Arial" w:hAnsi="Arial"/>
          <w:sz w:val="22"/>
          <w:szCs w:val="22"/>
        </w:rPr>
        <w:t>price</w:t>
      </w:r>
      <w:r w:rsidR="00377B68" w:rsidRPr="00CE704F">
        <w:rPr>
          <w:rFonts w:ascii="Arial" w:hAnsi="Arial"/>
          <w:sz w:val="22"/>
          <w:szCs w:val="22"/>
        </w:rPr>
        <w:t xml:space="preserve"> </w:t>
      </w:r>
      <w:r w:rsidRPr="00CE704F">
        <w:rPr>
          <w:rFonts w:ascii="Arial" w:hAnsi="Arial"/>
          <w:sz w:val="22"/>
          <w:szCs w:val="22"/>
        </w:rPr>
        <w:t>for glatiramer acetate 40 mg/mL three times weekly (providing 480 mg per month) as for glatiramer acetate 20 mg/mL daily (providing 560 mg per month)</w:t>
      </w:r>
      <w:r w:rsidR="00B83C93">
        <w:rPr>
          <w:rFonts w:ascii="Arial" w:hAnsi="Arial"/>
          <w:sz w:val="22"/>
          <w:szCs w:val="22"/>
        </w:rPr>
        <w:t xml:space="preserve">. The PBAC </w:t>
      </w:r>
      <w:r w:rsidR="00377B68">
        <w:rPr>
          <w:rFonts w:ascii="Arial" w:hAnsi="Arial"/>
          <w:sz w:val="22"/>
          <w:szCs w:val="22"/>
        </w:rPr>
        <w:t xml:space="preserve">noted that the TGA </w:t>
      </w:r>
      <w:r w:rsidR="00FA04DB">
        <w:rPr>
          <w:rFonts w:ascii="Arial" w:hAnsi="Arial"/>
          <w:sz w:val="22"/>
          <w:szCs w:val="22"/>
        </w:rPr>
        <w:t xml:space="preserve">was satisfied that the three-times-weekly regimen would deliver </w:t>
      </w:r>
      <w:r w:rsidR="00D1622D">
        <w:rPr>
          <w:rFonts w:ascii="Arial" w:hAnsi="Arial"/>
          <w:sz w:val="22"/>
          <w:szCs w:val="22"/>
        </w:rPr>
        <w:t>a</w:t>
      </w:r>
      <w:r w:rsidR="00FA04DB">
        <w:rPr>
          <w:rFonts w:ascii="Arial" w:hAnsi="Arial"/>
          <w:sz w:val="22"/>
          <w:szCs w:val="22"/>
        </w:rPr>
        <w:t xml:space="preserve"> </w:t>
      </w:r>
      <w:r w:rsidR="004A44D5">
        <w:rPr>
          <w:rFonts w:ascii="Arial" w:hAnsi="Arial"/>
          <w:sz w:val="22"/>
          <w:szCs w:val="22"/>
        </w:rPr>
        <w:t xml:space="preserve">similar treatment </w:t>
      </w:r>
      <w:r w:rsidR="00FA04DB">
        <w:rPr>
          <w:rFonts w:ascii="Arial" w:hAnsi="Arial"/>
          <w:sz w:val="22"/>
          <w:szCs w:val="22"/>
        </w:rPr>
        <w:t>benefit</w:t>
      </w:r>
      <w:r w:rsidR="004A44D5">
        <w:rPr>
          <w:rFonts w:ascii="Arial" w:hAnsi="Arial"/>
          <w:sz w:val="22"/>
          <w:szCs w:val="22"/>
        </w:rPr>
        <w:t xml:space="preserve"> in terms of relapse rate</w:t>
      </w:r>
      <w:r w:rsidR="00FA04DB">
        <w:rPr>
          <w:rFonts w:ascii="Arial" w:hAnsi="Arial"/>
          <w:sz w:val="22"/>
          <w:szCs w:val="22"/>
        </w:rPr>
        <w:t xml:space="preserve"> </w:t>
      </w:r>
      <w:r w:rsidR="00D1622D">
        <w:rPr>
          <w:rFonts w:ascii="Arial" w:hAnsi="Arial"/>
          <w:sz w:val="22"/>
          <w:szCs w:val="22"/>
        </w:rPr>
        <w:t xml:space="preserve"> </w:t>
      </w:r>
      <w:r w:rsidR="004A44D5">
        <w:rPr>
          <w:rFonts w:ascii="Arial" w:hAnsi="Arial"/>
          <w:sz w:val="22"/>
          <w:szCs w:val="22"/>
        </w:rPr>
        <w:t>compared with</w:t>
      </w:r>
      <w:r w:rsidR="00D1622D">
        <w:rPr>
          <w:rFonts w:ascii="Arial" w:hAnsi="Arial"/>
          <w:sz w:val="22"/>
          <w:szCs w:val="22"/>
        </w:rPr>
        <w:t xml:space="preserve"> </w:t>
      </w:r>
      <w:r w:rsidR="00FA04DB">
        <w:rPr>
          <w:rFonts w:ascii="Arial" w:hAnsi="Arial"/>
          <w:sz w:val="22"/>
          <w:szCs w:val="22"/>
        </w:rPr>
        <w:t xml:space="preserve">the daily regimen, and therefore </w:t>
      </w:r>
      <w:r w:rsidR="00377B68">
        <w:rPr>
          <w:rFonts w:ascii="Arial" w:hAnsi="Arial"/>
          <w:sz w:val="22"/>
          <w:szCs w:val="22"/>
        </w:rPr>
        <w:t xml:space="preserve">concluded </w:t>
      </w:r>
      <w:r w:rsidR="00B83C93">
        <w:rPr>
          <w:rFonts w:ascii="Arial" w:hAnsi="Arial"/>
          <w:sz w:val="22"/>
          <w:szCs w:val="22"/>
        </w:rPr>
        <w:t xml:space="preserve">that the sponsor’s claim </w:t>
      </w:r>
      <w:r w:rsidRPr="00CE704F">
        <w:rPr>
          <w:rFonts w:ascii="Arial" w:hAnsi="Arial"/>
          <w:sz w:val="22"/>
          <w:szCs w:val="22"/>
        </w:rPr>
        <w:t>of non-inferiority in terms of efficacy and safety</w:t>
      </w:r>
      <w:r w:rsidR="00B83C93">
        <w:rPr>
          <w:rFonts w:ascii="Arial" w:hAnsi="Arial"/>
          <w:sz w:val="22"/>
          <w:szCs w:val="22"/>
        </w:rPr>
        <w:t xml:space="preserve"> was reasonable</w:t>
      </w:r>
      <w:r w:rsidRPr="00CE704F">
        <w:rPr>
          <w:rFonts w:ascii="Arial" w:hAnsi="Arial"/>
          <w:sz w:val="22"/>
          <w:szCs w:val="22"/>
        </w:rPr>
        <w:t xml:space="preserve">. </w:t>
      </w:r>
    </w:p>
    <w:p w:rsidR="0054088E" w:rsidRPr="00377B68" w:rsidRDefault="0054088E" w:rsidP="00377B68">
      <w:pPr>
        <w:pStyle w:val="ListParagraph"/>
        <w:rPr>
          <w:rFonts w:ascii="Arial" w:hAnsi="Arial"/>
          <w:sz w:val="22"/>
          <w:szCs w:val="22"/>
        </w:rPr>
      </w:pPr>
    </w:p>
    <w:p w:rsidR="0054088E" w:rsidRDefault="0054088E" w:rsidP="00377B68">
      <w:pPr>
        <w:pStyle w:val="ListParagraph"/>
        <w:numPr>
          <w:ilvl w:val="1"/>
          <w:numId w:val="9"/>
        </w:numPr>
        <w:rPr>
          <w:rFonts w:ascii="Arial" w:hAnsi="Arial"/>
          <w:sz w:val="22"/>
          <w:szCs w:val="22"/>
        </w:rPr>
      </w:pPr>
      <w:r>
        <w:rPr>
          <w:rFonts w:ascii="Arial" w:hAnsi="Arial"/>
          <w:sz w:val="22"/>
          <w:szCs w:val="22"/>
        </w:rPr>
        <w:t xml:space="preserve">The PBAC indicated that while not all patients </w:t>
      </w:r>
      <w:r w:rsidR="006D7CE0">
        <w:rPr>
          <w:rFonts w:ascii="Arial" w:hAnsi="Arial"/>
          <w:sz w:val="22"/>
          <w:szCs w:val="22"/>
        </w:rPr>
        <w:t>would select</w:t>
      </w:r>
      <w:r>
        <w:rPr>
          <w:rFonts w:ascii="Arial" w:hAnsi="Arial"/>
          <w:sz w:val="22"/>
          <w:szCs w:val="22"/>
        </w:rPr>
        <w:t xml:space="preserve"> </w:t>
      </w:r>
      <w:r w:rsidR="00FA04DB">
        <w:rPr>
          <w:rFonts w:ascii="Arial" w:hAnsi="Arial"/>
          <w:sz w:val="22"/>
          <w:szCs w:val="22"/>
        </w:rPr>
        <w:t xml:space="preserve">three-times-weekly </w:t>
      </w:r>
      <w:r>
        <w:rPr>
          <w:rFonts w:ascii="Arial" w:hAnsi="Arial"/>
          <w:sz w:val="22"/>
          <w:szCs w:val="22"/>
        </w:rPr>
        <w:t xml:space="preserve">dosing, it </w:t>
      </w:r>
      <w:r w:rsidR="00FA04DB">
        <w:rPr>
          <w:rFonts w:ascii="Arial" w:hAnsi="Arial"/>
          <w:sz w:val="22"/>
          <w:szCs w:val="22"/>
        </w:rPr>
        <w:t>may present an option where</w:t>
      </w:r>
      <w:r>
        <w:rPr>
          <w:rFonts w:ascii="Arial" w:hAnsi="Arial"/>
          <w:sz w:val="22"/>
          <w:szCs w:val="22"/>
        </w:rPr>
        <w:t xml:space="preserve"> ADRs</w:t>
      </w:r>
      <w:r w:rsidR="00FA04DB">
        <w:rPr>
          <w:rFonts w:ascii="Arial" w:hAnsi="Arial"/>
          <w:sz w:val="22"/>
          <w:szCs w:val="22"/>
        </w:rPr>
        <w:t xml:space="preserve"> are a </w:t>
      </w:r>
      <w:r w:rsidR="0004630D">
        <w:rPr>
          <w:rFonts w:ascii="Arial" w:hAnsi="Arial"/>
          <w:sz w:val="22"/>
          <w:szCs w:val="22"/>
        </w:rPr>
        <w:t>problem</w:t>
      </w:r>
      <w:r w:rsidR="00FA04DB">
        <w:rPr>
          <w:rFonts w:ascii="Arial" w:hAnsi="Arial"/>
          <w:sz w:val="22"/>
          <w:szCs w:val="22"/>
        </w:rPr>
        <w:t xml:space="preserve"> with a daily dosing regimen.</w:t>
      </w:r>
    </w:p>
    <w:p w:rsidR="00B83C93" w:rsidRPr="00377B68" w:rsidRDefault="00B83C93" w:rsidP="00377B68">
      <w:pPr>
        <w:pStyle w:val="ListParagraph"/>
        <w:rPr>
          <w:rFonts w:ascii="Arial" w:hAnsi="Arial"/>
          <w:sz w:val="22"/>
          <w:szCs w:val="22"/>
        </w:rPr>
      </w:pPr>
    </w:p>
    <w:p w:rsidR="00B83C93" w:rsidRDefault="00B83C93" w:rsidP="00377B68">
      <w:pPr>
        <w:pStyle w:val="ListParagraph"/>
        <w:numPr>
          <w:ilvl w:val="1"/>
          <w:numId w:val="9"/>
        </w:numPr>
        <w:rPr>
          <w:rFonts w:ascii="Arial" w:hAnsi="Arial"/>
          <w:sz w:val="22"/>
          <w:szCs w:val="22"/>
        </w:rPr>
      </w:pPr>
      <w:r w:rsidRPr="00B83C93">
        <w:rPr>
          <w:rFonts w:ascii="Arial" w:hAnsi="Arial"/>
          <w:sz w:val="22"/>
          <w:szCs w:val="22"/>
        </w:rPr>
        <w:t xml:space="preserve">The </w:t>
      </w:r>
      <w:r w:rsidR="00FA04DB">
        <w:rPr>
          <w:rFonts w:ascii="Arial" w:hAnsi="Arial"/>
          <w:sz w:val="22"/>
          <w:szCs w:val="22"/>
        </w:rPr>
        <w:t xml:space="preserve">PBAC advised that the </w:t>
      </w:r>
      <w:r w:rsidRPr="00B83C93">
        <w:rPr>
          <w:rFonts w:ascii="Arial" w:hAnsi="Arial"/>
          <w:sz w:val="22"/>
          <w:szCs w:val="22"/>
        </w:rPr>
        <w:t xml:space="preserve">Safety Net 20 Day Rule </w:t>
      </w:r>
      <w:r w:rsidR="00FA04DB">
        <w:rPr>
          <w:rFonts w:ascii="Arial" w:hAnsi="Arial"/>
          <w:sz w:val="22"/>
          <w:szCs w:val="22"/>
        </w:rPr>
        <w:t>should</w:t>
      </w:r>
      <w:r w:rsidR="00FA04DB" w:rsidRPr="00B83C93">
        <w:rPr>
          <w:rFonts w:ascii="Arial" w:hAnsi="Arial"/>
          <w:sz w:val="22"/>
          <w:szCs w:val="22"/>
        </w:rPr>
        <w:t xml:space="preserve"> </w:t>
      </w:r>
      <w:r w:rsidRPr="00B83C93">
        <w:rPr>
          <w:rFonts w:ascii="Arial" w:hAnsi="Arial"/>
          <w:sz w:val="22"/>
          <w:szCs w:val="22"/>
        </w:rPr>
        <w:t xml:space="preserve">not apply as it does not currently apply </w:t>
      </w:r>
      <w:r>
        <w:rPr>
          <w:rFonts w:ascii="Arial" w:hAnsi="Arial"/>
          <w:sz w:val="22"/>
          <w:szCs w:val="22"/>
        </w:rPr>
        <w:t>for glatiramer acetate 20 mg/mL.</w:t>
      </w:r>
    </w:p>
    <w:p w:rsidR="00CF2F78" w:rsidRPr="009A2550" w:rsidRDefault="00CF2F78" w:rsidP="009A2550">
      <w:pPr>
        <w:rPr>
          <w:rFonts w:ascii="Arial" w:hAnsi="Arial"/>
          <w:sz w:val="22"/>
          <w:szCs w:val="22"/>
        </w:rPr>
      </w:pPr>
    </w:p>
    <w:p w:rsidR="00CF2F78" w:rsidRDefault="00CF2F78" w:rsidP="00377B68">
      <w:pPr>
        <w:pStyle w:val="ListParagraph"/>
        <w:numPr>
          <w:ilvl w:val="1"/>
          <w:numId w:val="9"/>
        </w:numPr>
        <w:rPr>
          <w:rFonts w:ascii="Arial" w:hAnsi="Arial"/>
          <w:sz w:val="22"/>
          <w:szCs w:val="22"/>
        </w:rPr>
      </w:pPr>
      <w:r w:rsidRPr="00CF2F78">
        <w:rPr>
          <w:rFonts w:ascii="Arial" w:hAnsi="Arial"/>
          <w:sz w:val="22"/>
          <w:szCs w:val="22"/>
        </w:rPr>
        <w:t>The PBAC advised that glatiramer acetate is not suitable for prescribing by nurse practitioners</w:t>
      </w:r>
      <w:r w:rsidR="009225FA">
        <w:rPr>
          <w:rFonts w:ascii="Arial" w:hAnsi="Arial"/>
          <w:sz w:val="22"/>
          <w:szCs w:val="22"/>
        </w:rPr>
        <w:t>.</w:t>
      </w:r>
    </w:p>
    <w:p w:rsidR="00B413DC" w:rsidRDefault="00B413DC" w:rsidP="00377B68">
      <w:pPr>
        <w:rPr>
          <w:rFonts w:ascii="Arial" w:hAnsi="Arial"/>
          <w:sz w:val="22"/>
          <w:szCs w:val="22"/>
        </w:rPr>
      </w:pPr>
    </w:p>
    <w:p w:rsidR="00B413DC" w:rsidRDefault="00B413DC" w:rsidP="00377B68">
      <w:pPr>
        <w:rPr>
          <w:rFonts w:ascii="Arial" w:hAnsi="Arial"/>
          <w:b/>
          <w:sz w:val="22"/>
          <w:szCs w:val="22"/>
        </w:rPr>
      </w:pPr>
      <w:r>
        <w:rPr>
          <w:rFonts w:ascii="Arial" w:hAnsi="Arial"/>
          <w:b/>
          <w:sz w:val="22"/>
          <w:szCs w:val="22"/>
        </w:rPr>
        <w:t>Outcome:</w:t>
      </w:r>
    </w:p>
    <w:p w:rsidR="00B413DC" w:rsidRDefault="00B413DC" w:rsidP="00377B68">
      <w:pPr>
        <w:rPr>
          <w:rFonts w:ascii="Arial" w:hAnsi="Arial"/>
          <w:sz w:val="22"/>
          <w:szCs w:val="22"/>
        </w:rPr>
      </w:pPr>
      <w:r>
        <w:rPr>
          <w:rFonts w:ascii="Arial" w:hAnsi="Arial"/>
          <w:sz w:val="22"/>
          <w:szCs w:val="22"/>
        </w:rPr>
        <w:t>Recommended</w:t>
      </w:r>
    </w:p>
    <w:p w:rsidR="00B413DC" w:rsidRDefault="00B413DC" w:rsidP="00377B68">
      <w:pPr>
        <w:rPr>
          <w:rFonts w:ascii="Arial" w:hAnsi="Arial"/>
          <w:sz w:val="22"/>
          <w:szCs w:val="22"/>
        </w:rPr>
      </w:pPr>
    </w:p>
    <w:p w:rsidR="00B413DC" w:rsidRPr="00377B68" w:rsidRDefault="00B413DC" w:rsidP="00377B68">
      <w:pPr>
        <w:rPr>
          <w:rFonts w:ascii="Arial" w:hAnsi="Arial"/>
          <w:sz w:val="22"/>
          <w:szCs w:val="22"/>
        </w:rPr>
      </w:pPr>
    </w:p>
    <w:p w:rsidR="00B413DC" w:rsidRDefault="00B413DC" w:rsidP="00726CF9">
      <w:pPr>
        <w:pStyle w:val="PBACHeading1"/>
      </w:pPr>
      <w:r w:rsidRPr="00377B68">
        <w:t>Recommended listing</w:t>
      </w:r>
    </w:p>
    <w:p w:rsidR="008E10FF" w:rsidRDefault="008E10FF" w:rsidP="00377B68">
      <w:pPr>
        <w:pStyle w:val="ListParagraph"/>
        <w:rPr>
          <w:rFonts w:ascii="Arial" w:hAnsi="Arial"/>
          <w:b/>
          <w:sz w:val="22"/>
          <w:szCs w:val="22"/>
        </w:rPr>
      </w:pPr>
    </w:p>
    <w:p w:rsidR="008E10FF" w:rsidRDefault="008E10FF" w:rsidP="00377B68">
      <w:pPr>
        <w:pStyle w:val="ListParagraph"/>
        <w:numPr>
          <w:ilvl w:val="1"/>
          <w:numId w:val="9"/>
        </w:numPr>
        <w:rPr>
          <w:rFonts w:ascii="Arial" w:hAnsi="Arial"/>
          <w:sz w:val="22"/>
          <w:szCs w:val="22"/>
        </w:rPr>
      </w:pPr>
      <w:r>
        <w:rPr>
          <w:rFonts w:ascii="Arial" w:hAnsi="Arial"/>
          <w:sz w:val="22"/>
          <w:szCs w:val="22"/>
        </w:rPr>
        <w:t>Add new item:</w:t>
      </w:r>
    </w:p>
    <w:p w:rsidR="008E10FF" w:rsidRPr="008E10FF" w:rsidRDefault="008E10FF" w:rsidP="00377B68">
      <w:pPr>
        <w:pStyle w:val="ListParagraph"/>
        <w:rPr>
          <w:rFonts w:ascii="Arial" w:hAnsi="Arial"/>
          <w:sz w:val="22"/>
          <w:szCs w:val="22"/>
        </w:rPr>
      </w:pPr>
    </w:p>
    <w:tbl>
      <w:tblPr>
        <w:tblW w:w="9214" w:type="dxa"/>
        <w:tblInd w:w="108" w:type="dxa"/>
        <w:tblLayout w:type="fixed"/>
        <w:tblLook w:val="0000" w:firstRow="0" w:lastRow="0" w:firstColumn="0" w:lastColumn="0" w:noHBand="0" w:noVBand="0"/>
      </w:tblPr>
      <w:tblGrid>
        <w:gridCol w:w="1843"/>
        <w:gridCol w:w="1418"/>
        <w:gridCol w:w="567"/>
        <w:gridCol w:w="850"/>
        <w:gridCol w:w="1701"/>
        <w:gridCol w:w="1559"/>
        <w:gridCol w:w="1276"/>
      </w:tblGrid>
      <w:tr w:rsidR="008E10FF" w:rsidRPr="00260CE3" w:rsidTr="008E10FF">
        <w:trPr>
          <w:cantSplit/>
          <w:trHeight w:val="471"/>
        </w:trPr>
        <w:tc>
          <w:tcPr>
            <w:tcW w:w="3261" w:type="dxa"/>
            <w:gridSpan w:val="2"/>
            <w:tcBorders>
              <w:bottom w:val="single" w:sz="4" w:space="0" w:color="auto"/>
            </w:tcBorders>
          </w:tcPr>
          <w:p w:rsidR="008E10FF" w:rsidRPr="00260CE3" w:rsidRDefault="008E10FF" w:rsidP="008E10FF">
            <w:pPr>
              <w:keepNext/>
              <w:ind w:left="-108"/>
              <w:jc w:val="both"/>
              <w:rPr>
                <w:rFonts w:ascii="Arial Narrow" w:hAnsi="Arial Narrow" w:cs="Arial"/>
                <w:sz w:val="20"/>
                <w:szCs w:val="20"/>
              </w:rPr>
            </w:pPr>
            <w:r w:rsidRPr="00260CE3">
              <w:rPr>
                <w:rFonts w:ascii="Arial Narrow" w:hAnsi="Arial Narrow" w:cs="Arial"/>
                <w:sz w:val="20"/>
                <w:szCs w:val="20"/>
              </w:rPr>
              <w:lastRenderedPageBreak/>
              <w:t>Name, Restriction,</w:t>
            </w:r>
          </w:p>
          <w:p w:rsidR="008E10FF" w:rsidRPr="00260CE3" w:rsidRDefault="008E10FF" w:rsidP="008E10FF">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8E10FF" w:rsidRPr="00260CE3" w:rsidRDefault="008E10FF" w:rsidP="008E10FF">
            <w:pPr>
              <w:keepNext/>
              <w:ind w:left="-108"/>
              <w:jc w:val="both"/>
              <w:rPr>
                <w:rFonts w:ascii="Arial Narrow" w:hAnsi="Arial Narrow" w:cs="Arial"/>
                <w:sz w:val="20"/>
                <w:szCs w:val="20"/>
              </w:rPr>
            </w:pPr>
            <w:r w:rsidRPr="00260CE3">
              <w:rPr>
                <w:rFonts w:ascii="Arial Narrow" w:hAnsi="Arial Narrow" w:cs="Arial"/>
                <w:sz w:val="20"/>
                <w:szCs w:val="20"/>
              </w:rPr>
              <w:t>Max.</w:t>
            </w:r>
          </w:p>
          <w:p w:rsidR="008E10FF" w:rsidRPr="00260CE3" w:rsidRDefault="008E10FF" w:rsidP="008E10FF">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8E10FF" w:rsidRPr="00260CE3" w:rsidRDefault="008E10FF" w:rsidP="008E10FF">
            <w:pPr>
              <w:keepNext/>
              <w:ind w:left="-108"/>
              <w:jc w:val="both"/>
              <w:rPr>
                <w:rFonts w:ascii="Arial Narrow" w:hAnsi="Arial Narrow" w:cs="Arial"/>
                <w:sz w:val="20"/>
                <w:szCs w:val="20"/>
              </w:rPr>
            </w:pPr>
            <w:r w:rsidRPr="00260CE3">
              <w:rPr>
                <w:rFonts w:ascii="Arial Narrow" w:hAnsi="Arial Narrow" w:cs="Arial"/>
                <w:sz w:val="20"/>
                <w:szCs w:val="20"/>
              </w:rPr>
              <w:t>№.of</w:t>
            </w:r>
          </w:p>
          <w:p w:rsidR="008E10FF" w:rsidRPr="00260CE3" w:rsidRDefault="008E10FF" w:rsidP="008E10FF">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8E10FF" w:rsidRPr="00260CE3" w:rsidRDefault="008E10FF" w:rsidP="008E10FF">
            <w:pPr>
              <w:keepNext/>
              <w:ind w:left="-108"/>
              <w:jc w:val="both"/>
              <w:rPr>
                <w:rFonts w:ascii="Arial Narrow" w:hAnsi="Arial Narrow" w:cs="Arial"/>
                <w:sz w:val="20"/>
                <w:szCs w:val="20"/>
              </w:rPr>
            </w:pPr>
          </w:p>
        </w:tc>
        <w:tc>
          <w:tcPr>
            <w:tcW w:w="2835" w:type="dxa"/>
            <w:gridSpan w:val="2"/>
            <w:tcBorders>
              <w:bottom w:val="single" w:sz="4" w:space="0" w:color="auto"/>
            </w:tcBorders>
          </w:tcPr>
          <w:p w:rsidR="008E10FF" w:rsidRPr="00260CE3" w:rsidRDefault="008E10FF" w:rsidP="008E10FF">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E10FF" w:rsidRPr="00260CE3" w:rsidTr="008E10FF">
        <w:trPr>
          <w:cantSplit/>
          <w:trHeight w:val="577"/>
        </w:trPr>
        <w:tc>
          <w:tcPr>
            <w:tcW w:w="3261" w:type="dxa"/>
            <w:gridSpan w:val="2"/>
          </w:tcPr>
          <w:p w:rsidR="008E10FF" w:rsidRDefault="008E10FF" w:rsidP="008E10FF">
            <w:pPr>
              <w:keepNext/>
              <w:ind w:left="-108"/>
              <w:jc w:val="both"/>
              <w:rPr>
                <w:rFonts w:ascii="Arial Narrow" w:hAnsi="Arial Narrow" w:cs="Arial"/>
                <w:smallCaps/>
                <w:sz w:val="20"/>
                <w:szCs w:val="20"/>
              </w:rPr>
            </w:pPr>
            <w:r>
              <w:rPr>
                <w:rFonts w:ascii="Arial Narrow" w:hAnsi="Arial Narrow" w:cs="Arial"/>
                <w:smallCaps/>
                <w:sz w:val="20"/>
                <w:szCs w:val="20"/>
              </w:rPr>
              <w:t xml:space="preserve">GLATIRAMER </w:t>
            </w:r>
            <w:r w:rsidRPr="00F62952">
              <w:rPr>
                <w:rFonts w:ascii="Arial Narrow" w:hAnsi="Arial Narrow" w:cs="Arial"/>
                <w:smallCaps/>
                <w:sz w:val="20"/>
                <w:szCs w:val="20"/>
              </w:rPr>
              <w:t xml:space="preserve">ACETATE </w:t>
            </w:r>
          </w:p>
          <w:p w:rsidR="008E10FF" w:rsidRPr="00260CE3" w:rsidRDefault="008E10FF" w:rsidP="008E10FF">
            <w:pPr>
              <w:keepNext/>
              <w:ind w:left="-108"/>
              <w:jc w:val="both"/>
              <w:rPr>
                <w:rFonts w:ascii="Arial Narrow" w:hAnsi="Arial Narrow" w:cs="Arial"/>
                <w:sz w:val="20"/>
                <w:szCs w:val="20"/>
              </w:rPr>
            </w:pPr>
            <w:r>
              <w:rPr>
                <w:rFonts w:ascii="Arial Narrow" w:hAnsi="Arial Narrow" w:cs="Arial"/>
                <w:sz w:val="20"/>
                <w:szCs w:val="20"/>
              </w:rPr>
              <w:t>40 mg/mL injection, 12</w:t>
            </w:r>
          </w:p>
        </w:tc>
        <w:tc>
          <w:tcPr>
            <w:tcW w:w="567" w:type="dxa"/>
          </w:tcPr>
          <w:p w:rsidR="008E10FF" w:rsidRPr="00260CE3" w:rsidRDefault="008E10FF" w:rsidP="008E10FF">
            <w:pPr>
              <w:keepNext/>
              <w:ind w:left="-108"/>
              <w:jc w:val="both"/>
              <w:rPr>
                <w:rFonts w:ascii="Arial Narrow" w:hAnsi="Arial Narrow" w:cs="Arial"/>
                <w:sz w:val="20"/>
                <w:szCs w:val="20"/>
              </w:rPr>
            </w:pPr>
          </w:p>
          <w:p w:rsidR="008E10FF" w:rsidRPr="00260CE3" w:rsidRDefault="008E10FF" w:rsidP="008E10FF">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8E10FF" w:rsidRPr="00260CE3" w:rsidRDefault="008E10FF" w:rsidP="008E10FF">
            <w:pPr>
              <w:keepNext/>
              <w:ind w:left="-108"/>
              <w:jc w:val="both"/>
              <w:rPr>
                <w:rFonts w:ascii="Arial Narrow" w:hAnsi="Arial Narrow" w:cs="Arial"/>
                <w:sz w:val="20"/>
                <w:szCs w:val="20"/>
              </w:rPr>
            </w:pPr>
          </w:p>
          <w:p w:rsidR="008E10FF" w:rsidRPr="00260CE3" w:rsidRDefault="008E10FF" w:rsidP="008E10FF">
            <w:pPr>
              <w:keepNext/>
              <w:ind w:left="-108"/>
              <w:jc w:val="both"/>
              <w:rPr>
                <w:rFonts w:ascii="Arial Narrow" w:hAnsi="Arial Narrow" w:cs="Arial"/>
                <w:sz w:val="20"/>
                <w:szCs w:val="20"/>
              </w:rPr>
            </w:pPr>
            <w:r>
              <w:rPr>
                <w:rFonts w:ascii="Arial Narrow" w:hAnsi="Arial Narrow" w:cs="Arial"/>
                <w:sz w:val="20"/>
                <w:szCs w:val="20"/>
              </w:rPr>
              <w:t>5</w:t>
            </w:r>
          </w:p>
        </w:tc>
        <w:tc>
          <w:tcPr>
            <w:tcW w:w="1701" w:type="dxa"/>
          </w:tcPr>
          <w:p w:rsidR="008E10FF" w:rsidRPr="00260CE3" w:rsidRDefault="008E10FF" w:rsidP="008E10FF">
            <w:pPr>
              <w:keepNext/>
              <w:ind w:left="-108"/>
              <w:jc w:val="both"/>
              <w:rPr>
                <w:rFonts w:ascii="Arial Narrow" w:hAnsi="Arial Narrow" w:cs="Arial"/>
                <w:sz w:val="20"/>
                <w:szCs w:val="20"/>
              </w:rPr>
            </w:pPr>
          </w:p>
        </w:tc>
        <w:tc>
          <w:tcPr>
            <w:tcW w:w="1559" w:type="dxa"/>
          </w:tcPr>
          <w:p w:rsidR="008E10FF" w:rsidRPr="00260CE3" w:rsidRDefault="008E10FF" w:rsidP="008E10FF">
            <w:pPr>
              <w:keepNext/>
              <w:jc w:val="both"/>
              <w:rPr>
                <w:rFonts w:ascii="Arial Narrow" w:hAnsi="Arial Narrow" w:cs="Arial"/>
                <w:sz w:val="20"/>
                <w:szCs w:val="20"/>
              </w:rPr>
            </w:pPr>
            <w:r>
              <w:rPr>
                <w:rFonts w:ascii="Arial Narrow" w:hAnsi="Arial Narrow" w:cs="Arial"/>
                <w:sz w:val="20"/>
                <w:szCs w:val="20"/>
              </w:rPr>
              <w:t>Copaxone</w:t>
            </w:r>
          </w:p>
        </w:tc>
        <w:tc>
          <w:tcPr>
            <w:tcW w:w="1276" w:type="dxa"/>
          </w:tcPr>
          <w:p w:rsidR="008E10FF" w:rsidRPr="00260CE3" w:rsidRDefault="008E10FF" w:rsidP="008E10FF">
            <w:pPr>
              <w:keepNext/>
              <w:jc w:val="both"/>
              <w:rPr>
                <w:rFonts w:ascii="Arial Narrow" w:hAnsi="Arial Narrow" w:cs="Arial"/>
                <w:sz w:val="20"/>
                <w:szCs w:val="20"/>
              </w:rPr>
            </w:pPr>
            <w:r>
              <w:rPr>
                <w:rFonts w:ascii="Arial Narrow" w:hAnsi="Arial Narrow" w:cs="Arial"/>
                <w:sz w:val="20"/>
                <w:szCs w:val="20"/>
              </w:rPr>
              <w:t>bioCSL</w:t>
            </w:r>
          </w:p>
        </w:tc>
      </w:tr>
      <w:tr w:rsidR="008E10FF" w:rsidRPr="00260CE3" w:rsidTr="008E10FF">
        <w:trPr>
          <w:cantSplit/>
          <w:trHeight w:val="360"/>
        </w:trPr>
        <w:tc>
          <w:tcPr>
            <w:tcW w:w="9214" w:type="dxa"/>
            <w:gridSpan w:val="7"/>
            <w:tcBorders>
              <w:bottom w:val="single" w:sz="4" w:space="0" w:color="auto"/>
            </w:tcBorders>
          </w:tcPr>
          <w:p w:rsidR="008E10FF" w:rsidRPr="00260CE3" w:rsidRDefault="008E10FF" w:rsidP="008E10FF">
            <w:pPr>
              <w:jc w:val="both"/>
              <w:rPr>
                <w:rFonts w:ascii="Arial Narrow" w:hAnsi="Arial Narrow" w:cs="Arial"/>
                <w:sz w:val="20"/>
                <w:szCs w:val="20"/>
              </w:rPr>
            </w:pP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 xml:space="preserve">Category / </w:t>
            </w:r>
          </w:p>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Program</w:t>
            </w:r>
          </w:p>
        </w:tc>
        <w:tc>
          <w:tcPr>
            <w:tcW w:w="7371" w:type="dxa"/>
            <w:gridSpan w:val="6"/>
            <w:tcBorders>
              <w:top w:val="single" w:sz="4" w:space="0" w:color="auto"/>
              <w:left w:val="single" w:sz="4" w:space="0" w:color="auto"/>
              <w:bottom w:val="single" w:sz="4" w:space="0" w:color="auto"/>
              <w:right w:val="single" w:sz="4" w:space="0" w:color="auto"/>
            </w:tcBorders>
          </w:tcPr>
          <w:p w:rsidR="008E10FF" w:rsidRPr="00260CE3" w:rsidRDefault="008E10FF" w:rsidP="008E10FF">
            <w:pPr>
              <w:rPr>
                <w:rFonts w:ascii="Arial Narrow" w:hAnsi="Arial Narrow" w:cs="Arial"/>
                <w:sz w:val="20"/>
                <w:szCs w:val="20"/>
              </w:rPr>
            </w:pPr>
            <w:r w:rsidRPr="00260CE3">
              <w:rPr>
                <w:rFonts w:ascii="Arial Narrow" w:hAnsi="Arial Narrow" w:cs="Arial"/>
                <w:sz w:val="20"/>
                <w:szCs w:val="20"/>
              </w:rPr>
              <w:t>GENERAL – General Schedule (Code GE)</w:t>
            </w: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Prescriber type:</w:t>
            </w:r>
          </w:p>
        </w:tc>
        <w:tc>
          <w:tcPr>
            <w:tcW w:w="7371" w:type="dxa"/>
            <w:gridSpan w:val="6"/>
            <w:tcBorders>
              <w:top w:val="single" w:sz="4" w:space="0" w:color="auto"/>
              <w:left w:val="single" w:sz="4" w:space="0" w:color="auto"/>
              <w:bottom w:val="single" w:sz="4" w:space="0" w:color="auto"/>
              <w:right w:val="single" w:sz="4" w:space="0" w:color="auto"/>
            </w:tcBorders>
          </w:tcPr>
          <w:p w:rsidR="008E10FF" w:rsidRPr="00260CE3" w:rsidRDefault="008E10FF" w:rsidP="008E10FF">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E10FF" w:rsidRPr="00260CE3" w:rsidRDefault="008E10FF" w:rsidP="008E10FF">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Episodicity:</w:t>
            </w:r>
          </w:p>
        </w:tc>
        <w:tc>
          <w:tcPr>
            <w:tcW w:w="7371" w:type="dxa"/>
            <w:gridSpan w:val="6"/>
            <w:tcBorders>
              <w:top w:val="single" w:sz="4" w:space="0" w:color="auto"/>
              <w:left w:val="single" w:sz="4" w:space="0" w:color="auto"/>
              <w:bottom w:val="single" w:sz="4" w:space="0" w:color="auto"/>
              <w:right w:val="single" w:sz="4" w:space="0" w:color="auto"/>
            </w:tcBorders>
          </w:tcPr>
          <w:p w:rsidR="008E10FF" w:rsidRPr="00260CE3" w:rsidRDefault="008E10FF" w:rsidP="008E10FF">
            <w:pPr>
              <w:rPr>
                <w:rFonts w:ascii="Arial Narrow" w:hAnsi="Arial Narrow" w:cs="Arial"/>
                <w:sz w:val="20"/>
                <w:szCs w:val="20"/>
              </w:rPr>
            </w:pP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Severity:</w:t>
            </w:r>
          </w:p>
        </w:tc>
        <w:tc>
          <w:tcPr>
            <w:tcW w:w="7371" w:type="dxa"/>
            <w:gridSpan w:val="6"/>
            <w:tcBorders>
              <w:top w:val="single" w:sz="4" w:space="0" w:color="auto"/>
              <w:left w:val="single" w:sz="4" w:space="0" w:color="auto"/>
              <w:bottom w:val="single" w:sz="4" w:space="0" w:color="auto"/>
              <w:right w:val="single" w:sz="4" w:space="0" w:color="auto"/>
            </w:tcBorders>
          </w:tcPr>
          <w:p w:rsidR="008E10FF" w:rsidRPr="00260CE3" w:rsidRDefault="008E10FF" w:rsidP="008E10FF">
            <w:pPr>
              <w:rPr>
                <w:rFonts w:ascii="Arial Narrow" w:hAnsi="Arial Narrow" w:cs="Arial"/>
                <w:sz w:val="20"/>
                <w:szCs w:val="20"/>
              </w:rPr>
            </w:pP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Pr>
          <w:p w:rsidR="008E10FF" w:rsidRPr="00260CE3" w:rsidRDefault="008E10FF" w:rsidP="008E10FF">
            <w:pPr>
              <w:rPr>
                <w:rFonts w:ascii="Arial Narrow" w:hAnsi="Arial Narrow" w:cs="Arial"/>
                <w:sz w:val="20"/>
                <w:szCs w:val="20"/>
              </w:rPr>
            </w:pPr>
            <w:r>
              <w:rPr>
                <w:rFonts w:ascii="Arial Narrow" w:hAnsi="Arial Narrow" w:cs="Arial"/>
                <w:sz w:val="20"/>
                <w:szCs w:val="20"/>
              </w:rPr>
              <w:t>M</w:t>
            </w:r>
            <w:r w:rsidRPr="00B17683">
              <w:rPr>
                <w:rFonts w:ascii="Arial Narrow" w:hAnsi="Arial Narrow" w:cs="Arial"/>
                <w:sz w:val="20"/>
                <w:szCs w:val="20"/>
              </w:rPr>
              <w:t>ultiple sclerosis</w:t>
            </w: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8E10FF" w:rsidRPr="00260CE3" w:rsidRDefault="008E10FF" w:rsidP="008E10FF">
            <w:pPr>
              <w:rPr>
                <w:rFonts w:ascii="Arial Narrow" w:hAnsi="Arial Narrow" w:cs="Arial"/>
                <w:sz w:val="20"/>
                <w:szCs w:val="20"/>
              </w:rPr>
            </w:pPr>
            <w:r>
              <w:rPr>
                <w:rFonts w:ascii="Arial Narrow" w:hAnsi="Arial Narrow" w:cs="Arial"/>
                <w:sz w:val="20"/>
                <w:szCs w:val="20"/>
              </w:rPr>
              <w:t>M</w:t>
            </w:r>
            <w:r w:rsidRPr="00B17683">
              <w:rPr>
                <w:rFonts w:ascii="Arial Narrow" w:hAnsi="Arial Narrow" w:cs="Arial"/>
                <w:sz w:val="20"/>
                <w:szCs w:val="20"/>
              </w:rPr>
              <w:t>ultiple sclerosis</w:t>
            </w: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6679FD" w:rsidRDefault="008E10FF" w:rsidP="008E10FF">
            <w:pPr>
              <w:jc w:val="both"/>
              <w:rPr>
                <w:rFonts w:ascii="Arial Narrow" w:hAnsi="Arial Narrow" w:cs="Arial"/>
                <w:b/>
                <w:sz w:val="20"/>
                <w:szCs w:val="20"/>
              </w:rPr>
            </w:pPr>
            <w:r w:rsidRPr="00260CE3">
              <w:rPr>
                <w:rFonts w:ascii="Arial Narrow" w:hAnsi="Arial Narrow" w:cs="Arial"/>
                <w:b/>
                <w:sz w:val="20"/>
                <w:szCs w:val="20"/>
              </w:rPr>
              <w:t>Treatment phase:</w:t>
            </w:r>
          </w:p>
        </w:tc>
        <w:tc>
          <w:tcPr>
            <w:tcW w:w="7371" w:type="dxa"/>
            <w:gridSpan w:val="6"/>
            <w:tcBorders>
              <w:top w:val="single" w:sz="4" w:space="0" w:color="auto"/>
              <w:left w:val="single" w:sz="4" w:space="0" w:color="auto"/>
              <w:bottom w:val="single" w:sz="4" w:space="0" w:color="auto"/>
              <w:right w:val="single" w:sz="4" w:space="0" w:color="auto"/>
            </w:tcBorders>
          </w:tcPr>
          <w:p w:rsidR="008E10FF" w:rsidRPr="00260CE3" w:rsidRDefault="008E10FF" w:rsidP="008E10FF">
            <w:pPr>
              <w:rPr>
                <w:rFonts w:ascii="Arial Narrow" w:hAnsi="Arial Narrow" w:cs="Arial"/>
                <w:sz w:val="20"/>
                <w:szCs w:val="20"/>
              </w:rPr>
            </w:pPr>
            <w:r>
              <w:rPr>
                <w:rFonts w:ascii="Arial Narrow" w:hAnsi="Arial Narrow" w:cs="Arial"/>
                <w:sz w:val="20"/>
                <w:szCs w:val="20"/>
              </w:rPr>
              <w:t xml:space="preserve">Initial </w:t>
            </w: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E10FF" w:rsidRPr="00260CE3" w:rsidRDefault="008E10FF" w:rsidP="008E10FF">
            <w:pPr>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8E10FF" w:rsidRPr="00106BCF" w:rsidRDefault="008E10FF" w:rsidP="008E10FF">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E10FF" w:rsidRPr="00106BCF" w:rsidRDefault="008E10FF" w:rsidP="008E10F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E10FF" w:rsidRPr="00106BCF" w:rsidRDefault="008E10FF" w:rsidP="008E10F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8E10FF" w:rsidRPr="00106BCF" w:rsidRDefault="008E10FF" w:rsidP="008E10F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8E10FF" w:rsidRPr="00106BCF" w:rsidRDefault="008E10FF" w:rsidP="008E10FF">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E10FF" w:rsidRPr="00260CE3" w:rsidRDefault="008E10FF" w:rsidP="008E10FF">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Clinical criteria:</w:t>
            </w:r>
          </w:p>
          <w:p w:rsidR="008E10FF" w:rsidRPr="00260CE3" w:rsidRDefault="008E10FF" w:rsidP="008E10FF">
            <w:pPr>
              <w:jc w:val="both"/>
              <w:rPr>
                <w:rFonts w:ascii="Arial Narrow" w:hAnsi="Arial Narrow" w:cs="Arial"/>
                <w:i/>
                <w:sz w:val="20"/>
                <w:szCs w:val="20"/>
              </w:rPr>
            </w:pPr>
          </w:p>
          <w:p w:rsidR="008E10FF" w:rsidRPr="00260CE3" w:rsidRDefault="008E10FF" w:rsidP="008E10FF">
            <w:pPr>
              <w:jc w:val="both"/>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8E10FF" w:rsidRDefault="008E10FF" w:rsidP="008E10FF">
            <w:pPr>
              <w:rPr>
                <w:rFonts w:ascii="Arial Narrow" w:hAnsi="Arial Narrow" w:cs="Arial"/>
                <w:sz w:val="20"/>
                <w:szCs w:val="20"/>
              </w:rPr>
            </w:pPr>
            <w:r w:rsidRPr="005D6AC7">
              <w:rPr>
                <w:rFonts w:ascii="Arial Narrow" w:hAnsi="Arial Narrow" w:cs="Arial"/>
                <w:sz w:val="20"/>
                <w:szCs w:val="20"/>
              </w:rPr>
              <w:t xml:space="preserve">Patient must be ambulatory </w:t>
            </w:r>
            <w:r>
              <w:rPr>
                <w:rFonts w:ascii="Arial Narrow" w:hAnsi="Arial Narrow" w:cs="Arial"/>
                <w:sz w:val="20"/>
                <w:szCs w:val="20"/>
              </w:rPr>
              <w:t>(without assistance or support),</w:t>
            </w:r>
          </w:p>
          <w:p w:rsidR="008E10FF" w:rsidRDefault="008E10FF" w:rsidP="008E10FF">
            <w:pPr>
              <w:rPr>
                <w:rFonts w:ascii="Arial Narrow" w:hAnsi="Arial Narrow" w:cs="Arial"/>
                <w:sz w:val="20"/>
                <w:szCs w:val="20"/>
              </w:rPr>
            </w:pPr>
          </w:p>
          <w:p w:rsidR="008E10FF" w:rsidRDefault="008E10FF" w:rsidP="008E10FF">
            <w:pPr>
              <w:rPr>
                <w:rFonts w:ascii="Arial Narrow" w:hAnsi="Arial Narrow" w:cs="Arial"/>
                <w:sz w:val="20"/>
                <w:szCs w:val="20"/>
              </w:rPr>
            </w:pPr>
            <w:r>
              <w:rPr>
                <w:rFonts w:ascii="Arial Narrow" w:hAnsi="Arial Narrow" w:cs="Arial"/>
                <w:sz w:val="20"/>
                <w:szCs w:val="20"/>
              </w:rPr>
              <w:t>AND</w:t>
            </w:r>
          </w:p>
          <w:p w:rsidR="008E10FF" w:rsidRDefault="008E10FF" w:rsidP="008E10FF">
            <w:pPr>
              <w:rPr>
                <w:rFonts w:ascii="Arial Narrow" w:hAnsi="Arial Narrow" w:cs="Arial"/>
                <w:sz w:val="20"/>
                <w:szCs w:val="20"/>
              </w:rPr>
            </w:pPr>
          </w:p>
          <w:p w:rsidR="008E10FF" w:rsidRDefault="008E10FF" w:rsidP="008E10FF">
            <w:pPr>
              <w:rPr>
                <w:rFonts w:ascii="Arial Narrow" w:hAnsi="Arial Narrow" w:cs="Arial"/>
                <w:sz w:val="20"/>
                <w:szCs w:val="20"/>
              </w:rPr>
            </w:pPr>
            <w:r w:rsidRPr="0077267E">
              <w:rPr>
                <w:rFonts w:ascii="Arial Narrow" w:hAnsi="Arial Narrow" w:cs="Arial"/>
                <w:sz w:val="20"/>
                <w:szCs w:val="20"/>
              </w:rPr>
              <w:t>Patient must have experienced at least 2 documented attacks of neurological dysfunction, believed to be due to the multiple scle</w:t>
            </w:r>
            <w:r>
              <w:rPr>
                <w:rFonts w:ascii="Arial Narrow" w:hAnsi="Arial Narrow" w:cs="Arial"/>
                <w:sz w:val="20"/>
                <w:szCs w:val="20"/>
              </w:rPr>
              <w:t>rosis, in the preceding 2 years,</w:t>
            </w:r>
          </w:p>
          <w:p w:rsidR="008E10FF" w:rsidRDefault="008E10FF" w:rsidP="008E10FF">
            <w:pPr>
              <w:rPr>
                <w:rFonts w:ascii="Arial Narrow" w:hAnsi="Arial Narrow" w:cs="Arial"/>
                <w:sz w:val="20"/>
                <w:szCs w:val="20"/>
              </w:rPr>
            </w:pPr>
          </w:p>
          <w:p w:rsidR="008E10FF" w:rsidRDefault="008E10FF" w:rsidP="008E10FF">
            <w:pPr>
              <w:rPr>
                <w:rFonts w:ascii="Arial Narrow" w:hAnsi="Arial Narrow" w:cs="Arial"/>
                <w:sz w:val="20"/>
                <w:szCs w:val="20"/>
              </w:rPr>
            </w:pPr>
            <w:r>
              <w:rPr>
                <w:rFonts w:ascii="Arial Narrow" w:hAnsi="Arial Narrow" w:cs="Arial"/>
                <w:sz w:val="20"/>
                <w:szCs w:val="20"/>
              </w:rPr>
              <w:t>AND</w:t>
            </w:r>
          </w:p>
          <w:p w:rsidR="008E10FF" w:rsidRDefault="008E10FF" w:rsidP="008E10FF">
            <w:pPr>
              <w:rPr>
                <w:rFonts w:ascii="Arial Narrow" w:hAnsi="Arial Narrow" w:cs="Arial"/>
                <w:sz w:val="20"/>
                <w:szCs w:val="20"/>
              </w:rPr>
            </w:pPr>
          </w:p>
          <w:p w:rsidR="008E10FF" w:rsidRDefault="008E10FF" w:rsidP="008E10FF">
            <w:pPr>
              <w:rPr>
                <w:rFonts w:ascii="Arial Narrow" w:hAnsi="Arial Narrow" w:cs="Arial"/>
                <w:sz w:val="20"/>
                <w:szCs w:val="20"/>
              </w:rPr>
            </w:pPr>
            <w:r w:rsidRPr="0077267E">
              <w:rPr>
                <w:rFonts w:ascii="Arial Narrow" w:hAnsi="Arial Narrow" w:cs="Arial"/>
                <w:sz w:val="20"/>
                <w:szCs w:val="20"/>
              </w:rPr>
              <w:t>The condition must be diagnosed as clinically definite relapsing-remitting multiple sclerosis by magnetic resonance imaging of the brain and/or spinal cord</w:t>
            </w:r>
            <w:r>
              <w:rPr>
                <w:rFonts w:ascii="Arial Narrow" w:hAnsi="Arial Narrow" w:cs="Arial"/>
                <w:sz w:val="20"/>
                <w:szCs w:val="20"/>
              </w:rPr>
              <w:t>,</w:t>
            </w:r>
          </w:p>
          <w:p w:rsidR="008E10FF" w:rsidRDefault="008E10FF" w:rsidP="008E10FF">
            <w:pPr>
              <w:rPr>
                <w:rFonts w:ascii="Arial Narrow" w:hAnsi="Arial Narrow" w:cs="Arial"/>
                <w:sz w:val="20"/>
                <w:szCs w:val="20"/>
              </w:rPr>
            </w:pPr>
          </w:p>
          <w:p w:rsidR="008E10FF" w:rsidRDefault="008E10FF" w:rsidP="008E10FF">
            <w:pPr>
              <w:rPr>
                <w:rFonts w:ascii="Arial Narrow" w:hAnsi="Arial Narrow" w:cs="Arial"/>
                <w:sz w:val="20"/>
                <w:szCs w:val="20"/>
              </w:rPr>
            </w:pPr>
            <w:r>
              <w:rPr>
                <w:rFonts w:ascii="Arial Narrow" w:hAnsi="Arial Narrow" w:cs="Arial"/>
                <w:sz w:val="20"/>
                <w:szCs w:val="20"/>
              </w:rPr>
              <w:t>AND</w:t>
            </w:r>
          </w:p>
          <w:p w:rsidR="008E10FF" w:rsidRDefault="008E10FF" w:rsidP="008E10FF">
            <w:pPr>
              <w:rPr>
                <w:rFonts w:ascii="Arial Narrow" w:hAnsi="Arial Narrow" w:cs="Arial"/>
                <w:sz w:val="20"/>
                <w:szCs w:val="20"/>
              </w:rPr>
            </w:pPr>
          </w:p>
          <w:p w:rsidR="008E10FF" w:rsidRDefault="008E10FF" w:rsidP="008E10FF">
            <w:pPr>
              <w:rPr>
                <w:rFonts w:ascii="Arial Narrow" w:hAnsi="Arial Narrow" w:cs="Arial"/>
                <w:sz w:val="20"/>
                <w:szCs w:val="20"/>
              </w:rPr>
            </w:pPr>
            <w:r w:rsidRPr="00B81EFE">
              <w:rPr>
                <w:rFonts w:ascii="Arial Narrow" w:hAnsi="Arial Narrow" w:cs="Arial"/>
                <w:sz w:val="20"/>
                <w:szCs w:val="20"/>
              </w:rPr>
              <w:t>Where applicable, the date of the magnetic resonance imaging scan must be provided with the authority application</w:t>
            </w:r>
            <w:r>
              <w:rPr>
                <w:rFonts w:ascii="Arial Narrow" w:hAnsi="Arial Narrow" w:cs="Arial"/>
                <w:sz w:val="20"/>
                <w:szCs w:val="20"/>
              </w:rPr>
              <w:t>,</w:t>
            </w:r>
          </w:p>
          <w:p w:rsidR="008E10FF" w:rsidRDefault="008E10FF" w:rsidP="008E10FF">
            <w:pPr>
              <w:rPr>
                <w:rFonts w:ascii="Arial Narrow" w:hAnsi="Arial Narrow" w:cs="Arial"/>
                <w:sz w:val="20"/>
                <w:szCs w:val="20"/>
              </w:rPr>
            </w:pPr>
          </w:p>
          <w:p w:rsidR="008E10FF" w:rsidRDefault="008E10FF" w:rsidP="008E10FF">
            <w:pPr>
              <w:rPr>
                <w:rFonts w:ascii="Arial Narrow" w:hAnsi="Arial Narrow" w:cs="Arial"/>
                <w:sz w:val="20"/>
                <w:szCs w:val="20"/>
              </w:rPr>
            </w:pPr>
            <w:r>
              <w:rPr>
                <w:rFonts w:ascii="Arial Narrow" w:hAnsi="Arial Narrow" w:cs="Arial"/>
                <w:sz w:val="20"/>
                <w:szCs w:val="20"/>
              </w:rPr>
              <w:t>OR</w:t>
            </w:r>
          </w:p>
          <w:p w:rsidR="008E10FF" w:rsidRDefault="008E10FF" w:rsidP="008E10FF">
            <w:pPr>
              <w:rPr>
                <w:rFonts w:ascii="Arial Narrow" w:hAnsi="Arial Narrow" w:cs="Arial"/>
                <w:sz w:val="20"/>
                <w:szCs w:val="20"/>
              </w:rPr>
            </w:pPr>
          </w:p>
          <w:p w:rsidR="008E10FF" w:rsidRPr="00260CE3" w:rsidRDefault="008E10FF" w:rsidP="008E10FF">
            <w:pPr>
              <w:rPr>
                <w:rFonts w:ascii="Arial Narrow" w:hAnsi="Arial Narrow" w:cs="Arial"/>
                <w:sz w:val="20"/>
                <w:szCs w:val="20"/>
              </w:rPr>
            </w:pPr>
            <w:r w:rsidRPr="0077267E">
              <w:rPr>
                <w:rFonts w:ascii="Arial Narrow" w:hAnsi="Arial Narrow" w:cs="Arial"/>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w:t>
            </w:r>
            <w:r>
              <w:rPr>
                <w:rFonts w:ascii="Arial Narrow" w:hAnsi="Arial Narrow" w:cs="Arial"/>
                <w:sz w:val="20"/>
                <w:szCs w:val="20"/>
              </w:rPr>
              <w:t>ological) injury to the patient.</w:t>
            </w:r>
          </w:p>
          <w:p w:rsidR="008E10FF" w:rsidRPr="00260CE3" w:rsidRDefault="008E10FF" w:rsidP="008E10FF">
            <w:pPr>
              <w:jc w:val="both"/>
              <w:rPr>
                <w:rFonts w:ascii="Arial Narrow" w:hAnsi="Arial Narrow" w:cs="Arial"/>
                <w:sz w:val="20"/>
                <w:szCs w:val="20"/>
              </w:rPr>
            </w:pP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Administrative Advice</w:t>
            </w:r>
          </w:p>
          <w:p w:rsidR="008E10FF" w:rsidRPr="00260CE3" w:rsidRDefault="008E10FF" w:rsidP="008E10FF">
            <w:pPr>
              <w:jc w:val="both"/>
              <w:rPr>
                <w:rFonts w:ascii="Arial Narrow" w:hAnsi="Arial Narrow" w:cs="Arial"/>
                <w:i/>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8E10FF" w:rsidRPr="0077267E" w:rsidRDefault="008E10FF" w:rsidP="008E10FF">
            <w:pPr>
              <w:rPr>
                <w:rFonts w:ascii="Arial Narrow" w:hAnsi="Arial Narrow" w:cs="Arial"/>
                <w:sz w:val="20"/>
                <w:szCs w:val="20"/>
              </w:rPr>
            </w:pPr>
            <w:r w:rsidRPr="0077267E">
              <w:rPr>
                <w:rFonts w:ascii="Arial Narrow" w:hAnsi="Arial Narrow" w:cs="Arial"/>
                <w:sz w:val="20"/>
                <w:szCs w:val="20"/>
              </w:rPr>
              <w:t>No increase in the maximum number of repeats may be authorised.</w:t>
            </w:r>
          </w:p>
          <w:p w:rsidR="008E10FF" w:rsidRPr="0077267E" w:rsidRDefault="008E10FF" w:rsidP="008E10FF">
            <w:pPr>
              <w:rPr>
                <w:rFonts w:ascii="Arial Narrow" w:hAnsi="Arial Narrow" w:cs="Arial"/>
                <w:sz w:val="20"/>
                <w:szCs w:val="20"/>
              </w:rPr>
            </w:pPr>
          </w:p>
          <w:p w:rsidR="008E10FF" w:rsidRPr="00260CE3" w:rsidRDefault="008E10FF" w:rsidP="008E10FF">
            <w:pPr>
              <w:rPr>
                <w:rFonts w:ascii="Arial Narrow" w:hAnsi="Arial Narrow" w:cs="Arial"/>
                <w:sz w:val="20"/>
                <w:szCs w:val="20"/>
              </w:rPr>
            </w:pPr>
            <w:r w:rsidRPr="0077267E">
              <w:rPr>
                <w:rFonts w:ascii="Arial Narrow" w:hAnsi="Arial Narrow" w:cs="Arial"/>
                <w:sz w:val="20"/>
                <w:szCs w:val="20"/>
              </w:rPr>
              <w:t>No increase in the maximum quantity or number of units may be authorised.</w:t>
            </w:r>
          </w:p>
        </w:tc>
      </w:tr>
    </w:tbl>
    <w:p w:rsidR="00B83C93" w:rsidRPr="00377B68" w:rsidRDefault="00B83C93" w:rsidP="00377B68">
      <w:pPr>
        <w:rPr>
          <w:rFonts w:ascii="Arial" w:hAnsi="Arial"/>
          <w:sz w:val="22"/>
          <w:szCs w:val="22"/>
        </w:rPr>
      </w:pPr>
    </w:p>
    <w:p w:rsidR="00CE704F" w:rsidRPr="00377B68" w:rsidRDefault="00CE704F" w:rsidP="00377B68">
      <w:pPr>
        <w:pStyle w:val="ListParagraph"/>
        <w:jc w:val="both"/>
        <w:rPr>
          <w:rFonts w:ascii="Arial" w:hAnsi="Arial"/>
          <w:b/>
          <w:sz w:val="22"/>
          <w:szCs w:val="22"/>
        </w:rPr>
      </w:pPr>
    </w:p>
    <w:tbl>
      <w:tblPr>
        <w:tblW w:w="9214" w:type="dxa"/>
        <w:tblInd w:w="108" w:type="dxa"/>
        <w:tblLayout w:type="fixed"/>
        <w:tblLook w:val="0000" w:firstRow="0" w:lastRow="0" w:firstColumn="0" w:lastColumn="0" w:noHBand="0" w:noVBand="0"/>
      </w:tblPr>
      <w:tblGrid>
        <w:gridCol w:w="1843"/>
        <w:gridCol w:w="1418"/>
        <w:gridCol w:w="567"/>
        <w:gridCol w:w="850"/>
        <w:gridCol w:w="1701"/>
        <w:gridCol w:w="1559"/>
        <w:gridCol w:w="1276"/>
      </w:tblGrid>
      <w:tr w:rsidR="008E10FF" w:rsidRPr="00260CE3" w:rsidTr="008E10FF">
        <w:trPr>
          <w:cantSplit/>
          <w:trHeight w:val="471"/>
        </w:trPr>
        <w:tc>
          <w:tcPr>
            <w:tcW w:w="3261" w:type="dxa"/>
            <w:gridSpan w:val="2"/>
            <w:tcBorders>
              <w:bottom w:val="single" w:sz="4" w:space="0" w:color="auto"/>
            </w:tcBorders>
          </w:tcPr>
          <w:p w:rsidR="008E10FF" w:rsidRPr="00260CE3" w:rsidRDefault="008E10FF" w:rsidP="008E10FF">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8E10FF" w:rsidRPr="00260CE3" w:rsidRDefault="008E10FF" w:rsidP="008E10FF">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8E10FF" w:rsidRPr="00260CE3" w:rsidRDefault="008E10FF" w:rsidP="008E10FF">
            <w:pPr>
              <w:keepNext/>
              <w:ind w:left="-108"/>
              <w:jc w:val="both"/>
              <w:rPr>
                <w:rFonts w:ascii="Arial Narrow" w:hAnsi="Arial Narrow" w:cs="Arial"/>
                <w:sz w:val="20"/>
                <w:szCs w:val="20"/>
              </w:rPr>
            </w:pPr>
            <w:r w:rsidRPr="00260CE3">
              <w:rPr>
                <w:rFonts w:ascii="Arial Narrow" w:hAnsi="Arial Narrow" w:cs="Arial"/>
                <w:sz w:val="20"/>
                <w:szCs w:val="20"/>
              </w:rPr>
              <w:t>Max.</w:t>
            </w:r>
          </w:p>
          <w:p w:rsidR="008E10FF" w:rsidRPr="00260CE3" w:rsidRDefault="008E10FF" w:rsidP="008E10FF">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8E10FF" w:rsidRPr="00260CE3" w:rsidRDefault="008E10FF" w:rsidP="008E10FF">
            <w:pPr>
              <w:keepNext/>
              <w:ind w:left="-108"/>
              <w:jc w:val="both"/>
              <w:rPr>
                <w:rFonts w:ascii="Arial Narrow" w:hAnsi="Arial Narrow" w:cs="Arial"/>
                <w:sz w:val="20"/>
                <w:szCs w:val="20"/>
              </w:rPr>
            </w:pPr>
            <w:r w:rsidRPr="00260CE3">
              <w:rPr>
                <w:rFonts w:ascii="Arial Narrow" w:hAnsi="Arial Narrow" w:cs="Arial"/>
                <w:sz w:val="20"/>
                <w:szCs w:val="20"/>
              </w:rPr>
              <w:t>№.of</w:t>
            </w:r>
          </w:p>
          <w:p w:rsidR="008E10FF" w:rsidRPr="00260CE3" w:rsidRDefault="008E10FF" w:rsidP="008E10FF">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8E10FF" w:rsidRPr="00260CE3" w:rsidRDefault="008E10FF" w:rsidP="008E10FF">
            <w:pPr>
              <w:keepNext/>
              <w:ind w:left="-108"/>
              <w:jc w:val="both"/>
              <w:rPr>
                <w:rFonts w:ascii="Arial Narrow" w:hAnsi="Arial Narrow" w:cs="Arial"/>
                <w:sz w:val="20"/>
                <w:szCs w:val="20"/>
              </w:rPr>
            </w:pPr>
          </w:p>
        </w:tc>
        <w:tc>
          <w:tcPr>
            <w:tcW w:w="2835" w:type="dxa"/>
            <w:gridSpan w:val="2"/>
            <w:tcBorders>
              <w:bottom w:val="single" w:sz="4" w:space="0" w:color="auto"/>
            </w:tcBorders>
          </w:tcPr>
          <w:p w:rsidR="008E10FF" w:rsidRPr="00260CE3" w:rsidRDefault="008E10FF" w:rsidP="008E10FF">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E10FF" w:rsidRPr="00260CE3" w:rsidTr="008E10FF">
        <w:trPr>
          <w:cantSplit/>
          <w:trHeight w:val="577"/>
        </w:trPr>
        <w:tc>
          <w:tcPr>
            <w:tcW w:w="3261" w:type="dxa"/>
            <w:gridSpan w:val="2"/>
          </w:tcPr>
          <w:p w:rsidR="008E10FF" w:rsidRDefault="008E10FF" w:rsidP="008E10FF">
            <w:pPr>
              <w:keepNext/>
              <w:ind w:left="-108"/>
              <w:jc w:val="both"/>
              <w:rPr>
                <w:rFonts w:ascii="Arial Narrow" w:hAnsi="Arial Narrow" w:cs="Arial"/>
                <w:smallCaps/>
                <w:sz w:val="20"/>
                <w:szCs w:val="20"/>
              </w:rPr>
            </w:pPr>
            <w:r>
              <w:rPr>
                <w:rFonts w:ascii="Arial Narrow" w:hAnsi="Arial Narrow" w:cs="Arial"/>
                <w:smallCaps/>
                <w:sz w:val="20"/>
                <w:szCs w:val="20"/>
              </w:rPr>
              <w:t xml:space="preserve">GLATIRAMER </w:t>
            </w:r>
            <w:r w:rsidRPr="00F62952">
              <w:rPr>
                <w:rFonts w:ascii="Arial Narrow" w:hAnsi="Arial Narrow" w:cs="Arial"/>
                <w:smallCaps/>
                <w:sz w:val="20"/>
                <w:szCs w:val="20"/>
              </w:rPr>
              <w:t xml:space="preserve">ACETATE </w:t>
            </w:r>
          </w:p>
          <w:p w:rsidR="008E10FF" w:rsidRPr="00260CE3" w:rsidRDefault="008E10FF" w:rsidP="008E10FF">
            <w:pPr>
              <w:keepNext/>
              <w:ind w:left="-108"/>
              <w:jc w:val="both"/>
              <w:rPr>
                <w:rFonts w:ascii="Arial Narrow" w:hAnsi="Arial Narrow" w:cs="Arial"/>
                <w:sz w:val="20"/>
                <w:szCs w:val="20"/>
              </w:rPr>
            </w:pPr>
            <w:r>
              <w:rPr>
                <w:rFonts w:ascii="Arial Narrow" w:hAnsi="Arial Narrow" w:cs="Arial"/>
                <w:sz w:val="20"/>
                <w:szCs w:val="20"/>
              </w:rPr>
              <w:t>40 mg/mL injection, 12</w:t>
            </w:r>
          </w:p>
        </w:tc>
        <w:tc>
          <w:tcPr>
            <w:tcW w:w="567" w:type="dxa"/>
          </w:tcPr>
          <w:p w:rsidR="008E10FF" w:rsidRPr="00260CE3" w:rsidRDefault="008E10FF" w:rsidP="008E10FF">
            <w:pPr>
              <w:keepNext/>
              <w:ind w:left="-108"/>
              <w:jc w:val="both"/>
              <w:rPr>
                <w:rFonts w:ascii="Arial Narrow" w:hAnsi="Arial Narrow" w:cs="Arial"/>
                <w:sz w:val="20"/>
                <w:szCs w:val="20"/>
              </w:rPr>
            </w:pPr>
          </w:p>
          <w:p w:rsidR="008E10FF" w:rsidRPr="00260CE3" w:rsidRDefault="008E10FF" w:rsidP="008E10FF">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8E10FF" w:rsidRPr="00260CE3" w:rsidRDefault="008E10FF" w:rsidP="008E10FF">
            <w:pPr>
              <w:keepNext/>
              <w:ind w:left="-108"/>
              <w:jc w:val="both"/>
              <w:rPr>
                <w:rFonts w:ascii="Arial Narrow" w:hAnsi="Arial Narrow" w:cs="Arial"/>
                <w:sz w:val="20"/>
                <w:szCs w:val="20"/>
              </w:rPr>
            </w:pPr>
          </w:p>
          <w:p w:rsidR="008E10FF" w:rsidRPr="00260CE3" w:rsidRDefault="008E10FF" w:rsidP="008E10FF">
            <w:pPr>
              <w:keepNext/>
              <w:ind w:left="-108"/>
              <w:jc w:val="both"/>
              <w:rPr>
                <w:rFonts w:ascii="Arial Narrow" w:hAnsi="Arial Narrow" w:cs="Arial"/>
                <w:sz w:val="20"/>
                <w:szCs w:val="20"/>
              </w:rPr>
            </w:pPr>
            <w:r>
              <w:rPr>
                <w:rFonts w:ascii="Arial Narrow" w:hAnsi="Arial Narrow" w:cs="Arial"/>
                <w:sz w:val="20"/>
                <w:szCs w:val="20"/>
              </w:rPr>
              <w:t>5</w:t>
            </w:r>
          </w:p>
        </w:tc>
        <w:tc>
          <w:tcPr>
            <w:tcW w:w="1701" w:type="dxa"/>
          </w:tcPr>
          <w:p w:rsidR="008E10FF" w:rsidRPr="00260CE3" w:rsidRDefault="008E10FF" w:rsidP="008E10FF">
            <w:pPr>
              <w:keepNext/>
              <w:ind w:left="-108"/>
              <w:jc w:val="both"/>
              <w:rPr>
                <w:rFonts w:ascii="Arial Narrow" w:hAnsi="Arial Narrow" w:cs="Arial"/>
                <w:sz w:val="20"/>
                <w:szCs w:val="20"/>
              </w:rPr>
            </w:pPr>
          </w:p>
        </w:tc>
        <w:tc>
          <w:tcPr>
            <w:tcW w:w="1559" w:type="dxa"/>
          </w:tcPr>
          <w:p w:rsidR="008E10FF" w:rsidRPr="00260CE3" w:rsidRDefault="008E10FF" w:rsidP="008E10FF">
            <w:pPr>
              <w:keepNext/>
              <w:jc w:val="both"/>
              <w:rPr>
                <w:rFonts w:ascii="Arial Narrow" w:hAnsi="Arial Narrow" w:cs="Arial"/>
                <w:sz w:val="20"/>
                <w:szCs w:val="20"/>
              </w:rPr>
            </w:pPr>
            <w:r>
              <w:rPr>
                <w:rFonts w:ascii="Arial Narrow" w:hAnsi="Arial Narrow" w:cs="Arial"/>
                <w:sz w:val="20"/>
                <w:szCs w:val="20"/>
              </w:rPr>
              <w:t>Copaxone</w:t>
            </w:r>
          </w:p>
        </w:tc>
        <w:tc>
          <w:tcPr>
            <w:tcW w:w="1276" w:type="dxa"/>
          </w:tcPr>
          <w:p w:rsidR="008E10FF" w:rsidRPr="00260CE3" w:rsidRDefault="008E10FF" w:rsidP="008E10FF">
            <w:pPr>
              <w:keepNext/>
              <w:jc w:val="both"/>
              <w:rPr>
                <w:rFonts w:ascii="Arial Narrow" w:hAnsi="Arial Narrow" w:cs="Arial"/>
                <w:sz w:val="20"/>
                <w:szCs w:val="20"/>
              </w:rPr>
            </w:pPr>
            <w:r>
              <w:rPr>
                <w:rFonts w:ascii="Arial Narrow" w:hAnsi="Arial Narrow" w:cs="Arial"/>
                <w:sz w:val="20"/>
                <w:szCs w:val="20"/>
              </w:rPr>
              <w:t>bioCSL</w:t>
            </w:r>
          </w:p>
        </w:tc>
      </w:tr>
      <w:tr w:rsidR="008E10FF" w:rsidRPr="00260CE3" w:rsidTr="008E10FF">
        <w:trPr>
          <w:cantSplit/>
          <w:trHeight w:val="360"/>
        </w:trPr>
        <w:tc>
          <w:tcPr>
            <w:tcW w:w="9214" w:type="dxa"/>
            <w:gridSpan w:val="7"/>
            <w:tcBorders>
              <w:bottom w:val="single" w:sz="4" w:space="0" w:color="auto"/>
            </w:tcBorders>
          </w:tcPr>
          <w:p w:rsidR="008E10FF" w:rsidRPr="00260CE3" w:rsidRDefault="008E10FF" w:rsidP="008E10FF">
            <w:pPr>
              <w:jc w:val="both"/>
              <w:rPr>
                <w:rFonts w:ascii="Arial Narrow" w:hAnsi="Arial Narrow" w:cs="Arial"/>
                <w:sz w:val="20"/>
                <w:szCs w:val="20"/>
              </w:rPr>
            </w:pP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lastRenderedPageBreak/>
              <w:t xml:space="preserve">Category / </w:t>
            </w:r>
          </w:p>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Program</w:t>
            </w:r>
          </w:p>
        </w:tc>
        <w:tc>
          <w:tcPr>
            <w:tcW w:w="7371" w:type="dxa"/>
            <w:gridSpan w:val="6"/>
            <w:tcBorders>
              <w:top w:val="single" w:sz="4" w:space="0" w:color="auto"/>
              <w:left w:val="single" w:sz="4" w:space="0" w:color="auto"/>
              <w:bottom w:val="single" w:sz="4" w:space="0" w:color="auto"/>
              <w:right w:val="single" w:sz="4" w:space="0" w:color="auto"/>
            </w:tcBorders>
          </w:tcPr>
          <w:p w:rsidR="008E10FF" w:rsidRPr="00260CE3" w:rsidRDefault="008E10FF" w:rsidP="008E10FF">
            <w:pPr>
              <w:rPr>
                <w:rFonts w:ascii="Arial Narrow" w:hAnsi="Arial Narrow" w:cs="Arial"/>
                <w:sz w:val="20"/>
                <w:szCs w:val="20"/>
              </w:rPr>
            </w:pPr>
            <w:r w:rsidRPr="00260CE3">
              <w:rPr>
                <w:rFonts w:ascii="Arial Narrow" w:hAnsi="Arial Narrow" w:cs="Arial"/>
                <w:sz w:val="20"/>
                <w:szCs w:val="20"/>
              </w:rPr>
              <w:t>GENERAL – General Schedule (Code GE)</w:t>
            </w: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Prescriber type:</w:t>
            </w:r>
          </w:p>
        </w:tc>
        <w:tc>
          <w:tcPr>
            <w:tcW w:w="7371" w:type="dxa"/>
            <w:gridSpan w:val="6"/>
            <w:tcBorders>
              <w:top w:val="single" w:sz="4" w:space="0" w:color="auto"/>
              <w:left w:val="single" w:sz="4" w:space="0" w:color="auto"/>
              <w:bottom w:val="single" w:sz="4" w:space="0" w:color="auto"/>
              <w:right w:val="single" w:sz="4" w:space="0" w:color="auto"/>
            </w:tcBorders>
          </w:tcPr>
          <w:p w:rsidR="008E10FF" w:rsidRPr="00260CE3" w:rsidRDefault="008E10FF" w:rsidP="008E10FF">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E10FF" w:rsidRPr="00260CE3" w:rsidRDefault="008E10FF" w:rsidP="008E10FF">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Episodicity:</w:t>
            </w:r>
          </w:p>
        </w:tc>
        <w:tc>
          <w:tcPr>
            <w:tcW w:w="7371" w:type="dxa"/>
            <w:gridSpan w:val="6"/>
            <w:tcBorders>
              <w:top w:val="single" w:sz="4" w:space="0" w:color="auto"/>
              <w:left w:val="single" w:sz="4" w:space="0" w:color="auto"/>
              <w:bottom w:val="single" w:sz="4" w:space="0" w:color="auto"/>
              <w:right w:val="single" w:sz="4" w:space="0" w:color="auto"/>
            </w:tcBorders>
          </w:tcPr>
          <w:p w:rsidR="008E10FF" w:rsidRPr="00260CE3" w:rsidRDefault="008E10FF" w:rsidP="008E10FF">
            <w:pPr>
              <w:rPr>
                <w:rFonts w:ascii="Arial Narrow" w:hAnsi="Arial Narrow" w:cs="Arial"/>
                <w:sz w:val="20"/>
                <w:szCs w:val="20"/>
              </w:rPr>
            </w:pP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Severity:</w:t>
            </w:r>
          </w:p>
        </w:tc>
        <w:tc>
          <w:tcPr>
            <w:tcW w:w="7371" w:type="dxa"/>
            <w:gridSpan w:val="6"/>
            <w:tcBorders>
              <w:top w:val="single" w:sz="4" w:space="0" w:color="auto"/>
              <w:left w:val="single" w:sz="4" w:space="0" w:color="auto"/>
              <w:bottom w:val="single" w:sz="4" w:space="0" w:color="auto"/>
              <w:right w:val="single" w:sz="4" w:space="0" w:color="auto"/>
            </w:tcBorders>
          </w:tcPr>
          <w:p w:rsidR="008E10FF" w:rsidRPr="00260CE3" w:rsidRDefault="008E10FF" w:rsidP="008E10FF">
            <w:pPr>
              <w:rPr>
                <w:rFonts w:ascii="Arial Narrow" w:hAnsi="Arial Narrow" w:cs="Arial"/>
                <w:sz w:val="20"/>
                <w:szCs w:val="20"/>
              </w:rPr>
            </w:pP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Pr>
          <w:p w:rsidR="008E10FF" w:rsidRPr="00260CE3" w:rsidRDefault="008E10FF" w:rsidP="008E10FF">
            <w:pPr>
              <w:rPr>
                <w:rFonts w:ascii="Arial Narrow" w:hAnsi="Arial Narrow" w:cs="Arial"/>
                <w:sz w:val="20"/>
                <w:szCs w:val="20"/>
              </w:rPr>
            </w:pPr>
            <w:r>
              <w:rPr>
                <w:rFonts w:ascii="Arial Narrow" w:hAnsi="Arial Narrow" w:cs="Arial"/>
                <w:sz w:val="20"/>
                <w:szCs w:val="20"/>
              </w:rPr>
              <w:t>M</w:t>
            </w:r>
            <w:r w:rsidRPr="00BB268F">
              <w:rPr>
                <w:rFonts w:ascii="Arial Narrow" w:hAnsi="Arial Narrow" w:cs="Arial"/>
                <w:sz w:val="20"/>
                <w:szCs w:val="20"/>
              </w:rPr>
              <w:t>ultiple sclerosis</w:t>
            </w: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8E10FF" w:rsidRPr="00260CE3" w:rsidRDefault="008E10FF" w:rsidP="008E10FF">
            <w:pPr>
              <w:rPr>
                <w:rFonts w:ascii="Arial Narrow" w:hAnsi="Arial Narrow" w:cs="Arial"/>
                <w:sz w:val="20"/>
                <w:szCs w:val="20"/>
              </w:rPr>
            </w:pPr>
            <w:r>
              <w:rPr>
                <w:rFonts w:ascii="Arial Narrow" w:hAnsi="Arial Narrow" w:cs="Arial"/>
                <w:sz w:val="20"/>
                <w:szCs w:val="20"/>
              </w:rPr>
              <w:t>M</w:t>
            </w:r>
            <w:r w:rsidRPr="00B17683">
              <w:rPr>
                <w:rFonts w:ascii="Arial Narrow" w:hAnsi="Arial Narrow" w:cs="Arial"/>
                <w:sz w:val="20"/>
                <w:szCs w:val="20"/>
              </w:rPr>
              <w:t>ultiple sclerosis</w:t>
            </w: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Treatment phase:</w:t>
            </w:r>
          </w:p>
          <w:p w:rsidR="008E10FF" w:rsidRPr="00260CE3" w:rsidRDefault="008E10FF" w:rsidP="008E10FF">
            <w:pPr>
              <w:jc w:val="both"/>
              <w:rPr>
                <w:rFonts w:ascii="Arial Narrow" w:hAnsi="Arial Narrow" w:cs="Arial"/>
                <w:i/>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8E10FF" w:rsidRPr="00260CE3" w:rsidRDefault="008E10FF" w:rsidP="008E10FF">
            <w:pPr>
              <w:rPr>
                <w:rFonts w:ascii="Arial Narrow" w:hAnsi="Arial Narrow" w:cs="Arial"/>
                <w:sz w:val="20"/>
                <w:szCs w:val="20"/>
              </w:rPr>
            </w:pPr>
            <w:r>
              <w:rPr>
                <w:rFonts w:ascii="Arial Narrow" w:hAnsi="Arial Narrow" w:cs="Arial"/>
                <w:sz w:val="20"/>
                <w:szCs w:val="20"/>
              </w:rPr>
              <w:t>Continuing</w:t>
            </w: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E10FF" w:rsidRPr="00260CE3" w:rsidRDefault="008E10FF" w:rsidP="008E10FF">
            <w:pPr>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8E10FF" w:rsidRPr="00106BCF" w:rsidRDefault="008E10FF" w:rsidP="008E10FF">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E10FF" w:rsidRPr="00106BCF" w:rsidRDefault="008E10FF" w:rsidP="008E10F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E10FF" w:rsidRPr="00106BCF" w:rsidRDefault="008E10FF" w:rsidP="008E10FF">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8E10FF" w:rsidRPr="00106BCF" w:rsidRDefault="008E10FF" w:rsidP="008E10F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8E10FF" w:rsidRPr="00106BCF" w:rsidRDefault="008E10FF" w:rsidP="008E10F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E10FF" w:rsidRPr="00260CE3" w:rsidRDefault="008E10FF" w:rsidP="008E10FF">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8680C">
              <w:rPr>
                <w:rFonts w:ascii="Arial Narrow" w:hAnsi="Arial Narrow" w:cs="Arial"/>
                <w:sz w:val="20"/>
                <w:szCs w:val="20"/>
              </w:rPr>
            </w:r>
            <w:r w:rsidR="00C8680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Clinical criteria:</w:t>
            </w:r>
          </w:p>
          <w:p w:rsidR="008E10FF" w:rsidRPr="00260CE3" w:rsidRDefault="008E10FF" w:rsidP="008E10FF">
            <w:pPr>
              <w:jc w:val="both"/>
              <w:rPr>
                <w:rFonts w:ascii="Arial Narrow" w:hAnsi="Arial Narrow" w:cs="Arial"/>
                <w:i/>
                <w:sz w:val="20"/>
                <w:szCs w:val="20"/>
              </w:rPr>
            </w:pPr>
          </w:p>
          <w:p w:rsidR="008E10FF" w:rsidRPr="00260CE3" w:rsidRDefault="008E10FF" w:rsidP="008E10FF">
            <w:pPr>
              <w:jc w:val="both"/>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8E10FF" w:rsidRDefault="008E10FF" w:rsidP="008E10FF">
            <w:pPr>
              <w:rPr>
                <w:rFonts w:ascii="Arial Narrow" w:hAnsi="Arial Narrow" w:cs="Arial"/>
                <w:sz w:val="20"/>
                <w:szCs w:val="20"/>
              </w:rPr>
            </w:pPr>
            <w:r w:rsidRPr="00B17683">
              <w:rPr>
                <w:rFonts w:ascii="Arial Narrow" w:hAnsi="Arial Narrow" w:cs="Arial"/>
                <w:sz w:val="20"/>
                <w:szCs w:val="20"/>
              </w:rPr>
              <w:t>Patient must have previously been issued with an authority prescription for this drug,</w:t>
            </w:r>
          </w:p>
          <w:p w:rsidR="008E10FF" w:rsidRDefault="008E10FF" w:rsidP="008E10FF">
            <w:pPr>
              <w:rPr>
                <w:rFonts w:ascii="Arial Narrow" w:hAnsi="Arial Narrow" w:cs="Arial"/>
                <w:sz w:val="20"/>
                <w:szCs w:val="20"/>
              </w:rPr>
            </w:pPr>
          </w:p>
          <w:p w:rsidR="008E10FF" w:rsidRDefault="008E10FF" w:rsidP="008E10FF">
            <w:pPr>
              <w:rPr>
                <w:rFonts w:ascii="Arial Narrow" w:hAnsi="Arial Narrow" w:cs="Arial"/>
                <w:sz w:val="20"/>
                <w:szCs w:val="20"/>
              </w:rPr>
            </w:pPr>
            <w:r>
              <w:rPr>
                <w:rFonts w:ascii="Arial Narrow" w:hAnsi="Arial Narrow" w:cs="Arial"/>
                <w:sz w:val="20"/>
                <w:szCs w:val="20"/>
              </w:rPr>
              <w:t>AND</w:t>
            </w:r>
          </w:p>
          <w:p w:rsidR="008E10FF" w:rsidRDefault="008E10FF" w:rsidP="008E10FF">
            <w:pPr>
              <w:rPr>
                <w:rFonts w:ascii="Arial Narrow" w:hAnsi="Arial Narrow" w:cs="Arial"/>
                <w:sz w:val="20"/>
                <w:szCs w:val="20"/>
              </w:rPr>
            </w:pPr>
          </w:p>
          <w:p w:rsidR="008E10FF" w:rsidRPr="00260CE3" w:rsidRDefault="008E10FF" w:rsidP="008E10FF">
            <w:pPr>
              <w:rPr>
                <w:rFonts w:ascii="Arial Narrow" w:hAnsi="Arial Narrow" w:cs="Arial"/>
                <w:sz w:val="20"/>
                <w:szCs w:val="20"/>
              </w:rPr>
            </w:pPr>
            <w:r w:rsidRPr="00B17683">
              <w:rPr>
                <w:rFonts w:ascii="Arial Narrow" w:hAnsi="Arial Narrow" w:cs="Arial"/>
                <w:sz w:val="20"/>
                <w:szCs w:val="20"/>
              </w:rPr>
              <w:t>Patient must not show continuing progression of disability while on treatment with</w:t>
            </w:r>
            <w:r>
              <w:rPr>
                <w:rFonts w:ascii="Arial Narrow" w:hAnsi="Arial Narrow" w:cs="Arial"/>
                <w:sz w:val="20"/>
                <w:szCs w:val="20"/>
              </w:rPr>
              <w:t xml:space="preserve"> this drug,</w:t>
            </w:r>
          </w:p>
          <w:p w:rsidR="008E10FF" w:rsidRPr="00260CE3" w:rsidRDefault="008E10FF" w:rsidP="008E10FF">
            <w:pPr>
              <w:jc w:val="both"/>
              <w:rPr>
                <w:rFonts w:ascii="Arial Narrow" w:hAnsi="Arial Narrow" w:cs="Arial"/>
                <w:sz w:val="20"/>
                <w:szCs w:val="20"/>
              </w:rPr>
            </w:pPr>
          </w:p>
          <w:p w:rsidR="008E10FF" w:rsidRDefault="008E10FF" w:rsidP="008E10FF">
            <w:pPr>
              <w:jc w:val="both"/>
              <w:rPr>
                <w:rFonts w:ascii="Arial Narrow" w:hAnsi="Arial Narrow" w:cs="Arial"/>
                <w:sz w:val="20"/>
                <w:szCs w:val="20"/>
              </w:rPr>
            </w:pPr>
            <w:r>
              <w:rPr>
                <w:rFonts w:ascii="Arial Narrow" w:hAnsi="Arial Narrow" w:cs="Arial"/>
                <w:sz w:val="20"/>
                <w:szCs w:val="20"/>
              </w:rPr>
              <w:t>AND</w:t>
            </w:r>
          </w:p>
          <w:p w:rsidR="008E10FF" w:rsidRDefault="008E10FF" w:rsidP="008E10FF">
            <w:pPr>
              <w:jc w:val="both"/>
              <w:rPr>
                <w:rFonts w:ascii="Arial Narrow" w:hAnsi="Arial Narrow" w:cs="Arial"/>
                <w:sz w:val="20"/>
                <w:szCs w:val="20"/>
              </w:rPr>
            </w:pPr>
          </w:p>
          <w:p w:rsidR="008E10FF" w:rsidRPr="00260CE3" w:rsidRDefault="008E10FF" w:rsidP="008E10FF">
            <w:pPr>
              <w:jc w:val="both"/>
              <w:rPr>
                <w:rFonts w:ascii="Arial Narrow" w:hAnsi="Arial Narrow" w:cs="Arial"/>
                <w:sz w:val="20"/>
                <w:szCs w:val="20"/>
              </w:rPr>
            </w:pPr>
            <w:r w:rsidRPr="00B17683">
              <w:rPr>
                <w:rFonts w:ascii="Arial Narrow" w:hAnsi="Arial Narrow" w:cs="Arial"/>
                <w:sz w:val="20"/>
                <w:szCs w:val="20"/>
              </w:rPr>
              <w:t>Patient must have demonstrated compliance with, and an ability to tolerate</w:t>
            </w:r>
            <w:r>
              <w:rPr>
                <w:rFonts w:ascii="Arial Narrow" w:hAnsi="Arial Narrow" w:cs="Arial"/>
                <w:sz w:val="20"/>
                <w:szCs w:val="20"/>
              </w:rPr>
              <w:t>,</w:t>
            </w:r>
            <w:r w:rsidRPr="00B17683">
              <w:rPr>
                <w:rFonts w:ascii="Arial Narrow" w:hAnsi="Arial Narrow" w:cs="Arial"/>
                <w:sz w:val="20"/>
                <w:szCs w:val="20"/>
              </w:rPr>
              <w:t xml:space="preserve"> this therapy</w:t>
            </w:r>
          </w:p>
        </w:tc>
      </w:tr>
      <w:tr w:rsidR="008E10FF" w:rsidRPr="00260CE3" w:rsidTr="008E10FF">
        <w:trPr>
          <w:cantSplit/>
          <w:trHeight w:val="360"/>
        </w:trPr>
        <w:tc>
          <w:tcPr>
            <w:tcW w:w="1843" w:type="dxa"/>
            <w:tcBorders>
              <w:top w:val="single" w:sz="4" w:space="0" w:color="auto"/>
              <w:left w:val="single" w:sz="4" w:space="0" w:color="auto"/>
              <w:bottom w:val="single" w:sz="4" w:space="0" w:color="auto"/>
              <w:right w:val="single" w:sz="4" w:space="0" w:color="auto"/>
            </w:tcBorders>
          </w:tcPr>
          <w:p w:rsidR="008E10FF" w:rsidRPr="00260CE3" w:rsidRDefault="008E10FF" w:rsidP="008E10FF">
            <w:pPr>
              <w:jc w:val="both"/>
              <w:rPr>
                <w:rFonts w:ascii="Arial Narrow" w:hAnsi="Arial Narrow" w:cs="Arial"/>
                <w:b/>
                <w:sz w:val="20"/>
                <w:szCs w:val="20"/>
              </w:rPr>
            </w:pPr>
            <w:r w:rsidRPr="00260CE3">
              <w:rPr>
                <w:rFonts w:ascii="Arial Narrow" w:hAnsi="Arial Narrow" w:cs="Arial"/>
                <w:b/>
                <w:sz w:val="20"/>
                <w:szCs w:val="20"/>
              </w:rPr>
              <w:t>Administrative Advice</w:t>
            </w:r>
          </w:p>
          <w:p w:rsidR="008E10FF" w:rsidRPr="00260CE3" w:rsidRDefault="008E10FF" w:rsidP="008E10FF">
            <w:pPr>
              <w:jc w:val="both"/>
              <w:rPr>
                <w:rFonts w:ascii="Arial Narrow" w:hAnsi="Arial Narrow" w:cs="Arial"/>
                <w:i/>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8E10FF" w:rsidRDefault="008E10FF" w:rsidP="008E10FF">
            <w:pPr>
              <w:rPr>
                <w:rFonts w:ascii="Arial Narrow" w:hAnsi="Arial Narrow" w:cs="Arial"/>
                <w:sz w:val="20"/>
                <w:szCs w:val="20"/>
              </w:rPr>
            </w:pPr>
            <w:r w:rsidRPr="00B17683">
              <w:rPr>
                <w:rFonts w:ascii="Arial Narrow" w:hAnsi="Arial Narrow" w:cs="Arial"/>
                <w:sz w:val="20"/>
                <w:szCs w:val="20"/>
              </w:rPr>
              <w:t>No increase in the maximum number of repeats may be authorised</w:t>
            </w:r>
            <w:r>
              <w:rPr>
                <w:rFonts w:ascii="Arial Narrow" w:hAnsi="Arial Narrow" w:cs="Arial"/>
                <w:sz w:val="20"/>
                <w:szCs w:val="20"/>
              </w:rPr>
              <w:t>.</w:t>
            </w:r>
          </w:p>
          <w:p w:rsidR="008E10FF" w:rsidRDefault="008E10FF" w:rsidP="008E10FF">
            <w:pPr>
              <w:rPr>
                <w:rFonts w:ascii="Arial Narrow" w:hAnsi="Arial Narrow" w:cs="Arial"/>
                <w:sz w:val="20"/>
                <w:szCs w:val="20"/>
              </w:rPr>
            </w:pPr>
          </w:p>
          <w:p w:rsidR="008E10FF" w:rsidRPr="00260CE3" w:rsidRDefault="008E10FF" w:rsidP="008E10FF">
            <w:pPr>
              <w:rPr>
                <w:rFonts w:ascii="Arial Narrow" w:hAnsi="Arial Narrow" w:cs="Arial"/>
                <w:sz w:val="20"/>
                <w:szCs w:val="20"/>
              </w:rPr>
            </w:pPr>
            <w:r w:rsidRPr="006709DE">
              <w:rPr>
                <w:rFonts w:ascii="Arial Narrow" w:hAnsi="Arial Narrow" w:cs="Arial"/>
                <w:sz w:val="20"/>
                <w:szCs w:val="20"/>
              </w:rPr>
              <w:t>No increase in the maximum quantity or number of units may be authorised.</w:t>
            </w:r>
          </w:p>
        </w:tc>
      </w:tr>
    </w:tbl>
    <w:p w:rsidR="00003743" w:rsidRDefault="00003743" w:rsidP="00003743">
      <w:pPr>
        <w:rPr>
          <w:rStyle w:val="IntenseReference"/>
          <w:b w:val="0"/>
          <w:bCs w:val="0"/>
          <w:i w:val="0"/>
          <w:smallCaps w:val="0"/>
          <w:color w:val="auto"/>
          <w:spacing w:val="0"/>
        </w:rPr>
      </w:pPr>
    </w:p>
    <w:p w:rsidR="007C34B9" w:rsidRDefault="007C34B9" w:rsidP="007C34B9"/>
    <w:p w:rsidR="007C34B9" w:rsidRPr="00D4207D" w:rsidRDefault="007C34B9" w:rsidP="00A57A52">
      <w:pPr>
        <w:pStyle w:val="PBACHeading1"/>
      </w:pPr>
      <w:r w:rsidRPr="00D4207D">
        <w:t>Context for Decision</w:t>
      </w:r>
    </w:p>
    <w:p w:rsidR="007C34B9" w:rsidRPr="00D4420F" w:rsidRDefault="007C34B9" w:rsidP="007C34B9">
      <w:pPr>
        <w:pStyle w:val="ListParagraph"/>
        <w:rPr>
          <w:b/>
        </w:rPr>
      </w:pPr>
    </w:p>
    <w:p w:rsidR="007C34B9" w:rsidRPr="00E55738" w:rsidRDefault="007C34B9" w:rsidP="007C34B9">
      <w:pPr>
        <w:ind w:left="720"/>
        <w:rPr>
          <w:rFonts w:ascii="Arial" w:hAnsi="Arial"/>
          <w:sz w:val="22"/>
          <w:szCs w:val="22"/>
        </w:rPr>
      </w:pPr>
      <w:r w:rsidRPr="00E55738">
        <w:rPr>
          <w:rFonts w:ascii="Arial" w:hAnsi="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C34B9" w:rsidRPr="00D4420F" w:rsidRDefault="007C34B9" w:rsidP="007C34B9"/>
    <w:p w:rsidR="007C34B9" w:rsidRPr="00D4207D" w:rsidRDefault="007C34B9" w:rsidP="00A57A52">
      <w:pPr>
        <w:pStyle w:val="PBACHeading1"/>
      </w:pPr>
      <w:r w:rsidRPr="00D4207D">
        <w:t>Sponsor’s Comment</w:t>
      </w:r>
    </w:p>
    <w:p w:rsidR="0014088D" w:rsidRDefault="0014088D" w:rsidP="00207E93">
      <w:pPr>
        <w:ind w:left="720"/>
        <w:rPr>
          <w:rStyle w:val="IntenseReference"/>
          <w:b w:val="0"/>
          <w:bCs w:val="0"/>
          <w:i w:val="0"/>
          <w:smallCaps w:val="0"/>
          <w:color w:val="auto"/>
          <w:spacing w:val="0"/>
        </w:rPr>
      </w:pPr>
    </w:p>
    <w:p w:rsidR="00207E93" w:rsidRPr="00A33FEE" w:rsidRDefault="00207E93" w:rsidP="00207E93">
      <w:pPr>
        <w:ind w:left="720"/>
        <w:rPr>
          <w:rStyle w:val="IntenseReference"/>
          <w:rFonts w:ascii="Arial" w:hAnsi="Arial" w:cs="Arial"/>
          <w:b w:val="0"/>
          <w:bCs w:val="0"/>
          <w:smallCaps w:val="0"/>
          <w:color w:val="auto"/>
          <w:spacing w:val="0"/>
          <w:sz w:val="22"/>
          <w:szCs w:val="22"/>
        </w:rPr>
      </w:pPr>
      <w:r w:rsidRPr="00A33FEE">
        <w:rPr>
          <w:rFonts w:ascii="Arial" w:hAnsi="Arial" w:cs="Arial"/>
          <w:iCs/>
          <w:sz w:val="22"/>
          <w:szCs w:val="22"/>
        </w:rPr>
        <w:t>Teva Pharma Australia Pty Limited welcome the PBAC recommendation and look forward to making a significant new treatment option available to neurologists caring for relapsing and remitting multiple sclerosis patients.</w:t>
      </w:r>
    </w:p>
    <w:sectPr w:rsidR="00207E93" w:rsidRPr="00A33FEE" w:rsidSect="008E3AFB">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80C" w:rsidRDefault="00C8680C" w:rsidP="002B7B5C">
      <w:r>
        <w:separator/>
      </w:r>
    </w:p>
  </w:endnote>
  <w:endnote w:type="continuationSeparator" w:id="0">
    <w:p w:rsidR="00C8680C" w:rsidRDefault="00C8680C" w:rsidP="002B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D312D" w:rsidTr="00215D92">
      <w:trPr>
        <w:trHeight w:val="151"/>
      </w:trPr>
      <w:tc>
        <w:tcPr>
          <w:tcW w:w="2250" w:type="pct"/>
          <w:tcBorders>
            <w:top w:val="nil"/>
            <w:left w:val="nil"/>
            <w:bottom w:val="single" w:sz="4" w:space="0" w:color="4F81BD"/>
            <w:right w:val="nil"/>
          </w:tcBorders>
        </w:tcPr>
        <w:p w:rsidR="00DD312D" w:rsidRPr="005A3173" w:rsidRDefault="00DD312D" w:rsidP="00215D92">
          <w:pPr>
            <w:pStyle w:val="Header"/>
            <w:spacing w:line="276" w:lineRule="auto"/>
            <w:rPr>
              <w:rFonts w:ascii="Calibri" w:eastAsia="MS Gothic" w:hAnsi="Calibri"/>
              <w:b/>
              <w:bCs/>
              <w:color w:val="4F81BD"/>
            </w:rPr>
          </w:pPr>
        </w:p>
      </w:tc>
      <w:tc>
        <w:tcPr>
          <w:tcW w:w="500" w:type="pct"/>
          <w:vMerge w:val="restart"/>
          <w:noWrap/>
          <w:vAlign w:val="center"/>
          <w:hideMark/>
        </w:tcPr>
        <w:p w:rsidR="00DD312D" w:rsidRPr="005A3173" w:rsidRDefault="00DD312D" w:rsidP="00215D92">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312D" w:rsidRPr="005A3173" w:rsidRDefault="00DD312D" w:rsidP="00215D92">
          <w:pPr>
            <w:pStyle w:val="Header"/>
            <w:spacing w:line="276" w:lineRule="auto"/>
            <w:rPr>
              <w:rFonts w:ascii="Calibri" w:eastAsia="MS Gothic" w:hAnsi="Calibri"/>
              <w:b/>
              <w:bCs/>
              <w:color w:val="4F81BD"/>
            </w:rPr>
          </w:pPr>
        </w:p>
      </w:tc>
    </w:tr>
    <w:tr w:rsidR="00DD312D" w:rsidTr="00215D92">
      <w:trPr>
        <w:trHeight w:val="150"/>
      </w:trPr>
      <w:tc>
        <w:tcPr>
          <w:tcW w:w="2250" w:type="pct"/>
          <w:tcBorders>
            <w:top w:val="single" w:sz="4" w:space="0" w:color="4F81BD"/>
            <w:left w:val="nil"/>
            <w:bottom w:val="nil"/>
            <w:right w:val="nil"/>
          </w:tcBorders>
        </w:tcPr>
        <w:p w:rsidR="00DD312D" w:rsidRPr="005A3173" w:rsidRDefault="00DD312D" w:rsidP="00215D92">
          <w:pPr>
            <w:pStyle w:val="Header"/>
            <w:spacing w:line="276" w:lineRule="auto"/>
            <w:rPr>
              <w:rFonts w:ascii="Calibri" w:eastAsia="MS Gothic" w:hAnsi="Calibri"/>
              <w:b/>
              <w:bCs/>
              <w:color w:val="4F81BD"/>
            </w:rPr>
          </w:pPr>
        </w:p>
      </w:tc>
      <w:tc>
        <w:tcPr>
          <w:tcW w:w="0" w:type="auto"/>
          <w:vMerge/>
          <w:vAlign w:val="center"/>
          <w:hideMark/>
        </w:tcPr>
        <w:p w:rsidR="00DD312D" w:rsidRPr="005A3173" w:rsidRDefault="00DD312D" w:rsidP="00215D92">
          <w:pPr>
            <w:rPr>
              <w:rFonts w:ascii="Calibri" w:hAnsi="Calibri"/>
              <w:color w:val="365F91"/>
              <w:sz w:val="22"/>
              <w:szCs w:val="22"/>
            </w:rPr>
          </w:pPr>
        </w:p>
      </w:tc>
      <w:tc>
        <w:tcPr>
          <w:tcW w:w="2250" w:type="pct"/>
          <w:tcBorders>
            <w:top w:val="single" w:sz="4" w:space="0" w:color="4F81BD"/>
            <w:left w:val="nil"/>
            <w:bottom w:val="nil"/>
            <w:right w:val="nil"/>
          </w:tcBorders>
        </w:tcPr>
        <w:p w:rsidR="00DD312D" w:rsidRPr="005A3173" w:rsidRDefault="00DD312D" w:rsidP="00215D92">
          <w:pPr>
            <w:pStyle w:val="Header"/>
            <w:spacing w:line="276" w:lineRule="auto"/>
            <w:rPr>
              <w:rFonts w:ascii="Calibri" w:eastAsia="MS Gothic" w:hAnsi="Calibri"/>
              <w:b/>
              <w:bCs/>
              <w:color w:val="4F81BD"/>
            </w:rPr>
          </w:pPr>
        </w:p>
      </w:tc>
    </w:tr>
  </w:tbl>
  <w:p w:rsidR="00DD312D" w:rsidRDefault="00DD312D" w:rsidP="00215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312D" w:rsidRDefault="00DD3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12D" w:rsidRDefault="00DD312D" w:rsidP="00215D92">
    <w:pPr>
      <w:pStyle w:val="Footer"/>
      <w:jc w:val="center"/>
      <w:rPr>
        <w:rFonts w:ascii="Arial" w:hAnsi="Arial" w:cs="Arial"/>
        <w:b/>
        <w:sz w:val="20"/>
        <w:szCs w:val="20"/>
      </w:rPr>
    </w:pPr>
  </w:p>
  <w:p w:rsidR="00DD312D" w:rsidRDefault="00DD312D" w:rsidP="00215D92">
    <w:pPr>
      <w:pStyle w:val="Footer"/>
    </w:pPr>
  </w:p>
  <w:p w:rsidR="00DD312D" w:rsidRPr="000730E2" w:rsidRDefault="00C8680C">
    <w:pPr>
      <w:pStyle w:val="Footer"/>
      <w:jc w:val="center"/>
      <w:rPr>
        <w:rFonts w:ascii="Arial" w:hAnsi="Arial" w:cs="Arial"/>
        <w:sz w:val="22"/>
        <w:szCs w:val="22"/>
      </w:rPr>
    </w:pPr>
    <w:sdt>
      <w:sdtPr>
        <w:id w:val="-935597683"/>
        <w:docPartObj>
          <w:docPartGallery w:val="Page Numbers (Bottom of Page)"/>
          <w:docPartUnique/>
        </w:docPartObj>
      </w:sdtPr>
      <w:sdtEndPr>
        <w:rPr>
          <w:rFonts w:ascii="Arial" w:hAnsi="Arial" w:cs="Arial"/>
          <w:noProof/>
          <w:sz w:val="22"/>
          <w:szCs w:val="22"/>
        </w:rPr>
      </w:sdtEndPr>
      <w:sdtContent>
        <w:r w:rsidR="00DD312D" w:rsidRPr="000730E2">
          <w:rPr>
            <w:rFonts w:ascii="Arial" w:hAnsi="Arial" w:cs="Arial"/>
            <w:sz w:val="22"/>
            <w:szCs w:val="22"/>
          </w:rPr>
          <w:fldChar w:fldCharType="begin"/>
        </w:r>
        <w:r w:rsidR="00DD312D" w:rsidRPr="000730E2">
          <w:rPr>
            <w:rFonts w:ascii="Arial" w:hAnsi="Arial" w:cs="Arial"/>
            <w:sz w:val="22"/>
            <w:szCs w:val="22"/>
          </w:rPr>
          <w:instrText xml:space="preserve"> PAGE   \* MERGEFORMAT </w:instrText>
        </w:r>
        <w:r w:rsidR="00DD312D" w:rsidRPr="000730E2">
          <w:rPr>
            <w:rFonts w:ascii="Arial" w:hAnsi="Arial" w:cs="Arial"/>
            <w:sz w:val="22"/>
            <w:szCs w:val="22"/>
          </w:rPr>
          <w:fldChar w:fldCharType="separate"/>
        </w:r>
        <w:r>
          <w:rPr>
            <w:rFonts w:ascii="Arial" w:hAnsi="Arial" w:cs="Arial"/>
            <w:noProof/>
            <w:sz w:val="22"/>
            <w:szCs w:val="22"/>
          </w:rPr>
          <w:t>4</w:t>
        </w:r>
        <w:r w:rsidR="00DD312D" w:rsidRPr="000730E2">
          <w:rPr>
            <w:rFonts w:ascii="Arial" w:hAnsi="Arial" w:cs="Arial"/>
            <w:noProof/>
            <w:sz w:val="22"/>
            <w:szCs w:val="22"/>
          </w:rPr>
          <w:fldChar w:fldCharType="end"/>
        </w:r>
      </w:sdtContent>
    </w:sdt>
  </w:p>
  <w:p w:rsidR="00DD312D" w:rsidRPr="008F1434" w:rsidRDefault="00DD312D" w:rsidP="00215D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D312D" w:rsidTr="00215D92">
      <w:trPr>
        <w:trHeight w:val="151"/>
      </w:trPr>
      <w:tc>
        <w:tcPr>
          <w:tcW w:w="2250" w:type="pct"/>
          <w:tcBorders>
            <w:top w:val="nil"/>
            <w:left w:val="nil"/>
            <w:bottom w:val="single" w:sz="4" w:space="0" w:color="4F81BD"/>
            <w:right w:val="nil"/>
          </w:tcBorders>
        </w:tcPr>
        <w:p w:rsidR="00DD312D" w:rsidRPr="005A3173" w:rsidRDefault="00DD312D" w:rsidP="00215D92">
          <w:pPr>
            <w:pStyle w:val="Header"/>
            <w:spacing w:line="276" w:lineRule="auto"/>
            <w:rPr>
              <w:rFonts w:ascii="Calibri" w:eastAsia="MS Gothic" w:hAnsi="Calibri"/>
              <w:b/>
              <w:bCs/>
              <w:color w:val="4F81BD"/>
            </w:rPr>
          </w:pPr>
        </w:p>
      </w:tc>
      <w:tc>
        <w:tcPr>
          <w:tcW w:w="500" w:type="pct"/>
          <w:vMerge w:val="restart"/>
          <w:noWrap/>
          <w:vAlign w:val="center"/>
          <w:hideMark/>
        </w:tcPr>
        <w:p w:rsidR="00DD312D" w:rsidRPr="005A3173" w:rsidRDefault="00DD312D" w:rsidP="00215D92">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312D" w:rsidRPr="005A3173" w:rsidRDefault="00DD312D" w:rsidP="00215D92">
          <w:pPr>
            <w:pStyle w:val="Header"/>
            <w:spacing w:line="276" w:lineRule="auto"/>
            <w:rPr>
              <w:rFonts w:ascii="Calibri" w:eastAsia="MS Gothic" w:hAnsi="Calibri"/>
              <w:b/>
              <w:bCs/>
              <w:color w:val="4F81BD"/>
            </w:rPr>
          </w:pPr>
        </w:p>
      </w:tc>
    </w:tr>
    <w:tr w:rsidR="00DD312D" w:rsidTr="00215D92">
      <w:trPr>
        <w:trHeight w:val="150"/>
      </w:trPr>
      <w:tc>
        <w:tcPr>
          <w:tcW w:w="2250" w:type="pct"/>
          <w:tcBorders>
            <w:top w:val="single" w:sz="4" w:space="0" w:color="4F81BD"/>
            <w:left w:val="nil"/>
            <w:bottom w:val="nil"/>
            <w:right w:val="nil"/>
          </w:tcBorders>
        </w:tcPr>
        <w:p w:rsidR="00DD312D" w:rsidRPr="005A3173" w:rsidRDefault="00DD312D" w:rsidP="00215D92">
          <w:pPr>
            <w:pStyle w:val="Header"/>
            <w:spacing w:line="276" w:lineRule="auto"/>
            <w:rPr>
              <w:rFonts w:ascii="Calibri" w:eastAsia="MS Gothic" w:hAnsi="Calibri"/>
              <w:b/>
              <w:bCs/>
              <w:color w:val="4F81BD"/>
            </w:rPr>
          </w:pPr>
        </w:p>
      </w:tc>
      <w:tc>
        <w:tcPr>
          <w:tcW w:w="0" w:type="auto"/>
          <w:vMerge/>
          <w:vAlign w:val="center"/>
          <w:hideMark/>
        </w:tcPr>
        <w:p w:rsidR="00DD312D" w:rsidRPr="005A3173" w:rsidRDefault="00DD312D" w:rsidP="00215D92">
          <w:pPr>
            <w:rPr>
              <w:rFonts w:ascii="Calibri" w:hAnsi="Calibri"/>
              <w:color w:val="365F91"/>
              <w:sz w:val="22"/>
              <w:szCs w:val="22"/>
            </w:rPr>
          </w:pPr>
        </w:p>
      </w:tc>
      <w:tc>
        <w:tcPr>
          <w:tcW w:w="2250" w:type="pct"/>
          <w:tcBorders>
            <w:top w:val="single" w:sz="4" w:space="0" w:color="4F81BD"/>
            <w:left w:val="nil"/>
            <w:bottom w:val="nil"/>
            <w:right w:val="nil"/>
          </w:tcBorders>
        </w:tcPr>
        <w:p w:rsidR="00DD312D" w:rsidRPr="005A3173" w:rsidRDefault="00DD312D" w:rsidP="00215D92">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D312D" w:rsidTr="00215D92">
      <w:trPr>
        <w:trHeight w:val="151"/>
      </w:trPr>
      <w:tc>
        <w:tcPr>
          <w:tcW w:w="2250" w:type="pct"/>
          <w:tcBorders>
            <w:top w:val="nil"/>
            <w:left w:val="nil"/>
            <w:bottom w:val="single" w:sz="4" w:space="0" w:color="4F81BD"/>
            <w:right w:val="nil"/>
          </w:tcBorders>
        </w:tcPr>
        <w:p w:rsidR="00DD312D" w:rsidRPr="005A3173" w:rsidRDefault="00DD312D" w:rsidP="00215D92">
          <w:pPr>
            <w:pStyle w:val="Header"/>
            <w:spacing w:line="276" w:lineRule="auto"/>
            <w:rPr>
              <w:rFonts w:ascii="Calibri" w:eastAsia="MS Gothic" w:hAnsi="Calibri"/>
              <w:b/>
              <w:bCs/>
              <w:color w:val="4F81BD"/>
            </w:rPr>
          </w:pPr>
        </w:p>
      </w:tc>
      <w:tc>
        <w:tcPr>
          <w:tcW w:w="500" w:type="pct"/>
          <w:vMerge w:val="restart"/>
          <w:noWrap/>
          <w:vAlign w:val="center"/>
          <w:hideMark/>
        </w:tcPr>
        <w:p w:rsidR="00DD312D" w:rsidRPr="005A3173" w:rsidRDefault="00DD312D" w:rsidP="00215D92">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312D" w:rsidRPr="005A3173" w:rsidRDefault="00DD312D" w:rsidP="00215D92">
          <w:pPr>
            <w:pStyle w:val="Header"/>
            <w:spacing w:line="276" w:lineRule="auto"/>
            <w:rPr>
              <w:rFonts w:ascii="Calibri" w:eastAsia="MS Gothic" w:hAnsi="Calibri"/>
              <w:b/>
              <w:bCs/>
              <w:color w:val="4F81BD"/>
            </w:rPr>
          </w:pPr>
        </w:p>
      </w:tc>
    </w:tr>
    <w:tr w:rsidR="00DD312D" w:rsidTr="00215D92">
      <w:trPr>
        <w:trHeight w:val="150"/>
      </w:trPr>
      <w:tc>
        <w:tcPr>
          <w:tcW w:w="2250" w:type="pct"/>
          <w:tcBorders>
            <w:top w:val="single" w:sz="4" w:space="0" w:color="4F81BD"/>
            <w:left w:val="nil"/>
            <w:bottom w:val="nil"/>
            <w:right w:val="nil"/>
          </w:tcBorders>
        </w:tcPr>
        <w:p w:rsidR="00DD312D" w:rsidRPr="005A3173" w:rsidRDefault="00DD312D" w:rsidP="00215D92">
          <w:pPr>
            <w:pStyle w:val="Header"/>
            <w:spacing w:line="276" w:lineRule="auto"/>
            <w:rPr>
              <w:rFonts w:ascii="Calibri" w:eastAsia="MS Gothic" w:hAnsi="Calibri"/>
              <w:b/>
              <w:bCs/>
              <w:color w:val="4F81BD"/>
            </w:rPr>
          </w:pPr>
        </w:p>
      </w:tc>
      <w:tc>
        <w:tcPr>
          <w:tcW w:w="0" w:type="auto"/>
          <w:vMerge/>
          <w:vAlign w:val="center"/>
          <w:hideMark/>
        </w:tcPr>
        <w:p w:rsidR="00DD312D" w:rsidRPr="005A3173" w:rsidRDefault="00DD312D" w:rsidP="00215D92">
          <w:pPr>
            <w:rPr>
              <w:rFonts w:ascii="Calibri" w:hAnsi="Calibri"/>
              <w:color w:val="365F91"/>
              <w:sz w:val="22"/>
              <w:szCs w:val="22"/>
            </w:rPr>
          </w:pPr>
        </w:p>
      </w:tc>
      <w:tc>
        <w:tcPr>
          <w:tcW w:w="2250" w:type="pct"/>
          <w:tcBorders>
            <w:top w:val="single" w:sz="4" w:space="0" w:color="4F81BD"/>
            <w:left w:val="nil"/>
            <w:bottom w:val="nil"/>
            <w:right w:val="nil"/>
          </w:tcBorders>
        </w:tcPr>
        <w:p w:rsidR="00DD312D" w:rsidRPr="005A3173" w:rsidRDefault="00DD312D" w:rsidP="00215D92">
          <w:pPr>
            <w:pStyle w:val="Header"/>
            <w:spacing w:line="276" w:lineRule="auto"/>
            <w:rPr>
              <w:rFonts w:ascii="Calibri" w:eastAsia="MS Gothic" w:hAnsi="Calibri"/>
              <w:b/>
              <w:bCs/>
              <w:color w:val="4F81BD"/>
            </w:rPr>
          </w:pPr>
        </w:p>
      </w:tc>
    </w:tr>
  </w:tbl>
  <w:p w:rsidR="00DD312D" w:rsidRPr="007C0F57" w:rsidRDefault="00DD312D" w:rsidP="00215D92">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D312D" w:rsidRPr="007C0F57" w:rsidRDefault="00DD312D" w:rsidP="00215D92">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80C" w:rsidRDefault="00C8680C" w:rsidP="002B7B5C">
      <w:r>
        <w:separator/>
      </w:r>
    </w:p>
  </w:footnote>
  <w:footnote w:type="continuationSeparator" w:id="0">
    <w:p w:rsidR="00C8680C" w:rsidRDefault="00C8680C" w:rsidP="002B7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D312D" w:rsidRPr="008E0D90" w:rsidTr="00215D92">
      <w:trPr>
        <w:trHeight w:val="151"/>
      </w:trPr>
      <w:tc>
        <w:tcPr>
          <w:tcW w:w="2389" w:type="pct"/>
          <w:tcBorders>
            <w:top w:val="nil"/>
            <w:left w:val="nil"/>
            <w:bottom w:val="single" w:sz="4" w:space="0" w:color="4F81BD"/>
            <w:right w:val="nil"/>
          </w:tcBorders>
        </w:tcPr>
        <w:p w:rsidR="00DD312D" w:rsidRPr="00A06225" w:rsidRDefault="00DD312D">
          <w:pPr>
            <w:pStyle w:val="Header"/>
            <w:spacing w:line="276" w:lineRule="auto"/>
            <w:rPr>
              <w:rFonts w:ascii="Cambria" w:eastAsia="MS Gothic" w:hAnsi="Cambria"/>
              <w:b/>
              <w:bCs/>
              <w:color w:val="4F81BD"/>
            </w:rPr>
          </w:pPr>
        </w:p>
      </w:tc>
      <w:tc>
        <w:tcPr>
          <w:tcW w:w="333" w:type="pct"/>
          <w:vMerge w:val="restart"/>
          <w:noWrap/>
          <w:vAlign w:val="center"/>
          <w:hideMark/>
        </w:tcPr>
        <w:p w:rsidR="00DD312D" w:rsidRPr="00A06225" w:rsidRDefault="00DD312D" w:rsidP="00215D92">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D312D" w:rsidRPr="00A06225" w:rsidRDefault="00DD312D">
          <w:pPr>
            <w:pStyle w:val="Header"/>
            <w:spacing w:line="276" w:lineRule="auto"/>
            <w:rPr>
              <w:rFonts w:ascii="Cambria" w:eastAsia="MS Gothic" w:hAnsi="Cambria"/>
              <w:b/>
              <w:bCs/>
              <w:color w:val="4F81BD"/>
            </w:rPr>
          </w:pPr>
        </w:p>
      </w:tc>
    </w:tr>
    <w:tr w:rsidR="00DD312D" w:rsidRPr="008E0D90" w:rsidTr="00215D92">
      <w:trPr>
        <w:trHeight w:val="150"/>
      </w:trPr>
      <w:tc>
        <w:tcPr>
          <w:tcW w:w="2389" w:type="pct"/>
          <w:tcBorders>
            <w:top w:val="single" w:sz="4" w:space="0" w:color="4F81BD"/>
            <w:left w:val="nil"/>
            <w:bottom w:val="nil"/>
            <w:right w:val="nil"/>
          </w:tcBorders>
        </w:tcPr>
        <w:p w:rsidR="00DD312D" w:rsidRPr="00A06225" w:rsidRDefault="00DD312D">
          <w:pPr>
            <w:pStyle w:val="Header"/>
            <w:spacing w:line="276" w:lineRule="auto"/>
            <w:rPr>
              <w:rFonts w:ascii="Cambria" w:eastAsia="MS Gothic" w:hAnsi="Cambria"/>
              <w:b/>
              <w:bCs/>
              <w:color w:val="4F81BD"/>
            </w:rPr>
          </w:pPr>
        </w:p>
      </w:tc>
      <w:tc>
        <w:tcPr>
          <w:tcW w:w="0" w:type="auto"/>
          <w:vMerge/>
          <w:vAlign w:val="center"/>
          <w:hideMark/>
        </w:tcPr>
        <w:p w:rsidR="00DD312D" w:rsidRPr="00A06225" w:rsidRDefault="00DD312D">
          <w:pPr>
            <w:rPr>
              <w:rFonts w:ascii="Cambria" w:hAnsi="Cambria"/>
              <w:color w:val="4F81BD"/>
              <w:sz w:val="22"/>
              <w:szCs w:val="22"/>
            </w:rPr>
          </w:pPr>
        </w:p>
      </w:tc>
      <w:tc>
        <w:tcPr>
          <w:tcW w:w="2278" w:type="pct"/>
          <w:tcBorders>
            <w:top w:val="single" w:sz="4" w:space="0" w:color="4F81BD"/>
            <w:left w:val="nil"/>
            <w:bottom w:val="nil"/>
            <w:right w:val="nil"/>
          </w:tcBorders>
        </w:tcPr>
        <w:p w:rsidR="00DD312D" w:rsidRPr="00A06225" w:rsidRDefault="00DD312D">
          <w:pPr>
            <w:pStyle w:val="Header"/>
            <w:spacing w:line="276" w:lineRule="auto"/>
            <w:rPr>
              <w:rFonts w:ascii="Cambria" w:eastAsia="MS Gothic" w:hAnsi="Cambria"/>
              <w:b/>
              <w:bCs/>
              <w:color w:val="4F81BD"/>
            </w:rPr>
          </w:pPr>
        </w:p>
      </w:tc>
    </w:tr>
  </w:tbl>
  <w:p w:rsidR="00DD312D" w:rsidRDefault="00DD31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12D" w:rsidRPr="001E60E7" w:rsidRDefault="00DD312D" w:rsidP="001E60E7">
    <w:pPr>
      <w:widowControl w:val="0"/>
      <w:tabs>
        <w:tab w:val="center" w:pos="4513"/>
        <w:tab w:val="right" w:pos="9026"/>
      </w:tabs>
      <w:jc w:val="center"/>
      <w:rPr>
        <w:rFonts w:ascii="Arial" w:hAnsi="Arial" w:cs="Arial"/>
        <w:i/>
        <w:snapToGrid w:val="0"/>
        <w:color w:val="808080"/>
        <w:sz w:val="22"/>
        <w:szCs w:val="20"/>
        <w:lang w:eastAsia="en-US"/>
      </w:rPr>
    </w:pPr>
    <w:r>
      <w:rPr>
        <w:rFonts w:ascii="Arial" w:hAnsi="Arial" w:cs="Arial"/>
        <w:i/>
        <w:snapToGrid w:val="0"/>
        <w:color w:val="808080"/>
        <w:sz w:val="22"/>
        <w:szCs w:val="20"/>
        <w:lang w:eastAsia="en-US"/>
      </w:rPr>
      <w:t>Public Summary Document</w:t>
    </w:r>
    <w:r w:rsidRPr="001E60E7">
      <w:rPr>
        <w:rFonts w:ascii="Arial" w:hAnsi="Arial" w:cs="Arial"/>
        <w:i/>
        <w:snapToGrid w:val="0"/>
        <w:color w:val="808080"/>
        <w:sz w:val="22"/>
        <w:szCs w:val="20"/>
        <w:lang w:eastAsia="en-US"/>
      </w:rPr>
      <w:t xml:space="preserve"> – </w:t>
    </w:r>
    <w:r>
      <w:rPr>
        <w:rFonts w:ascii="Arial" w:hAnsi="Arial" w:cs="Arial"/>
        <w:i/>
        <w:snapToGrid w:val="0"/>
        <w:color w:val="808080"/>
        <w:sz w:val="22"/>
        <w:szCs w:val="20"/>
        <w:lang w:eastAsia="en-US"/>
      </w:rPr>
      <w:t>March 2015</w:t>
    </w:r>
    <w:r w:rsidRPr="001E60E7">
      <w:rPr>
        <w:rFonts w:ascii="Arial" w:hAnsi="Arial" w:cs="Arial"/>
        <w:i/>
        <w:snapToGrid w:val="0"/>
        <w:color w:val="808080"/>
        <w:sz w:val="22"/>
        <w:szCs w:val="20"/>
        <w:lang w:eastAsia="en-US"/>
      </w:rPr>
      <w:t xml:space="preserve"> PBAC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3133197"/>
    <w:multiLevelType w:val="hybridMultilevel"/>
    <w:tmpl w:val="33325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4D0317"/>
    <w:multiLevelType w:val="hybridMultilevel"/>
    <w:tmpl w:val="62FE2BF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4C35D3"/>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0627F86"/>
    <w:multiLevelType w:val="hybridMultilevel"/>
    <w:tmpl w:val="118453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59BC5196"/>
    <w:multiLevelType w:val="multilevel"/>
    <w:tmpl w:val="1A5A6980"/>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5082FD3"/>
    <w:multiLevelType w:val="hybridMultilevel"/>
    <w:tmpl w:val="E052580A"/>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18">
    <w:nsid w:val="784D033C"/>
    <w:multiLevelType w:val="multilevel"/>
    <w:tmpl w:val="97D41AC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7"/>
  </w:num>
  <w:num w:numId="3">
    <w:abstractNumId w:val="12"/>
  </w:num>
  <w:num w:numId="4">
    <w:abstractNumId w:val="0"/>
  </w:num>
  <w:num w:numId="5">
    <w:abstractNumId w:val="4"/>
  </w:num>
  <w:num w:numId="6">
    <w:abstractNumId w:val="9"/>
  </w:num>
  <w:num w:numId="7">
    <w:abstractNumId w:val="3"/>
  </w:num>
  <w:num w:numId="8">
    <w:abstractNumId w:val="13"/>
  </w:num>
  <w:num w:numId="9">
    <w:abstractNumId w:val="18"/>
  </w:num>
  <w:num w:numId="10">
    <w:abstractNumId w:val="15"/>
  </w:num>
  <w:num w:numId="11">
    <w:abstractNumId w:val="5"/>
  </w:num>
  <w:num w:numId="12">
    <w:abstractNumId w:val="10"/>
  </w:num>
  <w:num w:numId="13">
    <w:abstractNumId w:val="2"/>
  </w:num>
  <w:num w:numId="14">
    <w:abstractNumId w:val="8"/>
  </w:num>
  <w:num w:numId="15">
    <w:abstractNumId w:val="14"/>
  </w:num>
  <w:num w:numId="16">
    <w:abstractNumId w:val="16"/>
  </w:num>
  <w:num w:numId="17">
    <w:abstractNumId w:val="1"/>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1DB"/>
    <w:rsid w:val="00003743"/>
    <w:rsid w:val="0000517E"/>
    <w:rsid w:val="00013644"/>
    <w:rsid w:val="000433CC"/>
    <w:rsid w:val="00043458"/>
    <w:rsid w:val="00045E5C"/>
    <w:rsid w:val="0004630D"/>
    <w:rsid w:val="00052704"/>
    <w:rsid w:val="00056DFC"/>
    <w:rsid w:val="00067456"/>
    <w:rsid w:val="00071C25"/>
    <w:rsid w:val="000730E2"/>
    <w:rsid w:val="00090060"/>
    <w:rsid w:val="000A4D64"/>
    <w:rsid w:val="000B1C3A"/>
    <w:rsid w:val="000F5241"/>
    <w:rsid w:val="00137AD8"/>
    <w:rsid w:val="0014088D"/>
    <w:rsid w:val="00142CFD"/>
    <w:rsid w:val="00156B28"/>
    <w:rsid w:val="001650E6"/>
    <w:rsid w:val="001849D4"/>
    <w:rsid w:val="00185693"/>
    <w:rsid w:val="0019334B"/>
    <w:rsid w:val="001B0215"/>
    <w:rsid w:val="001B3443"/>
    <w:rsid w:val="001D5995"/>
    <w:rsid w:val="001D5F9C"/>
    <w:rsid w:val="001E2137"/>
    <w:rsid w:val="001E60E7"/>
    <w:rsid w:val="001F6682"/>
    <w:rsid w:val="0020414F"/>
    <w:rsid w:val="00207E93"/>
    <w:rsid w:val="00215D92"/>
    <w:rsid w:val="0027535A"/>
    <w:rsid w:val="002B76E8"/>
    <w:rsid w:val="002B7B5C"/>
    <w:rsid w:val="002D080F"/>
    <w:rsid w:val="002D0C09"/>
    <w:rsid w:val="002E7A2C"/>
    <w:rsid w:val="00300404"/>
    <w:rsid w:val="00300CE8"/>
    <w:rsid w:val="0030230D"/>
    <w:rsid w:val="0030786C"/>
    <w:rsid w:val="00313209"/>
    <w:rsid w:val="00320F3F"/>
    <w:rsid w:val="00322A22"/>
    <w:rsid w:val="0032366A"/>
    <w:rsid w:val="00325FFE"/>
    <w:rsid w:val="00330A58"/>
    <w:rsid w:val="0033363A"/>
    <w:rsid w:val="00356367"/>
    <w:rsid w:val="0035736A"/>
    <w:rsid w:val="00365426"/>
    <w:rsid w:val="00370D2A"/>
    <w:rsid w:val="00377B68"/>
    <w:rsid w:val="00393994"/>
    <w:rsid w:val="003A1F03"/>
    <w:rsid w:val="003B62B0"/>
    <w:rsid w:val="003D17F9"/>
    <w:rsid w:val="003E2981"/>
    <w:rsid w:val="003E3F09"/>
    <w:rsid w:val="00415BD9"/>
    <w:rsid w:val="0042295C"/>
    <w:rsid w:val="004412AD"/>
    <w:rsid w:val="00445520"/>
    <w:rsid w:val="00447C99"/>
    <w:rsid w:val="0046348D"/>
    <w:rsid w:val="004867E2"/>
    <w:rsid w:val="004A44D5"/>
    <w:rsid w:val="004D0B68"/>
    <w:rsid w:val="004D4AD8"/>
    <w:rsid w:val="004E31B5"/>
    <w:rsid w:val="004F3C09"/>
    <w:rsid w:val="0050138B"/>
    <w:rsid w:val="0054088E"/>
    <w:rsid w:val="00541558"/>
    <w:rsid w:val="005B3BAD"/>
    <w:rsid w:val="005C756E"/>
    <w:rsid w:val="005D5ED3"/>
    <w:rsid w:val="005D6AC7"/>
    <w:rsid w:val="006563A0"/>
    <w:rsid w:val="006679FD"/>
    <w:rsid w:val="006709DE"/>
    <w:rsid w:val="00672761"/>
    <w:rsid w:val="00674979"/>
    <w:rsid w:val="0067734B"/>
    <w:rsid w:val="006B434C"/>
    <w:rsid w:val="006C5841"/>
    <w:rsid w:val="006D1FEB"/>
    <w:rsid w:val="006D560B"/>
    <w:rsid w:val="006D7CE0"/>
    <w:rsid w:val="007125C6"/>
    <w:rsid w:val="00726CF9"/>
    <w:rsid w:val="0073726E"/>
    <w:rsid w:val="00743440"/>
    <w:rsid w:val="00764B2E"/>
    <w:rsid w:val="0077267E"/>
    <w:rsid w:val="00781CC0"/>
    <w:rsid w:val="00793267"/>
    <w:rsid w:val="007A03BF"/>
    <w:rsid w:val="007B3AB8"/>
    <w:rsid w:val="007B6496"/>
    <w:rsid w:val="007C34B9"/>
    <w:rsid w:val="007D4701"/>
    <w:rsid w:val="00802547"/>
    <w:rsid w:val="0081512E"/>
    <w:rsid w:val="00816957"/>
    <w:rsid w:val="008201AD"/>
    <w:rsid w:val="008249B6"/>
    <w:rsid w:val="008264EB"/>
    <w:rsid w:val="00830EB7"/>
    <w:rsid w:val="00857340"/>
    <w:rsid w:val="00872EDF"/>
    <w:rsid w:val="0089589E"/>
    <w:rsid w:val="008C0FCF"/>
    <w:rsid w:val="008E10FF"/>
    <w:rsid w:val="008E3AFB"/>
    <w:rsid w:val="00905A55"/>
    <w:rsid w:val="0091590C"/>
    <w:rsid w:val="009225FA"/>
    <w:rsid w:val="009A2550"/>
    <w:rsid w:val="009C18C7"/>
    <w:rsid w:val="009D5B99"/>
    <w:rsid w:val="009E1273"/>
    <w:rsid w:val="009E3939"/>
    <w:rsid w:val="00A01B9E"/>
    <w:rsid w:val="00A33FEE"/>
    <w:rsid w:val="00A43E17"/>
    <w:rsid w:val="00A4512D"/>
    <w:rsid w:val="00A45512"/>
    <w:rsid w:val="00A57A52"/>
    <w:rsid w:val="00A705AF"/>
    <w:rsid w:val="00A7308E"/>
    <w:rsid w:val="00AC50B1"/>
    <w:rsid w:val="00AE58E3"/>
    <w:rsid w:val="00AE7661"/>
    <w:rsid w:val="00AF3EB3"/>
    <w:rsid w:val="00B15EB7"/>
    <w:rsid w:val="00B17683"/>
    <w:rsid w:val="00B345BF"/>
    <w:rsid w:val="00B413DC"/>
    <w:rsid w:val="00B42851"/>
    <w:rsid w:val="00B53833"/>
    <w:rsid w:val="00B75336"/>
    <w:rsid w:val="00B76F2D"/>
    <w:rsid w:val="00B81EFE"/>
    <w:rsid w:val="00B838F8"/>
    <w:rsid w:val="00B83C93"/>
    <w:rsid w:val="00B871CE"/>
    <w:rsid w:val="00B96681"/>
    <w:rsid w:val="00BA2A52"/>
    <w:rsid w:val="00BB268F"/>
    <w:rsid w:val="00BC5A44"/>
    <w:rsid w:val="00BD1DCB"/>
    <w:rsid w:val="00BD417F"/>
    <w:rsid w:val="00C038C9"/>
    <w:rsid w:val="00C31FAA"/>
    <w:rsid w:val="00C7741E"/>
    <w:rsid w:val="00C8012A"/>
    <w:rsid w:val="00C8217F"/>
    <w:rsid w:val="00C8680C"/>
    <w:rsid w:val="00C957B3"/>
    <w:rsid w:val="00CB5B1A"/>
    <w:rsid w:val="00CB6B78"/>
    <w:rsid w:val="00CD578D"/>
    <w:rsid w:val="00CE4168"/>
    <w:rsid w:val="00CE704F"/>
    <w:rsid w:val="00CF2F78"/>
    <w:rsid w:val="00D1622D"/>
    <w:rsid w:val="00D22416"/>
    <w:rsid w:val="00D26BC9"/>
    <w:rsid w:val="00D34271"/>
    <w:rsid w:val="00D35ED6"/>
    <w:rsid w:val="00D47C30"/>
    <w:rsid w:val="00D84B70"/>
    <w:rsid w:val="00D85A5D"/>
    <w:rsid w:val="00D87457"/>
    <w:rsid w:val="00D93279"/>
    <w:rsid w:val="00DA2501"/>
    <w:rsid w:val="00DD312D"/>
    <w:rsid w:val="00DD6333"/>
    <w:rsid w:val="00DE5A68"/>
    <w:rsid w:val="00E37125"/>
    <w:rsid w:val="00E410C9"/>
    <w:rsid w:val="00E41695"/>
    <w:rsid w:val="00E50A89"/>
    <w:rsid w:val="00E55738"/>
    <w:rsid w:val="00E870C8"/>
    <w:rsid w:val="00E950FD"/>
    <w:rsid w:val="00E967BC"/>
    <w:rsid w:val="00EA0B9E"/>
    <w:rsid w:val="00EB3714"/>
    <w:rsid w:val="00EC2B10"/>
    <w:rsid w:val="00EE1596"/>
    <w:rsid w:val="00EF342B"/>
    <w:rsid w:val="00F147D0"/>
    <w:rsid w:val="00F14DF5"/>
    <w:rsid w:val="00F20355"/>
    <w:rsid w:val="00F421DB"/>
    <w:rsid w:val="00F42D85"/>
    <w:rsid w:val="00F471EC"/>
    <w:rsid w:val="00F62952"/>
    <w:rsid w:val="00FA04DB"/>
    <w:rsid w:val="00FA0E73"/>
    <w:rsid w:val="00FC3820"/>
    <w:rsid w:val="00FD2C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1DB"/>
    <w:rPr>
      <w:sz w:val="24"/>
      <w:szCs w:val="24"/>
    </w:rPr>
  </w:style>
  <w:style w:type="paragraph" w:styleId="Heading1">
    <w:name w:val="heading 1"/>
    <w:basedOn w:val="Normal"/>
    <w:next w:val="Normal"/>
    <w:qFormat/>
    <w:rsid w:val="00C8217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C8217F"/>
    <w:pPr>
      <w:keepNext/>
      <w:spacing w:before="240" w:after="60"/>
      <w:outlineLvl w:val="1"/>
    </w:pPr>
    <w:rPr>
      <w:rFonts w:ascii="Arial" w:hAnsi="Arial" w:cs="Arial"/>
      <w:b/>
      <w:bCs/>
      <w:i/>
      <w:iCs/>
      <w:szCs w:val="28"/>
    </w:rPr>
  </w:style>
  <w:style w:type="paragraph" w:styleId="Heading3">
    <w:name w:val="heading 3"/>
    <w:basedOn w:val="Normal"/>
    <w:next w:val="Normal"/>
    <w:qFormat/>
    <w:rsid w:val="00C8217F"/>
    <w:pPr>
      <w:keepNext/>
      <w:spacing w:before="240" w:after="60"/>
      <w:outlineLvl w:val="2"/>
    </w:pPr>
    <w:rPr>
      <w:rFonts w:ascii="Arial" w:hAnsi="Arial" w:cs="Arial"/>
      <w:bCs/>
      <w:szCs w:val="26"/>
    </w:rPr>
  </w:style>
  <w:style w:type="paragraph" w:styleId="Heading4">
    <w:name w:val="heading 4"/>
    <w:basedOn w:val="Normal"/>
    <w:next w:val="Normal"/>
    <w:qFormat/>
    <w:rsid w:val="00C8217F"/>
    <w:pPr>
      <w:keepNext/>
      <w:spacing w:before="240" w:after="60"/>
      <w:outlineLvl w:val="3"/>
    </w:pPr>
    <w:rPr>
      <w:rFonts w:ascii="Arial" w:hAnsi="Arial"/>
      <w:bCs/>
      <w:sz w:val="28"/>
      <w:szCs w:val="28"/>
    </w:rPr>
  </w:style>
  <w:style w:type="paragraph" w:styleId="Heading5">
    <w:name w:val="heading 5"/>
    <w:basedOn w:val="Normal"/>
    <w:next w:val="Normal"/>
    <w:qFormat/>
    <w:rsid w:val="00C8217F"/>
    <w:pPr>
      <w:keepNext/>
      <w:spacing w:before="240" w:after="60"/>
      <w:outlineLvl w:val="4"/>
    </w:pPr>
    <w:rPr>
      <w:b/>
      <w:bCs/>
      <w:iCs/>
      <w:szCs w:val="26"/>
    </w:rPr>
  </w:style>
  <w:style w:type="paragraph" w:styleId="Heading6">
    <w:name w:val="heading 6"/>
    <w:basedOn w:val="Normal"/>
    <w:next w:val="Normal"/>
    <w:qFormat/>
    <w:rsid w:val="00C8217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8217F"/>
    <w:rPr>
      <w:i/>
      <w:iCs/>
    </w:rPr>
  </w:style>
  <w:style w:type="character" w:styleId="Strong">
    <w:name w:val="Strong"/>
    <w:basedOn w:val="DefaultParagraphFont"/>
    <w:qFormat/>
    <w:rsid w:val="00C8217F"/>
    <w:rPr>
      <w:b/>
      <w:bCs/>
    </w:rPr>
  </w:style>
  <w:style w:type="paragraph" w:styleId="Subtitle">
    <w:name w:val="Subtitle"/>
    <w:basedOn w:val="Normal"/>
    <w:next w:val="Normal"/>
    <w:link w:val="SubtitleChar"/>
    <w:qFormat/>
    <w:rsid w:val="00C8217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C8217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57A52"/>
    <w:pPr>
      <w:ind w:left="720" w:hanging="720"/>
    </w:pPr>
    <w:rPr>
      <w:rFonts w:ascii="Arial" w:hAnsi="Arial"/>
      <w:b/>
      <w:sz w:val="28"/>
      <w:szCs w:val="28"/>
    </w:rPr>
  </w:style>
  <w:style w:type="character" w:customStyle="1" w:styleId="TitleChar">
    <w:name w:val="Title Char"/>
    <w:basedOn w:val="DefaultParagraphFont"/>
    <w:link w:val="Title"/>
    <w:rsid w:val="00A57A52"/>
    <w:rPr>
      <w:rFonts w:ascii="Arial" w:hAnsi="Arial"/>
      <w:b/>
      <w:sz w:val="28"/>
      <w:szCs w:val="28"/>
    </w:rPr>
  </w:style>
  <w:style w:type="paragraph" w:styleId="NoSpacing">
    <w:name w:val="No Spacing"/>
    <w:uiPriority w:val="1"/>
    <w:qFormat/>
    <w:rsid w:val="00C8217F"/>
    <w:rPr>
      <w:sz w:val="24"/>
      <w:szCs w:val="24"/>
      <w:lang w:eastAsia="en-US"/>
    </w:rPr>
  </w:style>
  <w:style w:type="character" w:styleId="SubtleEmphasis">
    <w:name w:val="Subtle Emphasis"/>
    <w:basedOn w:val="DefaultParagraphFont"/>
    <w:uiPriority w:val="19"/>
    <w:qFormat/>
    <w:rsid w:val="00C8217F"/>
    <w:rPr>
      <w:i/>
      <w:iCs/>
      <w:color w:val="808080" w:themeColor="text1" w:themeTint="7F"/>
    </w:rPr>
  </w:style>
  <w:style w:type="character" w:styleId="IntenseEmphasis">
    <w:name w:val="Intense Emphasis"/>
    <w:basedOn w:val="DefaultParagraphFont"/>
    <w:uiPriority w:val="21"/>
    <w:qFormat/>
    <w:rsid w:val="00C8217F"/>
    <w:rPr>
      <w:b/>
      <w:bCs/>
      <w:i/>
      <w:iCs/>
      <w:color w:val="4F81BD" w:themeColor="accent1"/>
    </w:rPr>
  </w:style>
  <w:style w:type="paragraph" w:styleId="Quote">
    <w:name w:val="Quote"/>
    <w:basedOn w:val="Normal"/>
    <w:next w:val="Normal"/>
    <w:link w:val="QuoteChar"/>
    <w:uiPriority w:val="29"/>
    <w:qFormat/>
    <w:rsid w:val="00C8217F"/>
    <w:rPr>
      <w:i/>
      <w:iCs/>
      <w:color w:val="000000" w:themeColor="text1"/>
    </w:rPr>
  </w:style>
  <w:style w:type="character" w:customStyle="1" w:styleId="QuoteChar">
    <w:name w:val="Quote Char"/>
    <w:basedOn w:val="DefaultParagraphFont"/>
    <w:link w:val="Quote"/>
    <w:uiPriority w:val="29"/>
    <w:rsid w:val="00C8217F"/>
    <w:rPr>
      <w:i/>
      <w:iCs/>
      <w:color w:val="000000" w:themeColor="text1"/>
      <w:sz w:val="24"/>
      <w:szCs w:val="24"/>
      <w:lang w:eastAsia="en-US"/>
    </w:rPr>
  </w:style>
  <w:style w:type="paragraph" w:styleId="IntenseQuote">
    <w:name w:val="Intense Quote"/>
    <w:basedOn w:val="Normal"/>
    <w:next w:val="Normal"/>
    <w:link w:val="IntenseQuoteChar"/>
    <w:uiPriority w:val="30"/>
    <w:qFormat/>
    <w:rsid w:val="00C8217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8217F"/>
    <w:rPr>
      <w:b/>
      <w:bCs/>
      <w:i/>
      <w:iCs/>
      <w:color w:val="4F81BD" w:themeColor="accent1"/>
      <w:sz w:val="24"/>
      <w:szCs w:val="24"/>
      <w:lang w:eastAsia="en-US"/>
    </w:rPr>
  </w:style>
  <w:style w:type="character" w:styleId="SubtleReference">
    <w:name w:val="Subtle Reference"/>
    <w:basedOn w:val="DefaultParagraphFont"/>
    <w:uiPriority w:val="31"/>
    <w:qFormat/>
    <w:rsid w:val="00C8217F"/>
    <w:rPr>
      <w:smallCaps/>
      <w:color w:val="C0504D" w:themeColor="accent2"/>
      <w:u w:val="single"/>
    </w:rPr>
  </w:style>
  <w:style w:type="character" w:styleId="IntenseReference">
    <w:name w:val="Intense Reference"/>
    <w:basedOn w:val="DefaultParagraphFont"/>
    <w:uiPriority w:val="32"/>
    <w:qFormat/>
    <w:rsid w:val="00C8217F"/>
    <w:rPr>
      <w:b/>
      <w:bCs/>
      <w:i/>
      <w:smallCaps/>
      <w:color w:val="C0504D" w:themeColor="accent2"/>
      <w:spacing w:val="5"/>
      <w:u w:val="none"/>
    </w:rPr>
  </w:style>
  <w:style w:type="character" w:styleId="BookTitle">
    <w:name w:val="Book Title"/>
    <w:basedOn w:val="DefaultParagraphFont"/>
    <w:uiPriority w:val="33"/>
    <w:qFormat/>
    <w:rsid w:val="00C8217F"/>
    <w:rPr>
      <w:b/>
      <w:bCs/>
      <w:smallCaps/>
      <w:spacing w:val="5"/>
    </w:rPr>
  </w:style>
  <w:style w:type="paragraph" w:styleId="ListParagraph">
    <w:name w:val="List Paragraph"/>
    <w:basedOn w:val="Normal"/>
    <w:link w:val="ListParagraphChar"/>
    <w:uiPriority w:val="72"/>
    <w:qFormat/>
    <w:rsid w:val="00C8217F"/>
    <w:pPr>
      <w:ind w:left="720"/>
      <w:contextualSpacing/>
    </w:pPr>
  </w:style>
  <w:style w:type="paragraph" w:styleId="Header">
    <w:name w:val="header"/>
    <w:aliases w:val="Page Header,Header title,he=header,cntr/bld"/>
    <w:basedOn w:val="Normal"/>
    <w:link w:val="HeaderChar"/>
    <w:uiPriority w:val="99"/>
    <w:rsid w:val="00F421DB"/>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F421DB"/>
    <w:rPr>
      <w:sz w:val="24"/>
      <w:szCs w:val="24"/>
    </w:rPr>
  </w:style>
  <w:style w:type="paragraph" w:styleId="Footer">
    <w:name w:val="footer"/>
    <w:basedOn w:val="Normal"/>
    <w:link w:val="FooterChar"/>
    <w:uiPriority w:val="99"/>
    <w:rsid w:val="00F421DB"/>
    <w:pPr>
      <w:tabs>
        <w:tab w:val="center" w:pos="4153"/>
        <w:tab w:val="right" w:pos="8306"/>
      </w:tabs>
    </w:pPr>
  </w:style>
  <w:style w:type="character" w:customStyle="1" w:styleId="FooterChar">
    <w:name w:val="Footer Char"/>
    <w:basedOn w:val="DefaultParagraphFont"/>
    <w:link w:val="Footer"/>
    <w:uiPriority w:val="99"/>
    <w:rsid w:val="00F421DB"/>
    <w:rPr>
      <w:sz w:val="24"/>
      <w:szCs w:val="24"/>
    </w:rPr>
  </w:style>
  <w:style w:type="character" w:styleId="PageNumber">
    <w:name w:val="page number"/>
    <w:basedOn w:val="DefaultParagraphFont"/>
    <w:rsid w:val="00F421DB"/>
  </w:style>
  <w:style w:type="paragraph" w:customStyle="1" w:styleId="MediumGrid21">
    <w:name w:val="Medium Grid 21"/>
    <w:link w:val="MediumGrid2Char"/>
    <w:qFormat/>
    <w:rsid w:val="00F421DB"/>
    <w:rPr>
      <w:rFonts w:ascii="PMingLiU" w:eastAsia="MS Mincho" w:hAnsi="PMingLiU"/>
      <w:sz w:val="22"/>
      <w:szCs w:val="22"/>
      <w:lang w:val="en-US" w:eastAsia="en-US"/>
    </w:rPr>
  </w:style>
  <w:style w:type="character" w:customStyle="1" w:styleId="MediumGrid2Char">
    <w:name w:val="Medium Grid 2 Char"/>
    <w:link w:val="MediumGrid21"/>
    <w:rsid w:val="00F421DB"/>
    <w:rPr>
      <w:rFonts w:ascii="PMingLiU" w:eastAsia="MS Mincho" w:hAnsi="PMingLiU"/>
      <w:sz w:val="22"/>
      <w:szCs w:val="22"/>
      <w:lang w:val="en-US" w:eastAsia="en-US"/>
    </w:rPr>
  </w:style>
  <w:style w:type="character" w:styleId="CommentReference">
    <w:name w:val="annotation reference"/>
    <w:aliases w:val="Table Title"/>
    <w:basedOn w:val="DefaultParagraphFont"/>
    <w:uiPriority w:val="99"/>
    <w:qFormat/>
    <w:rsid w:val="00F421DB"/>
    <w:rPr>
      <w:sz w:val="16"/>
      <w:szCs w:val="16"/>
    </w:rPr>
  </w:style>
  <w:style w:type="paragraph" w:styleId="CommentText">
    <w:name w:val="annotation text"/>
    <w:basedOn w:val="Normal"/>
    <w:link w:val="CommentTextChar"/>
    <w:rsid w:val="00F421DB"/>
    <w:rPr>
      <w:sz w:val="20"/>
      <w:szCs w:val="20"/>
    </w:rPr>
  </w:style>
  <w:style w:type="character" w:customStyle="1" w:styleId="CommentTextChar">
    <w:name w:val="Comment Text Char"/>
    <w:basedOn w:val="DefaultParagraphFont"/>
    <w:link w:val="CommentText"/>
    <w:rsid w:val="00F421DB"/>
  </w:style>
  <w:style w:type="paragraph" w:customStyle="1" w:styleId="tablenotes">
    <w:name w:val="table notes"/>
    <w:basedOn w:val="BodyText2"/>
    <w:qFormat/>
    <w:rsid w:val="00F421DB"/>
    <w:pPr>
      <w:widowControl w:val="0"/>
      <w:spacing w:after="0" w:line="240" w:lineRule="auto"/>
      <w:jc w:val="both"/>
    </w:pPr>
    <w:rPr>
      <w:rFonts w:ascii="Arial" w:hAnsi="Arial"/>
      <w:snapToGrid w:val="0"/>
      <w:sz w:val="20"/>
      <w:szCs w:val="20"/>
      <w:lang w:eastAsia="en-US"/>
    </w:rPr>
  </w:style>
  <w:style w:type="paragraph" w:styleId="BodyText2">
    <w:name w:val="Body Text 2"/>
    <w:basedOn w:val="Normal"/>
    <w:link w:val="BodyText2Char"/>
    <w:rsid w:val="00F421DB"/>
    <w:pPr>
      <w:spacing w:after="120" w:line="480" w:lineRule="auto"/>
    </w:pPr>
  </w:style>
  <w:style w:type="character" w:customStyle="1" w:styleId="BodyText2Char">
    <w:name w:val="Body Text 2 Char"/>
    <w:basedOn w:val="DefaultParagraphFont"/>
    <w:link w:val="BodyText2"/>
    <w:rsid w:val="00F421DB"/>
    <w:rPr>
      <w:sz w:val="24"/>
      <w:szCs w:val="24"/>
    </w:rPr>
  </w:style>
  <w:style w:type="paragraph" w:styleId="BalloonText">
    <w:name w:val="Balloon Text"/>
    <w:basedOn w:val="Normal"/>
    <w:link w:val="BalloonTextChar"/>
    <w:rsid w:val="00F421DB"/>
    <w:rPr>
      <w:rFonts w:ascii="Tahoma" w:hAnsi="Tahoma" w:cs="Tahoma"/>
      <w:sz w:val="16"/>
      <w:szCs w:val="16"/>
    </w:rPr>
  </w:style>
  <w:style w:type="character" w:customStyle="1" w:styleId="BalloonTextChar">
    <w:name w:val="Balloon Text Char"/>
    <w:basedOn w:val="DefaultParagraphFont"/>
    <w:link w:val="BalloonText"/>
    <w:rsid w:val="00F421DB"/>
    <w:rPr>
      <w:rFonts w:ascii="Tahoma" w:hAnsi="Tahoma" w:cs="Tahoma"/>
      <w:sz w:val="16"/>
      <w:szCs w:val="16"/>
    </w:rPr>
  </w:style>
  <w:style w:type="table" w:styleId="TableGrid">
    <w:name w:val="Table Grid"/>
    <w:basedOn w:val="TableNormal"/>
    <w:rsid w:val="00C9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125C6"/>
    <w:rPr>
      <w:b/>
      <w:bCs/>
    </w:rPr>
  </w:style>
  <w:style w:type="character" w:customStyle="1" w:styleId="CommentSubjectChar">
    <w:name w:val="Comment Subject Char"/>
    <w:basedOn w:val="CommentTextChar"/>
    <w:link w:val="CommentSubject"/>
    <w:rsid w:val="007125C6"/>
    <w:rPr>
      <w:b/>
      <w:bCs/>
    </w:rPr>
  </w:style>
  <w:style w:type="paragraph" w:styleId="Revision">
    <w:name w:val="Revision"/>
    <w:hidden/>
    <w:uiPriority w:val="99"/>
    <w:semiHidden/>
    <w:rsid w:val="0091590C"/>
    <w:rPr>
      <w:sz w:val="24"/>
      <w:szCs w:val="24"/>
    </w:rPr>
  </w:style>
  <w:style w:type="paragraph" w:customStyle="1" w:styleId="PBACHeading1">
    <w:name w:val="PBAC Heading 1"/>
    <w:basedOn w:val="ListParagraph"/>
    <w:qFormat/>
    <w:rsid w:val="00A57A52"/>
    <w:pPr>
      <w:numPr>
        <w:numId w:val="9"/>
      </w:numPr>
      <w:jc w:val="both"/>
    </w:pPr>
    <w:rPr>
      <w:rFonts w:ascii="Arial" w:hAnsi="Arial"/>
      <w:b/>
      <w:sz w:val="22"/>
      <w:szCs w:val="22"/>
    </w:rPr>
  </w:style>
  <w:style w:type="character" w:customStyle="1" w:styleId="ListParagraphChar">
    <w:name w:val="List Paragraph Char"/>
    <w:link w:val="ListParagraph"/>
    <w:uiPriority w:val="72"/>
    <w:rsid w:val="007C34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1DB"/>
    <w:rPr>
      <w:sz w:val="24"/>
      <w:szCs w:val="24"/>
    </w:rPr>
  </w:style>
  <w:style w:type="paragraph" w:styleId="Heading1">
    <w:name w:val="heading 1"/>
    <w:basedOn w:val="Normal"/>
    <w:next w:val="Normal"/>
    <w:qFormat/>
    <w:rsid w:val="00C8217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C8217F"/>
    <w:pPr>
      <w:keepNext/>
      <w:spacing w:before="240" w:after="60"/>
      <w:outlineLvl w:val="1"/>
    </w:pPr>
    <w:rPr>
      <w:rFonts w:ascii="Arial" w:hAnsi="Arial" w:cs="Arial"/>
      <w:b/>
      <w:bCs/>
      <w:i/>
      <w:iCs/>
      <w:szCs w:val="28"/>
    </w:rPr>
  </w:style>
  <w:style w:type="paragraph" w:styleId="Heading3">
    <w:name w:val="heading 3"/>
    <w:basedOn w:val="Normal"/>
    <w:next w:val="Normal"/>
    <w:qFormat/>
    <w:rsid w:val="00C8217F"/>
    <w:pPr>
      <w:keepNext/>
      <w:spacing w:before="240" w:after="60"/>
      <w:outlineLvl w:val="2"/>
    </w:pPr>
    <w:rPr>
      <w:rFonts w:ascii="Arial" w:hAnsi="Arial" w:cs="Arial"/>
      <w:bCs/>
      <w:szCs w:val="26"/>
    </w:rPr>
  </w:style>
  <w:style w:type="paragraph" w:styleId="Heading4">
    <w:name w:val="heading 4"/>
    <w:basedOn w:val="Normal"/>
    <w:next w:val="Normal"/>
    <w:qFormat/>
    <w:rsid w:val="00C8217F"/>
    <w:pPr>
      <w:keepNext/>
      <w:spacing w:before="240" w:after="60"/>
      <w:outlineLvl w:val="3"/>
    </w:pPr>
    <w:rPr>
      <w:rFonts w:ascii="Arial" w:hAnsi="Arial"/>
      <w:bCs/>
      <w:sz w:val="28"/>
      <w:szCs w:val="28"/>
    </w:rPr>
  </w:style>
  <w:style w:type="paragraph" w:styleId="Heading5">
    <w:name w:val="heading 5"/>
    <w:basedOn w:val="Normal"/>
    <w:next w:val="Normal"/>
    <w:qFormat/>
    <w:rsid w:val="00C8217F"/>
    <w:pPr>
      <w:keepNext/>
      <w:spacing w:before="240" w:after="60"/>
      <w:outlineLvl w:val="4"/>
    </w:pPr>
    <w:rPr>
      <w:b/>
      <w:bCs/>
      <w:iCs/>
      <w:szCs w:val="26"/>
    </w:rPr>
  </w:style>
  <w:style w:type="paragraph" w:styleId="Heading6">
    <w:name w:val="heading 6"/>
    <w:basedOn w:val="Normal"/>
    <w:next w:val="Normal"/>
    <w:qFormat/>
    <w:rsid w:val="00C8217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8217F"/>
    <w:rPr>
      <w:i/>
      <w:iCs/>
    </w:rPr>
  </w:style>
  <w:style w:type="character" w:styleId="Strong">
    <w:name w:val="Strong"/>
    <w:basedOn w:val="DefaultParagraphFont"/>
    <w:qFormat/>
    <w:rsid w:val="00C8217F"/>
    <w:rPr>
      <w:b/>
      <w:bCs/>
    </w:rPr>
  </w:style>
  <w:style w:type="paragraph" w:styleId="Subtitle">
    <w:name w:val="Subtitle"/>
    <w:basedOn w:val="Normal"/>
    <w:next w:val="Normal"/>
    <w:link w:val="SubtitleChar"/>
    <w:qFormat/>
    <w:rsid w:val="00C8217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C8217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57A52"/>
    <w:pPr>
      <w:ind w:left="720" w:hanging="720"/>
    </w:pPr>
    <w:rPr>
      <w:rFonts w:ascii="Arial" w:hAnsi="Arial"/>
      <w:b/>
      <w:sz w:val="28"/>
      <w:szCs w:val="28"/>
    </w:rPr>
  </w:style>
  <w:style w:type="character" w:customStyle="1" w:styleId="TitleChar">
    <w:name w:val="Title Char"/>
    <w:basedOn w:val="DefaultParagraphFont"/>
    <w:link w:val="Title"/>
    <w:rsid w:val="00A57A52"/>
    <w:rPr>
      <w:rFonts w:ascii="Arial" w:hAnsi="Arial"/>
      <w:b/>
      <w:sz w:val="28"/>
      <w:szCs w:val="28"/>
    </w:rPr>
  </w:style>
  <w:style w:type="paragraph" w:styleId="NoSpacing">
    <w:name w:val="No Spacing"/>
    <w:uiPriority w:val="1"/>
    <w:qFormat/>
    <w:rsid w:val="00C8217F"/>
    <w:rPr>
      <w:sz w:val="24"/>
      <w:szCs w:val="24"/>
      <w:lang w:eastAsia="en-US"/>
    </w:rPr>
  </w:style>
  <w:style w:type="character" w:styleId="SubtleEmphasis">
    <w:name w:val="Subtle Emphasis"/>
    <w:basedOn w:val="DefaultParagraphFont"/>
    <w:uiPriority w:val="19"/>
    <w:qFormat/>
    <w:rsid w:val="00C8217F"/>
    <w:rPr>
      <w:i/>
      <w:iCs/>
      <w:color w:val="808080" w:themeColor="text1" w:themeTint="7F"/>
    </w:rPr>
  </w:style>
  <w:style w:type="character" w:styleId="IntenseEmphasis">
    <w:name w:val="Intense Emphasis"/>
    <w:basedOn w:val="DefaultParagraphFont"/>
    <w:uiPriority w:val="21"/>
    <w:qFormat/>
    <w:rsid w:val="00C8217F"/>
    <w:rPr>
      <w:b/>
      <w:bCs/>
      <w:i/>
      <w:iCs/>
      <w:color w:val="4F81BD" w:themeColor="accent1"/>
    </w:rPr>
  </w:style>
  <w:style w:type="paragraph" w:styleId="Quote">
    <w:name w:val="Quote"/>
    <w:basedOn w:val="Normal"/>
    <w:next w:val="Normal"/>
    <w:link w:val="QuoteChar"/>
    <w:uiPriority w:val="29"/>
    <w:qFormat/>
    <w:rsid w:val="00C8217F"/>
    <w:rPr>
      <w:i/>
      <w:iCs/>
      <w:color w:val="000000" w:themeColor="text1"/>
    </w:rPr>
  </w:style>
  <w:style w:type="character" w:customStyle="1" w:styleId="QuoteChar">
    <w:name w:val="Quote Char"/>
    <w:basedOn w:val="DefaultParagraphFont"/>
    <w:link w:val="Quote"/>
    <w:uiPriority w:val="29"/>
    <w:rsid w:val="00C8217F"/>
    <w:rPr>
      <w:i/>
      <w:iCs/>
      <w:color w:val="000000" w:themeColor="text1"/>
      <w:sz w:val="24"/>
      <w:szCs w:val="24"/>
      <w:lang w:eastAsia="en-US"/>
    </w:rPr>
  </w:style>
  <w:style w:type="paragraph" w:styleId="IntenseQuote">
    <w:name w:val="Intense Quote"/>
    <w:basedOn w:val="Normal"/>
    <w:next w:val="Normal"/>
    <w:link w:val="IntenseQuoteChar"/>
    <w:uiPriority w:val="30"/>
    <w:qFormat/>
    <w:rsid w:val="00C8217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8217F"/>
    <w:rPr>
      <w:b/>
      <w:bCs/>
      <w:i/>
      <w:iCs/>
      <w:color w:val="4F81BD" w:themeColor="accent1"/>
      <w:sz w:val="24"/>
      <w:szCs w:val="24"/>
      <w:lang w:eastAsia="en-US"/>
    </w:rPr>
  </w:style>
  <w:style w:type="character" w:styleId="SubtleReference">
    <w:name w:val="Subtle Reference"/>
    <w:basedOn w:val="DefaultParagraphFont"/>
    <w:uiPriority w:val="31"/>
    <w:qFormat/>
    <w:rsid w:val="00C8217F"/>
    <w:rPr>
      <w:smallCaps/>
      <w:color w:val="C0504D" w:themeColor="accent2"/>
      <w:u w:val="single"/>
    </w:rPr>
  </w:style>
  <w:style w:type="character" w:styleId="IntenseReference">
    <w:name w:val="Intense Reference"/>
    <w:basedOn w:val="DefaultParagraphFont"/>
    <w:uiPriority w:val="32"/>
    <w:qFormat/>
    <w:rsid w:val="00C8217F"/>
    <w:rPr>
      <w:b/>
      <w:bCs/>
      <w:i/>
      <w:smallCaps/>
      <w:color w:val="C0504D" w:themeColor="accent2"/>
      <w:spacing w:val="5"/>
      <w:u w:val="none"/>
    </w:rPr>
  </w:style>
  <w:style w:type="character" w:styleId="BookTitle">
    <w:name w:val="Book Title"/>
    <w:basedOn w:val="DefaultParagraphFont"/>
    <w:uiPriority w:val="33"/>
    <w:qFormat/>
    <w:rsid w:val="00C8217F"/>
    <w:rPr>
      <w:b/>
      <w:bCs/>
      <w:smallCaps/>
      <w:spacing w:val="5"/>
    </w:rPr>
  </w:style>
  <w:style w:type="paragraph" w:styleId="ListParagraph">
    <w:name w:val="List Paragraph"/>
    <w:basedOn w:val="Normal"/>
    <w:link w:val="ListParagraphChar"/>
    <w:uiPriority w:val="72"/>
    <w:qFormat/>
    <w:rsid w:val="00C8217F"/>
    <w:pPr>
      <w:ind w:left="720"/>
      <w:contextualSpacing/>
    </w:pPr>
  </w:style>
  <w:style w:type="paragraph" w:styleId="Header">
    <w:name w:val="header"/>
    <w:aliases w:val="Page Header,Header title,he=header,cntr/bld"/>
    <w:basedOn w:val="Normal"/>
    <w:link w:val="HeaderChar"/>
    <w:uiPriority w:val="99"/>
    <w:rsid w:val="00F421DB"/>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F421DB"/>
    <w:rPr>
      <w:sz w:val="24"/>
      <w:szCs w:val="24"/>
    </w:rPr>
  </w:style>
  <w:style w:type="paragraph" w:styleId="Footer">
    <w:name w:val="footer"/>
    <w:basedOn w:val="Normal"/>
    <w:link w:val="FooterChar"/>
    <w:uiPriority w:val="99"/>
    <w:rsid w:val="00F421DB"/>
    <w:pPr>
      <w:tabs>
        <w:tab w:val="center" w:pos="4153"/>
        <w:tab w:val="right" w:pos="8306"/>
      </w:tabs>
    </w:pPr>
  </w:style>
  <w:style w:type="character" w:customStyle="1" w:styleId="FooterChar">
    <w:name w:val="Footer Char"/>
    <w:basedOn w:val="DefaultParagraphFont"/>
    <w:link w:val="Footer"/>
    <w:uiPriority w:val="99"/>
    <w:rsid w:val="00F421DB"/>
    <w:rPr>
      <w:sz w:val="24"/>
      <w:szCs w:val="24"/>
    </w:rPr>
  </w:style>
  <w:style w:type="character" w:styleId="PageNumber">
    <w:name w:val="page number"/>
    <w:basedOn w:val="DefaultParagraphFont"/>
    <w:rsid w:val="00F421DB"/>
  </w:style>
  <w:style w:type="paragraph" w:customStyle="1" w:styleId="MediumGrid21">
    <w:name w:val="Medium Grid 21"/>
    <w:link w:val="MediumGrid2Char"/>
    <w:qFormat/>
    <w:rsid w:val="00F421DB"/>
    <w:rPr>
      <w:rFonts w:ascii="PMingLiU" w:eastAsia="MS Mincho" w:hAnsi="PMingLiU"/>
      <w:sz w:val="22"/>
      <w:szCs w:val="22"/>
      <w:lang w:val="en-US" w:eastAsia="en-US"/>
    </w:rPr>
  </w:style>
  <w:style w:type="character" w:customStyle="1" w:styleId="MediumGrid2Char">
    <w:name w:val="Medium Grid 2 Char"/>
    <w:link w:val="MediumGrid21"/>
    <w:rsid w:val="00F421DB"/>
    <w:rPr>
      <w:rFonts w:ascii="PMingLiU" w:eastAsia="MS Mincho" w:hAnsi="PMingLiU"/>
      <w:sz w:val="22"/>
      <w:szCs w:val="22"/>
      <w:lang w:val="en-US" w:eastAsia="en-US"/>
    </w:rPr>
  </w:style>
  <w:style w:type="character" w:styleId="CommentReference">
    <w:name w:val="annotation reference"/>
    <w:aliases w:val="Table Title"/>
    <w:basedOn w:val="DefaultParagraphFont"/>
    <w:uiPriority w:val="99"/>
    <w:qFormat/>
    <w:rsid w:val="00F421DB"/>
    <w:rPr>
      <w:sz w:val="16"/>
      <w:szCs w:val="16"/>
    </w:rPr>
  </w:style>
  <w:style w:type="paragraph" w:styleId="CommentText">
    <w:name w:val="annotation text"/>
    <w:basedOn w:val="Normal"/>
    <w:link w:val="CommentTextChar"/>
    <w:rsid w:val="00F421DB"/>
    <w:rPr>
      <w:sz w:val="20"/>
      <w:szCs w:val="20"/>
    </w:rPr>
  </w:style>
  <w:style w:type="character" w:customStyle="1" w:styleId="CommentTextChar">
    <w:name w:val="Comment Text Char"/>
    <w:basedOn w:val="DefaultParagraphFont"/>
    <w:link w:val="CommentText"/>
    <w:rsid w:val="00F421DB"/>
  </w:style>
  <w:style w:type="paragraph" w:customStyle="1" w:styleId="tablenotes">
    <w:name w:val="table notes"/>
    <w:basedOn w:val="BodyText2"/>
    <w:qFormat/>
    <w:rsid w:val="00F421DB"/>
    <w:pPr>
      <w:widowControl w:val="0"/>
      <w:spacing w:after="0" w:line="240" w:lineRule="auto"/>
      <w:jc w:val="both"/>
    </w:pPr>
    <w:rPr>
      <w:rFonts w:ascii="Arial" w:hAnsi="Arial"/>
      <w:snapToGrid w:val="0"/>
      <w:sz w:val="20"/>
      <w:szCs w:val="20"/>
      <w:lang w:eastAsia="en-US"/>
    </w:rPr>
  </w:style>
  <w:style w:type="paragraph" w:styleId="BodyText2">
    <w:name w:val="Body Text 2"/>
    <w:basedOn w:val="Normal"/>
    <w:link w:val="BodyText2Char"/>
    <w:rsid w:val="00F421DB"/>
    <w:pPr>
      <w:spacing w:after="120" w:line="480" w:lineRule="auto"/>
    </w:pPr>
  </w:style>
  <w:style w:type="character" w:customStyle="1" w:styleId="BodyText2Char">
    <w:name w:val="Body Text 2 Char"/>
    <w:basedOn w:val="DefaultParagraphFont"/>
    <w:link w:val="BodyText2"/>
    <w:rsid w:val="00F421DB"/>
    <w:rPr>
      <w:sz w:val="24"/>
      <w:szCs w:val="24"/>
    </w:rPr>
  </w:style>
  <w:style w:type="paragraph" w:styleId="BalloonText">
    <w:name w:val="Balloon Text"/>
    <w:basedOn w:val="Normal"/>
    <w:link w:val="BalloonTextChar"/>
    <w:rsid w:val="00F421DB"/>
    <w:rPr>
      <w:rFonts w:ascii="Tahoma" w:hAnsi="Tahoma" w:cs="Tahoma"/>
      <w:sz w:val="16"/>
      <w:szCs w:val="16"/>
    </w:rPr>
  </w:style>
  <w:style w:type="character" w:customStyle="1" w:styleId="BalloonTextChar">
    <w:name w:val="Balloon Text Char"/>
    <w:basedOn w:val="DefaultParagraphFont"/>
    <w:link w:val="BalloonText"/>
    <w:rsid w:val="00F421DB"/>
    <w:rPr>
      <w:rFonts w:ascii="Tahoma" w:hAnsi="Tahoma" w:cs="Tahoma"/>
      <w:sz w:val="16"/>
      <w:szCs w:val="16"/>
    </w:rPr>
  </w:style>
  <w:style w:type="table" w:styleId="TableGrid">
    <w:name w:val="Table Grid"/>
    <w:basedOn w:val="TableNormal"/>
    <w:rsid w:val="00C9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125C6"/>
    <w:rPr>
      <w:b/>
      <w:bCs/>
    </w:rPr>
  </w:style>
  <w:style w:type="character" w:customStyle="1" w:styleId="CommentSubjectChar">
    <w:name w:val="Comment Subject Char"/>
    <w:basedOn w:val="CommentTextChar"/>
    <w:link w:val="CommentSubject"/>
    <w:rsid w:val="007125C6"/>
    <w:rPr>
      <w:b/>
      <w:bCs/>
    </w:rPr>
  </w:style>
  <w:style w:type="paragraph" w:styleId="Revision">
    <w:name w:val="Revision"/>
    <w:hidden/>
    <w:uiPriority w:val="99"/>
    <w:semiHidden/>
    <w:rsid w:val="0091590C"/>
    <w:rPr>
      <w:sz w:val="24"/>
      <w:szCs w:val="24"/>
    </w:rPr>
  </w:style>
  <w:style w:type="paragraph" w:customStyle="1" w:styleId="PBACHeading1">
    <w:name w:val="PBAC Heading 1"/>
    <w:basedOn w:val="ListParagraph"/>
    <w:qFormat/>
    <w:rsid w:val="00A57A52"/>
    <w:pPr>
      <w:numPr>
        <w:numId w:val="9"/>
      </w:numPr>
      <w:jc w:val="both"/>
    </w:pPr>
    <w:rPr>
      <w:rFonts w:ascii="Arial" w:hAnsi="Arial"/>
      <w:b/>
      <w:sz w:val="22"/>
      <w:szCs w:val="22"/>
    </w:rPr>
  </w:style>
  <w:style w:type="character" w:customStyle="1" w:styleId="ListParagraphChar">
    <w:name w:val="List Paragraph Char"/>
    <w:link w:val="ListParagraph"/>
    <w:uiPriority w:val="72"/>
    <w:rsid w:val="007C34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31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134DD57-A51C-40BF-BF5A-60B0F79B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2347</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5.29 glatiramer acetate </vt:lpstr>
    </vt:vector>
  </TitlesOfParts>
  <LinksUpToDate>false</LinksUpToDate>
  <CharactersWithSpaces>17030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5.29 glatiramer acetate</dc:title>
  <dc:creator/>
  <cp:lastModifiedBy/>
  <cp:revision>1</cp:revision>
  <dcterms:created xsi:type="dcterms:W3CDTF">2015-06-29T06:53:00Z</dcterms:created>
  <dcterms:modified xsi:type="dcterms:W3CDTF">2015-06-29T06:54:00Z</dcterms:modified>
</cp:coreProperties>
</file>