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2E" w:rsidRPr="00DB312E" w:rsidRDefault="008D1902" w:rsidP="00DB312E">
      <w:pPr>
        <w:pStyle w:val="Title"/>
      </w:pPr>
      <w:r w:rsidRPr="00DB312E">
        <w:t>7</w:t>
      </w:r>
      <w:r w:rsidR="001115B7" w:rsidRPr="00DB312E">
        <w:t>.</w:t>
      </w:r>
      <w:r w:rsidRPr="00DB312E">
        <w:t>07</w:t>
      </w:r>
      <w:r w:rsidR="007C0F57" w:rsidRPr="00DB312E">
        <w:tab/>
      </w:r>
      <w:r w:rsidRPr="00DB312E">
        <w:t xml:space="preserve">FOLLITROPIN ALFA </w:t>
      </w:r>
      <w:proofErr w:type="gramStart"/>
      <w:r w:rsidRPr="00DB312E">
        <w:t>and  LUTROPIN</w:t>
      </w:r>
      <w:proofErr w:type="gramEnd"/>
      <w:r w:rsidRPr="00DB312E">
        <w:t xml:space="preserve"> ALFA</w:t>
      </w:r>
    </w:p>
    <w:p w:rsidR="00DB312E" w:rsidRDefault="008D1902" w:rsidP="00DB312E">
      <w:pPr>
        <w:ind w:left="720"/>
        <w:rPr>
          <w:rFonts w:ascii="Arial" w:hAnsi="Arial"/>
          <w:b/>
          <w:sz w:val="28"/>
          <w:szCs w:val="28"/>
        </w:rPr>
      </w:pPr>
      <w:proofErr w:type="gramStart"/>
      <w:r>
        <w:rPr>
          <w:rFonts w:ascii="Arial" w:hAnsi="Arial"/>
          <w:b/>
          <w:sz w:val="28"/>
          <w:szCs w:val="28"/>
        </w:rPr>
        <w:t>injection</w:t>
      </w:r>
      <w:proofErr w:type="gramEnd"/>
      <w:r w:rsidRPr="006D6EC7">
        <w:rPr>
          <w:rFonts w:ascii="Arial" w:hAnsi="Arial"/>
          <w:b/>
          <w:sz w:val="28"/>
          <w:szCs w:val="28"/>
        </w:rPr>
        <w:t xml:space="preserve">, </w:t>
      </w:r>
      <w:r w:rsidRPr="009B3DE3">
        <w:rPr>
          <w:rFonts w:ascii="Arial" w:hAnsi="Arial"/>
          <w:b/>
          <w:sz w:val="28"/>
          <w:szCs w:val="28"/>
        </w:rPr>
        <w:t>150 IU and 75 IU, Powder for injection</w:t>
      </w:r>
      <w:r>
        <w:rPr>
          <w:rFonts w:ascii="Arial" w:hAnsi="Arial"/>
          <w:b/>
          <w:sz w:val="28"/>
          <w:szCs w:val="28"/>
        </w:rPr>
        <w:t xml:space="preserve">, </w:t>
      </w:r>
      <w:r w:rsidRPr="009B3DE3">
        <w:rPr>
          <w:rFonts w:ascii="Arial" w:hAnsi="Arial"/>
          <w:b/>
          <w:sz w:val="28"/>
          <w:szCs w:val="28"/>
        </w:rPr>
        <w:t>Vial of solvent, 1mL water for injection</w:t>
      </w:r>
      <w:r w:rsidR="00DB312E">
        <w:rPr>
          <w:rFonts w:ascii="Arial" w:hAnsi="Arial"/>
          <w:b/>
          <w:sz w:val="28"/>
          <w:szCs w:val="28"/>
        </w:rPr>
        <w:t>;</w:t>
      </w:r>
    </w:p>
    <w:p w:rsidR="00D3280C" w:rsidRPr="006D6EC7" w:rsidRDefault="008D1902" w:rsidP="00DB312E">
      <w:pPr>
        <w:ind w:left="720"/>
        <w:rPr>
          <w:rFonts w:ascii="Arial" w:hAnsi="Arial"/>
          <w:b/>
          <w:sz w:val="28"/>
          <w:szCs w:val="28"/>
        </w:rPr>
      </w:pPr>
      <w:proofErr w:type="spellStart"/>
      <w:r>
        <w:rPr>
          <w:rFonts w:ascii="Arial" w:hAnsi="Arial"/>
          <w:b/>
          <w:sz w:val="28"/>
          <w:szCs w:val="28"/>
        </w:rPr>
        <w:t>Pergoveris</w:t>
      </w:r>
      <w:proofErr w:type="spellEnd"/>
      <w:r w:rsidRPr="006D6EC7">
        <w:rPr>
          <w:rFonts w:ascii="Arial" w:hAnsi="Arial"/>
          <w:b/>
          <w:sz w:val="28"/>
          <w:szCs w:val="28"/>
          <w:vertAlign w:val="superscript"/>
        </w:rPr>
        <w:t>®</w:t>
      </w:r>
      <w:r>
        <w:rPr>
          <w:rFonts w:ascii="Arial" w:hAnsi="Arial"/>
          <w:b/>
          <w:sz w:val="28"/>
          <w:szCs w:val="28"/>
        </w:rPr>
        <w:t xml:space="preserve">, Merck </w:t>
      </w:r>
      <w:proofErr w:type="spellStart"/>
      <w:r>
        <w:rPr>
          <w:rFonts w:ascii="Arial" w:hAnsi="Arial"/>
          <w:b/>
          <w:sz w:val="28"/>
          <w:szCs w:val="28"/>
        </w:rPr>
        <w:t>Serono</w:t>
      </w:r>
      <w:proofErr w:type="spellEnd"/>
      <w:r>
        <w:rPr>
          <w:rFonts w:ascii="Arial" w:hAnsi="Arial"/>
          <w:b/>
          <w:sz w:val="28"/>
          <w:szCs w:val="28"/>
        </w:rPr>
        <w:t xml:space="preserve"> Australia Pty Ltd</w:t>
      </w:r>
    </w:p>
    <w:p w:rsidR="00CE10C4" w:rsidRDefault="00CE10C4" w:rsidP="00A5273B">
      <w:pPr>
        <w:rPr>
          <w:rFonts w:ascii="Arial" w:hAnsi="Arial"/>
          <w:b/>
        </w:rPr>
      </w:pPr>
    </w:p>
    <w:p w:rsidR="00CE10C4" w:rsidRPr="00882085" w:rsidRDefault="00CE10C4" w:rsidP="00DB312E">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Default="008D1902" w:rsidP="000577B7">
      <w:pPr>
        <w:pStyle w:val="ListParagraph"/>
        <w:numPr>
          <w:ilvl w:val="1"/>
          <w:numId w:val="25"/>
        </w:numPr>
        <w:jc w:val="both"/>
        <w:rPr>
          <w:rFonts w:ascii="Arial" w:hAnsi="Arial"/>
          <w:sz w:val="22"/>
          <w:szCs w:val="22"/>
        </w:rPr>
      </w:pPr>
      <w:r w:rsidRPr="00845258">
        <w:rPr>
          <w:rFonts w:ascii="Arial" w:hAnsi="Arial" w:cs="Arial"/>
          <w:snapToGrid w:val="0"/>
          <w:sz w:val="22"/>
          <w:szCs w:val="22"/>
          <w:lang w:eastAsia="en-US"/>
        </w:rPr>
        <w:t xml:space="preserve">The </w:t>
      </w:r>
      <w:r>
        <w:rPr>
          <w:rFonts w:ascii="Arial" w:hAnsi="Arial" w:cs="Arial"/>
          <w:snapToGrid w:val="0"/>
          <w:sz w:val="22"/>
          <w:szCs w:val="22"/>
          <w:lang w:eastAsia="en-US"/>
        </w:rPr>
        <w:t>minor re-</w:t>
      </w:r>
      <w:r w:rsidR="00D75AA5">
        <w:rPr>
          <w:rFonts w:ascii="Arial" w:hAnsi="Arial" w:cs="Arial"/>
          <w:snapToGrid w:val="0"/>
          <w:sz w:val="22"/>
          <w:szCs w:val="22"/>
          <w:lang w:eastAsia="en-US"/>
        </w:rPr>
        <w:t>submission sought</w:t>
      </w:r>
      <w:r w:rsidRPr="00845258">
        <w:rPr>
          <w:rFonts w:ascii="Arial" w:hAnsi="Arial" w:cs="Arial"/>
          <w:snapToGrid w:val="0"/>
          <w:sz w:val="22"/>
          <w:szCs w:val="22"/>
          <w:lang w:eastAsia="en-US"/>
        </w:rPr>
        <w:t xml:space="preserve"> listing on the </w:t>
      </w:r>
      <w:r w:rsidRPr="00A65C96">
        <w:rPr>
          <w:rFonts w:ascii="Arial" w:hAnsi="Arial" w:cs="Arial"/>
          <w:iCs/>
          <w:sz w:val="22"/>
          <w:szCs w:val="22"/>
        </w:rPr>
        <w:t xml:space="preserve">Section 100 </w:t>
      </w:r>
      <w:r>
        <w:rPr>
          <w:rFonts w:ascii="Arial" w:hAnsi="Arial" w:cs="Arial"/>
          <w:iCs/>
          <w:sz w:val="22"/>
          <w:szCs w:val="22"/>
        </w:rPr>
        <w:t>(</w:t>
      </w:r>
      <w:r w:rsidRPr="00A65C96">
        <w:rPr>
          <w:rFonts w:ascii="Arial" w:hAnsi="Arial" w:cs="Arial"/>
          <w:iCs/>
          <w:sz w:val="22"/>
          <w:szCs w:val="22"/>
        </w:rPr>
        <w:t>IVF/GIFT</w:t>
      </w:r>
      <w:r>
        <w:rPr>
          <w:rFonts w:ascii="Arial" w:hAnsi="Arial" w:cs="Arial"/>
          <w:iCs/>
          <w:sz w:val="22"/>
          <w:szCs w:val="22"/>
        </w:rPr>
        <w:t>)</w:t>
      </w:r>
      <w:r w:rsidRPr="00A65C96">
        <w:rPr>
          <w:rFonts w:ascii="Arial" w:hAnsi="Arial" w:cs="Arial"/>
          <w:iCs/>
          <w:sz w:val="22"/>
          <w:szCs w:val="22"/>
        </w:rPr>
        <w:t xml:space="preserve"> Program</w:t>
      </w:r>
      <w:r w:rsidRPr="00845258">
        <w:rPr>
          <w:rFonts w:ascii="Arial" w:hAnsi="Arial" w:cs="Arial"/>
          <w:snapToGrid w:val="0"/>
          <w:sz w:val="22"/>
          <w:szCs w:val="22"/>
          <w:lang w:eastAsia="en-US"/>
        </w:rPr>
        <w:t xml:space="preserve">, for </w:t>
      </w:r>
      <w:proofErr w:type="spellStart"/>
      <w:r w:rsidR="00C83856">
        <w:rPr>
          <w:rFonts w:ascii="Arial" w:hAnsi="Arial" w:cs="Arial"/>
          <w:snapToGrid w:val="0"/>
          <w:sz w:val="22"/>
          <w:szCs w:val="22"/>
          <w:lang w:eastAsia="en-US"/>
        </w:rPr>
        <w:t>follitropin</w:t>
      </w:r>
      <w:proofErr w:type="spellEnd"/>
      <w:r w:rsidR="00C83856">
        <w:rPr>
          <w:rFonts w:ascii="Arial" w:hAnsi="Arial" w:cs="Arial"/>
          <w:snapToGrid w:val="0"/>
          <w:sz w:val="22"/>
          <w:szCs w:val="22"/>
          <w:lang w:eastAsia="en-US"/>
        </w:rPr>
        <w:t xml:space="preserve"> alfa and </w:t>
      </w:r>
      <w:proofErr w:type="spellStart"/>
      <w:r w:rsidR="00C83856">
        <w:rPr>
          <w:rFonts w:ascii="Arial" w:hAnsi="Arial" w:cs="Arial"/>
          <w:snapToGrid w:val="0"/>
          <w:sz w:val="22"/>
          <w:szCs w:val="22"/>
          <w:lang w:eastAsia="en-US"/>
        </w:rPr>
        <w:t>lutropin</w:t>
      </w:r>
      <w:proofErr w:type="spellEnd"/>
      <w:r w:rsidR="00C83856">
        <w:rPr>
          <w:rFonts w:ascii="Arial" w:hAnsi="Arial" w:cs="Arial"/>
          <w:snapToGrid w:val="0"/>
          <w:sz w:val="22"/>
          <w:szCs w:val="22"/>
          <w:lang w:eastAsia="en-US"/>
        </w:rPr>
        <w:t xml:space="preserve"> alfa (</w:t>
      </w:r>
      <w:proofErr w:type="spellStart"/>
      <w:r w:rsidRPr="00845258">
        <w:rPr>
          <w:rFonts w:ascii="Arial" w:hAnsi="Arial" w:cs="Arial"/>
          <w:snapToGrid w:val="0"/>
          <w:sz w:val="22"/>
          <w:szCs w:val="22"/>
          <w:lang w:eastAsia="en-US"/>
        </w:rPr>
        <w:t>Pergoveris</w:t>
      </w:r>
      <w:proofErr w:type="spellEnd"/>
      <w:r w:rsidRPr="00845258">
        <w:rPr>
          <w:rFonts w:ascii="Arial" w:hAnsi="Arial" w:cs="Arial"/>
          <w:snapToGrid w:val="0"/>
          <w:sz w:val="22"/>
          <w:szCs w:val="22"/>
          <w:vertAlign w:val="superscript"/>
          <w:lang w:eastAsia="en-US"/>
        </w:rPr>
        <w:t>®</w:t>
      </w:r>
      <w:r w:rsidR="00C83856">
        <w:rPr>
          <w:rFonts w:ascii="Arial" w:hAnsi="Arial" w:cs="Arial"/>
          <w:snapToGrid w:val="0"/>
          <w:sz w:val="22"/>
          <w:szCs w:val="22"/>
          <w:lang w:eastAsia="en-US"/>
        </w:rPr>
        <w:t>),</w:t>
      </w:r>
      <w:r w:rsidRPr="00845258">
        <w:rPr>
          <w:rFonts w:ascii="Arial" w:hAnsi="Arial" w:cs="Arial"/>
          <w:snapToGrid w:val="0"/>
          <w:sz w:val="22"/>
          <w:szCs w:val="22"/>
          <w:lang w:eastAsia="en-US"/>
        </w:rPr>
        <w:t xml:space="preserve"> a fixed dose combination</w:t>
      </w:r>
      <w:r w:rsidR="00821069">
        <w:rPr>
          <w:rFonts w:ascii="Arial" w:hAnsi="Arial" w:cs="Arial"/>
          <w:snapToGrid w:val="0"/>
          <w:sz w:val="22"/>
          <w:szCs w:val="22"/>
          <w:lang w:eastAsia="en-US"/>
        </w:rPr>
        <w:t xml:space="preserve"> (FDC)</w:t>
      </w:r>
      <w:r w:rsidRPr="00845258">
        <w:rPr>
          <w:rFonts w:ascii="Arial" w:hAnsi="Arial" w:cs="Arial"/>
          <w:snapToGrid w:val="0"/>
          <w:sz w:val="22"/>
          <w:szCs w:val="22"/>
          <w:lang w:eastAsia="en-US"/>
        </w:rPr>
        <w:t xml:space="preserve"> product of recombinant follicle-stimulating hormone (</w:t>
      </w:r>
      <w:proofErr w:type="spellStart"/>
      <w:r w:rsidRPr="00845258">
        <w:rPr>
          <w:rFonts w:ascii="Arial" w:hAnsi="Arial" w:cs="Arial"/>
          <w:snapToGrid w:val="0"/>
          <w:sz w:val="22"/>
          <w:szCs w:val="22"/>
          <w:lang w:eastAsia="en-US"/>
        </w:rPr>
        <w:t>rFSH</w:t>
      </w:r>
      <w:proofErr w:type="spellEnd"/>
      <w:r w:rsidRPr="00845258">
        <w:rPr>
          <w:rFonts w:ascii="Arial" w:hAnsi="Arial" w:cs="Arial"/>
          <w:snapToGrid w:val="0"/>
          <w:sz w:val="22"/>
          <w:szCs w:val="22"/>
          <w:lang w:eastAsia="en-US"/>
        </w:rPr>
        <w:t>) and recombinant luteinising hormone (</w:t>
      </w:r>
      <w:proofErr w:type="spellStart"/>
      <w:r w:rsidRPr="00845258">
        <w:rPr>
          <w:rFonts w:ascii="Arial" w:hAnsi="Arial" w:cs="Arial"/>
          <w:snapToGrid w:val="0"/>
          <w:sz w:val="22"/>
          <w:szCs w:val="22"/>
          <w:lang w:eastAsia="en-US"/>
        </w:rPr>
        <w:t>rLH</w:t>
      </w:r>
      <w:proofErr w:type="spellEnd"/>
      <w:r w:rsidRPr="00845258">
        <w:rPr>
          <w:rFonts w:ascii="Arial" w:hAnsi="Arial" w:cs="Arial"/>
          <w:snapToGrid w:val="0"/>
          <w:sz w:val="22"/>
          <w:szCs w:val="22"/>
          <w:lang w:eastAsia="en-US"/>
        </w:rPr>
        <w:t>)</w:t>
      </w:r>
      <w:r w:rsidR="003A0BD6">
        <w:rPr>
          <w:rFonts w:ascii="Arial" w:hAnsi="Arial"/>
          <w:sz w:val="22"/>
          <w:szCs w:val="22"/>
        </w:rPr>
        <w:t>.</w:t>
      </w:r>
    </w:p>
    <w:p w:rsidR="008D1902" w:rsidRDefault="008D1902" w:rsidP="008D1902">
      <w:pPr>
        <w:pStyle w:val="ListParagraph"/>
        <w:jc w:val="both"/>
        <w:rPr>
          <w:rFonts w:ascii="Arial" w:hAnsi="Arial"/>
          <w:sz w:val="22"/>
          <w:szCs w:val="22"/>
        </w:rPr>
      </w:pPr>
    </w:p>
    <w:p w:rsidR="008D1902" w:rsidRDefault="008D1902" w:rsidP="000577B7">
      <w:pPr>
        <w:pStyle w:val="ListParagraph"/>
        <w:numPr>
          <w:ilvl w:val="1"/>
          <w:numId w:val="25"/>
        </w:numPr>
        <w:jc w:val="both"/>
        <w:rPr>
          <w:rFonts w:ascii="Arial" w:hAnsi="Arial"/>
          <w:sz w:val="22"/>
          <w:szCs w:val="22"/>
        </w:rPr>
      </w:pPr>
      <w:r>
        <w:rPr>
          <w:rFonts w:ascii="Arial" w:hAnsi="Arial"/>
          <w:sz w:val="22"/>
          <w:szCs w:val="22"/>
        </w:rPr>
        <w:t xml:space="preserve">The submission proposes that </w:t>
      </w:r>
      <w:proofErr w:type="spellStart"/>
      <w:r>
        <w:rPr>
          <w:rFonts w:ascii="Arial" w:hAnsi="Arial"/>
          <w:sz w:val="22"/>
          <w:szCs w:val="22"/>
        </w:rPr>
        <w:t>Pergoveris</w:t>
      </w:r>
      <w:proofErr w:type="spellEnd"/>
      <w:r>
        <w:rPr>
          <w:rFonts w:ascii="Arial" w:hAnsi="Arial"/>
          <w:sz w:val="22"/>
          <w:szCs w:val="22"/>
        </w:rPr>
        <w:t xml:space="preserve"> will be used in the subgroup of patients taking </w:t>
      </w:r>
      <w:proofErr w:type="spellStart"/>
      <w:r>
        <w:rPr>
          <w:rFonts w:ascii="Arial" w:hAnsi="Arial"/>
          <w:sz w:val="22"/>
          <w:szCs w:val="22"/>
        </w:rPr>
        <w:t>rFSH</w:t>
      </w:r>
      <w:proofErr w:type="spellEnd"/>
      <w:r>
        <w:rPr>
          <w:rFonts w:ascii="Arial" w:hAnsi="Arial"/>
          <w:sz w:val="22"/>
          <w:szCs w:val="22"/>
        </w:rPr>
        <w:t xml:space="preserve"> and </w:t>
      </w:r>
      <w:proofErr w:type="spellStart"/>
      <w:r>
        <w:rPr>
          <w:rFonts w:ascii="Arial" w:hAnsi="Arial"/>
          <w:sz w:val="22"/>
          <w:szCs w:val="22"/>
        </w:rPr>
        <w:t>rLH</w:t>
      </w:r>
      <w:proofErr w:type="spellEnd"/>
      <w:r>
        <w:rPr>
          <w:rFonts w:ascii="Arial" w:hAnsi="Arial"/>
          <w:sz w:val="22"/>
          <w:szCs w:val="22"/>
        </w:rPr>
        <w:t xml:space="preserve"> concomitantly for whom the fixed dose combination is appropriate.</w:t>
      </w:r>
    </w:p>
    <w:p w:rsidR="008D1902" w:rsidRPr="008D1902" w:rsidRDefault="008D1902" w:rsidP="008D1902">
      <w:pPr>
        <w:pStyle w:val="ListParagraph"/>
        <w:rPr>
          <w:rFonts w:ascii="Arial" w:hAnsi="Arial"/>
          <w:sz w:val="22"/>
          <w:szCs w:val="22"/>
        </w:rPr>
      </w:pPr>
    </w:p>
    <w:p w:rsidR="008D1902" w:rsidRPr="000E2CD8" w:rsidRDefault="000E2CD8" w:rsidP="00C83856">
      <w:pPr>
        <w:pStyle w:val="ListParagraph"/>
        <w:numPr>
          <w:ilvl w:val="1"/>
          <w:numId w:val="25"/>
        </w:numPr>
        <w:jc w:val="both"/>
        <w:rPr>
          <w:rFonts w:ascii="Arial" w:hAnsi="Arial"/>
          <w:sz w:val="22"/>
          <w:szCs w:val="22"/>
        </w:rPr>
      </w:pPr>
      <w:r w:rsidRPr="000E2CD8">
        <w:rPr>
          <w:rFonts w:ascii="Arial" w:hAnsi="Arial" w:cs="Arial"/>
          <w:iCs/>
          <w:snapToGrid w:val="0"/>
          <w:sz w:val="22"/>
          <w:szCs w:val="22"/>
        </w:rPr>
        <w:t xml:space="preserve">The current minor </w:t>
      </w:r>
      <w:r w:rsidR="00D75AA5">
        <w:rPr>
          <w:rFonts w:ascii="Arial" w:hAnsi="Arial" w:cs="Arial"/>
          <w:iCs/>
          <w:snapToGrid w:val="0"/>
          <w:sz w:val="22"/>
          <w:szCs w:val="22"/>
        </w:rPr>
        <w:t>re-</w:t>
      </w:r>
      <w:r w:rsidRPr="000E2CD8">
        <w:rPr>
          <w:rFonts w:ascii="Arial" w:hAnsi="Arial" w:cs="Arial"/>
          <w:iCs/>
          <w:snapToGrid w:val="0"/>
          <w:sz w:val="22"/>
          <w:szCs w:val="22"/>
        </w:rPr>
        <w:t xml:space="preserve">submission for </w:t>
      </w:r>
      <w:proofErr w:type="spellStart"/>
      <w:r w:rsidRPr="000E2CD8">
        <w:rPr>
          <w:rFonts w:ascii="Arial" w:hAnsi="Arial" w:cs="Arial"/>
          <w:iCs/>
          <w:snapToGrid w:val="0"/>
          <w:sz w:val="22"/>
          <w:szCs w:val="22"/>
        </w:rPr>
        <w:t>Pergoveris</w:t>
      </w:r>
      <w:proofErr w:type="spellEnd"/>
      <w:r w:rsidRPr="000E2CD8">
        <w:rPr>
          <w:rFonts w:ascii="Arial" w:hAnsi="Arial" w:cs="Arial"/>
          <w:iCs/>
          <w:snapToGrid w:val="0"/>
          <w:sz w:val="22"/>
          <w:szCs w:val="22"/>
          <w:vertAlign w:val="superscript"/>
        </w:rPr>
        <w:t>®</w:t>
      </w:r>
      <w:r w:rsidRPr="000E2CD8">
        <w:rPr>
          <w:rFonts w:ascii="Arial" w:hAnsi="Arial" w:cs="Arial"/>
          <w:iCs/>
          <w:snapToGrid w:val="0"/>
          <w:sz w:val="22"/>
          <w:szCs w:val="22"/>
          <w:vertAlign w:val="subscript"/>
        </w:rPr>
        <w:t xml:space="preserve"> </w:t>
      </w:r>
      <w:r w:rsidR="00D75AA5" w:rsidRPr="00D75AA5">
        <w:rPr>
          <w:rFonts w:ascii="Arial" w:hAnsi="Arial" w:cs="Arial"/>
          <w:iCs/>
          <w:snapToGrid w:val="0"/>
          <w:sz w:val="22"/>
          <w:szCs w:val="22"/>
        </w:rPr>
        <w:t>was</w:t>
      </w:r>
      <w:r w:rsidR="00D75AA5">
        <w:rPr>
          <w:rFonts w:ascii="Arial" w:hAnsi="Arial" w:cs="Arial"/>
          <w:iCs/>
          <w:snapToGrid w:val="0"/>
          <w:sz w:val="22"/>
          <w:szCs w:val="22"/>
          <w:vertAlign w:val="subscript"/>
        </w:rPr>
        <w:t xml:space="preserve"> </w:t>
      </w:r>
      <w:r w:rsidRPr="000E2CD8">
        <w:rPr>
          <w:rFonts w:ascii="Arial" w:hAnsi="Arial" w:cs="Arial"/>
          <w:iCs/>
          <w:snapToGrid w:val="0"/>
          <w:sz w:val="22"/>
          <w:szCs w:val="22"/>
        </w:rPr>
        <w:t xml:space="preserve">reviewed together with the major application for </w:t>
      </w:r>
      <w:proofErr w:type="spellStart"/>
      <w:r w:rsidR="005E0225">
        <w:rPr>
          <w:rFonts w:ascii="Arial" w:hAnsi="Arial" w:cs="Arial"/>
          <w:iCs/>
          <w:snapToGrid w:val="0"/>
          <w:sz w:val="22"/>
          <w:szCs w:val="22"/>
        </w:rPr>
        <w:t>lutropin</w:t>
      </w:r>
      <w:proofErr w:type="spellEnd"/>
      <w:r w:rsidR="005E0225">
        <w:rPr>
          <w:rFonts w:ascii="Arial" w:hAnsi="Arial" w:cs="Arial"/>
          <w:iCs/>
          <w:snapToGrid w:val="0"/>
          <w:sz w:val="22"/>
          <w:szCs w:val="22"/>
        </w:rPr>
        <w:t xml:space="preserve"> alfa (</w:t>
      </w:r>
      <w:proofErr w:type="spellStart"/>
      <w:r w:rsidRPr="000E2CD8">
        <w:rPr>
          <w:rFonts w:ascii="Arial" w:hAnsi="Arial" w:cs="Arial"/>
          <w:iCs/>
          <w:snapToGrid w:val="0"/>
          <w:sz w:val="22"/>
          <w:szCs w:val="22"/>
        </w:rPr>
        <w:t>Luveris</w:t>
      </w:r>
      <w:proofErr w:type="spellEnd"/>
      <w:r w:rsidRPr="000E2CD8">
        <w:rPr>
          <w:rFonts w:ascii="Arial" w:hAnsi="Arial" w:cs="Arial"/>
          <w:iCs/>
          <w:snapToGrid w:val="0"/>
          <w:sz w:val="22"/>
          <w:szCs w:val="22"/>
          <w:vertAlign w:val="superscript"/>
        </w:rPr>
        <w:t>®</w:t>
      </w:r>
      <w:r w:rsidR="00925988" w:rsidRPr="00925988">
        <w:rPr>
          <w:rFonts w:ascii="Arial" w:hAnsi="Arial" w:cs="Arial"/>
          <w:iCs/>
          <w:snapToGrid w:val="0"/>
          <w:sz w:val="22"/>
          <w:szCs w:val="22"/>
        </w:rPr>
        <w:t>)</w:t>
      </w:r>
      <w:r w:rsidR="00925988">
        <w:rPr>
          <w:rFonts w:ascii="Arial" w:hAnsi="Arial" w:cs="Arial"/>
          <w:iCs/>
          <w:snapToGrid w:val="0"/>
          <w:sz w:val="22"/>
          <w:szCs w:val="22"/>
        </w:rPr>
        <w:t xml:space="preserve">, </w:t>
      </w:r>
      <w:proofErr w:type="gramStart"/>
      <w:r w:rsidR="00925988">
        <w:rPr>
          <w:rFonts w:ascii="Arial" w:hAnsi="Arial" w:cs="Arial"/>
          <w:iCs/>
          <w:snapToGrid w:val="0"/>
          <w:sz w:val="22"/>
          <w:szCs w:val="22"/>
        </w:rPr>
        <w:t>a</w:t>
      </w:r>
      <w:proofErr w:type="gramEnd"/>
      <w:r w:rsidR="00925988">
        <w:rPr>
          <w:rFonts w:ascii="Arial" w:hAnsi="Arial" w:cs="Arial"/>
          <w:iCs/>
          <w:snapToGrid w:val="0"/>
          <w:sz w:val="22"/>
          <w:szCs w:val="22"/>
        </w:rPr>
        <w:t xml:space="preserve"> </w:t>
      </w:r>
      <w:proofErr w:type="spellStart"/>
      <w:r w:rsidR="00925988">
        <w:rPr>
          <w:rFonts w:ascii="Arial" w:hAnsi="Arial" w:cs="Arial"/>
          <w:iCs/>
          <w:snapToGrid w:val="0"/>
          <w:sz w:val="22"/>
          <w:szCs w:val="22"/>
        </w:rPr>
        <w:t>rLH</w:t>
      </w:r>
      <w:proofErr w:type="spellEnd"/>
      <w:r w:rsidR="00925988">
        <w:rPr>
          <w:rFonts w:ascii="Arial" w:hAnsi="Arial" w:cs="Arial"/>
          <w:iCs/>
          <w:snapToGrid w:val="0"/>
          <w:sz w:val="22"/>
          <w:szCs w:val="22"/>
        </w:rPr>
        <w:t>,</w:t>
      </w:r>
      <w:r w:rsidRPr="000E2CD8">
        <w:rPr>
          <w:rFonts w:ascii="Arial" w:hAnsi="Arial" w:cs="Arial"/>
          <w:iCs/>
          <w:snapToGrid w:val="0"/>
          <w:sz w:val="22"/>
          <w:szCs w:val="22"/>
          <w:vertAlign w:val="subscript"/>
        </w:rPr>
        <w:t xml:space="preserve"> </w:t>
      </w:r>
      <w:r w:rsidRPr="000E2CD8">
        <w:rPr>
          <w:rFonts w:ascii="Arial" w:hAnsi="Arial" w:cs="Arial"/>
          <w:iCs/>
          <w:snapToGrid w:val="0"/>
          <w:sz w:val="22"/>
          <w:szCs w:val="22"/>
        </w:rPr>
        <w:t>at the March 2015 meeting of the PBAC</w:t>
      </w:r>
      <w:r w:rsidRPr="000E2CD8">
        <w:rPr>
          <w:rFonts w:ascii="Arial" w:hAnsi="Arial"/>
          <w:i/>
          <w:iCs/>
          <w:sz w:val="22"/>
          <w:szCs w:val="22"/>
        </w:rPr>
        <w:t>.</w:t>
      </w:r>
      <w:r w:rsidR="00D75AA5">
        <w:rPr>
          <w:rFonts w:ascii="Arial" w:hAnsi="Arial"/>
          <w:i/>
          <w:iCs/>
          <w:sz w:val="22"/>
          <w:szCs w:val="22"/>
        </w:rPr>
        <w:t xml:space="preserve"> </w:t>
      </w:r>
      <w:proofErr w:type="spellStart"/>
      <w:r w:rsidR="00D75AA5">
        <w:rPr>
          <w:rFonts w:ascii="Arial" w:hAnsi="Arial" w:cs="Arial"/>
          <w:sz w:val="22"/>
          <w:szCs w:val="22"/>
        </w:rPr>
        <w:t>Luveris</w:t>
      </w:r>
      <w:proofErr w:type="spellEnd"/>
      <w:r w:rsidR="00D75AA5">
        <w:rPr>
          <w:rFonts w:ascii="Arial" w:hAnsi="Arial" w:cs="Arial"/>
          <w:sz w:val="22"/>
          <w:szCs w:val="22"/>
        </w:rPr>
        <w:t xml:space="preserve"> wa</w:t>
      </w:r>
      <w:r w:rsidR="00C83856" w:rsidRPr="000E2CD8">
        <w:rPr>
          <w:rFonts w:ascii="Arial" w:hAnsi="Arial" w:cs="Arial"/>
          <w:sz w:val="22"/>
          <w:szCs w:val="22"/>
        </w:rPr>
        <w:t xml:space="preserve">s recommended by PBAC and </w:t>
      </w:r>
      <w:r w:rsidR="00D75AA5">
        <w:rPr>
          <w:rFonts w:ascii="Arial" w:hAnsi="Arial" w:cs="Arial"/>
          <w:sz w:val="22"/>
          <w:szCs w:val="22"/>
        </w:rPr>
        <w:t xml:space="preserve">if it became </w:t>
      </w:r>
      <w:r w:rsidR="00C83856" w:rsidRPr="000E2CD8">
        <w:rPr>
          <w:rFonts w:ascii="Arial" w:hAnsi="Arial" w:cs="Arial"/>
          <w:sz w:val="22"/>
          <w:szCs w:val="22"/>
        </w:rPr>
        <w:t xml:space="preserve">available on the PBS, those patients for whom the fixed dose combination is not considered appropriate could be treated with the individual components or the dose of </w:t>
      </w:r>
      <w:proofErr w:type="spellStart"/>
      <w:r w:rsidR="00C83856" w:rsidRPr="000E2CD8">
        <w:rPr>
          <w:rFonts w:ascii="Arial" w:hAnsi="Arial" w:cs="Arial"/>
          <w:sz w:val="22"/>
          <w:szCs w:val="22"/>
        </w:rPr>
        <w:t>Luveris</w:t>
      </w:r>
      <w:proofErr w:type="spellEnd"/>
      <w:r w:rsidR="00C83856" w:rsidRPr="000E2CD8">
        <w:rPr>
          <w:rFonts w:ascii="Arial" w:hAnsi="Arial" w:cs="Arial"/>
          <w:sz w:val="22"/>
          <w:szCs w:val="22"/>
        </w:rPr>
        <w:t xml:space="preserve"> could be titrated.</w:t>
      </w:r>
    </w:p>
    <w:p w:rsidR="00EF44A0" w:rsidRDefault="00EF44A0" w:rsidP="00EF44A0">
      <w:pPr>
        <w:pStyle w:val="ListParagraph"/>
        <w:jc w:val="both"/>
        <w:rPr>
          <w:rFonts w:ascii="Arial" w:hAnsi="Arial"/>
          <w:b/>
          <w:sz w:val="22"/>
          <w:szCs w:val="22"/>
        </w:rPr>
      </w:pPr>
    </w:p>
    <w:p w:rsidR="003A0BD6" w:rsidRPr="003A0BD6" w:rsidRDefault="003A0BD6" w:rsidP="003A0BD6">
      <w:pPr>
        <w:pStyle w:val="ListParagraph"/>
        <w:jc w:val="both"/>
        <w:rPr>
          <w:rFonts w:ascii="Arial" w:hAnsi="Arial"/>
          <w:sz w:val="22"/>
          <w:szCs w:val="22"/>
        </w:rPr>
      </w:pPr>
    </w:p>
    <w:p w:rsidR="00614159" w:rsidRPr="00DB312E" w:rsidRDefault="006A12A5" w:rsidP="00DB312E">
      <w:pPr>
        <w:pStyle w:val="PBACHeading1"/>
      </w:pPr>
      <w:r w:rsidRPr="00DB312E">
        <w:t>Requested listing</w:t>
      </w:r>
    </w:p>
    <w:p w:rsidR="004D34D8" w:rsidRDefault="004D34D8" w:rsidP="004D34D8">
      <w:pPr>
        <w:pStyle w:val="ListParagraph"/>
        <w:jc w:val="both"/>
        <w:rPr>
          <w:rFonts w:ascii="Arial" w:hAnsi="Arial"/>
          <w:b/>
          <w:sz w:val="22"/>
          <w:szCs w:val="22"/>
        </w:rPr>
      </w:pPr>
    </w:p>
    <w:p w:rsidR="002859EA" w:rsidRPr="002859EA" w:rsidRDefault="002859EA" w:rsidP="002859EA">
      <w:pPr>
        <w:pStyle w:val="ListParagraph"/>
        <w:numPr>
          <w:ilvl w:val="1"/>
          <w:numId w:val="25"/>
        </w:numPr>
        <w:jc w:val="both"/>
        <w:rPr>
          <w:rFonts w:ascii="Arial" w:hAnsi="Arial"/>
          <w:sz w:val="22"/>
          <w:szCs w:val="22"/>
        </w:rPr>
      </w:pPr>
      <w:r w:rsidRPr="002859EA">
        <w:rPr>
          <w:rFonts w:ascii="Arial" w:hAnsi="Arial"/>
          <w:sz w:val="22"/>
          <w:szCs w:val="22"/>
        </w:rPr>
        <w:t>The submission proposes no new changes to the proposed listing.</w:t>
      </w:r>
    </w:p>
    <w:p w:rsidR="002859EA" w:rsidRPr="002859EA" w:rsidRDefault="002859EA" w:rsidP="002859EA">
      <w:pPr>
        <w:pStyle w:val="ListParagraph"/>
        <w:jc w:val="both"/>
        <w:rPr>
          <w:rFonts w:ascii="Arial" w:hAnsi="Arial"/>
          <w:b/>
          <w:i/>
          <w:sz w:val="22"/>
          <w:szCs w:val="22"/>
        </w:rPr>
      </w:pPr>
    </w:p>
    <w:p w:rsidR="002859EA" w:rsidRPr="002E2BF3" w:rsidRDefault="002859EA" w:rsidP="002859EA">
      <w:pPr>
        <w:jc w:val="both"/>
        <w:rPr>
          <w:rFonts w:ascii="Arial" w:hAnsi="Arial" w:cs="Arial"/>
          <w:b/>
          <w:sz w:val="20"/>
          <w:szCs w:val="22"/>
        </w:rPr>
      </w:pPr>
      <w:r w:rsidRPr="002E2BF3">
        <w:rPr>
          <w:rFonts w:ascii="Arial" w:eastAsia="SimSun" w:hAnsi="Arial" w:cs="Arial"/>
          <w:iCs/>
          <w:color w:val="000000"/>
          <w:sz w:val="22"/>
          <w:szCs w:val="22"/>
        </w:rPr>
        <w:t>Suggestions and additions proposed by the Secretariat to the requested listing are added in italics and suggested deletions are crossed out with strikethrough</w:t>
      </w:r>
      <w:r w:rsidR="003F27AE" w:rsidRPr="002E2BF3">
        <w:rPr>
          <w:rFonts w:ascii="Arial" w:eastAsia="SimSun" w:hAnsi="Arial" w:cs="Arial"/>
          <w:iCs/>
          <w:color w:val="000000"/>
          <w:sz w:val="22"/>
          <w:szCs w:val="22"/>
        </w:rPr>
        <w:t>.</w:t>
      </w:r>
    </w:p>
    <w:p w:rsidR="002859EA" w:rsidRDefault="002859EA" w:rsidP="002859EA">
      <w:pPr>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1843"/>
        <w:gridCol w:w="7371"/>
      </w:tblGrid>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 xml:space="preserve">Category / </w:t>
            </w:r>
          </w:p>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rPr>
                <w:rFonts w:ascii="Arial Narrow" w:hAnsi="Arial Narrow" w:cs="Arial"/>
                <w:sz w:val="20"/>
                <w:szCs w:val="20"/>
              </w:rPr>
            </w:pPr>
            <w:r w:rsidRPr="00260CE3">
              <w:rPr>
                <w:rFonts w:ascii="Arial Narrow" w:hAnsi="Arial Narrow" w:cs="Arial"/>
                <w:sz w:val="20"/>
                <w:szCs w:val="20"/>
              </w:rPr>
              <w:t>Section 100 – IVF</w:t>
            </w:r>
            <w:r>
              <w:rPr>
                <w:rFonts w:ascii="Arial Narrow" w:hAnsi="Arial Narrow" w:cs="Arial"/>
                <w:sz w:val="20"/>
                <w:szCs w:val="20"/>
              </w:rPr>
              <w:t>/GIFT Treatment</w:t>
            </w:r>
          </w:p>
          <w:p w:rsidR="002859EA" w:rsidRPr="00260CE3" w:rsidRDefault="002859EA" w:rsidP="0078557B">
            <w:pPr>
              <w:rPr>
                <w:rFonts w:ascii="Arial Narrow" w:hAnsi="Arial Narrow" w:cs="Arial"/>
                <w:sz w:val="20"/>
                <w:szCs w:val="20"/>
              </w:rPr>
            </w:pP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859EA" w:rsidRPr="00260CE3" w:rsidRDefault="002859EA" w:rsidP="0078557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rPr>
                <w:rFonts w:ascii="Arial Narrow" w:hAnsi="Arial Narrow" w:cs="Arial"/>
                <w:sz w:val="20"/>
                <w:szCs w:val="20"/>
              </w:rPr>
            </w:pPr>
            <w:r>
              <w:rPr>
                <w:rFonts w:ascii="Arial Narrow" w:hAnsi="Arial Narrow" w:cs="Arial"/>
                <w:sz w:val="20"/>
                <w:szCs w:val="20"/>
              </w:rPr>
              <w:t xml:space="preserve">Stimulation of follicular </w:t>
            </w:r>
            <w:r w:rsidR="00D75AA5">
              <w:rPr>
                <w:rFonts w:ascii="Arial Narrow" w:hAnsi="Arial Narrow" w:cs="Arial"/>
                <w:sz w:val="20"/>
                <w:szCs w:val="20"/>
              </w:rPr>
              <w:t>development</w:t>
            </w: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rPr>
                <w:rFonts w:ascii="Arial Narrow" w:hAnsi="Arial Narrow" w:cs="Arial"/>
                <w:sz w:val="20"/>
                <w:szCs w:val="20"/>
              </w:rPr>
            </w:pPr>
            <w:r>
              <w:rPr>
                <w:rFonts w:ascii="Arial Narrow" w:hAnsi="Arial Narrow" w:cs="Arial"/>
                <w:sz w:val="20"/>
                <w:szCs w:val="20"/>
              </w:rPr>
              <w:t>Stimulation of follicular development</w:t>
            </w: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859EA" w:rsidRPr="00260CE3" w:rsidRDefault="002859EA" w:rsidP="0078557B">
            <w:pPr>
              <w:rPr>
                <w:rFonts w:ascii="Arial Narrow" w:hAnsi="Arial Narrow"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rsidR="002859EA" w:rsidRPr="00110E64" w:rsidRDefault="002859EA" w:rsidP="0078557B">
            <w:pPr>
              <w:rPr>
                <w:rFonts w:ascii="Arial Narrow" w:hAnsi="Arial Narrow" w:cs="Arial"/>
                <w:sz w:val="20"/>
                <w:szCs w:val="20"/>
              </w:rPr>
            </w:pPr>
            <w:r w:rsidRPr="00110E64">
              <w:rPr>
                <w:rFonts w:ascii="Arial Narrow" w:hAnsi="Arial Narrow" w:cs="Arial"/>
                <w:sz w:val="20"/>
                <w:szCs w:val="20"/>
              </w:rPr>
              <w:fldChar w:fldCharType="begin">
                <w:ffData>
                  <w:name w:val="Check1"/>
                  <w:enabled/>
                  <w:calcOnExit w:val="0"/>
                  <w:checkBox>
                    <w:sizeAuto/>
                    <w:default w:val="1"/>
                  </w:checkBox>
                </w:ffData>
              </w:fldChar>
            </w:r>
            <w:bookmarkStart w:id="0" w:name="Check1"/>
            <w:r w:rsidRPr="00110E64">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10E64">
              <w:rPr>
                <w:rFonts w:ascii="Arial Narrow" w:hAnsi="Arial Narrow" w:cs="Arial"/>
                <w:sz w:val="20"/>
                <w:szCs w:val="20"/>
              </w:rPr>
              <w:fldChar w:fldCharType="end"/>
            </w:r>
            <w:bookmarkEnd w:id="0"/>
            <w:r w:rsidRPr="00110E64">
              <w:rPr>
                <w:rFonts w:ascii="Arial Narrow" w:hAnsi="Arial Narrow" w:cs="Arial"/>
                <w:sz w:val="20"/>
                <w:szCs w:val="20"/>
              </w:rPr>
              <w:t>Restricted benefit (criteria for availability)</w:t>
            </w:r>
          </w:p>
          <w:p w:rsidR="002859EA" w:rsidRPr="00106BCF" w:rsidRDefault="002859EA" w:rsidP="007855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859EA" w:rsidRPr="00106BCF" w:rsidRDefault="002859EA" w:rsidP="0078557B">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2859EA" w:rsidRPr="00106BCF" w:rsidRDefault="002859EA" w:rsidP="007855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859EA" w:rsidRPr="00106BCF" w:rsidRDefault="002859EA" w:rsidP="0078557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859EA" w:rsidRPr="00260CE3" w:rsidRDefault="002859EA" w:rsidP="0078557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t>Clinical criteria:</w:t>
            </w:r>
          </w:p>
          <w:p w:rsidR="002859EA" w:rsidRPr="00260CE3" w:rsidRDefault="002859EA" w:rsidP="0078557B">
            <w:pPr>
              <w:jc w:val="both"/>
              <w:rPr>
                <w:rFonts w:ascii="Arial Narrow" w:hAnsi="Arial Narrow" w:cs="Arial"/>
                <w:i/>
                <w:sz w:val="20"/>
                <w:szCs w:val="20"/>
              </w:rPr>
            </w:pPr>
          </w:p>
          <w:p w:rsidR="002859EA" w:rsidRPr="00260CE3" w:rsidRDefault="002859EA" w:rsidP="0078557B">
            <w:pPr>
              <w:jc w:val="both"/>
              <w:rPr>
                <w:rFonts w:ascii="Arial Narrow" w:hAnsi="Arial Narrow"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rPr>
                <w:rFonts w:ascii="Arial Narrow" w:hAnsi="Arial Narrow" w:cs="Arial"/>
                <w:sz w:val="20"/>
                <w:szCs w:val="20"/>
              </w:rPr>
            </w:pPr>
          </w:p>
          <w:p w:rsidR="002859EA" w:rsidRPr="00110E64" w:rsidRDefault="002859EA" w:rsidP="0078557B">
            <w:pPr>
              <w:rPr>
                <w:rFonts w:ascii="Arial Narrow" w:hAnsi="Arial Narrow" w:cs="Arial"/>
                <w:i/>
                <w:sz w:val="20"/>
                <w:szCs w:val="20"/>
              </w:rPr>
            </w:pPr>
            <w:r w:rsidRPr="00110E64">
              <w:rPr>
                <w:rFonts w:ascii="Arial Narrow" w:hAnsi="Arial Narrow" w:cs="Arial"/>
                <w:i/>
                <w:sz w:val="20"/>
                <w:szCs w:val="20"/>
              </w:rPr>
              <w:t xml:space="preserve">Patient must have severe LH deficiency </w:t>
            </w:r>
          </w:p>
          <w:p w:rsidR="002859EA" w:rsidRPr="00110E64" w:rsidRDefault="002859EA" w:rsidP="0078557B">
            <w:pPr>
              <w:rPr>
                <w:rFonts w:ascii="Arial Narrow" w:hAnsi="Arial Narrow" w:cs="Arial"/>
                <w:i/>
                <w:sz w:val="20"/>
                <w:szCs w:val="20"/>
              </w:rPr>
            </w:pPr>
          </w:p>
          <w:p w:rsidR="002859EA" w:rsidRPr="00110E64" w:rsidRDefault="002859EA" w:rsidP="0078557B">
            <w:pPr>
              <w:rPr>
                <w:rFonts w:ascii="Arial Narrow" w:hAnsi="Arial Narrow" w:cs="Arial"/>
                <w:i/>
                <w:sz w:val="20"/>
                <w:szCs w:val="20"/>
              </w:rPr>
            </w:pPr>
            <w:r w:rsidRPr="00110E64">
              <w:rPr>
                <w:rFonts w:ascii="Arial Narrow" w:hAnsi="Arial Narrow" w:cs="Arial"/>
                <w:i/>
                <w:sz w:val="20"/>
                <w:szCs w:val="20"/>
              </w:rPr>
              <w:t>AND</w:t>
            </w:r>
          </w:p>
          <w:p w:rsidR="002859EA" w:rsidRPr="00110E64" w:rsidRDefault="002859EA" w:rsidP="0078557B">
            <w:pPr>
              <w:rPr>
                <w:rFonts w:ascii="Arial Narrow" w:hAnsi="Arial Narrow" w:cs="Arial"/>
                <w:i/>
                <w:sz w:val="20"/>
                <w:szCs w:val="20"/>
              </w:rPr>
            </w:pPr>
          </w:p>
          <w:p w:rsidR="002859EA" w:rsidRPr="00110E64" w:rsidRDefault="002859EA" w:rsidP="0078557B">
            <w:pPr>
              <w:rPr>
                <w:rFonts w:ascii="Arial Narrow" w:hAnsi="Arial Narrow" w:cs="Arial"/>
                <w:i/>
                <w:sz w:val="20"/>
                <w:szCs w:val="20"/>
              </w:rPr>
            </w:pPr>
            <w:r w:rsidRPr="00110E64">
              <w:rPr>
                <w:rFonts w:ascii="Arial Narrow" w:hAnsi="Arial Narrow" w:cs="Arial"/>
                <w:i/>
                <w:sz w:val="20"/>
                <w:szCs w:val="20"/>
              </w:rPr>
              <w:t>Patient must be receiving medical treatment as described in items 13200, 13201, 13202 or 13203 of the Medicare Benefits Schedule</w:t>
            </w:r>
          </w:p>
          <w:p w:rsidR="002859EA" w:rsidRPr="00260CE3" w:rsidRDefault="002859EA" w:rsidP="0078557B">
            <w:pPr>
              <w:jc w:val="both"/>
              <w:rPr>
                <w:rFonts w:ascii="Arial Narrow" w:hAnsi="Arial Narrow" w:cs="Arial"/>
                <w:sz w:val="20"/>
                <w:szCs w:val="20"/>
              </w:rPr>
            </w:pPr>
          </w:p>
        </w:tc>
      </w:tr>
      <w:tr w:rsidR="002859EA"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2859EA" w:rsidRPr="00260CE3" w:rsidRDefault="002859EA" w:rsidP="0078557B">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2859EA" w:rsidRPr="00260CE3" w:rsidRDefault="002859EA" w:rsidP="0078557B">
            <w:pPr>
              <w:jc w:val="both"/>
              <w:rPr>
                <w:rFonts w:ascii="Arial Narrow" w:hAnsi="Arial Narrow" w:cs="Arial"/>
                <w:i/>
                <w:sz w:val="20"/>
                <w:szCs w:val="20"/>
              </w:rPr>
            </w:pPr>
          </w:p>
        </w:tc>
        <w:tc>
          <w:tcPr>
            <w:tcW w:w="7371" w:type="dxa"/>
            <w:tcBorders>
              <w:top w:val="single" w:sz="4" w:space="0" w:color="auto"/>
              <w:left w:val="single" w:sz="4" w:space="0" w:color="auto"/>
              <w:bottom w:val="single" w:sz="4" w:space="0" w:color="auto"/>
              <w:right w:val="single" w:sz="4" w:space="0" w:color="auto"/>
            </w:tcBorders>
          </w:tcPr>
          <w:p w:rsidR="002859EA" w:rsidRPr="00110E64" w:rsidRDefault="002859EA" w:rsidP="0078557B">
            <w:pPr>
              <w:rPr>
                <w:rFonts w:ascii="Arial Narrow" w:hAnsi="Arial Narrow" w:cs="Arial"/>
                <w:i/>
                <w:sz w:val="20"/>
                <w:szCs w:val="20"/>
              </w:rPr>
            </w:pPr>
            <w:r w:rsidRPr="00110E64">
              <w:rPr>
                <w:rFonts w:ascii="Arial Narrow" w:hAnsi="Arial Narrow" w:cs="Arial"/>
                <w:i/>
                <w:sz w:val="20"/>
                <w:szCs w:val="20"/>
              </w:rPr>
              <w:t>Supply of these items is through an accredited IVF/GIFT clinic.</w:t>
            </w:r>
          </w:p>
          <w:p w:rsidR="002859EA" w:rsidRPr="00260CE3" w:rsidRDefault="002859EA" w:rsidP="0078557B">
            <w:pPr>
              <w:rPr>
                <w:rFonts w:ascii="Arial Narrow" w:hAnsi="Arial Narrow" w:cs="Arial"/>
                <w:sz w:val="20"/>
                <w:szCs w:val="20"/>
              </w:rPr>
            </w:pPr>
            <w:r w:rsidRPr="00110E64">
              <w:rPr>
                <w:rFonts w:ascii="Arial Narrow" w:hAnsi="Arial Narrow" w:cs="Arial"/>
                <w:i/>
                <w:sz w:val="20"/>
                <w:szCs w:val="20"/>
              </w:rPr>
              <w:t>For enquiries relating to the IVF/GIFT program, medical practitioners should contact Medicare Australia on 1800 700 270</w:t>
            </w:r>
          </w:p>
        </w:tc>
      </w:tr>
    </w:tbl>
    <w:p w:rsidR="002859EA" w:rsidRDefault="002859EA" w:rsidP="002859EA">
      <w:pPr>
        <w:pStyle w:val="ListParagraph"/>
        <w:jc w:val="both"/>
        <w:rPr>
          <w:rFonts w:ascii="Arial" w:hAnsi="Arial"/>
          <w:b/>
          <w:sz w:val="22"/>
          <w:szCs w:val="22"/>
        </w:rPr>
      </w:pPr>
    </w:p>
    <w:p w:rsidR="00DE4CCF" w:rsidRPr="00DA2539" w:rsidRDefault="004D34D8" w:rsidP="00DE4CCF">
      <w:pPr>
        <w:pStyle w:val="ListParagraph"/>
        <w:numPr>
          <w:ilvl w:val="1"/>
          <w:numId w:val="25"/>
        </w:numPr>
        <w:jc w:val="both"/>
        <w:rPr>
          <w:rFonts w:ascii="Arial" w:hAnsi="Arial"/>
          <w:i/>
          <w:sz w:val="22"/>
          <w:szCs w:val="22"/>
        </w:rPr>
      </w:pPr>
      <w:r w:rsidRPr="000C3E84">
        <w:rPr>
          <w:rFonts w:ascii="Arial" w:hAnsi="Arial" w:cs="Arial"/>
          <w:iCs/>
          <w:snapToGrid w:val="0"/>
          <w:sz w:val="22"/>
          <w:szCs w:val="22"/>
        </w:rPr>
        <w:t>The submission proposed</w:t>
      </w:r>
      <w:r w:rsidR="000C3E84" w:rsidRPr="000C3E84">
        <w:rPr>
          <w:rFonts w:ascii="Arial" w:hAnsi="Arial" w:cs="Arial"/>
          <w:iCs/>
          <w:snapToGrid w:val="0"/>
          <w:sz w:val="22"/>
          <w:szCs w:val="22"/>
        </w:rPr>
        <w:t xml:space="preserve"> the listing for </w:t>
      </w:r>
      <w:proofErr w:type="spellStart"/>
      <w:r w:rsidR="000C3E84" w:rsidRPr="000C3E84">
        <w:rPr>
          <w:rFonts w:ascii="Arial" w:hAnsi="Arial" w:cs="Arial"/>
          <w:iCs/>
          <w:snapToGrid w:val="0"/>
          <w:sz w:val="22"/>
          <w:szCs w:val="22"/>
        </w:rPr>
        <w:t>Pergoveris</w:t>
      </w:r>
      <w:proofErr w:type="spellEnd"/>
      <w:r w:rsidR="000C3E84" w:rsidRPr="00886D2B">
        <w:rPr>
          <w:rFonts w:ascii="Arial" w:hAnsi="Arial" w:cs="Arial"/>
          <w:iCs/>
          <w:snapToGrid w:val="0"/>
          <w:sz w:val="22"/>
          <w:szCs w:val="22"/>
          <w:vertAlign w:val="superscript"/>
        </w:rPr>
        <w:t>®</w:t>
      </w:r>
      <w:r w:rsidRPr="000C3E84">
        <w:rPr>
          <w:rFonts w:ascii="Arial" w:hAnsi="Arial" w:cs="Arial"/>
          <w:iCs/>
          <w:snapToGrid w:val="0"/>
          <w:sz w:val="22"/>
          <w:szCs w:val="22"/>
        </w:rPr>
        <w:t xml:space="preserve"> a FDC product </w:t>
      </w:r>
      <w:r w:rsidR="002859EA">
        <w:rPr>
          <w:rFonts w:ascii="Arial" w:hAnsi="Arial" w:cs="Arial"/>
          <w:iCs/>
          <w:snapToGrid w:val="0"/>
          <w:sz w:val="22"/>
          <w:szCs w:val="22"/>
        </w:rPr>
        <w:t xml:space="preserve">to </w:t>
      </w:r>
      <w:r w:rsidR="00821069">
        <w:rPr>
          <w:rFonts w:ascii="Arial" w:hAnsi="Arial" w:cs="Arial"/>
          <w:iCs/>
          <w:snapToGrid w:val="0"/>
          <w:sz w:val="22"/>
          <w:szCs w:val="22"/>
        </w:rPr>
        <w:t xml:space="preserve">be </w:t>
      </w:r>
      <w:r w:rsidR="002859EA">
        <w:rPr>
          <w:rFonts w:ascii="Arial" w:hAnsi="Arial" w:cs="Arial"/>
          <w:iCs/>
          <w:snapToGrid w:val="0"/>
          <w:sz w:val="22"/>
          <w:szCs w:val="22"/>
        </w:rPr>
        <w:t>cost</w:t>
      </w:r>
      <w:r w:rsidR="00821069">
        <w:rPr>
          <w:rFonts w:ascii="Arial" w:hAnsi="Arial" w:cs="Arial"/>
          <w:iCs/>
          <w:snapToGrid w:val="0"/>
          <w:sz w:val="22"/>
          <w:szCs w:val="22"/>
        </w:rPr>
        <w:t>ed as</w:t>
      </w:r>
      <w:r w:rsidRPr="000C3E84">
        <w:rPr>
          <w:rFonts w:ascii="Arial" w:hAnsi="Arial" w:cs="Arial"/>
          <w:iCs/>
          <w:snapToGrid w:val="0"/>
          <w:sz w:val="22"/>
          <w:szCs w:val="22"/>
        </w:rPr>
        <w:t xml:space="preserve"> the sum of its components</w:t>
      </w:r>
      <w:r w:rsidR="000C3E84" w:rsidRPr="000C3E84">
        <w:rPr>
          <w:rFonts w:ascii="Arial" w:hAnsi="Arial" w:cs="Arial"/>
          <w:iCs/>
          <w:snapToGrid w:val="0"/>
          <w:sz w:val="22"/>
          <w:szCs w:val="22"/>
        </w:rPr>
        <w:t>. It</w:t>
      </w:r>
      <w:r w:rsidRPr="000C3E84">
        <w:rPr>
          <w:rFonts w:ascii="Arial" w:hAnsi="Arial" w:cs="Arial"/>
          <w:iCs/>
          <w:snapToGrid w:val="0"/>
          <w:sz w:val="22"/>
          <w:szCs w:val="22"/>
        </w:rPr>
        <w:t xml:space="preserve"> </w:t>
      </w:r>
      <w:r w:rsidR="000C3E84" w:rsidRPr="000C3E84">
        <w:rPr>
          <w:rFonts w:ascii="Arial" w:hAnsi="Arial" w:cs="Arial"/>
          <w:iCs/>
          <w:snapToGrid w:val="0"/>
          <w:sz w:val="22"/>
          <w:szCs w:val="22"/>
        </w:rPr>
        <w:t xml:space="preserve">is estimated to result in no additional cost to the PBS over the first five years compared to the reimbursed use of its components, </w:t>
      </w:r>
      <w:proofErr w:type="spellStart"/>
      <w:r w:rsidR="000C3E84" w:rsidRPr="000C3E84">
        <w:rPr>
          <w:rFonts w:ascii="Arial" w:hAnsi="Arial" w:cs="Arial"/>
          <w:iCs/>
          <w:snapToGrid w:val="0"/>
          <w:sz w:val="22"/>
          <w:szCs w:val="22"/>
        </w:rPr>
        <w:t>Gonal</w:t>
      </w:r>
      <w:proofErr w:type="spellEnd"/>
      <w:r w:rsidR="000C3E84" w:rsidRPr="000C3E84">
        <w:rPr>
          <w:rFonts w:ascii="Arial" w:hAnsi="Arial" w:cs="Arial"/>
          <w:iCs/>
          <w:snapToGrid w:val="0"/>
          <w:sz w:val="22"/>
          <w:szCs w:val="22"/>
        </w:rPr>
        <w:t xml:space="preserve">-f </w:t>
      </w:r>
      <w:r w:rsidR="0036381F">
        <w:rPr>
          <w:rFonts w:ascii="Arial" w:hAnsi="Arial" w:cs="Arial"/>
          <w:iCs/>
          <w:snapToGrid w:val="0"/>
          <w:sz w:val="22"/>
          <w:szCs w:val="22"/>
        </w:rPr>
        <w:t>(</w:t>
      </w:r>
      <w:proofErr w:type="spellStart"/>
      <w:r w:rsidR="0036381F">
        <w:rPr>
          <w:rFonts w:ascii="Arial" w:hAnsi="Arial" w:cs="Arial"/>
          <w:iCs/>
          <w:snapToGrid w:val="0"/>
          <w:sz w:val="22"/>
          <w:szCs w:val="22"/>
        </w:rPr>
        <w:t>rFSH</w:t>
      </w:r>
      <w:proofErr w:type="spellEnd"/>
      <w:r w:rsidR="0036381F">
        <w:rPr>
          <w:rFonts w:ascii="Arial" w:hAnsi="Arial" w:cs="Arial"/>
          <w:iCs/>
          <w:snapToGrid w:val="0"/>
          <w:sz w:val="22"/>
          <w:szCs w:val="22"/>
        </w:rPr>
        <w:t xml:space="preserve">) </w:t>
      </w:r>
      <w:r w:rsidR="000C3E84" w:rsidRPr="000C3E84">
        <w:rPr>
          <w:rFonts w:ascii="Arial" w:hAnsi="Arial" w:cs="Arial"/>
          <w:iCs/>
          <w:snapToGrid w:val="0"/>
          <w:sz w:val="22"/>
          <w:szCs w:val="22"/>
        </w:rPr>
        <w:t xml:space="preserve">and </w:t>
      </w:r>
      <w:proofErr w:type="spellStart"/>
      <w:r w:rsidR="000C3E84" w:rsidRPr="000C3E84">
        <w:rPr>
          <w:rFonts w:ascii="Arial" w:hAnsi="Arial" w:cs="Arial"/>
          <w:iCs/>
          <w:snapToGrid w:val="0"/>
          <w:sz w:val="22"/>
          <w:szCs w:val="22"/>
        </w:rPr>
        <w:t>Luveris</w:t>
      </w:r>
      <w:proofErr w:type="spellEnd"/>
      <w:r w:rsidR="0036381F">
        <w:rPr>
          <w:rFonts w:ascii="Arial" w:hAnsi="Arial" w:cs="Arial"/>
          <w:iCs/>
          <w:snapToGrid w:val="0"/>
          <w:sz w:val="22"/>
          <w:szCs w:val="22"/>
        </w:rPr>
        <w:t xml:space="preserve"> (</w:t>
      </w:r>
      <w:proofErr w:type="spellStart"/>
      <w:r w:rsidR="0036381F">
        <w:rPr>
          <w:rFonts w:ascii="Arial" w:hAnsi="Arial" w:cs="Arial"/>
          <w:iCs/>
          <w:snapToGrid w:val="0"/>
          <w:sz w:val="22"/>
          <w:szCs w:val="22"/>
        </w:rPr>
        <w:t>rLH</w:t>
      </w:r>
      <w:proofErr w:type="spellEnd"/>
      <w:r w:rsidR="0036381F">
        <w:rPr>
          <w:rFonts w:ascii="Arial" w:hAnsi="Arial" w:cs="Arial"/>
          <w:iCs/>
          <w:snapToGrid w:val="0"/>
          <w:sz w:val="22"/>
          <w:szCs w:val="22"/>
        </w:rPr>
        <w:t>)</w:t>
      </w:r>
      <w:r w:rsidR="000C3E84" w:rsidRPr="000C3E84">
        <w:rPr>
          <w:rFonts w:ascii="Arial" w:hAnsi="Arial" w:cs="Arial"/>
          <w:iCs/>
          <w:snapToGrid w:val="0"/>
          <w:sz w:val="22"/>
          <w:szCs w:val="22"/>
        </w:rPr>
        <w:t xml:space="preserve">.  </w:t>
      </w:r>
    </w:p>
    <w:p w:rsidR="00FA4EDC" w:rsidRPr="0008033A" w:rsidRDefault="00FA4EDC" w:rsidP="0008033A">
      <w:pPr>
        <w:jc w:val="both"/>
        <w:rPr>
          <w:rFonts w:ascii="Arial" w:hAnsi="Arial" w:cs="Arial"/>
          <w:i/>
          <w:sz w:val="22"/>
          <w:szCs w:val="22"/>
        </w:rPr>
      </w:pPr>
    </w:p>
    <w:p w:rsidR="00EF21D5" w:rsidRDefault="00EF21D5" w:rsidP="004C2C4A">
      <w:pPr>
        <w:pStyle w:val="ListParagraph"/>
        <w:jc w:val="both"/>
        <w:rPr>
          <w:rFonts w:ascii="Arial" w:hAnsi="Arial"/>
          <w:b/>
          <w:sz w:val="22"/>
          <w:szCs w:val="22"/>
        </w:rPr>
      </w:pPr>
    </w:p>
    <w:p w:rsidR="0088071F" w:rsidRPr="00DB312E" w:rsidRDefault="0088071F" w:rsidP="00DB312E">
      <w:pPr>
        <w:pStyle w:val="PBACHeading1"/>
      </w:pPr>
      <w:r w:rsidRPr="00DB312E">
        <w:t>Background</w:t>
      </w:r>
    </w:p>
    <w:p w:rsidR="0088071F" w:rsidRDefault="0088071F" w:rsidP="0088071F">
      <w:pPr>
        <w:pStyle w:val="ListParagraph"/>
        <w:jc w:val="both"/>
        <w:rPr>
          <w:rFonts w:ascii="Arial" w:hAnsi="Arial"/>
          <w:b/>
          <w:sz w:val="22"/>
          <w:szCs w:val="22"/>
        </w:rPr>
      </w:pPr>
    </w:p>
    <w:p w:rsidR="0088071F" w:rsidRDefault="0088071F" w:rsidP="0088071F">
      <w:pPr>
        <w:pStyle w:val="ListParagraph"/>
        <w:numPr>
          <w:ilvl w:val="1"/>
          <w:numId w:val="25"/>
        </w:numPr>
        <w:jc w:val="both"/>
        <w:rPr>
          <w:rFonts w:ascii="Arial" w:hAnsi="Arial"/>
          <w:sz w:val="22"/>
          <w:szCs w:val="22"/>
        </w:rPr>
      </w:pPr>
      <w:proofErr w:type="spellStart"/>
      <w:r w:rsidRPr="00A65C96">
        <w:rPr>
          <w:rFonts w:ascii="Arial" w:hAnsi="Arial" w:cs="Arial"/>
          <w:sz w:val="22"/>
          <w:szCs w:val="22"/>
        </w:rPr>
        <w:t>Pergoveris</w:t>
      </w:r>
      <w:proofErr w:type="spellEnd"/>
      <w:r w:rsidRPr="00A65C96">
        <w:rPr>
          <w:rFonts w:ascii="Arial" w:hAnsi="Arial" w:cs="Arial"/>
          <w:sz w:val="22"/>
          <w:szCs w:val="22"/>
        </w:rPr>
        <w:t xml:space="preserve"> was registered with the Therapeutic Goods Administration (TGA) in 2009 for </w:t>
      </w:r>
      <w:r w:rsidRPr="00A65C96">
        <w:rPr>
          <w:rFonts w:ascii="Arial" w:hAnsi="Arial" w:cs="Arial"/>
          <w:i/>
          <w:sz w:val="22"/>
          <w:szCs w:val="22"/>
        </w:rPr>
        <w:t>“</w:t>
      </w:r>
      <w:r>
        <w:rPr>
          <w:rFonts w:ascii="Arial" w:hAnsi="Arial" w:cs="Arial"/>
          <w:i/>
          <w:sz w:val="22"/>
          <w:szCs w:val="22"/>
        </w:rPr>
        <w:t>t</w:t>
      </w:r>
      <w:r w:rsidRPr="00A65C96">
        <w:rPr>
          <w:rFonts w:ascii="Arial" w:hAnsi="Arial" w:cs="Arial"/>
          <w:i/>
          <w:sz w:val="22"/>
          <w:szCs w:val="22"/>
        </w:rPr>
        <w:t xml:space="preserve">he stimulation of follicular development in women with severe LH and FSH deficiency. </w:t>
      </w:r>
      <w:r>
        <w:rPr>
          <w:rFonts w:ascii="Arial" w:hAnsi="Arial" w:cs="Arial"/>
          <w:i/>
          <w:sz w:val="22"/>
          <w:szCs w:val="22"/>
        </w:rPr>
        <w:t xml:space="preserve"> </w:t>
      </w:r>
      <w:r w:rsidRPr="00A65C96">
        <w:rPr>
          <w:rFonts w:ascii="Arial" w:hAnsi="Arial" w:cs="Arial"/>
          <w:i/>
          <w:sz w:val="22"/>
          <w:szCs w:val="22"/>
        </w:rPr>
        <w:t>In clinical trials these patients were defined by an endogenous serum LH of less than 1.2 IU/L”</w:t>
      </w:r>
      <w:r>
        <w:rPr>
          <w:rFonts w:ascii="Arial" w:hAnsi="Arial"/>
          <w:sz w:val="22"/>
          <w:szCs w:val="22"/>
        </w:rPr>
        <w:t>.</w:t>
      </w:r>
    </w:p>
    <w:p w:rsidR="0088071F" w:rsidRDefault="0088071F" w:rsidP="0088071F">
      <w:pPr>
        <w:pStyle w:val="ListParagraph"/>
        <w:jc w:val="both"/>
        <w:rPr>
          <w:rFonts w:ascii="Arial" w:hAnsi="Arial"/>
          <w:sz w:val="22"/>
          <w:szCs w:val="22"/>
        </w:rPr>
      </w:pPr>
    </w:p>
    <w:p w:rsidR="0088071F" w:rsidRDefault="0088071F" w:rsidP="0088071F">
      <w:pPr>
        <w:pStyle w:val="ListParagraph"/>
        <w:numPr>
          <w:ilvl w:val="1"/>
          <w:numId w:val="25"/>
        </w:numPr>
        <w:jc w:val="both"/>
        <w:rPr>
          <w:rFonts w:ascii="Arial" w:hAnsi="Arial"/>
          <w:sz w:val="22"/>
          <w:szCs w:val="22"/>
        </w:rPr>
      </w:pPr>
      <w:r w:rsidRPr="00D61FF0">
        <w:rPr>
          <w:rFonts w:ascii="Arial" w:hAnsi="Arial" w:cs="Arial"/>
          <w:sz w:val="22"/>
          <w:szCs w:val="22"/>
        </w:rPr>
        <w:t>At the March 2012 meeting,</w:t>
      </w:r>
      <w:r w:rsidRPr="00D61FF0">
        <w:rPr>
          <w:rFonts w:ascii="Arial" w:hAnsi="Arial" w:cs="Arial"/>
          <w:iCs/>
          <w:snapToGrid w:val="0"/>
          <w:sz w:val="22"/>
          <w:szCs w:val="22"/>
        </w:rPr>
        <w:t xml:space="preserve"> </w:t>
      </w:r>
      <w:r>
        <w:rPr>
          <w:rFonts w:ascii="Arial" w:hAnsi="Arial" w:cs="Arial"/>
          <w:iCs/>
          <w:snapToGrid w:val="0"/>
          <w:sz w:val="22"/>
          <w:szCs w:val="22"/>
        </w:rPr>
        <w:t xml:space="preserve">the PBAC rejected </w:t>
      </w:r>
      <w:r w:rsidR="0036381F">
        <w:rPr>
          <w:rFonts w:ascii="Arial" w:hAnsi="Arial" w:cs="Arial"/>
          <w:iCs/>
          <w:snapToGrid w:val="0"/>
          <w:sz w:val="22"/>
          <w:szCs w:val="22"/>
        </w:rPr>
        <w:t>a</w:t>
      </w:r>
      <w:r>
        <w:rPr>
          <w:rFonts w:ascii="Arial" w:hAnsi="Arial" w:cs="Arial"/>
          <w:iCs/>
          <w:snapToGrid w:val="0"/>
          <w:sz w:val="22"/>
          <w:szCs w:val="22"/>
        </w:rPr>
        <w:t xml:space="preserve"> minor submission to list </w:t>
      </w:r>
      <w:proofErr w:type="spellStart"/>
      <w:r>
        <w:rPr>
          <w:rFonts w:ascii="Arial" w:hAnsi="Arial" w:cs="Arial"/>
          <w:iCs/>
          <w:snapToGrid w:val="0"/>
          <w:sz w:val="22"/>
          <w:szCs w:val="22"/>
        </w:rPr>
        <w:t>Pergoveris</w:t>
      </w:r>
      <w:proofErr w:type="spellEnd"/>
      <w:r w:rsidR="00886D2B" w:rsidRPr="00886D2B">
        <w:rPr>
          <w:rFonts w:ascii="Arial" w:hAnsi="Arial" w:cs="Arial"/>
          <w:iCs/>
          <w:snapToGrid w:val="0"/>
          <w:sz w:val="22"/>
          <w:szCs w:val="22"/>
          <w:vertAlign w:val="superscript"/>
        </w:rPr>
        <w:t>®</w:t>
      </w:r>
      <w:r>
        <w:rPr>
          <w:rFonts w:ascii="Arial" w:hAnsi="Arial" w:cs="Arial"/>
          <w:iCs/>
          <w:snapToGrid w:val="0"/>
          <w:sz w:val="22"/>
          <w:szCs w:val="22"/>
        </w:rPr>
        <w:t>. T</w:t>
      </w:r>
      <w:r w:rsidRPr="00D61FF0">
        <w:rPr>
          <w:rFonts w:ascii="Arial" w:hAnsi="Arial" w:cs="Arial"/>
          <w:iCs/>
          <w:snapToGrid w:val="0"/>
          <w:sz w:val="22"/>
          <w:szCs w:val="22"/>
        </w:rPr>
        <w:t>he PBAC noted that no evidence was presented in the submission</w:t>
      </w:r>
      <w:r>
        <w:rPr>
          <w:rFonts w:ascii="Arial" w:hAnsi="Arial" w:cs="Arial"/>
          <w:iCs/>
          <w:snapToGrid w:val="0"/>
          <w:sz w:val="22"/>
          <w:szCs w:val="22"/>
        </w:rPr>
        <w:t xml:space="preserve"> that could be used to determine the</w:t>
      </w:r>
      <w:r w:rsidRPr="00D61FF0">
        <w:rPr>
          <w:rFonts w:ascii="Arial" w:hAnsi="Arial" w:cs="Arial"/>
          <w:iCs/>
          <w:snapToGrid w:val="0"/>
          <w:sz w:val="22"/>
          <w:szCs w:val="22"/>
        </w:rPr>
        <w:t xml:space="preserve"> comparative effectiveness of the combination product and </w:t>
      </w:r>
      <w:proofErr w:type="spellStart"/>
      <w:r w:rsidRPr="00D61FF0">
        <w:rPr>
          <w:rFonts w:ascii="Arial" w:hAnsi="Arial" w:cs="Arial"/>
          <w:iCs/>
          <w:snapToGrid w:val="0"/>
          <w:sz w:val="22"/>
          <w:szCs w:val="22"/>
        </w:rPr>
        <w:t>follitropin</w:t>
      </w:r>
      <w:proofErr w:type="spellEnd"/>
      <w:r w:rsidRPr="00D61FF0">
        <w:rPr>
          <w:rFonts w:ascii="Arial" w:hAnsi="Arial" w:cs="Arial"/>
          <w:iCs/>
          <w:snapToGrid w:val="0"/>
          <w:sz w:val="22"/>
          <w:szCs w:val="22"/>
        </w:rPr>
        <w:t xml:space="preserve"> alfa. Additionally, inadequate evidence was provided of the efficacy of the combination product in the defined sub-group of patients with severe LH and FSH deficiency.  At the time, the PBAC considered that these issues would need to be addressed in a major submission to allow full evaluation of the clinical data. The PBAC therefore rejected the submission on the basis of inadequate clinical evidence of comparative effectiveness</w:t>
      </w:r>
      <w:r w:rsidRPr="003A0BD6">
        <w:rPr>
          <w:rFonts w:ascii="Arial" w:hAnsi="Arial"/>
          <w:sz w:val="22"/>
          <w:szCs w:val="22"/>
        </w:rPr>
        <w:t xml:space="preserve">.   </w:t>
      </w:r>
    </w:p>
    <w:p w:rsidR="0088071F" w:rsidRPr="003A0BD6" w:rsidRDefault="0088071F" w:rsidP="0088071F">
      <w:pPr>
        <w:pStyle w:val="ListParagraph"/>
        <w:jc w:val="both"/>
        <w:rPr>
          <w:rFonts w:ascii="Arial" w:hAnsi="Arial"/>
          <w:sz w:val="22"/>
          <w:szCs w:val="22"/>
        </w:rPr>
      </w:pPr>
    </w:p>
    <w:p w:rsidR="0088071F" w:rsidRPr="004C2C4A" w:rsidRDefault="0088071F" w:rsidP="0088071F">
      <w:pPr>
        <w:pStyle w:val="ListParagraph"/>
        <w:numPr>
          <w:ilvl w:val="1"/>
          <w:numId w:val="25"/>
        </w:numPr>
        <w:jc w:val="both"/>
        <w:rPr>
          <w:rFonts w:ascii="Arial" w:hAnsi="Arial"/>
          <w:sz w:val="22"/>
          <w:szCs w:val="22"/>
        </w:rPr>
      </w:pPr>
      <w:r w:rsidRPr="004C2C4A">
        <w:rPr>
          <w:rFonts w:ascii="Arial" w:hAnsi="Arial" w:cs="Arial"/>
          <w:iCs/>
          <w:snapToGrid w:val="0"/>
          <w:sz w:val="22"/>
          <w:szCs w:val="22"/>
        </w:rPr>
        <w:t xml:space="preserve">At the March 2014 meeting, the PBAC rejected the major </w:t>
      </w:r>
      <w:r w:rsidR="0008033A">
        <w:rPr>
          <w:rFonts w:ascii="Arial" w:hAnsi="Arial" w:cs="Arial"/>
          <w:iCs/>
          <w:snapToGrid w:val="0"/>
          <w:sz w:val="22"/>
          <w:szCs w:val="22"/>
        </w:rPr>
        <w:t>re-submission</w:t>
      </w:r>
      <w:r w:rsidRPr="004C2C4A">
        <w:rPr>
          <w:rFonts w:ascii="Arial" w:hAnsi="Arial" w:cs="Arial"/>
          <w:iCs/>
          <w:snapToGrid w:val="0"/>
          <w:sz w:val="22"/>
          <w:szCs w:val="22"/>
        </w:rPr>
        <w:t xml:space="preserve"> for the reimbursement of the combination product </w:t>
      </w:r>
      <w:proofErr w:type="spellStart"/>
      <w:r w:rsidRPr="004C2C4A">
        <w:rPr>
          <w:rFonts w:ascii="Arial" w:hAnsi="Arial" w:cs="Arial"/>
          <w:iCs/>
          <w:snapToGrid w:val="0"/>
          <w:sz w:val="22"/>
          <w:szCs w:val="22"/>
        </w:rPr>
        <w:t>Pergoveris</w:t>
      </w:r>
      <w:proofErr w:type="spellEnd"/>
      <w:r w:rsidRPr="004C2C4A">
        <w:rPr>
          <w:rFonts w:ascii="Arial" w:hAnsi="Arial" w:cs="Arial"/>
          <w:iCs/>
          <w:snapToGrid w:val="0"/>
          <w:sz w:val="22"/>
          <w:szCs w:val="22"/>
          <w:vertAlign w:val="superscript"/>
        </w:rPr>
        <w:t>®</w:t>
      </w:r>
      <w:r w:rsidRPr="004C2C4A">
        <w:rPr>
          <w:rFonts w:ascii="Arial" w:hAnsi="Arial" w:cs="Arial"/>
          <w:iCs/>
          <w:snapToGrid w:val="0"/>
          <w:sz w:val="22"/>
          <w:szCs w:val="22"/>
        </w:rPr>
        <w:t xml:space="preserve">. </w:t>
      </w:r>
      <w:r w:rsidRPr="004C2C4A">
        <w:rPr>
          <w:rFonts w:ascii="Arial" w:hAnsi="Arial" w:cs="Arial"/>
          <w:sz w:val="22"/>
          <w:szCs w:val="22"/>
        </w:rPr>
        <w:t xml:space="preserve">The PBAC considered that the absence of </w:t>
      </w:r>
      <w:proofErr w:type="spellStart"/>
      <w:r w:rsidRPr="004C2C4A">
        <w:rPr>
          <w:rFonts w:ascii="Arial" w:hAnsi="Arial" w:cs="Arial"/>
          <w:sz w:val="22"/>
          <w:szCs w:val="22"/>
        </w:rPr>
        <w:t>rLH</w:t>
      </w:r>
      <w:proofErr w:type="spellEnd"/>
      <w:r w:rsidRPr="004C2C4A">
        <w:rPr>
          <w:rFonts w:ascii="Arial" w:hAnsi="Arial" w:cs="Arial"/>
          <w:sz w:val="22"/>
          <w:szCs w:val="22"/>
        </w:rPr>
        <w:t xml:space="preserve"> in a single-component product was a concern, noting that it would complicate dose titration in clinical practice</w:t>
      </w:r>
      <w:r w:rsidRPr="004C2C4A">
        <w:rPr>
          <w:rFonts w:ascii="Arial" w:hAnsi="Arial"/>
          <w:sz w:val="22"/>
          <w:szCs w:val="22"/>
        </w:rPr>
        <w:t xml:space="preserve">. </w:t>
      </w:r>
      <w:r w:rsidRPr="004C2C4A">
        <w:rPr>
          <w:rFonts w:ascii="Arial" w:hAnsi="Arial" w:cs="Arial"/>
          <w:sz w:val="22"/>
          <w:szCs w:val="22"/>
        </w:rPr>
        <w:t xml:space="preserve">The PBAC noted that the submission had not established the comparative effectiveness and safety of the fixed dose combination to either </w:t>
      </w:r>
      <w:proofErr w:type="spellStart"/>
      <w:r w:rsidRPr="004C2C4A">
        <w:rPr>
          <w:rFonts w:ascii="Arial" w:hAnsi="Arial" w:cs="Arial"/>
          <w:sz w:val="22"/>
          <w:szCs w:val="22"/>
        </w:rPr>
        <w:t>follitropin</w:t>
      </w:r>
      <w:proofErr w:type="spellEnd"/>
      <w:r w:rsidRPr="004C2C4A">
        <w:rPr>
          <w:rFonts w:ascii="Arial" w:hAnsi="Arial" w:cs="Arial"/>
          <w:sz w:val="22"/>
          <w:szCs w:val="22"/>
        </w:rPr>
        <w:t xml:space="preserve"> alfa given alone or the components</w:t>
      </w:r>
      <w:r w:rsidR="00886D2B">
        <w:rPr>
          <w:rFonts w:ascii="Arial" w:hAnsi="Arial" w:cs="Arial"/>
          <w:sz w:val="22"/>
          <w:szCs w:val="22"/>
        </w:rPr>
        <w:t xml:space="preserve"> </w:t>
      </w:r>
      <w:r w:rsidRPr="004C2C4A">
        <w:rPr>
          <w:rFonts w:ascii="Arial" w:hAnsi="Arial" w:cs="Arial"/>
          <w:sz w:val="22"/>
          <w:szCs w:val="22"/>
        </w:rPr>
        <w:t xml:space="preserve">- </w:t>
      </w:r>
      <w:proofErr w:type="spellStart"/>
      <w:r w:rsidRPr="004C2C4A">
        <w:rPr>
          <w:rFonts w:ascii="Arial" w:hAnsi="Arial" w:cs="Arial"/>
          <w:sz w:val="22"/>
          <w:szCs w:val="22"/>
        </w:rPr>
        <w:t>follitropin</w:t>
      </w:r>
      <w:proofErr w:type="spellEnd"/>
      <w:r w:rsidRPr="004C2C4A">
        <w:rPr>
          <w:rFonts w:ascii="Arial" w:hAnsi="Arial" w:cs="Arial"/>
          <w:sz w:val="22"/>
          <w:szCs w:val="22"/>
        </w:rPr>
        <w:t xml:space="preserve"> alfa and </w:t>
      </w:r>
      <w:proofErr w:type="spellStart"/>
      <w:r w:rsidRPr="004C2C4A">
        <w:rPr>
          <w:rFonts w:ascii="Arial" w:hAnsi="Arial" w:cs="Arial"/>
          <w:sz w:val="22"/>
          <w:szCs w:val="22"/>
        </w:rPr>
        <w:t>lutropin</w:t>
      </w:r>
      <w:proofErr w:type="spellEnd"/>
      <w:r w:rsidRPr="004C2C4A">
        <w:rPr>
          <w:rFonts w:ascii="Arial" w:hAnsi="Arial" w:cs="Arial"/>
          <w:sz w:val="22"/>
          <w:szCs w:val="22"/>
        </w:rPr>
        <w:t xml:space="preserve"> alfa given separately or other products containing human menopausal gonadotropin.</w:t>
      </w:r>
      <w:r>
        <w:rPr>
          <w:rFonts w:ascii="Arial" w:hAnsi="Arial" w:cs="Arial"/>
          <w:sz w:val="22"/>
          <w:szCs w:val="22"/>
        </w:rPr>
        <w:t xml:space="preserve"> </w:t>
      </w:r>
      <w:r w:rsidRPr="00A24C98">
        <w:rPr>
          <w:rFonts w:ascii="Arial" w:hAnsi="Arial" w:cs="Arial"/>
          <w:sz w:val="22"/>
          <w:szCs w:val="22"/>
        </w:rPr>
        <w:t xml:space="preserve">The PBAC noted that the submission did not present a formal cost-minimisation analysis, and considered that an appropriate cost-minimisation would need to compare </w:t>
      </w:r>
      <w:proofErr w:type="spellStart"/>
      <w:r w:rsidRPr="00A24C98">
        <w:rPr>
          <w:rFonts w:ascii="Arial" w:hAnsi="Arial" w:cs="Arial"/>
          <w:sz w:val="22"/>
          <w:szCs w:val="22"/>
        </w:rPr>
        <w:t>follitropin</w:t>
      </w:r>
      <w:proofErr w:type="spellEnd"/>
      <w:r w:rsidRPr="00A24C98">
        <w:rPr>
          <w:rFonts w:ascii="Arial" w:hAnsi="Arial" w:cs="Arial"/>
          <w:sz w:val="22"/>
          <w:szCs w:val="22"/>
        </w:rPr>
        <w:t xml:space="preserve"> alfa +</w:t>
      </w:r>
      <w:proofErr w:type="spellStart"/>
      <w:r w:rsidRPr="00A24C98">
        <w:rPr>
          <w:rFonts w:ascii="Arial" w:hAnsi="Arial" w:cs="Arial"/>
          <w:sz w:val="22"/>
          <w:szCs w:val="22"/>
        </w:rPr>
        <w:t>lutropin</w:t>
      </w:r>
      <w:proofErr w:type="spellEnd"/>
      <w:r w:rsidRPr="00A24C98">
        <w:rPr>
          <w:rFonts w:ascii="Arial" w:hAnsi="Arial" w:cs="Arial"/>
          <w:sz w:val="22"/>
          <w:szCs w:val="22"/>
        </w:rPr>
        <w:t xml:space="preserve"> alfa FDC with the components administered concomitantly.</w:t>
      </w:r>
    </w:p>
    <w:p w:rsidR="0088071F" w:rsidRDefault="0088071F" w:rsidP="0088071F">
      <w:pPr>
        <w:pStyle w:val="ListParagraph"/>
        <w:jc w:val="both"/>
        <w:rPr>
          <w:rFonts w:ascii="Arial" w:hAnsi="Arial"/>
          <w:sz w:val="22"/>
          <w:szCs w:val="22"/>
        </w:rPr>
      </w:pPr>
    </w:p>
    <w:p w:rsidR="0088071F" w:rsidRDefault="0088071F" w:rsidP="0088071F">
      <w:pPr>
        <w:pStyle w:val="ListParagraph"/>
        <w:jc w:val="both"/>
        <w:rPr>
          <w:rFonts w:ascii="Arial" w:hAnsi="Arial" w:cs="Arial"/>
          <w:i/>
          <w:iCs/>
          <w:snapToGrid w:val="0"/>
          <w:sz w:val="22"/>
          <w:szCs w:val="22"/>
        </w:rPr>
      </w:pPr>
      <w:r w:rsidRPr="00A24C98">
        <w:rPr>
          <w:rFonts w:ascii="Arial" w:hAnsi="Arial" w:cs="Arial"/>
          <w:i/>
          <w:iCs/>
          <w:snapToGrid w:val="0"/>
          <w:sz w:val="22"/>
          <w:szCs w:val="22"/>
        </w:rPr>
        <w:t>See March 20</w:t>
      </w:r>
      <w:r>
        <w:rPr>
          <w:rFonts w:ascii="Arial" w:hAnsi="Arial" w:cs="Arial"/>
          <w:i/>
          <w:iCs/>
          <w:snapToGrid w:val="0"/>
          <w:sz w:val="22"/>
          <w:szCs w:val="22"/>
        </w:rPr>
        <w:t>14</w:t>
      </w:r>
      <w:r w:rsidRPr="00A24C98">
        <w:rPr>
          <w:rFonts w:ascii="Arial" w:hAnsi="Arial" w:cs="Arial"/>
          <w:i/>
          <w:iCs/>
          <w:snapToGrid w:val="0"/>
          <w:sz w:val="22"/>
          <w:szCs w:val="22"/>
        </w:rPr>
        <w:t xml:space="preserve"> PBAC meeting minutes, agenda item </w:t>
      </w:r>
      <w:r>
        <w:rPr>
          <w:rFonts w:ascii="Arial" w:hAnsi="Arial" w:cs="Arial"/>
          <w:i/>
          <w:iCs/>
          <w:snapToGrid w:val="0"/>
          <w:sz w:val="22"/>
          <w:szCs w:val="22"/>
        </w:rPr>
        <w:t>7.5</w:t>
      </w:r>
      <w:r w:rsidRPr="00A24C98">
        <w:rPr>
          <w:rFonts w:ascii="Arial" w:hAnsi="Arial" w:cs="Arial"/>
          <w:i/>
          <w:iCs/>
          <w:snapToGrid w:val="0"/>
          <w:sz w:val="22"/>
          <w:szCs w:val="22"/>
        </w:rPr>
        <w:t>, ‘</w:t>
      </w:r>
      <w:r>
        <w:rPr>
          <w:rFonts w:ascii="Arial" w:hAnsi="Arial" w:cs="Arial"/>
          <w:i/>
          <w:iCs/>
          <w:snapToGrid w:val="0"/>
          <w:sz w:val="22"/>
          <w:szCs w:val="22"/>
        </w:rPr>
        <w:t>PBAC Outcome</w:t>
      </w:r>
      <w:r w:rsidRPr="00A24C98">
        <w:rPr>
          <w:rFonts w:ascii="Arial" w:hAnsi="Arial" w:cs="Arial"/>
          <w:i/>
          <w:iCs/>
          <w:snapToGrid w:val="0"/>
          <w:sz w:val="22"/>
          <w:szCs w:val="22"/>
        </w:rPr>
        <w:t>’ for further detail</w:t>
      </w:r>
      <w:r w:rsidR="00222F4D">
        <w:rPr>
          <w:rFonts w:ascii="Arial" w:hAnsi="Arial" w:cs="Arial"/>
          <w:i/>
          <w:iCs/>
          <w:snapToGrid w:val="0"/>
          <w:sz w:val="22"/>
          <w:szCs w:val="22"/>
        </w:rPr>
        <w:t>.</w:t>
      </w:r>
    </w:p>
    <w:p w:rsidR="0088071F" w:rsidRDefault="0088071F" w:rsidP="0088071F">
      <w:pPr>
        <w:pStyle w:val="ListParagraph"/>
        <w:jc w:val="both"/>
        <w:rPr>
          <w:rFonts w:ascii="Arial" w:hAnsi="Arial"/>
          <w:b/>
          <w:i/>
          <w:sz w:val="22"/>
          <w:szCs w:val="22"/>
        </w:rPr>
      </w:pPr>
    </w:p>
    <w:p w:rsidR="00C7734A" w:rsidRDefault="00C7734A">
      <w:pPr>
        <w:rPr>
          <w:rFonts w:ascii="Arial" w:hAnsi="Arial"/>
          <w:b/>
          <w:i/>
          <w:sz w:val="22"/>
          <w:szCs w:val="22"/>
        </w:rPr>
      </w:pPr>
      <w:r>
        <w:rPr>
          <w:rFonts w:ascii="Arial" w:hAnsi="Arial"/>
          <w:b/>
          <w:i/>
          <w:sz w:val="22"/>
          <w:szCs w:val="22"/>
        </w:rPr>
        <w:br w:type="page"/>
      </w:r>
    </w:p>
    <w:p w:rsidR="0088071F" w:rsidRPr="00C70C65" w:rsidRDefault="0088071F" w:rsidP="00DB312E">
      <w:pPr>
        <w:pStyle w:val="PBACHeading1"/>
      </w:pPr>
      <w:r w:rsidRPr="00C70C65">
        <w:lastRenderedPageBreak/>
        <w:t>Clinical place for the proposed therapy</w:t>
      </w:r>
    </w:p>
    <w:p w:rsidR="006F3B14" w:rsidRDefault="006F3B14" w:rsidP="0088071F">
      <w:pPr>
        <w:jc w:val="both"/>
        <w:rPr>
          <w:rFonts w:ascii="Arial" w:hAnsi="Arial"/>
          <w:b/>
          <w:i/>
          <w:sz w:val="22"/>
          <w:szCs w:val="22"/>
        </w:rPr>
      </w:pPr>
    </w:p>
    <w:p w:rsidR="005844BB" w:rsidRPr="005844BB" w:rsidRDefault="006F3B14" w:rsidP="005844BB">
      <w:pPr>
        <w:pStyle w:val="ListParagraph"/>
        <w:numPr>
          <w:ilvl w:val="1"/>
          <w:numId w:val="25"/>
        </w:numPr>
        <w:jc w:val="both"/>
        <w:rPr>
          <w:snapToGrid w:val="0"/>
        </w:rPr>
      </w:pPr>
      <w:r w:rsidRPr="00C01E1D">
        <w:rPr>
          <w:rFonts w:ascii="Arial" w:hAnsi="Arial" w:cs="Arial"/>
          <w:iCs/>
          <w:snapToGrid w:val="0"/>
          <w:sz w:val="22"/>
          <w:szCs w:val="22"/>
        </w:rPr>
        <w:t xml:space="preserve">The proposed </w:t>
      </w:r>
      <w:r w:rsidR="00C01E1D" w:rsidRPr="00C01E1D">
        <w:rPr>
          <w:rFonts w:ascii="Arial" w:hAnsi="Arial" w:cs="Arial"/>
          <w:iCs/>
          <w:snapToGrid w:val="0"/>
          <w:sz w:val="22"/>
          <w:szCs w:val="22"/>
        </w:rPr>
        <w:t xml:space="preserve">listing for </w:t>
      </w:r>
      <w:proofErr w:type="spellStart"/>
      <w:r w:rsidR="00886D2B">
        <w:rPr>
          <w:rFonts w:ascii="Arial" w:hAnsi="Arial" w:cs="Arial"/>
          <w:iCs/>
          <w:snapToGrid w:val="0"/>
          <w:sz w:val="22"/>
          <w:szCs w:val="22"/>
        </w:rPr>
        <w:t>Pergoveris</w:t>
      </w:r>
      <w:proofErr w:type="spellEnd"/>
      <w:r w:rsidR="00886D2B" w:rsidRPr="00886D2B">
        <w:rPr>
          <w:rFonts w:ascii="Arial" w:hAnsi="Arial" w:cs="Arial"/>
          <w:iCs/>
          <w:snapToGrid w:val="0"/>
          <w:sz w:val="22"/>
          <w:szCs w:val="22"/>
          <w:vertAlign w:val="superscript"/>
        </w:rPr>
        <w:t>®</w:t>
      </w:r>
      <w:r w:rsidR="00886D2B">
        <w:rPr>
          <w:rFonts w:ascii="Arial" w:hAnsi="Arial" w:cs="Arial"/>
          <w:iCs/>
          <w:snapToGrid w:val="0"/>
          <w:sz w:val="22"/>
          <w:szCs w:val="22"/>
        </w:rPr>
        <w:t xml:space="preserve"> </w:t>
      </w:r>
      <w:r w:rsidR="00C01E1D" w:rsidRPr="00C01E1D">
        <w:rPr>
          <w:rFonts w:ascii="Arial" w:hAnsi="Arial" w:cs="Arial"/>
          <w:iCs/>
          <w:snapToGrid w:val="0"/>
          <w:sz w:val="22"/>
          <w:szCs w:val="22"/>
        </w:rPr>
        <w:t xml:space="preserve">FDC product is for the subgroup of women for whom both </w:t>
      </w:r>
      <w:proofErr w:type="spellStart"/>
      <w:r w:rsidRPr="00C01E1D">
        <w:rPr>
          <w:rFonts w:ascii="Arial" w:hAnsi="Arial" w:cs="Arial"/>
          <w:iCs/>
          <w:snapToGrid w:val="0"/>
          <w:sz w:val="22"/>
          <w:szCs w:val="22"/>
        </w:rPr>
        <w:t>rFSH</w:t>
      </w:r>
      <w:proofErr w:type="spellEnd"/>
      <w:r w:rsidRPr="00C01E1D">
        <w:rPr>
          <w:rFonts w:ascii="Arial" w:hAnsi="Arial" w:cs="Arial"/>
          <w:iCs/>
          <w:snapToGrid w:val="0"/>
          <w:sz w:val="22"/>
          <w:szCs w:val="22"/>
        </w:rPr>
        <w:t xml:space="preserve"> regimen with </w:t>
      </w:r>
      <w:proofErr w:type="spellStart"/>
      <w:r w:rsidRPr="00C01E1D">
        <w:rPr>
          <w:rFonts w:ascii="Arial" w:hAnsi="Arial" w:cs="Arial"/>
          <w:iCs/>
          <w:snapToGrid w:val="0"/>
          <w:sz w:val="22"/>
          <w:szCs w:val="22"/>
        </w:rPr>
        <w:t>rLH</w:t>
      </w:r>
      <w:proofErr w:type="spellEnd"/>
      <w:r w:rsidR="00C01E1D" w:rsidRPr="00C01E1D">
        <w:rPr>
          <w:rFonts w:ascii="Arial" w:hAnsi="Arial" w:cs="Arial"/>
          <w:iCs/>
          <w:snapToGrid w:val="0"/>
          <w:sz w:val="22"/>
          <w:szCs w:val="22"/>
        </w:rPr>
        <w:t xml:space="preserve"> are required to replace a severe deficiency in endogenous LH, and in whom treatment with the FDC product is appropriate</w:t>
      </w:r>
      <w:r w:rsidRPr="00C01E1D">
        <w:rPr>
          <w:rFonts w:ascii="Arial" w:hAnsi="Arial" w:cs="Arial"/>
          <w:iCs/>
          <w:snapToGrid w:val="0"/>
          <w:sz w:val="22"/>
          <w:szCs w:val="22"/>
        </w:rPr>
        <w:t xml:space="preserve">. These women represent approximately </w:t>
      </w:r>
      <w:r w:rsidR="00C11E39">
        <w:rPr>
          <w:rFonts w:ascii="Arial" w:hAnsi="Arial" w:cs="Arial"/>
          <w:iCs/>
          <w:noProof/>
          <w:snapToGrid w:val="0"/>
          <w:color w:val="000000"/>
          <w:sz w:val="22"/>
          <w:szCs w:val="22"/>
          <w:highlight w:val="black"/>
        </w:rPr>
        <w:t>''''''</w:t>
      </w:r>
      <w:r w:rsidRPr="00C01E1D">
        <w:rPr>
          <w:rFonts w:ascii="Arial" w:hAnsi="Arial" w:cs="Arial"/>
          <w:iCs/>
          <w:snapToGrid w:val="0"/>
          <w:sz w:val="22"/>
          <w:szCs w:val="22"/>
        </w:rPr>
        <w:t xml:space="preserve">% of </w:t>
      </w:r>
      <w:r w:rsidR="00886D2B">
        <w:rPr>
          <w:rFonts w:ascii="Arial" w:hAnsi="Arial" w:cs="Arial"/>
          <w:iCs/>
          <w:snapToGrid w:val="0"/>
          <w:sz w:val="22"/>
          <w:szCs w:val="22"/>
        </w:rPr>
        <w:t>Assisted Reproductive Technology (</w:t>
      </w:r>
      <w:r w:rsidRPr="00C01E1D">
        <w:rPr>
          <w:rFonts w:ascii="Arial" w:hAnsi="Arial" w:cs="Arial"/>
          <w:iCs/>
          <w:snapToGrid w:val="0"/>
          <w:sz w:val="22"/>
          <w:szCs w:val="22"/>
        </w:rPr>
        <w:t>ART</w:t>
      </w:r>
      <w:r w:rsidR="00886D2B">
        <w:rPr>
          <w:rFonts w:ascii="Arial" w:hAnsi="Arial" w:cs="Arial"/>
          <w:iCs/>
          <w:snapToGrid w:val="0"/>
          <w:sz w:val="22"/>
          <w:szCs w:val="22"/>
        </w:rPr>
        <w:t>)</w:t>
      </w:r>
      <w:r w:rsidRPr="00C01E1D">
        <w:rPr>
          <w:rFonts w:ascii="Arial" w:hAnsi="Arial" w:cs="Arial"/>
          <w:iCs/>
          <w:snapToGrid w:val="0"/>
          <w:sz w:val="22"/>
          <w:szCs w:val="22"/>
        </w:rPr>
        <w:t xml:space="preserve"> cycles</w:t>
      </w:r>
      <w:r w:rsidR="0044490C">
        <w:rPr>
          <w:rFonts w:ascii="Arial" w:hAnsi="Arial" w:cs="Arial"/>
          <w:iCs/>
          <w:snapToGrid w:val="0"/>
          <w:sz w:val="22"/>
          <w:szCs w:val="22"/>
        </w:rPr>
        <w:t>, according to the minor re</w:t>
      </w:r>
      <w:r w:rsidR="0008033A">
        <w:rPr>
          <w:rFonts w:ascii="Arial" w:hAnsi="Arial" w:cs="Arial"/>
          <w:iCs/>
          <w:snapToGrid w:val="0"/>
          <w:sz w:val="22"/>
          <w:szCs w:val="22"/>
        </w:rPr>
        <w:t>-</w:t>
      </w:r>
      <w:r w:rsidR="0044490C">
        <w:rPr>
          <w:rFonts w:ascii="Arial" w:hAnsi="Arial" w:cs="Arial"/>
          <w:iCs/>
          <w:snapToGrid w:val="0"/>
          <w:sz w:val="22"/>
          <w:szCs w:val="22"/>
        </w:rPr>
        <w:t>submission</w:t>
      </w:r>
      <w:r w:rsidRPr="00C01E1D">
        <w:rPr>
          <w:rFonts w:ascii="Arial" w:hAnsi="Arial" w:cs="Arial"/>
          <w:iCs/>
          <w:snapToGrid w:val="0"/>
          <w:sz w:val="22"/>
          <w:szCs w:val="22"/>
        </w:rPr>
        <w:t xml:space="preserve">. </w:t>
      </w:r>
    </w:p>
    <w:p w:rsidR="00C01E1D" w:rsidRDefault="00C01E1D" w:rsidP="00C01E1D">
      <w:pPr>
        <w:pStyle w:val="ListParagraph"/>
        <w:jc w:val="both"/>
        <w:rPr>
          <w:rFonts w:ascii="Arial" w:hAnsi="Arial" w:cs="Arial"/>
          <w:iCs/>
          <w:snapToGrid w:val="0"/>
          <w:sz w:val="22"/>
          <w:szCs w:val="22"/>
        </w:rPr>
      </w:pPr>
    </w:p>
    <w:p w:rsidR="00C7734A" w:rsidRPr="00C01E1D" w:rsidRDefault="00C7734A" w:rsidP="00C01E1D">
      <w:pPr>
        <w:pStyle w:val="ListParagraph"/>
        <w:jc w:val="both"/>
        <w:rPr>
          <w:rFonts w:ascii="Arial" w:hAnsi="Arial" w:cs="Arial"/>
          <w:iCs/>
          <w:snapToGrid w:val="0"/>
          <w:sz w:val="22"/>
          <w:szCs w:val="22"/>
        </w:rPr>
      </w:pPr>
    </w:p>
    <w:p w:rsidR="0088071F" w:rsidRPr="00C70C65" w:rsidRDefault="0088071F" w:rsidP="00DB312E">
      <w:pPr>
        <w:pStyle w:val="PBACHeading1"/>
      </w:pPr>
      <w:r w:rsidRPr="00C70C65">
        <w:t>Comparator</w:t>
      </w:r>
    </w:p>
    <w:p w:rsidR="00C01E1D" w:rsidRDefault="00C01E1D" w:rsidP="0088071F">
      <w:pPr>
        <w:jc w:val="both"/>
        <w:rPr>
          <w:rFonts w:ascii="Arial" w:hAnsi="Arial"/>
          <w:b/>
          <w:i/>
          <w:sz w:val="22"/>
          <w:szCs w:val="22"/>
        </w:rPr>
      </w:pPr>
    </w:p>
    <w:p w:rsidR="0088071F" w:rsidRDefault="00C01E1D" w:rsidP="00C01E1D">
      <w:pPr>
        <w:pStyle w:val="ListParagraph"/>
        <w:numPr>
          <w:ilvl w:val="1"/>
          <w:numId w:val="25"/>
        </w:numPr>
        <w:jc w:val="both"/>
        <w:rPr>
          <w:rFonts w:ascii="Arial" w:hAnsi="Arial"/>
          <w:b/>
          <w:i/>
          <w:sz w:val="22"/>
          <w:szCs w:val="22"/>
        </w:rPr>
      </w:pPr>
      <w:r>
        <w:rPr>
          <w:rFonts w:ascii="Arial" w:hAnsi="Arial"/>
          <w:sz w:val="22"/>
          <w:szCs w:val="22"/>
        </w:rPr>
        <w:t xml:space="preserve">The minor </w:t>
      </w:r>
      <w:r w:rsidR="003C7429">
        <w:rPr>
          <w:rFonts w:ascii="Arial" w:hAnsi="Arial"/>
          <w:sz w:val="22"/>
          <w:szCs w:val="22"/>
        </w:rPr>
        <w:t>re</w:t>
      </w:r>
      <w:r w:rsidR="0008033A">
        <w:rPr>
          <w:rFonts w:ascii="Arial" w:hAnsi="Arial"/>
          <w:sz w:val="22"/>
          <w:szCs w:val="22"/>
        </w:rPr>
        <w:t>-</w:t>
      </w:r>
      <w:r w:rsidR="004A1C78">
        <w:rPr>
          <w:rFonts w:ascii="Arial" w:hAnsi="Arial"/>
          <w:sz w:val="22"/>
          <w:szCs w:val="22"/>
        </w:rPr>
        <w:t>submission nominated</w:t>
      </w:r>
      <w:r>
        <w:rPr>
          <w:rFonts w:ascii="Arial" w:hAnsi="Arial"/>
          <w:sz w:val="22"/>
          <w:szCs w:val="22"/>
        </w:rPr>
        <w:t xml:space="preserve"> </w:t>
      </w:r>
      <w:r w:rsidR="003565D2">
        <w:rPr>
          <w:rFonts w:ascii="Arial" w:hAnsi="Arial"/>
          <w:sz w:val="22"/>
          <w:szCs w:val="22"/>
        </w:rPr>
        <w:t>its two components</w:t>
      </w:r>
      <w:r w:rsidR="0036381F">
        <w:rPr>
          <w:rFonts w:ascii="Arial" w:hAnsi="Arial"/>
          <w:sz w:val="22"/>
          <w:szCs w:val="22"/>
        </w:rPr>
        <w:t>:</w:t>
      </w:r>
      <w:r w:rsidR="003565D2">
        <w:rPr>
          <w:rFonts w:ascii="Arial" w:hAnsi="Arial"/>
          <w:sz w:val="22"/>
          <w:szCs w:val="22"/>
        </w:rPr>
        <w:t xml:space="preserve"> </w:t>
      </w:r>
      <w:proofErr w:type="spellStart"/>
      <w:r w:rsidR="0036381F">
        <w:rPr>
          <w:rFonts w:ascii="Arial" w:hAnsi="Arial"/>
          <w:sz w:val="22"/>
          <w:szCs w:val="22"/>
        </w:rPr>
        <w:t>follitropin</w:t>
      </w:r>
      <w:proofErr w:type="spellEnd"/>
      <w:r w:rsidR="0036381F">
        <w:rPr>
          <w:rFonts w:ascii="Arial" w:hAnsi="Arial"/>
          <w:sz w:val="22"/>
          <w:szCs w:val="22"/>
        </w:rPr>
        <w:t xml:space="preserve"> alfa (</w:t>
      </w:r>
      <w:proofErr w:type="spellStart"/>
      <w:r w:rsidR="0036381F">
        <w:rPr>
          <w:rFonts w:ascii="Arial" w:hAnsi="Arial"/>
          <w:sz w:val="22"/>
          <w:szCs w:val="22"/>
        </w:rPr>
        <w:t>Gonal</w:t>
      </w:r>
      <w:proofErr w:type="spellEnd"/>
      <w:r w:rsidR="0036381F">
        <w:rPr>
          <w:rFonts w:ascii="Arial" w:hAnsi="Arial"/>
          <w:sz w:val="22"/>
          <w:szCs w:val="22"/>
        </w:rPr>
        <w:t>-f)</w:t>
      </w:r>
      <w:r w:rsidR="003565D2">
        <w:rPr>
          <w:rFonts w:ascii="Arial" w:hAnsi="Arial"/>
          <w:sz w:val="22"/>
          <w:szCs w:val="22"/>
        </w:rPr>
        <w:t xml:space="preserve"> and </w:t>
      </w:r>
      <w:proofErr w:type="spellStart"/>
      <w:r w:rsidR="0036381F">
        <w:rPr>
          <w:rFonts w:ascii="Arial" w:hAnsi="Arial"/>
          <w:sz w:val="22"/>
          <w:szCs w:val="22"/>
        </w:rPr>
        <w:t>lutropin</w:t>
      </w:r>
      <w:proofErr w:type="spellEnd"/>
      <w:r w:rsidR="0036381F">
        <w:rPr>
          <w:rFonts w:ascii="Arial" w:hAnsi="Arial"/>
          <w:sz w:val="22"/>
          <w:szCs w:val="22"/>
        </w:rPr>
        <w:t xml:space="preserve"> alfa (</w:t>
      </w:r>
      <w:proofErr w:type="spellStart"/>
      <w:r w:rsidR="0036381F">
        <w:rPr>
          <w:rFonts w:ascii="Arial" w:hAnsi="Arial"/>
          <w:sz w:val="22"/>
          <w:szCs w:val="22"/>
        </w:rPr>
        <w:t>Luveris</w:t>
      </w:r>
      <w:proofErr w:type="spellEnd"/>
      <w:r w:rsidR="0036381F">
        <w:rPr>
          <w:rFonts w:ascii="Arial" w:hAnsi="Arial"/>
          <w:sz w:val="22"/>
          <w:szCs w:val="22"/>
        </w:rPr>
        <w:t>)</w:t>
      </w:r>
      <w:r w:rsidR="003565D2">
        <w:rPr>
          <w:rFonts w:ascii="Arial" w:hAnsi="Arial"/>
          <w:sz w:val="22"/>
          <w:szCs w:val="22"/>
        </w:rPr>
        <w:t xml:space="preserve"> as comparators.</w:t>
      </w:r>
      <w:r w:rsidR="00C70C65">
        <w:rPr>
          <w:rFonts w:ascii="Arial" w:hAnsi="Arial"/>
          <w:sz w:val="22"/>
          <w:szCs w:val="22"/>
        </w:rPr>
        <w:t xml:space="preserve"> At the March 2014 meeting, the PBAC considered that the comparator should include both FSH and LH</w:t>
      </w:r>
      <w:r w:rsidR="0036381F">
        <w:rPr>
          <w:rFonts w:ascii="Arial" w:hAnsi="Arial"/>
          <w:sz w:val="22"/>
          <w:szCs w:val="22"/>
        </w:rPr>
        <w:t xml:space="preserve"> rather than </w:t>
      </w:r>
      <w:proofErr w:type="spellStart"/>
      <w:r w:rsidR="0036381F">
        <w:rPr>
          <w:rFonts w:ascii="Arial" w:hAnsi="Arial"/>
          <w:sz w:val="22"/>
          <w:szCs w:val="22"/>
        </w:rPr>
        <w:t>follitropin</w:t>
      </w:r>
      <w:proofErr w:type="spellEnd"/>
      <w:r w:rsidR="0036381F">
        <w:rPr>
          <w:rFonts w:ascii="Arial" w:hAnsi="Arial"/>
          <w:sz w:val="22"/>
          <w:szCs w:val="22"/>
        </w:rPr>
        <w:t xml:space="preserve"> alfa alone</w:t>
      </w:r>
      <w:r w:rsidR="00C70C65">
        <w:rPr>
          <w:rFonts w:ascii="Arial" w:hAnsi="Arial"/>
          <w:sz w:val="22"/>
          <w:szCs w:val="22"/>
        </w:rPr>
        <w:t>.</w:t>
      </w:r>
    </w:p>
    <w:p w:rsidR="0088071F" w:rsidRDefault="0088071F" w:rsidP="0088071F">
      <w:pPr>
        <w:jc w:val="both"/>
        <w:rPr>
          <w:rFonts w:ascii="Arial" w:hAnsi="Arial"/>
          <w:b/>
          <w:i/>
          <w:sz w:val="22"/>
          <w:szCs w:val="22"/>
        </w:rPr>
      </w:pPr>
    </w:p>
    <w:p w:rsidR="00C7734A" w:rsidRDefault="00C7734A" w:rsidP="0088071F">
      <w:pPr>
        <w:jc w:val="both"/>
        <w:rPr>
          <w:rFonts w:ascii="Arial" w:hAnsi="Arial"/>
          <w:b/>
          <w:i/>
          <w:sz w:val="22"/>
          <w:szCs w:val="22"/>
        </w:rPr>
      </w:pPr>
    </w:p>
    <w:p w:rsidR="0008033A" w:rsidRDefault="0008033A" w:rsidP="00DB312E">
      <w:pPr>
        <w:pStyle w:val="PBACHeading1"/>
      </w:pPr>
      <w:bookmarkStart w:id="1" w:name="_Toc408922673"/>
      <w:r>
        <w:t>C</w:t>
      </w:r>
      <w:r w:rsidRPr="00407F2D">
        <w:t>onsideration of the evidence</w:t>
      </w:r>
      <w:bookmarkEnd w:id="1"/>
    </w:p>
    <w:p w:rsidR="00DB312E" w:rsidRDefault="00DB312E" w:rsidP="00DB312E">
      <w:pPr>
        <w:pStyle w:val="PBACHeading1"/>
        <w:numPr>
          <w:ilvl w:val="0"/>
          <w:numId w:val="0"/>
        </w:numPr>
        <w:ind w:left="720"/>
      </w:pPr>
    </w:p>
    <w:p w:rsidR="0008033A" w:rsidRPr="00AF640E" w:rsidRDefault="0008033A" w:rsidP="0008033A">
      <w:pPr>
        <w:rPr>
          <w:rFonts w:ascii="Arial" w:hAnsi="Arial" w:cs="Arial"/>
          <w:b/>
          <w:sz w:val="22"/>
          <w:szCs w:val="22"/>
        </w:rPr>
      </w:pPr>
      <w:r w:rsidRPr="00AF640E">
        <w:rPr>
          <w:rFonts w:ascii="Arial" w:hAnsi="Arial" w:cs="Arial"/>
          <w:b/>
          <w:sz w:val="22"/>
          <w:szCs w:val="22"/>
        </w:rPr>
        <w:t>Sponsor hearing</w:t>
      </w:r>
    </w:p>
    <w:p w:rsidR="0008033A" w:rsidRPr="00270464" w:rsidRDefault="0008033A" w:rsidP="0008033A">
      <w:pPr>
        <w:ind w:left="709"/>
        <w:rPr>
          <w:rFonts w:ascii="Arial" w:hAnsi="Arial" w:cs="Arial"/>
          <w:b/>
          <w:sz w:val="22"/>
          <w:szCs w:val="22"/>
        </w:rPr>
      </w:pPr>
    </w:p>
    <w:p w:rsidR="0008033A" w:rsidRPr="00270464" w:rsidRDefault="0008033A" w:rsidP="0008033A">
      <w:pPr>
        <w:pStyle w:val="ListParagraph"/>
        <w:numPr>
          <w:ilvl w:val="1"/>
          <w:numId w:val="25"/>
        </w:numPr>
        <w:jc w:val="both"/>
        <w:rPr>
          <w:rFonts w:ascii="Arial" w:hAnsi="Arial" w:cs="Arial"/>
          <w:sz w:val="22"/>
          <w:szCs w:val="22"/>
        </w:rPr>
      </w:pPr>
      <w:r w:rsidRPr="00270464">
        <w:rPr>
          <w:rFonts w:ascii="Arial" w:hAnsi="Arial" w:cs="Arial"/>
          <w:sz w:val="22"/>
          <w:szCs w:val="22"/>
        </w:rPr>
        <w:t>There was no hearing for this item.</w:t>
      </w:r>
    </w:p>
    <w:p w:rsidR="0008033A" w:rsidRPr="00270464" w:rsidRDefault="0008033A" w:rsidP="0008033A">
      <w:pPr>
        <w:pStyle w:val="ListParagraph"/>
        <w:ind w:left="709"/>
        <w:rPr>
          <w:rFonts w:ascii="Arial" w:hAnsi="Arial" w:cs="Arial"/>
          <w:sz w:val="22"/>
          <w:szCs w:val="22"/>
        </w:rPr>
      </w:pPr>
    </w:p>
    <w:p w:rsidR="0008033A" w:rsidRPr="00AF640E" w:rsidRDefault="0008033A" w:rsidP="0008033A">
      <w:pPr>
        <w:rPr>
          <w:rFonts w:ascii="Arial" w:hAnsi="Arial" w:cs="Arial"/>
          <w:b/>
          <w:sz w:val="22"/>
          <w:szCs w:val="22"/>
        </w:rPr>
      </w:pPr>
      <w:r w:rsidRPr="00AF640E">
        <w:rPr>
          <w:rFonts w:ascii="Arial" w:hAnsi="Arial" w:cs="Arial"/>
          <w:b/>
          <w:sz w:val="22"/>
          <w:szCs w:val="22"/>
        </w:rPr>
        <w:t>Consumer comments</w:t>
      </w:r>
    </w:p>
    <w:p w:rsidR="0008033A" w:rsidRPr="00270464" w:rsidRDefault="0008033A" w:rsidP="0008033A">
      <w:pPr>
        <w:pStyle w:val="ListParagraph"/>
        <w:ind w:left="709"/>
        <w:rPr>
          <w:rFonts w:ascii="Arial" w:hAnsi="Arial" w:cs="Arial"/>
          <w:sz w:val="22"/>
          <w:szCs w:val="22"/>
        </w:rPr>
      </w:pPr>
    </w:p>
    <w:p w:rsidR="0008033A" w:rsidRPr="00270464" w:rsidRDefault="0008033A" w:rsidP="0008033A">
      <w:pPr>
        <w:pStyle w:val="ListParagraph"/>
        <w:numPr>
          <w:ilvl w:val="1"/>
          <w:numId w:val="25"/>
        </w:numPr>
        <w:jc w:val="both"/>
        <w:rPr>
          <w:rFonts w:ascii="Arial" w:hAnsi="Arial" w:cs="Arial"/>
          <w:sz w:val="22"/>
          <w:szCs w:val="22"/>
        </w:rPr>
      </w:pPr>
      <w:r w:rsidRPr="00270464">
        <w:rPr>
          <w:rFonts w:ascii="Arial" w:hAnsi="Arial" w:cs="Arial"/>
          <w:sz w:val="22"/>
          <w:szCs w:val="22"/>
        </w:rPr>
        <w:t xml:space="preserve">The PBAC noted and welcomed the input from health care professionals (12) and organisations (1) via the Consumer Comments facility on the PBS website.  The comments described a range of benefits of treatment with </w:t>
      </w:r>
      <w:proofErr w:type="spellStart"/>
      <w:r w:rsidRPr="00270464">
        <w:rPr>
          <w:rFonts w:ascii="Arial" w:hAnsi="Arial" w:cs="Arial"/>
          <w:sz w:val="22"/>
          <w:szCs w:val="22"/>
        </w:rPr>
        <w:t>Pergoveris</w:t>
      </w:r>
      <w:proofErr w:type="spellEnd"/>
      <w:r w:rsidRPr="00270464">
        <w:rPr>
          <w:rFonts w:ascii="Arial" w:hAnsi="Arial" w:cs="Arial"/>
          <w:sz w:val="22"/>
          <w:szCs w:val="22"/>
        </w:rPr>
        <w:t xml:space="preserve"> including affordable access to more options in IVF treatment and less risk of dosing errors with the combination product than using two drugs separately, improving compliance and reducing anxiety.</w:t>
      </w:r>
    </w:p>
    <w:p w:rsidR="0008033A" w:rsidRPr="00270464" w:rsidRDefault="0008033A" w:rsidP="0008033A">
      <w:pPr>
        <w:pStyle w:val="ListParagraph"/>
        <w:rPr>
          <w:rFonts w:ascii="Arial" w:hAnsi="Arial" w:cs="Arial"/>
          <w:sz w:val="22"/>
          <w:szCs w:val="22"/>
        </w:rPr>
      </w:pPr>
    </w:p>
    <w:p w:rsidR="0008033A" w:rsidRPr="00270464" w:rsidRDefault="0008033A" w:rsidP="0008033A">
      <w:pPr>
        <w:pStyle w:val="ListParagraph"/>
        <w:numPr>
          <w:ilvl w:val="1"/>
          <w:numId w:val="25"/>
        </w:numPr>
        <w:jc w:val="both"/>
        <w:rPr>
          <w:rFonts w:ascii="Arial" w:hAnsi="Arial" w:cs="Arial"/>
          <w:sz w:val="22"/>
          <w:szCs w:val="22"/>
        </w:rPr>
      </w:pPr>
      <w:r w:rsidRPr="00270464">
        <w:rPr>
          <w:rFonts w:ascii="Arial" w:hAnsi="Arial" w:cs="Arial"/>
          <w:sz w:val="22"/>
          <w:szCs w:val="22"/>
        </w:rPr>
        <w:t>The PBAC noted the advice received from ACCESS Australia’s National Infertility Network Ltd</w:t>
      </w:r>
      <w:r w:rsidRPr="00270464" w:rsidDel="00EB635F">
        <w:rPr>
          <w:rFonts w:ascii="Arial" w:hAnsi="Arial" w:cs="Arial"/>
          <w:sz w:val="22"/>
          <w:szCs w:val="22"/>
        </w:rPr>
        <w:t xml:space="preserve"> </w:t>
      </w:r>
      <w:r w:rsidRPr="00270464">
        <w:rPr>
          <w:rFonts w:ascii="Arial" w:hAnsi="Arial" w:cs="Arial"/>
          <w:sz w:val="22"/>
          <w:szCs w:val="22"/>
        </w:rPr>
        <w:t xml:space="preserve">clarifying the likely use of </w:t>
      </w:r>
      <w:proofErr w:type="spellStart"/>
      <w:r w:rsidRPr="00270464">
        <w:rPr>
          <w:rFonts w:ascii="Arial" w:hAnsi="Arial" w:cs="Arial"/>
          <w:sz w:val="22"/>
          <w:szCs w:val="22"/>
        </w:rPr>
        <w:t>Pergoveris</w:t>
      </w:r>
      <w:proofErr w:type="spellEnd"/>
      <w:r w:rsidRPr="00270464">
        <w:rPr>
          <w:rFonts w:ascii="Arial" w:hAnsi="Arial" w:cs="Arial"/>
          <w:sz w:val="22"/>
          <w:szCs w:val="22"/>
        </w:rPr>
        <w:t xml:space="preserve"> in clinical practice.  The PBAC specifically noted the advice that the use of </w:t>
      </w:r>
      <w:proofErr w:type="spellStart"/>
      <w:r w:rsidRPr="00270464">
        <w:rPr>
          <w:rFonts w:ascii="Arial" w:hAnsi="Arial" w:cs="Arial"/>
          <w:sz w:val="22"/>
          <w:szCs w:val="22"/>
        </w:rPr>
        <w:t>Pergoveris</w:t>
      </w:r>
      <w:proofErr w:type="spellEnd"/>
      <w:r w:rsidRPr="00270464">
        <w:rPr>
          <w:rFonts w:ascii="Arial" w:hAnsi="Arial" w:cs="Arial"/>
          <w:sz w:val="22"/>
          <w:szCs w:val="22"/>
        </w:rPr>
        <w:t xml:space="preserve"> may provide </w:t>
      </w:r>
      <w:r w:rsidR="004A1C78" w:rsidRPr="00270464">
        <w:rPr>
          <w:rFonts w:ascii="Arial" w:hAnsi="Arial" w:cs="Arial"/>
          <w:sz w:val="22"/>
          <w:szCs w:val="22"/>
        </w:rPr>
        <w:t xml:space="preserve">the possibility of achieving a pregnancy </w:t>
      </w:r>
      <w:r w:rsidRPr="00270464">
        <w:rPr>
          <w:rFonts w:ascii="Arial" w:hAnsi="Arial" w:cs="Arial"/>
          <w:sz w:val="22"/>
          <w:szCs w:val="22"/>
        </w:rPr>
        <w:t xml:space="preserve">for a small group of women who have inadequate levels of LH and that some women in this small group for whom LH support is necessary, may in addition require a combination of FSH hormone and </w:t>
      </w:r>
      <w:proofErr w:type="spellStart"/>
      <w:r w:rsidRPr="00270464">
        <w:rPr>
          <w:rFonts w:ascii="Arial" w:hAnsi="Arial" w:cs="Arial"/>
          <w:sz w:val="22"/>
          <w:szCs w:val="22"/>
        </w:rPr>
        <w:t>Luveris</w:t>
      </w:r>
      <w:proofErr w:type="spellEnd"/>
      <w:r w:rsidRPr="00270464">
        <w:rPr>
          <w:rFonts w:ascii="Arial" w:hAnsi="Arial" w:cs="Arial"/>
          <w:sz w:val="22"/>
          <w:szCs w:val="22"/>
        </w:rPr>
        <w:t>.  The PBAC noted that this advice was supportive of the evidence provided in the submission.</w:t>
      </w:r>
    </w:p>
    <w:p w:rsidR="000577B7" w:rsidRPr="00270464" w:rsidRDefault="000577B7" w:rsidP="000577B7">
      <w:pPr>
        <w:pStyle w:val="ListParagraph"/>
        <w:ind w:left="709"/>
        <w:jc w:val="both"/>
        <w:rPr>
          <w:rFonts w:ascii="Arial" w:hAnsi="Arial" w:cs="Arial"/>
          <w:sz w:val="22"/>
          <w:szCs w:val="22"/>
        </w:rPr>
      </w:pPr>
    </w:p>
    <w:p w:rsidR="009F7265" w:rsidRPr="00270464" w:rsidRDefault="00270464" w:rsidP="000577B7">
      <w:pPr>
        <w:pStyle w:val="ListParagraph"/>
        <w:numPr>
          <w:ilvl w:val="1"/>
          <w:numId w:val="25"/>
        </w:numPr>
        <w:jc w:val="both"/>
        <w:rPr>
          <w:rFonts w:ascii="Arial" w:hAnsi="Arial"/>
          <w:sz w:val="22"/>
          <w:szCs w:val="22"/>
        </w:rPr>
      </w:pPr>
      <w:r w:rsidRPr="00270464">
        <w:rPr>
          <w:rFonts w:ascii="Arial" w:hAnsi="Arial"/>
          <w:sz w:val="22"/>
          <w:szCs w:val="22"/>
        </w:rPr>
        <w:t xml:space="preserve">No new clinical data are presented for </w:t>
      </w:r>
      <w:proofErr w:type="spellStart"/>
      <w:r w:rsidRPr="00270464">
        <w:rPr>
          <w:rFonts w:ascii="Arial" w:hAnsi="Arial"/>
          <w:sz w:val="22"/>
          <w:szCs w:val="22"/>
        </w:rPr>
        <w:t>Pergoveris</w:t>
      </w:r>
      <w:proofErr w:type="spellEnd"/>
      <w:r w:rsidRPr="00270464">
        <w:rPr>
          <w:rFonts w:ascii="Arial" w:hAnsi="Arial"/>
          <w:sz w:val="22"/>
          <w:szCs w:val="22"/>
        </w:rPr>
        <w:t xml:space="preserve"> beyond the data presented in the previous submission for </w:t>
      </w:r>
      <w:proofErr w:type="spellStart"/>
      <w:r w:rsidRPr="00270464">
        <w:rPr>
          <w:rFonts w:ascii="Arial" w:hAnsi="Arial"/>
          <w:sz w:val="22"/>
          <w:szCs w:val="22"/>
        </w:rPr>
        <w:t>Pergoveris</w:t>
      </w:r>
      <w:proofErr w:type="spellEnd"/>
      <w:r w:rsidRPr="00270464">
        <w:rPr>
          <w:rFonts w:ascii="Arial" w:hAnsi="Arial"/>
          <w:sz w:val="22"/>
          <w:szCs w:val="22"/>
        </w:rPr>
        <w:t xml:space="preserve"> and in the current major submis</w:t>
      </w:r>
      <w:r>
        <w:rPr>
          <w:rFonts w:ascii="Arial" w:hAnsi="Arial"/>
          <w:sz w:val="22"/>
          <w:szCs w:val="22"/>
        </w:rPr>
        <w:t>s</w:t>
      </w:r>
      <w:r w:rsidRPr="00270464">
        <w:rPr>
          <w:rFonts w:ascii="Arial" w:hAnsi="Arial"/>
          <w:sz w:val="22"/>
          <w:szCs w:val="22"/>
        </w:rPr>
        <w:t>ion</w:t>
      </w:r>
      <w:r>
        <w:rPr>
          <w:rFonts w:ascii="Arial" w:hAnsi="Arial"/>
          <w:sz w:val="22"/>
          <w:szCs w:val="22"/>
        </w:rPr>
        <w:t xml:space="preserve"> for the listing of </w:t>
      </w:r>
      <w:proofErr w:type="spellStart"/>
      <w:r>
        <w:rPr>
          <w:rFonts w:ascii="Arial" w:hAnsi="Arial"/>
          <w:sz w:val="22"/>
          <w:szCs w:val="22"/>
        </w:rPr>
        <w:t>Luveris</w:t>
      </w:r>
      <w:proofErr w:type="spellEnd"/>
      <w:r>
        <w:rPr>
          <w:rFonts w:ascii="Arial" w:hAnsi="Arial"/>
          <w:sz w:val="22"/>
          <w:szCs w:val="22"/>
        </w:rPr>
        <w:t xml:space="preserve"> </w:t>
      </w:r>
      <w:r w:rsidRPr="00270464">
        <w:rPr>
          <w:rFonts w:ascii="Arial" w:hAnsi="Arial"/>
          <w:sz w:val="22"/>
          <w:szCs w:val="22"/>
        </w:rPr>
        <w:t>(see agenda item 5.15 of the March 2015 PBAC meeting).</w:t>
      </w:r>
      <w:r w:rsidR="00C70C65" w:rsidRPr="00270464">
        <w:rPr>
          <w:rFonts w:ascii="Arial" w:hAnsi="Arial"/>
          <w:sz w:val="22"/>
          <w:szCs w:val="22"/>
        </w:rPr>
        <w:t xml:space="preserve"> </w:t>
      </w:r>
    </w:p>
    <w:p w:rsidR="009F7265" w:rsidRDefault="009F7265">
      <w:pPr>
        <w:rPr>
          <w:rFonts w:ascii="Arial" w:hAnsi="Arial"/>
          <w:sz w:val="22"/>
          <w:szCs w:val="22"/>
        </w:rPr>
      </w:pPr>
    </w:p>
    <w:p w:rsidR="00F57A6D" w:rsidRPr="004919E8" w:rsidRDefault="004C2C4A" w:rsidP="004C2C4A">
      <w:pPr>
        <w:jc w:val="both"/>
        <w:rPr>
          <w:rFonts w:ascii="Arial" w:hAnsi="Arial"/>
          <w:b/>
          <w:sz w:val="22"/>
          <w:szCs w:val="22"/>
        </w:rPr>
      </w:pPr>
      <w:r w:rsidRPr="004919E8">
        <w:rPr>
          <w:rFonts w:ascii="Arial" w:hAnsi="Arial"/>
          <w:b/>
          <w:sz w:val="22"/>
          <w:szCs w:val="22"/>
        </w:rPr>
        <w:t>Comparative effectiveness</w:t>
      </w:r>
    </w:p>
    <w:p w:rsidR="004C2C4A" w:rsidRDefault="004C2C4A" w:rsidP="004C2C4A">
      <w:pPr>
        <w:jc w:val="both"/>
        <w:rPr>
          <w:rFonts w:ascii="Arial" w:hAnsi="Arial"/>
          <w:b/>
          <w:i/>
          <w:sz w:val="22"/>
          <w:szCs w:val="22"/>
        </w:rPr>
      </w:pPr>
    </w:p>
    <w:p w:rsidR="00340546" w:rsidRPr="00340546" w:rsidRDefault="005031D2" w:rsidP="00270464">
      <w:pPr>
        <w:pStyle w:val="ListParagraph"/>
        <w:numPr>
          <w:ilvl w:val="1"/>
          <w:numId w:val="25"/>
        </w:numPr>
        <w:jc w:val="both"/>
        <w:rPr>
          <w:rFonts w:ascii="Arial" w:hAnsi="Arial"/>
          <w:b/>
          <w:i/>
          <w:sz w:val="22"/>
          <w:szCs w:val="22"/>
        </w:rPr>
      </w:pPr>
      <w:r>
        <w:rPr>
          <w:rFonts w:ascii="Arial" w:hAnsi="Arial"/>
          <w:sz w:val="22"/>
          <w:szCs w:val="22"/>
        </w:rPr>
        <w:t>At the March 2014 meeting, the PBAC considered that the submission had not established the comparative effectiveness and safety of the FDC</w:t>
      </w:r>
      <w:r w:rsidR="00F443C3">
        <w:rPr>
          <w:rFonts w:ascii="Arial" w:hAnsi="Arial"/>
          <w:sz w:val="22"/>
          <w:szCs w:val="22"/>
        </w:rPr>
        <w:t xml:space="preserve"> product</w:t>
      </w:r>
      <w:r>
        <w:rPr>
          <w:rFonts w:ascii="Arial" w:hAnsi="Arial"/>
          <w:sz w:val="22"/>
          <w:szCs w:val="22"/>
        </w:rPr>
        <w:t xml:space="preserve"> to either </w:t>
      </w:r>
      <w:r w:rsidR="00340546">
        <w:rPr>
          <w:rFonts w:ascii="Arial" w:hAnsi="Arial"/>
          <w:sz w:val="22"/>
          <w:szCs w:val="22"/>
        </w:rPr>
        <w:t xml:space="preserve">of its components – </w:t>
      </w:r>
      <w:proofErr w:type="spellStart"/>
      <w:r w:rsidR="00881336">
        <w:rPr>
          <w:rFonts w:ascii="Arial" w:hAnsi="Arial"/>
          <w:sz w:val="22"/>
          <w:szCs w:val="22"/>
        </w:rPr>
        <w:t>follitropin</w:t>
      </w:r>
      <w:proofErr w:type="spellEnd"/>
      <w:r w:rsidR="00881336">
        <w:rPr>
          <w:rFonts w:ascii="Arial" w:hAnsi="Arial"/>
          <w:sz w:val="22"/>
          <w:szCs w:val="22"/>
        </w:rPr>
        <w:t xml:space="preserve"> alfa</w:t>
      </w:r>
      <w:r w:rsidR="00340546">
        <w:rPr>
          <w:rFonts w:ascii="Arial" w:hAnsi="Arial"/>
          <w:sz w:val="22"/>
          <w:szCs w:val="22"/>
        </w:rPr>
        <w:t xml:space="preserve"> and </w:t>
      </w:r>
      <w:proofErr w:type="spellStart"/>
      <w:r w:rsidR="00881336">
        <w:rPr>
          <w:rFonts w:ascii="Arial" w:hAnsi="Arial"/>
          <w:sz w:val="22"/>
          <w:szCs w:val="22"/>
        </w:rPr>
        <w:t>lutropin</w:t>
      </w:r>
      <w:proofErr w:type="spellEnd"/>
      <w:r w:rsidR="00881336">
        <w:rPr>
          <w:rFonts w:ascii="Arial" w:hAnsi="Arial"/>
          <w:sz w:val="22"/>
          <w:szCs w:val="22"/>
        </w:rPr>
        <w:t xml:space="preserve"> alfa</w:t>
      </w:r>
      <w:r w:rsidR="00340546">
        <w:rPr>
          <w:rFonts w:ascii="Arial" w:hAnsi="Arial"/>
          <w:sz w:val="22"/>
          <w:szCs w:val="22"/>
        </w:rPr>
        <w:t xml:space="preserve">. </w:t>
      </w:r>
    </w:p>
    <w:p w:rsidR="00340546" w:rsidRPr="00340546" w:rsidRDefault="00340546" w:rsidP="00340546">
      <w:pPr>
        <w:pStyle w:val="ListParagraph"/>
        <w:jc w:val="both"/>
        <w:rPr>
          <w:rFonts w:ascii="Arial" w:hAnsi="Arial"/>
          <w:b/>
          <w:i/>
          <w:sz w:val="22"/>
          <w:szCs w:val="22"/>
        </w:rPr>
      </w:pPr>
    </w:p>
    <w:p w:rsidR="00382178" w:rsidRPr="00BA72FD" w:rsidRDefault="00382178" w:rsidP="00382178">
      <w:pPr>
        <w:pStyle w:val="ListParagraph"/>
        <w:numPr>
          <w:ilvl w:val="1"/>
          <w:numId w:val="25"/>
        </w:numPr>
        <w:jc w:val="both"/>
        <w:rPr>
          <w:rFonts w:ascii="Arial" w:hAnsi="Arial"/>
          <w:i/>
          <w:sz w:val="22"/>
          <w:szCs w:val="22"/>
        </w:rPr>
      </w:pPr>
      <w:r>
        <w:rPr>
          <w:rFonts w:ascii="Arial" w:hAnsi="Arial"/>
          <w:sz w:val="22"/>
          <w:szCs w:val="22"/>
        </w:rPr>
        <w:t>In M</w:t>
      </w:r>
      <w:r w:rsidRPr="00382178">
        <w:rPr>
          <w:rFonts w:ascii="Arial" w:hAnsi="Arial"/>
          <w:sz w:val="22"/>
          <w:szCs w:val="22"/>
        </w:rPr>
        <w:t xml:space="preserve">arch 2014, </w:t>
      </w:r>
      <w:r>
        <w:rPr>
          <w:rFonts w:ascii="Arial" w:hAnsi="Arial"/>
          <w:sz w:val="22"/>
          <w:szCs w:val="22"/>
        </w:rPr>
        <w:t>t</w:t>
      </w:r>
      <w:r w:rsidRPr="00382178">
        <w:rPr>
          <w:rFonts w:ascii="Arial" w:hAnsi="Arial"/>
          <w:sz w:val="22"/>
          <w:szCs w:val="22"/>
        </w:rPr>
        <w:t>he PBAC did not consider that the evidence provided for the surrogate endpoint of follicular stimulation was adequate.</w:t>
      </w:r>
      <w:r>
        <w:rPr>
          <w:rFonts w:ascii="Arial" w:hAnsi="Arial"/>
          <w:sz w:val="22"/>
          <w:szCs w:val="22"/>
        </w:rPr>
        <w:t xml:space="preserve"> This minor </w:t>
      </w:r>
      <w:r w:rsidR="0008033A">
        <w:rPr>
          <w:rFonts w:ascii="Arial" w:hAnsi="Arial"/>
          <w:sz w:val="22"/>
          <w:szCs w:val="22"/>
        </w:rPr>
        <w:t>re-submission</w:t>
      </w:r>
      <w:r>
        <w:rPr>
          <w:rFonts w:ascii="Arial" w:hAnsi="Arial"/>
          <w:sz w:val="22"/>
          <w:szCs w:val="22"/>
        </w:rPr>
        <w:t xml:space="preserve"> refers to the results of the </w:t>
      </w:r>
      <w:proofErr w:type="spellStart"/>
      <w:r w:rsidRPr="00382178">
        <w:rPr>
          <w:rFonts w:ascii="Arial" w:hAnsi="Arial"/>
          <w:sz w:val="22"/>
          <w:szCs w:val="22"/>
        </w:rPr>
        <w:t>Lehert</w:t>
      </w:r>
      <w:proofErr w:type="spellEnd"/>
      <w:r w:rsidRPr="00382178">
        <w:rPr>
          <w:rFonts w:ascii="Arial" w:hAnsi="Arial"/>
          <w:sz w:val="22"/>
          <w:szCs w:val="22"/>
        </w:rPr>
        <w:t xml:space="preserve"> 2014</w:t>
      </w:r>
      <w:r>
        <w:rPr>
          <w:rFonts w:ascii="Arial" w:hAnsi="Arial"/>
          <w:sz w:val="22"/>
          <w:szCs w:val="22"/>
        </w:rPr>
        <w:t xml:space="preserve"> meta-analysis presented in the major </w:t>
      </w:r>
      <w:r>
        <w:rPr>
          <w:rFonts w:ascii="Arial" w:hAnsi="Arial"/>
          <w:sz w:val="22"/>
          <w:szCs w:val="22"/>
        </w:rPr>
        <w:lastRenderedPageBreak/>
        <w:t xml:space="preserve">submission for </w:t>
      </w:r>
      <w:proofErr w:type="spellStart"/>
      <w:r>
        <w:rPr>
          <w:rFonts w:ascii="Arial" w:hAnsi="Arial"/>
          <w:sz w:val="22"/>
          <w:szCs w:val="22"/>
        </w:rPr>
        <w:t>Luveris</w:t>
      </w:r>
      <w:proofErr w:type="spellEnd"/>
      <w:r>
        <w:rPr>
          <w:rFonts w:ascii="Arial" w:hAnsi="Arial"/>
          <w:sz w:val="22"/>
          <w:szCs w:val="22"/>
        </w:rPr>
        <w:t xml:space="preserve"> to provide more patient relevant outcomes such as pregnancy and OHSS.</w:t>
      </w:r>
      <w:r w:rsidR="00BA72FD">
        <w:rPr>
          <w:rFonts w:ascii="Arial" w:hAnsi="Arial"/>
          <w:sz w:val="22"/>
          <w:szCs w:val="22"/>
        </w:rPr>
        <w:t xml:space="preserve"> The results of the meta-analysis are summarised below.</w:t>
      </w:r>
    </w:p>
    <w:p w:rsidR="00F12C42" w:rsidRDefault="00F12C42">
      <w:pPr>
        <w:rPr>
          <w:rFonts w:ascii="Arial Narrow" w:hAnsi="Arial Narrow"/>
          <w:i/>
          <w:sz w:val="20"/>
          <w:szCs w:val="20"/>
        </w:rPr>
      </w:pPr>
    </w:p>
    <w:p w:rsidR="00BA72FD" w:rsidRPr="0083381B" w:rsidRDefault="00BA72FD" w:rsidP="0083381B">
      <w:pPr>
        <w:pStyle w:val="Caption"/>
        <w:spacing w:after="0"/>
        <w:ind w:left="720"/>
        <w:rPr>
          <w:rFonts w:ascii="Arial Narrow" w:hAnsi="Arial Narrow"/>
          <w:b/>
          <w:i w:val="0"/>
          <w:color w:val="auto"/>
          <w:sz w:val="20"/>
          <w:szCs w:val="20"/>
        </w:rPr>
      </w:pPr>
      <w:r w:rsidRPr="0083381B">
        <w:rPr>
          <w:rFonts w:ascii="Arial Narrow" w:hAnsi="Arial Narrow"/>
          <w:b/>
          <w:i w:val="0"/>
          <w:color w:val="auto"/>
          <w:sz w:val="20"/>
          <w:szCs w:val="20"/>
        </w:rPr>
        <w:t>Summary of the efficacy and safety results of the meta-analysis</w:t>
      </w:r>
    </w:p>
    <w:tbl>
      <w:tblPr>
        <w:tblStyle w:val="TableGrid"/>
        <w:tblW w:w="8363" w:type="dxa"/>
        <w:tblInd w:w="817" w:type="dxa"/>
        <w:tblLayout w:type="fixed"/>
        <w:tblLook w:val="04A0" w:firstRow="1" w:lastRow="0" w:firstColumn="1" w:lastColumn="0" w:noHBand="0" w:noVBand="1"/>
        <w:tblCaption w:val="Summary of efficacy and safety from meta-analysis"/>
      </w:tblPr>
      <w:tblGrid>
        <w:gridCol w:w="1418"/>
        <w:gridCol w:w="850"/>
        <w:gridCol w:w="851"/>
        <w:gridCol w:w="1446"/>
        <w:gridCol w:w="709"/>
        <w:gridCol w:w="850"/>
        <w:gridCol w:w="2239"/>
      </w:tblGrid>
      <w:tr w:rsidR="00BA72FD" w:rsidRPr="0083381B" w:rsidTr="0083381B">
        <w:tc>
          <w:tcPr>
            <w:tcW w:w="1418" w:type="dxa"/>
            <w:vMerge w:val="restart"/>
            <w:shd w:val="clear" w:color="auto" w:fill="D9D9D9" w:themeFill="background1" w:themeFillShade="D9"/>
            <w:vAlign w:val="center"/>
          </w:tcPr>
          <w:p w:rsidR="00BA72FD" w:rsidRPr="0083381B" w:rsidRDefault="00BA72FD" w:rsidP="0078557B">
            <w:pPr>
              <w:pStyle w:val="PBACTable"/>
              <w:keepNext/>
              <w:jc w:val="center"/>
              <w:rPr>
                <w:b/>
                <w:color w:val="auto"/>
              </w:rPr>
            </w:pPr>
            <w:r w:rsidRPr="0083381B">
              <w:rPr>
                <w:b/>
                <w:color w:val="auto"/>
              </w:rPr>
              <w:t>Outcome</w:t>
            </w:r>
          </w:p>
        </w:tc>
        <w:tc>
          <w:tcPr>
            <w:tcW w:w="3147" w:type="dxa"/>
            <w:gridSpan w:val="3"/>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Normal responder population</w:t>
            </w:r>
          </w:p>
        </w:tc>
        <w:tc>
          <w:tcPr>
            <w:tcW w:w="3798" w:type="dxa"/>
            <w:gridSpan w:val="3"/>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Poor Responder population</w:t>
            </w:r>
          </w:p>
        </w:tc>
      </w:tr>
      <w:tr w:rsidR="0083381B" w:rsidRPr="0083381B" w:rsidTr="0083381B">
        <w:tc>
          <w:tcPr>
            <w:tcW w:w="1418" w:type="dxa"/>
            <w:vMerge/>
            <w:shd w:val="clear" w:color="auto" w:fill="D9D9D9" w:themeFill="background1" w:themeFillShade="D9"/>
            <w:vAlign w:val="center"/>
          </w:tcPr>
          <w:p w:rsidR="00BA72FD" w:rsidRPr="0083381B" w:rsidRDefault="00BA72FD" w:rsidP="0078557B">
            <w:pPr>
              <w:pStyle w:val="PBACTable"/>
              <w:keepNext/>
              <w:rPr>
                <w:b/>
                <w:color w:val="auto"/>
              </w:rPr>
            </w:pPr>
          </w:p>
        </w:tc>
        <w:tc>
          <w:tcPr>
            <w:tcW w:w="850" w:type="dxa"/>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w:t>
            </w:r>
          </w:p>
        </w:tc>
        <w:tc>
          <w:tcPr>
            <w:tcW w:w="851" w:type="dxa"/>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n</w:t>
            </w:r>
          </w:p>
        </w:tc>
        <w:tc>
          <w:tcPr>
            <w:tcW w:w="1446" w:type="dxa"/>
            <w:shd w:val="clear" w:color="auto" w:fill="D9D9D9" w:themeFill="background1" w:themeFillShade="D9"/>
          </w:tcPr>
          <w:p w:rsidR="00BA72FD" w:rsidRPr="0083381B" w:rsidRDefault="00BA72FD" w:rsidP="0078557B">
            <w:pPr>
              <w:pStyle w:val="PBACTable"/>
              <w:keepNext/>
              <w:jc w:val="center"/>
              <w:rPr>
                <w:b/>
                <w:color w:val="auto"/>
              </w:rPr>
            </w:pPr>
          </w:p>
        </w:tc>
        <w:tc>
          <w:tcPr>
            <w:tcW w:w="709" w:type="dxa"/>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w:t>
            </w:r>
          </w:p>
        </w:tc>
        <w:tc>
          <w:tcPr>
            <w:tcW w:w="850" w:type="dxa"/>
            <w:shd w:val="clear" w:color="auto" w:fill="D9D9D9" w:themeFill="background1" w:themeFillShade="D9"/>
          </w:tcPr>
          <w:p w:rsidR="00BA72FD" w:rsidRPr="0083381B" w:rsidRDefault="00BA72FD" w:rsidP="0078557B">
            <w:pPr>
              <w:pStyle w:val="PBACTable"/>
              <w:keepNext/>
              <w:jc w:val="center"/>
              <w:rPr>
                <w:b/>
                <w:color w:val="auto"/>
              </w:rPr>
            </w:pPr>
            <w:r w:rsidRPr="0083381B">
              <w:rPr>
                <w:b/>
                <w:color w:val="auto"/>
              </w:rPr>
              <w:t>n</w:t>
            </w:r>
          </w:p>
        </w:tc>
        <w:tc>
          <w:tcPr>
            <w:tcW w:w="2239" w:type="dxa"/>
            <w:shd w:val="clear" w:color="auto" w:fill="D9D9D9" w:themeFill="background1" w:themeFillShade="D9"/>
          </w:tcPr>
          <w:p w:rsidR="00BA72FD" w:rsidRPr="0083381B" w:rsidRDefault="00BA72FD" w:rsidP="0078557B">
            <w:pPr>
              <w:pStyle w:val="PBACTable"/>
              <w:keepNext/>
              <w:jc w:val="center"/>
              <w:rPr>
                <w:b/>
                <w:color w:val="auto"/>
              </w:rPr>
            </w:pPr>
          </w:p>
        </w:tc>
      </w:tr>
      <w:tr w:rsidR="00BA72FD" w:rsidRPr="0083381B" w:rsidTr="0083381B">
        <w:tc>
          <w:tcPr>
            <w:tcW w:w="1418" w:type="dxa"/>
            <w:vAlign w:val="center"/>
          </w:tcPr>
          <w:p w:rsidR="00BA72FD" w:rsidRPr="0083381B" w:rsidRDefault="00BA72FD" w:rsidP="0078557B">
            <w:pPr>
              <w:pStyle w:val="PBACTable"/>
              <w:keepNext/>
              <w:rPr>
                <w:color w:val="auto"/>
              </w:rPr>
            </w:pPr>
            <w:r w:rsidRPr="0083381B">
              <w:rPr>
                <w:color w:val="auto"/>
              </w:rPr>
              <w:t>Clinical pregnancy rate</w:t>
            </w:r>
          </w:p>
        </w:tc>
        <w:tc>
          <w:tcPr>
            <w:tcW w:w="850" w:type="dxa"/>
          </w:tcPr>
          <w:p w:rsidR="00BA72FD" w:rsidRPr="0083381B" w:rsidRDefault="00BA72FD" w:rsidP="0078557B">
            <w:pPr>
              <w:pStyle w:val="PBACTable"/>
              <w:keepNext/>
              <w:jc w:val="center"/>
              <w:rPr>
                <w:color w:val="auto"/>
              </w:rPr>
            </w:pPr>
            <w:r w:rsidRPr="0083381B">
              <w:rPr>
                <w:color w:val="auto"/>
              </w:rPr>
              <w:t>29</w:t>
            </w:r>
          </w:p>
        </w:tc>
        <w:tc>
          <w:tcPr>
            <w:tcW w:w="851" w:type="dxa"/>
          </w:tcPr>
          <w:p w:rsidR="00BA72FD" w:rsidRPr="0083381B" w:rsidRDefault="00BA72FD" w:rsidP="0078557B">
            <w:pPr>
              <w:pStyle w:val="PBACTable"/>
              <w:keepNext/>
              <w:jc w:val="center"/>
              <w:rPr>
                <w:color w:val="auto"/>
              </w:rPr>
            </w:pPr>
            <w:r w:rsidRPr="0083381B">
              <w:rPr>
                <w:color w:val="auto"/>
              </w:rPr>
              <w:t>5,214</w:t>
            </w:r>
          </w:p>
        </w:tc>
        <w:tc>
          <w:tcPr>
            <w:tcW w:w="1446" w:type="dxa"/>
          </w:tcPr>
          <w:p w:rsidR="00BA72FD" w:rsidRPr="0083381B" w:rsidRDefault="00BA72FD" w:rsidP="0078557B">
            <w:pPr>
              <w:pStyle w:val="PBACTable"/>
              <w:keepNext/>
              <w:jc w:val="center"/>
              <w:rPr>
                <w:color w:val="auto"/>
              </w:rPr>
            </w:pPr>
            <w:r w:rsidRPr="0083381B">
              <w:rPr>
                <w:color w:val="auto"/>
              </w:rPr>
              <w:t>RR 1.09</w:t>
            </w:r>
          </w:p>
          <w:p w:rsidR="00BA72FD" w:rsidRPr="0083381B" w:rsidRDefault="00BA72FD" w:rsidP="0078557B">
            <w:pPr>
              <w:pStyle w:val="PBACTable"/>
              <w:keepNext/>
              <w:jc w:val="center"/>
              <w:rPr>
                <w:color w:val="auto"/>
              </w:rPr>
            </w:pPr>
            <w:r w:rsidRPr="0083381B">
              <w:rPr>
                <w:color w:val="auto"/>
              </w:rPr>
              <w:t>[0.95, 1.24]</w:t>
            </w:r>
          </w:p>
        </w:tc>
        <w:tc>
          <w:tcPr>
            <w:tcW w:w="709" w:type="dxa"/>
          </w:tcPr>
          <w:p w:rsidR="00BA72FD" w:rsidRPr="0083381B" w:rsidRDefault="00BA72FD" w:rsidP="0078557B">
            <w:pPr>
              <w:pStyle w:val="PBACTable"/>
              <w:keepNext/>
              <w:jc w:val="center"/>
              <w:rPr>
                <w:b/>
                <w:color w:val="auto"/>
              </w:rPr>
            </w:pPr>
            <w:r w:rsidRPr="0083381B">
              <w:rPr>
                <w:b/>
                <w:color w:val="auto"/>
              </w:rPr>
              <w:t>14</w:t>
            </w:r>
          </w:p>
        </w:tc>
        <w:tc>
          <w:tcPr>
            <w:tcW w:w="850" w:type="dxa"/>
          </w:tcPr>
          <w:p w:rsidR="00BA72FD" w:rsidRPr="0083381B" w:rsidRDefault="00BA72FD" w:rsidP="0078557B">
            <w:pPr>
              <w:pStyle w:val="PBACTable"/>
              <w:keepNext/>
              <w:jc w:val="center"/>
              <w:rPr>
                <w:b/>
                <w:color w:val="auto"/>
              </w:rPr>
            </w:pPr>
            <w:r w:rsidRPr="0083381B">
              <w:rPr>
                <w:b/>
                <w:color w:val="auto"/>
              </w:rPr>
              <w:t>1,179</w:t>
            </w:r>
          </w:p>
        </w:tc>
        <w:tc>
          <w:tcPr>
            <w:tcW w:w="2239" w:type="dxa"/>
          </w:tcPr>
          <w:p w:rsidR="00BA72FD" w:rsidRPr="0083381B" w:rsidRDefault="00BA72FD" w:rsidP="0078557B">
            <w:pPr>
              <w:pStyle w:val="PBACTable"/>
              <w:keepNext/>
              <w:jc w:val="center"/>
              <w:rPr>
                <w:b/>
                <w:color w:val="auto"/>
              </w:rPr>
            </w:pPr>
            <w:r w:rsidRPr="0083381B">
              <w:rPr>
                <w:b/>
                <w:color w:val="auto"/>
              </w:rPr>
              <w:t>RR 1.30</w:t>
            </w:r>
          </w:p>
          <w:p w:rsidR="00BA72FD" w:rsidRPr="0083381B" w:rsidRDefault="00BA72FD" w:rsidP="0078557B">
            <w:pPr>
              <w:pStyle w:val="PBACTable"/>
              <w:keepNext/>
              <w:jc w:val="center"/>
              <w:rPr>
                <w:b/>
                <w:color w:val="auto"/>
              </w:rPr>
            </w:pPr>
            <w:r w:rsidRPr="0083381B">
              <w:rPr>
                <w:b/>
                <w:color w:val="auto"/>
              </w:rPr>
              <w:t>[1.01, 1.67]</w:t>
            </w:r>
          </w:p>
          <w:p w:rsidR="00BA72FD" w:rsidRPr="0083381B" w:rsidRDefault="00BA72FD" w:rsidP="0078557B">
            <w:pPr>
              <w:pStyle w:val="PBACTable"/>
              <w:keepNext/>
              <w:jc w:val="center"/>
              <w:rPr>
                <w:b/>
                <w:color w:val="auto"/>
              </w:rPr>
            </w:pPr>
          </w:p>
        </w:tc>
      </w:tr>
      <w:tr w:rsidR="00BA72FD" w:rsidRPr="0083381B" w:rsidTr="0083381B">
        <w:tc>
          <w:tcPr>
            <w:tcW w:w="1418" w:type="dxa"/>
            <w:vAlign w:val="center"/>
          </w:tcPr>
          <w:p w:rsidR="00BA72FD" w:rsidRPr="0083381B" w:rsidRDefault="00BA72FD" w:rsidP="0078557B">
            <w:pPr>
              <w:pStyle w:val="PBACTable"/>
              <w:keepNext/>
              <w:rPr>
                <w:color w:val="auto"/>
              </w:rPr>
            </w:pPr>
            <w:r w:rsidRPr="0083381B">
              <w:rPr>
                <w:color w:val="auto"/>
              </w:rPr>
              <w:t>Ongoing pregnancy rate</w:t>
            </w:r>
          </w:p>
        </w:tc>
        <w:tc>
          <w:tcPr>
            <w:tcW w:w="850" w:type="dxa"/>
          </w:tcPr>
          <w:p w:rsidR="00BA72FD" w:rsidRPr="0083381B" w:rsidRDefault="00BA72FD" w:rsidP="0078557B">
            <w:pPr>
              <w:pStyle w:val="PBACTable"/>
              <w:keepNext/>
              <w:jc w:val="center"/>
              <w:rPr>
                <w:color w:val="auto"/>
              </w:rPr>
            </w:pPr>
            <w:r w:rsidRPr="0083381B">
              <w:rPr>
                <w:color w:val="auto"/>
              </w:rPr>
              <w:t>18</w:t>
            </w:r>
          </w:p>
        </w:tc>
        <w:tc>
          <w:tcPr>
            <w:tcW w:w="851" w:type="dxa"/>
          </w:tcPr>
          <w:p w:rsidR="00BA72FD" w:rsidRPr="0083381B" w:rsidRDefault="00BA72FD" w:rsidP="0078557B">
            <w:pPr>
              <w:pStyle w:val="PBACTable"/>
              <w:keepNext/>
              <w:jc w:val="center"/>
              <w:rPr>
                <w:color w:val="auto"/>
              </w:rPr>
            </w:pPr>
            <w:r w:rsidRPr="0083381B">
              <w:rPr>
                <w:color w:val="auto"/>
              </w:rPr>
              <w:t>5,194</w:t>
            </w:r>
          </w:p>
        </w:tc>
        <w:tc>
          <w:tcPr>
            <w:tcW w:w="1446" w:type="dxa"/>
          </w:tcPr>
          <w:p w:rsidR="00BA72FD" w:rsidRPr="0083381B" w:rsidRDefault="00BA72FD" w:rsidP="0078557B">
            <w:pPr>
              <w:pStyle w:val="PBACTable"/>
              <w:keepNext/>
              <w:jc w:val="center"/>
              <w:rPr>
                <w:color w:val="auto"/>
              </w:rPr>
            </w:pPr>
            <w:r w:rsidRPr="0083381B">
              <w:rPr>
                <w:color w:val="auto"/>
              </w:rPr>
              <w:t xml:space="preserve">RR 1.13 </w:t>
            </w:r>
          </w:p>
          <w:p w:rsidR="00BA72FD" w:rsidRPr="0083381B" w:rsidRDefault="00BA72FD" w:rsidP="0078557B">
            <w:pPr>
              <w:pStyle w:val="PBACTable"/>
              <w:keepNext/>
              <w:jc w:val="center"/>
              <w:rPr>
                <w:color w:val="auto"/>
              </w:rPr>
            </w:pPr>
            <w:r w:rsidRPr="0083381B">
              <w:rPr>
                <w:color w:val="auto"/>
              </w:rPr>
              <w:t>[1.00, 1.27]</w:t>
            </w:r>
          </w:p>
        </w:tc>
        <w:tc>
          <w:tcPr>
            <w:tcW w:w="709" w:type="dxa"/>
          </w:tcPr>
          <w:p w:rsidR="00BA72FD" w:rsidRPr="0083381B" w:rsidRDefault="00BA72FD" w:rsidP="0078557B">
            <w:pPr>
              <w:pStyle w:val="PBACTable"/>
              <w:keepNext/>
              <w:jc w:val="center"/>
              <w:rPr>
                <w:b/>
                <w:color w:val="auto"/>
              </w:rPr>
            </w:pPr>
            <w:r w:rsidRPr="0083381B">
              <w:rPr>
                <w:b/>
                <w:color w:val="auto"/>
              </w:rPr>
              <w:t>11</w:t>
            </w:r>
          </w:p>
        </w:tc>
        <w:tc>
          <w:tcPr>
            <w:tcW w:w="850" w:type="dxa"/>
          </w:tcPr>
          <w:p w:rsidR="00BA72FD" w:rsidRPr="0083381B" w:rsidRDefault="00BA72FD" w:rsidP="0078557B">
            <w:pPr>
              <w:pStyle w:val="PBACTable"/>
              <w:keepNext/>
              <w:jc w:val="center"/>
              <w:rPr>
                <w:b/>
                <w:color w:val="auto"/>
              </w:rPr>
            </w:pPr>
            <w:r w:rsidRPr="0083381B">
              <w:rPr>
                <w:b/>
                <w:color w:val="auto"/>
              </w:rPr>
              <w:t>1,043</w:t>
            </w:r>
          </w:p>
        </w:tc>
        <w:tc>
          <w:tcPr>
            <w:tcW w:w="2239" w:type="dxa"/>
          </w:tcPr>
          <w:p w:rsidR="00BA72FD" w:rsidRPr="0083381B" w:rsidRDefault="00BA72FD" w:rsidP="0078557B">
            <w:pPr>
              <w:pStyle w:val="PBACTable"/>
              <w:keepNext/>
              <w:jc w:val="center"/>
              <w:rPr>
                <w:b/>
                <w:color w:val="auto"/>
              </w:rPr>
            </w:pPr>
            <w:r w:rsidRPr="0083381B">
              <w:rPr>
                <w:b/>
                <w:color w:val="auto"/>
              </w:rPr>
              <w:t xml:space="preserve">RR 1.36 </w:t>
            </w:r>
          </w:p>
          <w:p w:rsidR="00BA72FD" w:rsidRPr="0083381B" w:rsidRDefault="00BA72FD" w:rsidP="0078557B">
            <w:pPr>
              <w:pStyle w:val="PBACTable"/>
              <w:keepNext/>
              <w:jc w:val="center"/>
              <w:rPr>
                <w:b/>
                <w:color w:val="auto"/>
              </w:rPr>
            </w:pPr>
            <w:r w:rsidRPr="0083381B">
              <w:rPr>
                <w:b/>
                <w:color w:val="auto"/>
              </w:rPr>
              <w:t>[1.04, 1.79]</w:t>
            </w:r>
          </w:p>
          <w:p w:rsidR="00BA72FD" w:rsidRPr="0083381B" w:rsidRDefault="00BA72FD" w:rsidP="0078557B">
            <w:pPr>
              <w:pStyle w:val="PBACTable"/>
              <w:keepNext/>
              <w:jc w:val="center"/>
              <w:rPr>
                <w:b/>
                <w:color w:val="auto"/>
              </w:rPr>
            </w:pPr>
          </w:p>
        </w:tc>
      </w:tr>
      <w:tr w:rsidR="00BA72FD" w:rsidRPr="0083381B" w:rsidTr="0083381B">
        <w:tc>
          <w:tcPr>
            <w:tcW w:w="1418" w:type="dxa"/>
            <w:vAlign w:val="center"/>
          </w:tcPr>
          <w:p w:rsidR="00BA72FD" w:rsidRPr="0083381B" w:rsidRDefault="00BA72FD" w:rsidP="0078557B">
            <w:pPr>
              <w:pStyle w:val="PBACTable"/>
              <w:keepNext/>
              <w:rPr>
                <w:color w:val="auto"/>
              </w:rPr>
            </w:pPr>
            <w:r w:rsidRPr="0083381B">
              <w:rPr>
                <w:color w:val="auto"/>
              </w:rPr>
              <w:t>Live birth rate</w:t>
            </w:r>
          </w:p>
        </w:tc>
        <w:tc>
          <w:tcPr>
            <w:tcW w:w="850" w:type="dxa"/>
          </w:tcPr>
          <w:p w:rsidR="00BA72FD" w:rsidRPr="0083381B" w:rsidRDefault="00BA72FD" w:rsidP="0078557B">
            <w:pPr>
              <w:pStyle w:val="PBACTable"/>
              <w:keepNext/>
              <w:jc w:val="center"/>
              <w:rPr>
                <w:color w:val="auto"/>
              </w:rPr>
            </w:pPr>
            <w:r w:rsidRPr="0083381B">
              <w:rPr>
                <w:color w:val="auto"/>
              </w:rPr>
              <w:t>18</w:t>
            </w:r>
          </w:p>
        </w:tc>
        <w:tc>
          <w:tcPr>
            <w:tcW w:w="851" w:type="dxa"/>
          </w:tcPr>
          <w:p w:rsidR="00BA72FD" w:rsidRPr="0083381B" w:rsidRDefault="00BA72FD" w:rsidP="0078557B">
            <w:pPr>
              <w:pStyle w:val="PBACTable"/>
              <w:keepNext/>
              <w:jc w:val="center"/>
              <w:rPr>
                <w:color w:val="auto"/>
              </w:rPr>
            </w:pPr>
            <w:r w:rsidRPr="0083381B">
              <w:rPr>
                <w:color w:val="auto"/>
              </w:rPr>
              <w:t>5,194</w:t>
            </w:r>
          </w:p>
        </w:tc>
        <w:tc>
          <w:tcPr>
            <w:tcW w:w="1446" w:type="dxa"/>
          </w:tcPr>
          <w:p w:rsidR="00BA72FD" w:rsidRPr="0083381B" w:rsidRDefault="00BA72FD" w:rsidP="0078557B">
            <w:pPr>
              <w:pStyle w:val="PBACTable"/>
              <w:keepNext/>
              <w:jc w:val="center"/>
              <w:rPr>
                <w:color w:val="auto"/>
              </w:rPr>
            </w:pPr>
            <w:r w:rsidRPr="0083381B">
              <w:rPr>
                <w:color w:val="auto"/>
              </w:rPr>
              <w:t xml:space="preserve">RR 1.10 </w:t>
            </w:r>
          </w:p>
          <w:p w:rsidR="00BA72FD" w:rsidRPr="0083381B" w:rsidRDefault="00BA72FD" w:rsidP="0078557B">
            <w:pPr>
              <w:pStyle w:val="PBACTable"/>
              <w:keepNext/>
              <w:jc w:val="center"/>
              <w:rPr>
                <w:color w:val="auto"/>
              </w:rPr>
            </w:pPr>
            <w:r w:rsidRPr="0083381B">
              <w:rPr>
                <w:color w:val="auto"/>
              </w:rPr>
              <w:t>[0.94, 1.29]</w:t>
            </w:r>
          </w:p>
        </w:tc>
        <w:tc>
          <w:tcPr>
            <w:tcW w:w="709" w:type="dxa"/>
          </w:tcPr>
          <w:p w:rsidR="00BA72FD" w:rsidRPr="0083381B" w:rsidRDefault="00BA72FD" w:rsidP="0078557B">
            <w:pPr>
              <w:pStyle w:val="PBACTable"/>
              <w:keepNext/>
              <w:jc w:val="center"/>
              <w:rPr>
                <w:b/>
                <w:color w:val="auto"/>
              </w:rPr>
            </w:pPr>
            <w:r w:rsidRPr="0083381B">
              <w:rPr>
                <w:b/>
                <w:color w:val="auto"/>
              </w:rPr>
              <w:t>11</w:t>
            </w:r>
          </w:p>
        </w:tc>
        <w:tc>
          <w:tcPr>
            <w:tcW w:w="850" w:type="dxa"/>
          </w:tcPr>
          <w:p w:rsidR="00BA72FD" w:rsidRPr="0083381B" w:rsidRDefault="00BA72FD" w:rsidP="0078557B">
            <w:pPr>
              <w:pStyle w:val="PBACTable"/>
              <w:keepNext/>
              <w:jc w:val="center"/>
              <w:rPr>
                <w:b/>
                <w:color w:val="auto"/>
              </w:rPr>
            </w:pPr>
            <w:r w:rsidRPr="0083381B">
              <w:rPr>
                <w:b/>
                <w:color w:val="auto"/>
              </w:rPr>
              <w:t>1,043</w:t>
            </w:r>
          </w:p>
        </w:tc>
        <w:tc>
          <w:tcPr>
            <w:tcW w:w="2239" w:type="dxa"/>
          </w:tcPr>
          <w:p w:rsidR="00BA72FD" w:rsidRPr="0083381B" w:rsidRDefault="00BA72FD" w:rsidP="0078557B">
            <w:pPr>
              <w:pStyle w:val="PBACTable"/>
              <w:keepNext/>
              <w:jc w:val="center"/>
              <w:rPr>
                <w:b/>
                <w:color w:val="auto"/>
              </w:rPr>
            </w:pPr>
            <w:r w:rsidRPr="0083381B">
              <w:rPr>
                <w:b/>
                <w:color w:val="auto"/>
              </w:rPr>
              <w:t xml:space="preserve">RR 1.30 </w:t>
            </w:r>
          </w:p>
          <w:p w:rsidR="00BA72FD" w:rsidRPr="0083381B" w:rsidRDefault="00BA72FD" w:rsidP="0078557B">
            <w:pPr>
              <w:pStyle w:val="PBACTable"/>
              <w:keepNext/>
              <w:jc w:val="center"/>
              <w:rPr>
                <w:b/>
                <w:color w:val="auto"/>
              </w:rPr>
            </w:pPr>
            <w:r w:rsidRPr="0083381B">
              <w:rPr>
                <w:b/>
                <w:color w:val="auto"/>
              </w:rPr>
              <w:t>[0.95, 1.78]</w:t>
            </w:r>
          </w:p>
          <w:p w:rsidR="00BA72FD" w:rsidRPr="0083381B" w:rsidRDefault="00BA72FD" w:rsidP="0078557B">
            <w:pPr>
              <w:pStyle w:val="PBACTable"/>
              <w:keepNext/>
              <w:jc w:val="center"/>
              <w:rPr>
                <w:b/>
                <w:color w:val="auto"/>
              </w:rPr>
            </w:pPr>
          </w:p>
        </w:tc>
      </w:tr>
      <w:tr w:rsidR="00BA72FD" w:rsidRPr="0083381B" w:rsidTr="0083381B">
        <w:tc>
          <w:tcPr>
            <w:tcW w:w="1418" w:type="dxa"/>
            <w:vAlign w:val="center"/>
          </w:tcPr>
          <w:p w:rsidR="00BA72FD" w:rsidRPr="0083381B" w:rsidRDefault="00BA72FD" w:rsidP="0078557B">
            <w:pPr>
              <w:pStyle w:val="PBACTable"/>
              <w:keepNext/>
              <w:rPr>
                <w:color w:val="auto"/>
              </w:rPr>
            </w:pPr>
            <w:r w:rsidRPr="0083381B">
              <w:rPr>
                <w:color w:val="auto"/>
              </w:rPr>
              <w:t>OHSS</w:t>
            </w:r>
          </w:p>
        </w:tc>
        <w:tc>
          <w:tcPr>
            <w:tcW w:w="6945" w:type="dxa"/>
            <w:gridSpan w:val="6"/>
          </w:tcPr>
          <w:p w:rsidR="00BA72FD" w:rsidRPr="0083381B" w:rsidRDefault="00BA72FD" w:rsidP="0078557B">
            <w:pPr>
              <w:pStyle w:val="PBACTable"/>
              <w:keepNext/>
              <w:jc w:val="left"/>
              <w:rPr>
                <w:color w:val="auto"/>
              </w:rPr>
            </w:pPr>
            <w:r w:rsidRPr="0083381B">
              <w:rPr>
                <w:color w:val="auto"/>
              </w:rPr>
              <w:t>0.61 [0.32, 1.13] in overall population, trend maintained in poor responders</w:t>
            </w:r>
          </w:p>
        </w:tc>
      </w:tr>
      <w:tr w:rsidR="00BA72FD" w:rsidRPr="0083381B" w:rsidTr="0083381B">
        <w:tc>
          <w:tcPr>
            <w:tcW w:w="1418" w:type="dxa"/>
            <w:vAlign w:val="center"/>
          </w:tcPr>
          <w:p w:rsidR="00BA72FD" w:rsidRPr="0083381B" w:rsidRDefault="00BA72FD" w:rsidP="0078557B">
            <w:pPr>
              <w:pStyle w:val="PBACTable"/>
              <w:keepNext/>
              <w:rPr>
                <w:color w:val="auto"/>
              </w:rPr>
            </w:pPr>
            <w:r w:rsidRPr="0083381B">
              <w:rPr>
                <w:color w:val="auto"/>
              </w:rPr>
              <w:t xml:space="preserve">Total dose of </w:t>
            </w:r>
            <w:proofErr w:type="spellStart"/>
            <w:r w:rsidRPr="0083381B">
              <w:rPr>
                <w:color w:val="auto"/>
              </w:rPr>
              <w:t>rFSH</w:t>
            </w:r>
            <w:proofErr w:type="spellEnd"/>
          </w:p>
        </w:tc>
        <w:tc>
          <w:tcPr>
            <w:tcW w:w="850" w:type="dxa"/>
          </w:tcPr>
          <w:p w:rsidR="00BA72FD" w:rsidRPr="0083381B" w:rsidRDefault="00BA72FD" w:rsidP="0078557B">
            <w:pPr>
              <w:pStyle w:val="PBACTable"/>
              <w:keepNext/>
              <w:jc w:val="center"/>
              <w:rPr>
                <w:color w:val="auto"/>
              </w:rPr>
            </w:pPr>
            <w:r w:rsidRPr="0083381B">
              <w:rPr>
                <w:color w:val="auto"/>
              </w:rPr>
              <w:t>26</w:t>
            </w:r>
          </w:p>
        </w:tc>
        <w:tc>
          <w:tcPr>
            <w:tcW w:w="851" w:type="dxa"/>
          </w:tcPr>
          <w:p w:rsidR="00BA72FD" w:rsidRPr="0083381B" w:rsidRDefault="00BA72FD" w:rsidP="0078557B">
            <w:pPr>
              <w:pStyle w:val="PBACTable"/>
              <w:keepNext/>
              <w:jc w:val="center"/>
              <w:rPr>
                <w:color w:val="auto"/>
              </w:rPr>
            </w:pPr>
            <w:r w:rsidRPr="0083381B">
              <w:rPr>
                <w:color w:val="auto"/>
              </w:rPr>
              <w:t>4,484</w:t>
            </w:r>
          </w:p>
        </w:tc>
        <w:tc>
          <w:tcPr>
            <w:tcW w:w="1446" w:type="dxa"/>
          </w:tcPr>
          <w:p w:rsidR="00BA72FD" w:rsidRPr="0083381B" w:rsidRDefault="00BA72FD" w:rsidP="0078557B">
            <w:pPr>
              <w:pStyle w:val="PBACTable"/>
              <w:keepNext/>
              <w:jc w:val="center"/>
              <w:rPr>
                <w:color w:val="auto"/>
              </w:rPr>
            </w:pPr>
            <w:r w:rsidRPr="0083381B">
              <w:rPr>
                <w:color w:val="auto"/>
              </w:rPr>
              <w:t>MD -60</w:t>
            </w:r>
          </w:p>
          <w:p w:rsidR="00BA72FD" w:rsidRPr="0083381B" w:rsidRDefault="00BA72FD" w:rsidP="0078557B">
            <w:pPr>
              <w:pStyle w:val="PBACTable"/>
              <w:keepNext/>
              <w:jc w:val="center"/>
              <w:rPr>
                <w:color w:val="auto"/>
              </w:rPr>
            </w:pPr>
            <w:r w:rsidRPr="0083381B">
              <w:rPr>
                <w:color w:val="auto"/>
              </w:rPr>
              <w:t>[-0.16, 0.04]</w:t>
            </w:r>
          </w:p>
        </w:tc>
        <w:tc>
          <w:tcPr>
            <w:tcW w:w="709" w:type="dxa"/>
          </w:tcPr>
          <w:p w:rsidR="00BA72FD" w:rsidRPr="0083381B" w:rsidRDefault="00BA72FD" w:rsidP="0078557B">
            <w:pPr>
              <w:pStyle w:val="PBACTable"/>
              <w:keepNext/>
              <w:jc w:val="center"/>
              <w:rPr>
                <w:b/>
                <w:color w:val="auto"/>
              </w:rPr>
            </w:pPr>
            <w:r w:rsidRPr="0083381B">
              <w:rPr>
                <w:b/>
                <w:color w:val="auto"/>
              </w:rPr>
              <w:t>8</w:t>
            </w:r>
          </w:p>
        </w:tc>
        <w:tc>
          <w:tcPr>
            <w:tcW w:w="850" w:type="dxa"/>
          </w:tcPr>
          <w:p w:rsidR="00BA72FD" w:rsidRPr="0083381B" w:rsidRDefault="00BA72FD" w:rsidP="0078557B">
            <w:pPr>
              <w:pStyle w:val="PBACTable"/>
              <w:keepNext/>
              <w:jc w:val="center"/>
              <w:rPr>
                <w:b/>
                <w:color w:val="auto"/>
              </w:rPr>
            </w:pPr>
            <w:r w:rsidRPr="0083381B">
              <w:rPr>
                <w:b/>
                <w:color w:val="auto"/>
              </w:rPr>
              <w:t>549</w:t>
            </w:r>
          </w:p>
        </w:tc>
        <w:tc>
          <w:tcPr>
            <w:tcW w:w="2239" w:type="dxa"/>
          </w:tcPr>
          <w:p w:rsidR="00BA72FD" w:rsidRPr="0083381B" w:rsidRDefault="00BA72FD" w:rsidP="0078557B">
            <w:pPr>
              <w:pStyle w:val="PBACTable"/>
              <w:keepNext/>
              <w:jc w:val="center"/>
              <w:rPr>
                <w:b/>
                <w:color w:val="auto"/>
              </w:rPr>
            </w:pPr>
            <w:r w:rsidRPr="0083381B">
              <w:rPr>
                <w:b/>
                <w:color w:val="auto"/>
              </w:rPr>
              <w:t>MD -380</w:t>
            </w:r>
          </w:p>
          <w:p w:rsidR="00BA72FD" w:rsidRPr="0083381B" w:rsidRDefault="00BA72FD" w:rsidP="0078557B">
            <w:pPr>
              <w:pStyle w:val="PBACTable"/>
              <w:keepNext/>
              <w:jc w:val="center"/>
              <w:rPr>
                <w:b/>
                <w:color w:val="auto"/>
              </w:rPr>
            </w:pPr>
            <w:r w:rsidRPr="0083381B">
              <w:rPr>
                <w:b/>
                <w:color w:val="auto"/>
              </w:rPr>
              <w:t>[-0.59, -0.17]</w:t>
            </w:r>
          </w:p>
          <w:p w:rsidR="00BA72FD" w:rsidRPr="0083381B" w:rsidRDefault="00BA72FD" w:rsidP="0078557B">
            <w:pPr>
              <w:pStyle w:val="PBACTable"/>
              <w:keepNext/>
              <w:jc w:val="center"/>
              <w:rPr>
                <w:b/>
                <w:color w:val="auto"/>
              </w:rPr>
            </w:pPr>
          </w:p>
        </w:tc>
      </w:tr>
    </w:tbl>
    <w:p w:rsidR="00BA72FD" w:rsidRPr="0083381B" w:rsidRDefault="00BA72FD" w:rsidP="0083381B">
      <w:pPr>
        <w:pStyle w:val="PBACTable"/>
        <w:keepNext/>
        <w:ind w:left="720"/>
        <w:rPr>
          <w:color w:val="auto"/>
        </w:rPr>
      </w:pPr>
      <w:r w:rsidRPr="0083381B">
        <w:rPr>
          <w:color w:val="auto"/>
        </w:rPr>
        <w:t># = number of trials n = number of participants; RR = Risk Ratio; [ ] represent 95% confidence intervals; MD = Mean difference</w:t>
      </w:r>
    </w:p>
    <w:p w:rsidR="00BA72FD" w:rsidRPr="0083381B" w:rsidRDefault="0083381B" w:rsidP="0083381B">
      <w:pPr>
        <w:pStyle w:val="PBACTable"/>
        <w:keepNext/>
        <w:ind w:left="720"/>
        <w:rPr>
          <w:color w:val="auto"/>
        </w:rPr>
      </w:pPr>
      <w:r w:rsidRPr="0083381B">
        <w:rPr>
          <w:color w:val="auto"/>
        </w:rPr>
        <w:t xml:space="preserve">Source: Table 4 of minor </w:t>
      </w:r>
      <w:r w:rsidR="0008033A">
        <w:rPr>
          <w:color w:val="auto"/>
        </w:rPr>
        <w:t>re-submission</w:t>
      </w:r>
      <w:r w:rsidRPr="0083381B">
        <w:rPr>
          <w:color w:val="auto"/>
        </w:rPr>
        <w:t>, p21</w:t>
      </w:r>
    </w:p>
    <w:p w:rsidR="00382178" w:rsidRPr="00382178" w:rsidRDefault="00382178" w:rsidP="00382178">
      <w:pPr>
        <w:pStyle w:val="ListParagraph"/>
        <w:rPr>
          <w:rFonts w:ascii="Arial" w:hAnsi="Arial"/>
          <w:sz w:val="22"/>
          <w:szCs w:val="22"/>
        </w:rPr>
      </w:pPr>
    </w:p>
    <w:p w:rsidR="00340546" w:rsidRPr="002E2BF3" w:rsidRDefault="00382178" w:rsidP="00340546">
      <w:pPr>
        <w:pStyle w:val="ListParagraph"/>
        <w:numPr>
          <w:ilvl w:val="1"/>
          <w:numId w:val="25"/>
        </w:numPr>
        <w:jc w:val="both"/>
        <w:rPr>
          <w:rFonts w:ascii="Arial" w:hAnsi="Arial" w:cs="Arial"/>
          <w:b/>
          <w:sz w:val="22"/>
          <w:szCs w:val="22"/>
        </w:rPr>
      </w:pPr>
      <w:r w:rsidRPr="003C7429">
        <w:rPr>
          <w:rFonts w:ascii="Arial" w:hAnsi="Arial"/>
          <w:sz w:val="22"/>
          <w:szCs w:val="22"/>
        </w:rPr>
        <w:t>This</w:t>
      </w:r>
      <w:r w:rsidR="00340546" w:rsidRPr="003C7429">
        <w:rPr>
          <w:rFonts w:ascii="Arial" w:hAnsi="Arial"/>
          <w:sz w:val="22"/>
          <w:szCs w:val="22"/>
        </w:rPr>
        <w:t xml:space="preserve"> </w:t>
      </w:r>
      <w:r w:rsidR="0008033A">
        <w:rPr>
          <w:rFonts w:ascii="Arial" w:hAnsi="Arial"/>
          <w:sz w:val="22"/>
          <w:szCs w:val="22"/>
        </w:rPr>
        <w:t>re-submission</w:t>
      </w:r>
      <w:r w:rsidR="00340546" w:rsidRPr="003C7429">
        <w:rPr>
          <w:rFonts w:ascii="Arial" w:hAnsi="Arial"/>
          <w:sz w:val="22"/>
          <w:szCs w:val="22"/>
        </w:rPr>
        <w:t xml:space="preserve"> </w:t>
      </w:r>
      <w:r w:rsidR="003C7429">
        <w:rPr>
          <w:rFonts w:ascii="Arial" w:hAnsi="Arial"/>
          <w:sz w:val="22"/>
          <w:szCs w:val="22"/>
        </w:rPr>
        <w:t>includ</w:t>
      </w:r>
      <w:r w:rsidR="0083381B" w:rsidRPr="003C7429">
        <w:rPr>
          <w:rFonts w:ascii="Arial" w:hAnsi="Arial"/>
          <w:sz w:val="22"/>
          <w:szCs w:val="22"/>
        </w:rPr>
        <w:t>e</w:t>
      </w:r>
      <w:r w:rsidR="004A1C78">
        <w:rPr>
          <w:rFonts w:ascii="Arial" w:hAnsi="Arial"/>
          <w:sz w:val="22"/>
          <w:szCs w:val="22"/>
        </w:rPr>
        <w:t>d</w:t>
      </w:r>
      <w:r w:rsidR="0083381B" w:rsidRPr="003C7429">
        <w:rPr>
          <w:rFonts w:ascii="Arial" w:hAnsi="Arial"/>
          <w:sz w:val="22"/>
          <w:szCs w:val="22"/>
        </w:rPr>
        <w:t xml:space="preserve"> </w:t>
      </w:r>
      <w:r w:rsidR="00340546" w:rsidRPr="003C7429">
        <w:rPr>
          <w:rFonts w:ascii="Arial" w:hAnsi="Arial"/>
          <w:sz w:val="22"/>
          <w:szCs w:val="22"/>
        </w:rPr>
        <w:t>the bioequivalence stud</w:t>
      </w:r>
      <w:r w:rsidR="0083381B" w:rsidRPr="003C7429">
        <w:rPr>
          <w:rFonts w:ascii="Arial" w:hAnsi="Arial"/>
          <w:sz w:val="22"/>
          <w:szCs w:val="22"/>
        </w:rPr>
        <w:t>ies</w:t>
      </w:r>
      <w:r w:rsidR="00340546" w:rsidRPr="003C7429">
        <w:rPr>
          <w:rFonts w:ascii="Arial" w:hAnsi="Arial"/>
          <w:sz w:val="22"/>
          <w:szCs w:val="22"/>
        </w:rPr>
        <w:t xml:space="preserve"> previously </w:t>
      </w:r>
      <w:r w:rsidR="003C7429">
        <w:rPr>
          <w:rFonts w:ascii="Arial" w:hAnsi="Arial"/>
          <w:sz w:val="22"/>
          <w:szCs w:val="22"/>
        </w:rPr>
        <w:t>provid</w:t>
      </w:r>
      <w:r w:rsidR="00340546" w:rsidRPr="003C7429">
        <w:rPr>
          <w:rFonts w:ascii="Arial" w:hAnsi="Arial"/>
          <w:sz w:val="22"/>
          <w:szCs w:val="22"/>
        </w:rPr>
        <w:t xml:space="preserve">ed </w:t>
      </w:r>
      <w:r w:rsidR="003C7429">
        <w:rPr>
          <w:rFonts w:ascii="Arial" w:hAnsi="Arial"/>
          <w:sz w:val="22"/>
          <w:szCs w:val="22"/>
        </w:rPr>
        <w:t xml:space="preserve">to PBAC in the </w:t>
      </w:r>
      <w:r w:rsidR="00340546" w:rsidRPr="003C7429">
        <w:rPr>
          <w:rFonts w:ascii="Arial" w:hAnsi="Arial"/>
          <w:sz w:val="22"/>
          <w:szCs w:val="22"/>
        </w:rPr>
        <w:t>March 2014</w:t>
      </w:r>
      <w:r w:rsidR="003C7429">
        <w:rPr>
          <w:rFonts w:ascii="Arial" w:hAnsi="Arial"/>
          <w:sz w:val="22"/>
          <w:szCs w:val="22"/>
        </w:rPr>
        <w:t xml:space="preserve"> submission</w:t>
      </w:r>
      <w:r w:rsidR="00891F34" w:rsidRPr="003C7429">
        <w:rPr>
          <w:rFonts w:ascii="Arial" w:hAnsi="Arial"/>
          <w:sz w:val="22"/>
          <w:szCs w:val="22"/>
        </w:rPr>
        <w:t xml:space="preserve">. </w:t>
      </w:r>
      <w:r w:rsidR="00192919" w:rsidRPr="003C7429">
        <w:rPr>
          <w:rFonts w:ascii="Arial" w:hAnsi="Arial"/>
          <w:sz w:val="22"/>
          <w:szCs w:val="22"/>
        </w:rPr>
        <w:t xml:space="preserve">Study IMP23718 compared the </w:t>
      </w:r>
      <w:proofErr w:type="spellStart"/>
      <w:r w:rsidR="00192919" w:rsidRPr="003C7429">
        <w:rPr>
          <w:rFonts w:ascii="Arial" w:hAnsi="Arial"/>
          <w:sz w:val="22"/>
          <w:szCs w:val="22"/>
        </w:rPr>
        <w:t>rFSH</w:t>
      </w:r>
      <w:proofErr w:type="spellEnd"/>
      <w:r w:rsidR="00192919" w:rsidRPr="003C7429">
        <w:rPr>
          <w:rFonts w:ascii="Arial" w:hAnsi="Arial"/>
          <w:sz w:val="22"/>
          <w:szCs w:val="22"/>
        </w:rPr>
        <w:t xml:space="preserve"> component to the fixed </w:t>
      </w:r>
      <w:proofErr w:type="spellStart"/>
      <w:r w:rsidR="00192919" w:rsidRPr="003C7429">
        <w:rPr>
          <w:rFonts w:ascii="Arial" w:hAnsi="Arial"/>
          <w:sz w:val="22"/>
          <w:szCs w:val="22"/>
        </w:rPr>
        <w:t>rFSH</w:t>
      </w:r>
      <w:proofErr w:type="spellEnd"/>
      <w:r w:rsidR="00192919" w:rsidRPr="003C7429">
        <w:rPr>
          <w:rFonts w:ascii="Arial" w:hAnsi="Arial"/>
          <w:sz w:val="22"/>
          <w:szCs w:val="22"/>
        </w:rPr>
        <w:t>/</w:t>
      </w:r>
      <w:proofErr w:type="spellStart"/>
      <w:r w:rsidR="00192919" w:rsidRPr="003C7429">
        <w:rPr>
          <w:rFonts w:ascii="Arial" w:hAnsi="Arial"/>
          <w:sz w:val="22"/>
          <w:szCs w:val="22"/>
        </w:rPr>
        <w:t>rLH</w:t>
      </w:r>
      <w:proofErr w:type="spellEnd"/>
      <w:r w:rsidR="00192919" w:rsidRPr="003C7429">
        <w:rPr>
          <w:rFonts w:ascii="Arial" w:hAnsi="Arial"/>
          <w:sz w:val="22"/>
          <w:szCs w:val="22"/>
        </w:rPr>
        <w:t xml:space="preserve"> combination, whilst Study IMP23722 compared the </w:t>
      </w:r>
      <w:proofErr w:type="spellStart"/>
      <w:r w:rsidR="00192919" w:rsidRPr="003C7429">
        <w:rPr>
          <w:rFonts w:ascii="Arial" w:hAnsi="Arial"/>
          <w:sz w:val="22"/>
          <w:szCs w:val="22"/>
        </w:rPr>
        <w:t>rLH</w:t>
      </w:r>
      <w:proofErr w:type="spellEnd"/>
      <w:r w:rsidR="00192919" w:rsidRPr="003C7429">
        <w:rPr>
          <w:rFonts w:ascii="Arial" w:hAnsi="Arial"/>
          <w:sz w:val="22"/>
          <w:szCs w:val="22"/>
        </w:rPr>
        <w:t xml:space="preserve"> component to the fixed combination.</w:t>
      </w:r>
      <w:r w:rsidR="003C7429" w:rsidRPr="003C7429">
        <w:rPr>
          <w:rFonts w:ascii="Arial" w:hAnsi="Arial"/>
          <w:sz w:val="22"/>
          <w:szCs w:val="22"/>
        </w:rPr>
        <w:t xml:space="preserve"> The </w:t>
      </w:r>
      <w:r w:rsidR="0008033A">
        <w:rPr>
          <w:rFonts w:ascii="Arial" w:hAnsi="Arial"/>
          <w:sz w:val="22"/>
          <w:szCs w:val="22"/>
        </w:rPr>
        <w:t>re-submission</w:t>
      </w:r>
      <w:r w:rsidR="003C7429" w:rsidRPr="003C7429">
        <w:rPr>
          <w:rFonts w:ascii="Arial" w:hAnsi="Arial"/>
          <w:sz w:val="22"/>
          <w:szCs w:val="22"/>
        </w:rPr>
        <w:t xml:space="preserve"> quote</w:t>
      </w:r>
      <w:r w:rsidR="004A1C78">
        <w:rPr>
          <w:rFonts w:ascii="Arial" w:hAnsi="Arial"/>
          <w:sz w:val="22"/>
          <w:szCs w:val="22"/>
        </w:rPr>
        <w:t>d</w:t>
      </w:r>
      <w:r w:rsidR="003C7429" w:rsidRPr="003C7429">
        <w:rPr>
          <w:rFonts w:ascii="Arial" w:hAnsi="Arial"/>
          <w:sz w:val="22"/>
          <w:szCs w:val="22"/>
        </w:rPr>
        <w:t xml:space="preserve"> the AUSPAR (January 2010) conclusion </w:t>
      </w:r>
      <w:r w:rsidR="003C7429" w:rsidRPr="002E2BF3">
        <w:rPr>
          <w:rFonts w:ascii="Arial" w:hAnsi="Arial" w:cs="Arial"/>
          <w:sz w:val="22"/>
          <w:szCs w:val="22"/>
        </w:rPr>
        <w:t>“</w:t>
      </w:r>
      <w:r w:rsidR="003C7429" w:rsidRPr="002E2BF3">
        <w:rPr>
          <w:rFonts w:ascii="Arial" w:hAnsi="Arial" w:cs="Arial"/>
          <w:i/>
          <w:sz w:val="22"/>
          <w:szCs w:val="22"/>
        </w:rPr>
        <w:t>The test product “</w:t>
      </w:r>
      <w:proofErr w:type="spellStart"/>
      <w:r w:rsidR="003C7429" w:rsidRPr="002E2BF3">
        <w:rPr>
          <w:rFonts w:ascii="Arial" w:hAnsi="Arial" w:cs="Arial"/>
          <w:i/>
          <w:sz w:val="22"/>
          <w:szCs w:val="22"/>
        </w:rPr>
        <w:t>Pergoveris</w:t>
      </w:r>
      <w:proofErr w:type="spellEnd"/>
      <w:r w:rsidR="003C7429" w:rsidRPr="002E2BF3">
        <w:rPr>
          <w:rFonts w:ascii="Arial" w:hAnsi="Arial" w:cs="Arial"/>
          <w:i/>
          <w:sz w:val="22"/>
          <w:szCs w:val="22"/>
        </w:rPr>
        <w:t xml:space="preserve">” containing </w:t>
      </w:r>
      <w:proofErr w:type="spellStart"/>
      <w:r w:rsidR="003C7429" w:rsidRPr="002E2BF3">
        <w:rPr>
          <w:rFonts w:ascii="Arial" w:hAnsi="Arial" w:cs="Arial"/>
          <w:i/>
          <w:sz w:val="22"/>
          <w:szCs w:val="22"/>
        </w:rPr>
        <w:t>follitropin</w:t>
      </w:r>
      <w:proofErr w:type="spellEnd"/>
      <w:r w:rsidR="003C7429" w:rsidRPr="002E2BF3">
        <w:rPr>
          <w:rFonts w:ascii="Arial" w:hAnsi="Arial" w:cs="Arial"/>
          <w:i/>
          <w:sz w:val="22"/>
          <w:szCs w:val="22"/>
        </w:rPr>
        <w:t xml:space="preserve"> alfa and </w:t>
      </w:r>
      <w:proofErr w:type="spellStart"/>
      <w:r w:rsidR="003C7429" w:rsidRPr="002E2BF3">
        <w:rPr>
          <w:rFonts w:ascii="Arial" w:hAnsi="Arial" w:cs="Arial"/>
          <w:i/>
          <w:sz w:val="22"/>
          <w:szCs w:val="22"/>
        </w:rPr>
        <w:t>lutropin</w:t>
      </w:r>
      <w:proofErr w:type="spellEnd"/>
      <w:r w:rsidR="003C7429" w:rsidRPr="002E2BF3">
        <w:rPr>
          <w:rFonts w:ascii="Arial" w:hAnsi="Arial" w:cs="Arial"/>
          <w:i/>
          <w:sz w:val="22"/>
          <w:szCs w:val="22"/>
        </w:rPr>
        <w:t xml:space="preserve"> alfa is bioequivalent to the two reference products </w:t>
      </w:r>
      <w:proofErr w:type="spellStart"/>
      <w:r w:rsidR="003C7429" w:rsidRPr="002E2BF3">
        <w:rPr>
          <w:rFonts w:ascii="Arial" w:hAnsi="Arial" w:cs="Arial"/>
          <w:i/>
          <w:sz w:val="22"/>
          <w:szCs w:val="22"/>
        </w:rPr>
        <w:t>Gonal</w:t>
      </w:r>
      <w:proofErr w:type="spellEnd"/>
      <w:r w:rsidR="003C7429" w:rsidRPr="002E2BF3">
        <w:rPr>
          <w:rFonts w:ascii="Arial" w:hAnsi="Arial" w:cs="Arial"/>
          <w:i/>
          <w:sz w:val="22"/>
          <w:szCs w:val="22"/>
        </w:rPr>
        <w:t xml:space="preserve">-F and </w:t>
      </w:r>
      <w:proofErr w:type="spellStart"/>
      <w:r w:rsidR="003C7429" w:rsidRPr="002E2BF3">
        <w:rPr>
          <w:rFonts w:ascii="Arial" w:hAnsi="Arial" w:cs="Arial"/>
          <w:i/>
          <w:sz w:val="22"/>
          <w:szCs w:val="22"/>
        </w:rPr>
        <w:t>Luveris</w:t>
      </w:r>
      <w:proofErr w:type="spellEnd"/>
      <w:r w:rsidR="003C7429" w:rsidRPr="002E2BF3">
        <w:rPr>
          <w:rFonts w:ascii="Arial" w:hAnsi="Arial" w:cs="Arial"/>
          <w:i/>
          <w:sz w:val="22"/>
          <w:szCs w:val="22"/>
        </w:rPr>
        <w:t xml:space="preserve"> containing the single entity </w:t>
      </w:r>
      <w:proofErr w:type="spellStart"/>
      <w:r w:rsidR="003C7429" w:rsidRPr="002E2BF3">
        <w:rPr>
          <w:rFonts w:ascii="Arial" w:hAnsi="Arial" w:cs="Arial"/>
          <w:i/>
          <w:sz w:val="22"/>
          <w:szCs w:val="22"/>
        </w:rPr>
        <w:t>follitropin</w:t>
      </w:r>
      <w:proofErr w:type="spellEnd"/>
      <w:r w:rsidR="003C7429" w:rsidRPr="002E2BF3">
        <w:rPr>
          <w:rFonts w:ascii="Arial" w:hAnsi="Arial" w:cs="Arial"/>
          <w:i/>
          <w:sz w:val="22"/>
          <w:szCs w:val="22"/>
        </w:rPr>
        <w:t xml:space="preserve"> alfa and </w:t>
      </w:r>
      <w:proofErr w:type="spellStart"/>
      <w:r w:rsidR="003C7429" w:rsidRPr="002E2BF3">
        <w:rPr>
          <w:rFonts w:ascii="Arial" w:hAnsi="Arial" w:cs="Arial"/>
          <w:i/>
          <w:sz w:val="22"/>
          <w:szCs w:val="22"/>
        </w:rPr>
        <w:t>lutropin</w:t>
      </w:r>
      <w:proofErr w:type="spellEnd"/>
      <w:r w:rsidR="003C7429" w:rsidRPr="002E2BF3">
        <w:rPr>
          <w:rFonts w:ascii="Arial" w:hAnsi="Arial" w:cs="Arial"/>
          <w:i/>
          <w:sz w:val="22"/>
          <w:szCs w:val="22"/>
        </w:rPr>
        <w:t xml:space="preserve"> alfa, respectively” </w:t>
      </w:r>
      <w:r w:rsidR="003C7429" w:rsidRPr="002E2BF3">
        <w:rPr>
          <w:rFonts w:ascii="Arial" w:hAnsi="Arial" w:cs="Arial"/>
          <w:sz w:val="22"/>
          <w:szCs w:val="22"/>
        </w:rPr>
        <w:t xml:space="preserve">(p23 of the minor </w:t>
      </w:r>
      <w:r w:rsidR="0008033A" w:rsidRPr="002E2BF3">
        <w:rPr>
          <w:rFonts w:ascii="Arial" w:hAnsi="Arial" w:cs="Arial"/>
          <w:sz w:val="22"/>
          <w:szCs w:val="22"/>
        </w:rPr>
        <w:t>re-submission</w:t>
      </w:r>
      <w:r w:rsidR="003C7429" w:rsidRPr="002E2BF3">
        <w:rPr>
          <w:rFonts w:ascii="Arial" w:hAnsi="Arial" w:cs="Arial"/>
          <w:sz w:val="22"/>
          <w:szCs w:val="22"/>
        </w:rPr>
        <w:t>).</w:t>
      </w:r>
    </w:p>
    <w:p w:rsidR="003C7429" w:rsidRPr="003C7429" w:rsidRDefault="003C7429" w:rsidP="003C7429">
      <w:pPr>
        <w:pStyle w:val="ListParagraph"/>
        <w:jc w:val="both"/>
        <w:rPr>
          <w:rFonts w:ascii="Arial" w:hAnsi="Arial"/>
          <w:b/>
          <w:sz w:val="22"/>
          <w:szCs w:val="22"/>
        </w:rPr>
      </w:pPr>
    </w:p>
    <w:p w:rsidR="003C7429" w:rsidRPr="003C7429" w:rsidRDefault="003C7429" w:rsidP="003C7429">
      <w:pPr>
        <w:pStyle w:val="ListParagraph"/>
        <w:numPr>
          <w:ilvl w:val="1"/>
          <w:numId w:val="25"/>
        </w:numPr>
        <w:jc w:val="both"/>
        <w:rPr>
          <w:rFonts w:ascii="Arial" w:hAnsi="Arial"/>
          <w:sz w:val="22"/>
          <w:szCs w:val="22"/>
        </w:rPr>
      </w:pPr>
      <w:r>
        <w:rPr>
          <w:rFonts w:ascii="Arial" w:hAnsi="Arial"/>
          <w:sz w:val="22"/>
          <w:szCs w:val="22"/>
        </w:rPr>
        <w:t xml:space="preserve">The </w:t>
      </w:r>
      <w:r w:rsidR="0008033A">
        <w:rPr>
          <w:rFonts w:ascii="Arial" w:hAnsi="Arial"/>
          <w:sz w:val="22"/>
          <w:szCs w:val="22"/>
        </w:rPr>
        <w:t>re-submission</w:t>
      </w:r>
      <w:r>
        <w:rPr>
          <w:rFonts w:ascii="Arial" w:hAnsi="Arial"/>
          <w:sz w:val="22"/>
          <w:szCs w:val="22"/>
        </w:rPr>
        <w:t xml:space="preserve"> </w:t>
      </w:r>
      <w:r w:rsidR="004A1C78">
        <w:rPr>
          <w:rFonts w:ascii="Arial" w:hAnsi="Arial"/>
          <w:sz w:val="22"/>
          <w:szCs w:val="22"/>
        </w:rPr>
        <w:t xml:space="preserve">identified </w:t>
      </w:r>
      <w:r>
        <w:rPr>
          <w:rFonts w:ascii="Arial" w:hAnsi="Arial"/>
          <w:sz w:val="22"/>
          <w:szCs w:val="22"/>
        </w:rPr>
        <w:t>a</w:t>
      </w:r>
      <w:r w:rsidRPr="003C7429">
        <w:rPr>
          <w:rFonts w:ascii="Arial" w:hAnsi="Arial"/>
          <w:sz w:val="22"/>
          <w:szCs w:val="22"/>
        </w:rPr>
        <w:t xml:space="preserve"> precedent for accepting </w:t>
      </w:r>
      <w:r>
        <w:rPr>
          <w:rFonts w:ascii="Arial" w:hAnsi="Arial"/>
          <w:sz w:val="22"/>
          <w:szCs w:val="22"/>
        </w:rPr>
        <w:t>bioequivalence evidence</w:t>
      </w:r>
      <w:r w:rsidR="004A1C78">
        <w:rPr>
          <w:rFonts w:ascii="Arial" w:hAnsi="Arial"/>
          <w:sz w:val="22"/>
          <w:szCs w:val="22"/>
        </w:rPr>
        <w:t xml:space="preserve"> as the basis for</w:t>
      </w:r>
      <w:r w:rsidRPr="003C7429">
        <w:rPr>
          <w:rFonts w:ascii="Arial" w:hAnsi="Arial"/>
          <w:sz w:val="22"/>
          <w:szCs w:val="22"/>
        </w:rPr>
        <w:t xml:space="preserve"> listing of a combination product on the PBS</w:t>
      </w:r>
      <w:r w:rsidR="004A1C78">
        <w:rPr>
          <w:rFonts w:ascii="Arial" w:hAnsi="Arial"/>
          <w:sz w:val="22"/>
          <w:szCs w:val="22"/>
        </w:rPr>
        <w:t>:</w:t>
      </w:r>
      <w:r>
        <w:rPr>
          <w:rFonts w:ascii="Arial" w:hAnsi="Arial"/>
          <w:sz w:val="22"/>
          <w:szCs w:val="22"/>
        </w:rPr>
        <w:t xml:space="preserve"> the </w:t>
      </w:r>
      <w:r w:rsidRPr="003C7429">
        <w:rPr>
          <w:rFonts w:ascii="Arial" w:hAnsi="Arial"/>
          <w:sz w:val="22"/>
          <w:szCs w:val="22"/>
        </w:rPr>
        <w:t xml:space="preserve">alogliptin and metformin fixed dose combination tablets </w:t>
      </w:r>
      <w:r>
        <w:rPr>
          <w:rFonts w:ascii="Arial" w:hAnsi="Arial"/>
          <w:sz w:val="22"/>
          <w:szCs w:val="22"/>
        </w:rPr>
        <w:t>considered at</w:t>
      </w:r>
      <w:r w:rsidRPr="003C7429">
        <w:rPr>
          <w:rFonts w:ascii="Arial" w:hAnsi="Arial"/>
          <w:sz w:val="22"/>
          <w:szCs w:val="22"/>
        </w:rPr>
        <w:t xml:space="preserve"> the November </w:t>
      </w:r>
      <w:r w:rsidR="00104963" w:rsidRPr="00600377">
        <w:rPr>
          <w:rFonts w:ascii="Arial" w:hAnsi="Arial"/>
          <w:sz w:val="22"/>
          <w:szCs w:val="22"/>
        </w:rPr>
        <w:t>2013</w:t>
      </w:r>
      <w:r w:rsidRPr="003C7429">
        <w:rPr>
          <w:rFonts w:ascii="Arial" w:hAnsi="Arial"/>
          <w:sz w:val="22"/>
          <w:szCs w:val="22"/>
        </w:rPr>
        <w:t xml:space="preserve"> PBAC meeting</w:t>
      </w:r>
      <w:r>
        <w:rPr>
          <w:rFonts w:ascii="Arial" w:hAnsi="Arial"/>
          <w:sz w:val="22"/>
          <w:szCs w:val="22"/>
        </w:rPr>
        <w:t>.</w:t>
      </w:r>
    </w:p>
    <w:p w:rsidR="003C7429" w:rsidRPr="003C7429" w:rsidRDefault="003C7429" w:rsidP="003C7429">
      <w:pPr>
        <w:pStyle w:val="ListParagraph"/>
        <w:jc w:val="both"/>
        <w:rPr>
          <w:rFonts w:ascii="Arial" w:hAnsi="Arial"/>
          <w:b/>
          <w:i/>
          <w:sz w:val="22"/>
          <w:szCs w:val="22"/>
        </w:rPr>
      </w:pPr>
    </w:p>
    <w:p w:rsidR="004C2C4A" w:rsidRPr="004919E8" w:rsidRDefault="0088071F" w:rsidP="0088071F">
      <w:pPr>
        <w:jc w:val="both"/>
        <w:rPr>
          <w:rFonts w:ascii="Arial" w:hAnsi="Arial"/>
          <w:b/>
          <w:sz w:val="22"/>
          <w:szCs w:val="22"/>
        </w:rPr>
      </w:pPr>
      <w:r w:rsidRPr="004919E8">
        <w:rPr>
          <w:rFonts w:ascii="Arial" w:hAnsi="Arial"/>
          <w:b/>
          <w:sz w:val="22"/>
          <w:szCs w:val="22"/>
        </w:rPr>
        <w:t>Comparative harms</w:t>
      </w:r>
    </w:p>
    <w:p w:rsidR="00340546" w:rsidRDefault="00340546" w:rsidP="0088071F">
      <w:pPr>
        <w:jc w:val="both"/>
        <w:rPr>
          <w:rFonts w:ascii="Arial" w:hAnsi="Arial"/>
          <w:b/>
          <w:i/>
          <w:sz w:val="22"/>
          <w:szCs w:val="22"/>
        </w:rPr>
      </w:pPr>
    </w:p>
    <w:p w:rsidR="00340546" w:rsidRPr="00671C84" w:rsidRDefault="00340546" w:rsidP="00340546">
      <w:pPr>
        <w:pStyle w:val="ListParagraph"/>
        <w:numPr>
          <w:ilvl w:val="1"/>
          <w:numId w:val="25"/>
        </w:numPr>
        <w:jc w:val="both"/>
        <w:rPr>
          <w:rFonts w:ascii="Arial" w:hAnsi="Arial"/>
          <w:i/>
          <w:sz w:val="22"/>
          <w:szCs w:val="22"/>
        </w:rPr>
      </w:pPr>
      <w:r>
        <w:rPr>
          <w:rFonts w:ascii="Arial" w:hAnsi="Arial" w:cs="Arial"/>
          <w:iCs/>
          <w:snapToGrid w:val="0"/>
          <w:sz w:val="22"/>
          <w:szCs w:val="22"/>
        </w:rPr>
        <w:t>The submission present</w:t>
      </w:r>
      <w:r w:rsidR="004A1C78">
        <w:rPr>
          <w:rFonts w:ascii="Arial" w:hAnsi="Arial" w:cs="Arial"/>
          <w:iCs/>
          <w:snapToGrid w:val="0"/>
          <w:sz w:val="22"/>
          <w:szCs w:val="22"/>
        </w:rPr>
        <w:t>ed</w:t>
      </w:r>
      <w:r>
        <w:rPr>
          <w:rFonts w:ascii="Arial" w:hAnsi="Arial" w:cs="Arial"/>
          <w:iCs/>
          <w:snapToGrid w:val="0"/>
          <w:sz w:val="22"/>
          <w:szCs w:val="22"/>
        </w:rPr>
        <w:t xml:space="preserve"> the results from the </w:t>
      </w:r>
      <w:proofErr w:type="spellStart"/>
      <w:r>
        <w:rPr>
          <w:rFonts w:ascii="Arial" w:hAnsi="Arial" w:cs="Arial"/>
          <w:iCs/>
          <w:snapToGrid w:val="0"/>
          <w:sz w:val="22"/>
          <w:szCs w:val="22"/>
        </w:rPr>
        <w:t>Lehert</w:t>
      </w:r>
      <w:proofErr w:type="spellEnd"/>
      <w:r>
        <w:rPr>
          <w:rFonts w:ascii="Arial" w:hAnsi="Arial" w:cs="Arial"/>
          <w:iCs/>
          <w:snapToGrid w:val="0"/>
          <w:sz w:val="22"/>
          <w:szCs w:val="22"/>
        </w:rPr>
        <w:t xml:space="preserve"> (2014) meta-analysis to address PBAC</w:t>
      </w:r>
      <w:r w:rsidR="004A1C78">
        <w:rPr>
          <w:rFonts w:ascii="Arial" w:hAnsi="Arial" w:cs="Arial"/>
          <w:iCs/>
          <w:snapToGrid w:val="0"/>
          <w:sz w:val="22"/>
          <w:szCs w:val="22"/>
        </w:rPr>
        <w:t>’s</w:t>
      </w:r>
      <w:r>
        <w:rPr>
          <w:rFonts w:ascii="Arial" w:hAnsi="Arial" w:cs="Arial"/>
          <w:iCs/>
          <w:snapToGrid w:val="0"/>
          <w:sz w:val="22"/>
          <w:szCs w:val="22"/>
        </w:rPr>
        <w:t xml:space="preserve"> concern</w:t>
      </w:r>
      <w:r w:rsidR="004A1C78">
        <w:rPr>
          <w:rFonts w:ascii="Arial" w:hAnsi="Arial" w:cs="Arial"/>
          <w:iCs/>
          <w:snapToGrid w:val="0"/>
          <w:sz w:val="22"/>
          <w:szCs w:val="22"/>
        </w:rPr>
        <w:t>s</w:t>
      </w:r>
      <w:r>
        <w:rPr>
          <w:rFonts w:ascii="Arial" w:hAnsi="Arial" w:cs="Arial"/>
          <w:iCs/>
          <w:snapToGrid w:val="0"/>
          <w:sz w:val="22"/>
          <w:szCs w:val="22"/>
        </w:rPr>
        <w:t xml:space="preserve"> (March 2014) </w:t>
      </w:r>
      <w:r w:rsidR="004A1C78">
        <w:rPr>
          <w:rFonts w:ascii="Arial" w:hAnsi="Arial" w:cs="Arial"/>
          <w:iCs/>
          <w:snapToGrid w:val="0"/>
          <w:sz w:val="22"/>
          <w:szCs w:val="22"/>
        </w:rPr>
        <w:t>about</w:t>
      </w:r>
      <w:r>
        <w:rPr>
          <w:rFonts w:ascii="Arial" w:hAnsi="Arial" w:cs="Arial"/>
          <w:iCs/>
          <w:snapToGrid w:val="0"/>
          <w:sz w:val="22"/>
          <w:szCs w:val="22"/>
        </w:rPr>
        <w:t xml:space="preserve"> the comparative safety of the FDC product, particularly the risk of ovarian </w:t>
      </w:r>
      <w:proofErr w:type="spellStart"/>
      <w:r>
        <w:rPr>
          <w:rFonts w:ascii="Arial" w:hAnsi="Arial" w:cs="Arial"/>
          <w:iCs/>
          <w:snapToGrid w:val="0"/>
          <w:sz w:val="22"/>
          <w:szCs w:val="22"/>
        </w:rPr>
        <w:t>hyperstimulation</w:t>
      </w:r>
      <w:proofErr w:type="spellEnd"/>
      <w:r>
        <w:rPr>
          <w:rFonts w:ascii="Arial" w:hAnsi="Arial" w:cs="Arial"/>
          <w:iCs/>
          <w:snapToGrid w:val="0"/>
          <w:sz w:val="22"/>
          <w:szCs w:val="22"/>
        </w:rPr>
        <w:t xml:space="preserve"> syndrome (OHSS)</w:t>
      </w:r>
      <w:r w:rsidR="00104963">
        <w:rPr>
          <w:rFonts w:ascii="Arial" w:hAnsi="Arial" w:cs="Arial"/>
          <w:iCs/>
          <w:snapToGrid w:val="0"/>
          <w:sz w:val="22"/>
          <w:szCs w:val="22"/>
        </w:rPr>
        <w:t xml:space="preserve"> (see Table 1 above)</w:t>
      </w:r>
      <w:r>
        <w:rPr>
          <w:rFonts w:ascii="Arial" w:hAnsi="Arial" w:cs="Arial"/>
          <w:iCs/>
          <w:snapToGrid w:val="0"/>
          <w:sz w:val="22"/>
          <w:szCs w:val="22"/>
        </w:rPr>
        <w:t xml:space="preserve">. </w:t>
      </w:r>
    </w:p>
    <w:p w:rsidR="00671C84" w:rsidRPr="00671C84" w:rsidRDefault="00671C84" w:rsidP="00671C84">
      <w:pPr>
        <w:pStyle w:val="ListParagraph"/>
        <w:jc w:val="both"/>
        <w:rPr>
          <w:rFonts w:ascii="Arial" w:hAnsi="Arial"/>
          <w:i/>
          <w:sz w:val="22"/>
          <w:szCs w:val="22"/>
        </w:rPr>
      </w:pPr>
    </w:p>
    <w:p w:rsidR="00A40594" w:rsidRPr="00A40594" w:rsidRDefault="00671C84" w:rsidP="00104963">
      <w:pPr>
        <w:pStyle w:val="ListParagraph"/>
        <w:numPr>
          <w:ilvl w:val="1"/>
          <w:numId w:val="25"/>
        </w:numPr>
        <w:jc w:val="both"/>
        <w:rPr>
          <w:rFonts w:ascii="Arial" w:hAnsi="Arial"/>
          <w:b/>
          <w:i/>
          <w:sz w:val="22"/>
          <w:szCs w:val="22"/>
        </w:rPr>
      </w:pPr>
      <w:r w:rsidRPr="009F7265">
        <w:rPr>
          <w:rFonts w:ascii="Arial" w:hAnsi="Arial"/>
          <w:sz w:val="22"/>
          <w:szCs w:val="22"/>
        </w:rPr>
        <w:t xml:space="preserve">The submission noted the </w:t>
      </w:r>
      <w:proofErr w:type="spellStart"/>
      <w:r w:rsidRPr="009F7265">
        <w:rPr>
          <w:rFonts w:ascii="Arial" w:hAnsi="Arial"/>
          <w:sz w:val="22"/>
          <w:szCs w:val="22"/>
        </w:rPr>
        <w:t>Lehert</w:t>
      </w:r>
      <w:proofErr w:type="spellEnd"/>
      <w:r w:rsidRPr="009F7265">
        <w:rPr>
          <w:rFonts w:ascii="Arial" w:hAnsi="Arial"/>
          <w:sz w:val="22"/>
          <w:szCs w:val="22"/>
        </w:rPr>
        <w:t xml:space="preserve"> (2014) meta-analysis demonstrated that the supplementation with </w:t>
      </w:r>
      <w:proofErr w:type="spellStart"/>
      <w:r w:rsidRPr="009F7265">
        <w:rPr>
          <w:rFonts w:ascii="Arial" w:hAnsi="Arial"/>
          <w:sz w:val="22"/>
          <w:szCs w:val="22"/>
        </w:rPr>
        <w:t>rLH</w:t>
      </w:r>
      <w:proofErr w:type="spellEnd"/>
      <w:r w:rsidRPr="009F7265">
        <w:rPr>
          <w:rFonts w:ascii="Arial" w:hAnsi="Arial"/>
          <w:sz w:val="22"/>
          <w:szCs w:val="22"/>
        </w:rPr>
        <w:t xml:space="preserve"> resulted in</w:t>
      </w:r>
      <w:r w:rsidR="00565AFB" w:rsidRPr="009F7265">
        <w:rPr>
          <w:rFonts w:ascii="Arial" w:hAnsi="Arial"/>
          <w:sz w:val="22"/>
          <w:szCs w:val="22"/>
        </w:rPr>
        <w:t xml:space="preserve"> no increase in the incidence of OHSS. </w:t>
      </w:r>
    </w:p>
    <w:p w:rsidR="00A40594" w:rsidRPr="00A40594" w:rsidRDefault="00A40594" w:rsidP="00A40594">
      <w:pPr>
        <w:pStyle w:val="ListParagraph"/>
        <w:rPr>
          <w:rFonts w:ascii="Arial" w:hAnsi="Arial"/>
          <w:b/>
          <w:i/>
          <w:sz w:val="22"/>
          <w:szCs w:val="22"/>
        </w:rPr>
      </w:pPr>
    </w:p>
    <w:p w:rsidR="0088071F" w:rsidRPr="004919E8" w:rsidRDefault="0088071F" w:rsidP="0088071F">
      <w:pPr>
        <w:jc w:val="both"/>
        <w:rPr>
          <w:rFonts w:ascii="Arial" w:hAnsi="Arial"/>
          <w:b/>
          <w:sz w:val="22"/>
          <w:szCs w:val="22"/>
        </w:rPr>
      </w:pPr>
      <w:r w:rsidRPr="004919E8">
        <w:rPr>
          <w:rFonts w:ascii="Arial" w:hAnsi="Arial"/>
          <w:b/>
          <w:sz w:val="22"/>
          <w:szCs w:val="22"/>
        </w:rPr>
        <w:t>Clinical claim</w:t>
      </w:r>
    </w:p>
    <w:p w:rsidR="0088071F" w:rsidRDefault="0088071F" w:rsidP="0088071F">
      <w:pPr>
        <w:jc w:val="both"/>
        <w:rPr>
          <w:rFonts w:ascii="Arial" w:hAnsi="Arial"/>
          <w:b/>
          <w:i/>
          <w:sz w:val="22"/>
          <w:szCs w:val="22"/>
        </w:rPr>
      </w:pPr>
    </w:p>
    <w:p w:rsidR="00104963" w:rsidRPr="00600377" w:rsidRDefault="00104963" w:rsidP="00104963">
      <w:pPr>
        <w:pStyle w:val="ListParagraph"/>
        <w:numPr>
          <w:ilvl w:val="1"/>
          <w:numId w:val="25"/>
        </w:numPr>
        <w:jc w:val="both"/>
        <w:rPr>
          <w:rFonts w:ascii="Arial" w:hAnsi="Arial"/>
          <w:b/>
          <w:sz w:val="22"/>
          <w:szCs w:val="22"/>
        </w:rPr>
      </w:pPr>
      <w:r w:rsidRPr="00104963">
        <w:rPr>
          <w:rFonts w:ascii="Arial" w:hAnsi="Arial"/>
          <w:sz w:val="22"/>
          <w:szCs w:val="22"/>
        </w:rPr>
        <w:t xml:space="preserve">The </w:t>
      </w:r>
      <w:r>
        <w:rPr>
          <w:rFonts w:ascii="Arial" w:hAnsi="Arial"/>
          <w:sz w:val="22"/>
          <w:szCs w:val="22"/>
        </w:rPr>
        <w:t>clinical</w:t>
      </w:r>
      <w:r w:rsidRPr="00104963">
        <w:rPr>
          <w:rFonts w:ascii="Arial" w:hAnsi="Arial"/>
          <w:sz w:val="22"/>
          <w:szCs w:val="22"/>
        </w:rPr>
        <w:t xml:space="preserve"> c</w:t>
      </w:r>
      <w:r>
        <w:rPr>
          <w:rFonts w:ascii="Arial" w:hAnsi="Arial"/>
          <w:sz w:val="22"/>
          <w:szCs w:val="22"/>
        </w:rPr>
        <w:t>laim</w:t>
      </w:r>
      <w:r w:rsidRPr="00104963">
        <w:rPr>
          <w:rFonts w:ascii="Arial" w:hAnsi="Arial"/>
          <w:sz w:val="22"/>
          <w:szCs w:val="22"/>
        </w:rPr>
        <w:t xml:space="preserve"> for supplementation of the </w:t>
      </w:r>
      <w:proofErr w:type="spellStart"/>
      <w:r w:rsidRPr="00104963">
        <w:rPr>
          <w:rFonts w:ascii="Arial" w:hAnsi="Arial"/>
          <w:sz w:val="22"/>
          <w:szCs w:val="22"/>
        </w:rPr>
        <w:t>rFSH</w:t>
      </w:r>
      <w:proofErr w:type="spellEnd"/>
      <w:r w:rsidRPr="00104963">
        <w:rPr>
          <w:rFonts w:ascii="Arial" w:hAnsi="Arial"/>
          <w:sz w:val="22"/>
          <w:szCs w:val="22"/>
        </w:rPr>
        <w:t xml:space="preserve"> regimen with </w:t>
      </w:r>
      <w:proofErr w:type="spellStart"/>
      <w:r w:rsidRPr="00104963">
        <w:rPr>
          <w:rFonts w:ascii="Arial" w:hAnsi="Arial"/>
          <w:sz w:val="22"/>
          <w:szCs w:val="22"/>
        </w:rPr>
        <w:t>rLH</w:t>
      </w:r>
      <w:proofErr w:type="spellEnd"/>
      <w:r w:rsidRPr="00104963">
        <w:rPr>
          <w:rFonts w:ascii="Arial" w:hAnsi="Arial"/>
          <w:sz w:val="22"/>
          <w:szCs w:val="22"/>
        </w:rPr>
        <w:t xml:space="preserve"> compared to no supplementation with </w:t>
      </w:r>
      <w:proofErr w:type="spellStart"/>
      <w:r w:rsidRPr="00104963">
        <w:rPr>
          <w:rFonts w:ascii="Arial" w:hAnsi="Arial"/>
          <w:sz w:val="22"/>
          <w:szCs w:val="22"/>
        </w:rPr>
        <w:t>rLH</w:t>
      </w:r>
      <w:proofErr w:type="spellEnd"/>
      <w:r w:rsidRPr="00104963">
        <w:rPr>
          <w:rFonts w:ascii="Arial" w:hAnsi="Arial"/>
          <w:sz w:val="22"/>
          <w:szCs w:val="22"/>
        </w:rPr>
        <w:t xml:space="preserve"> is superior efficacy and superior safety.</w:t>
      </w:r>
      <w:r>
        <w:rPr>
          <w:rFonts w:ascii="Arial" w:hAnsi="Arial"/>
          <w:sz w:val="22"/>
          <w:szCs w:val="22"/>
        </w:rPr>
        <w:t xml:space="preserve"> </w:t>
      </w:r>
      <w:r w:rsidRPr="00600377">
        <w:rPr>
          <w:rFonts w:ascii="Arial" w:hAnsi="Arial"/>
          <w:sz w:val="22"/>
          <w:szCs w:val="22"/>
        </w:rPr>
        <w:t xml:space="preserve">These conclusions are based on the </w:t>
      </w:r>
      <w:proofErr w:type="spellStart"/>
      <w:r w:rsidRPr="00600377">
        <w:rPr>
          <w:rFonts w:ascii="Arial" w:hAnsi="Arial"/>
          <w:sz w:val="22"/>
          <w:szCs w:val="22"/>
        </w:rPr>
        <w:t>Lehert</w:t>
      </w:r>
      <w:proofErr w:type="spellEnd"/>
      <w:r w:rsidRPr="00600377">
        <w:rPr>
          <w:rFonts w:ascii="Arial" w:hAnsi="Arial"/>
          <w:sz w:val="22"/>
          <w:szCs w:val="22"/>
        </w:rPr>
        <w:t xml:space="preserve"> (2014) meta-analysis and are addressed in the major submission for </w:t>
      </w:r>
      <w:proofErr w:type="spellStart"/>
      <w:r w:rsidRPr="00600377">
        <w:rPr>
          <w:rFonts w:ascii="Arial" w:hAnsi="Arial"/>
          <w:sz w:val="22"/>
          <w:szCs w:val="22"/>
        </w:rPr>
        <w:t>Luveris</w:t>
      </w:r>
      <w:proofErr w:type="spellEnd"/>
      <w:r w:rsidRPr="00600377">
        <w:rPr>
          <w:rFonts w:ascii="Arial" w:hAnsi="Arial"/>
          <w:sz w:val="22"/>
          <w:szCs w:val="22"/>
        </w:rPr>
        <w:t>.</w:t>
      </w:r>
    </w:p>
    <w:p w:rsidR="00104963" w:rsidRDefault="00104963" w:rsidP="00104963">
      <w:pPr>
        <w:pStyle w:val="ListParagraph"/>
        <w:jc w:val="both"/>
        <w:rPr>
          <w:rFonts w:ascii="Arial" w:hAnsi="Arial"/>
          <w:sz w:val="22"/>
          <w:szCs w:val="22"/>
        </w:rPr>
      </w:pPr>
    </w:p>
    <w:p w:rsidR="00104963" w:rsidRPr="00104963" w:rsidRDefault="00104963" w:rsidP="00104963">
      <w:pPr>
        <w:pStyle w:val="ListParagraph"/>
        <w:numPr>
          <w:ilvl w:val="1"/>
          <w:numId w:val="25"/>
        </w:numPr>
        <w:jc w:val="both"/>
        <w:rPr>
          <w:rFonts w:ascii="Arial" w:hAnsi="Arial"/>
          <w:sz w:val="22"/>
          <w:szCs w:val="22"/>
        </w:rPr>
      </w:pPr>
      <w:r w:rsidRPr="00A40594">
        <w:rPr>
          <w:rFonts w:ascii="Arial" w:hAnsi="Arial"/>
          <w:sz w:val="22"/>
          <w:szCs w:val="22"/>
        </w:rPr>
        <w:t xml:space="preserve">The </w:t>
      </w:r>
      <w:r>
        <w:rPr>
          <w:rFonts w:ascii="Arial" w:hAnsi="Arial"/>
          <w:sz w:val="22"/>
          <w:szCs w:val="22"/>
        </w:rPr>
        <w:t xml:space="preserve">minor </w:t>
      </w:r>
      <w:r w:rsidR="0008033A">
        <w:rPr>
          <w:rFonts w:ascii="Arial" w:hAnsi="Arial"/>
          <w:sz w:val="22"/>
          <w:szCs w:val="22"/>
        </w:rPr>
        <w:t>re-submission</w:t>
      </w:r>
      <w:r w:rsidRPr="00A40594">
        <w:rPr>
          <w:rFonts w:ascii="Arial" w:hAnsi="Arial"/>
          <w:sz w:val="22"/>
          <w:szCs w:val="22"/>
        </w:rPr>
        <w:t xml:space="preserve"> propose</w:t>
      </w:r>
      <w:r w:rsidR="00E0073A">
        <w:rPr>
          <w:rFonts w:ascii="Arial" w:hAnsi="Arial"/>
          <w:sz w:val="22"/>
          <w:szCs w:val="22"/>
        </w:rPr>
        <w:t>d</w:t>
      </w:r>
      <w:r w:rsidRPr="00A40594">
        <w:rPr>
          <w:rFonts w:ascii="Arial" w:hAnsi="Arial"/>
          <w:sz w:val="22"/>
          <w:szCs w:val="22"/>
        </w:rPr>
        <w:t xml:space="preserve"> that a demonstration of the efficacy and safety of the combination product based on the bioequivalence of the combination and its </w:t>
      </w:r>
      <w:r w:rsidRPr="00A40594">
        <w:rPr>
          <w:rFonts w:ascii="Arial" w:hAnsi="Arial"/>
          <w:sz w:val="22"/>
          <w:szCs w:val="22"/>
        </w:rPr>
        <w:lastRenderedPageBreak/>
        <w:t>components was considered acceptable by the PBAC</w:t>
      </w:r>
      <w:r>
        <w:rPr>
          <w:rFonts w:ascii="Arial" w:hAnsi="Arial"/>
          <w:sz w:val="22"/>
          <w:szCs w:val="22"/>
        </w:rPr>
        <w:t xml:space="preserve"> for alogliptin and metformin and should likewise be acceptable for </w:t>
      </w:r>
      <w:proofErr w:type="spellStart"/>
      <w:r>
        <w:rPr>
          <w:rFonts w:ascii="Arial" w:hAnsi="Arial"/>
          <w:sz w:val="22"/>
          <w:szCs w:val="22"/>
        </w:rPr>
        <w:t>Pergoveris</w:t>
      </w:r>
      <w:proofErr w:type="spellEnd"/>
      <w:r>
        <w:rPr>
          <w:rFonts w:ascii="Arial" w:hAnsi="Arial"/>
          <w:sz w:val="22"/>
          <w:szCs w:val="22"/>
        </w:rPr>
        <w:t xml:space="preserve">. The minor </w:t>
      </w:r>
      <w:r w:rsidR="0008033A">
        <w:rPr>
          <w:rFonts w:ascii="Arial" w:hAnsi="Arial"/>
          <w:sz w:val="22"/>
          <w:szCs w:val="22"/>
        </w:rPr>
        <w:t>re-submission</w:t>
      </w:r>
      <w:r>
        <w:rPr>
          <w:rFonts w:ascii="Arial" w:hAnsi="Arial"/>
          <w:sz w:val="22"/>
          <w:szCs w:val="22"/>
        </w:rPr>
        <w:t xml:space="preserve"> suggest</w:t>
      </w:r>
      <w:r w:rsidR="00E0073A">
        <w:rPr>
          <w:rFonts w:ascii="Arial" w:hAnsi="Arial"/>
          <w:sz w:val="22"/>
          <w:szCs w:val="22"/>
        </w:rPr>
        <w:t>ed</w:t>
      </w:r>
      <w:r>
        <w:rPr>
          <w:rFonts w:ascii="Arial" w:hAnsi="Arial"/>
          <w:sz w:val="22"/>
          <w:szCs w:val="22"/>
        </w:rPr>
        <w:t xml:space="preserve"> f</w:t>
      </w:r>
      <w:r w:rsidRPr="00104963">
        <w:rPr>
          <w:rFonts w:ascii="Arial" w:hAnsi="Arial"/>
          <w:sz w:val="22"/>
          <w:szCs w:val="22"/>
        </w:rPr>
        <w:t>our points should be noted from this preceden</w:t>
      </w:r>
      <w:r w:rsidR="00600377">
        <w:rPr>
          <w:rFonts w:ascii="Arial" w:hAnsi="Arial"/>
          <w:sz w:val="22"/>
          <w:szCs w:val="22"/>
        </w:rPr>
        <w:t>t</w:t>
      </w:r>
      <w:r w:rsidRPr="00104963">
        <w:rPr>
          <w:rFonts w:ascii="Arial" w:hAnsi="Arial"/>
          <w:sz w:val="22"/>
          <w:szCs w:val="22"/>
        </w:rPr>
        <w:t>:</w:t>
      </w:r>
    </w:p>
    <w:p w:rsidR="00104963" w:rsidRPr="00104963" w:rsidRDefault="00104963" w:rsidP="00104963">
      <w:pPr>
        <w:pStyle w:val="ListParagraph"/>
        <w:jc w:val="both"/>
        <w:rPr>
          <w:rFonts w:ascii="Arial" w:hAnsi="Arial"/>
          <w:sz w:val="22"/>
          <w:szCs w:val="22"/>
        </w:rPr>
      </w:pPr>
    </w:p>
    <w:p w:rsidR="00104963" w:rsidRPr="00104963" w:rsidRDefault="00104963" w:rsidP="00104963">
      <w:pPr>
        <w:pStyle w:val="ListParagraph"/>
        <w:numPr>
          <w:ilvl w:val="1"/>
          <w:numId w:val="47"/>
        </w:numPr>
        <w:ind w:left="1418" w:hanging="709"/>
        <w:jc w:val="both"/>
        <w:rPr>
          <w:rFonts w:ascii="Arial" w:hAnsi="Arial"/>
          <w:sz w:val="22"/>
          <w:szCs w:val="22"/>
        </w:rPr>
      </w:pPr>
      <w:r w:rsidRPr="00104963">
        <w:rPr>
          <w:rFonts w:ascii="Arial" w:hAnsi="Arial"/>
          <w:sz w:val="22"/>
          <w:szCs w:val="22"/>
        </w:rPr>
        <w:t>The efficacy and safety of the individual components had previously been demonstrated.</w:t>
      </w:r>
    </w:p>
    <w:p w:rsidR="00104963" w:rsidRPr="00104963" w:rsidRDefault="00104963" w:rsidP="00104963">
      <w:pPr>
        <w:pStyle w:val="ListParagraph"/>
        <w:numPr>
          <w:ilvl w:val="1"/>
          <w:numId w:val="47"/>
        </w:numPr>
        <w:ind w:left="1418" w:hanging="709"/>
        <w:jc w:val="both"/>
        <w:rPr>
          <w:rFonts w:ascii="Arial" w:hAnsi="Arial"/>
          <w:sz w:val="22"/>
          <w:szCs w:val="22"/>
        </w:rPr>
      </w:pPr>
      <w:r w:rsidRPr="00104963">
        <w:rPr>
          <w:rFonts w:ascii="Arial" w:hAnsi="Arial"/>
          <w:sz w:val="22"/>
          <w:szCs w:val="22"/>
        </w:rPr>
        <w:t>A demonstration of the efficacy and safety of the combination product based on the bioequivalence of the combination and its components was considered acceptable by the PBAC.</w:t>
      </w:r>
    </w:p>
    <w:p w:rsidR="00104963" w:rsidRPr="00104963" w:rsidRDefault="00104963" w:rsidP="00104963">
      <w:pPr>
        <w:pStyle w:val="ListParagraph"/>
        <w:numPr>
          <w:ilvl w:val="1"/>
          <w:numId w:val="47"/>
        </w:numPr>
        <w:ind w:left="1418" w:hanging="709"/>
        <w:jc w:val="both"/>
        <w:rPr>
          <w:rFonts w:ascii="Arial" w:hAnsi="Arial"/>
          <w:sz w:val="22"/>
          <w:szCs w:val="22"/>
        </w:rPr>
      </w:pPr>
      <w:r w:rsidRPr="00104963">
        <w:rPr>
          <w:rFonts w:ascii="Arial" w:hAnsi="Arial"/>
          <w:sz w:val="22"/>
          <w:szCs w:val="22"/>
        </w:rPr>
        <w:t>No additional clinical trials in the relevant patient population were presented.</w:t>
      </w:r>
    </w:p>
    <w:p w:rsidR="00104963" w:rsidRDefault="00104963" w:rsidP="00104963">
      <w:pPr>
        <w:pStyle w:val="ListParagraph"/>
        <w:numPr>
          <w:ilvl w:val="1"/>
          <w:numId w:val="47"/>
        </w:numPr>
        <w:ind w:left="1418" w:hanging="709"/>
        <w:jc w:val="both"/>
        <w:rPr>
          <w:rFonts w:ascii="Arial" w:hAnsi="Arial"/>
          <w:sz w:val="22"/>
          <w:szCs w:val="22"/>
        </w:rPr>
      </w:pPr>
      <w:r w:rsidRPr="00104963">
        <w:rPr>
          <w:rFonts w:ascii="Arial" w:hAnsi="Arial"/>
          <w:sz w:val="22"/>
          <w:szCs w:val="22"/>
        </w:rPr>
        <w:t>It was not considered necessary for the bioequivalence studies to include the exact doses of the components present in the combination product. “Data was presented for bioequivalence for the 12.5 mg alogliptin/500 mg metformin and 12.5 mg alogliptin/1000 mg metformin FDC, but was not provided for the 12.5 mg alogliptin/850 mg metformin FDC tablet.” (</w:t>
      </w:r>
      <w:r w:rsidR="00714035">
        <w:rPr>
          <w:rFonts w:ascii="Arial" w:hAnsi="Arial"/>
          <w:sz w:val="22"/>
          <w:szCs w:val="22"/>
        </w:rPr>
        <w:t>November 2013 PSD, p3</w:t>
      </w:r>
      <w:r w:rsidRPr="00104963">
        <w:rPr>
          <w:rFonts w:ascii="Arial" w:hAnsi="Arial"/>
          <w:sz w:val="22"/>
          <w:szCs w:val="22"/>
        </w:rPr>
        <w:t>)</w:t>
      </w:r>
      <w:r w:rsidR="00600377">
        <w:rPr>
          <w:rFonts w:ascii="Arial" w:hAnsi="Arial"/>
          <w:sz w:val="22"/>
          <w:szCs w:val="22"/>
        </w:rPr>
        <w:t>.</w:t>
      </w:r>
    </w:p>
    <w:p w:rsidR="00600377" w:rsidRDefault="00600377" w:rsidP="00600377">
      <w:pPr>
        <w:jc w:val="both"/>
        <w:rPr>
          <w:rFonts w:ascii="Arial" w:hAnsi="Arial"/>
          <w:sz w:val="22"/>
          <w:szCs w:val="22"/>
        </w:rPr>
      </w:pPr>
    </w:p>
    <w:p w:rsidR="00600377" w:rsidRPr="00600377" w:rsidRDefault="00600377" w:rsidP="00600377">
      <w:pPr>
        <w:pStyle w:val="ListParagraph"/>
        <w:numPr>
          <w:ilvl w:val="1"/>
          <w:numId w:val="25"/>
        </w:numPr>
        <w:jc w:val="both"/>
        <w:rPr>
          <w:rFonts w:ascii="Arial" w:hAnsi="Arial"/>
          <w:sz w:val="22"/>
          <w:szCs w:val="22"/>
        </w:rPr>
      </w:pPr>
      <w:r w:rsidRPr="00600377">
        <w:rPr>
          <w:rFonts w:ascii="Arial" w:hAnsi="Arial"/>
          <w:sz w:val="22"/>
          <w:szCs w:val="22"/>
        </w:rPr>
        <w:t xml:space="preserve">The PBAC considered that the claim of superior comparative effectiveness </w:t>
      </w:r>
      <w:r w:rsidR="004423C7">
        <w:rPr>
          <w:rFonts w:ascii="Arial" w:hAnsi="Arial"/>
          <w:sz w:val="22"/>
          <w:szCs w:val="22"/>
        </w:rPr>
        <w:t xml:space="preserve">when compared to the </w:t>
      </w:r>
      <w:proofErr w:type="spellStart"/>
      <w:r w:rsidR="004423C7">
        <w:rPr>
          <w:rFonts w:ascii="Arial" w:hAnsi="Arial"/>
          <w:sz w:val="22"/>
          <w:szCs w:val="22"/>
        </w:rPr>
        <w:t>follitropin</w:t>
      </w:r>
      <w:proofErr w:type="spellEnd"/>
      <w:r w:rsidR="004423C7">
        <w:rPr>
          <w:rFonts w:ascii="Arial" w:hAnsi="Arial"/>
          <w:sz w:val="22"/>
          <w:szCs w:val="22"/>
        </w:rPr>
        <w:t xml:space="preserve"> or compared to </w:t>
      </w:r>
      <w:proofErr w:type="spellStart"/>
      <w:r w:rsidR="004423C7">
        <w:rPr>
          <w:rFonts w:ascii="Arial" w:hAnsi="Arial"/>
          <w:sz w:val="22"/>
          <w:szCs w:val="22"/>
        </w:rPr>
        <w:t>lutropin</w:t>
      </w:r>
      <w:proofErr w:type="spellEnd"/>
      <w:r w:rsidR="004423C7">
        <w:rPr>
          <w:rFonts w:ascii="Arial" w:hAnsi="Arial"/>
          <w:sz w:val="22"/>
          <w:szCs w:val="22"/>
        </w:rPr>
        <w:t xml:space="preserve"> </w:t>
      </w:r>
      <w:r w:rsidRPr="00600377">
        <w:rPr>
          <w:rFonts w:ascii="Arial" w:hAnsi="Arial"/>
          <w:sz w:val="22"/>
          <w:szCs w:val="22"/>
        </w:rPr>
        <w:t>was reasonable for clinical pregnancy but less certain for live birth.</w:t>
      </w:r>
    </w:p>
    <w:p w:rsidR="00600377" w:rsidRPr="00600377" w:rsidRDefault="00600377" w:rsidP="00600377">
      <w:pPr>
        <w:jc w:val="both"/>
        <w:rPr>
          <w:rFonts w:ascii="Arial" w:hAnsi="Arial"/>
          <w:sz w:val="22"/>
          <w:szCs w:val="22"/>
        </w:rPr>
      </w:pPr>
    </w:p>
    <w:p w:rsidR="00600377" w:rsidRPr="00600377" w:rsidRDefault="00600377" w:rsidP="005B0DB7">
      <w:pPr>
        <w:pStyle w:val="ListParagraph"/>
        <w:numPr>
          <w:ilvl w:val="1"/>
          <w:numId w:val="25"/>
        </w:numPr>
        <w:jc w:val="both"/>
        <w:rPr>
          <w:rFonts w:ascii="Arial" w:hAnsi="Arial"/>
          <w:sz w:val="22"/>
          <w:szCs w:val="22"/>
        </w:rPr>
      </w:pPr>
      <w:r w:rsidRPr="00600377">
        <w:rPr>
          <w:rFonts w:ascii="Arial" w:hAnsi="Arial"/>
          <w:sz w:val="22"/>
          <w:szCs w:val="22"/>
        </w:rPr>
        <w:t xml:space="preserve">The PBAC considered that the claim of superior comparative safety was not adequately supported by the data; however it was noted that there was </w:t>
      </w:r>
      <w:r w:rsidR="005B0DB7">
        <w:rPr>
          <w:rFonts w:ascii="Arial" w:hAnsi="Arial"/>
          <w:sz w:val="22"/>
          <w:szCs w:val="22"/>
        </w:rPr>
        <w:t>no increase in</w:t>
      </w:r>
      <w:r w:rsidRPr="00600377">
        <w:rPr>
          <w:rFonts w:ascii="Arial" w:hAnsi="Arial"/>
          <w:sz w:val="22"/>
          <w:szCs w:val="22"/>
        </w:rPr>
        <w:t xml:space="preserve"> OHSS in the overall population.</w:t>
      </w:r>
    </w:p>
    <w:p w:rsidR="00A40594" w:rsidRPr="00714035" w:rsidRDefault="00A40594" w:rsidP="00714035">
      <w:pPr>
        <w:jc w:val="both"/>
        <w:rPr>
          <w:rFonts w:ascii="Arial" w:hAnsi="Arial" w:cs="Arial"/>
          <w:sz w:val="22"/>
          <w:szCs w:val="22"/>
        </w:rPr>
      </w:pPr>
    </w:p>
    <w:p w:rsidR="005A3173" w:rsidRPr="004919E8" w:rsidRDefault="005A3173" w:rsidP="006F202E">
      <w:pPr>
        <w:keepNext/>
        <w:ind w:left="720" w:hanging="720"/>
        <w:jc w:val="both"/>
        <w:rPr>
          <w:rFonts w:ascii="Arial" w:hAnsi="Arial"/>
          <w:b/>
          <w:sz w:val="22"/>
          <w:szCs w:val="22"/>
        </w:rPr>
      </w:pPr>
      <w:r w:rsidRPr="004919E8">
        <w:rPr>
          <w:rFonts w:ascii="Arial" w:hAnsi="Arial"/>
          <w:b/>
          <w:sz w:val="22"/>
          <w:szCs w:val="22"/>
        </w:rPr>
        <w:t>Economic analysis</w:t>
      </w:r>
    </w:p>
    <w:p w:rsidR="005A3173" w:rsidRPr="00882085" w:rsidRDefault="005A3173" w:rsidP="0062748A">
      <w:pPr>
        <w:keepNext/>
        <w:ind w:left="720" w:hanging="720"/>
        <w:jc w:val="both"/>
        <w:rPr>
          <w:rFonts w:ascii="Arial" w:hAnsi="Arial"/>
          <w:sz w:val="22"/>
          <w:szCs w:val="22"/>
        </w:rPr>
      </w:pPr>
    </w:p>
    <w:p w:rsidR="009F7265" w:rsidRDefault="00A40594" w:rsidP="009F7265">
      <w:pPr>
        <w:pStyle w:val="ListParagraph"/>
        <w:numPr>
          <w:ilvl w:val="1"/>
          <w:numId w:val="25"/>
        </w:numPr>
        <w:jc w:val="both"/>
        <w:rPr>
          <w:rFonts w:ascii="Arial" w:hAnsi="Arial"/>
          <w:sz w:val="22"/>
          <w:szCs w:val="22"/>
        </w:rPr>
      </w:pPr>
      <w:r w:rsidRPr="009046F2">
        <w:rPr>
          <w:rFonts w:ascii="Arial" w:hAnsi="Arial"/>
          <w:sz w:val="22"/>
          <w:szCs w:val="22"/>
        </w:rPr>
        <w:t>The submission proposed</w:t>
      </w:r>
      <w:r w:rsidR="00E0073A">
        <w:rPr>
          <w:rFonts w:ascii="Arial" w:hAnsi="Arial"/>
          <w:sz w:val="22"/>
          <w:szCs w:val="22"/>
        </w:rPr>
        <w:t xml:space="preserve"> that </w:t>
      </w:r>
      <w:r w:rsidR="00775BD9">
        <w:rPr>
          <w:rFonts w:ascii="Arial" w:hAnsi="Arial"/>
          <w:sz w:val="22"/>
          <w:szCs w:val="22"/>
        </w:rPr>
        <w:t xml:space="preserve">the </w:t>
      </w:r>
      <w:r w:rsidR="00775BD9" w:rsidRPr="009046F2">
        <w:rPr>
          <w:rFonts w:ascii="Arial" w:hAnsi="Arial"/>
          <w:sz w:val="22"/>
          <w:szCs w:val="22"/>
        </w:rPr>
        <w:t>price</w:t>
      </w:r>
      <w:r w:rsidRPr="009046F2">
        <w:rPr>
          <w:rFonts w:ascii="Arial" w:hAnsi="Arial"/>
          <w:sz w:val="22"/>
          <w:szCs w:val="22"/>
        </w:rPr>
        <w:t xml:space="preserve"> for the FDC product is equal to the sum of the prices of its individual components, </w:t>
      </w:r>
      <w:proofErr w:type="spellStart"/>
      <w:r w:rsidRPr="009046F2">
        <w:rPr>
          <w:rFonts w:ascii="Arial" w:hAnsi="Arial"/>
          <w:sz w:val="22"/>
          <w:szCs w:val="22"/>
        </w:rPr>
        <w:t>Luveris</w:t>
      </w:r>
      <w:proofErr w:type="spellEnd"/>
      <w:r w:rsidRPr="009046F2">
        <w:rPr>
          <w:rFonts w:ascii="Arial" w:hAnsi="Arial"/>
          <w:sz w:val="22"/>
          <w:szCs w:val="22"/>
        </w:rPr>
        <w:t xml:space="preserve"> (</w:t>
      </w:r>
      <w:proofErr w:type="spellStart"/>
      <w:r w:rsidRPr="009046F2">
        <w:rPr>
          <w:rFonts w:ascii="Arial" w:hAnsi="Arial"/>
          <w:sz w:val="22"/>
          <w:szCs w:val="22"/>
        </w:rPr>
        <w:t>rLH</w:t>
      </w:r>
      <w:proofErr w:type="spellEnd"/>
      <w:r w:rsidRPr="009046F2">
        <w:rPr>
          <w:rFonts w:ascii="Arial" w:hAnsi="Arial"/>
          <w:sz w:val="22"/>
          <w:szCs w:val="22"/>
        </w:rPr>
        <w:t xml:space="preserve">) and </w:t>
      </w:r>
      <w:proofErr w:type="spellStart"/>
      <w:r w:rsidRPr="009046F2">
        <w:rPr>
          <w:rFonts w:ascii="Arial" w:hAnsi="Arial"/>
          <w:sz w:val="22"/>
          <w:szCs w:val="22"/>
        </w:rPr>
        <w:t>Gonal</w:t>
      </w:r>
      <w:proofErr w:type="spellEnd"/>
      <w:r w:rsidRPr="009046F2">
        <w:rPr>
          <w:rFonts w:ascii="Arial" w:hAnsi="Arial"/>
          <w:sz w:val="22"/>
          <w:szCs w:val="22"/>
        </w:rPr>
        <w:t>-f (</w:t>
      </w:r>
      <w:proofErr w:type="spellStart"/>
      <w:r w:rsidRPr="009046F2">
        <w:rPr>
          <w:rFonts w:ascii="Arial" w:hAnsi="Arial"/>
          <w:sz w:val="22"/>
          <w:szCs w:val="22"/>
        </w:rPr>
        <w:t>rFSH</w:t>
      </w:r>
      <w:proofErr w:type="spellEnd"/>
      <w:r w:rsidRPr="009046F2">
        <w:rPr>
          <w:rFonts w:ascii="Arial" w:hAnsi="Arial"/>
          <w:sz w:val="22"/>
          <w:szCs w:val="22"/>
        </w:rPr>
        <w:t xml:space="preserve">). </w:t>
      </w:r>
      <w:r w:rsidR="009B0F67" w:rsidRPr="009046F2">
        <w:rPr>
          <w:rFonts w:ascii="Arial" w:hAnsi="Arial"/>
          <w:sz w:val="22"/>
          <w:szCs w:val="22"/>
        </w:rPr>
        <w:t xml:space="preserve"> </w:t>
      </w:r>
      <w:r w:rsidR="009F7265" w:rsidRPr="009046F2">
        <w:rPr>
          <w:rFonts w:ascii="Arial" w:hAnsi="Arial"/>
          <w:sz w:val="22"/>
          <w:szCs w:val="22"/>
        </w:rPr>
        <w:t xml:space="preserve">The proposed price for </w:t>
      </w:r>
      <w:proofErr w:type="spellStart"/>
      <w:r w:rsidR="009F7265" w:rsidRPr="009046F2">
        <w:rPr>
          <w:rFonts w:ascii="Arial" w:hAnsi="Arial"/>
          <w:sz w:val="22"/>
          <w:szCs w:val="22"/>
        </w:rPr>
        <w:t>rLH</w:t>
      </w:r>
      <w:proofErr w:type="spellEnd"/>
      <w:r w:rsidR="009F7265" w:rsidRPr="009046F2">
        <w:rPr>
          <w:rFonts w:ascii="Arial" w:hAnsi="Arial"/>
          <w:sz w:val="22"/>
          <w:szCs w:val="22"/>
        </w:rPr>
        <w:t xml:space="preserve"> component as presented in the </w:t>
      </w:r>
      <w:proofErr w:type="spellStart"/>
      <w:r w:rsidR="009F7265" w:rsidRPr="009046F2">
        <w:rPr>
          <w:rFonts w:ascii="Arial" w:hAnsi="Arial"/>
          <w:sz w:val="22"/>
          <w:szCs w:val="22"/>
        </w:rPr>
        <w:t>Luveris</w:t>
      </w:r>
      <w:proofErr w:type="spellEnd"/>
      <w:r w:rsidR="009F7265" w:rsidRPr="009046F2">
        <w:rPr>
          <w:rFonts w:ascii="Arial" w:hAnsi="Arial"/>
          <w:sz w:val="22"/>
          <w:szCs w:val="22"/>
        </w:rPr>
        <w:t xml:space="preserve"> application </w:t>
      </w:r>
      <w:r w:rsidR="00E0073A">
        <w:rPr>
          <w:rFonts w:ascii="Arial" w:hAnsi="Arial"/>
          <w:sz w:val="22"/>
          <w:szCs w:val="22"/>
        </w:rPr>
        <w:t>wa</w:t>
      </w:r>
      <w:r w:rsidR="009F7265" w:rsidRPr="009046F2">
        <w:rPr>
          <w:rFonts w:ascii="Arial" w:hAnsi="Arial"/>
          <w:sz w:val="22"/>
          <w:szCs w:val="22"/>
        </w:rPr>
        <w:t>s $</w:t>
      </w:r>
      <w:r w:rsidR="00C11E39">
        <w:rPr>
          <w:rFonts w:ascii="Arial" w:hAnsi="Arial"/>
          <w:noProof/>
          <w:color w:val="000000"/>
          <w:sz w:val="22"/>
          <w:szCs w:val="22"/>
          <w:highlight w:val="black"/>
        </w:rPr>
        <w:t>''''''''''''''</w:t>
      </w:r>
      <w:r w:rsidR="009F7265" w:rsidRPr="009046F2">
        <w:rPr>
          <w:rFonts w:ascii="Arial" w:hAnsi="Arial"/>
          <w:sz w:val="22"/>
          <w:szCs w:val="22"/>
        </w:rPr>
        <w:t xml:space="preserve"> for 75IU.  The ex-manufacturer price for the smallest unit size of </w:t>
      </w:r>
      <w:proofErr w:type="spellStart"/>
      <w:r w:rsidR="009F7265" w:rsidRPr="009046F2">
        <w:rPr>
          <w:rFonts w:ascii="Arial" w:hAnsi="Arial"/>
          <w:sz w:val="22"/>
          <w:szCs w:val="22"/>
        </w:rPr>
        <w:t>Gonal</w:t>
      </w:r>
      <w:proofErr w:type="spellEnd"/>
      <w:r w:rsidR="009F7265" w:rsidRPr="009046F2">
        <w:rPr>
          <w:rFonts w:ascii="Arial" w:hAnsi="Arial"/>
          <w:sz w:val="22"/>
          <w:szCs w:val="22"/>
        </w:rPr>
        <w:t>-f on the IVF/GIFT program is $</w:t>
      </w:r>
      <w:r w:rsidR="00C11E39">
        <w:rPr>
          <w:rFonts w:ascii="Arial" w:hAnsi="Arial"/>
          <w:noProof/>
          <w:color w:val="000000"/>
          <w:sz w:val="22"/>
          <w:szCs w:val="22"/>
          <w:highlight w:val="black"/>
        </w:rPr>
        <w:t>''''''''''''''''</w:t>
      </w:r>
      <w:r w:rsidR="009F7265" w:rsidRPr="009046F2">
        <w:rPr>
          <w:rFonts w:ascii="Arial" w:hAnsi="Arial"/>
          <w:sz w:val="22"/>
          <w:szCs w:val="22"/>
        </w:rPr>
        <w:t xml:space="preserve"> for 300IU. The dose of </w:t>
      </w:r>
      <w:proofErr w:type="spellStart"/>
      <w:r w:rsidR="009F7265" w:rsidRPr="009046F2">
        <w:rPr>
          <w:rFonts w:ascii="Arial" w:hAnsi="Arial"/>
          <w:sz w:val="22"/>
          <w:szCs w:val="22"/>
        </w:rPr>
        <w:t>rFSH</w:t>
      </w:r>
      <w:proofErr w:type="spellEnd"/>
      <w:r w:rsidR="009F7265" w:rsidRPr="009046F2">
        <w:rPr>
          <w:rFonts w:ascii="Arial" w:hAnsi="Arial"/>
          <w:sz w:val="22"/>
          <w:szCs w:val="22"/>
        </w:rPr>
        <w:t xml:space="preserve"> present in </w:t>
      </w:r>
      <w:proofErr w:type="spellStart"/>
      <w:r w:rsidR="009F7265" w:rsidRPr="009046F2">
        <w:rPr>
          <w:rFonts w:ascii="Arial" w:hAnsi="Arial"/>
          <w:sz w:val="22"/>
          <w:szCs w:val="22"/>
        </w:rPr>
        <w:t>Pergoveris</w:t>
      </w:r>
      <w:proofErr w:type="spellEnd"/>
      <w:r w:rsidR="009F7265" w:rsidRPr="009046F2">
        <w:rPr>
          <w:rFonts w:ascii="Arial" w:hAnsi="Arial"/>
          <w:sz w:val="22"/>
          <w:szCs w:val="22"/>
        </w:rPr>
        <w:t xml:space="preserve"> is 150IU, proportionally valued at $</w:t>
      </w:r>
      <w:r w:rsidR="00C11E39">
        <w:rPr>
          <w:rFonts w:ascii="Arial" w:hAnsi="Arial"/>
          <w:noProof/>
          <w:color w:val="000000"/>
          <w:sz w:val="22"/>
          <w:szCs w:val="22"/>
          <w:highlight w:val="black"/>
        </w:rPr>
        <w:t>'''''''''''''</w:t>
      </w:r>
      <w:r w:rsidR="009F7265" w:rsidRPr="009046F2">
        <w:rPr>
          <w:rFonts w:ascii="Arial" w:hAnsi="Arial"/>
          <w:sz w:val="22"/>
          <w:szCs w:val="22"/>
        </w:rPr>
        <w:t>.</w:t>
      </w:r>
    </w:p>
    <w:p w:rsidR="009046F2" w:rsidRPr="009046F2" w:rsidRDefault="009046F2" w:rsidP="009046F2">
      <w:pPr>
        <w:pStyle w:val="ListParagraph"/>
        <w:jc w:val="both"/>
        <w:rPr>
          <w:rFonts w:ascii="Arial" w:hAnsi="Arial"/>
          <w:sz w:val="22"/>
          <w:szCs w:val="22"/>
        </w:rPr>
      </w:pPr>
    </w:p>
    <w:p w:rsidR="009F7265" w:rsidRDefault="009F7265" w:rsidP="000577B7">
      <w:pPr>
        <w:pStyle w:val="ListParagraph"/>
        <w:numPr>
          <w:ilvl w:val="1"/>
          <w:numId w:val="25"/>
        </w:numPr>
        <w:jc w:val="both"/>
        <w:rPr>
          <w:rFonts w:ascii="Arial" w:hAnsi="Arial"/>
          <w:sz w:val="22"/>
          <w:szCs w:val="22"/>
        </w:rPr>
      </w:pPr>
      <w:r w:rsidRPr="009F7265">
        <w:rPr>
          <w:rFonts w:ascii="Arial" w:hAnsi="Arial"/>
          <w:sz w:val="22"/>
          <w:szCs w:val="22"/>
        </w:rPr>
        <w:t xml:space="preserve">The </w:t>
      </w:r>
      <w:r>
        <w:rPr>
          <w:rFonts w:ascii="Arial" w:hAnsi="Arial"/>
          <w:sz w:val="22"/>
          <w:szCs w:val="22"/>
        </w:rPr>
        <w:t xml:space="preserve">proposed </w:t>
      </w:r>
      <w:r w:rsidRPr="009F7265">
        <w:rPr>
          <w:rFonts w:ascii="Arial" w:hAnsi="Arial"/>
          <w:sz w:val="22"/>
          <w:szCs w:val="22"/>
        </w:rPr>
        <w:t xml:space="preserve">price for </w:t>
      </w:r>
      <w:r w:rsidR="00972351">
        <w:rPr>
          <w:rFonts w:ascii="Arial" w:hAnsi="Arial"/>
          <w:sz w:val="22"/>
          <w:szCs w:val="22"/>
        </w:rPr>
        <w:t>the FDC product</w:t>
      </w:r>
      <w:r w:rsidRPr="009F7265">
        <w:rPr>
          <w:rFonts w:ascii="Arial" w:hAnsi="Arial"/>
          <w:sz w:val="22"/>
          <w:szCs w:val="22"/>
        </w:rPr>
        <w:t xml:space="preserve"> is the sum of its components at the relevant doses </w:t>
      </w:r>
      <w:r>
        <w:rPr>
          <w:rFonts w:ascii="Arial" w:hAnsi="Arial"/>
          <w:sz w:val="22"/>
          <w:szCs w:val="22"/>
        </w:rPr>
        <w:t xml:space="preserve">is </w:t>
      </w:r>
      <w:r w:rsidRPr="009F7265">
        <w:rPr>
          <w:rFonts w:ascii="Arial" w:hAnsi="Arial"/>
          <w:sz w:val="22"/>
          <w:szCs w:val="22"/>
        </w:rPr>
        <w:t>$</w:t>
      </w:r>
      <w:r w:rsidR="00C11E39">
        <w:rPr>
          <w:rFonts w:ascii="Arial" w:hAnsi="Arial"/>
          <w:noProof/>
          <w:color w:val="000000"/>
          <w:sz w:val="22"/>
          <w:szCs w:val="22"/>
          <w:highlight w:val="black"/>
        </w:rPr>
        <w:t>''''''''''''''''</w:t>
      </w:r>
      <w:r w:rsidR="00F443C3">
        <w:rPr>
          <w:rFonts w:ascii="Arial" w:hAnsi="Arial"/>
          <w:sz w:val="22"/>
          <w:szCs w:val="22"/>
        </w:rPr>
        <w:t>.</w:t>
      </w:r>
    </w:p>
    <w:p w:rsidR="009F7265" w:rsidRDefault="009F7265" w:rsidP="009F7265">
      <w:pPr>
        <w:pStyle w:val="ListParagraph"/>
        <w:jc w:val="both"/>
        <w:rPr>
          <w:rFonts w:ascii="Arial" w:hAnsi="Arial"/>
          <w:sz w:val="22"/>
          <w:szCs w:val="22"/>
        </w:rPr>
      </w:pPr>
    </w:p>
    <w:p w:rsidR="003C04BB" w:rsidRDefault="003C04BB" w:rsidP="003C04BB">
      <w:pPr>
        <w:widowControl w:val="0"/>
        <w:jc w:val="both"/>
        <w:outlineLvl w:val="1"/>
        <w:rPr>
          <w:rFonts w:ascii="Arial" w:hAnsi="Arial" w:cs="Arial"/>
          <w:snapToGrid w:val="0"/>
          <w:sz w:val="22"/>
          <w:szCs w:val="22"/>
          <w:lang w:eastAsia="en-US"/>
        </w:rPr>
      </w:pPr>
      <w:bookmarkStart w:id="2" w:name="_Toc408213177"/>
      <w:bookmarkStart w:id="3" w:name="_Toc408922680"/>
      <w:r w:rsidRPr="00775BD9">
        <w:rPr>
          <w:rFonts w:ascii="Arial" w:hAnsi="Arial" w:cs="Arial"/>
          <w:b/>
          <w:snapToGrid w:val="0"/>
          <w:sz w:val="22"/>
          <w:szCs w:val="20"/>
          <w:lang w:eastAsia="en-US"/>
        </w:rPr>
        <w:t>Drug cost/patient/cycle:</w:t>
      </w:r>
      <w:r w:rsidRPr="003C04BB">
        <w:rPr>
          <w:rFonts w:ascii="Arial" w:hAnsi="Arial" w:cs="Arial"/>
          <w:b/>
          <w:i/>
          <w:snapToGrid w:val="0"/>
          <w:sz w:val="22"/>
          <w:szCs w:val="20"/>
          <w:lang w:eastAsia="en-US"/>
        </w:rPr>
        <w:t xml:space="preserve"> </w:t>
      </w:r>
      <w:r w:rsidRPr="003C04BB">
        <w:rPr>
          <w:rFonts w:ascii="Arial" w:hAnsi="Arial" w:cs="Arial"/>
          <w:snapToGrid w:val="0"/>
          <w:sz w:val="22"/>
          <w:szCs w:val="22"/>
          <w:lang w:eastAsia="en-US"/>
        </w:rPr>
        <w:t>approximately $</w:t>
      </w:r>
      <w:r w:rsidR="00C11E39">
        <w:rPr>
          <w:rFonts w:ascii="Arial" w:hAnsi="Arial" w:cs="Arial"/>
          <w:noProof/>
          <w:snapToGrid w:val="0"/>
          <w:color w:val="000000"/>
          <w:sz w:val="22"/>
          <w:szCs w:val="22"/>
          <w:highlight w:val="black"/>
          <w:lang w:eastAsia="en-US"/>
        </w:rPr>
        <w:t>''''''''''''''''''''</w:t>
      </w:r>
      <w:r>
        <w:rPr>
          <w:rFonts w:ascii="Arial" w:hAnsi="Arial" w:cs="Arial"/>
          <w:snapToGrid w:val="0"/>
          <w:sz w:val="22"/>
          <w:szCs w:val="22"/>
          <w:lang w:eastAsia="en-US"/>
        </w:rPr>
        <w:t>. This compares to $</w:t>
      </w:r>
      <w:r w:rsidR="00C11E39">
        <w:rPr>
          <w:rFonts w:ascii="Arial" w:hAnsi="Arial" w:cs="Arial"/>
          <w:noProof/>
          <w:snapToGrid w:val="0"/>
          <w:color w:val="000000"/>
          <w:sz w:val="22"/>
          <w:szCs w:val="22"/>
          <w:highlight w:val="black"/>
          <w:lang w:eastAsia="en-US"/>
        </w:rPr>
        <w:t>'''''''''''''''''''''''</w:t>
      </w:r>
      <w:r>
        <w:rPr>
          <w:rFonts w:ascii="Arial" w:hAnsi="Arial" w:cs="Arial"/>
          <w:snapToGrid w:val="0"/>
          <w:sz w:val="22"/>
          <w:szCs w:val="22"/>
          <w:lang w:eastAsia="en-US"/>
        </w:rPr>
        <w:t xml:space="preserve"> f</w:t>
      </w:r>
      <w:r w:rsidRPr="003C04BB">
        <w:rPr>
          <w:rFonts w:ascii="Arial" w:hAnsi="Arial" w:cs="Arial"/>
          <w:snapToGrid w:val="0"/>
          <w:sz w:val="22"/>
          <w:szCs w:val="22"/>
          <w:lang w:eastAsia="en-US"/>
        </w:rPr>
        <w:t xml:space="preserve">or women receiving separate </w:t>
      </w:r>
      <w:proofErr w:type="spellStart"/>
      <w:r w:rsidRPr="003C04BB">
        <w:rPr>
          <w:rFonts w:ascii="Arial" w:hAnsi="Arial" w:cs="Arial"/>
          <w:snapToGrid w:val="0"/>
          <w:sz w:val="22"/>
          <w:szCs w:val="22"/>
          <w:lang w:eastAsia="en-US"/>
        </w:rPr>
        <w:t>rLH</w:t>
      </w:r>
      <w:proofErr w:type="spellEnd"/>
      <w:r w:rsidRPr="003C04BB">
        <w:rPr>
          <w:rFonts w:ascii="Arial" w:hAnsi="Arial" w:cs="Arial"/>
          <w:snapToGrid w:val="0"/>
          <w:sz w:val="22"/>
          <w:szCs w:val="22"/>
          <w:lang w:eastAsia="en-US"/>
        </w:rPr>
        <w:t xml:space="preserve"> and </w:t>
      </w:r>
      <w:proofErr w:type="spellStart"/>
      <w:r w:rsidRPr="003C04BB">
        <w:rPr>
          <w:rFonts w:ascii="Arial" w:hAnsi="Arial" w:cs="Arial"/>
          <w:snapToGrid w:val="0"/>
          <w:sz w:val="22"/>
          <w:szCs w:val="22"/>
          <w:lang w:eastAsia="en-US"/>
        </w:rPr>
        <w:t>rFSH</w:t>
      </w:r>
      <w:proofErr w:type="spellEnd"/>
      <w:r>
        <w:rPr>
          <w:rFonts w:ascii="Arial" w:hAnsi="Arial" w:cs="Arial"/>
          <w:snapToGrid w:val="0"/>
          <w:sz w:val="22"/>
          <w:szCs w:val="22"/>
          <w:lang w:eastAsia="en-US"/>
        </w:rPr>
        <w:t>.</w:t>
      </w:r>
    </w:p>
    <w:p w:rsidR="003C04BB" w:rsidRDefault="003C04BB" w:rsidP="003C04BB">
      <w:pPr>
        <w:widowControl w:val="0"/>
        <w:jc w:val="both"/>
        <w:outlineLvl w:val="1"/>
        <w:rPr>
          <w:rFonts w:ascii="Arial" w:hAnsi="Arial" w:cs="Arial"/>
          <w:snapToGrid w:val="0"/>
          <w:sz w:val="22"/>
          <w:szCs w:val="22"/>
          <w:lang w:eastAsia="en-US"/>
        </w:rPr>
      </w:pPr>
    </w:p>
    <w:p w:rsidR="003C04BB" w:rsidRPr="003C04BB" w:rsidRDefault="003C04BB" w:rsidP="003C04BB">
      <w:pPr>
        <w:pStyle w:val="ListParagraph"/>
        <w:numPr>
          <w:ilvl w:val="1"/>
          <w:numId w:val="25"/>
        </w:numPr>
        <w:jc w:val="both"/>
        <w:rPr>
          <w:rFonts w:ascii="Arial" w:hAnsi="Arial" w:cs="Arial"/>
          <w:snapToGrid w:val="0"/>
          <w:sz w:val="22"/>
          <w:szCs w:val="22"/>
          <w:lang w:eastAsia="en-US"/>
        </w:rPr>
      </w:pPr>
      <w:proofErr w:type="spellStart"/>
      <w:r w:rsidRPr="003C04BB">
        <w:rPr>
          <w:rFonts w:ascii="Arial" w:hAnsi="Arial" w:cs="Arial"/>
          <w:snapToGrid w:val="0"/>
          <w:sz w:val="22"/>
          <w:szCs w:val="22"/>
          <w:lang w:eastAsia="en-US"/>
        </w:rPr>
        <w:t>Pergoveris</w:t>
      </w:r>
      <w:proofErr w:type="spellEnd"/>
      <w:r w:rsidRPr="003C04BB">
        <w:rPr>
          <w:rFonts w:ascii="Arial" w:hAnsi="Arial" w:cs="Arial"/>
          <w:snapToGrid w:val="0"/>
          <w:sz w:val="22"/>
          <w:szCs w:val="22"/>
          <w:lang w:eastAsia="en-US"/>
        </w:rPr>
        <w:t xml:space="preserve"> </w:t>
      </w:r>
      <w:r w:rsidR="00187F0D">
        <w:rPr>
          <w:rFonts w:ascii="Arial" w:hAnsi="Arial" w:cs="Arial"/>
          <w:snapToGrid w:val="0"/>
          <w:sz w:val="22"/>
          <w:szCs w:val="22"/>
          <w:lang w:eastAsia="en-US"/>
        </w:rPr>
        <w:t>cycle calculation</w:t>
      </w:r>
      <w:r w:rsidRPr="003C04BB">
        <w:rPr>
          <w:rFonts w:ascii="Arial" w:hAnsi="Arial" w:cs="Arial"/>
          <w:snapToGrid w:val="0"/>
          <w:sz w:val="22"/>
          <w:szCs w:val="22"/>
          <w:lang w:eastAsia="en-US"/>
        </w:rPr>
        <w:t>:</w:t>
      </w:r>
    </w:p>
    <w:p w:rsidR="003C04BB" w:rsidRPr="003C04BB" w:rsidRDefault="00C11E39" w:rsidP="003C04BB">
      <w:pPr>
        <w:widowControl w:val="0"/>
        <w:ind w:firstLine="720"/>
        <w:jc w:val="both"/>
        <w:outlineLvl w:val="1"/>
        <w:rPr>
          <w:rFonts w:ascii="Arial" w:hAnsi="Arial" w:cs="Arial"/>
          <w:snapToGrid w:val="0"/>
          <w:sz w:val="22"/>
          <w:szCs w:val="22"/>
          <w:lang w:eastAsia="en-US"/>
        </w:rPr>
      </w:pPr>
      <w:r>
        <w:rPr>
          <w:rFonts w:ascii="Arial" w:hAnsi="Arial" w:cs="Arial"/>
          <w:noProof/>
          <w:snapToGrid w:val="0"/>
          <w:color w:val="000000"/>
          <w:sz w:val="22"/>
          <w:szCs w:val="22"/>
          <w:highlight w:val="black"/>
          <w:lang w:eastAsia="en-US"/>
        </w:rPr>
        <w:t>''''</w:t>
      </w:r>
      <w:r w:rsidR="003C04BB" w:rsidRPr="0088203F">
        <w:rPr>
          <w:rFonts w:ascii="Arial" w:hAnsi="Arial" w:cs="Arial"/>
          <w:snapToGrid w:val="0"/>
          <w:sz w:val="22"/>
          <w:szCs w:val="22"/>
          <w:lang w:eastAsia="en-US"/>
        </w:rPr>
        <w:t xml:space="preserve"> </w:t>
      </w:r>
      <w:r w:rsidR="003C04BB" w:rsidRPr="003C04BB">
        <w:rPr>
          <w:rFonts w:ascii="Arial" w:hAnsi="Arial" w:cs="Arial"/>
          <w:snapToGrid w:val="0"/>
          <w:sz w:val="22"/>
          <w:szCs w:val="22"/>
          <w:lang w:eastAsia="en-US"/>
        </w:rPr>
        <w:t xml:space="preserve">packs of </w:t>
      </w:r>
      <w:proofErr w:type="spellStart"/>
      <w:r w:rsidR="003C04BB" w:rsidRPr="003C04BB">
        <w:rPr>
          <w:rFonts w:ascii="Arial" w:hAnsi="Arial" w:cs="Arial"/>
          <w:snapToGrid w:val="0"/>
          <w:sz w:val="22"/>
          <w:szCs w:val="22"/>
          <w:lang w:eastAsia="en-US"/>
        </w:rPr>
        <w:t>Pergoveris</w:t>
      </w:r>
      <w:proofErr w:type="spellEnd"/>
      <w:r w:rsidR="003C04BB" w:rsidRPr="003C04BB">
        <w:rPr>
          <w:rFonts w:ascii="Arial" w:hAnsi="Arial" w:cs="Arial"/>
          <w:snapToGrid w:val="0"/>
          <w:sz w:val="22"/>
          <w:szCs w:val="22"/>
          <w:lang w:eastAsia="en-US"/>
        </w:rPr>
        <w:t xml:space="preserve"> (</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sidR="003C04BB" w:rsidRPr="003C04BB">
        <w:rPr>
          <w:rFonts w:ascii="Arial" w:hAnsi="Arial" w:cs="Arial"/>
          <w:snapToGrid w:val="0"/>
          <w:sz w:val="22"/>
          <w:szCs w:val="22"/>
          <w:lang w:eastAsia="en-US"/>
        </w:rPr>
        <w:tab/>
        <w:t>$</w:t>
      </w:r>
      <w:r>
        <w:rPr>
          <w:rFonts w:ascii="Arial" w:hAnsi="Arial" w:cs="Arial"/>
          <w:noProof/>
          <w:snapToGrid w:val="0"/>
          <w:color w:val="000000"/>
          <w:sz w:val="22"/>
          <w:szCs w:val="22"/>
          <w:highlight w:val="black"/>
          <w:lang w:eastAsia="en-US"/>
        </w:rPr>
        <w:t>'''''''''''''''''''''</w:t>
      </w:r>
    </w:p>
    <w:p w:rsidR="003C04BB" w:rsidRPr="003C04BB" w:rsidRDefault="00C11E39" w:rsidP="003C04BB">
      <w:pPr>
        <w:widowControl w:val="0"/>
        <w:ind w:firstLine="720"/>
        <w:jc w:val="both"/>
        <w:outlineLvl w:val="1"/>
        <w:rPr>
          <w:rFonts w:ascii="Arial" w:hAnsi="Arial" w:cs="Arial"/>
          <w:snapToGrid w:val="0"/>
          <w:sz w:val="22"/>
          <w:szCs w:val="22"/>
          <w:lang w:eastAsia="en-US"/>
        </w:rPr>
      </w:pP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 xml:space="preserve"> packs of </w:t>
      </w:r>
      <w:proofErr w:type="spellStart"/>
      <w:r w:rsidR="00C92554">
        <w:rPr>
          <w:rFonts w:ascii="Arial" w:hAnsi="Arial" w:cs="Arial"/>
          <w:snapToGrid w:val="0"/>
          <w:sz w:val="22"/>
          <w:szCs w:val="22"/>
          <w:lang w:eastAsia="en-US"/>
        </w:rPr>
        <w:t>Gonal</w:t>
      </w:r>
      <w:proofErr w:type="spellEnd"/>
      <w:r w:rsidR="00C92554">
        <w:rPr>
          <w:rFonts w:ascii="Arial" w:hAnsi="Arial" w:cs="Arial"/>
          <w:snapToGrid w:val="0"/>
          <w:sz w:val="22"/>
          <w:szCs w:val="22"/>
          <w:lang w:eastAsia="en-US"/>
        </w:rPr>
        <w:t>-f</w:t>
      </w:r>
      <w:r w:rsidR="003C04BB" w:rsidRPr="003C04BB">
        <w:rPr>
          <w:rFonts w:ascii="Arial" w:hAnsi="Arial" w:cs="Arial"/>
          <w:snapToGrid w:val="0"/>
          <w:sz w:val="22"/>
          <w:szCs w:val="22"/>
          <w:lang w:eastAsia="en-US"/>
        </w:rPr>
        <w:t xml:space="preserve"> (</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sidR="003C04BB" w:rsidRPr="003C04BB">
        <w:rPr>
          <w:rFonts w:ascii="Arial" w:hAnsi="Arial" w:cs="Arial"/>
          <w:snapToGrid w:val="0"/>
          <w:sz w:val="22"/>
          <w:szCs w:val="22"/>
          <w:lang w:eastAsia="en-US"/>
        </w:rPr>
        <w:tab/>
        <w:t>$</w:t>
      </w:r>
      <w:r>
        <w:rPr>
          <w:rFonts w:ascii="Arial" w:hAnsi="Arial" w:cs="Arial"/>
          <w:noProof/>
          <w:snapToGrid w:val="0"/>
          <w:color w:val="000000"/>
          <w:sz w:val="22"/>
          <w:szCs w:val="22"/>
          <w:highlight w:val="black"/>
          <w:lang w:eastAsia="en-US"/>
        </w:rPr>
        <w:t>''''''''''''''''''''''</w:t>
      </w:r>
    </w:p>
    <w:p w:rsidR="003C04BB" w:rsidRDefault="003C04BB" w:rsidP="003C04BB">
      <w:pPr>
        <w:widowControl w:val="0"/>
        <w:jc w:val="both"/>
        <w:outlineLvl w:val="1"/>
        <w:rPr>
          <w:rFonts w:ascii="Arial" w:hAnsi="Arial" w:cs="Arial"/>
          <w:snapToGrid w:val="0"/>
          <w:sz w:val="22"/>
          <w:szCs w:val="22"/>
          <w:lang w:eastAsia="en-US"/>
        </w:rPr>
      </w:pPr>
      <w:r w:rsidRPr="003C04BB">
        <w:rPr>
          <w:rFonts w:ascii="Arial" w:hAnsi="Arial" w:cs="Arial"/>
          <w:snapToGrid w:val="0"/>
          <w:sz w:val="22"/>
          <w:szCs w:val="22"/>
          <w:lang w:eastAsia="en-US"/>
        </w:rPr>
        <w:tab/>
      </w:r>
      <w:r>
        <w:rPr>
          <w:rFonts w:ascii="Arial" w:hAnsi="Arial" w:cs="Arial"/>
          <w:snapToGrid w:val="0"/>
          <w:sz w:val="22"/>
          <w:szCs w:val="22"/>
          <w:lang w:eastAsia="en-US"/>
        </w:rPr>
        <w:t>Total</w:t>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Pr>
          <w:rFonts w:ascii="Arial" w:hAnsi="Arial" w:cs="Arial"/>
          <w:snapToGrid w:val="0"/>
          <w:sz w:val="22"/>
          <w:szCs w:val="22"/>
          <w:lang w:eastAsia="en-US"/>
        </w:rPr>
        <w:tab/>
      </w:r>
      <w:r w:rsidRPr="003C04BB">
        <w:rPr>
          <w:rFonts w:ascii="Arial" w:hAnsi="Arial" w:cs="Arial"/>
          <w:snapToGrid w:val="0"/>
          <w:sz w:val="22"/>
          <w:szCs w:val="22"/>
          <w:lang w:eastAsia="en-US"/>
        </w:rPr>
        <w:t>$</w:t>
      </w:r>
      <w:r w:rsidR="00C11E39">
        <w:rPr>
          <w:rFonts w:ascii="Arial" w:hAnsi="Arial" w:cs="Arial"/>
          <w:noProof/>
          <w:snapToGrid w:val="0"/>
          <w:color w:val="000000"/>
          <w:sz w:val="22"/>
          <w:szCs w:val="22"/>
          <w:highlight w:val="black"/>
          <w:lang w:eastAsia="en-US"/>
        </w:rPr>
        <w:t>'''''''''''''''''''''</w:t>
      </w:r>
      <w:r w:rsidRPr="003C04BB">
        <w:rPr>
          <w:rFonts w:ascii="Arial" w:hAnsi="Arial" w:cs="Arial"/>
          <w:snapToGrid w:val="0"/>
          <w:sz w:val="22"/>
          <w:szCs w:val="22"/>
          <w:lang w:eastAsia="en-US"/>
        </w:rPr>
        <w:t xml:space="preserve"> </w:t>
      </w:r>
      <w:bookmarkEnd w:id="2"/>
      <w:bookmarkEnd w:id="3"/>
    </w:p>
    <w:p w:rsidR="003C04BB" w:rsidRDefault="003C04BB" w:rsidP="003C04BB">
      <w:pPr>
        <w:widowControl w:val="0"/>
        <w:jc w:val="both"/>
        <w:outlineLvl w:val="1"/>
        <w:rPr>
          <w:rFonts w:ascii="Arial" w:hAnsi="Arial" w:cs="Arial"/>
          <w:snapToGrid w:val="0"/>
          <w:sz w:val="22"/>
          <w:szCs w:val="22"/>
          <w:lang w:eastAsia="en-US"/>
        </w:rPr>
      </w:pPr>
    </w:p>
    <w:p w:rsidR="003C04BB" w:rsidRPr="003C04BB" w:rsidRDefault="006676F9" w:rsidP="003C04BB">
      <w:pPr>
        <w:pStyle w:val="ListParagraph"/>
        <w:numPr>
          <w:ilvl w:val="1"/>
          <w:numId w:val="25"/>
        </w:numPr>
        <w:jc w:val="both"/>
        <w:rPr>
          <w:rFonts w:ascii="Arial" w:hAnsi="Arial" w:cs="Arial"/>
          <w:snapToGrid w:val="0"/>
          <w:sz w:val="22"/>
          <w:szCs w:val="22"/>
          <w:lang w:eastAsia="en-US"/>
        </w:rPr>
      </w:pPr>
      <w:proofErr w:type="spellStart"/>
      <w:r>
        <w:rPr>
          <w:rFonts w:ascii="Arial" w:hAnsi="Arial" w:cs="Arial"/>
          <w:snapToGrid w:val="0"/>
          <w:sz w:val="22"/>
          <w:szCs w:val="22"/>
          <w:lang w:eastAsia="en-US"/>
        </w:rPr>
        <w:t>Luveris</w:t>
      </w:r>
      <w:proofErr w:type="spellEnd"/>
      <w:r w:rsidR="003C04BB" w:rsidRPr="003C04BB">
        <w:rPr>
          <w:rFonts w:ascii="Arial" w:hAnsi="Arial" w:cs="Arial"/>
          <w:snapToGrid w:val="0"/>
          <w:sz w:val="22"/>
          <w:szCs w:val="22"/>
          <w:lang w:eastAsia="en-US"/>
        </w:rPr>
        <w:t xml:space="preserve"> and </w:t>
      </w:r>
      <w:proofErr w:type="spellStart"/>
      <w:r w:rsidRPr="00972351">
        <w:rPr>
          <w:rFonts w:ascii="Arial" w:hAnsi="Arial"/>
          <w:sz w:val="22"/>
          <w:szCs w:val="22"/>
        </w:rPr>
        <w:t>Gonal</w:t>
      </w:r>
      <w:proofErr w:type="spellEnd"/>
      <w:r w:rsidRPr="00972351">
        <w:rPr>
          <w:rFonts w:ascii="Arial" w:hAnsi="Arial"/>
          <w:sz w:val="22"/>
          <w:szCs w:val="22"/>
        </w:rPr>
        <w:t>-f</w:t>
      </w:r>
      <w:r w:rsidR="003C04BB" w:rsidRPr="003C04BB">
        <w:rPr>
          <w:rFonts w:ascii="Arial" w:hAnsi="Arial" w:cs="Arial"/>
          <w:snapToGrid w:val="0"/>
          <w:sz w:val="22"/>
          <w:szCs w:val="22"/>
          <w:lang w:eastAsia="en-US"/>
        </w:rPr>
        <w:t xml:space="preserve"> </w:t>
      </w:r>
      <w:r w:rsidR="00187F0D">
        <w:rPr>
          <w:rFonts w:ascii="Arial" w:hAnsi="Arial" w:cs="Arial"/>
          <w:snapToGrid w:val="0"/>
          <w:sz w:val="22"/>
          <w:szCs w:val="22"/>
          <w:lang w:eastAsia="en-US"/>
        </w:rPr>
        <w:t>as individual components, cycle calculation</w:t>
      </w:r>
      <w:r w:rsidR="003C04BB" w:rsidRPr="003C04BB">
        <w:rPr>
          <w:rFonts w:ascii="Arial" w:hAnsi="Arial" w:cs="Arial"/>
          <w:snapToGrid w:val="0"/>
          <w:sz w:val="22"/>
          <w:szCs w:val="22"/>
          <w:lang w:eastAsia="en-US"/>
        </w:rPr>
        <w:t>:</w:t>
      </w:r>
    </w:p>
    <w:p w:rsidR="003C04BB" w:rsidRPr="003C04BB" w:rsidRDefault="00C11E39" w:rsidP="003C04BB">
      <w:pPr>
        <w:pStyle w:val="ListParagraph"/>
        <w:jc w:val="both"/>
        <w:rPr>
          <w:rFonts w:ascii="Arial" w:hAnsi="Arial" w:cs="Arial"/>
          <w:snapToGrid w:val="0"/>
          <w:sz w:val="22"/>
          <w:szCs w:val="22"/>
          <w:lang w:eastAsia="en-US"/>
        </w:rPr>
      </w:pP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 xml:space="preserve"> packs of </w:t>
      </w:r>
      <w:proofErr w:type="spellStart"/>
      <w:r w:rsidR="003C04BB" w:rsidRPr="003C04BB">
        <w:rPr>
          <w:rFonts w:ascii="Arial" w:hAnsi="Arial" w:cs="Arial"/>
          <w:snapToGrid w:val="0"/>
          <w:sz w:val="22"/>
          <w:szCs w:val="22"/>
          <w:lang w:eastAsia="en-US"/>
        </w:rPr>
        <w:t>Luveris</w:t>
      </w:r>
      <w:proofErr w:type="spellEnd"/>
      <w:r w:rsidR="003C04BB" w:rsidRPr="003C04BB">
        <w:rPr>
          <w:rFonts w:ascii="Arial" w:hAnsi="Arial" w:cs="Arial"/>
          <w:snapToGrid w:val="0"/>
          <w:sz w:val="22"/>
          <w:szCs w:val="22"/>
          <w:lang w:eastAsia="en-US"/>
        </w:rPr>
        <w:t xml:space="preserve"> (</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Pr>
          <w:rFonts w:ascii="Arial" w:hAnsi="Arial" w:cs="Arial"/>
          <w:noProof/>
          <w:snapToGrid w:val="0"/>
          <w:color w:val="000000"/>
          <w:sz w:val="22"/>
          <w:szCs w:val="22"/>
          <w:highlight w:val="black"/>
          <w:lang w:eastAsia="en-US"/>
        </w:rPr>
        <w:t>'''''''''''''</w:t>
      </w:r>
      <w:r w:rsidR="00D07C30">
        <w:rPr>
          <w:rFonts w:ascii="Arial" w:hAnsi="Arial" w:cs="Arial"/>
          <w:snapToGrid w:val="0"/>
          <w:sz w:val="22"/>
          <w:szCs w:val="22"/>
          <w:lang w:eastAsia="en-US"/>
        </w:rPr>
        <w:t>)</w:t>
      </w:r>
      <w:r w:rsidR="00D07C30">
        <w:rPr>
          <w:rFonts w:ascii="Arial" w:hAnsi="Arial" w:cs="Arial"/>
          <w:snapToGrid w:val="0"/>
          <w:sz w:val="22"/>
          <w:szCs w:val="22"/>
          <w:lang w:eastAsia="en-US"/>
        </w:rPr>
        <w:tab/>
      </w:r>
      <w:bookmarkStart w:id="4" w:name="_GoBack"/>
      <w:bookmarkEnd w:id="4"/>
      <w:r w:rsidR="003C04BB" w:rsidRPr="003C04BB">
        <w:rPr>
          <w:rFonts w:ascii="Arial" w:hAnsi="Arial" w:cs="Arial"/>
          <w:snapToGrid w:val="0"/>
          <w:sz w:val="22"/>
          <w:szCs w:val="22"/>
          <w:lang w:eastAsia="en-US"/>
        </w:rPr>
        <w:t>$</w:t>
      </w:r>
      <w:r>
        <w:rPr>
          <w:rFonts w:ascii="Arial" w:hAnsi="Arial" w:cs="Arial"/>
          <w:noProof/>
          <w:snapToGrid w:val="0"/>
          <w:color w:val="000000"/>
          <w:sz w:val="22"/>
          <w:szCs w:val="22"/>
          <w:highlight w:val="black"/>
          <w:lang w:eastAsia="en-US"/>
        </w:rPr>
        <w:t>'''''''''''''''</w:t>
      </w:r>
    </w:p>
    <w:p w:rsidR="003C04BB" w:rsidRPr="003C04BB" w:rsidRDefault="00C11E39" w:rsidP="003C04BB">
      <w:pPr>
        <w:pStyle w:val="ListParagraph"/>
        <w:jc w:val="both"/>
        <w:rPr>
          <w:rFonts w:ascii="Arial" w:hAnsi="Arial" w:cs="Arial"/>
          <w:snapToGrid w:val="0"/>
          <w:sz w:val="22"/>
          <w:szCs w:val="22"/>
          <w:lang w:eastAsia="en-US"/>
        </w:rPr>
      </w:pP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 xml:space="preserve"> packs of </w:t>
      </w:r>
      <w:proofErr w:type="spellStart"/>
      <w:r w:rsidR="006676F9" w:rsidRPr="00972351">
        <w:rPr>
          <w:rFonts w:ascii="Arial" w:hAnsi="Arial"/>
          <w:sz w:val="22"/>
          <w:szCs w:val="22"/>
        </w:rPr>
        <w:t>Gonal</w:t>
      </w:r>
      <w:proofErr w:type="spellEnd"/>
      <w:r w:rsidR="006676F9" w:rsidRPr="00972351">
        <w:rPr>
          <w:rFonts w:ascii="Arial" w:hAnsi="Arial"/>
          <w:sz w:val="22"/>
          <w:szCs w:val="22"/>
        </w:rPr>
        <w:t>-f</w:t>
      </w:r>
      <w:r w:rsidR="003C04BB" w:rsidRPr="003C04BB">
        <w:rPr>
          <w:rFonts w:ascii="Arial" w:hAnsi="Arial" w:cs="Arial"/>
          <w:snapToGrid w:val="0"/>
          <w:sz w:val="22"/>
          <w:szCs w:val="22"/>
          <w:lang w:eastAsia="en-US"/>
        </w:rPr>
        <w:t xml:space="preserve"> (</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w:t>
      </w:r>
      <w:r>
        <w:rPr>
          <w:rFonts w:ascii="Arial" w:hAnsi="Arial" w:cs="Arial"/>
          <w:noProof/>
          <w:snapToGrid w:val="0"/>
          <w:color w:val="000000"/>
          <w:sz w:val="22"/>
          <w:szCs w:val="22"/>
          <w:highlight w:val="black"/>
          <w:lang w:eastAsia="en-US"/>
        </w:rPr>
        <w:t>''''''''''''''''''</w:t>
      </w:r>
      <w:r w:rsidR="003C04BB" w:rsidRPr="003C04BB">
        <w:rPr>
          <w:rFonts w:ascii="Arial" w:hAnsi="Arial" w:cs="Arial"/>
          <w:snapToGrid w:val="0"/>
          <w:sz w:val="22"/>
          <w:szCs w:val="22"/>
          <w:lang w:eastAsia="en-US"/>
        </w:rPr>
        <w:t xml:space="preserve">) </w:t>
      </w:r>
      <w:r w:rsidR="003C04BB" w:rsidRPr="003C04BB">
        <w:rPr>
          <w:rFonts w:ascii="Arial" w:hAnsi="Arial" w:cs="Arial"/>
          <w:snapToGrid w:val="0"/>
          <w:sz w:val="22"/>
          <w:szCs w:val="22"/>
          <w:lang w:eastAsia="en-US"/>
        </w:rPr>
        <w:tab/>
        <w:t>$</w:t>
      </w:r>
      <w:r>
        <w:rPr>
          <w:rFonts w:ascii="Arial" w:hAnsi="Arial" w:cs="Arial"/>
          <w:noProof/>
          <w:snapToGrid w:val="0"/>
          <w:color w:val="000000"/>
          <w:sz w:val="22"/>
          <w:szCs w:val="22"/>
          <w:highlight w:val="black"/>
          <w:lang w:eastAsia="en-US"/>
        </w:rPr>
        <w:t>''''''''''''''''''''''</w:t>
      </w:r>
    </w:p>
    <w:p w:rsidR="003C04BB" w:rsidRPr="003C04BB" w:rsidRDefault="003C04BB" w:rsidP="003C04BB">
      <w:pPr>
        <w:pStyle w:val="ListParagraph"/>
        <w:jc w:val="both"/>
        <w:rPr>
          <w:rFonts w:ascii="Arial" w:hAnsi="Arial" w:cs="Arial"/>
          <w:snapToGrid w:val="0"/>
          <w:sz w:val="22"/>
          <w:szCs w:val="22"/>
          <w:lang w:eastAsia="en-US"/>
        </w:rPr>
      </w:pPr>
      <w:r>
        <w:rPr>
          <w:rFonts w:ascii="Arial" w:hAnsi="Arial" w:cs="Arial"/>
          <w:snapToGrid w:val="0"/>
          <w:sz w:val="22"/>
          <w:szCs w:val="22"/>
          <w:lang w:eastAsia="en-US"/>
        </w:rPr>
        <w:t>Total</w:t>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r>
      <w:r w:rsidRPr="003C04BB">
        <w:rPr>
          <w:rFonts w:ascii="Arial" w:hAnsi="Arial" w:cs="Arial"/>
          <w:snapToGrid w:val="0"/>
          <w:sz w:val="22"/>
          <w:szCs w:val="22"/>
          <w:lang w:eastAsia="en-US"/>
        </w:rPr>
        <w:tab/>
        <w:t>$</w:t>
      </w:r>
      <w:r w:rsidR="00C11E39">
        <w:rPr>
          <w:rFonts w:ascii="Arial" w:hAnsi="Arial" w:cs="Arial"/>
          <w:noProof/>
          <w:snapToGrid w:val="0"/>
          <w:color w:val="000000"/>
          <w:sz w:val="22"/>
          <w:szCs w:val="22"/>
          <w:highlight w:val="black"/>
          <w:lang w:eastAsia="en-US"/>
        </w:rPr>
        <w:t>'''''''''''''''''''</w:t>
      </w:r>
    </w:p>
    <w:p w:rsidR="005963BB" w:rsidRPr="00882085" w:rsidRDefault="005963BB" w:rsidP="00882085">
      <w:pPr>
        <w:ind w:left="720" w:hanging="720"/>
        <w:jc w:val="both"/>
        <w:rPr>
          <w:rFonts w:ascii="Arial" w:hAnsi="Arial"/>
          <w:sz w:val="22"/>
          <w:szCs w:val="22"/>
        </w:rPr>
      </w:pPr>
    </w:p>
    <w:p w:rsidR="00BE491A" w:rsidRDefault="00BE491A">
      <w:pPr>
        <w:rPr>
          <w:rFonts w:ascii="Arial" w:hAnsi="Arial"/>
          <w:b/>
          <w:sz w:val="22"/>
          <w:szCs w:val="22"/>
        </w:rPr>
      </w:pPr>
      <w:r>
        <w:rPr>
          <w:rFonts w:ascii="Arial" w:hAnsi="Arial"/>
          <w:b/>
          <w:sz w:val="22"/>
          <w:szCs w:val="22"/>
        </w:rPr>
        <w:br w:type="page"/>
      </w:r>
    </w:p>
    <w:p w:rsidR="005A3173" w:rsidRPr="004919E8" w:rsidRDefault="005A3173" w:rsidP="003C04BB">
      <w:pPr>
        <w:rPr>
          <w:rFonts w:ascii="Arial" w:hAnsi="Arial"/>
          <w:b/>
          <w:sz w:val="22"/>
          <w:szCs w:val="22"/>
        </w:rPr>
      </w:pPr>
      <w:r w:rsidRPr="004919E8">
        <w:rPr>
          <w:rFonts w:ascii="Arial" w:hAnsi="Arial"/>
          <w:b/>
          <w:sz w:val="22"/>
          <w:szCs w:val="22"/>
        </w:rPr>
        <w:lastRenderedPageBreak/>
        <w:t>Estimated PBS usage &amp; financial implications</w:t>
      </w:r>
    </w:p>
    <w:p w:rsidR="005A3173" w:rsidRPr="00882085" w:rsidRDefault="005A3173" w:rsidP="00882085">
      <w:pPr>
        <w:ind w:left="720" w:hanging="720"/>
        <w:jc w:val="both"/>
        <w:rPr>
          <w:rFonts w:ascii="Arial" w:hAnsi="Arial"/>
          <w:b/>
          <w:i/>
          <w:sz w:val="22"/>
          <w:szCs w:val="22"/>
        </w:rPr>
      </w:pPr>
    </w:p>
    <w:p w:rsidR="00E10B76" w:rsidRDefault="006502D5" w:rsidP="006502D5">
      <w:pPr>
        <w:pStyle w:val="ListParagraph"/>
        <w:numPr>
          <w:ilvl w:val="1"/>
          <w:numId w:val="25"/>
        </w:numPr>
        <w:jc w:val="both"/>
        <w:rPr>
          <w:rFonts w:ascii="Arial" w:hAnsi="Arial"/>
          <w:sz w:val="22"/>
          <w:szCs w:val="22"/>
        </w:rPr>
      </w:pPr>
      <w:r w:rsidRPr="006502D5">
        <w:rPr>
          <w:rFonts w:ascii="Arial" w:hAnsi="Arial"/>
          <w:sz w:val="22"/>
          <w:szCs w:val="22"/>
        </w:rPr>
        <w:t xml:space="preserve">Estimates in the </w:t>
      </w:r>
      <w:r>
        <w:rPr>
          <w:rFonts w:ascii="Arial" w:hAnsi="Arial"/>
          <w:sz w:val="22"/>
          <w:szCs w:val="22"/>
        </w:rPr>
        <w:t xml:space="preserve">minor </w:t>
      </w:r>
      <w:r w:rsidR="0008033A">
        <w:rPr>
          <w:rFonts w:ascii="Arial" w:hAnsi="Arial"/>
          <w:sz w:val="22"/>
          <w:szCs w:val="22"/>
        </w:rPr>
        <w:t>re-submission</w:t>
      </w:r>
      <w:r>
        <w:rPr>
          <w:rFonts w:ascii="Arial" w:hAnsi="Arial"/>
          <w:sz w:val="22"/>
          <w:szCs w:val="22"/>
        </w:rPr>
        <w:t xml:space="preserve"> for</w:t>
      </w:r>
      <w:r w:rsidRPr="006502D5">
        <w:rPr>
          <w:rFonts w:ascii="Arial" w:hAnsi="Arial"/>
          <w:sz w:val="22"/>
          <w:szCs w:val="22"/>
        </w:rPr>
        <w:t xml:space="preserve"> </w:t>
      </w:r>
      <w:proofErr w:type="spellStart"/>
      <w:r w:rsidRPr="006502D5">
        <w:rPr>
          <w:rFonts w:ascii="Arial" w:hAnsi="Arial"/>
          <w:sz w:val="22"/>
          <w:szCs w:val="22"/>
        </w:rPr>
        <w:t>Pergoveris</w:t>
      </w:r>
      <w:proofErr w:type="spellEnd"/>
      <w:r w:rsidRPr="006502D5">
        <w:rPr>
          <w:rFonts w:ascii="Arial" w:hAnsi="Arial"/>
          <w:sz w:val="22"/>
          <w:szCs w:val="22"/>
        </w:rPr>
        <w:t xml:space="preserve"> </w:t>
      </w:r>
      <w:r w:rsidR="00E0073A">
        <w:rPr>
          <w:rFonts w:ascii="Arial" w:hAnsi="Arial"/>
          <w:sz w:val="22"/>
          <w:szCs w:val="22"/>
        </w:rPr>
        <w:t>we</w:t>
      </w:r>
      <w:r w:rsidRPr="006502D5">
        <w:rPr>
          <w:rFonts w:ascii="Arial" w:hAnsi="Arial"/>
          <w:sz w:val="22"/>
          <w:szCs w:val="22"/>
        </w:rPr>
        <w:t xml:space="preserve">re based on those presented for the </w:t>
      </w:r>
      <w:r>
        <w:rPr>
          <w:rFonts w:ascii="Arial" w:hAnsi="Arial"/>
          <w:sz w:val="22"/>
          <w:szCs w:val="22"/>
        </w:rPr>
        <w:t xml:space="preserve">major submission for </w:t>
      </w:r>
      <w:proofErr w:type="spellStart"/>
      <w:r>
        <w:rPr>
          <w:rFonts w:ascii="Arial" w:hAnsi="Arial"/>
          <w:sz w:val="22"/>
          <w:szCs w:val="22"/>
        </w:rPr>
        <w:t>Luveris</w:t>
      </w:r>
      <w:proofErr w:type="spellEnd"/>
      <w:r>
        <w:rPr>
          <w:rFonts w:ascii="Arial" w:hAnsi="Arial"/>
          <w:sz w:val="22"/>
          <w:szCs w:val="22"/>
        </w:rPr>
        <w:t>.</w:t>
      </w:r>
      <w:r w:rsidRPr="006502D5">
        <w:rPr>
          <w:rFonts w:ascii="Arial" w:hAnsi="Arial"/>
          <w:sz w:val="22"/>
          <w:szCs w:val="22"/>
        </w:rPr>
        <w:t xml:space="preserve"> The </w:t>
      </w:r>
      <w:r>
        <w:rPr>
          <w:rFonts w:ascii="Arial" w:hAnsi="Arial"/>
          <w:sz w:val="22"/>
          <w:szCs w:val="22"/>
        </w:rPr>
        <w:t xml:space="preserve">minor </w:t>
      </w:r>
      <w:r w:rsidR="0008033A">
        <w:rPr>
          <w:rFonts w:ascii="Arial" w:hAnsi="Arial"/>
          <w:sz w:val="22"/>
          <w:szCs w:val="22"/>
        </w:rPr>
        <w:t>re-submission</w:t>
      </w:r>
      <w:r w:rsidRPr="006502D5">
        <w:rPr>
          <w:rFonts w:ascii="Arial" w:hAnsi="Arial"/>
          <w:sz w:val="22"/>
          <w:szCs w:val="22"/>
        </w:rPr>
        <w:t xml:space="preserve"> estimated no additional cost to the PBS over the first five years of listing </w:t>
      </w:r>
      <w:r w:rsidR="004D2C4B">
        <w:rPr>
          <w:rFonts w:ascii="Arial" w:hAnsi="Arial"/>
          <w:sz w:val="22"/>
          <w:szCs w:val="22"/>
        </w:rPr>
        <w:t xml:space="preserve">of </w:t>
      </w:r>
      <w:proofErr w:type="spellStart"/>
      <w:r w:rsidR="004D2C4B">
        <w:rPr>
          <w:rFonts w:ascii="Arial" w:hAnsi="Arial"/>
          <w:sz w:val="22"/>
          <w:szCs w:val="22"/>
        </w:rPr>
        <w:t>Pergoveris</w:t>
      </w:r>
      <w:proofErr w:type="spellEnd"/>
      <w:r w:rsidR="004D2C4B">
        <w:rPr>
          <w:rFonts w:ascii="Arial" w:hAnsi="Arial"/>
          <w:sz w:val="22"/>
          <w:szCs w:val="22"/>
        </w:rPr>
        <w:t xml:space="preserve"> </w:t>
      </w:r>
      <w:r w:rsidRPr="006502D5">
        <w:rPr>
          <w:rFonts w:ascii="Arial" w:hAnsi="Arial"/>
          <w:sz w:val="22"/>
          <w:szCs w:val="22"/>
        </w:rPr>
        <w:t xml:space="preserve">compared to the reimbursed use of its components, </w:t>
      </w:r>
      <w:proofErr w:type="spellStart"/>
      <w:r w:rsidRPr="006502D5">
        <w:rPr>
          <w:rFonts w:ascii="Arial" w:hAnsi="Arial"/>
          <w:sz w:val="22"/>
          <w:szCs w:val="22"/>
        </w:rPr>
        <w:t>Gonal</w:t>
      </w:r>
      <w:proofErr w:type="spellEnd"/>
      <w:r w:rsidRPr="006502D5">
        <w:rPr>
          <w:rFonts w:ascii="Arial" w:hAnsi="Arial"/>
          <w:sz w:val="22"/>
          <w:szCs w:val="22"/>
        </w:rPr>
        <w:t xml:space="preserve">-f and </w:t>
      </w:r>
      <w:proofErr w:type="spellStart"/>
      <w:r w:rsidRPr="006502D5">
        <w:rPr>
          <w:rFonts w:ascii="Arial" w:hAnsi="Arial"/>
          <w:sz w:val="22"/>
          <w:szCs w:val="22"/>
        </w:rPr>
        <w:t>Luveris</w:t>
      </w:r>
      <w:proofErr w:type="spellEnd"/>
      <w:r>
        <w:rPr>
          <w:rFonts w:ascii="Arial" w:hAnsi="Arial"/>
          <w:sz w:val="22"/>
          <w:szCs w:val="22"/>
        </w:rPr>
        <w:t>.</w:t>
      </w:r>
      <w:r w:rsidR="004C2C4A" w:rsidRPr="00972351">
        <w:rPr>
          <w:rFonts w:ascii="Arial" w:hAnsi="Arial"/>
          <w:sz w:val="22"/>
          <w:szCs w:val="22"/>
        </w:rPr>
        <w:t xml:space="preserve"> </w:t>
      </w:r>
    </w:p>
    <w:p w:rsidR="00972351" w:rsidRDefault="00972351" w:rsidP="00972351">
      <w:pPr>
        <w:pStyle w:val="ListParagraph"/>
        <w:jc w:val="both"/>
        <w:rPr>
          <w:rFonts w:ascii="Arial" w:hAnsi="Arial"/>
          <w:sz w:val="22"/>
          <w:szCs w:val="22"/>
        </w:rPr>
      </w:pPr>
    </w:p>
    <w:p w:rsidR="00C92554" w:rsidRDefault="00C92554" w:rsidP="00C92554">
      <w:pPr>
        <w:pStyle w:val="ListParagraph"/>
        <w:numPr>
          <w:ilvl w:val="1"/>
          <w:numId w:val="25"/>
        </w:numPr>
        <w:ind w:left="709"/>
        <w:jc w:val="both"/>
        <w:rPr>
          <w:rFonts w:ascii="Arial" w:hAnsi="Arial"/>
          <w:sz w:val="22"/>
          <w:szCs w:val="22"/>
        </w:rPr>
      </w:pPr>
      <w:r>
        <w:rPr>
          <w:rFonts w:ascii="Arial" w:hAnsi="Arial"/>
          <w:sz w:val="22"/>
          <w:szCs w:val="22"/>
        </w:rPr>
        <w:t>The submission propose</w:t>
      </w:r>
      <w:r w:rsidR="00E0073A">
        <w:rPr>
          <w:rFonts w:ascii="Arial" w:hAnsi="Arial"/>
          <w:sz w:val="22"/>
          <w:szCs w:val="22"/>
        </w:rPr>
        <w:t>d</w:t>
      </w:r>
      <w:r>
        <w:rPr>
          <w:rFonts w:ascii="Arial" w:hAnsi="Arial"/>
          <w:sz w:val="22"/>
          <w:szCs w:val="22"/>
        </w:rPr>
        <w:t xml:space="preserve"> that the e</w:t>
      </w:r>
      <w:r w:rsidRPr="00972351">
        <w:rPr>
          <w:rFonts w:ascii="Arial" w:hAnsi="Arial"/>
          <w:sz w:val="22"/>
          <w:szCs w:val="22"/>
        </w:rPr>
        <w:t xml:space="preserve">stimated number of women treated with </w:t>
      </w:r>
      <w:r>
        <w:rPr>
          <w:rFonts w:ascii="Arial" w:hAnsi="Arial"/>
          <w:sz w:val="22"/>
          <w:szCs w:val="22"/>
        </w:rPr>
        <w:t xml:space="preserve">FDC product is </w:t>
      </w:r>
      <w:r w:rsidR="002E03A2">
        <w:rPr>
          <w:rFonts w:ascii="Arial" w:hAnsi="Arial"/>
          <w:sz w:val="22"/>
          <w:szCs w:val="22"/>
        </w:rPr>
        <w:t xml:space="preserve">less than 10,000 </w:t>
      </w:r>
      <w:r w:rsidRPr="00972351">
        <w:rPr>
          <w:rFonts w:ascii="Arial" w:hAnsi="Arial"/>
          <w:sz w:val="22"/>
          <w:szCs w:val="22"/>
        </w:rPr>
        <w:t xml:space="preserve">in Year 1, rising to </w:t>
      </w:r>
      <w:r w:rsidR="002E03A2">
        <w:rPr>
          <w:rFonts w:ascii="Arial" w:hAnsi="Arial"/>
          <w:sz w:val="22"/>
          <w:szCs w:val="22"/>
        </w:rPr>
        <w:t xml:space="preserve">less than 10,000 </w:t>
      </w:r>
      <w:r w:rsidRPr="00972351">
        <w:rPr>
          <w:rFonts w:ascii="Arial" w:hAnsi="Arial"/>
          <w:sz w:val="22"/>
          <w:szCs w:val="22"/>
        </w:rPr>
        <w:t xml:space="preserve">in Year 5. </w:t>
      </w:r>
      <w:r>
        <w:rPr>
          <w:rFonts w:ascii="Arial" w:hAnsi="Arial"/>
          <w:sz w:val="22"/>
          <w:szCs w:val="22"/>
        </w:rPr>
        <w:t>The submission propose</w:t>
      </w:r>
      <w:r w:rsidR="00E0073A">
        <w:rPr>
          <w:rFonts w:ascii="Arial" w:hAnsi="Arial"/>
          <w:sz w:val="22"/>
          <w:szCs w:val="22"/>
        </w:rPr>
        <w:t>d</w:t>
      </w:r>
      <w:r>
        <w:rPr>
          <w:rFonts w:ascii="Arial" w:hAnsi="Arial"/>
          <w:sz w:val="22"/>
          <w:szCs w:val="22"/>
        </w:rPr>
        <w:t xml:space="preserve"> that s</w:t>
      </w:r>
      <w:r w:rsidRPr="00972351">
        <w:rPr>
          <w:rFonts w:ascii="Arial" w:hAnsi="Arial"/>
          <w:sz w:val="22"/>
          <w:szCs w:val="22"/>
        </w:rPr>
        <w:t xml:space="preserve">ince the listing of </w:t>
      </w:r>
      <w:proofErr w:type="spellStart"/>
      <w:r w:rsidRPr="00972351">
        <w:rPr>
          <w:rFonts w:ascii="Arial" w:hAnsi="Arial"/>
          <w:sz w:val="22"/>
          <w:szCs w:val="22"/>
        </w:rPr>
        <w:t>Pergoveris</w:t>
      </w:r>
      <w:proofErr w:type="spellEnd"/>
      <w:r w:rsidRPr="00972351">
        <w:rPr>
          <w:rFonts w:ascii="Arial" w:hAnsi="Arial"/>
          <w:sz w:val="22"/>
          <w:szCs w:val="22"/>
        </w:rPr>
        <w:t xml:space="preserve"> on the PBS </w:t>
      </w:r>
      <w:r w:rsidR="00E0073A">
        <w:rPr>
          <w:rFonts w:ascii="Arial" w:hAnsi="Arial"/>
          <w:sz w:val="22"/>
          <w:szCs w:val="22"/>
        </w:rPr>
        <w:t>would be</w:t>
      </w:r>
      <w:r w:rsidRPr="00972351">
        <w:rPr>
          <w:rFonts w:ascii="Arial" w:hAnsi="Arial"/>
          <w:sz w:val="22"/>
          <w:szCs w:val="22"/>
        </w:rPr>
        <w:t xml:space="preserve"> cost-neutral per treatment cycle, the absolute uptake rates and the number of treatment cycles are of minimal significance.</w:t>
      </w:r>
    </w:p>
    <w:p w:rsidR="00C92554" w:rsidRPr="00C92554" w:rsidRDefault="00C92554" w:rsidP="00C92554">
      <w:pPr>
        <w:pStyle w:val="ListParagraph"/>
        <w:rPr>
          <w:rFonts w:ascii="Arial" w:hAnsi="Arial"/>
          <w:sz w:val="22"/>
          <w:szCs w:val="22"/>
        </w:rPr>
      </w:pPr>
    </w:p>
    <w:p w:rsidR="004D2C4B" w:rsidRDefault="004D2C4B" w:rsidP="004D2C4B">
      <w:pPr>
        <w:pStyle w:val="ListParagraph"/>
        <w:numPr>
          <w:ilvl w:val="1"/>
          <w:numId w:val="25"/>
        </w:numPr>
        <w:jc w:val="both"/>
        <w:rPr>
          <w:rFonts w:ascii="Arial" w:hAnsi="Arial"/>
          <w:sz w:val="22"/>
          <w:szCs w:val="22"/>
        </w:rPr>
      </w:pPr>
      <w:r w:rsidRPr="004D2C4B">
        <w:rPr>
          <w:rFonts w:ascii="Arial" w:hAnsi="Arial"/>
          <w:sz w:val="22"/>
          <w:szCs w:val="22"/>
        </w:rPr>
        <w:t xml:space="preserve">The cost of treatment with </w:t>
      </w:r>
      <w:proofErr w:type="spellStart"/>
      <w:r w:rsidRPr="004D2C4B">
        <w:rPr>
          <w:rFonts w:ascii="Arial" w:hAnsi="Arial"/>
          <w:sz w:val="22"/>
          <w:szCs w:val="22"/>
        </w:rPr>
        <w:t>Pergoveris</w:t>
      </w:r>
      <w:proofErr w:type="spellEnd"/>
      <w:r w:rsidRPr="004D2C4B">
        <w:rPr>
          <w:rFonts w:ascii="Arial" w:hAnsi="Arial"/>
          <w:sz w:val="22"/>
          <w:szCs w:val="22"/>
        </w:rPr>
        <w:t xml:space="preserve"> is offset by the cost of </w:t>
      </w:r>
      <w:proofErr w:type="spellStart"/>
      <w:r w:rsidRPr="004D2C4B">
        <w:rPr>
          <w:rFonts w:ascii="Arial" w:hAnsi="Arial"/>
          <w:sz w:val="22"/>
          <w:szCs w:val="22"/>
        </w:rPr>
        <w:t>Luveris</w:t>
      </w:r>
      <w:proofErr w:type="spellEnd"/>
      <w:r w:rsidRPr="004D2C4B">
        <w:rPr>
          <w:rFonts w:ascii="Arial" w:hAnsi="Arial"/>
          <w:sz w:val="22"/>
          <w:szCs w:val="22"/>
        </w:rPr>
        <w:t xml:space="preserve"> no longer required for </w:t>
      </w:r>
      <w:proofErr w:type="spellStart"/>
      <w:r w:rsidRPr="004D2C4B">
        <w:rPr>
          <w:rFonts w:ascii="Arial" w:hAnsi="Arial"/>
          <w:sz w:val="22"/>
          <w:szCs w:val="22"/>
        </w:rPr>
        <w:t>rLH</w:t>
      </w:r>
      <w:proofErr w:type="spellEnd"/>
      <w:r w:rsidRPr="004D2C4B">
        <w:rPr>
          <w:rFonts w:ascii="Arial" w:hAnsi="Arial"/>
          <w:sz w:val="22"/>
          <w:szCs w:val="22"/>
        </w:rPr>
        <w:t xml:space="preserve"> supplementation and also by the four fewer packs of </w:t>
      </w:r>
      <w:proofErr w:type="spellStart"/>
      <w:r w:rsidRPr="004D2C4B">
        <w:rPr>
          <w:rFonts w:ascii="Arial" w:hAnsi="Arial"/>
          <w:sz w:val="22"/>
          <w:szCs w:val="22"/>
        </w:rPr>
        <w:t>Gonal</w:t>
      </w:r>
      <w:proofErr w:type="spellEnd"/>
      <w:r w:rsidRPr="004D2C4B">
        <w:rPr>
          <w:rFonts w:ascii="Arial" w:hAnsi="Arial"/>
          <w:sz w:val="22"/>
          <w:szCs w:val="22"/>
        </w:rPr>
        <w:t xml:space="preserve">-f required to supply the full requirement of </w:t>
      </w:r>
      <w:proofErr w:type="spellStart"/>
      <w:r w:rsidRPr="004D2C4B">
        <w:rPr>
          <w:rFonts w:ascii="Arial" w:hAnsi="Arial"/>
          <w:sz w:val="22"/>
          <w:szCs w:val="22"/>
        </w:rPr>
        <w:t>rFSH</w:t>
      </w:r>
      <w:proofErr w:type="spellEnd"/>
      <w:r w:rsidRPr="004D2C4B">
        <w:rPr>
          <w:rFonts w:ascii="Arial" w:hAnsi="Arial"/>
          <w:sz w:val="22"/>
          <w:szCs w:val="22"/>
        </w:rPr>
        <w:t xml:space="preserve"> per treatment cycle. The listing of </w:t>
      </w:r>
      <w:proofErr w:type="spellStart"/>
      <w:r w:rsidRPr="004D2C4B">
        <w:rPr>
          <w:rFonts w:ascii="Arial" w:hAnsi="Arial"/>
          <w:sz w:val="22"/>
          <w:szCs w:val="22"/>
        </w:rPr>
        <w:t>Pergoveris</w:t>
      </w:r>
      <w:proofErr w:type="spellEnd"/>
      <w:r w:rsidRPr="004D2C4B">
        <w:rPr>
          <w:rFonts w:ascii="Arial" w:hAnsi="Arial"/>
          <w:sz w:val="22"/>
          <w:szCs w:val="22"/>
        </w:rPr>
        <w:t xml:space="preserve"> on the PBS will result in minor savings to the PBS of </w:t>
      </w:r>
      <w:r w:rsidR="002E03A2" w:rsidRPr="002E03A2">
        <w:rPr>
          <w:rFonts w:ascii="Arial" w:hAnsi="Arial"/>
          <w:sz w:val="22"/>
          <w:szCs w:val="22"/>
        </w:rPr>
        <w:t>less than $10 million per year</w:t>
      </w:r>
      <w:r w:rsidRPr="004D2C4B">
        <w:rPr>
          <w:rFonts w:ascii="Arial" w:hAnsi="Arial"/>
          <w:sz w:val="22"/>
          <w:szCs w:val="22"/>
        </w:rPr>
        <w:t xml:space="preserve"> in Year 1, rising to </w:t>
      </w:r>
      <w:r w:rsidR="002E03A2" w:rsidRPr="002E03A2">
        <w:rPr>
          <w:rFonts w:ascii="Arial" w:hAnsi="Arial"/>
          <w:sz w:val="22"/>
          <w:szCs w:val="22"/>
        </w:rPr>
        <w:t>less than $10 million per year</w:t>
      </w:r>
      <w:r w:rsidR="002E03A2" w:rsidRPr="004D2C4B">
        <w:rPr>
          <w:rFonts w:ascii="Arial" w:hAnsi="Arial"/>
          <w:sz w:val="22"/>
          <w:szCs w:val="22"/>
        </w:rPr>
        <w:t xml:space="preserve"> </w:t>
      </w:r>
      <w:r w:rsidRPr="004D2C4B">
        <w:rPr>
          <w:rFonts w:ascii="Arial" w:hAnsi="Arial"/>
          <w:sz w:val="22"/>
          <w:szCs w:val="22"/>
        </w:rPr>
        <w:t>in Year 5</w:t>
      </w:r>
      <w:r w:rsidR="00BE491A">
        <w:rPr>
          <w:rFonts w:ascii="Arial" w:hAnsi="Arial"/>
          <w:sz w:val="22"/>
          <w:szCs w:val="22"/>
        </w:rPr>
        <w:t xml:space="preserve"> as shown in table</w:t>
      </w:r>
      <w:r>
        <w:rPr>
          <w:rFonts w:ascii="Arial" w:hAnsi="Arial"/>
          <w:sz w:val="22"/>
          <w:szCs w:val="22"/>
        </w:rPr>
        <w:t xml:space="preserve"> below.</w:t>
      </w:r>
    </w:p>
    <w:p w:rsidR="004D2C4B" w:rsidRPr="004D2C4B" w:rsidRDefault="004D2C4B" w:rsidP="004D2C4B">
      <w:pPr>
        <w:pStyle w:val="ListParagraph"/>
        <w:rPr>
          <w:rFonts w:ascii="Arial" w:hAnsi="Arial"/>
          <w:sz w:val="22"/>
          <w:szCs w:val="22"/>
        </w:rPr>
      </w:pPr>
    </w:p>
    <w:p w:rsidR="004D2C4B" w:rsidRPr="004D2C4B" w:rsidRDefault="004D2C4B" w:rsidP="004D2C4B">
      <w:pPr>
        <w:pStyle w:val="Caption"/>
        <w:keepNext/>
        <w:spacing w:after="0"/>
        <w:ind w:firstLine="709"/>
        <w:rPr>
          <w:rFonts w:ascii="Arial Narrow" w:hAnsi="Arial Narrow"/>
          <w:b/>
          <w:i w:val="0"/>
          <w:color w:val="auto"/>
          <w:sz w:val="20"/>
          <w:szCs w:val="20"/>
        </w:rPr>
      </w:pPr>
      <w:r w:rsidRPr="004D2C4B">
        <w:rPr>
          <w:rFonts w:ascii="Arial Narrow" w:hAnsi="Arial Narrow"/>
          <w:b/>
          <w:i w:val="0"/>
          <w:color w:val="auto"/>
          <w:sz w:val="20"/>
          <w:szCs w:val="20"/>
        </w:rPr>
        <w:t>Estimated use and financial implications</w:t>
      </w:r>
    </w:p>
    <w:tbl>
      <w:tblPr>
        <w:tblStyle w:val="TableGrid"/>
        <w:tblW w:w="8471" w:type="dxa"/>
        <w:tblInd w:w="817" w:type="dxa"/>
        <w:tblLayout w:type="fixed"/>
        <w:tblLook w:val="04A0" w:firstRow="1" w:lastRow="0" w:firstColumn="1" w:lastColumn="0" w:noHBand="0" w:noVBand="1"/>
        <w:tblCaption w:val="Estimated PBS usage &amp; financial implications"/>
        <w:tblDescription w:val="Year 1 to 5"/>
      </w:tblPr>
      <w:tblGrid>
        <w:gridCol w:w="2155"/>
        <w:gridCol w:w="1263"/>
        <w:gridCol w:w="1263"/>
        <w:gridCol w:w="1263"/>
        <w:gridCol w:w="1263"/>
        <w:gridCol w:w="1264"/>
      </w:tblGrid>
      <w:tr w:rsidR="004D2C4B" w:rsidRPr="004D2C4B" w:rsidTr="004D2C4B">
        <w:trPr>
          <w:trHeight w:val="255"/>
        </w:trPr>
        <w:tc>
          <w:tcPr>
            <w:tcW w:w="2155" w:type="dxa"/>
            <w:shd w:val="clear" w:color="auto" w:fill="D9D9D9" w:themeFill="background1" w:themeFillShade="D9"/>
            <w:hideMark/>
          </w:tcPr>
          <w:p w:rsidR="004D2C4B" w:rsidRPr="004D2C4B" w:rsidRDefault="004D2C4B" w:rsidP="0078557B">
            <w:pPr>
              <w:keepNext/>
              <w:rPr>
                <w:rFonts w:ascii="Arial Narrow" w:hAnsi="Arial Narrow"/>
                <w:sz w:val="20"/>
                <w:szCs w:val="20"/>
              </w:rPr>
            </w:pPr>
          </w:p>
        </w:tc>
        <w:tc>
          <w:tcPr>
            <w:tcW w:w="1263" w:type="dxa"/>
            <w:shd w:val="clear" w:color="auto" w:fill="D9D9D9" w:themeFill="background1" w:themeFillShade="D9"/>
            <w:noWrap/>
            <w:hideMark/>
          </w:tcPr>
          <w:p w:rsidR="004D2C4B" w:rsidRPr="004D2C4B" w:rsidRDefault="004D2C4B" w:rsidP="0078557B">
            <w:pPr>
              <w:keepNext/>
              <w:jc w:val="center"/>
              <w:rPr>
                <w:rFonts w:ascii="Arial Narrow" w:hAnsi="Arial Narrow"/>
                <w:b/>
                <w:bCs/>
                <w:sz w:val="20"/>
                <w:szCs w:val="20"/>
              </w:rPr>
            </w:pPr>
            <w:r w:rsidRPr="004D2C4B">
              <w:rPr>
                <w:rFonts w:ascii="Arial Narrow" w:hAnsi="Arial Narrow"/>
                <w:b/>
                <w:bCs/>
                <w:sz w:val="20"/>
                <w:szCs w:val="20"/>
              </w:rPr>
              <w:t>Year 1</w:t>
            </w:r>
          </w:p>
        </w:tc>
        <w:tc>
          <w:tcPr>
            <w:tcW w:w="1263" w:type="dxa"/>
            <w:shd w:val="clear" w:color="auto" w:fill="D9D9D9" w:themeFill="background1" w:themeFillShade="D9"/>
            <w:noWrap/>
            <w:hideMark/>
          </w:tcPr>
          <w:p w:rsidR="004D2C4B" w:rsidRPr="004D2C4B" w:rsidRDefault="004D2C4B" w:rsidP="0078557B">
            <w:pPr>
              <w:keepNext/>
              <w:jc w:val="center"/>
              <w:rPr>
                <w:rFonts w:ascii="Arial Narrow" w:hAnsi="Arial Narrow"/>
                <w:b/>
                <w:bCs/>
                <w:sz w:val="20"/>
                <w:szCs w:val="20"/>
              </w:rPr>
            </w:pPr>
            <w:r w:rsidRPr="004D2C4B">
              <w:rPr>
                <w:rFonts w:ascii="Arial Narrow" w:hAnsi="Arial Narrow"/>
                <w:b/>
                <w:bCs/>
                <w:sz w:val="20"/>
                <w:szCs w:val="20"/>
              </w:rPr>
              <w:t>Year 2</w:t>
            </w:r>
          </w:p>
        </w:tc>
        <w:tc>
          <w:tcPr>
            <w:tcW w:w="1263" w:type="dxa"/>
            <w:shd w:val="clear" w:color="auto" w:fill="D9D9D9" w:themeFill="background1" w:themeFillShade="D9"/>
            <w:noWrap/>
            <w:hideMark/>
          </w:tcPr>
          <w:p w:rsidR="004D2C4B" w:rsidRPr="004D2C4B" w:rsidRDefault="004D2C4B" w:rsidP="0078557B">
            <w:pPr>
              <w:keepNext/>
              <w:jc w:val="center"/>
              <w:rPr>
                <w:rFonts w:ascii="Arial Narrow" w:hAnsi="Arial Narrow"/>
                <w:b/>
                <w:bCs/>
                <w:sz w:val="20"/>
                <w:szCs w:val="20"/>
              </w:rPr>
            </w:pPr>
            <w:r w:rsidRPr="004D2C4B">
              <w:rPr>
                <w:rFonts w:ascii="Arial Narrow" w:hAnsi="Arial Narrow"/>
                <w:b/>
                <w:bCs/>
                <w:sz w:val="20"/>
                <w:szCs w:val="20"/>
              </w:rPr>
              <w:t>Year 3</w:t>
            </w:r>
          </w:p>
        </w:tc>
        <w:tc>
          <w:tcPr>
            <w:tcW w:w="1263" w:type="dxa"/>
            <w:shd w:val="clear" w:color="auto" w:fill="D9D9D9" w:themeFill="background1" w:themeFillShade="D9"/>
            <w:noWrap/>
            <w:hideMark/>
          </w:tcPr>
          <w:p w:rsidR="004D2C4B" w:rsidRPr="004D2C4B" w:rsidRDefault="004D2C4B" w:rsidP="0078557B">
            <w:pPr>
              <w:keepNext/>
              <w:jc w:val="center"/>
              <w:rPr>
                <w:rFonts w:ascii="Arial Narrow" w:hAnsi="Arial Narrow"/>
                <w:b/>
                <w:bCs/>
                <w:sz w:val="20"/>
                <w:szCs w:val="20"/>
              </w:rPr>
            </w:pPr>
            <w:r w:rsidRPr="004D2C4B">
              <w:rPr>
                <w:rFonts w:ascii="Arial Narrow" w:hAnsi="Arial Narrow"/>
                <w:b/>
                <w:bCs/>
                <w:sz w:val="20"/>
                <w:szCs w:val="20"/>
              </w:rPr>
              <w:t>Year 4</w:t>
            </w:r>
          </w:p>
        </w:tc>
        <w:tc>
          <w:tcPr>
            <w:tcW w:w="1264" w:type="dxa"/>
            <w:shd w:val="clear" w:color="auto" w:fill="D9D9D9" w:themeFill="background1" w:themeFillShade="D9"/>
            <w:noWrap/>
            <w:hideMark/>
          </w:tcPr>
          <w:p w:rsidR="004D2C4B" w:rsidRPr="004D2C4B" w:rsidRDefault="004D2C4B" w:rsidP="0078557B">
            <w:pPr>
              <w:keepNext/>
              <w:jc w:val="center"/>
              <w:rPr>
                <w:rFonts w:ascii="Arial Narrow" w:hAnsi="Arial Narrow"/>
                <w:b/>
                <w:bCs/>
                <w:sz w:val="20"/>
                <w:szCs w:val="20"/>
              </w:rPr>
            </w:pPr>
            <w:r w:rsidRPr="004D2C4B">
              <w:rPr>
                <w:rFonts w:ascii="Arial Narrow" w:hAnsi="Arial Narrow"/>
                <w:b/>
                <w:bCs/>
                <w:sz w:val="20"/>
                <w:szCs w:val="20"/>
              </w:rPr>
              <w:t>Year 5</w:t>
            </w:r>
          </w:p>
        </w:tc>
      </w:tr>
      <w:tr w:rsidR="004D2C4B" w:rsidRPr="004D2C4B" w:rsidTr="004D2C4B">
        <w:trPr>
          <w:trHeight w:val="255"/>
        </w:trPr>
        <w:tc>
          <w:tcPr>
            <w:tcW w:w="2155" w:type="dxa"/>
            <w:hideMark/>
          </w:tcPr>
          <w:p w:rsidR="004D2C4B" w:rsidRPr="004D2C4B" w:rsidRDefault="004D2C4B" w:rsidP="0078557B">
            <w:pPr>
              <w:keepNext/>
              <w:rPr>
                <w:rFonts w:ascii="Arial Narrow" w:hAnsi="Arial Narrow"/>
                <w:sz w:val="20"/>
                <w:szCs w:val="20"/>
              </w:rPr>
            </w:pPr>
            <w:r w:rsidRPr="004D2C4B">
              <w:rPr>
                <w:rFonts w:ascii="Arial Narrow" w:hAnsi="Arial Narrow"/>
                <w:sz w:val="20"/>
                <w:szCs w:val="20"/>
              </w:rPr>
              <w:t xml:space="preserve">Total cost of </w:t>
            </w:r>
            <w:proofErr w:type="spellStart"/>
            <w:r w:rsidRPr="004D2C4B">
              <w:rPr>
                <w:rFonts w:ascii="Arial Narrow" w:hAnsi="Arial Narrow"/>
                <w:sz w:val="20"/>
                <w:szCs w:val="20"/>
              </w:rPr>
              <w:t>Pergoveris</w:t>
            </w:r>
            <w:proofErr w:type="spellEnd"/>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4"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r>
      <w:tr w:rsidR="004D2C4B" w:rsidRPr="004D2C4B" w:rsidTr="004D2C4B">
        <w:trPr>
          <w:trHeight w:val="255"/>
        </w:trPr>
        <w:tc>
          <w:tcPr>
            <w:tcW w:w="2155" w:type="dxa"/>
            <w:noWrap/>
            <w:hideMark/>
          </w:tcPr>
          <w:p w:rsidR="004D2C4B" w:rsidRPr="004D2C4B" w:rsidRDefault="004D2C4B" w:rsidP="0078557B">
            <w:pPr>
              <w:keepNext/>
              <w:rPr>
                <w:rFonts w:ascii="Arial Narrow" w:hAnsi="Arial Narrow"/>
                <w:b/>
                <w:sz w:val="20"/>
                <w:szCs w:val="20"/>
              </w:rPr>
            </w:pPr>
            <w:r w:rsidRPr="004D2C4B">
              <w:rPr>
                <w:rFonts w:ascii="Arial Narrow" w:hAnsi="Arial Narrow"/>
                <w:b/>
                <w:sz w:val="20"/>
                <w:szCs w:val="20"/>
              </w:rPr>
              <w:t>Net cost to Government for the drug (a)</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4"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r>
      <w:tr w:rsidR="004D2C4B" w:rsidRPr="004D2C4B" w:rsidTr="004D2C4B">
        <w:trPr>
          <w:trHeight w:val="255"/>
        </w:trPr>
        <w:tc>
          <w:tcPr>
            <w:tcW w:w="8471" w:type="dxa"/>
            <w:gridSpan w:val="6"/>
            <w:hideMark/>
          </w:tcPr>
          <w:p w:rsidR="004D2C4B" w:rsidRPr="004D2C4B" w:rsidRDefault="004D2C4B" w:rsidP="0078557B">
            <w:pPr>
              <w:keepNext/>
              <w:rPr>
                <w:rFonts w:ascii="Arial Narrow" w:hAnsi="Arial Narrow"/>
                <w:sz w:val="20"/>
                <w:szCs w:val="20"/>
              </w:rPr>
            </w:pPr>
            <w:r w:rsidRPr="004D2C4B">
              <w:rPr>
                <w:rFonts w:ascii="Arial Narrow" w:hAnsi="Arial Narrow"/>
                <w:b/>
                <w:bCs/>
                <w:sz w:val="20"/>
                <w:szCs w:val="20"/>
              </w:rPr>
              <w:t xml:space="preserve">Net cost to Government from decrease in use of other drugs </w:t>
            </w:r>
          </w:p>
        </w:tc>
      </w:tr>
      <w:tr w:rsidR="004D2C4B" w:rsidRPr="004D2C4B" w:rsidTr="004D2C4B">
        <w:trPr>
          <w:trHeight w:val="255"/>
        </w:trPr>
        <w:tc>
          <w:tcPr>
            <w:tcW w:w="2155" w:type="dxa"/>
            <w:hideMark/>
          </w:tcPr>
          <w:p w:rsidR="004D2C4B" w:rsidRPr="004D2C4B" w:rsidRDefault="004D2C4B" w:rsidP="0078557B">
            <w:pPr>
              <w:keepNext/>
              <w:rPr>
                <w:rFonts w:ascii="Arial Narrow" w:hAnsi="Arial Narrow"/>
                <w:sz w:val="20"/>
                <w:szCs w:val="20"/>
              </w:rPr>
            </w:pPr>
            <w:r w:rsidRPr="004D2C4B">
              <w:rPr>
                <w:rFonts w:ascii="Arial Narrow" w:hAnsi="Arial Narrow"/>
                <w:sz w:val="20"/>
                <w:szCs w:val="20"/>
              </w:rPr>
              <w:t xml:space="preserve">Total cost savings for </w:t>
            </w:r>
            <w:proofErr w:type="spellStart"/>
            <w:r w:rsidRPr="004D2C4B">
              <w:rPr>
                <w:rFonts w:ascii="Arial Narrow" w:hAnsi="Arial Narrow"/>
                <w:sz w:val="20"/>
                <w:szCs w:val="20"/>
              </w:rPr>
              <w:t>rFSH</w:t>
            </w:r>
            <w:proofErr w:type="spellEnd"/>
            <w:r w:rsidRPr="004D2C4B">
              <w:rPr>
                <w:rFonts w:ascii="Arial Narrow" w:hAnsi="Arial Narrow"/>
                <w:sz w:val="20"/>
                <w:szCs w:val="20"/>
              </w:rPr>
              <w:t xml:space="preserve"> no longer required </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4"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r>
      <w:tr w:rsidR="004D2C4B" w:rsidRPr="004D2C4B" w:rsidTr="004D2C4B">
        <w:trPr>
          <w:trHeight w:val="255"/>
        </w:trPr>
        <w:tc>
          <w:tcPr>
            <w:tcW w:w="2155" w:type="dxa"/>
            <w:hideMark/>
          </w:tcPr>
          <w:p w:rsidR="004D2C4B" w:rsidRPr="004D2C4B" w:rsidRDefault="004D2C4B" w:rsidP="0078557B">
            <w:pPr>
              <w:keepNext/>
              <w:rPr>
                <w:rFonts w:ascii="Arial Narrow" w:hAnsi="Arial Narrow"/>
                <w:sz w:val="20"/>
                <w:szCs w:val="20"/>
              </w:rPr>
            </w:pPr>
            <w:r w:rsidRPr="004D2C4B">
              <w:rPr>
                <w:rFonts w:ascii="Arial Narrow" w:hAnsi="Arial Narrow"/>
                <w:sz w:val="20"/>
                <w:szCs w:val="20"/>
              </w:rPr>
              <w:t xml:space="preserve">Total cost savings for </w:t>
            </w:r>
            <w:proofErr w:type="spellStart"/>
            <w:r w:rsidRPr="004D2C4B">
              <w:rPr>
                <w:rFonts w:ascii="Arial Narrow" w:hAnsi="Arial Narrow"/>
                <w:sz w:val="20"/>
                <w:szCs w:val="20"/>
              </w:rPr>
              <w:t>rLH</w:t>
            </w:r>
            <w:proofErr w:type="spellEnd"/>
            <w:r w:rsidRPr="004D2C4B">
              <w:rPr>
                <w:rFonts w:ascii="Arial Narrow" w:hAnsi="Arial Narrow"/>
                <w:sz w:val="20"/>
                <w:szCs w:val="20"/>
              </w:rPr>
              <w:t xml:space="preserve"> no longer required </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c>
          <w:tcPr>
            <w:tcW w:w="1264" w:type="dxa"/>
            <w:noWrap/>
            <w:hideMark/>
          </w:tcPr>
          <w:p w:rsidR="004D2C4B" w:rsidRPr="004D2C4B" w:rsidRDefault="004D2C4B" w:rsidP="0078557B">
            <w:pPr>
              <w:keepNext/>
              <w:jc w:val="center"/>
              <w:rPr>
                <w:rFonts w:ascii="Arial Narrow" w:hAnsi="Arial Narrow"/>
                <w:sz w:val="20"/>
                <w:szCs w:val="20"/>
              </w:rPr>
            </w:pPr>
            <w:r w:rsidRPr="004D2C4B">
              <w:rPr>
                <w:rFonts w:ascii="Arial Narrow" w:hAnsi="Arial Narrow"/>
                <w:sz w:val="20"/>
                <w:szCs w:val="20"/>
              </w:rPr>
              <w:t>$</w:t>
            </w:r>
            <w:r w:rsidR="00C11E39">
              <w:rPr>
                <w:rFonts w:ascii="Arial Narrow" w:hAnsi="Arial Narrow"/>
                <w:noProof/>
                <w:color w:val="000000"/>
                <w:sz w:val="20"/>
                <w:szCs w:val="20"/>
                <w:highlight w:val="black"/>
              </w:rPr>
              <w:t>''''''''''''''''''''''''''</w:t>
            </w:r>
          </w:p>
        </w:tc>
      </w:tr>
      <w:tr w:rsidR="004D2C4B" w:rsidRPr="004D2C4B" w:rsidTr="004D2C4B">
        <w:trPr>
          <w:trHeight w:val="255"/>
        </w:trPr>
        <w:tc>
          <w:tcPr>
            <w:tcW w:w="2155" w:type="dxa"/>
            <w:hideMark/>
          </w:tcPr>
          <w:p w:rsidR="004D2C4B" w:rsidRPr="004D2C4B" w:rsidRDefault="004D2C4B" w:rsidP="0078557B">
            <w:pPr>
              <w:keepNext/>
              <w:rPr>
                <w:rFonts w:ascii="Arial Narrow" w:hAnsi="Arial Narrow"/>
                <w:b/>
                <w:sz w:val="20"/>
                <w:szCs w:val="20"/>
              </w:rPr>
            </w:pPr>
            <w:r w:rsidRPr="004D2C4B">
              <w:rPr>
                <w:rFonts w:ascii="Arial Narrow" w:hAnsi="Arial Narrow"/>
                <w:b/>
                <w:sz w:val="20"/>
                <w:szCs w:val="20"/>
              </w:rPr>
              <w:t>TOTAL Savings (b)</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3"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c>
          <w:tcPr>
            <w:tcW w:w="1264" w:type="dxa"/>
            <w:noWrap/>
            <w:hideMark/>
          </w:tcPr>
          <w:p w:rsidR="004D2C4B" w:rsidRPr="004D2C4B" w:rsidRDefault="004D2C4B" w:rsidP="0078557B">
            <w:pPr>
              <w:keepNext/>
              <w:jc w:val="center"/>
              <w:rPr>
                <w:rFonts w:ascii="Arial Narrow" w:hAnsi="Arial Narrow"/>
                <w:b/>
                <w:sz w:val="20"/>
                <w:szCs w:val="20"/>
              </w:rPr>
            </w:pPr>
            <w:r w:rsidRPr="004D2C4B">
              <w:rPr>
                <w:rFonts w:ascii="Arial Narrow" w:hAnsi="Arial Narrow"/>
                <w:b/>
                <w:sz w:val="20"/>
                <w:szCs w:val="20"/>
              </w:rPr>
              <w:t>$</w:t>
            </w:r>
            <w:r w:rsidR="00C11E39">
              <w:rPr>
                <w:rFonts w:ascii="Arial Narrow" w:hAnsi="Arial Narrow"/>
                <w:b/>
                <w:noProof/>
                <w:color w:val="000000"/>
                <w:sz w:val="20"/>
                <w:szCs w:val="20"/>
                <w:highlight w:val="black"/>
              </w:rPr>
              <w:t>'''''''''''''''''''</w:t>
            </w:r>
          </w:p>
        </w:tc>
      </w:tr>
      <w:tr w:rsidR="004D2C4B" w:rsidRPr="004D2C4B" w:rsidTr="004D2C4B">
        <w:trPr>
          <w:trHeight w:val="255"/>
        </w:trPr>
        <w:tc>
          <w:tcPr>
            <w:tcW w:w="2155" w:type="dxa"/>
          </w:tcPr>
          <w:p w:rsidR="004D2C4B" w:rsidRPr="004D2C4B" w:rsidRDefault="004D2C4B" w:rsidP="0078557B">
            <w:pPr>
              <w:keepNext/>
              <w:rPr>
                <w:rFonts w:ascii="Arial Narrow" w:hAnsi="Arial Narrow"/>
                <w:b/>
                <w:sz w:val="20"/>
                <w:szCs w:val="20"/>
              </w:rPr>
            </w:pPr>
            <w:r w:rsidRPr="004D2C4B">
              <w:rPr>
                <w:rFonts w:ascii="Arial Narrow" w:hAnsi="Arial Narrow"/>
                <w:b/>
                <w:sz w:val="20"/>
                <w:szCs w:val="20"/>
              </w:rPr>
              <w:t>TOTAL SAVINGS (a-b)</w:t>
            </w:r>
          </w:p>
        </w:tc>
        <w:tc>
          <w:tcPr>
            <w:tcW w:w="1263" w:type="dxa"/>
            <w:noWrap/>
            <w:vAlign w:val="bottom"/>
          </w:tcPr>
          <w:p w:rsidR="004D2C4B" w:rsidRPr="004D2C4B" w:rsidRDefault="00C11E39" w:rsidP="0078557B">
            <w:pPr>
              <w:keepNext/>
              <w:jc w:val="center"/>
              <w:rPr>
                <w:rFonts w:ascii="Arial Narrow" w:hAnsi="Arial Narrow" w:cs="Arial"/>
                <w:b/>
                <w:sz w:val="20"/>
                <w:szCs w:val="20"/>
              </w:rPr>
            </w:pPr>
            <w:r>
              <w:rPr>
                <w:rFonts w:ascii="Arial Narrow" w:hAnsi="Arial Narrow" w:cs="Arial"/>
                <w:b/>
                <w:noProof/>
                <w:color w:val="000000"/>
                <w:sz w:val="20"/>
                <w:szCs w:val="20"/>
                <w:highlight w:val="black"/>
              </w:rPr>
              <w:t>''</w:t>
            </w:r>
            <w:r w:rsidR="004D2C4B" w:rsidRPr="004D2C4B">
              <w:rPr>
                <w:rFonts w:ascii="Arial Narrow" w:hAnsi="Arial Narrow" w:cs="Arial"/>
                <w:b/>
                <w:sz w:val="20"/>
                <w:szCs w:val="20"/>
              </w:rPr>
              <w:t>$</w:t>
            </w:r>
            <w:r>
              <w:rPr>
                <w:rFonts w:ascii="Arial Narrow" w:hAnsi="Arial Narrow" w:cs="Arial"/>
                <w:b/>
                <w:noProof/>
                <w:color w:val="000000"/>
                <w:sz w:val="20"/>
                <w:szCs w:val="20"/>
                <w:highlight w:val="black"/>
              </w:rPr>
              <w:t>'''''''''''''''</w:t>
            </w:r>
          </w:p>
        </w:tc>
        <w:tc>
          <w:tcPr>
            <w:tcW w:w="1263" w:type="dxa"/>
            <w:noWrap/>
            <w:vAlign w:val="bottom"/>
          </w:tcPr>
          <w:p w:rsidR="004D2C4B" w:rsidRPr="004D2C4B" w:rsidRDefault="00C11E39" w:rsidP="0078557B">
            <w:pPr>
              <w:keepNext/>
              <w:jc w:val="center"/>
              <w:rPr>
                <w:rFonts w:ascii="Arial Narrow" w:hAnsi="Arial Narrow" w:cs="Arial"/>
                <w:b/>
                <w:sz w:val="20"/>
                <w:szCs w:val="20"/>
              </w:rPr>
            </w:pPr>
            <w:r>
              <w:rPr>
                <w:rFonts w:ascii="Arial Narrow" w:hAnsi="Arial Narrow" w:cs="Arial"/>
                <w:b/>
                <w:noProof/>
                <w:color w:val="000000"/>
                <w:sz w:val="20"/>
                <w:szCs w:val="20"/>
                <w:highlight w:val="black"/>
              </w:rPr>
              <w:t>''</w:t>
            </w:r>
            <w:r w:rsidR="004D2C4B" w:rsidRPr="004D2C4B">
              <w:rPr>
                <w:rFonts w:ascii="Arial Narrow" w:hAnsi="Arial Narrow" w:cs="Arial"/>
                <w:b/>
                <w:sz w:val="20"/>
                <w:szCs w:val="20"/>
              </w:rPr>
              <w:t>$</w:t>
            </w:r>
            <w:r>
              <w:rPr>
                <w:rFonts w:ascii="Arial Narrow" w:hAnsi="Arial Narrow" w:cs="Arial"/>
                <w:b/>
                <w:noProof/>
                <w:color w:val="000000"/>
                <w:sz w:val="20"/>
                <w:szCs w:val="20"/>
                <w:highlight w:val="black"/>
              </w:rPr>
              <w:t>'''''''''''''''</w:t>
            </w:r>
          </w:p>
        </w:tc>
        <w:tc>
          <w:tcPr>
            <w:tcW w:w="1263" w:type="dxa"/>
            <w:noWrap/>
            <w:vAlign w:val="bottom"/>
          </w:tcPr>
          <w:p w:rsidR="004D2C4B" w:rsidRPr="004D2C4B" w:rsidRDefault="00C11E39" w:rsidP="0078557B">
            <w:pPr>
              <w:keepNext/>
              <w:jc w:val="center"/>
              <w:rPr>
                <w:rFonts w:ascii="Arial Narrow" w:hAnsi="Arial Narrow" w:cs="Arial"/>
                <w:b/>
                <w:sz w:val="20"/>
                <w:szCs w:val="20"/>
              </w:rPr>
            </w:pPr>
            <w:r>
              <w:rPr>
                <w:rFonts w:ascii="Arial Narrow" w:hAnsi="Arial Narrow" w:cs="Arial"/>
                <w:b/>
                <w:noProof/>
                <w:color w:val="000000"/>
                <w:sz w:val="20"/>
                <w:szCs w:val="20"/>
                <w:highlight w:val="black"/>
              </w:rPr>
              <w:t>''</w:t>
            </w:r>
            <w:r w:rsidR="004D2C4B" w:rsidRPr="004D2C4B">
              <w:rPr>
                <w:rFonts w:ascii="Arial Narrow" w:hAnsi="Arial Narrow" w:cs="Arial"/>
                <w:b/>
                <w:sz w:val="20"/>
                <w:szCs w:val="20"/>
              </w:rPr>
              <w:t>$</w:t>
            </w:r>
            <w:r>
              <w:rPr>
                <w:rFonts w:ascii="Arial Narrow" w:hAnsi="Arial Narrow" w:cs="Arial"/>
                <w:b/>
                <w:noProof/>
                <w:color w:val="000000"/>
                <w:sz w:val="20"/>
                <w:szCs w:val="20"/>
                <w:highlight w:val="black"/>
              </w:rPr>
              <w:t>''''''''''''''</w:t>
            </w:r>
          </w:p>
        </w:tc>
        <w:tc>
          <w:tcPr>
            <w:tcW w:w="1263" w:type="dxa"/>
            <w:noWrap/>
            <w:vAlign w:val="bottom"/>
          </w:tcPr>
          <w:p w:rsidR="004D2C4B" w:rsidRPr="004D2C4B" w:rsidRDefault="00C11E39" w:rsidP="0078557B">
            <w:pPr>
              <w:keepNext/>
              <w:jc w:val="center"/>
              <w:rPr>
                <w:rFonts w:ascii="Arial Narrow" w:hAnsi="Arial Narrow" w:cs="Arial"/>
                <w:b/>
                <w:sz w:val="20"/>
                <w:szCs w:val="20"/>
              </w:rPr>
            </w:pPr>
            <w:r>
              <w:rPr>
                <w:rFonts w:ascii="Arial Narrow" w:hAnsi="Arial Narrow" w:cs="Arial"/>
                <w:b/>
                <w:noProof/>
                <w:color w:val="000000"/>
                <w:sz w:val="20"/>
                <w:szCs w:val="20"/>
                <w:highlight w:val="black"/>
              </w:rPr>
              <w:t>''</w:t>
            </w:r>
            <w:r w:rsidR="004D2C4B" w:rsidRPr="004D2C4B">
              <w:rPr>
                <w:rFonts w:ascii="Arial Narrow" w:hAnsi="Arial Narrow" w:cs="Arial"/>
                <w:b/>
                <w:sz w:val="20"/>
                <w:szCs w:val="20"/>
              </w:rPr>
              <w:t>$</w:t>
            </w:r>
            <w:r>
              <w:rPr>
                <w:rFonts w:ascii="Arial Narrow" w:hAnsi="Arial Narrow" w:cs="Arial"/>
                <w:b/>
                <w:noProof/>
                <w:color w:val="000000"/>
                <w:sz w:val="20"/>
                <w:szCs w:val="20"/>
                <w:highlight w:val="black"/>
              </w:rPr>
              <w:t>''''''''''''''</w:t>
            </w:r>
          </w:p>
        </w:tc>
        <w:tc>
          <w:tcPr>
            <w:tcW w:w="1264" w:type="dxa"/>
            <w:noWrap/>
            <w:vAlign w:val="bottom"/>
          </w:tcPr>
          <w:p w:rsidR="004D2C4B" w:rsidRPr="004D2C4B" w:rsidRDefault="00C11E39" w:rsidP="0078557B">
            <w:pPr>
              <w:keepNext/>
              <w:jc w:val="center"/>
              <w:rPr>
                <w:rFonts w:ascii="Arial Narrow" w:hAnsi="Arial Narrow" w:cs="Arial"/>
                <w:b/>
                <w:sz w:val="20"/>
                <w:szCs w:val="20"/>
              </w:rPr>
            </w:pPr>
            <w:r>
              <w:rPr>
                <w:rFonts w:ascii="Arial Narrow" w:hAnsi="Arial Narrow" w:cs="Arial"/>
                <w:b/>
                <w:noProof/>
                <w:color w:val="000000"/>
                <w:sz w:val="20"/>
                <w:szCs w:val="20"/>
                <w:highlight w:val="black"/>
              </w:rPr>
              <w:t>''</w:t>
            </w:r>
            <w:r w:rsidR="004D2C4B" w:rsidRPr="004D2C4B">
              <w:rPr>
                <w:rFonts w:ascii="Arial Narrow" w:hAnsi="Arial Narrow" w:cs="Arial"/>
                <w:b/>
                <w:sz w:val="20"/>
                <w:szCs w:val="20"/>
              </w:rPr>
              <w:t>$</w:t>
            </w:r>
            <w:r>
              <w:rPr>
                <w:rFonts w:ascii="Arial Narrow" w:hAnsi="Arial Narrow" w:cs="Arial"/>
                <w:b/>
                <w:noProof/>
                <w:color w:val="000000"/>
                <w:sz w:val="20"/>
                <w:szCs w:val="20"/>
                <w:highlight w:val="black"/>
              </w:rPr>
              <w:t>'''''''''''''''</w:t>
            </w:r>
          </w:p>
        </w:tc>
      </w:tr>
    </w:tbl>
    <w:p w:rsidR="00972351" w:rsidRPr="004D2C4B" w:rsidRDefault="003C04BB" w:rsidP="00972351">
      <w:pPr>
        <w:pStyle w:val="ListParagraph"/>
        <w:ind w:left="709"/>
        <w:jc w:val="both"/>
        <w:rPr>
          <w:rFonts w:ascii="Arial Narrow" w:hAnsi="Arial Narrow"/>
          <w:sz w:val="20"/>
          <w:szCs w:val="20"/>
        </w:rPr>
      </w:pPr>
      <w:r w:rsidRPr="004D2C4B">
        <w:rPr>
          <w:rFonts w:ascii="Arial Narrow" w:hAnsi="Arial Narrow"/>
          <w:sz w:val="20"/>
          <w:szCs w:val="20"/>
        </w:rPr>
        <w:t xml:space="preserve">Source: </w:t>
      </w:r>
      <w:r w:rsidR="006676F9" w:rsidRPr="004D2C4B">
        <w:rPr>
          <w:rFonts w:ascii="Arial Narrow" w:hAnsi="Arial Narrow"/>
          <w:sz w:val="20"/>
          <w:szCs w:val="20"/>
        </w:rPr>
        <w:t xml:space="preserve">Table 8 of the minor </w:t>
      </w:r>
      <w:r w:rsidR="0008033A">
        <w:rPr>
          <w:rFonts w:ascii="Arial Narrow" w:hAnsi="Arial Narrow"/>
          <w:sz w:val="20"/>
          <w:szCs w:val="20"/>
        </w:rPr>
        <w:t>re-submission</w:t>
      </w:r>
      <w:r w:rsidR="006676F9" w:rsidRPr="004D2C4B">
        <w:rPr>
          <w:rFonts w:ascii="Arial Narrow" w:hAnsi="Arial Narrow"/>
          <w:sz w:val="20"/>
          <w:szCs w:val="20"/>
        </w:rPr>
        <w:t>, p30</w:t>
      </w:r>
    </w:p>
    <w:p w:rsidR="003C04BB" w:rsidRPr="00972351" w:rsidRDefault="003C04BB" w:rsidP="00972351">
      <w:pPr>
        <w:pStyle w:val="ListParagraph"/>
        <w:ind w:left="709"/>
        <w:jc w:val="both"/>
        <w:rPr>
          <w:rFonts w:ascii="Arial" w:hAnsi="Arial"/>
          <w:sz w:val="22"/>
          <w:szCs w:val="22"/>
        </w:rPr>
      </w:pPr>
    </w:p>
    <w:p w:rsidR="00972351" w:rsidRDefault="00972351" w:rsidP="00972351">
      <w:pPr>
        <w:pStyle w:val="ListParagraph"/>
        <w:ind w:left="709"/>
        <w:jc w:val="both"/>
        <w:rPr>
          <w:rFonts w:ascii="Arial" w:hAnsi="Arial"/>
          <w:sz w:val="22"/>
          <w:szCs w:val="22"/>
        </w:rPr>
      </w:pPr>
    </w:p>
    <w:p w:rsidR="00FF00BD" w:rsidRDefault="00AF70E7" w:rsidP="00AF70E7">
      <w:pPr>
        <w:pStyle w:val="ListParagraph"/>
        <w:numPr>
          <w:ilvl w:val="0"/>
          <w:numId w:val="25"/>
        </w:numPr>
        <w:jc w:val="both"/>
        <w:rPr>
          <w:rFonts w:ascii="Arial" w:hAnsi="Arial"/>
          <w:b/>
          <w:sz w:val="22"/>
          <w:szCs w:val="22"/>
        </w:rPr>
      </w:pPr>
      <w:r>
        <w:rPr>
          <w:rFonts w:ascii="Arial" w:hAnsi="Arial"/>
          <w:b/>
          <w:sz w:val="22"/>
          <w:szCs w:val="22"/>
        </w:rPr>
        <w:t>PBAC Outcome</w:t>
      </w:r>
    </w:p>
    <w:p w:rsidR="00AF70E7" w:rsidRPr="00AF70E7" w:rsidRDefault="00AF70E7" w:rsidP="00AF70E7">
      <w:pPr>
        <w:pStyle w:val="ListParagraph"/>
        <w:jc w:val="both"/>
        <w:rPr>
          <w:rFonts w:ascii="Arial" w:hAnsi="Arial"/>
          <w:sz w:val="22"/>
          <w:szCs w:val="22"/>
        </w:rPr>
      </w:pPr>
    </w:p>
    <w:p w:rsidR="005B0DB7" w:rsidRPr="005B0DB7" w:rsidRDefault="00A24EE6" w:rsidP="005B0DB7">
      <w:pPr>
        <w:pStyle w:val="ListParagraph"/>
        <w:numPr>
          <w:ilvl w:val="1"/>
          <w:numId w:val="25"/>
        </w:numPr>
        <w:jc w:val="both"/>
        <w:rPr>
          <w:rFonts w:ascii="Arial" w:hAnsi="Arial"/>
          <w:sz w:val="22"/>
          <w:szCs w:val="22"/>
        </w:rPr>
      </w:pPr>
      <w:r>
        <w:rPr>
          <w:rFonts w:ascii="Arial" w:hAnsi="Arial"/>
          <w:sz w:val="22"/>
          <w:szCs w:val="22"/>
        </w:rPr>
        <w:t xml:space="preserve">The PBAC recommended the listing of the fixed dose combination product </w:t>
      </w:r>
      <w:proofErr w:type="spellStart"/>
      <w:r>
        <w:rPr>
          <w:rFonts w:ascii="Arial" w:hAnsi="Arial"/>
          <w:sz w:val="22"/>
          <w:szCs w:val="22"/>
        </w:rPr>
        <w:t>follitropin</w:t>
      </w:r>
      <w:proofErr w:type="spellEnd"/>
      <w:r>
        <w:rPr>
          <w:rFonts w:ascii="Arial" w:hAnsi="Arial"/>
          <w:sz w:val="22"/>
          <w:szCs w:val="22"/>
        </w:rPr>
        <w:t xml:space="preserve"> alfa and </w:t>
      </w:r>
      <w:proofErr w:type="spellStart"/>
      <w:r>
        <w:rPr>
          <w:rFonts w:ascii="Arial" w:hAnsi="Arial"/>
          <w:sz w:val="22"/>
          <w:szCs w:val="22"/>
        </w:rPr>
        <w:t>lutropin</w:t>
      </w:r>
      <w:proofErr w:type="spellEnd"/>
      <w:r>
        <w:rPr>
          <w:rFonts w:ascii="Arial" w:hAnsi="Arial"/>
          <w:sz w:val="22"/>
          <w:szCs w:val="22"/>
        </w:rPr>
        <w:t xml:space="preserve"> alfa</w:t>
      </w:r>
      <w:r w:rsidR="005B0DB7">
        <w:rPr>
          <w:rFonts w:ascii="Arial" w:hAnsi="Arial"/>
          <w:sz w:val="22"/>
          <w:szCs w:val="22"/>
        </w:rPr>
        <w:t xml:space="preserve">, </w:t>
      </w:r>
      <w:r w:rsidR="005B0DB7" w:rsidRPr="005B0DB7">
        <w:rPr>
          <w:rFonts w:ascii="Arial" w:hAnsi="Arial"/>
          <w:sz w:val="22"/>
          <w:szCs w:val="22"/>
        </w:rPr>
        <w:t>on the basis that it should be available only under special arrangements under Section 100 (IVF/GIFT program) listing.</w:t>
      </w:r>
    </w:p>
    <w:p w:rsidR="005B0DB7" w:rsidRPr="005B0DB7" w:rsidRDefault="005B0DB7" w:rsidP="005B0DB7">
      <w:pPr>
        <w:pStyle w:val="ListParagraph"/>
        <w:jc w:val="both"/>
        <w:rPr>
          <w:rFonts w:ascii="Arial" w:hAnsi="Arial"/>
          <w:sz w:val="22"/>
          <w:szCs w:val="22"/>
        </w:rPr>
      </w:pPr>
      <w:r w:rsidRPr="005B0DB7">
        <w:rPr>
          <w:rFonts w:ascii="Arial" w:hAnsi="Arial"/>
          <w:sz w:val="22"/>
          <w:szCs w:val="22"/>
        </w:rPr>
        <w:t xml:space="preserve">  </w:t>
      </w:r>
    </w:p>
    <w:p w:rsidR="005B0DB7" w:rsidRPr="005B0DB7" w:rsidRDefault="005B0DB7" w:rsidP="005B0DB7">
      <w:pPr>
        <w:pStyle w:val="ListParagraph"/>
        <w:numPr>
          <w:ilvl w:val="1"/>
          <w:numId w:val="25"/>
        </w:numPr>
        <w:rPr>
          <w:rFonts w:ascii="Arial" w:hAnsi="Arial"/>
          <w:sz w:val="22"/>
          <w:szCs w:val="22"/>
        </w:rPr>
      </w:pPr>
      <w:r w:rsidRPr="00822437">
        <w:rPr>
          <w:rFonts w:ascii="Arial" w:hAnsi="Arial"/>
          <w:sz w:val="22"/>
          <w:szCs w:val="22"/>
        </w:rPr>
        <w:t xml:space="preserve">The PBAC </w:t>
      </w:r>
      <w:r w:rsidR="00084F40" w:rsidRPr="00822437">
        <w:rPr>
          <w:rFonts w:ascii="Arial" w:hAnsi="Arial"/>
          <w:sz w:val="22"/>
          <w:szCs w:val="22"/>
        </w:rPr>
        <w:t>recommended the listing on a cost minimisation basis to the individual components.</w:t>
      </w:r>
    </w:p>
    <w:p w:rsidR="005B0DB7" w:rsidRPr="005B0DB7" w:rsidRDefault="005B0DB7" w:rsidP="005B0DB7">
      <w:pPr>
        <w:pStyle w:val="ListParagraph"/>
        <w:jc w:val="both"/>
        <w:rPr>
          <w:rFonts w:ascii="Arial" w:hAnsi="Arial"/>
          <w:b/>
          <w:sz w:val="22"/>
          <w:szCs w:val="22"/>
        </w:rPr>
      </w:pPr>
    </w:p>
    <w:p w:rsidR="0046774E" w:rsidRPr="0046774E" w:rsidRDefault="005B0DB7" w:rsidP="007D630A">
      <w:pPr>
        <w:pStyle w:val="ListParagraph"/>
        <w:numPr>
          <w:ilvl w:val="1"/>
          <w:numId w:val="25"/>
        </w:numPr>
        <w:jc w:val="both"/>
        <w:rPr>
          <w:rFonts w:ascii="Arial" w:hAnsi="Arial"/>
          <w:b/>
          <w:sz w:val="22"/>
          <w:szCs w:val="22"/>
        </w:rPr>
      </w:pPr>
      <w:r w:rsidRPr="0046774E">
        <w:rPr>
          <w:rFonts w:ascii="Arial" w:hAnsi="Arial"/>
          <w:sz w:val="22"/>
          <w:szCs w:val="22"/>
        </w:rPr>
        <w:t xml:space="preserve">The PBAC </w:t>
      </w:r>
      <w:r w:rsidR="007D630A">
        <w:rPr>
          <w:rFonts w:ascii="Arial" w:hAnsi="Arial"/>
          <w:sz w:val="22"/>
          <w:szCs w:val="22"/>
        </w:rPr>
        <w:t>noted</w:t>
      </w:r>
      <w:r w:rsidRPr="0046774E">
        <w:rPr>
          <w:rFonts w:ascii="Arial" w:hAnsi="Arial"/>
          <w:sz w:val="22"/>
          <w:szCs w:val="22"/>
        </w:rPr>
        <w:t xml:space="preserve"> the proposed PBS restriction as amended by the Secretariat</w:t>
      </w:r>
      <w:r w:rsidR="007D630A">
        <w:rPr>
          <w:rFonts w:ascii="Arial" w:hAnsi="Arial"/>
          <w:sz w:val="22"/>
          <w:szCs w:val="22"/>
        </w:rPr>
        <w:t xml:space="preserve"> and considered an additional clinical criteria requiring patients to have been titrated to the FSH and LH doses in the combination product after at least one cycle of treatment would be the best way to ensure use of </w:t>
      </w:r>
      <w:proofErr w:type="spellStart"/>
      <w:r w:rsidR="007D630A">
        <w:rPr>
          <w:rFonts w:ascii="Arial" w:hAnsi="Arial"/>
          <w:sz w:val="22"/>
          <w:szCs w:val="22"/>
        </w:rPr>
        <w:t>Pergoveris</w:t>
      </w:r>
      <w:proofErr w:type="spellEnd"/>
      <w:r w:rsidR="007D630A">
        <w:rPr>
          <w:rFonts w:ascii="Arial" w:hAnsi="Arial"/>
          <w:sz w:val="22"/>
          <w:szCs w:val="22"/>
        </w:rPr>
        <w:t xml:space="preserve"> was restricted to patients </w:t>
      </w:r>
      <w:r w:rsidR="007D630A" w:rsidRPr="007D630A">
        <w:rPr>
          <w:rFonts w:ascii="Arial" w:hAnsi="Arial"/>
          <w:sz w:val="22"/>
          <w:szCs w:val="22"/>
        </w:rPr>
        <w:t>for whom treatmen</w:t>
      </w:r>
      <w:r w:rsidR="007D630A">
        <w:rPr>
          <w:rFonts w:ascii="Arial" w:hAnsi="Arial"/>
          <w:sz w:val="22"/>
          <w:szCs w:val="22"/>
        </w:rPr>
        <w:t>t with the combination product wa</w:t>
      </w:r>
      <w:r w:rsidR="007D630A" w:rsidRPr="007D630A">
        <w:rPr>
          <w:rFonts w:ascii="Arial" w:hAnsi="Arial"/>
          <w:sz w:val="22"/>
          <w:szCs w:val="22"/>
        </w:rPr>
        <w:t>s considered appropriate.</w:t>
      </w:r>
    </w:p>
    <w:p w:rsidR="0046774E" w:rsidRPr="0046774E" w:rsidRDefault="0046774E" w:rsidP="0046774E">
      <w:pPr>
        <w:pStyle w:val="ListParagraph"/>
        <w:rPr>
          <w:rFonts w:ascii="Arial" w:hAnsi="Arial"/>
          <w:sz w:val="22"/>
          <w:szCs w:val="22"/>
        </w:rPr>
      </w:pPr>
    </w:p>
    <w:p w:rsidR="0046774E" w:rsidRPr="0046774E" w:rsidRDefault="0046774E" w:rsidP="0046774E">
      <w:pPr>
        <w:pStyle w:val="ListParagraph"/>
        <w:numPr>
          <w:ilvl w:val="1"/>
          <w:numId w:val="25"/>
        </w:numPr>
        <w:jc w:val="both"/>
        <w:rPr>
          <w:rFonts w:ascii="Arial" w:hAnsi="Arial"/>
          <w:b/>
          <w:sz w:val="22"/>
          <w:szCs w:val="22"/>
        </w:rPr>
      </w:pPr>
      <w:r>
        <w:rPr>
          <w:rFonts w:ascii="Arial" w:hAnsi="Arial"/>
          <w:sz w:val="22"/>
          <w:szCs w:val="22"/>
        </w:rPr>
        <w:t xml:space="preserve">The PBAC accepted the </w:t>
      </w:r>
      <w:r w:rsidRPr="0046774E">
        <w:rPr>
          <w:rFonts w:ascii="Arial" w:hAnsi="Arial"/>
          <w:sz w:val="22"/>
          <w:szCs w:val="22"/>
        </w:rPr>
        <w:t xml:space="preserve">two components: </w:t>
      </w:r>
      <w:proofErr w:type="spellStart"/>
      <w:r w:rsidRPr="0046774E">
        <w:rPr>
          <w:rFonts w:ascii="Arial" w:hAnsi="Arial"/>
          <w:sz w:val="22"/>
          <w:szCs w:val="22"/>
        </w:rPr>
        <w:t>follitropin</w:t>
      </w:r>
      <w:proofErr w:type="spellEnd"/>
      <w:r w:rsidRPr="0046774E">
        <w:rPr>
          <w:rFonts w:ascii="Arial" w:hAnsi="Arial"/>
          <w:sz w:val="22"/>
          <w:szCs w:val="22"/>
        </w:rPr>
        <w:t xml:space="preserve"> alfa (</w:t>
      </w:r>
      <w:proofErr w:type="spellStart"/>
      <w:r w:rsidRPr="0046774E">
        <w:rPr>
          <w:rFonts w:ascii="Arial" w:hAnsi="Arial"/>
          <w:sz w:val="22"/>
          <w:szCs w:val="22"/>
        </w:rPr>
        <w:t>Gonal</w:t>
      </w:r>
      <w:proofErr w:type="spellEnd"/>
      <w:r w:rsidRPr="0046774E">
        <w:rPr>
          <w:rFonts w:ascii="Arial" w:hAnsi="Arial"/>
          <w:sz w:val="22"/>
          <w:szCs w:val="22"/>
        </w:rPr>
        <w:t xml:space="preserve">-f) and </w:t>
      </w:r>
      <w:proofErr w:type="spellStart"/>
      <w:r w:rsidRPr="0046774E">
        <w:rPr>
          <w:rFonts w:ascii="Arial" w:hAnsi="Arial"/>
          <w:sz w:val="22"/>
          <w:szCs w:val="22"/>
        </w:rPr>
        <w:t>lutropin</w:t>
      </w:r>
      <w:proofErr w:type="spellEnd"/>
      <w:r w:rsidRPr="0046774E">
        <w:rPr>
          <w:rFonts w:ascii="Arial" w:hAnsi="Arial"/>
          <w:sz w:val="22"/>
          <w:szCs w:val="22"/>
        </w:rPr>
        <w:t xml:space="preserve"> alfa (</w:t>
      </w:r>
      <w:proofErr w:type="spellStart"/>
      <w:r w:rsidRPr="0046774E">
        <w:rPr>
          <w:rFonts w:ascii="Arial" w:hAnsi="Arial"/>
          <w:sz w:val="22"/>
          <w:szCs w:val="22"/>
        </w:rPr>
        <w:t>Luveris</w:t>
      </w:r>
      <w:proofErr w:type="spellEnd"/>
      <w:r w:rsidRPr="0046774E">
        <w:rPr>
          <w:rFonts w:ascii="Arial" w:hAnsi="Arial"/>
          <w:sz w:val="22"/>
          <w:szCs w:val="22"/>
        </w:rPr>
        <w:t xml:space="preserve">) as </w:t>
      </w:r>
      <w:r>
        <w:rPr>
          <w:rFonts w:ascii="Arial" w:hAnsi="Arial"/>
          <w:sz w:val="22"/>
          <w:szCs w:val="22"/>
        </w:rPr>
        <w:t xml:space="preserve">appropriate </w:t>
      </w:r>
      <w:r w:rsidRPr="0046774E">
        <w:rPr>
          <w:rFonts w:ascii="Arial" w:hAnsi="Arial"/>
          <w:sz w:val="22"/>
          <w:szCs w:val="22"/>
        </w:rPr>
        <w:t>comparators</w:t>
      </w:r>
      <w:r>
        <w:rPr>
          <w:rFonts w:ascii="Arial" w:hAnsi="Arial"/>
          <w:sz w:val="22"/>
          <w:szCs w:val="22"/>
        </w:rPr>
        <w:t>.</w:t>
      </w:r>
      <w:r w:rsidR="00B90138">
        <w:rPr>
          <w:rFonts w:ascii="Arial" w:hAnsi="Arial"/>
          <w:sz w:val="22"/>
          <w:szCs w:val="22"/>
        </w:rPr>
        <w:t xml:space="preserve"> </w:t>
      </w:r>
    </w:p>
    <w:p w:rsidR="0046774E" w:rsidRPr="0046774E" w:rsidRDefault="0046774E" w:rsidP="0046774E">
      <w:pPr>
        <w:pStyle w:val="ListParagraph"/>
        <w:rPr>
          <w:rFonts w:ascii="Arial" w:hAnsi="Arial"/>
          <w:sz w:val="22"/>
          <w:szCs w:val="22"/>
        </w:rPr>
      </w:pPr>
    </w:p>
    <w:p w:rsidR="00CE10C4" w:rsidRPr="00E2796B" w:rsidRDefault="00E2796B" w:rsidP="00E2796B">
      <w:pPr>
        <w:pStyle w:val="ListParagraph"/>
        <w:numPr>
          <w:ilvl w:val="1"/>
          <w:numId w:val="25"/>
        </w:numPr>
        <w:jc w:val="both"/>
        <w:rPr>
          <w:rFonts w:ascii="Arial" w:hAnsi="Arial"/>
          <w:b/>
          <w:sz w:val="22"/>
          <w:szCs w:val="22"/>
        </w:rPr>
      </w:pPr>
      <w:r>
        <w:rPr>
          <w:rFonts w:ascii="Arial" w:hAnsi="Arial"/>
          <w:sz w:val="22"/>
          <w:szCs w:val="22"/>
        </w:rPr>
        <w:lastRenderedPageBreak/>
        <w:t xml:space="preserve">As for the major submission for </w:t>
      </w:r>
      <w:proofErr w:type="spellStart"/>
      <w:r>
        <w:rPr>
          <w:rFonts w:ascii="Arial" w:hAnsi="Arial"/>
          <w:sz w:val="22"/>
          <w:szCs w:val="22"/>
        </w:rPr>
        <w:t>Luveris</w:t>
      </w:r>
      <w:proofErr w:type="spellEnd"/>
      <w:r>
        <w:rPr>
          <w:rFonts w:ascii="Arial" w:hAnsi="Arial"/>
          <w:sz w:val="22"/>
          <w:szCs w:val="22"/>
        </w:rPr>
        <w:t xml:space="preserve"> (agenda item 5.15 at this same meeting), t</w:t>
      </w:r>
      <w:r w:rsidRPr="00E2796B">
        <w:rPr>
          <w:rFonts w:ascii="Arial" w:hAnsi="Arial"/>
          <w:sz w:val="22"/>
          <w:szCs w:val="22"/>
        </w:rPr>
        <w:t xml:space="preserve">he PBAC accepted, for the poor responder population in the </w:t>
      </w:r>
      <w:proofErr w:type="spellStart"/>
      <w:r w:rsidRPr="00E2796B">
        <w:rPr>
          <w:rFonts w:ascii="Arial" w:hAnsi="Arial"/>
          <w:sz w:val="22"/>
          <w:szCs w:val="22"/>
        </w:rPr>
        <w:t>Lehert</w:t>
      </w:r>
      <w:proofErr w:type="spellEnd"/>
      <w:r w:rsidRPr="00E2796B">
        <w:rPr>
          <w:rFonts w:ascii="Arial" w:hAnsi="Arial"/>
          <w:sz w:val="22"/>
          <w:szCs w:val="22"/>
        </w:rPr>
        <w:t xml:space="preserve"> 2014 meta-analysis, that there were statistically significantly greater numbers of clinical pregnancies in the </w:t>
      </w:r>
      <w:proofErr w:type="spellStart"/>
      <w:r w:rsidRPr="00E2796B">
        <w:rPr>
          <w:rFonts w:ascii="Arial" w:hAnsi="Arial"/>
          <w:sz w:val="22"/>
          <w:szCs w:val="22"/>
        </w:rPr>
        <w:t>lutropin</w:t>
      </w:r>
      <w:proofErr w:type="spellEnd"/>
      <w:r w:rsidRPr="00E2796B">
        <w:rPr>
          <w:rFonts w:ascii="Arial" w:hAnsi="Arial"/>
          <w:sz w:val="22"/>
          <w:szCs w:val="22"/>
        </w:rPr>
        <w:t xml:space="preserve"> alfa + </w:t>
      </w:r>
      <w:proofErr w:type="spellStart"/>
      <w:r w:rsidRPr="00E2796B">
        <w:rPr>
          <w:rFonts w:ascii="Arial" w:hAnsi="Arial"/>
          <w:sz w:val="22"/>
          <w:szCs w:val="22"/>
        </w:rPr>
        <w:t>rFSH</w:t>
      </w:r>
      <w:proofErr w:type="spellEnd"/>
      <w:r w:rsidRPr="00E2796B">
        <w:rPr>
          <w:rFonts w:ascii="Arial" w:hAnsi="Arial"/>
          <w:sz w:val="22"/>
          <w:szCs w:val="22"/>
        </w:rPr>
        <w:t xml:space="preserve"> treatment arm compared to the </w:t>
      </w:r>
      <w:proofErr w:type="spellStart"/>
      <w:r w:rsidRPr="00E2796B">
        <w:rPr>
          <w:rFonts w:ascii="Arial" w:hAnsi="Arial"/>
          <w:sz w:val="22"/>
          <w:szCs w:val="22"/>
        </w:rPr>
        <w:t>rFSH</w:t>
      </w:r>
      <w:proofErr w:type="spellEnd"/>
      <w:r w:rsidRPr="00E2796B">
        <w:rPr>
          <w:rFonts w:ascii="Arial" w:hAnsi="Arial"/>
          <w:sz w:val="22"/>
          <w:szCs w:val="22"/>
        </w:rPr>
        <w:t xml:space="preserve"> only treatment arm. </w:t>
      </w:r>
      <w:r w:rsidR="00A24EE6" w:rsidRPr="0046774E">
        <w:rPr>
          <w:rFonts w:ascii="Arial" w:hAnsi="Arial"/>
          <w:sz w:val="22"/>
          <w:szCs w:val="22"/>
        </w:rPr>
        <w:t xml:space="preserve"> </w:t>
      </w:r>
    </w:p>
    <w:p w:rsidR="00E2796B" w:rsidRPr="00E2796B" w:rsidRDefault="00E2796B" w:rsidP="00E2796B">
      <w:pPr>
        <w:pStyle w:val="ListParagraph"/>
        <w:rPr>
          <w:rFonts w:ascii="Arial" w:hAnsi="Arial"/>
          <w:b/>
          <w:sz w:val="22"/>
          <w:szCs w:val="22"/>
        </w:rPr>
      </w:pPr>
    </w:p>
    <w:p w:rsidR="00E2796B" w:rsidRDefault="00E2796B" w:rsidP="00E2796B">
      <w:pPr>
        <w:pStyle w:val="ListParagraph"/>
        <w:numPr>
          <w:ilvl w:val="1"/>
          <w:numId w:val="25"/>
        </w:numPr>
        <w:rPr>
          <w:rFonts w:ascii="Arial" w:hAnsi="Arial"/>
          <w:sz w:val="22"/>
          <w:szCs w:val="22"/>
        </w:rPr>
      </w:pPr>
      <w:r>
        <w:rPr>
          <w:rFonts w:ascii="Arial" w:hAnsi="Arial"/>
          <w:sz w:val="22"/>
          <w:szCs w:val="22"/>
        </w:rPr>
        <w:t xml:space="preserve">As for the major submission for </w:t>
      </w:r>
      <w:proofErr w:type="spellStart"/>
      <w:r>
        <w:rPr>
          <w:rFonts w:ascii="Arial" w:hAnsi="Arial"/>
          <w:sz w:val="22"/>
          <w:szCs w:val="22"/>
        </w:rPr>
        <w:t>Luveris</w:t>
      </w:r>
      <w:proofErr w:type="spellEnd"/>
      <w:r>
        <w:rPr>
          <w:rFonts w:ascii="Arial" w:hAnsi="Arial"/>
          <w:sz w:val="22"/>
          <w:szCs w:val="22"/>
        </w:rPr>
        <w:t xml:space="preserve"> (agenda item 5.15 at this same meeting), t</w:t>
      </w:r>
      <w:r w:rsidRPr="00E2796B">
        <w:rPr>
          <w:rFonts w:ascii="Arial" w:hAnsi="Arial"/>
          <w:sz w:val="22"/>
          <w:szCs w:val="22"/>
        </w:rPr>
        <w:t xml:space="preserve">he PBAC did not accept the superior safety claim but recognised that OHSS is not a concern with this treatment.  </w:t>
      </w:r>
    </w:p>
    <w:p w:rsidR="00470B21" w:rsidRPr="00470B21" w:rsidRDefault="00470B21" w:rsidP="00470B21">
      <w:pPr>
        <w:pStyle w:val="ListParagraph"/>
        <w:rPr>
          <w:rFonts w:ascii="Arial" w:hAnsi="Arial"/>
          <w:sz w:val="22"/>
          <w:szCs w:val="22"/>
        </w:rPr>
      </w:pPr>
    </w:p>
    <w:p w:rsidR="00097A22" w:rsidRPr="00097A22" w:rsidRDefault="00470B21" w:rsidP="00097A22">
      <w:pPr>
        <w:pStyle w:val="ListParagraph"/>
        <w:numPr>
          <w:ilvl w:val="1"/>
          <w:numId w:val="25"/>
        </w:numPr>
        <w:rPr>
          <w:rFonts w:ascii="Arial" w:hAnsi="Arial" w:cs="Arial"/>
          <w:sz w:val="22"/>
          <w:szCs w:val="22"/>
        </w:rPr>
      </w:pPr>
      <w:r>
        <w:rPr>
          <w:rFonts w:ascii="Arial" w:hAnsi="Arial" w:cs="Arial"/>
          <w:sz w:val="22"/>
          <w:szCs w:val="22"/>
        </w:rPr>
        <w:t xml:space="preserve">The PBAC </w:t>
      </w:r>
      <w:r w:rsidR="00097A22" w:rsidRPr="00097A22">
        <w:rPr>
          <w:rFonts w:ascii="Arial" w:hAnsi="Arial" w:cs="Arial"/>
          <w:sz w:val="22"/>
          <w:szCs w:val="22"/>
        </w:rPr>
        <w:t>considered the proposed estimates of use were acceptable.</w:t>
      </w:r>
    </w:p>
    <w:p w:rsidR="00097A22" w:rsidRPr="00097A22" w:rsidRDefault="00097A22" w:rsidP="00097A22">
      <w:pPr>
        <w:pStyle w:val="ListParagraph"/>
        <w:rPr>
          <w:rFonts w:ascii="Arial" w:hAnsi="Arial" w:cs="Arial"/>
          <w:sz w:val="22"/>
          <w:szCs w:val="22"/>
        </w:rPr>
      </w:pPr>
    </w:p>
    <w:p w:rsidR="00097A22" w:rsidRPr="00097A22" w:rsidRDefault="00097A22" w:rsidP="00097A22">
      <w:pPr>
        <w:pStyle w:val="ListParagraph"/>
        <w:numPr>
          <w:ilvl w:val="1"/>
          <w:numId w:val="25"/>
        </w:numPr>
        <w:jc w:val="both"/>
        <w:rPr>
          <w:rFonts w:ascii="Arial" w:hAnsi="Arial" w:cs="Arial"/>
          <w:sz w:val="22"/>
          <w:szCs w:val="22"/>
        </w:rPr>
      </w:pPr>
      <w:r w:rsidRPr="00097A22">
        <w:rPr>
          <w:rFonts w:ascii="Arial" w:hAnsi="Arial" w:cs="Arial"/>
          <w:sz w:val="22"/>
          <w:szCs w:val="22"/>
        </w:rPr>
        <w:t xml:space="preserve">The PBAC advised that </w:t>
      </w:r>
      <w:proofErr w:type="spellStart"/>
      <w:r w:rsidR="0078557B">
        <w:rPr>
          <w:rFonts w:ascii="Arial" w:hAnsi="Arial" w:cs="Arial"/>
          <w:sz w:val="22"/>
          <w:szCs w:val="22"/>
        </w:rPr>
        <w:t>Pergoveris</w:t>
      </w:r>
      <w:proofErr w:type="spellEnd"/>
      <w:r w:rsidRPr="00097A22">
        <w:rPr>
          <w:rFonts w:ascii="Arial" w:hAnsi="Arial" w:cs="Arial"/>
          <w:sz w:val="22"/>
          <w:szCs w:val="22"/>
        </w:rPr>
        <w:t xml:space="preserve"> is not suitable for prescribing by nurse practitioners.  </w:t>
      </w:r>
    </w:p>
    <w:p w:rsidR="00097A22" w:rsidRPr="00097A22" w:rsidRDefault="00097A22" w:rsidP="00097A22">
      <w:pPr>
        <w:ind w:left="720"/>
        <w:contextualSpacing/>
        <w:rPr>
          <w:rFonts w:ascii="Arial" w:hAnsi="Arial" w:cs="Arial"/>
          <w:sz w:val="22"/>
          <w:szCs w:val="22"/>
        </w:rPr>
      </w:pPr>
    </w:p>
    <w:p w:rsidR="00097A22" w:rsidRPr="00097A22" w:rsidRDefault="00097A22" w:rsidP="00097A22">
      <w:pPr>
        <w:pStyle w:val="ListParagraph"/>
        <w:numPr>
          <w:ilvl w:val="1"/>
          <w:numId w:val="25"/>
        </w:numPr>
        <w:jc w:val="both"/>
        <w:rPr>
          <w:rFonts w:ascii="Arial" w:hAnsi="Arial" w:cs="Arial"/>
          <w:sz w:val="22"/>
          <w:szCs w:val="22"/>
        </w:rPr>
      </w:pPr>
      <w:r w:rsidRPr="00097A22">
        <w:rPr>
          <w:rFonts w:ascii="Arial" w:hAnsi="Arial" w:cs="Arial"/>
          <w:sz w:val="22"/>
          <w:szCs w:val="22"/>
        </w:rPr>
        <w:t>The PBAC recommended that the Safety Net 20 Day Rule should not apply as this is a section 100 item.</w:t>
      </w:r>
    </w:p>
    <w:p w:rsidR="00097A22" w:rsidRPr="00097A22" w:rsidRDefault="00097A22" w:rsidP="00097A22">
      <w:pPr>
        <w:ind w:left="720"/>
        <w:contextualSpacing/>
        <w:rPr>
          <w:rFonts w:ascii="Arial" w:hAnsi="Arial" w:cs="Arial"/>
          <w:sz w:val="22"/>
          <w:szCs w:val="22"/>
        </w:rPr>
      </w:pPr>
    </w:p>
    <w:p w:rsidR="00097A22" w:rsidRPr="00097A22" w:rsidRDefault="00097A22" w:rsidP="00097A22">
      <w:pPr>
        <w:rPr>
          <w:rFonts w:ascii="Arial" w:hAnsi="Arial" w:cs="Arial"/>
          <w:b/>
          <w:sz w:val="22"/>
          <w:szCs w:val="22"/>
        </w:rPr>
      </w:pPr>
      <w:r w:rsidRPr="00097A22">
        <w:rPr>
          <w:rFonts w:ascii="Arial" w:hAnsi="Arial" w:cs="Arial"/>
          <w:b/>
          <w:sz w:val="22"/>
          <w:szCs w:val="22"/>
        </w:rPr>
        <w:t>Outcome:</w:t>
      </w:r>
    </w:p>
    <w:p w:rsidR="00097A22" w:rsidRPr="00097A22" w:rsidRDefault="00097A22" w:rsidP="00097A22">
      <w:pPr>
        <w:rPr>
          <w:rFonts w:ascii="Arial" w:hAnsi="Arial" w:cs="Arial"/>
          <w:sz w:val="22"/>
          <w:szCs w:val="22"/>
        </w:rPr>
      </w:pPr>
      <w:r w:rsidRPr="00097A22">
        <w:rPr>
          <w:rFonts w:ascii="Arial" w:hAnsi="Arial" w:cs="Arial"/>
          <w:sz w:val="22"/>
          <w:szCs w:val="22"/>
        </w:rPr>
        <w:t xml:space="preserve">Recommended </w:t>
      </w:r>
    </w:p>
    <w:p w:rsidR="00097A22" w:rsidRDefault="00097A22" w:rsidP="00097A22">
      <w:pPr>
        <w:rPr>
          <w:szCs w:val="22"/>
          <w:highlight w:val="yellow"/>
        </w:rPr>
      </w:pPr>
    </w:p>
    <w:p w:rsidR="00775BD9" w:rsidRDefault="00775BD9" w:rsidP="00882085">
      <w:pPr>
        <w:jc w:val="both"/>
        <w:rPr>
          <w:rFonts w:ascii="Arial" w:hAnsi="Arial"/>
          <w:sz w:val="22"/>
          <w:szCs w:val="22"/>
        </w:rPr>
      </w:pPr>
    </w:p>
    <w:p w:rsidR="00470B21" w:rsidRPr="00102638" w:rsidRDefault="00470B21" w:rsidP="00DB312E">
      <w:pPr>
        <w:pStyle w:val="PBACHeading1"/>
        <w:rPr>
          <w:i/>
        </w:rPr>
      </w:pPr>
      <w:r w:rsidRPr="00102638">
        <w:t>Recommended listing</w:t>
      </w:r>
    </w:p>
    <w:p w:rsidR="00470B21" w:rsidRPr="00102638" w:rsidRDefault="00470B21" w:rsidP="00470B21">
      <w:pPr>
        <w:rPr>
          <w:szCs w:val="22"/>
        </w:rPr>
      </w:pPr>
    </w:p>
    <w:p w:rsidR="00470B21" w:rsidRPr="00775BD9" w:rsidRDefault="00470B21" w:rsidP="00470B21">
      <w:pPr>
        <w:pStyle w:val="ListParagraph"/>
        <w:numPr>
          <w:ilvl w:val="1"/>
          <w:numId w:val="25"/>
        </w:numPr>
        <w:jc w:val="both"/>
        <w:rPr>
          <w:rFonts w:ascii="Arial" w:hAnsi="Arial" w:cs="Arial"/>
          <w:szCs w:val="22"/>
        </w:rPr>
      </w:pPr>
      <w:r w:rsidRPr="00775BD9">
        <w:rPr>
          <w:rFonts w:ascii="Arial" w:hAnsi="Arial" w:cs="Arial"/>
          <w:szCs w:val="22"/>
        </w:rPr>
        <w:t>Add new item:</w:t>
      </w:r>
    </w:p>
    <w:p w:rsidR="00470B21" w:rsidRDefault="00470B21" w:rsidP="00882085">
      <w:pPr>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1843"/>
        <w:gridCol w:w="7371"/>
      </w:tblGrid>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 xml:space="preserve">Category / </w:t>
            </w:r>
          </w:p>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rPr>
                <w:rFonts w:ascii="Arial Narrow" w:hAnsi="Arial Narrow" w:cs="Arial"/>
                <w:sz w:val="20"/>
                <w:szCs w:val="20"/>
              </w:rPr>
            </w:pPr>
            <w:r w:rsidRPr="00260CE3">
              <w:rPr>
                <w:rFonts w:ascii="Arial Narrow" w:hAnsi="Arial Narrow" w:cs="Arial"/>
                <w:sz w:val="20"/>
                <w:szCs w:val="20"/>
              </w:rPr>
              <w:t>Section 100 – IVF</w:t>
            </w:r>
            <w:r>
              <w:rPr>
                <w:rFonts w:ascii="Arial Narrow" w:hAnsi="Arial Narrow" w:cs="Arial"/>
                <w:sz w:val="20"/>
                <w:szCs w:val="20"/>
              </w:rPr>
              <w:t>/GIFT Treatment</w:t>
            </w:r>
          </w:p>
          <w:p w:rsidR="00470B21" w:rsidRPr="00260CE3" w:rsidRDefault="00470B21" w:rsidP="0078557B">
            <w:pPr>
              <w:rPr>
                <w:rFonts w:ascii="Arial Narrow" w:hAnsi="Arial Narrow" w:cs="Arial"/>
                <w:sz w:val="20"/>
                <w:szCs w:val="20"/>
              </w:rPr>
            </w:pP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70B21" w:rsidRPr="00260CE3" w:rsidRDefault="00470B21" w:rsidP="0078557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rPr>
                <w:rFonts w:ascii="Arial Narrow" w:hAnsi="Arial Narrow" w:cs="Arial"/>
                <w:sz w:val="20"/>
                <w:szCs w:val="20"/>
              </w:rPr>
            </w:pPr>
            <w:r>
              <w:rPr>
                <w:rFonts w:ascii="Arial Narrow" w:hAnsi="Arial Narrow" w:cs="Arial"/>
                <w:sz w:val="20"/>
                <w:szCs w:val="20"/>
              </w:rPr>
              <w:t>Stimulation of follicular development</w:t>
            </w: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rPr>
                <w:rFonts w:ascii="Arial Narrow" w:hAnsi="Arial Narrow" w:cs="Arial"/>
                <w:sz w:val="20"/>
                <w:szCs w:val="20"/>
              </w:rPr>
            </w:pPr>
            <w:r>
              <w:rPr>
                <w:rFonts w:ascii="Arial Narrow" w:hAnsi="Arial Narrow" w:cs="Arial"/>
                <w:sz w:val="20"/>
                <w:szCs w:val="20"/>
              </w:rPr>
              <w:t>Stimulation of follicular development</w:t>
            </w: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70B21" w:rsidRPr="00260CE3" w:rsidRDefault="00470B21" w:rsidP="0078557B">
            <w:pPr>
              <w:rPr>
                <w:rFonts w:ascii="Arial Narrow" w:hAnsi="Arial Narrow"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rsidR="00470B21" w:rsidRPr="00110E64" w:rsidRDefault="00470B21" w:rsidP="0078557B">
            <w:pPr>
              <w:rPr>
                <w:rFonts w:ascii="Arial Narrow" w:hAnsi="Arial Narrow" w:cs="Arial"/>
                <w:sz w:val="20"/>
                <w:szCs w:val="20"/>
              </w:rPr>
            </w:pPr>
            <w:r w:rsidRPr="00110E64">
              <w:rPr>
                <w:rFonts w:ascii="Arial Narrow" w:hAnsi="Arial Narrow" w:cs="Arial"/>
                <w:sz w:val="20"/>
                <w:szCs w:val="20"/>
              </w:rPr>
              <w:fldChar w:fldCharType="begin">
                <w:ffData>
                  <w:name w:val="Check1"/>
                  <w:enabled/>
                  <w:calcOnExit w:val="0"/>
                  <w:checkBox>
                    <w:sizeAuto/>
                    <w:default w:val="1"/>
                  </w:checkBox>
                </w:ffData>
              </w:fldChar>
            </w:r>
            <w:r w:rsidRPr="00110E64">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10E64">
              <w:rPr>
                <w:rFonts w:ascii="Arial Narrow" w:hAnsi="Arial Narrow" w:cs="Arial"/>
                <w:sz w:val="20"/>
                <w:szCs w:val="20"/>
              </w:rPr>
              <w:fldChar w:fldCharType="end"/>
            </w:r>
            <w:r w:rsidRPr="00110E64">
              <w:rPr>
                <w:rFonts w:ascii="Arial Narrow" w:hAnsi="Arial Narrow" w:cs="Arial"/>
                <w:sz w:val="20"/>
                <w:szCs w:val="20"/>
              </w:rPr>
              <w:t>Restricted benefit (criteria for availability)</w:t>
            </w:r>
          </w:p>
          <w:p w:rsidR="00470B21" w:rsidRPr="00106BCF" w:rsidRDefault="00470B21" w:rsidP="007855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70B21" w:rsidRPr="00106BCF" w:rsidRDefault="00470B21" w:rsidP="0078557B">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70B21" w:rsidRPr="00106BCF" w:rsidRDefault="00470B21" w:rsidP="007855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70B21" w:rsidRPr="00106BCF" w:rsidRDefault="00470B21" w:rsidP="0078557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70B21" w:rsidRPr="00260CE3" w:rsidRDefault="00470B21" w:rsidP="0078557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07C30">
              <w:rPr>
                <w:rFonts w:ascii="Arial Narrow" w:hAnsi="Arial Narrow" w:cs="Arial"/>
                <w:sz w:val="20"/>
                <w:szCs w:val="20"/>
              </w:rPr>
            </w:r>
            <w:r w:rsidR="00D07C3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Clinical criteria:</w:t>
            </w:r>
          </w:p>
          <w:p w:rsidR="00470B21" w:rsidRPr="00260CE3" w:rsidRDefault="00470B21" w:rsidP="0078557B">
            <w:pPr>
              <w:jc w:val="both"/>
              <w:rPr>
                <w:rFonts w:ascii="Arial Narrow" w:hAnsi="Arial Narrow" w:cs="Arial"/>
                <w:i/>
                <w:sz w:val="20"/>
                <w:szCs w:val="20"/>
              </w:rPr>
            </w:pPr>
          </w:p>
          <w:p w:rsidR="00470B21" w:rsidRPr="00260CE3" w:rsidRDefault="00470B21" w:rsidP="0078557B">
            <w:pPr>
              <w:jc w:val="both"/>
              <w:rPr>
                <w:rFonts w:ascii="Arial Narrow" w:hAnsi="Arial Narrow"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rPr>
                <w:rFonts w:ascii="Arial Narrow" w:hAnsi="Arial Narrow" w:cs="Arial"/>
                <w:sz w:val="20"/>
                <w:szCs w:val="20"/>
              </w:rPr>
            </w:pPr>
          </w:p>
          <w:p w:rsidR="00470B21" w:rsidRPr="00110E64" w:rsidRDefault="00470B21" w:rsidP="0078557B">
            <w:pPr>
              <w:rPr>
                <w:rFonts w:ascii="Arial Narrow" w:hAnsi="Arial Narrow" w:cs="Arial"/>
                <w:i/>
                <w:sz w:val="20"/>
                <w:szCs w:val="20"/>
              </w:rPr>
            </w:pPr>
            <w:r w:rsidRPr="00110E64">
              <w:rPr>
                <w:rFonts w:ascii="Arial Narrow" w:hAnsi="Arial Narrow" w:cs="Arial"/>
                <w:i/>
                <w:sz w:val="20"/>
                <w:szCs w:val="20"/>
              </w:rPr>
              <w:t xml:space="preserve">Patient must have severe LH deficiency </w:t>
            </w:r>
          </w:p>
          <w:p w:rsidR="00470B21" w:rsidRPr="00110E64" w:rsidRDefault="00470B21" w:rsidP="0078557B">
            <w:pPr>
              <w:rPr>
                <w:rFonts w:ascii="Arial Narrow" w:hAnsi="Arial Narrow" w:cs="Arial"/>
                <w:i/>
                <w:sz w:val="20"/>
                <w:szCs w:val="20"/>
              </w:rPr>
            </w:pPr>
          </w:p>
          <w:p w:rsidR="00470B21" w:rsidRDefault="00470B21" w:rsidP="0078557B">
            <w:pPr>
              <w:rPr>
                <w:rFonts w:ascii="Arial Narrow" w:hAnsi="Arial Narrow" w:cs="Arial"/>
                <w:i/>
                <w:sz w:val="20"/>
                <w:szCs w:val="20"/>
              </w:rPr>
            </w:pPr>
            <w:r w:rsidRPr="00110E64">
              <w:rPr>
                <w:rFonts w:ascii="Arial Narrow" w:hAnsi="Arial Narrow" w:cs="Arial"/>
                <w:i/>
                <w:sz w:val="20"/>
                <w:szCs w:val="20"/>
              </w:rPr>
              <w:t>AND</w:t>
            </w:r>
          </w:p>
          <w:p w:rsidR="007D630A" w:rsidRDefault="007D630A" w:rsidP="0078557B">
            <w:pPr>
              <w:rPr>
                <w:rFonts w:ascii="Arial Narrow" w:hAnsi="Arial Narrow" w:cs="Arial"/>
                <w:i/>
                <w:sz w:val="20"/>
                <w:szCs w:val="20"/>
              </w:rPr>
            </w:pPr>
          </w:p>
          <w:p w:rsidR="007D630A" w:rsidRDefault="007D630A" w:rsidP="0078557B">
            <w:pPr>
              <w:rPr>
                <w:rFonts w:ascii="Arial Narrow" w:hAnsi="Arial Narrow" w:cs="Arial"/>
                <w:i/>
                <w:sz w:val="20"/>
                <w:szCs w:val="20"/>
              </w:rPr>
            </w:pPr>
            <w:r>
              <w:rPr>
                <w:rFonts w:ascii="Arial Narrow" w:hAnsi="Arial Narrow" w:cs="Arial"/>
                <w:i/>
                <w:sz w:val="20"/>
                <w:szCs w:val="20"/>
              </w:rPr>
              <w:t xml:space="preserve">Patient must be considered appropriate for </w:t>
            </w:r>
            <w:r w:rsidRPr="007D630A">
              <w:rPr>
                <w:rFonts w:ascii="Arial Narrow" w:hAnsi="Arial Narrow" w:cs="Arial"/>
                <w:i/>
                <w:sz w:val="20"/>
                <w:szCs w:val="20"/>
              </w:rPr>
              <w:t>treatmen</w:t>
            </w:r>
            <w:r>
              <w:rPr>
                <w:rFonts w:ascii="Arial Narrow" w:hAnsi="Arial Narrow" w:cs="Arial"/>
                <w:i/>
                <w:sz w:val="20"/>
                <w:szCs w:val="20"/>
              </w:rPr>
              <w:t>t with the combination product after titration of FSH and LH after at least one cycle of treatment.</w:t>
            </w:r>
          </w:p>
          <w:p w:rsidR="007D630A" w:rsidRDefault="007D630A" w:rsidP="0078557B">
            <w:pPr>
              <w:rPr>
                <w:rFonts w:ascii="Arial Narrow" w:hAnsi="Arial Narrow" w:cs="Arial"/>
                <w:i/>
                <w:sz w:val="20"/>
                <w:szCs w:val="20"/>
              </w:rPr>
            </w:pPr>
          </w:p>
          <w:p w:rsidR="007D630A" w:rsidRPr="00110E64" w:rsidRDefault="007D630A" w:rsidP="0078557B">
            <w:pPr>
              <w:rPr>
                <w:rFonts w:ascii="Arial Narrow" w:hAnsi="Arial Narrow" w:cs="Arial"/>
                <w:i/>
                <w:sz w:val="20"/>
                <w:szCs w:val="20"/>
              </w:rPr>
            </w:pPr>
            <w:r>
              <w:rPr>
                <w:rFonts w:ascii="Arial Narrow" w:hAnsi="Arial Narrow" w:cs="Arial"/>
                <w:i/>
                <w:sz w:val="20"/>
                <w:szCs w:val="20"/>
              </w:rPr>
              <w:t>AND</w:t>
            </w:r>
          </w:p>
          <w:p w:rsidR="00470B21" w:rsidRPr="00110E64" w:rsidRDefault="00470B21" w:rsidP="0078557B">
            <w:pPr>
              <w:rPr>
                <w:rFonts w:ascii="Arial Narrow" w:hAnsi="Arial Narrow" w:cs="Arial"/>
                <w:i/>
                <w:sz w:val="20"/>
                <w:szCs w:val="20"/>
              </w:rPr>
            </w:pPr>
          </w:p>
          <w:p w:rsidR="00470B21" w:rsidRPr="00110E64" w:rsidRDefault="00470B21" w:rsidP="0078557B">
            <w:pPr>
              <w:rPr>
                <w:rFonts w:ascii="Arial Narrow" w:hAnsi="Arial Narrow" w:cs="Arial"/>
                <w:i/>
                <w:sz w:val="20"/>
                <w:szCs w:val="20"/>
              </w:rPr>
            </w:pPr>
            <w:r w:rsidRPr="00110E64">
              <w:rPr>
                <w:rFonts w:ascii="Arial Narrow" w:hAnsi="Arial Narrow" w:cs="Arial"/>
                <w:i/>
                <w:sz w:val="20"/>
                <w:szCs w:val="20"/>
              </w:rPr>
              <w:t>Patient must be receiving medical treatment as described in items 13200, 13201, 13202 or 13203 of the Medicare Benefits Schedule</w:t>
            </w:r>
          </w:p>
          <w:p w:rsidR="00470B21" w:rsidRPr="00260CE3" w:rsidRDefault="00470B21" w:rsidP="0078557B">
            <w:pPr>
              <w:jc w:val="both"/>
              <w:rPr>
                <w:rFonts w:ascii="Arial Narrow" w:hAnsi="Arial Narrow" w:cs="Arial"/>
                <w:sz w:val="20"/>
                <w:szCs w:val="20"/>
              </w:rPr>
            </w:pPr>
          </w:p>
        </w:tc>
      </w:tr>
      <w:tr w:rsidR="00470B21" w:rsidRPr="00260CE3" w:rsidTr="007855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470B21" w:rsidRPr="00260CE3" w:rsidRDefault="00470B21" w:rsidP="0078557B">
            <w:pPr>
              <w:jc w:val="both"/>
              <w:rPr>
                <w:rFonts w:ascii="Arial Narrow" w:hAnsi="Arial Narrow" w:cs="Arial"/>
                <w:b/>
                <w:sz w:val="20"/>
                <w:szCs w:val="20"/>
              </w:rPr>
            </w:pPr>
            <w:r w:rsidRPr="00260CE3">
              <w:rPr>
                <w:rFonts w:ascii="Arial Narrow" w:hAnsi="Arial Narrow" w:cs="Arial"/>
                <w:b/>
                <w:sz w:val="20"/>
                <w:szCs w:val="20"/>
              </w:rPr>
              <w:t>Administrative Advice</w:t>
            </w:r>
          </w:p>
          <w:p w:rsidR="00470B21" w:rsidRPr="00260CE3" w:rsidRDefault="00470B21" w:rsidP="0078557B">
            <w:pPr>
              <w:jc w:val="both"/>
              <w:rPr>
                <w:rFonts w:ascii="Arial Narrow" w:hAnsi="Arial Narrow" w:cs="Arial"/>
                <w:i/>
                <w:sz w:val="20"/>
                <w:szCs w:val="20"/>
              </w:rPr>
            </w:pPr>
          </w:p>
        </w:tc>
        <w:tc>
          <w:tcPr>
            <w:tcW w:w="7371" w:type="dxa"/>
            <w:tcBorders>
              <w:top w:val="single" w:sz="4" w:space="0" w:color="auto"/>
              <w:left w:val="single" w:sz="4" w:space="0" w:color="auto"/>
              <w:bottom w:val="single" w:sz="4" w:space="0" w:color="auto"/>
              <w:right w:val="single" w:sz="4" w:space="0" w:color="auto"/>
            </w:tcBorders>
          </w:tcPr>
          <w:p w:rsidR="00470B21" w:rsidRPr="00110E64" w:rsidRDefault="00470B21" w:rsidP="0078557B">
            <w:pPr>
              <w:rPr>
                <w:rFonts w:ascii="Arial Narrow" w:hAnsi="Arial Narrow" w:cs="Arial"/>
                <w:i/>
                <w:sz w:val="20"/>
                <w:szCs w:val="20"/>
              </w:rPr>
            </w:pPr>
            <w:r w:rsidRPr="00110E64">
              <w:rPr>
                <w:rFonts w:ascii="Arial Narrow" w:hAnsi="Arial Narrow" w:cs="Arial"/>
                <w:i/>
                <w:sz w:val="20"/>
                <w:szCs w:val="20"/>
              </w:rPr>
              <w:t>Supply of these items is through an accredited IVF/GIFT clinic.</w:t>
            </w:r>
          </w:p>
          <w:p w:rsidR="00470B21" w:rsidRPr="00260CE3" w:rsidRDefault="00470B21" w:rsidP="0078557B">
            <w:pPr>
              <w:rPr>
                <w:rFonts w:ascii="Arial Narrow" w:hAnsi="Arial Narrow" w:cs="Arial"/>
                <w:sz w:val="20"/>
                <w:szCs w:val="20"/>
              </w:rPr>
            </w:pPr>
            <w:r w:rsidRPr="00110E64">
              <w:rPr>
                <w:rFonts w:ascii="Arial Narrow" w:hAnsi="Arial Narrow" w:cs="Arial"/>
                <w:i/>
                <w:sz w:val="20"/>
                <w:szCs w:val="20"/>
              </w:rPr>
              <w:t>For enquiries relating to the IVF/GIFT program, medical practitioners should contact Medicare Australia on 1800 700 270</w:t>
            </w:r>
          </w:p>
        </w:tc>
      </w:tr>
    </w:tbl>
    <w:p w:rsidR="0078557B" w:rsidRDefault="0078557B" w:rsidP="0078557B">
      <w:pPr>
        <w:jc w:val="both"/>
        <w:rPr>
          <w:rFonts w:ascii="Arial" w:hAnsi="Arial"/>
          <w:b/>
          <w:sz w:val="22"/>
          <w:szCs w:val="22"/>
        </w:rPr>
      </w:pPr>
    </w:p>
    <w:p w:rsidR="005905AE" w:rsidRPr="00F13A46" w:rsidRDefault="005905AE" w:rsidP="005905AE">
      <w:pPr>
        <w:rPr>
          <w:rFonts w:ascii="Arial" w:hAnsi="Arial" w:cs="Arial"/>
        </w:rPr>
      </w:pPr>
    </w:p>
    <w:p w:rsidR="005905AE" w:rsidRPr="00F13A46" w:rsidRDefault="005905AE" w:rsidP="00DB312E">
      <w:pPr>
        <w:pStyle w:val="PBACHeading1"/>
      </w:pPr>
      <w:r w:rsidRPr="00F13A46">
        <w:t>Context for Decision</w:t>
      </w:r>
    </w:p>
    <w:p w:rsidR="005905AE" w:rsidRPr="00F13A46" w:rsidRDefault="005905AE" w:rsidP="005905AE">
      <w:pPr>
        <w:pStyle w:val="ListParagraph"/>
        <w:rPr>
          <w:rFonts w:ascii="Arial" w:hAnsi="Arial" w:cs="Arial"/>
          <w:b/>
        </w:rPr>
      </w:pPr>
    </w:p>
    <w:p w:rsidR="005905AE" w:rsidRPr="00F13A46" w:rsidRDefault="005905AE" w:rsidP="005905AE">
      <w:pPr>
        <w:ind w:left="720"/>
        <w:rPr>
          <w:rFonts w:ascii="Arial" w:hAnsi="Arial" w:cs="Arial"/>
          <w:bCs/>
          <w:sz w:val="22"/>
          <w:szCs w:val="22"/>
        </w:rPr>
      </w:pPr>
      <w:r w:rsidRPr="00F13A46">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905AE" w:rsidRPr="00F13A46" w:rsidRDefault="005905AE" w:rsidP="005905AE">
      <w:pPr>
        <w:rPr>
          <w:rFonts w:ascii="Arial" w:hAnsi="Arial" w:cs="Arial"/>
        </w:rPr>
      </w:pPr>
    </w:p>
    <w:p w:rsidR="005905AE" w:rsidRPr="00F13A46" w:rsidRDefault="005905AE" w:rsidP="00DB312E">
      <w:pPr>
        <w:pStyle w:val="PBACHeading1"/>
      </w:pPr>
      <w:r w:rsidRPr="00F13A46">
        <w:t>Sponsor’s Comment</w:t>
      </w:r>
    </w:p>
    <w:p w:rsidR="005905AE" w:rsidRDefault="005905AE" w:rsidP="0078557B">
      <w:pPr>
        <w:jc w:val="both"/>
        <w:rPr>
          <w:rFonts w:ascii="Arial" w:hAnsi="Arial"/>
          <w:b/>
          <w:sz w:val="22"/>
          <w:szCs w:val="22"/>
        </w:rPr>
      </w:pPr>
    </w:p>
    <w:p w:rsidR="0088203F" w:rsidRDefault="0088203F" w:rsidP="002E2BF3">
      <w:pPr>
        <w:ind w:left="720"/>
        <w:rPr>
          <w:rFonts w:ascii="Arial" w:hAnsi="Arial" w:cs="Arial"/>
          <w:sz w:val="22"/>
        </w:rPr>
      </w:pPr>
      <w:r>
        <w:rPr>
          <w:rFonts w:ascii="Arial" w:hAnsi="Arial" w:cs="Arial"/>
          <w:sz w:val="22"/>
        </w:rPr>
        <w:t xml:space="preserve">We note that the Secretariat Overview of our minor submissions confirms “The criteria for availability are consistent with the TGA registered indication.” We also note that the PBS supply arrangements for IVF medicines (and therefore </w:t>
      </w:r>
      <w:proofErr w:type="spellStart"/>
      <w:r>
        <w:rPr>
          <w:rFonts w:ascii="Arial" w:hAnsi="Arial" w:cs="Arial"/>
          <w:sz w:val="22"/>
        </w:rPr>
        <w:t>Pergoveris</w:t>
      </w:r>
      <w:proofErr w:type="spellEnd"/>
      <w:r>
        <w:rPr>
          <w:rFonts w:ascii="Arial" w:hAnsi="Arial" w:cs="Arial"/>
          <w:sz w:val="22"/>
        </w:rPr>
        <w:t xml:space="preserve">) will change as of 1 July 2015, and thus the maximum quantity stated above is incorrect. </w:t>
      </w:r>
    </w:p>
    <w:p w:rsidR="0088203F" w:rsidRDefault="0088203F" w:rsidP="002E2BF3">
      <w:pPr>
        <w:ind w:left="720"/>
        <w:rPr>
          <w:rFonts w:ascii="Arial" w:hAnsi="Arial" w:cs="Arial"/>
          <w:sz w:val="22"/>
        </w:rPr>
      </w:pPr>
    </w:p>
    <w:p w:rsidR="002E2BF3" w:rsidRPr="002E2BF3" w:rsidRDefault="002E2BF3" w:rsidP="002E2BF3">
      <w:pPr>
        <w:ind w:left="720"/>
        <w:rPr>
          <w:rFonts w:ascii="Arial" w:hAnsi="Arial" w:cs="Arial"/>
          <w:sz w:val="22"/>
        </w:rPr>
      </w:pPr>
      <w:r w:rsidRPr="002E2BF3">
        <w:rPr>
          <w:rFonts w:ascii="Arial" w:hAnsi="Arial" w:cs="Arial"/>
          <w:sz w:val="22"/>
        </w:rPr>
        <w:t xml:space="preserve">Reimbursement of </w:t>
      </w:r>
      <w:proofErr w:type="spellStart"/>
      <w:r w:rsidRPr="002E2BF3">
        <w:rPr>
          <w:rFonts w:ascii="Arial" w:hAnsi="Arial" w:cs="Arial"/>
          <w:sz w:val="22"/>
        </w:rPr>
        <w:t>Pergoveris</w:t>
      </w:r>
      <w:proofErr w:type="spellEnd"/>
      <w:r w:rsidRPr="002E2BF3">
        <w:rPr>
          <w:rFonts w:ascii="Arial" w:hAnsi="Arial" w:cs="Arial"/>
          <w:sz w:val="22"/>
        </w:rPr>
        <w:t xml:space="preserve"> provides an important medicine for some women who may otherwise not achieve a pregnancy.  Providing </w:t>
      </w:r>
      <w:proofErr w:type="spellStart"/>
      <w:r w:rsidRPr="002E2BF3">
        <w:rPr>
          <w:rFonts w:ascii="Arial" w:hAnsi="Arial" w:cs="Arial"/>
          <w:sz w:val="22"/>
        </w:rPr>
        <w:t>Gonal</w:t>
      </w:r>
      <w:proofErr w:type="spellEnd"/>
      <w:r w:rsidRPr="002E2BF3">
        <w:rPr>
          <w:rFonts w:ascii="Arial" w:hAnsi="Arial" w:cs="Arial"/>
          <w:sz w:val="22"/>
        </w:rPr>
        <w:t xml:space="preserve"> F and </w:t>
      </w:r>
      <w:proofErr w:type="spellStart"/>
      <w:r w:rsidRPr="002E2BF3">
        <w:rPr>
          <w:rFonts w:ascii="Arial" w:hAnsi="Arial" w:cs="Arial"/>
          <w:sz w:val="22"/>
        </w:rPr>
        <w:t>Luveris</w:t>
      </w:r>
      <w:proofErr w:type="spellEnd"/>
      <w:r w:rsidRPr="002E2BF3">
        <w:rPr>
          <w:rFonts w:ascii="Arial" w:hAnsi="Arial" w:cs="Arial"/>
          <w:sz w:val="22"/>
        </w:rPr>
        <w:t xml:space="preserve"> in a </w:t>
      </w:r>
      <w:r w:rsidR="00D621E1">
        <w:rPr>
          <w:rFonts w:ascii="Arial" w:hAnsi="Arial" w:cs="Arial"/>
          <w:sz w:val="22"/>
        </w:rPr>
        <w:t xml:space="preserve">fixed dose combination </w:t>
      </w:r>
      <w:r w:rsidRPr="002E2BF3">
        <w:rPr>
          <w:rFonts w:ascii="Arial" w:hAnsi="Arial" w:cs="Arial"/>
          <w:sz w:val="22"/>
        </w:rPr>
        <w:t>allows for the reduction in the number of injections women may need.  This may reduce dosing errors and improve adherence</w:t>
      </w:r>
      <w:r>
        <w:rPr>
          <w:rFonts w:ascii="Arial" w:hAnsi="Arial" w:cs="Arial"/>
          <w:sz w:val="22"/>
        </w:rPr>
        <w:t>.</w:t>
      </w:r>
    </w:p>
    <w:p w:rsidR="002E2BF3" w:rsidRPr="00882085" w:rsidRDefault="002E2BF3" w:rsidP="0078557B">
      <w:pPr>
        <w:jc w:val="both"/>
        <w:rPr>
          <w:rFonts w:ascii="Arial" w:hAnsi="Arial"/>
          <w:b/>
          <w:sz w:val="22"/>
          <w:szCs w:val="22"/>
        </w:rPr>
      </w:pPr>
    </w:p>
    <w:sectPr w:rsidR="002E2BF3" w:rsidRPr="00882085"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39" w:rsidRDefault="00C11E39">
      <w:r>
        <w:separator/>
      </w:r>
    </w:p>
  </w:endnote>
  <w:endnote w:type="continuationSeparator" w:id="0">
    <w:p w:rsidR="00C11E39" w:rsidRDefault="00C1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8557B" w:rsidTr="005A3173">
      <w:trPr>
        <w:trHeight w:val="151"/>
      </w:trPr>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8557B" w:rsidRPr="005A3173" w:rsidRDefault="007855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r>
    <w:tr w:rsidR="0078557B" w:rsidTr="005A3173">
      <w:trPr>
        <w:trHeight w:val="150"/>
      </w:trPr>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0" w:type="auto"/>
          <w:vMerge/>
          <w:vAlign w:val="center"/>
          <w:hideMark/>
        </w:tcPr>
        <w:p w:rsidR="0078557B" w:rsidRPr="005A3173" w:rsidRDefault="007855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r>
  </w:tbl>
  <w:p w:rsidR="0078557B" w:rsidRDefault="0078557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57B" w:rsidRDefault="00785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7B" w:rsidRDefault="0078557B" w:rsidP="00EF44A0">
    <w:pPr>
      <w:pStyle w:val="Footer"/>
      <w:jc w:val="center"/>
      <w:rPr>
        <w:rFonts w:ascii="Arial" w:hAnsi="Arial" w:cs="Arial"/>
        <w:b/>
        <w:sz w:val="20"/>
        <w:szCs w:val="20"/>
      </w:rPr>
    </w:pPr>
  </w:p>
  <w:p w:rsidR="0078557B" w:rsidRDefault="0078557B" w:rsidP="00EF44A0">
    <w:pPr>
      <w:pStyle w:val="Footer"/>
    </w:pPr>
  </w:p>
  <w:p w:rsidR="0078557B" w:rsidRDefault="00D07C30">
    <w:pPr>
      <w:pStyle w:val="Footer"/>
      <w:jc w:val="center"/>
    </w:pPr>
    <w:sdt>
      <w:sdtPr>
        <w:id w:val="646254239"/>
        <w:docPartObj>
          <w:docPartGallery w:val="Page Numbers (Bottom of Page)"/>
          <w:docPartUnique/>
        </w:docPartObj>
      </w:sdtPr>
      <w:sdtEndPr>
        <w:rPr>
          <w:noProof/>
        </w:rPr>
      </w:sdtEndPr>
      <w:sdtContent>
        <w:r w:rsidR="0078557B">
          <w:fldChar w:fldCharType="begin"/>
        </w:r>
        <w:r w:rsidR="0078557B">
          <w:instrText xml:space="preserve"> PAGE   \* MERGEFORMAT </w:instrText>
        </w:r>
        <w:r w:rsidR="0078557B">
          <w:fldChar w:fldCharType="separate"/>
        </w:r>
        <w:r>
          <w:rPr>
            <w:noProof/>
          </w:rPr>
          <w:t>8</w:t>
        </w:r>
        <w:r w:rsidR="0078557B">
          <w:rPr>
            <w:noProof/>
          </w:rPr>
          <w:fldChar w:fldCharType="end"/>
        </w:r>
      </w:sdtContent>
    </w:sdt>
  </w:p>
  <w:p w:rsidR="0078557B" w:rsidRPr="008F1434" w:rsidRDefault="0078557B"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8557B" w:rsidTr="005A3173">
      <w:trPr>
        <w:trHeight w:val="151"/>
      </w:trPr>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8557B" w:rsidRPr="005A3173" w:rsidRDefault="007855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r>
    <w:tr w:rsidR="0078557B" w:rsidTr="005A3173">
      <w:trPr>
        <w:trHeight w:val="150"/>
      </w:trPr>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0" w:type="auto"/>
          <w:vMerge/>
          <w:vAlign w:val="center"/>
          <w:hideMark/>
        </w:tcPr>
        <w:p w:rsidR="0078557B" w:rsidRPr="005A3173" w:rsidRDefault="007855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8557B" w:rsidTr="005A3173">
      <w:trPr>
        <w:trHeight w:val="151"/>
      </w:trPr>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8557B" w:rsidRPr="005A3173" w:rsidRDefault="007855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8557B" w:rsidRPr="005A3173" w:rsidRDefault="0078557B" w:rsidP="005A3173">
          <w:pPr>
            <w:pStyle w:val="Header"/>
            <w:spacing w:line="276" w:lineRule="auto"/>
            <w:rPr>
              <w:rFonts w:ascii="Calibri" w:eastAsia="MS Gothic" w:hAnsi="Calibri"/>
              <w:b/>
              <w:bCs/>
              <w:color w:val="4F81BD"/>
            </w:rPr>
          </w:pPr>
        </w:p>
      </w:tc>
    </w:tr>
    <w:tr w:rsidR="0078557B" w:rsidTr="005A3173">
      <w:trPr>
        <w:trHeight w:val="150"/>
      </w:trPr>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c>
        <w:tcPr>
          <w:tcW w:w="0" w:type="auto"/>
          <w:vMerge/>
          <w:vAlign w:val="center"/>
          <w:hideMark/>
        </w:tcPr>
        <w:p w:rsidR="0078557B" w:rsidRPr="005A3173" w:rsidRDefault="007855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78557B" w:rsidRPr="005A3173" w:rsidRDefault="0078557B" w:rsidP="005A3173">
          <w:pPr>
            <w:pStyle w:val="Header"/>
            <w:spacing w:line="276" w:lineRule="auto"/>
            <w:rPr>
              <w:rFonts w:ascii="Calibri" w:eastAsia="MS Gothic" w:hAnsi="Calibri"/>
              <w:b/>
              <w:bCs/>
              <w:color w:val="4F81BD"/>
            </w:rPr>
          </w:pPr>
        </w:p>
      </w:tc>
    </w:tr>
  </w:tbl>
  <w:p w:rsidR="0078557B" w:rsidRPr="007C0F57" w:rsidRDefault="0078557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8557B" w:rsidRPr="007C0F57" w:rsidRDefault="0078557B"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39" w:rsidRDefault="00C11E39">
      <w:r>
        <w:separator/>
      </w:r>
    </w:p>
  </w:footnote>
  <w:footnote w:type="continuationSeparator" w:id="0">
    <w:p w:rsidR="00C11E39" w:rsidRDefault="00C11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8557B" w:rsidRPr="008E0D90" w:rsidTr="00A06225">
      <w:trPr>
        <w:trHeight w:val="151"/>
      </w:trPr>
      <w:tc>
        <w:tcPr>
          <w:tcW w:w="2389" w:type="pct"/>
          <w:tcBorders>
            <w:top w:val="nil"/>
            <w:left w:val="nil"/>
            <w:bottom w:val="single" w:sz="4" w:space="0" w:color="4F81BD"/>
            <w:right w:val="nil"/>
          </w:tcBorders>
        </w:tcPr>
        <w:p w:rsidR="0078557B" w:rsidRPr="00A06225" w:rsidRDefault="0078557B">
          <w:pPr>
            <w:pStyle w:val="Header"/>
            <w:spacing w:line="276" w:lineRule="auto"/>
            <w:rPr>
              <w:rFonts w:ascii="Cambria" w:eastAsia="MS Gothic" w:hAnsi="Cambria"/>
              <w:b/>
              <w:bCs/>
              <w:color w:val="4F81BD"/>
            </w:rPr>
          </w:pPr>
        </w:p>
      </w:tc>
      <w:tc>
        <w:tcPr>
          <w:tcW w:w="333" w:type="pct"/>
          <w:vMerge w:val="restart"/>
          <w:noWrap/>
          <w:vAlign w:val="center"/>
          <w:hideMark/>
        </w:tcPr>
        <w:p w:rsidR="0078557B" w:rsidRPr="00A06225" w:rsidRDefault="0078557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8557B" w:rsidRPr="00A06225" w:rsidRDefault="0078557B">
          <w:pPr>
            <w:pStyle w:val="Header"/>
            <w:spacing w:line="276" w:lineRule="auto"/>
            <w:rPr>
              <w:rFonts w:ascii="Cambria" w:eastAsia="MS Gothic" w:hAnsi="Cambria"/>
              <w:b/>
              <w:bCs/>
              <w:color w:val="4F81BD"/>
            </w:rPr>
          </w:pPr>
        </w:p>
      </w:tc>
    </w:tr>
    <w:tr w:rsidR="0078557B" w:rsidRPr="008E0D90" w:rsidTr="00A06225">
      <w:trPr>
        <w:trHeight w:val="150"/>
      </w:trPr>
      <w:tc>
        <w:tcPr>
          <w:tcW w:w="2389" w:type="pct"/>
          <w:tcBorders>
            <w:top w:val="single" w:sz="4" w:space="0" w:color="4F81BD"/>
            <w:left w:val="nil"/>
            <w:bottom w:val="nil"/>
            <w:right w:val="nil"/>
          </w:tcBorders>
        </w:tcPr>
        <w:p w:rsidR="0078557B" w:rsidRPr="00A06225" w:rsidRDefault="0078557B">
          <w:pPr>
            <w:pStyle w:val="Header"/>
            <w:spacing w:line="276" w:lineRule="auto"/>
            <w:rPr>
              <w:rFonts w:ascii="Cambria" w:eastAsia="MS Gothic" w:hAnsi="Cambria"/>
              <w:b/>
              <w:bCs/>
              <w:color w:val="4F81BD"/>
            </w:rPr>
          </w:pPr>
        </w:p>
      </w:tc>
      <w:tc>
        <w:tcPr>
          <w:tcW w:w="0" w:type="auto"/>
          <w:vMerge/>
          <w:vAlign w:val="center"/>
          <w:hideMark/>
        </w:tcPr>
        <w:p w:rsidR="0078557B" w:rsidRPr="00A06225" w:rsidRDefault="0078557B">
          <w:pPr>
            <w:rPr>
              <w:rFonts w:ascii="Cambria" w:hAnsi="Cambria"/>
              <w:color w:val="4F81BD"/>
              <w:sz w:val="22"/>
              <w:szCs w:val="22"/>
            </w:rPr>
          </w:pPr>
        </w:p>
      </w:tc>
      <w:tc>
        <w:tcPr>
          <w:tcW w:w="2278" w:type="pct"/>
          <w:tcBorders>
            <w:top w:val="single" w:sz="4" w:space="0" w:color="4F81BD"/>
            <w:left w:val="nil"/>
            <w:bottom w:val="nil"/>
            <w:right w:val="nil"/>
          </w:tcBorders>
        </w:tcPr>
        <w:p w:rsidR="0078557B" w:rsidRPr="00A06225" w:rsidRDefault="0078557B">
          <w:pPr>
            <w:pStyle w:val="Header"/>
            <w:spacing w:line="276" w:lineRule="auto"/>
            <w:rPr>
              <w:rFonts w:ascii="Cambria" w:eastAsia="MS Gothic" w:hAnsi="Cambria"/>
              <w:b/>
              <w:bCs/>
              <w:color w:val="4F81BD"/>
            </w:rPr>
          </w:pPr>
        </w:p>
      </w:tc>
    </w:tr>
  </w:tbl>
  <w:p w:rsidR="0078557B" w:rsidRDefault="007855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7B" w:rsidRPr="00351A05" w:rsidRDefault="005905AE" w:rsidP="00351A05">
    <w:pPr>
      <w:pStyle w:val="Header"/>
      <w:jc w:val="center"/>
      <w:rPr>
        <w:rFonts w:ascii="Arial" w:hAnsi="Arial" w:cs="Arial"/>
        <w:i/>
      </w:rPr>
    </w:pPr>
    <w:r>
      <w:rPr>
        <w:rFonts w:ascii="Arial" w:hAnsi="Arial" w:cs="Arial"/>
        <w:i/>
      </w:rPr>
      <w:t>Public Summary Document</w:t>
    </w:r>
    <w:r w:rsidR="0078557B" w:rsidRPr="00351A05">
      <w:rPr>
        <w:rFonts w:ascii="Arial" w:hAnsi="Arial" w:cs="Arial"/>
        <w:i/>
      </w:rPr>
      <w:t xml:space="preserve"> – March 2015 PBAC Meeting</w:t>
    </w:r>
  </w:p>
  <w:p w:rsidR="0078557B" w:rsidRPr="00351A05" w:rsidRDefault="0078557B" w:rsidP="00351A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167703"/>
    <w:multiLevelType w:val="hybridMultilevel"/>
    <w:tmpl w:val="6B32E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6103BB"/>
    <w:multiLevelType w:val="hybridMultilevel"/>
    <w:tmpl w:val="8196E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B196A29"/>
    <w:multiLevelType w:val="hybridMultilevel"/>
    <w:tmpl w:val="5AB40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7A409F"/>
    <w:multiLevelType w:val="multilevel"/>
    <w:tmpl w:val="C6A09F5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82FD3"/>
    <w:multiLevelType w:val="hybridMultilevel"/>
    <w:tmpl w:val="E052580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46B0F7B"/>
    <w:multiLevelType w:val="hybridMultilevel"/>
    <w:tmpl w:val="EFA64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726288D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7"/>
  </w:num>
  <w:num w:numId="3">
    <w:abstractNumId w:val="22"/>
  </w:num>
  <w:num w:numId="4">
    <w:abstractNumId w:val="0"/>
  </w:num>
  <w:num w:numId="5">
    <w:abstractNumId w:val="6"/>
  </w:num>
  <w:num w:numId="6">
    <w:abstractNumId w:val="21"/>
  </w:num>
  <w:num w:numId="7">
    <w:abstractNumId w:val="16"/>
  </w:num>
  <w:num w:numId="8">
    <w:abstractNumId w:val="5"/>
  </w:num>
  <w:num w:numId="9">
    <w:abstractNumId w:val="8"/>
  </w:num>
  <w:num w:numId="10">
    <w:abstractNumId w:val="35"/>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8"/>
  </w:num>
  <w:num w:numId="15">
    <w:abstractNumId w:val="29"/>
  </w:num>
  <w:num w:numId="16">
    <w:abstractNumId w:val="25"/>
  </w:num>
  <w:num w:numId="17">
    <w:abstractNumId w:val="41"/>
  </w:num>
  <w:num w:numId="18">
    <w:abstractNumId w:val="13"/>
  </w:num>
  <w:num w:numId="19">
    <w:abstractNumId w:val="20"/>
  </w:num>
  <w:num w:numId="20">
    <w:abstractNumId w:val="4"/>
  </w:num>
  <w:num w:numId="21">
    <w:abstractNumId w:val="33"/>
  </w:num>
  <w:num w:numId="22">
    <w:abstractNumId w:val="36"/>
  </w:num>
  <w:num w:numId="23">
    <w:abstractNumId w:val="43"/>
  </w:num>
  <w:num w:numId="24">
    <w:abstractNumId w:val="15"/>
  </w:num>
  <w:num w:numId="25">
    <w:abstractNumId w:val="42"/>
  </w:num>
  <w:num w:numId="26">
    <w:abstractNumId w:val="30"/>
  </w:num>
  <w:num w:numId="27">
    <w:abstractNumId w:val="12"/>
  </w:num>
  <w:num w:numId="28">
    <w:abstractNumId w:val="7"/>
  </w:num>
  <w:num w:numId="29">
    <w:abstractNumId w:val="27"/>
  </w:num>
  <w:num w:numId="30">
    <w:abstractNumId w:val="3"/>
  </w:num>
  <w:num w:numId="31">
    <w:abstractNumId w:val="28"/>
  </w:num>
  <w:num w:numId="32">
    <w:abstractNumId w:val="40"/>
  </w:num>
  <w:num w:numId="33">
    <w:abstractNumId w:val="26"/>
  </w:num>
  <w:num w:numId="34">
    <w:abstractNumId w:val="44"/>
  </w:num>
  <w:num w:numId="35">
    <w:abstractNumId w:val="11"/>
  </w:num>
  <w:num w:numId="36">
    <w:abstractNumId w:val="24"/>
  </w:num>
  <w:num w:numId="37">
    <w:abstractNumId w:val="31"/>
  </w:num>
  <w:num w:numId="38">
    <w:abstractNumId w:val="9"/>
  </w:num>
  <w:num w:numId="39">
    <w:abstractNumId w:val="17"/>
  </w:num>
  <w:num w:numId="40">
    <w:abstractNumId w:val="2"/>
  </w:num>
  <w:num w:numId="41">
    <w:abstractNumId w:val="14"/>
  </w:num>
  <w:num w:numId="42">
    <w:abstractNumId w:val="19"/>
  </w:num>
  <w:num w:numId="43">
    <w:abstractNumId w:val="1"/>
  </w:num>
  <w:num w:numId="44">
    <w:abstractNumId w:val="39"/>
  </w:num>
  <w:num w:numId="45">
    <w:abstractNumId w:val="34"/>
  </w:num>
  <w:num w:numId="46">
    <w:abstractNumId w:val="1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19E"/>
    <w:rsid w:val="00021264"/>
    <w:rsid w:val="0002464A"/>
    <w:rsid w:val="0003106B"/>
    <w:rsid w:val="000421A1"/>
    <w:rsid w:val="0004240E"/>
    <w:rsid w:val="00045E26"/>
    <w:rsid w:val="000514B5"/>
    <w:rsid w:val="000560BC"/>
    <w:rsid w:val="000577B7"/>
    <w:rsid w:val="00060E64"/>
    <w:rsid w:val="000612D0"/>
    <w:rsid w:val="00066755"/>
    <w:rsid w:val="0008033A"/>
    <w:rsid w:val="00084F40"/>
    <w:rsid w:val="000969AD"/>
    <w:rsid w:val="00097A22"/>
    <w:rsid w:val="000B33A3"/>
    <w:rsid w:val="000B558D"/>
    <w:rsid w:val="000C3E84"/>
    <w:rsid w:val="000C6996"/>
    <w:rsid w:val="000D23BA"/>
    <w:rsid w:val="000D6067"/>
    <w:rsid w:val="000E2CD8"/>
    <w:rsid w:val="000E681E"/>
    <w:rsid w:val="000E6882"/>
    <w:rsid w:val="000F3A0F"/>
    <w:rsid w:val="000F4E6A"/>
    <w:rsid w:val="00103A97"/>
    <w:rsid w:val="00104963"/>
    <w:rsid w:val="001107BF"/>
    <w:rsid w:val="001115B7"/>
    <w:rsid w:val="001201E2"/>
    <w:rsid w:val="0012417C"/>
    <w:rsid w:val="00142395"/>
    <w:rsid w:val="00142714"/>
    <w:rsid w:val="001452ED"/>
    <w:rsid w:val="001830CE"/>
    <w:rsid w:val="001863E7"/>
    <w:rsid w:val="00187F0D"/>
    <w:rsid w:val="00192919"/>
    <w:rsid w:val="00196307"/>
    <w:rsid w:val="001B017F"/>
    <w:rsid w:val="001B5129"/>
    <w:rsid w:val="001C1195"/>
    <w:rsid w:val="002025D1"/>
    <w:rsid w:val="00210E65"/>
    <w:rsid w:val="00213CFB"/>
    <w:rsid w:val="00221488"/>
    <w:rsid w:val="00222F4D"/>
    <w:rsid w:val="0022310C"/>
    <w:rsid w:val="002277DC"/>
    <w:rsid w:val="002403DE"/>
    <w:rsid w:val="00251538"/>
    <w:rsid w:val="002640C2"/>
    <w:rsid w:val="00270464"/>
    <w:rsid w:val="00271BA1"/>
    <w:rsid w:val="00277505"/>
    <w:rsid w:val="002859EA"/>
    <w:rsid w:val="0029458F"/>
    <w:rsid w:val="002A104C"/>
    <w:rsid w:val="002A4960"/>
    <w:rsid w:val="002A5DCE"/>
    <w:rsid w:val="002B1AE6"/>
    <w:rsid w:val="002B30F8"/>
    <w:rsid w:val="002C212F"/>
    <w:rsid w:val="002E03A2"/>
    <w:rsid w:val="002E2BF3"/>
    <w:rsid w:val="002E5BE7"/>
    <w:rsid w:val="002E72CA"/>
    <w:rsid w:val="002F1E09"/>
    <w:rsid w:val="00326E79"/>
    <w:rsid w:val="003367EF"/>
    <w:rsid w:val="00340546"/>
    <w:rsid w:val="00341AE4"/>
    <w:rsid w:val="003510A6"/>
    <w:rsid w:val="00351A05"/>
    <w:rsid w:val="003558C5"/>
    <w:rsid w:val="003565D2"/>
    <w:rsid w:val="0036381F"/>
    <w:rsid w:val="00382178"/>
    <w:rsid w:val="003A0BD6"/>
    <w:rsid w:val="003A4517"/>
    <w:rsid w:val="003A5B4A"/>
    <w:rsid w:val="003B23C5"/>
    <w:rsid w:val="003B2A75"/>
    <w:rsid w:val="003C04BB"/>
    <w:rsid w:val="003C7429"/>
    <w:rsid w:val="003D4AC4"/>
    <w:rsid w:val="003D63B7"/>
    <w:rsid w:val="003D667B"/>
    <w:rsid w:val="003E0928"/>
    <w:rsid w:val="003E468B"/>
    <w:rsid w:val="003F27AE"/>
    <w:rsid w:val="003F5C8C"/>
    <w:rsid w:val="0043493A"/>
    <w:rsid w:val="004423C7"/>
    <w:rsid w:val="0044490C"/>
    <w:rsid w:val="004465BD"/>
    <w:rsid w:val="00461865"/>
    <w:rsid w:val="00466ADA"/>
    <w:rsid w:val="0046774E"/>
    <w:rsid w:val="00470B21"/>
    <w:rsid w:val="00476245"/>
    <w:rsid w:val="00485940"/>
    <w:rsid w:val="004919E8"/>
    <w:rsid w:val="00491E55"/>
    <w:rsid w:val="004A1C78"/>
    <w:rsid w:val="004A46A7"/>
    <w:rsid w:val="004A5A85"/>
    <w:rsid w:val="004B5640"/>
    <w:rsid w:val="004C1BD7"/>
    <w:rsid w:val="004C2C4A"/>
    <w:rsid w:val="004C5B6E"/>
    <w:rsid w:val="004C691D"/>
    <w:rsid w:val="004D2C4B"/>
    <w:rsid w:val="004D34D8"/>
    <w:rsid w:val="004E692D"/>
    <w:rsid w:val="004F1A80"/>
    <w:rsid w:val="00501554"/>
    <w:rsid w:val="005031D2"/>
    <w:rsid w:val="00514CD7"/>
    <w:rsid w:val="00532C74"/>
    <w:rsid w:val="00534E2E"/>
    <w:rsid w:val="00544552"/>
    <w:rsid w:val="00555792"/>
    <w:rsid w:val="00565AFB"/>
    <w:rsid w:val="00581932"/>
    <w:rsid w:val="005844BB"/>
    <w:rsid w:val="005905AE"/>
    <w:rsid w:val="00594893"/>
    <w:rsid w:val="005963BB"/>
    <w:rsid w:val="00596AF9"/>
    <w:rsid w:val="005A3173"/>
    <w:rsid w:val="005A3223"/>
    <w:rsid w:val="005A3DA3"/>
    <w:rsid w:val="005A52C4"/>
    <w:rsid w:val="005B0DB7"/>
    <w:rsid w:val="005D03AB"/>
    <w:rsid w:val="005D5017"/>
    <w:rsid w:val="005E0225"/>
    <w:rsid w:val="005F1EA8"/>
    <w:rsid w:val="00600377"/>
    <w:rsid w:val="00601A91"/>
    <w:rsid w:val="00602BA3"/>
    <w:rsid w:val="00611E5E"/>
    <w:rsid w:val="00614159"/>
    <w:rsid w:val="0061530F"/>
    <w:rsid w:val="00617C00"/>
    <w:rsid w:val="006263BF"/>
    <w:rsid w:val="0062748A"/>
    <w:rsid w:val="00630A2C"/>
    <w:rsid w:val="00634630"/>
    <w:rsid w:val="006502D5"/>
    <w:rsid w:val="00651169"/>
    <w:rsid w:val="00653D69"/>
    <w:rsid w:val="006676F9"/>
    <w:rsid w:val="00670A76"/>
    <w:rsid w:val="006711AA"/>
    <w:rsid w:val="00671C84"/>
    <w:rsid w:val="00675622"/>
    <w:rsid w:val="006851C8"/>
    <w:rsid w:val="006855B2"/>
    <w:rsid w:val="006906DB"/>
    <w:rsid w:val="00695F05"/>
    <w:rsid w:val="006A12A5"/>
    <w:rsid w:val="006A6C22"/>
    <w:rsid w:val="006B0D94"/>
    <w:rsid w:val="006B485D"/>
    <w:rsid w:val="006C708E"/>
    <w:rsid w:val="006D47B0"/>
    <w:rsid w:val="006D4A84"/>
    <w:rsid w:val="006D6EC7"/>
    <w:rsid w:val="006D7466"/>
    <w:rsid w:val="006E69B4"/>
    <w:rsid w:val="006F202E"/>
    <w:rsid w:val="006F3B14"/>
    <w:rsid w:val="006F5125"/>
    <w:rsid w:val="00710A65"/>
    <w:rsid w:val="00711220"/>
    <w:rsid w:val="00714035"/>
    <w:rsid w:val="007174BB"/>
    <w:rsid w:val="0076420C"/>
    <w:rsid w:val="007753C2"/>
    <w:rsid w:val="00775BD9"/>
    <w:rsid w:val="007838B8"/>
    <w:rsid w:val="0078557B"/>
    <w:rsid w:val="00786676"/>
    <w:rsid w:val="007A0E48"/>
    <w:rsid w:val="007C0F57"/>
    <w:rsid w:val="007C40B6"/>
    <w:rsid w:val="007C729F"/>
    <w:rsid w:val="007D630A"/>
    <w:rsid w:val="007E1D28"/>
    <w:rsid w:val="007F2641"/>
    <w:rsid w:val="007F7C36"/>
    <w:rsid w:val="00802BA4"/>
    <w:rsid w:val="00806796"/>
    <w:rsid w:val="00821069"/>
    <w:rsid w:val="00822437"/>
    <w:rsid w:val="00826F6D"/>
    <w:rsid w:val="0083381B"/>
    <w:rsid w:val="00852C12"/>
    <w:rsid w:val="00856DDD"/>
    <w:rsid w:val="00863E68"/>
    <w:rsid w:val="00874234"/>
    <w:rsid w:val="0088071F"/>
    <w:rsid w:val="00880DD0"/>
    <w:rsid w:val="00881336"/>
    <w:rsid w:val="0088203F"/>
    <w:rsid w:val="00882085"/>
    <w:rsid w:val="00883188"/>
    <w:rsid w:val="00886AF3"/>
    <w:rsid w:val="00886D2B"/>
    <w:rsid w:val="00891F34"/>
    <w:rsid w:val="00897D58"/>
    <w:rsid w:val="008A1956"/>
    <w:rsid w:val="008A3D91"/>
    <w:rsid w:val="008A4937"/>
    <w:rsid w:val="008A647F"/>
    <w:rsid w:val="008B6033"/>
    <w:rsid w:val="008D1902"/>
    <w:rsid w:val="008D3C82"/>
    <w:rsid w:val="008D447E"/>
    <w:rsid w:val="008D7A41"/>
    <w:rsid w:val="008E3680"/>
    <w:rsid w:val="008E5472"/>
    <w:rsid w:val="008E5870"/>
    <w:rsid w:val="008F1434"/>
    <w:rsid w:val="008F7355"/>
    <w:rsid w:val="009046F2"/>
    <w:rsid w:val="009067B7"/>
    <w:rsid w:val="0091433E"/>
    <w:rsid w:val="00925988"/>
    <w:rsid w:val="00927087"/>
    <w:rsid w:val="00930937"/>
    <w:rsid w:val="00933E6C"/>
    <w:rsid w:val="00941335"/>
    <w:rsid w:val="00942160"/>
    <w:rsid w:val="00943B43"/>
    <w:rsid w:val="009602C5"/>
    <w:rsid w:val="00972351"/>
    <w:rsid w:val="00974C21"/>
    <w:rsid w:val="0098204F"/>
    <w:rsid w:val="00992EF1"/>
    <w:rsid w:val="009B0F67"/>
    <w:rsid w:val="009B570C"/>
    <w:rsid w:val="009C703C"/>
    <w:rsid w:val="009D3CAA"/>
    <w:rsid w:val="009E7E45"/>
    <w:rsid w:val="009F4E46"/>
    <w:rsid w:val="009F50F6"/>
    <w:rsid w:val="009F5B65"/>
    <w:rsid w:val="009F5F2E"/>
    <w:rsid w:val="009F61DF"/>
    <w:rsid w:val="009F638A"/>
    <w:rsid w:val="009F7265"/>
    <w:rsid w:val="00A06225"/>
    <w:rsid w:val="00A24EE6"/>
    <w:rsid w:val="00A27E83"/>
    <w:rsid w:val="00A37C8D"/>
    <w:rsid w:val="00A40594"/>
    <w:rsid w:val="00A5273B"/>
    <w:rsid w:val="00A53A9D"/>
    <w:rsid w:val="00A62C1A"/>
    <w:rsid w:val="00A6426D"/>
    <w:rsid w:val="00A70622"/>
    <w:rsid w:val="00A70977"/>
    <w:rsid w:val="00A8390C"/>
    <w:rsid w:val="00AA4D1C"/>
    <w:rsid w:val="00AA703D"/>
    <w:rsid w:val="00AC5206"/>
    <w:rsid w:val="00AE11A5"/>
    <w:rsid w:val="00AF640E"/>
    <w:rsid w:val="00AF68CC"/>
    <w:rsid w:val="00AF70E7"/>
    <w:rsid w:val="00B035F6"/>
    <w:rsid w:val="00B04D0A"/>
    <w:rsid w:val="00B17D63"/>
    <w:rsid w:val="00B205AA"/>
    <w:rsid w:val="00B22E84"/>
    <w:rsid w:val="00B2342D"/>
    <w:rsid w:val="00B25F75"/>
    <w:rsid w:val="00B43E90"/>
    <w:rsid w:val="00B56118"/>
    <w:rsid w:val="00B6773F"/>
    <w:rsid w:val="00B67AEF"/>
    <w:rsid w:val="00B67EE9"/>
    <w:rsid w:val="00B76CAA"/>
    <w:rsid w:val="00B801BA"/>
    <w:rsid w:val="00B90138"/>
    <w:rsid w:val="00BA4508"/>
    <w:rsid w:val="00BA72FD"/>
    <w:rsid w:val="00BB69F5"/>
    <w:rsid w:val="00BB7EC3"/>
    <w:rsid w:val="00BC1B9A"/>
    <w:rsid w:val="00BC4B9A"/>
    <w:rsid w:val="00BD3873"/>
    <w:rsid w:val="00BD784C"/>
    <w:rsid w:val="00BE491A"/>
    <w:rsid w:val="00BF4CB6"/>
    <w:rsid w:val="00C00DA7"/>
    <w:rsid w:val="00C01E1D"/>
    <w:rsid w:val="00C06B01"/>
    <w:rsid w:val="00C11E39"/>
    <w:rsid w:val="00C12768"/>
    <w:rsid w:val="00C35996"/>
    <w:rsid w:val="00C40348"/>
    <w:rsid w:val="00C5342C"/>
    <w:rsid w:val="00C6256A"/>
    <w:rsid w:val="00C70C65"/>
    <w:rsid w:val="00C7734A"/>
    <w:rsid w:val="00C83856"/>
    <w:rsid w:val="00C85340"/>
    <w:rsid w:val="00C91449"/>
    <w:rsid w:val="00C92554"/>
    <w:rsid w:val="00C92D10"/>
    <w:rsid w:val="00CA2E7B"/>
    <w:rsid w:val="00CD59AB"/>
    <w:rsid w:val="00CE10C4"/>
    <w:rsid w:val="00CE27B5"/>
    <w:rsid w:val="00D0321E"/>
    <w:rsid w:val="00D07C30"/>
    <w:rsid w:val="00D1455A"/>
    <w:rsid w:val="00D3280C"/>
    <w:rsid w:val="00D3406A"/>
    <w:rsid w:val="00D469B2"/>
    <w:rsid w:val="00D621E1"/>
    <w:rsid w:val="00D741EB"/>
    <w:rsid w:val="00D75AA5"/>
    <w:rsid w:val="00D81AF5"/>
    <w:rsid w:val="00D91271"/>
    <w:rsid w:val="00D913F6"/>
    <w:rsid w:val="00DA2539"/>
    <w:rsid w:val="00DA26EE"/>
    <w:rsid w:val="00DA2CB5"/>
    <w:rsid w:val="00DA4BAC"/>
    <w:rsid w:val="00DB312E"/>
    <w:rsid w:val="00DE4CCF"/>
    <w:rsid w:val="00DE6D27"/>
    <w:rsid w:val="00DF217D"/>
    <w:rsid w:val="00DF26A7"/>
    <w:rsid w:val="00E0073A"/>
    <w:rsid w:val="00E013DB"/>
    <w:rsid w:val="00E10B76"/>
    <w:rsid w:val="00E164B3"/>
    <w:rsid w:val="00E16910"/>
    <w:rsid w:val="00E2796B"/>
    <w:rsid w:val="00E47A5E"/>
    <w:rsid w:val="00E65E54"/>
    <w:rsid w:val="00E80155"/>
    <w:rsid w:val="00E848C0"/>
    <w:rsid w:val="00E91B96"/>
    <w:rsid w:val="00E941A1"/>
    <w:rsid w:val="00E95CE3"/>
    <w:rsid w:val="00EA2825"/>
    <w:rsid w:val="00EB5088"/>
    <w:rsid w:val="00EC6B5B"/>
    <w:rsid w:val="00ED1644"/>
    <w:rsid w:val="00ED5333"/>
    <w:rsid w:val="00ED7396"/>
    <w:rsid w:val="00EE7075"/>
    <w:rsid w:val="00EF21D5"/>
    <w:rsid w:val="00EF44A0"/>
    <w:rsid w:val="00F050BD"/>
    <w:rsid w:val="00F05657"/>
    <w:rsid w:val="00F12C42"/>
    <w:rsid w:val="00F13A46"/>
    <w:rsid w:val="00F25578"/>
    <w:rsid w:val="00F258E5"/>
    <w:rsid w:val="00F300BC"/>
    <w:rsid w:val="00F3334E"/>
    <w:rsid w:val="00F443C3"/>
    <w:rsid w:val="00F50EC4"/>
    <w:rsid w:val="00F57A6D"/>
    <w:rsid w:val="00F57F5F"/>
    <w:rsid w:val="00F638CC"/>
    <w:rsid w:val="00F702FB"/>
    <w:rsid w:val="00F8247A"/>
    <w:rsid w:val="00F9629A"/>
    <w:rsid w:val="00FA4CD6"/>
    <w:rsid w:val="00FA4EDC"/>
    <w:rsid w:val="00FA5883"/>
    <w:rsid w:val="00FA6055"/>
    <w:rsid w:val="00FB322F"/>
    <w:rsid w:val="00FB442F"/>
    <w:rsid w:val="00FC1929"/>
    <w:rsid w:val="00FC5B46"/>
    <w:rsid w:val="00FE4E3E"/>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DB312E"/>
    <w:pPr>
      <w:numPr>
        <w:numId w:val="25"/>
      </w:numPr>
      <w:jc w:val="both"/>
    </w:pPr>
    <w:rPr>
      <w:rFonts w:ascii="Arial" w:hAnsi="Arial"/>
      <w:b/>
      <w:sz w:val="22"/>
      <w:szCs w:val="22"/>
    </w:rPr>
  </w:style>
  <w:style w:type="table" w:customStyle="1" w:styleId="TableGrid1">
    <w:name w:val="Table Grid1"/>
    <w:basedOn w:val="TableNormal"/>
    <w:next w:val="TableGrid"/>
    <w:uiPriority w:val="59"/>
    <w:rsid w:val="00A405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Footnote Text Char Char1"/>
    <w:basedOn w:val="Normal"/>
    <w:link w:val="FootnoteTextChar"/>
    <w:unhideWhenUsed/>
    <w:rsid w:val="009F7265"/>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F726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F7265"/>
    <w:rPr>
      <w:vertAlign w:val="superscript"/>
    </w:rPr>
  </w:style>
  <w:style w:type="table" w:customStyle="1" w:styleId="TableGrid2">
    <w:name w:val="Table Grid2"/>
    <w:basedOn w:val="TableNormal"/>
    <w:next w:val="TableGrid"/>
    <w:uiPriority w:val="59"/>
    <w:rsid w:val="0097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BA72FD"/>
    <w:pPr>
      <w:spacing w:after="200"/>
    </w:pPr>
    <w:rPr>
      <w:rFonts w:asciiTheme="minorHAnsi" w:eastAsiaTheme="minorHAnsi" w:hAnsiTheme="minorHAnsi" w:cstheme="minorBidi"/>
      <w:i/>
      <w:iCs/>
      <w:color w:val="1F497D" w:themeColor="text2"/>
      <w:sz w:val="18"/>
      <w:szCs w:val="18"/>
      <w:lang w:eastAsia="en-US"/>
    </w:rPr>
  </w:style>
  <w:style w:type="character" w:customStyle="1" w:styleId="CaptionChar">
    <w:name w:val="Caption Char"/>
    <w:basedOn w:val="DefaultParagraphFont"/>
    <w:link w:val="Caption"/>
    <w:uiPriority w:val="35"/>
    <w:rsid w:val="00BA72FD"/>
    <w:rPr>
      <w:rFonts w:asciiTheme="minorHAnsi" w:eastAsiaTheme="minorHAnsi" w:hAnsiTheme="minorHAnsi" w:cstheme="minorBidi"/>
      <w:i/>
      <w:iCs/>
      <w:color w:val="1F497D" w:themeColor="text2"/>
      <w:sz w:val="18"/>
      <w:szCs w:val="18"/>
      <w:lang w:eastAsia="en-US"/>
    </w:rPr>
  </w:style>
  <w:style w:type="paragraph" w:customStyle="1" w:styleId="PBACTable">
    <w:name w:val="PBAC Table"/>
    <w:basedOn w:val="Normal"/>
    <w:link w:val="PBACTableChar"/>
    <w:qFormat/>
    <w:rsid w:val="00BA72FD"/>
    <w:pPr>
      <w:jc w:val="both"/>
    </w:pPr>
    <w:rPr>
      <w:rFonts w:ascii="Arial Narrow" w:eastAsia="SimSun" w:hAnsi="Arial Narrow" w:cs="Calibri"/>
      <w:color w:val="000000"/>
      <w:sz w:val="20"/>
      <w:szCs w:val="20"/>
      <w:lang w:eastAsia="zh-CN"/>
    </w:rPr>
  </w:style>
  <w:style w:type="character" w:customStyle="1" w:styleId="PBACTableChar">
    <w:name w:val="PBAC Table Char"/>
    <w:basedOn w:val="DefaultParagraphFont"/>
    <w:link w:val="PBACTable"/>
    <w:rsid w:val="00BA72FD"/>
    <w:rPr>
      <w:rFonts w:ascii="Arial Narrow" w:eastAsia="SimSun" w:hAnsi="Arial Narrow" w:cs="Calibri"/>
      <w:color w:val="000000"/>
      <w:lang w:eastAsia="zh-CN"/>
    </w:rPr>
  </w:style>
  <w:style w:type="character" w:customStyle="1" w:styleId="ListParagraphChar">
    <w:name w:val="List Paragraph Char"/>
    <w:link w:val="ListParagraph"/>
    <w:uiPriority w:val="99"/>
    <w:rsid w:val="005844BB"/>
    <w:rPr>
      <w:sz w:val="24"/>
      <w:szCs w:val="24"/>
    </w:rPr>
  </w:style>
  <w:style w:type="paragraph" w:styleId="Title">
    <w:name w:val="Title"/>
    <w:basedOn w:val="Normal"/>
    <w:next w:val="Normal"/>
    <w:link w:val="TitleChar"/>
    <w:qFormat/>
    <w:rsid w:val="00DB312E"/>
    <w:pPr>
      <w:ind w:left="720" w:hanging="720"/>
    </w:pPr>
    <w:rPr>
      <w:rFonts w:ascii="Arial" w:hAnsi="Arial"/>
      <w:b/>
      <w:sz w:val="28"/>
      <w:szCs w:val="28"/>
    </w:rPr>
  </w:style>
  <w:style w:type="character" w:customStyle="1" w:styleId="TitleChar">
    <w:name w:val="Title Char"/>
    <w:basedOn w:val="DefaultParagraphFont"/>
    <w:link w:val="Title"/>
    <w:rsid w:val="00DB312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DB312E"/>
    <w:pPr>
      <w:numPr>
        <w:numId w:val="25"/>
      </w:numPr>
      <w:jc w:val="both"/>
    </w:pPr>
    <w:rPr>
      <w:rFonts w:ascii="Arial" w:hAnsi="Arial"/>
      <w:b/>
      <w:sz w:val="22"/>
      <w:szCs w:val="22"/>
    </w:rPr>
  </w:style>
  <w:style w:type="table" w:customStyle="1" w:styleId="TableGrid1">
    <w:name w:val="Table Grid1"/>
    <w:basedOn w:val="TableNormal"/>
    <w:next w:val="TableGrid"/>
    <w:uiPriority w:val="59"/>
    <w:rsid w:val="00A405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Footnote Text Char Char1"/>
    <w:basedOn w:val="Normal"/>
    <w:link w:val="FootnoteTextChar"/>
    <w:unhideWhenUsed/>
    <w:rsid w:val="009F7265"/>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F726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F7265"/>
    <w:rPr>
      <w:vertAlign w:val="superscript"/>
    </w:rPr>
  </w:style>
  <w:style w:type="table" w:customStyle="1" w:styleId="TableGrid2">
    <w:name w:val="Table Grid2"/>
    <w:basedOn w:val="TableNormal"/>
    <w:next w:val="TableGrid"/>
    <w:uiPriority w:val="59"/>
    <w:rsid w:val="0097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BA72FD"/>
    <w:pPr>
      <w:spacing w:after="200"/>
    </w:pPr>
    <w:rPr>
      <w:rFonts w:asciiTheme="minorHAnsi" w:eastAsiaTheme="minorHAnsi" w:hAnsiTheme="minorHAnsi" w:cstheme="minorBidi"/>
      <w:i/>
      <w:iCs/>
      <w:color w:val="1F497D" w:themeColor="text2"/>
      <w:sz w:val="18"/>
      <w:szCs w:val="18"/>
      <w:lang w:eastAsia="en-US"/>
    </w:rPr>
  </w:style>
  <w:style w:type="character" w:customStyle="1" w:styleId="CaptionChar">
    <w:name w:val="Caption Char"/>
    <w:basedOn w:val="DefaultParagraphFont"/>
    <w:link w:val="Caption"/>
    <w:uiPriority w:val="35"/>
    <w:rsid w:val="00BA72FD"/>
    <w:rPr>
      <w:rFonts w:asciiTheme="minorHAnsi" w:eastAsiaTheme="minorHAnsi" w:hAnsiTheme="minorHAnsi" w:cstheme="minorBidi"/>
      <w:i/>
      <w:iCs/>
      <w:color w:val="1F497D" w:themeColor="text2"/>
      <w:sz w:val="18"/>
      <w:szCs w:val="18"/>
      <w:lang w:eastAsia="en-US"/>
    </w:rPr>
  </w:style>
  <w:style w:type="paragraph" w:customStyle="1" w:styleId="PBACTable">
    <w:name w:val="PBAC Table"/>
    <w:basedOn w:val="Normal"/>
    <w:link w:val="PBACTableChar"/>
    <w:qFormat/>
    <w:rsid w:val="00BA72FD"/>
    <w:pPr>
      <w:jc w:val="both"/>
    </w:pPr>
    <w:rPr>
      <w:rFonts w:ascii="Arial Narrow" w:eastAsia="SimSun" w:hAnsi="Arial Narrow" w:cs="Calibri"/>
      <w:color w:val="000000"/>
      <w:sz w:val="20"/>
      <w:szCs w:val="20"/>
      <w:lang w:eastAsia="zh-CN"/>
    </w:rPr>
  </w:style>
  <w:style w:type="character" w:customStyle="1" w:styleId="PBACTableChar">
    <w:name w:val="PBAC Table Char"/>
    <w:basedOn w:val="DefaultParagraphFont"/>
    <w:link w:val="PBACTable"/>
    <w:rsid w:val="00BA72FD"/>
    <w:rPr>
      <w:rFonts w:ascii="Arial Narrow" w:eastAsia="SimSun" w:hAnsi="Arial Narrow" w:cs="Calibri"/>
      <w:color w:val="000000"/>
      <w:lang w:eastAsia="zh-CN"/>
    </w:rPr>
  </w:style>
  <w:style w:type="character" w:customStyle="1" w:styleId="ListParagraphChar">
    <w:name w:val="List Paragraph Char"/>
    <w:link w:val="ListParagraph"/>
    <w:uiPriority w:val="99"/>
    <w:rsid w:val="005844BB"/>
    <w:rPr>
      <w:sz w:val="24"/>
      <w:szCs w:val="24"/>
    </w:rPr>
  </w:style>
  <w:style w:type="paragraph" w:styleId="Title">
    <w:name w:val="Title"/>
    <w:basedOn w:val="Normal"/>
    <w:next w:val="Normal"/>
    <w:link w:val="TitleChar"/>
    <w:qFormat/>
    <w:rsid w:val="00DB312E"/>
    <w:pPr>
      <w:ind w:left="720" w:hanging="720"/>
    </w:pPr>
    <w:rPr>
      <w:rFonts w:ascii="Arial" w:hAnsi="Arial"/>
      <w:b/>
      <w:sz w:val="28"/>
      <w:szCs w:val="28"/>
    </w:rPr>
  </w:style>
  <w:style w:type="character" w:customStyle="1" w:styleId="TitleChar">
    <w:name w:val="Title Char"/>
    <w:basedOn w:val="DefaultParagraphFont"/>
    <w:link w:val="Title"/>
    <w:rsid w:val="00DB312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0663672">
      <w:bodyDiv w:val="1"/>
      <w:marLeft w:val="0"/>
      <w:marRight w:val="0"/>
      <w:marTop w:val="0"/>
      <w:marBottom w:val="0"/>
      <w:divBdr>
        <w:top w:val="none" w:sz="0" w:space="0" w:color="auto"/>
        <w:left w:val="none" w:sz="0" w:space="0" w:color="auto"/>
        <w:bottom w:val="none" w:sz="0" w:space="0" w:color="auto"/>
        <w:right w:val="none" w:sz="0" w:space="0" w:color="auto"/>
      </w:divBdr>
      <w:divsChild>
        <w:div w:id="1121344714">
          <w:marLeft w:val="0"/>
          <w:marRight w:val="0"/>
          <w:marTop w:val="240"/>
          <w:marBottom w:val="480"/>
          <w:divBdr>
            <w:top w:val="none" w:sz="0" w:space="0" w:color="auto"/>
            <w:left w:val="none" w:sz="0" w:space="0" w:color="auto"/>
            <w:bottom w:val="none" w:sz="0" w:space="0" w:color="auto"/>
            <w:right w:val="none" w:sz="0" w:space="0" w:color="auto"/>
          </w:divBdr>
          <w:divsChild>
            <w:div w:id="141235196">
              <w:marLeft w:val="0"/>
              <w:marRight w:val="0"/>
              <w:marTop w:val="0"/>
              <w:marBottom w:val="0"/>
              <w:divBdr>
                <w:top w:val="none" w:sz="0" w:space="0" w:color="auto"/>
                <w:left w:val="none" w:sz="0" w:space="0" w:color="auto"/>
                <w:bottom w:val="none" w:sz="0" w:space="0" w:color="auto"/>
                <w:right w:val="none" w:sz="0" w:space="0" w:color="auto"/>
              </w:divBdr>
              <w:divsChild>
                <w:div w:id="1690789188">
                  <w:marLeft w:val="0"/>
                  <w:marRight w:val="0"/>
                  <w:marTop w:val="0"/>
                  <w:marBottom w:val="0"/>
                  <w:divBdr>
                    <w:top w:val="none" w:sz="0" w:space="0" w:color="auto"/>
                    <w:left w:val="none" w:sz="0" w:space="0" w:color="auto"/>
                    <w:bottom w:val="none" w:sz="0" w:space="0" w:color="auto"/>
                    <w:right w:val="none" w:sz="0" w:space="0" w:color="auto"/>
                  </w:divBdr>
                  <w:divsChild>
                    <w:div w:id="668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1928-F7C8-4909-BD30-C120C713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2674</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7.07 Follitropin alfa and lutropin alfa </vt:lpstr>
    </vt:vector>
  </TitlesOfParts>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7.07 Follitropin alfa and lutropin alfa</dc:title>
  <dc:creator/>
  <cp:lastModifiedBy/>
  <cp:revision>1</cp:revision>
  <dcterms:created xsi:type="dcterms:W3CDTF">2015-06-29T05:16:00Z</dcterms:created>
  <dcterms:modified xsi:type="dcterms:W3CDTF">2015-06-29T07:47:00Z</dcterms:modified>
</cp:coreProperties>
</file>