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50" w:rsidRPr="003A1B50" w:rsidRDefault="003A1B50" w:rsidP="003A1B50">
      <w:pPr>
        <w:jc w:val="left"/>
        <w:rPr>
          <w:b/>
        </w:rPr>
      </w:pPr>
      <w:bookmarkStart w:id="0" w:name="_Toc409518430"/>
      <w:r w:rsidRPr="003A1B50">
        <w:rPr>
          <w:b/>
          <w:sz w:val="28"/>
          <w:szCs w:val="28"/>
        </w:rPr>
        <w:t>7.01</w:t>
      </w:r>
      <w:r w:rsidRPr="003A1B50">
        <w:rPr>
          <w:b/>
          <w:sz w:val="28"/>
          <w:szCs w:val="28"/>
        </w:rPr>
        <w:tab/>
        <w:t xml:space="preserve">FEBUXOSTAT, </w:t>
      </w:r>
    </w:p>
    <w:p w:rsidR="003A1B50" w:rsidRDefault="003A1B50" w:rsidP="003A1B50">
      <w:pPr>
        <w:pStyle w:val="Heading1"/>
        <w:ind w:hanging="40"/>
        <w:rPr>
          <w:rFonts w:ascii="Arial" w:hAnsi="Arial"/>
          <w:sz w:val="28"/>
          <w:szCs w:val="28"/>
        </w:rPr>
      </w:pPr>
      <w:r w:rsidRPr="0068637D">
        <w:rPr>
          <w:rFonts w:ascii="Arial" w:hAnsi="Arial"/>
          <w:sz w:val="28"/>
          <w:szCs w:val="28"/>
        </w:rPr>
        <w:t xml:space="preserve">80 </w:t>
      </w:r>
      <w:r w:rsidRPr="0068637D">
        <w:rPr>
          <w:rFonts w:ascii="Arial" w:hAnsi="Arial"/>
          <w:caps w:val="0"/>
          <w:sz w:val="28"/>
          <w:szCs w:val="28"/>
        </w:rPr>
        <w:t>mg</w:t>
      </w:r>
      <w:r w:rsidRPr="0068637D">
        <w:rPr>
          <w:rFonts w:ascii="Arial" w:hAnsi="Arial"/>
          <w:sz w:val="28"/>
          <w:szCs w:val="28"/>
        </w:rPr>
        <w:t xml:space="preserve"> </w:t>
      </w:r>
      <w:r w:rsidRPr="0068637D">
        <w:rPr>
          <w:rFonts w:ascii="Arial" w:hAnsi="Arial"/>
          <w:caps w:val="0"/>
          <w:sz w:val="28"/>
          <w:szCs w:val="28"/>
        </w:rPr>
        <w:t>tablet</w:t>
      </w:r>
      <w:r w:rsidRPr="0068637D">
        <w:rPr>
          <w:rFonts w:ascii="Arial" w:hAnsi="Arial"/>
          <w:sz w:val="28"/>
          <w:szCs w:val="28"/>
        </w:rPr>
        <w:t xml:space="preserve">, 28, </w:t>
      </w:r>
    </w:p>
    <w:p w:rsidR="003A1B50" w:rsidRPr="0068637D" w:rsidRDefault="003A1B50" w:rsidP="003A1B50">
      <w:pPr>
        <w:pStyle w:val="Heading1"/>
        <w:ind w:hanging="40"/>
        <w:rPr>
          <w:rFonts w:ascii="Arial" w:hAnsi="Arial"/>
          <w:sz w:val="28"/>
          <w:szCs w:val="28"/>
        </w:rPr>
      </w:pPr>
      <w:proofErr w:type="spellStart"/>
      <w:r w:rsidRPr="0068637D">
        <w:rPr>
          <w:rFonts w:ascii="Arial" w:hAnsi="Arial"/>
          <w:sz w:val="28"/>
          <w:szCs w:val="28"/>
        </w:rPr>
        <w:t>A</w:t>
      </w:r>
      <w:r w:rsidRPr="0068637D">
        <w:rPr>
          <w:rFonts w:ascii="Arial" w:hAnsi="Arial"/>
          <w:caps w:val="0"/>
          <w:sz w:val="28"/>
          <w:szCs w:val="28"/>
        </w:rPr>
        <w:t>denuric</w:t>
      </w:r>
      <w:proofErr w:type="spellEnd"/>
      <w:r w:rsidRPr="00241499">
        <w:rPr>
          <w:rFonts w:ascii="Arial" w:hAnsi="Arial"/>
          <w:sz w:val="28"/>
          <w:szCs w:val="28"/>
          <w:vertAlign w:val="superscript"/>
        </w:rPr>
        <w:t>®</w:t>
      </w:r>
      <w:r w:rsidRPr="0068637D">
        <w:rPr>
          <w:rFonts w:ascii="Arial" w:hAnsi="Arial"/>
          <w:sz w:val="28"/>
          <w:szCs w:val="28"/>
        </w:rPr>
        <w:t xml:space="preserve">, </w:t>
      </w:r>
      <w:proofErr w:type="spellStart"/>
      <w:r>
        <w:rPr>
          <w:rFonts w:ascii="Arial" w:hAnsi="Arial"/>
          <w:caps w:val="0"/>
          <w:sz w:val="28"/>
          <w:szCs w:val="28"/>
        </w:rPr>
        <w:t>A.Menarini</w:t>
      </w:r>
      <w:proofErr w:type="spellEnd"/>
      <w:r>
        <w:rPr>
          <w:rFonts w:ascii="Arial" w:hAnsi="Arial"/>
          <w:caps w:val="0"/>
          <w:sz w:val="28"/>
          <w:szCs w:val="28"/>
        </w:rPr>
        <w:t xml:space="preserve"> Australia Pty L</w:t>
      </w:r>
      <w:r w:rsidRPr="0068637D">
        <w:rPr>
          <w:rFonts w:ascii="Arial" w:hAnsi="Arial"/>
          <w:caps w:val="0"/>
          <w:sz w:val="28"/>
          <w:szCs w:val="28"/>
        </w:rPr>
        <w:t>td</w:t>
      </w:r>
      <w:bookmarkEnd w:id="0"/>
      <w:r w:rsidRPr="0068637D">
        <w:rPr>
          <w:rFonts w:ascii="Arial" w:hAnsi="Arial"/>
          <w:caps w:val="0"/>
          <w:sz w:val="28"/>
          <w:szCs w:val="28"/>
        </w:rPr>
        <w:t xml:space="preserve"> </w:t>
      </w:r>
    </w:p>
    <w:p w:rsidR="006F70CF" w:rsidRDefault="006F70CF" w:rsidP="006F70CF"/>
    <w:p w:rsidR="003A1B50" w:rsidRPr="00297299" w:rsidRDefault="003A1B50" w:rsidP="006F70CF"/>
    <w:p w:rsidR="006F70CF" w:rsidRPr="00297299" w:rsidRDefault="006F70CF" w:rsidP="00C311A5">
      <w:pPr>
        <w:pStyle w:val="PBACheading1"/>
        <w:numPr>
          <w:ilvl w:val="0"/>
          <w:numId w:val="2"/>
        </w:numPr>
        <w:snapToGrid w:val="0"/>
        <w:rPr>
          <w:b/>
        </w:rPr>
      </w:pPr>
      <w:bookmarkStart w:id="1" w:name="_Toc280358236"/>
      <w:bookmarkStart w:id="2" w:name="_Toc409518432"/>
      <w:r w:rsidRPr="00297299">
        <w:rPr>
          <w:b/>
        </w:rPr>
        <w:t>Purpose of Application</w:t>
      </w:r>
      <w:bookmarkEnd w:id="1"/>
      <w:bookmarkEnd w:id="2"/>
    </w:p>
    <w:p w:rsidR="006F70CF" w:rsidRPr="00297299" w:rsidRDefault="006F70CF" w:rsidP="006F70CF">
      <w:pPr>
        <w:rPr>
          <w:szCs w:val="22"/>
        </w:rPr>
      </w:pPr>
    </w:p>
    <w:p w:rsidR="006F70CF" w:rsidRPr="00297299" w:rsidRDefault="00C46E66" w:rsidP="00C311A5">
      <w:pPr>
        <w:pStyle w:val="ListParagraph"/>
        <w:widowControl/>
        <w:numPr>
          <w:ilvl w:val="1"/>
          <w:numId w:val="2"/>
        </w:numPr>
        <w:snapToGrid w:val="0"/>
        <w:ind w:left="709" w:hanging="709"/>
        <w:rPr>
          <w:szCs w:val="22"/>
        </w:rPr>
      </w:pPr>
      <w:r>
        <w:t>The major re-submission s</w:t>
      </w:r>
      <w:r w:rsidR="00D01A14">
        <w:t>ought</w:t>
      </w:r>
      <w:r>
        <w:t xml:space="preserve"> an </w:t>
      </w:r>
      <w:r w:rsidR="006F70CF" w:rsidRPr="00297299">
        <w:t xml:space="preserve">Authority required (STREAMLINED) listing for </w:t>
      </w:r>
      <w:r>
        <w:t>the</w:t>
      </w:r>
      <w:r w:rsidR="006F70CF" w:rsidRPr="00297299">
        <w:t xml:space="preserve"> second-line treatment of chronic symptomatic gout.</w:t>
      </w:r>
    </w:p>
    <w:p w:rsidR="006F70CF" w:rsidRDefault="006F70CF" w:rsidP="006F70CF"/>
    <w:p w:rsidR="00FA200C" w:rsidRPr="00297299" w:rsidRDefault="00FA200C" w:rsidP="006F70CF"/>
    <w:p w:rsidR="006F70CF" w:rsidRPr="00297299" w:rsidRDefault="006F70CF" w:rsidP="00C311A5">
      <w:pPr>
        <w:pStyle w:val="PBACheading1"/>
        <w:numPr>
          <w:ilvl w:val="0"/>
          <w:numId w:val="2"/>
        </w:numPr>
        <w:snapToGrid w:val="0"/>
        <w:rPr>
          <w:b/>
        </w:rPr>
      </w:pPr>
      <w:bookmarkStart w:id="3" w:name="_Toc280358237"/>
      <w:bookmarkStart w:id="4" w:name="_Toc409518433"/>
      <w:r w:rsidRPr="00297299">
        <w:rPr>
          <w:b/>
        </w:rPr>
        <w:t xml:space="preserve">Requested listing </w:t>
      </w:r>
      <w:bookmarkEnd w:id="3"/>
      <w:bookmarkEnd w:id="4"/>
    </w:p>
    <w:p w:rsidR="006F70CF" w:rsidRPr="00297299" w:rsidRDefault="006F70CF" w:rsidP="006F70CF"/>
    <w:p w:rsidR="003D695D" w:rsidRDefault="006F70CF" w:rsidP="00C311A5">
      <w:pPr>
        <w:pStyle w:val="ListParagraph"/>
        <w:widowControl/>
        <w:numPr>
          <w:ilvl w:val="1"/>
          <w:numId w:val="6"/>
        </w:numPr>
        <w:snapToGrid w:val="0"/>
        <w:rPr>
          <w:szCs w:val="22"/>
        </w:rPr>
      </w:pPr>
      <w:r w:rsidRPr="00297299">
        <w:rPr>
          <w:szCs w:val="22"/>
        </w:rPr>
        <w:t>T</w:t>
      </w:r>
      <w:r w:rsidR="003D695D">
        <w:rPr>
          <w:szCs w:val="22"/>
        </w:rPr>
        <w:t xml:space="preserve">he </w:t>
      </w:r>
      <w:r w:rsidR="000E34A5">
        <w:rPr>
          <w:szCs w:val="22"/>
        </w:rPr>
        <w:t>re-</w:t>
      </w:r>
      <w:r w:rsidR="003D695D">
        <w:rPr>
          <w:szCs w:val="22"/>
        </w:rPr>
        <w:t>submission sought the following listing:</w:t>
      </w:r>
    </w:p>
    <w:p w:rsidR="003E3989" w:rsidRDefault="003E3989" w:rsidP="003E3989">
      <w:pPr>
        <w:pStyle w:val="ListParagraph"/>
        <w:widowControl/>
        <w:snapToGrid w:val="0"/>
        <w:rPr>
          <w:szCs w:val="22"/>
        </w:rPr>
      </w:pPr>
    </w:p>
    <w:tbl>
      <w:tblPr>
        <w:tblW w:w="4587" w:type="pct"/>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20"/>
        <w:gridCol w:w="1181"/>
        <w:gridCol w:w="117"/>
        <w:gridCol w:w="458"/>
        <w:gridCol w:w="142"/>
        <w:gridCol w:w="790"/>
        <w:gridCol w:w="115"/>
        <w:gridCol w:w="1725"/>
        <w:gridCol w:w="80"/>
        <w:gridCol w:w="933"/>
        <w:gridCol w:w="1363"/>
        <w:gridCol w:w="8"/>
      </w:tblGrid>
      <w:tr w:rsidR="003D695D" w:rsidRPr="00297299" w:rsidTr="00C46E66">
        <w:trPr>
          <w:cantSplit/>
          <w:trHeight w:val="471"/>
        </w:trPr>
        <w:tc>
          <w:tcPr>
            <w:tcW w:w="1561" w:type="pct"/>
            <w:gridSpan w:val="2"/>
            <w:tcBorders>
              <w:top w:val="single" w:sz="4" w:space="0" w:color="auto"/>
              <w:left w:val="single" w:sz="4" w:space="0" w:color="auto"/>
              <w:bottom w:val="single" w:sz="6" w:space="0" w:color="auto"/>
              <w:right w:val="single" w:sz="6" w:space="0" w:color="auto"/>
            </w:tcBorders>
            <w:vAlign w:val="center"/>
            <w:hideMark/>
          </w:tcPr>
          <w:p w:rsidR="003D695D" w:rsidRPr="00FE2F2D" w:rsidRDefault="003D695D" w:rsidP="00C46E66">
            <w:pPr>
              <w:keepNext/>
              <w:jc w:val="left"/>
              <w:rPr>
                <w:rFonts w:ascii="Arial Narrow" w:hAnsi="Arial Narrow"/>
                <w:sz w:val="20"/>
              </w:rPr>
            </w:pPr>
            <w:r w:rsidRPr="00FE2F2D">
              <w:rPr>
                <w:rFonts w:ascii="Arial Narrow" w:hAnsi="Arial Narrow"/>
                <w:sz w:val="20"/>
              </w:rPr>
              <w:t>Name, Restriction,</w:t>
            </w:r>
          </w:p>
          <w:p w:rsidR="003D695D" w:rsidRPr="00FE2F2D" w:rsidRDefault="003D695D" w:rsidP="00C46E66">
            <w:pPr>
              <w:keepNext/>
              <w:jc w:val="left"/>
              <w:rPr>
                <w:rFonts w:ascii="Arial Narrow" w:hAnsi="Arial Narrow"/>
                <w:sz w:val="20"/>
              </w:rPr>
            </w:pPr>
            <w:r w:rsidRPr="00FE2F2D">
              <w:rPr>
                <w:rFonts w:ascii="Arial Narrow" w:hAnsi="Arial Narrow"/>
                <w:sz w:val="20"/>
              </w:rPr>
              <w:t>Manner of administration and form</w:t>
            </w:r>
          </w:p>
        </w:tc>
        <w:tc>
          <w:tcPr>
            <w:tcW w:w="345" w:type="pct"/>
            <w:gridSpan w:val="2"/>
            <w:tcBorders>
              <w:top w:val="single" w:sz="4" w:space="0" w:color="auto"/>
              <w:left w:val="single" w:sz="6" w:space="0" w:color="auto"/>
              <w:bottom w:val="single" w:sz="6" w:space="0" w:color="auto"/>
              <w:right w:val="single" w:sz="6" w:space="0" w:color="auto"/>
            </w:tcBorders>
            <w:vAlign w:val="center"/>
            <w:hideMark/>
          </w:tcPr>
          <w:p w:rsidR="003D695D" w:rsidRPr="00FE2F2D" w:rsidRDefault="003D695D" w:rsidP="00C46E66">
            <w:pPr>
              <w:keepNext/>
              <w:jc w:val="center"/>
              <w:rPr>
                <w:rFonts w:ascii="Arial Narrow" w:hAnsi="Arial Narrow"/>
                <w:sz w:val="20"/>
              </w:rPr>
            </w:pPr>
            <w:r w:rsidRPr="00FE2F2D">
              <w:rPr>
                <w:rFonts w:ascii="Arial Narrow" w:hAnsi="Arial Narrow"/>
                <w:sz w:val="20"/>
              </w:rPr>
              <w:t>Max.</w:t>
            </w:r>
          </w:p>
          <w:p w:rsidR="003D695D" w:rsidRPr="00FE2F2D" w:rsidRDefault="003D695D" w:rsidP="00C46E66">
            <w:pPr>
              <w:keepNext/>
              <w:jc w:val="center"/>
              <w:rPr>
                <w:rFonts w:ascii="Arial Narrow" w:hAnsi="Arial Narrow"/>
                <w:sz w:val="20"/>
              </w:rPr>
            </w:pPr>
            <w:proofErr w:type="spellStart"/>
            <w:r w:rsidRPr="00FE2F2D">
              <w:rPr>
                <w:rFonts w:ascii="Arial Narrow" w:hAnsi="Arial Narrow"/>
                <w:sz w:val="20"/>
              </w:rPr>
              <w:t>Qty</w:t>
            </w:r>
            <w:proofErr w:type="spellEnd"/>
          </w:p>
        </w:tc>
        <w:tc>
          <w:tcPr>
            <w:tcW w:w="559" w:type="pct"/>
            <w:gridSpan w:val="2"/>
            <w:tcBorders>
              <w:top w:val="single" w:sz="4" w:space="0" w:color="auto"/>
              <w:left w:val="single" w:sz="6" w:space="0" w:color="auto"/>
              <w:bottom w:val="single" w:sz="6" w:space="0" w:color="auto"/>
              <w:right w:val="single" w:sz="6" w:space="0" w:color="auto"/>
            </w:tcBorders>
            <w:vAlign w:val="center"/>
            <w:hideMark/>
          </w:tcPr>
          <w:p w:rsidR="003D695D" w:rsidRPr="00FE2F2D" w:rsidRDefault="003D695D" w:rsidP="00C46E66">
            <w:pPr>
              <w:keepNext/>
              <w:jc w:val="center"/>
              <w:rPr>
                <w:rFonts w:ascii="Arial Narrow" w:hAnsi="Arial Narrow"/>
                <w:sz w:val="20"/>
              </w:rPr>
            </w:pPr>
            <w:r w:rsidRPr="00FE2F2D">
              <w:rPr>
                <w:rFonts w:ascii="Arial Narrow" w:hAnsi="Arial Narrow"/>
                <w:sz w:val="20"/>
              </w:rPr>
              <w:t>№.of</w:t>
            </w:r>
          </w:p>
          <w:p w:rsidR="003D695D" w:rsidRPr="00FE2F2D" w:rsidRDefault="003D695D" w:rsidP="00C46E66">
            <w:pPr>
              <w:keepNext/>
              <w:jc w:val="center"/>
              <w:rPr>
                <w:rFonts w:ascii="Arial Narrow" w:hAnsi="Arial Narrow"/>
                <w:sz w:val="20"/>
              </w:rPr>
            </w:pPr>
            <w:proofErr w:type="spellStart"/>
            <w:r w:rsidRPr="00FE2F2D">
              <w:rPr>
                <w:rFonts w:ascii="Arial Narrow" w:hAnsi="Arial Narrow"/>
                <w:sz w:val="20"/>
              </w:rPr>
              <w:t>Rpts</w:t>
            </w:r>
            <w:proofErr w:type="spellEnd"/>
          </w:p>
        </w:tc>
        <w:tc>
          <w:tcPr>
            <w:tcW w:w="1104" w:type="pct"/>
            <w:gridSpan w:val="2"/>
            <w:tcBorders>
              <w:top w:val="single" w:sz="4" w:space="0" w:color="auto"/>
              <w:left w:val="single" w:sz="6" w:space="0" w:color="auto"/>
              <w:bottom w:val="single" w:sz="6" w:space="0" w:color="auto"/>
              <w:right w:val="single" w:sz="6" w:space="0" w:color="auto"/>
            </w:tcBorders>
            <w:vAlign w:val="center"/>
            <w:hideMark/>
          </w:tcPr>
          <w:p w:rsidR="003D695D" w:rsidRPr="00FE2F2D" w:rsidRDefault="003D695D" w:rsidP="00C46E66">
            <w:pPr>
              <w:keepNext/>
              <w:snapToGrid w:val="0"/>
              <w:jc w:val="center"/>
              <w:rPr>
                <w:rFonts w:ascii="Arial Narrow" w:hAnsi="Arial Narrow"/>
                <w:sz w:val="20"/>
              </w:rPr>
            </w:pPr>
            <w:r w:rsidRPr="00FE2F2D">
              <w:rPr>
                <w:rFonts w:ascii="Arial Narrow" w:hAnsi="Arial Narrow"/>
                <w:sz w:val="20"/>
              </w:rPr>
              <w:t xml:space="preserve">Dispensed Price for Max. </w:t>
            </w:r>
            <w:proofErr w:type="spellStart"/>
            <w:r w:rsidRPr="00FE2F2D">
              <w:rPr>
                <w:rFonts w:ascii="Arial Narrow" w:hAnsi="Arial Narrow"/>
                <w:sz w:val="20"/>
              </w:rPr>
              <w:t>Qty</w:t>
            </w:r>
            <w:proofErr w:type="spellEnd"/>
          </w:p>
        </w:tc>
        <w:tc>
          <w:tcPr>
            <w:tcW w:w="1431" w:type="pct"/>
            <w:gridSpan w:val="4"/>
            <w:tcBorders>
              <w:top w:val="single" w:sz="4" w:space="0" w:color="auto"/>
              <w:left w:val="single" w:sz="6" w:space="0" w:color="auto"/>
              <w:bottom w:val="single" w:sz="6" w:space="0" w:color="auto"/>
              <w:right w:val="single" w:sz="4" w:space="0" w:color="auto"/>
            </w:tcBorders>
            <w:vAlign w:val="center"/>
            <w:hideMark/>
          </w:tcPr>
          <w:p w:rsidR="003D695D" w:rsidRPr="00FE2F2D" w:rsidRDefault="003D695D" w:rsidP="00C46E66">
            <w:pPr>
              <w:keepNext/>
              <w:snapToGrid w:val="0"/>
              <w:jc w:val="center"/>
              <w:rPr>
                <w:rFonts w:ascii="Arial Narrow" w:hAnsi="Arial Narrow"/>
                <w:sz w:val="20"/>
              </w:rPr>
            </w:pPr>
            <w:r w:rsidRPr="00FE2F2D">
              <w:rPr>
                <w:rFonts w:ascii="Arial Narrow" w:hAnsi="Arial Narrow"/>
                <w:sz w:val="20"/>
              </w:rPr>
              <w:t>Proprietary Name and Manufacturer</w:t>
            </w:r>
          </w:p>
        </w:tc>
      </w:tr>
      <w:tr w:rsidR="003D695D" w:rsidRPr="00297299" w:rsidTr="00C46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7"/>
        </w:trPr>
        <w:tc>
          <w:tcPr>
            <w:tcW w:w="1631" w:type="pct"/>
            <w:gridSpan w:val="3"/>
            <w:vAlign w:val="center"/>
          </w:tcPr>
          <w:p w:rsidR="003D695D" w:rsidRPr="00FE2F2D" w:rsidRDefault="003D695D" w:rsidP="00C46E66">
            <w:pPr>
              <w:keepNext/>
              <w:jc w:val="left"/>
              <w:rPr>
                <w:rFonts w:ascii="Arial Narrow" w:hAnsi="Arial Narrow"/>
                <w:smallCaps/>
                <w:sz w:val="20"/>
              </w:rPr>
            </w:pPr>
            <w:r w:rsidRPr="00FE2F2D">
              <w:rPr>
                <w:rFonts w:ascii="Arial Narrow" w:hAnsi="Arial Narrow"/>
                <w:smallCaps/>
                <w:sz w:val="20"/>
              </w:rPr>
              <w:t>FEBUXOSTAT T</w:t>
            </w:r>
            <w:r w:rsidRPr="00FE2F2D">
              <w:rPr>
                <w:rFonts w:ascii="Arial Narrow" w:hAnsi="Arial Narrow"/>
                <w:sz w:val="20"/>
              </w:rPr>
              <w:t xml:space="preserve">ablets </w:t>
            </w:r>
            <w:r w:rsidRPr="00FE2F2D">
              <w:rPr>
                <w:rFonts w:ascii="Arial Narrow" w:hAnsi="Arial Narrow"/>
                <w:smallCaps/>
                <w:sz w:val="20"/>
              </w:rPr>
              <w:t xml:space="preserve">80 </w:t>
            </w:r>
            <w:r w:rsidRPr="00FE2F2D">
              <w:rPr>
                <w:rFonts w:ascii="Arial Narrow" w:hAnsi="Arial Narrow"/>
                <w:sz w:val="20"/>
              </w:rPr>
              <w:t>mg</w:t>
            </w:r>
          </w:p>
        </w:tc>
        <w:tc>
          <w:tcPr>
            <w:tcW w:w="360" w:type="pct"/>
            <w:gridSpan w:val="2"/>
            <w:vAlign w:val="center"/>
          </w:tcPr>
          <w:p w:rsidR="003D695D" w:rsidRPr="00FE2F2D" w:rsidRDefault="003D695D" w:rsidP="00C46E66">
            <w:pPr>
              <w:keepNext/>
              <w:jc w:val="center"/>
              <w:rPr>
                <w:rFonts w:ascii="Arial Narrow" w:hAnsi="Arial Narrow"/>
                <w:sz w:val="20"/>
              </w:rPr>
            </w:pPr>
            <w:r w:rsidRPr="00FE2F2D">
              <w:rPr>
                <w:rFonts w:ascii="Arial Narrow" w:hAnsi="Arial Narrow"/>
                <w:sz w:val="20"/>
              </w:rPr>
              <w:t>28</w:t>
            </w:r>
          </w:p>
        </w:tc>
        <w:tc>
          <w:tcPr>
            <w:tcW w:w="543" w:type="pct"/>
            <w:gridSpan w:val="2"/>
            <w:vAlign w:val="center"/>
          </w:tcPr>
          <w:p w:rsidR="003D695D" w:rsidRPr="00FE2F2D" w:rsidRDefault="003D695D" w:rsidP="00C46E66">
            <w:pPr>
              <w:keepNext/>
              <w:jc w:val="center"/>
              <w:rPr>
                <w:rFonts w:ascii="Arial Narrow" w:hAnsi="Arial Narrow"/>
                <w:sz w:val="20"/>
              </w:rPr>
            </w:pPr>
            <w:r w:rsidRPr="00FE2F2D">
              <w:rPr>
                <w:rFonts w:ascii="Arial Narrow" w:hAnsi="Arial Narrow"/>
                <w:sz w:val="20"/>
              </w:rPr>
              <w:t>5</w:t>
            </w:r>
          </w:p>
        </w:tc>
        <w:tc>
          <w:tcPr>
            <w:tcW w:w="1083" w:type="pct"/>
            <w:gridSpan w:val="2"/>
            <w:vAlign w:val="center"/>
          </w:tcPr>
          <w:p w:rsidR="003D695D" w:rsidRPr="00FE2F2D" w:rsidRDefault="003D695D" w:rsidP="00C46E66">
            <w:pPr>
              <w:keepNext/>
              <w:jc w:val="center"/>
              <w:rPr>
                <w:rFonts w:ascii="Arial Narrow" w:hAnsi="Arial Narrow"/>
                <w:sz w:val="20"/>
              </w:rPr>
            </w:pPr>
            <w:r w:rsidRPr="00FE2F2D">
              <w:rPr>
                <w:rFonts w:ascii="Arial Narrow" w:hAnsi="Arial Narrow"/>
                <w:sz w:val="20"/>
              </w:rPr>
              <w:t>$</w:t>
            </w:r>
            <w:r w:rsidR="00470A32">
              <w:rPr>
                <w:rFonts w:ascii="Arial Narrow" w:hAnsi="Arial Narrow"/>
                <w:noProof/>
                <w:color w:val="000000"/>
                <w:sz w:val="20"/>
                <w:highlight w:val="black"/>
              </w:rPr>
              <w:t>''''''''''''</w:t>
            </w:r>
          </w:p>
        </w:tc>
        <w:tc>
          <w:tcPr>
            <w:tcW w:w="560" w:type="pct"/>
            <w:vAlign w:val="center"/>
          </w:tcPr>
          <w:p w:rsidR="003D695D" w:rsidRPr="00FE2F2D" w:rsidRDefault="003D695D" w:rsidP="00C46E66">
            <w:pPr>
              <w:keepNext/>
              <w:jc w:val="center"/>
              <w:rPr>
                <w:rFonts w:ascii="Arial Narrow" w:hAnsi="Arial Narrow"/>
                <w:sz w:val="20"/>
              </w:rPr>
            </w:pPr>
            <w:proofErr w:type="spellStart"/>
            <w:r w:rsidRPr="00FE2F2D">
              <w:rPr>
                <w:rFonts w:ascii="Arial Narrow" w:hAnsi="Arial Narrow"/>
                <w:sz w:val="20"/>
              </w:rPr>
              <w:t>Adenuric</w:t>
            </w:r>
            <w:proofErr w:type="spellEnd"/>
          </w:p>
        </w:tc>
        <w:tc>
          <w:tcPr>
            <w:tcW w:w="823" w:type="pct"/>
            <w:gridSpan w:val="2"/>
            <w:vAlign w:val="center"/>
          </w:tcPr>
          <w:p w:rsidR="003D695D" w:rsidRPr="00FE2F2D" w:rsidRDefault="003D695D" w:rsidP="00C46E66">
            <w:pPr>
              <w:keepNext/>
              <w:jc w:val="center"/>
              <w:rPr>
                <w:rFonts w:ascii="Arial Narrow" w:hAnsi="Arial Narrow"/>
                <w:sz w:val="20"/>
              </w:rPr>
            </w:pPr>
            <w:proofErr w:type="spellStart"/>
            <w:r w:rsidRPr="00FE2F2D">
              <w:rPr>
                <w:rFonts w:ascii="Arial Narrow" w:hAnsi="Arial Narrow"/>
                <w:sz w:val="20"/>
              </w:rPr>
              <w:t>A.Menarini</w:t>
            </w:r>
            <w:proofErr w:type="spellEnd"/>
          </w:p>
        </w:tc>
      </w:tr>
      <w:tr w:rsidR="003D695D" w:rsidRPr="00297299" w:rsidTr="00C46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 w:type="pct"/>
          <w:trHeight w:val="20"/>
        </w:trPr>
        <w:tc>
          <w:tcPr>
            <w:tcW w:w="4995" w:type="pct"/>
            <w:gridSpan w:val="11"/>
            <w:tcBorders>
              <w:top w:val="single" w:sz="4" w:space="0" w:color="auto"/>
              <w:left w:val="single" w:sz="4" w:space="0" w:color="auto"/>
              <w:bottom w:val="single" w:sz="4" w:space="0" w:color="auto"/>
              <w:right w:val="single" w:sz="4" w:space="0" w:color="auto"/>
            </w:tcBorders>
            <w:vAlign w:val="center"/>
            <w:hideMark/>
          </w:tcPr>
          <w:p w:rsidR="003D695D" w:rsidRPr="00297299" w:rsidRDefault="003D695D" w:rsidP="00C46E66">
            <w:pPr>
              <w:snapToGrid w:val="0"/>
              <w:spacing w:line="20" w:lineRule="atLeast"/>
              <w:rPr>
                <w:lang w:eastAsia="en-AU"/>
              </w:rPr>
            </w:pPr>
            <w:r w:rsidRPr="00297299">
              <w:rPr>
                <w:rFonts w:ascii="Arial Narrow" w:hAnsi="Arial Narrow"/>
                <w:b/>
                <w:bCs/>
                <w:sz w:val="20"/>
                <w:lang w:eastAsia="en-AU"/>
              </w:rPr>
              <w:t>Treatment phase:</w:t>
            </w:r>
          </w:p>
        </w:tc>
      </w:tr>
      <w:tr w:rsidR="003D695D" w:rsidRPr="00297299" w:rsidTr="00C46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 w:type="pct"/>
          <w:trHeight w:val="20"/>
        </w:trPr>
        <w:tc>
          <w:tcPr>
            <w:tcW w:w="852" w:type="pct"/>
            <w:tcBorders>
              <w:top w:val="single" w:sz="4" w:space="0" w:color="auto"/>
              <w:left w:val="single" w:sz="4" w:space="0" w:color="auto"/>
              <w:bottom w:val="single" w:sz="4" w:space="0" w:color="auto"/>
              <w:right w:val="single" w:sz="4" w:space="0" w:color="auto"/>
            </w:tcBorders>
            <w:hideMark/>
          </w:tcPr>
          <w:p w:rsidR="003D695D" w:rsidRPr="00297299" w:rsidRDefault="003D695D" w:rsidP="00C46E66">
            <w:pPr>
              <w:snapToGrid w:val="0"/>
              <w:spacing w:line="20" w:lineRule="atLeast"/>
              <w:rPr>
                <w:lang w:eastAsia="en-AU"/>
              </w:rPr>
            </w:pPr>
            <w:proofErr w:type="spellStart"/>
            <w:r w:rsidRPr="00297299">
              <w:rPr>
                <w:rFonts w:ascii="Arial Narrow" w:hAnsi="Arial Narrow"/>
                <w:sz w:val="20"/>
                <w:lang w:eastAsia="en-AU"/>
              </w:rPr>
              <w:t>Episodicity</w:t>
            </w:r>
            <w:proofErr w:type="spellEnd"/>
          </w:p>
        </w:tc>
        <w:tc>
          <w:tcPr>
            <w:tcW w:w="4143" w:type="pct"/>
            <w:gridSpan w:val="10"/>
            <w:tcBorders>
              <w:top w:val="single" w:sz="4" w:space="0" w:color="auto"/>
              <w:left w:val="single" w:sz="4" w:space="0" w:color="auto"/>
              <w:bottom w:val="single" w:sz="4" w:space="0" w:color="auto"/>
              <w:right w:val="single" w:sz="4" w:space="0" w:color="auto"/>
            </w:tcBorders>
          </w:tcPr>
          <w:p w:rsidR="003D695D" w:rsidRPr="00297299" w:rsidRDefault="003D695D" w:rsidP="00C46E66">
            <w:pPr>
              <w:snapToGrid w:val="0"/>
              <w:spacing w:line="20" w:lineRule="atLeast"/>
              <w:rPr>
                <w:rFonts w:ascii="Arial Narrow" w:hAnsi="Arial Narrow"/>
                <w:sz w:val="20"/>
                <w:szCs w:val="16"/>
                <w:lang w:eastAsia="en-AU"/>
              </w:rPr>
            </w:pPr>
            <w:r w:rsidRPr="00297299">
              <w:rPr>
                <w:rFonts w:ascii="Arial Narrow" w:hAnsi="Arial Narrow"/>
                <w:sz w:val="20"/>
                <w:szCs w:val="16"/>
              </w:rPr>
              <w:t>Chronic</w:t>
            </w:r>
          </w:p>
        </w:tc>
      </w:tr>
      <w:tr w:rsidR="003D695D" w:rsidRPr="00297299" w:rsidTr="00C46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 w:type="pct"/>
          <w:trHeight w:val="20"/>
        </w:trPr>
        <w:tc>
          <w:tcPr>
            <w:tcW w:w="852" w:type="pct"/>
            <w:tcBorders>
              <w:top w:val="single" w:sz="4" w:space="0" w:color="auto"/>
              <w:left w:val="single" w:sz="4" w:space="0" w:color="auto"/>
              <w:bottom w:val="single" w:sz="4" w:space="0" w:color="auto"/>
              <w:right w:val="single" w:sz="4" w:space="0" w:color="auto"/>
            </w:tcBorders>
            <w:hideMark/>
          </w:tcPr>
          <w:p w:rsidR="003D695D" w:rsidRPr="00297299" w:rsidRDefault="003D695D" w:rsidP="00C46E66">
            <w:pPr>
              <w:snapToGrid w:val="0"/>
              <w:spacing w:line="20" w:lineRule="atLeast"/>
              <w:rPr>
                <w:lang w:eastAsia="en-AU"/>
              </w:rPr>
            </w:pPr>
            <w:r w:rsidRPr="00297299">
              <w:rPr>
                <w:rFonts w:ascii="Arial Narrow" w:hAnsi="Arial Narrow"/>
                <w:sz w:val="20"/>
                <w:lang w:eastAsia="en-AU"/>
              </w:rPr>
              <w:t>Severity</w:t>
            </w:r>
          </w:p>
        </w:tc>
        <w:tc>
          <w:tcPr>
            <w:tcW w:w="4143" w:type="pct"/>
            <w:gridSpan w:val="10"/>
            <w:tcBorders>
              <w:top w:val="single" w:sz="4" w:space="0" w:color="auto"/>
              <w:left w:val="single" w:sz="4" w:space="0" w:color="auto"/>
              <w:bottom w:val="single" w:sz="4" w:space="0" w:color="auto"/>
              <w:right w:val="single" w:sz="4" w:space="0" w:color="auto"/>
            </w:tcBorders>
          </w:tcPr>
          <w:p w:rsidR="003D695D" w:rsidRPr="00297299" w:rsidRDefault="003D695D" w:rsidP="00C46E66">
            <w:pPr>
              <w:snapToGrid w:val="0"/>
              <w:spacing w:line="20" w:lineRule="atLeast"/>
              <w:rPr>
                <w:rFonts w:ascii="Arial Narrow" w:hAnsi="Arial Narrow"/>
                <w:sz w:val="20"/>
                <w:szCs w:val="16"/>
                <w:lang w:eastAsia="en-AU"/>
              </w:rPr>
            </w:pPr>
            <w:r w:rsidRPr="00297299">
              <w:rPr>
                <w:rFonts w:ascii="Arial Narrow" w:hAnsi="Arial Narrow"/>
                <w:sz w:val="20"/>
                <w:szCs w:val="16"/>
              </w:rPr>
              <w:t>Symptomatic</w:t>
            </w:r>
          </w:p>
        </w:tc>
      </w:tr>
      <w:tr w:rsidR="003D695D" w:rsidRPr="00297299" w:rsidTr="00C46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 w:type="pct"/>
          <w:trHeight w:val="20"/>
        </w:trPr>
        <w:tc>
          <w:tcPr>
            <w:tcW w:w="852" w:type="pct"/>
            <w:tcBorders>
              <w:top w:val="single" w:sz="4" w:space="0" w:color="auto"/>
              <w:left w:val="single" w:sz="4" w:space="0" w:color="auto"/>
              <w:bottom w:val="single" w:sz="4" w:space="0" w:color="auto"/>
              <w:right w:val="single" w:sz="4" w:space="0" w:color="auto"/>
            </w:tcBorders>
            <w:hideMark/>
          </w:tcPr>
          <w:p w:rsidR="003D695D" w:rsidRPr="00297299" w:rsidRDefault="003D695D" w:rsidP="00C46E66">
            <w:pPr>
              <w:snapToGrid w:val="0"/>
              <w:spacing w:line="20" w:lineRule="atLeast"/>
              <w:rPr>
                <w:lang w:eastAsia="en-AU"/>
              </w:rPr>
            </w:pPr>
            <w:r w:rsidRPr="00297299">
              <w:rPr>
                <w:rFonts w:ascii="Arial Narrow" w:hAnsi="Arial Narrow"/>
                <w:sz w:val="20"/>
                <w:lang w:eastAsia="en-AU"/>
              </w:rPr>
              <w:t>Condition</w:t>
            </w:r>
          </w:p>
        </w:tc>
        <w:tc>
          <w:tcPr>
            <w:tcW w:w="4143" w:type="pct"/>
            <w:gridSpan w:val="10"/>
            <w:tcBorders>
              <w:top w:val="single" w:sz="4" w:space="0" w:color="auto"/>
              <w:left w:val="single" w:sz="4" w:space="0" w:color="auto"/>
              <w:bottom w:val="single" w:sz="4" w:space="0" w:color="auto"/>
              <w:right w:val="single" w:sz="4" w:space="0" w:color="auto"/>
            </w:tcBorders>
          </w:tcPr>
          <w:p w:rsidR="003D695D" w:rsidRPr="00297299" w:rsidRDefault="003D695D" w:rsidP="00C46E66">
            <w:pPr>
              <w:snapToGrid w:val="0"/>
              <w:spacing w:line="20" w:lineRule="atLeast"/>
              <w:rPr>
                <w:rFonts w:ascii="Arial Narrow" w:hAnsi="Arial Narrow"/>
                <w:sz w:val="20"/>
                <w:szCs w:val="16"/>
                <w:lang w:eastAsia="en-AU"/>
              </w:rPr>
            </w:pPr>
            <w:proofErr w:type="spellStart"/>
            <w:r w:rsidRPr="00297299">
              <w:rPr>
                <w:rFonts w:ascii="Arial Narrow" w:hAnsi="Arial Narrow"/>
                <w:sz w:val="20"/>
                <w:szCs w:val="16"/>
              </w:rPr>
              <w:t>Hyperuricaemia</w:t>
            </w:r>
            <w:proofErr w:type="spellEnd"/>
            <w:r w:rsidRPr="00297299">
              <w:rPr>
                <w:rFonts w:ascii="Arial Narrow" w:hAnsi="Arial Narrow"/>
                <w:sz w:val="20"/>
                <w:szCs w:val="16"/>
              </w:rPr>
              <w:t xml:space="preserve"> with deposition (chronic gout)</w:t>
            </w:r>
          </w:p>
        </w:tc>
      </w:tr>
      <w:tr w:rsidR="003D695D" w:rsidRPr="00297299" w:rsidTr="00C46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 w:type="pct"/>
          <w:trHeight w:val="20"/>
        </w:trPr>
        <w:tc>
          <w:tcPr>
            <w:tcW w:w="852" w:type="pct"/>
            <w:tcBorders>
              <w:top w:val="single" w:sz="4" w:space="0" w:color="auto"/>
              <w:left w:val="single" w:sz="4" w:space="0" w:color="auto"/>
              <w:bottom w:val="single" w:sz="4" w:space="0" w:color="auto"/>
              <w:right w:val="single" w:sz="4" w:space="0" w:color="auto"/>
            </w:tcBorders>
            <w:hideMark/>
          </w:tcPr>
          <w:p w:rsidR="003D695D" w:rsidRPr="00297299" w:rsidRDefault="003D695D" w:rsidP="00C46E66">
            <w:pPr>
              <w:snapToGrid w:val="0"/>
              <w:spacing w:line="20" w:lineRule="atLeast"/>
              <w:rPr>
                <w:lang w:eastAsia="en-AU"/>
              </w:rPr>
            </w:pPr>
            <w:r w:rsidRPr="00297299">
              <w:rPr>
                <w:rFonts w:ascii="Arial Narrow" w:hAnsi="Arial Narrow"/>
                <w:sz w:val="20"/>
                <w:lang w:eastAsia="en-AU"/>
              </w:rPr>
              <w:t>Restriction</w:t>
            </w:r>
          </w:p>
        </w:tc>
        <w:tc>
          <w:tcPr>
            <w:tcW w:w="4143" w:type="pct"/>
            <w:gridSpan w:val="10"/>
            <w:tcBorders>
              <w:top w:val="single" w:sz="4" w:space="0" w:color="auto"/>
              <w:left w:val="single" w:sz="4" w:space="0" w:color="auto"/>
              <w:bottom w:val="single" w:sz="4" w:space="0" w:color="auto"/>
              <w:right w:val="single" w:sz="4" w:space="0" w:color="auto"/>
            </w:tcBorders>
          </w:tcPr>
          <w:p w:rsidR="003D695D" w:rsidRPr="00297299" w:rsidRDefault="003D695D" w:rsidP="00C46E66">
            <w:pPr>
              <w:snapToGrid w:val="0"/>
              <w:spacing w:line="20" w:lineRule="atLeast"/>
              <w:rPr>
                <w:rFonts w:ascii="Arial Narrow" w:hAnsi="Arial Narrow"/>
                <w:sz w:val="20"/>
                <w:szCs w:val="16"/>
              </w:rPr>
            </w:pPr>
            <w:r w:rsidRPr="00297299">
              <w:rPr>
                <w:rFonts w:ascii="Arial Narrow" w:hAnsi="Arial Narrow"/>
                <w:sz w:val="20"/>
                <w:szCs w:val="16"/>
              </w:rPr>
              <w:t>Section 85 (General Schedule)</w:t>
            </w:r>
          </w:p>
          <w:p w:rsidR="003D695D" w:rsidRPr="00297299" w:rsidRDefault="003D695D" w:rsidP="00C46E66">
            <w:pPr>
              <w:snapToGrid w:val="0"/>
              <w:spacing w:line="20" w:lineRule="atLeast"/>
              <w:rPr>
                <w:rFonts w:ascii="Arial Narrow" w:hAnsi="Arial Narrow"/>
                <w:sz w:val="20"/>
                <w:szCs w:val="16"/>
              </w:rPr>
            </w:pPr>
            <w:r w:rsidRPr="00297299">
              <w:rPr>
                <w:rFonts w:ascii="Arial Narrow" w:hAnsi="Arial Narrow"/>
                <w:sz w:val="20"/>
                <w:szCs w:val="16"/>
              </w:rPr>
              <w:t>Authority required (STREAMLINED)</w:t>
            </w:r>
          </w:p>
          <w:p w:rsidR="003D695D" w:rsidRPr="00297299" w:rsidRDefault="003D695D" w:rsidP="00C46E66">
            <w:pPr>
              <w:snapToGrid w:val="0"/>
              <w:spacing w:line="20" w:lineRule="atLeast"/>
              <w:rPr>
                <w:rFonts w:ascii="Arial Narrow" w:hAnsi="Arial Narrow"/>
                <w:sz w:val="20"/>
                <w:szCs w:val="16"/>
                <w:lang w:eastAsia="en-AU"/>
              </w:rPr>
            </w:pPr>
            <w:r w:rsidRPr="00297299">
              <w:rPr>
                <w:rFonts w:ascii="Arial Narrow" w:hAnsi="Arial Narrow"/>
                <w:sz w:val="20"/>
                <w:szCs w:val="16"/>
              </w:rPr>
              <w:t>Initial and continuing</w:t>
            </w:r>
          </w:p>
        </w:tc>
      </w:tr>
      <w:tr w:rsidR="003D695D" w:rsidRPr="00297299" w:rsidTr="00C46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 w:type="pct"/>
          <w:trHeight w:val="20"/>
        </w:trPr>
        <w:tc>
          <w:tcPr>
            <w:tcW w:w="852" w:type="pct"/>
            <w:tcBorders>
              <w:top w:val="single" w:sz="4" w:space="0" w:color="auto"/>
              <w:left w:val="single" w:sz="4" w:space="0" w:color="auto"/>
              <w:bottom w:val="single" w:sz="4" w:space="0" w:color="auto"/>
              <w:right w:val="single" w:sz="4" w:space="0" w:color="auto"/>
            </w:tcBorders>
            <w:hideMark/>
          </w:tcPr>
          <w:p w:rsidR="003D695D" w:rsidRPr="00297299" w:rsidRDefault="003D695D" w:rsidP="00C46E66">
            <w:pPr>
              <w:snapToGrid w:val="0"/>
              <w:spacing w:line="20" w:lineRule="atLeast"/>
              <w:rPr>
                <w:lang w:eastAsia="en-AU"/>
              </w:rPr>
            </w:pPr>
            <w:r w:rsidRPr="00297299">
              <w:rPr>
                <w:rFonts w:ascii="Arial Narrow" w:hAnsi="Arial Narrow"/>
                <w:sz w:val="20"/>
                <w:lang w:eastAsia="en-AU"/>
              </w:rPr>
              <w:t>Treatment criteria</w:t>
            </w:r>
          </w:p>
        </w:tc>
        <w:tc>
          <w:tcPr>
            <w:tcW w:w="4143" w:type="pct"/>
            <w:gridSpan w:val="10"/>
            <w:tcBorders>
              <w:top w:val="single" w:sz="4" w:space="0" w:color="auto"/>
              <w:left w:val="single" w:sz="4" w:space="0" w:color="auto"/>
              <w:bottom w:val="single" w:sz="4" w:space="0" w:color="auto"/>
              <w:right w:val="single" w:sz="4" w:space="0" w:color="auto"/>
            </w:tcBorders>
          </w:tcPr>
          <w:p w:rsidR="003D695D" w:rsidRPr="00297299" w:rsidRDefault="003D695D" w:rsidP="00C46E66">
            <w:pPr>
              <w:jc w:val="left"/>
              <w:rPr>
                <w:rFonts w:ascii="Arial Narrow" w:hAnsi="Arial Narrow"/>
                <w:sz w:val="20"/>
                <w:szCs w:val="16"/>
                <w:lang w:eastAsia="en-AU"/>
              </w:rPr>
            </w:pPr>
            <w:r w:rsidRPr="00297299">
              <w:rPr>
                <w:rFonts w:ascii="Arial Narrow" w:hAnsi="Arial Narrow"/>
                <w:sz w:val="20"/>
              </w:rPr>
              <w:t>The patient must have received previous treatment with allopurinol for this condition</w:t>
            </w:r>
          </w:p>
        </w:tc>
      </w:tr>
      <w:tr w:rsidR="003D695D" w:rsidRPr="00297299" w:rsidTr="00C46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 w:type="pct"/>
          <w:trHeight w:val="20"/>
        </w:trPr>
        <w:tc>
          <w:tcPr>
            <w:tcW w:w="852" w:type="pct"/>
            <w:tcBorders>
              <w:top w:val="single" w:sz="4" w:space="0" w:color="auto"/>
              <w:left w:val="single" w:sz="4" w:space="0" w:color="auto"/>
              <w:bottom w:val="single" w:sz="4" w:space="0" w:color="auto"/>
              <w:right w:val="single" w:sz="4" w:space="0" w:color="auto"/>
            </w:tcBorders>
            <w:hideMark/>
          </w:tcPr>
          <w:p w:rsidR="003D695D" w:rsidRPr="00297299" w:rsidRDefault="003D695D" w:rsidP="00C46E66">
            <w:pPr>
              <w:snapToGrid w:val="0"/>
              <w:spacing w:line="20" w:lineRule="atLeast"/>
              <w:rPr>
                <w:lang w:eastAsia="en-AU"/>
              </w:rPr>
            </w:pPr>
            <w:r w:rsidRPr="00297299">
              <w:rPr>
                <w:rFonts w:ascii="Arial Narrow" w:hAnsi="Arial Narrow"/>
                <w:sz w:val="20"/>
                <w:lang w:eastAsia="en-AU"/>
              </w:rPr>
              <w:t>Clinical criteria</w:t>
            </w:r>
          </w:p>
        </w:tc>
        <w:tc>
          <w:tcPr>
            <w:tcW w:w="4143" w:type="pct"/>
            <w:gridSpan w:val="10"/>
            <w:tcBorders>
              <w:top w:val="single" w:sz="4" w:space="0" w:color="auto"/>
              <w:left w:val="single" w:sz="4" w:space="0" w:color="auto"/>
              <w:bottom w:val="single" w:sz="4" w:space="0" w:color="auto"/>
              <w:right w:val="single" w:sz="4" w:space="0" w:color="auto"/>
            </w:tcBorders>
          </w:tcPr>
          <w:p w:rsidR="003D695D" w:rsidRPr="00297299" w:rsidRDefault="003D695D" w:rsidP="00C46E66">
            <w:pPr>
              <w:snapToGrid w:val="0"/>
              <w:spacing w:line="20" w:lineRule="atLeast"/>
              <w:rPr>
                <w:rFonts w:ascii="Arial Narrow" w:hAnsi="Arial Narrow"/>
                <w:sz w:val="20"/>
                <w:szCs w:val="16"/>
                <w:lang w:eastAsia="en-AU"/>
              </w:rPr>
            </w:pPr>
            <w:r w:rsidRPr="00297299">
              <w:rPr>
                <w:rFonts w:ascii="Arial Narrow" w:hAnsi="Arial Narrow"/>
                <w:sz w:val="20"/>
                <w:szCs w:val="16"/>
                <w:lang w:eastAsia="en-AU"/>
              </w:rPr>
              <w:t>The patient must have a medical contraindication to allopurinol, a documented history of allopurinol hypersensitivity syndrome, or other intolerance to allopurinol warranting permanent discontinuation of treatment; OR</w:t>
            </w:r>
          </w:p>
          <w:p w:rsidR="003D695D" w:rsidRPr="00297299" w:rsidRDefault="003D695D" w:rsidP="00C46E66">
            <w:pPr>
              <w:snapToGrid w:val="0"/>
              <w:spacing w:line="20" w:lineRule="atLeast"/>
              <w:rPr>
                <w:rFonts w:ascii="Arial Narrow" w:hAnsi="Arial Narrow"/>
                <w:sz w:val="20"/>
                <w:szCs w:val="16"/>
                <w:lang w:eastAsia="en-AU"/>
              </w:rPr>
            </w:pPr>
            <w:r w:rsidRPr="00297299">
              <w:rPr>
                <w:rFonts w:ascii="Arial Narrow" w:hAnsi="Arial Narrow"/>
                <w:sz w:val="20"/>
                <w:szCs w:val="16"/>
                <w:lang w:eastAsia="en-AU"/>
              </w:rPr>
              <w:t>The patient must have a serum uric acid measurement &gt;357 µ</w:t>
            </w:r>
            <w:proofErr w:type="spellStart"/>
            <w:r w:rsidRPr="00297299">
              <w:rPr>
                <w:rFonts w:ascii="Arial Narrow" w:hAnsi="Arial Narrow"/>
                <w:sz w:val="20"/>
                <w:szCs w:val="16"/>
                <w:lang w:eastAsia="en-AU"/>
              </w:rPr>
              <w:t>mol</w:t>
            </w:r>
            <w:proofErr w:type="spellEnd"/>
            <w:r w:rsidRPr="00297299">
              <w:rPr>
                <w:rFonts w:ascii="Arial Narrow" w:hAnsi="Arial Narrow"/>
                <w:sz w:val="20"/>
                <w:szCs w:val="16"/>
                <w:lang w:eastAsia="en-AU"/>
              </w:rPr>
              <w:t>/L (6</w:t>
            </w:r>
            <w:r>
              <w:rPr>
                <w:rFonts w:ascii="Arial Narrow" w:hAnsi="Arial Narrow"/>
                <w:sz w:val="20"/>
                <w:szCs w:val="16"/>
                <w:lang w:eastAsia="en-AU"/>
              </w:rPr>
              <w:t xml:space="preserve"> </w:t>
            </w:r>
            <w:r w:rsidRPr="00297299">
              <w:rPr>
                <w:rFonts w:ascii="Arial Narrow" w:hAnsi="Arial Narrow"/>
                <w:sz w:val="20"/>
                <w:szCs w:val="16"/>
                <w:lang w:eastAsia="en-AU"/>
              </w:rPr>
              <w:t>mg/</w:t>
            </w:r>
            <w:proofErr w:type="spellStart"/>
            <w:r w:rsidRPr="00297299">
              <w:rPr>
                <w:rFonts w:ascii="Arial Narrow" w:hAnsi="Arial Narrow"/>
                <w:sz w:val="20"/>
                <w:szCs w:val="16"/>
                <w:lang w:eastAsia="en-AU"/>
              </w:rPr>
              <w:t>dL</w:t>
            </w:r>
            <w:proofErr w:type="spellEnd"/>
            <w:r w:rsidRPr="00297299">
              <w:rPr>
                <w:rFonts w:ascii="Arial Narrow" w:hAnsi="Arial Narrow"/>
                <w:sz w:val="20"/>
                <w:szCs w:val="16"/>
                <w:lang w:eastAsia="en-AU"/>
              </w:rPr>
              <w:t xml:space="preserve">) despite a titrated allopurinol dose ≥600 mg/day, or have had such a measurement prior to initiation of treatment with </w:t>
            </w:r>
            <w:proofErr w:type="spellStart"/>
            <w:r w:rsidRPr="00297299">
              <w:rPr>
                <w:rFonts w:ascii="Arial Narrow" w:hAnsi="Arial Narrow"/>
                <w:sz w:val="20"/>
                <w:szCs w:val="16"/>
                <w:lang w:eastAsia="en-AU"/>
              </w:rPr>
              <w:t>febuxostat</w:t>
            </w:r>
            <w:proofErr w:type="spellEnd"/>
            <w:r w:rsidRPr="00297299">
              <w:rPr>
                <w:rFonts w:ascii="Arial Narrow" w:hAnsi="Arial Narrow"/>
                <w:sz w:val="20"/>
                <w:szCs w:val="16"/>
                <w:lang w:eastAsia="en-AU"/>
              </w:rPr>
              <w:t>; OR</w:t>
            </w:r>
          </w:p>
          <w:p w:rsidR="003D695D" w:rsidRPr="00297299" w:rsidRDefault="003D695D" w:rsidP="00C46E66">
            <w:pPr>
              <w:snapToGrid w:val="0"/>
              <w:spacing w:line="20" w:lineRule="atLeast"/>
              <w:rPr>
                <w:lang w:eastAsia="en-AU"/>
              </w:rPr>
            </w:pPr>
            <w:r w:rsidRPr="00297299">
              <w:rPr>
                <w:rFonts w:ascii="Arial Narrow" w:hAnsi="Arial Narrow"/>
                <w:sz w:val="20"/>
                <w:szCs w:val="16"/>
                <w:lang w:eastAsia="en-AU"/>
              </w:rPr>
              <w:t>The patient must have moderate to severe renal impairment, equivalent to Stage III or greater Chronic Kidney Disease (</w:t>
            </w:r>
            <w:proofErr w:type="spellStart"/>
            <w:r w:rsidRPr="00297299">
              <w:rPr>
                <w:rFonts w:ascii="Arial Narrow" w:hAnsi="Arial Narrow"/>
                <w:sz w:val="20"/>
                <w:szCs w:val="16"/>
                <w:lang w:eastAsia="en-AU"/>
              </w:rPr>
              <w:t>eGFR</w:t>
            </w:r>
            <w:proofErr w:type="spellEnd"/>
            <w:r w:rsidRPr="00297299">
              <w:rPr>
                <w:rFonts w:ascii="Arial Narrow" w:hAnsi="Arial Narrow"/>
                <w:sz w:val="20"/>
                <w:szCs w:val="16"/>
                <w:lang w:eastAsia="en-AU"/>
              </w:rPr>
              <w:t xml:space="preserve"> &lt;60 ml/min/1.73</w:t>
            </w:r>
            <w:r>
              <w:rPr>
                <w:rFonts w:ascii="Arial Narrow" w:hAnsi="Arial Narrow"/>
                <w:sz w:val="20"/>
                <w:szCs w:val="16"/>
                <w:lang w:eastAsia="en-AU"/>
              </w:rPr>
              <w:t xml:space="preserve"> </w:t>
            </w:r>
            <w:r w:rsidRPr="00297299">
              <w:rPr>
                <w:rFonts w:ascii="Arial Narrow" w:hAnsi="Arial Narrow"/>
                <w:sz w:val="20"/>
                <w:szCs w:val="16"/>
                <w:lang w:eastAsia="en-AU"/>
              </w:rPr>
              <w:t>m</w:t>
            </w:r>
            <w:r w:rsidRPr="00297299">
              <w:rPr>
                <w:rFonts w:ascii="Arial Narrow" w:hAnsi="Arial Narrow"/>
                <w:sz w:val="20"/>
                <w:szCs w:val="16"/>
                <w:vertAlign w:val="superscript"/>
                <w:lang w:eastAsia="en-AU"/>
              </w:rPr>
              <w:t>2</w:t>
            </w:r>
            <w:r w:rsidRPr="00297299">
              <w:rPr>
                <w:rFonts w:ascii="Arial Narrow" w:hAnsi="Arial Narrow"/>
                <w:sz w:val="20"/>
                <w:szCs w:val="16"/>
                <w:lang w:eastAsia="en-AU"/>
              </w:rPr>
              <w:t>), and have a serum uric acid measurement &gt;357 µ</w:t>
            </w:r>
            <w:proofErr w:type="spellStart"/>
            <w:r w:rsidRPr="00297299">
              <w:rPr>
                <w:rFonts w:ascii="Arial Narrow" w:hAnsi="Arial Narrow"/>
                <w:sz w:val="20"/>
                <w:szCs w:val="16"/>
                <w:lang w:eastAsia="en-AU"/>
              </w:rPr>
              <w:t>mol</w:t>
            </w:r>
            <w:proofErr w:type="spellEnd"/>
            <w:r w:rsidRPr="00297299">
              <w:rPr>
                <w:rFonts w:ascii="Arial Narrow" w:hAnsi="Arial Narrow"/>
                <w:sz w:val="20"/>
                <w:szCs w:val="16"/>
                <w:lang w:eastAsia="en-AU"/>
              </w:rPr>
              <w:t>/L (6</w:t>
            </w:r>
            <w:r>
              <w:rPr>
                <w:rFonts w:ascii="Arial Narrow" w:hAnsi="Arial Narrow"/>
                <w:sz w:val="20"/>
                <w:szCs w:val="16"/>
                <w:lang w:eastAsia="en-AU"/>
              </w:rPr>
              <w:t xml:space="preserve"> </w:t>
            </w:r>
            <w:r w:rsidRPr="00297299">
              <w:rPr>
                <w:rFonts w:ascii="Arial Narrow" w:hAnsi="Arial Narrow"/>
                <w:sz w:val="20"/>
                <w:szCs w:val="16"/>
                <w:lang w:eastAsia="en-AU"/>
              </w:rPr>
              <w:t>mg/</w:t>
            </w:r>
            <w:proofErr w:type="spellStart"/>
            <w:r w:rsidRPr="00297299">
              <w:rPr>
                <w:rFonts w:ascii="Arial Narrow" w:hAnsi="Arial Narrow"/>
                <w:sz w:val="20"/>
                <w:szCs w:val="16"/>
                <w:lang w:eastAsia="en-AU"/>
              </w:rPr>
              <w:t>dL</w:t>
            </w:r>
            <w:proofErr w:type="spellEnd"/>
            <w:r w:rsidRPr="00297299">
              <w:rPr>
                <w:rFonts w:ascii="Arial Narrow" w:hAnsi="Arial Narrow"/>
                <w:sz w:val="20"/>
                <w:szCs w:val="16"/>
                <w:lang w:eastAsia="en-AU"/>
              </w:rPr>
              <w:t>) despite the maximum titrated dose of allopurinol permitted by renal function status.</w:t>
            </w:r>
          </w:p>
        </w:tc>
      </w:tr>
    </w:tbl>
    <w:p w:rsidR="003D695D" w:rsidRPr="003D695D" w:rsidRDefault="003D695D" w:rsidP="003D695D">
      <w:pPr>
        <w:widowControl/>
        <w:snapToGrid w:val="0"/>
        <w:rPr>
          <w:szCs w:val="22"/>
        </w:rPr>
      </w:pPr>
    </w:p>
    <w:p w:rsidR="006B086A" w:rsidRDefault="001D61A3" w:rsidP="00C311A5">
      <w:pPr>
        <w:pStyle w:val="ListParagraph"/>
        <w:widowControl/>
        <w:numPr>
          <w:ilvl w:val="1"/>
          <w:numId w:val="6"/>
        </w:numPr>
        <w:snapToGrid w:val="0"/>
        <w:rPr>
          <w:szCs w:val="22"/>
        </w:rPr>
      </w:pPr>
      <w:r>
        <w:rPr>
          <w:szCs w:val="22"/>
        </w:rPr>
        <w:t>The</w:t>
      </w:r>
      <w:r w:rsidR="000D4878">
        <w:rPr>
          <w:szCs w:val="22"/>
        </w:rPr>
        <w:t xml:space="preserve"> </w:t>
      </w:r>
      <w:r w:rsidR="000D4878" w:rsidRPr="000D4878">
        <w:rPr>
          <w:szCs w:val="22"/>
        </w:rPr>
        <w:t xml:space="preserve">treatment criterion </w:t>
      </w:r>
      <w:r w:rsidR="000D4878">
        <w:rPr>
          <w:szCs w:val="22"/>
        </w:rPr>
        <w:t>of</w:t>
      </w:r>
      <w:r w:rsidR="000D4878" w:rsidRPr="000D4878">
        <w:rPr>
          <w:szCs w:val="22"/>
        </w:rPr>
        <w:t xml:space="preserve"> ‘The patient must have received previous treatment with al</w:t>
      </w:r>
      <w:r w:rsidR="00F62E21">
        <w:rPr>
          <w:szCs w:val="22"/>
        </w:rPr>
        <w:t>lopurinol for this condition’ wa</w:t>
      </w:r>
      <w:r w:rsidR="000D4878">
        <w:rPr>
          <w:szCs w:val="22"/>
        </w:rPr>
        <w:t xml:space="preserve">s incompatible with the </w:t>
      </w:r>
      <w:r>
        <w:rPr>
          <w:szCs w:val="22"/>
        </w:rPr>
        <w:t>clinical criterion</w:t>
      </w:r>
      <w:r w:rsidR="000D4878">
        <w:rPr>
          <w:szCs w:val="22"/>
        </w:rPr>
        <w:t xml:space="preserve"> that </w:t>
      </w:r>
      <w:r>
        <w:rPr>
          <w:szCs w:val="22"/>
        </w:rPr>
        <w:t xml:space="preserve">a ‘patient </w:t>
      </w:r>
      <w:proofErr w:type="gramStart"/>
      <w:r>
        <w:rPr>
          <w:szCs w:val="22"/>
        </w:rPr>
        <w:t>must</w:t>
      </w:r>
      <w:proofErr w:type="gramEnd"/>
      <w:r>
        <w:rPr>
          <w:szCs w:val="22"/>
        </w:rPr>
        <w:t xml:space="preserve"> have</w:t>
      </w:r>
      <w:r w:rsidR="000D4878" w:rsidRPr="000D4878">
        <w:rPr>
          <w:szCs w:val="22"/>
        </w:rPr>
        <w:t xml:space="preserve"> a medical contraindication to allopurino</w:t>
      </w:r>
      <w:r>
        <w:rPr>
          <w:szCs w:val="22"/>
        </w:rPr>
        <w:t>l’</w:t>
      </w:r>
      <w:r w:rsidR="000D4878" w:rsidRPr="000D4878">
        <w:rPr>
          <w:szCs w:val="22"/>
        </w:rPr>
        <w:t>.</w:t>
      </w:r>
    </w:p>
    <w:p w:rsidR="00F62E21" w:rsidRDefault="00F62E21" w:rsidP="00F62E21">
      <w:pPr>
        <w:pStyle w:val="ListParagraph"/>
        <w:widowControl/>
        <w:snapToGrid w:val="0"/>
        <w:rPr>
          <w:szCs w:val="22"/>
        </w:rPr>
      </w:pPr>
    </w:p>
    <w:p w:rsidR="00F62E21" w:rsidRPr="00F62E21" w:rsidRDefault="00F62E21" w:rsidP="00C311A5">
      <w:pPr>
        <w:pStyle w:val="ListParagraph"/>
        <w:numPr>
          <w:ilvl w:val="1"/>
          <w:numId w:val="6"/>
        </w:numPr>
        <w:rPr>
          <w:szCs w:val="22"/>
        </w:rPr>
      </w:pPr>
      <w:r>
        <w:rPr>
          <w:szCs w:val="22"/>
        </w:rPr>
        <w:t>A clinical issue identified in the ESC advice was w</w:t>
      </w:r>
      <w:r w:rsidRPr="00F62E21">
        <w:rPr>
          <w:szCs w:val="22"/>
        </w:rPr>
        <w:t>h</w:t>
      </w:r>
      <w:r>
        <w:rPr>
          <w:szCs w:val="22"/>
        </w:rPr>
        <w:t>ether the requested restriction had</w:t>
      </w:r>
      <w:r w:rsidRPr="00F62E21">
        <w:rPr>
          <w:szCs w:val="22"/>
        </w:rPr>
        <w:t xml:space="preserve"> adequately identified the population for whom </w:t>
      </w:r>
      <w:proofErr w:type="spellStart"/>
      <w:r w:rsidRPr="00F62E21">
        <w:rPr>
          <w:szCs w:val="22"/>
        </w:rPr>
        <w:t>febuxostat</w:t>
      </w:r>
      <w:proofErr w:type="spellEnd"/>
      <w:r w:rsidRPr="00F62E21">
        <w:rPr>
          <w:szCs w:val="22"/>
        </w:rPr>
        <w:t xml:space="preserve"> would benefit most.  The ESC acknowledged the need for a second line drug in the treatment of </w:t>
      </w:r>
      <w:r w:rsidR="00B13F11">
        <w:rPr>
          <w:szCs w:val="22"/>
        </w:rPr>
        <w:t>gout</w:t>
      </w:r>
      <w:r w:rsidR="008D2867">
        <w:rPr>
          <w:szCs w:val="22"/>
        </w:rPr>
        <w:t>,</w:t>
      </w:r>
      <w:r w:rsidR="00B13F11">
        <w:rPr>
          <w:szCs w:val="22"/>
        </w:rPr>
        <w:t xml:space="preserve"> </w:t>
      </w:r>
      <w:r w:rsidR="008D2867">
        <w:rPr>
          <w:szCs w:val="22"/>
        </w:rPr>
        <w:t xml:space="preserve">for </w:t>
      </w:r>
      <w:r w:rsidR="00B13F11">
        <w:rPr>
          <w:szCs w:val="22"/>
        </w:rPr>
        <w:t>patients with</w:t>
      </w:r>
      <w:r w:rsidR="00B13F11" w:rsidRPr="00F62E21">
        <w:rPr>
          <w:szCs w:val="22"/>
        </w:rPr>
        <w:t xml:space="preserve"> </w:t>
      </w:r>
      <w:r w:rsidRPr="00F62E21">
        <w:rPr>
          <w:szCs w:val="22"/>
        </w:rPr>
        <w:t>allopurinol-intoleran</w:t>
      </w:r>
      <w:r w:rsidR="00B13F11">
        <w:rPr>
          <w:szCs w:val="22"/>
        </w:rPr>
        <w:t>ce, or inadequate response to allopurinol (“</w:t>
      </w:r>
      <w:r w:rsidRPr="00F62E21">
        <w:rPr>
          <w:szCs w:val="22"/>
        </w:rPr>
        <w:t>allopurinol-insufficient</w:t>
      </w:r>
      <w:r w:rsidR="00B13F11">
        <w:rPr>
          <w:szCs w:val="22"/>
        </w:rPr>
        <w:t>”),</w:t>
      </w:r>
      <w:r w:rsidRPr="00F62E21">
        <w:rPr>
          <w:szCs w:val="22"/>
        </w:rPr>
        <w:t xml:space="preserve"> but noted that no data were presented on the use of </w:t>
      </w:r>
      <w:proofErr w:type="spellStart"/>
      <w:r w:rsidRPr="00F62E21">
        <w:rPr>
          <w:szCs w:val="22"/>
        </w:rPr>
        <w:t>febuxostat</w:t>
      </w:r>
      <w:proofErr w:type="spellEnd"/>
      <w:r w:rsidRPr="00F62E21">
        <w:rPr>
          <w:szCs w:val="22"/>
        </w:rPr>
        <w:t xml:space="preserve"> in these specific patient populations.  </w:t>
      </w:r>
    </w:p>
    <w:p w:rsidR="00FA200C" w:rsidRDefault="00FA200C" w:rsidP="006B086A">
      <w:pPr>
        <w:pStyle w:val="ListParagraph"/>
        <w:widowControl/>
        <w:snapToGrid w:val="0"/>
        <w:rPr>
          <w:szCs w:val="22"/>
        </w:rPr>
      </w:pPr>
    </w:p>
    <w:p w:rsidR="0040760C" w:rsidRPr="0040760C" w:rsidRDefault="0040760C" w:rsidP="0040760C">
      <w:pPr>
        <w:pStyle w:val="ListParagraph"/>
        <w:snapToGrid w:val="0"/>
        <w:rPr>
          <w:szCs w:val="22"/>
        </w:rPr>
      </w:pPr>
      <w:r w:rsidRPr="0040760C">
        <w:rPr>
          <w:i/>
          <w:szCs w:val="22"/>
        </w:rPr>
        <w:t>For more detail on PBAC’s view, see section 7 “PBAC outcome”</w:t>
      </w:r>
      <w:r w:rsidR="0087120F">
        <w:rPr>
          <w:i/>
          <w:szCs w:val="22"/>
        </w:rPr>
        <w:t>.</w:t>
      </w:r>
    </w:p>
    <w:p w:rsidR="001D61A3" w:rsidRDefault="001D61A3" w:rsidP="006B086A">
      <w:pPr>
        <w:pStyle w:val="ListParagraph"/>
        <w:widowControl/>
        <w:snapToGrid w:val="0"/>
        <w:rPr>
          <w:szCs w:val="22"/>
        </w:rPr>
      </w:pPr>
    </w:p>
    <w:p w:rsidR="0087120F" w:rsidRPr="00297299" w:rsidRDefault="0087120F" w:rsidP="006B086A">
      <w:pPr>
        <w:pStyle w:val="ListParagraph"/>
        <w:widowControl/>
        <w:snapToGrid w:val="0"/>
        <w:rPr>
          <w:szCs w:val="22"/>
        </w:rPr>
      </w:pPr>
    </w:p>
    <w:p w:rsidR="006F70CF" w:rsidRPr="00297299" w:rsidRDefault="006F70CF" w:rsidP="00C311A5">
      <w:pPr>
        <w:pStyle w:val="PBACheading1"/>
        <w:numPr>
          <w:ilvl w:val="0"/>
          <w:numId w:val="2"/>
        </w:numPr>
        <w:snapToGrid w:val="0"/>
      </w:pPr>
      <w:bookmarkStart w:id="5" w:name="_Toc280358238"/>
      <w:bookmarkStart w:id="6" w:name="_Toc409518434"/>
      <w:r w:rsidRPr="00297299">
        <w:rPr>
          <w:b/>
        </w:rPr>
        <w:t>Background</w:t>
      </w:r>
      <w:bookmarkEnd w:id="5"/>
      <w:bookmarkEnd w:id="6"/>
    </w:p>
    <w:p w:rsidR="006F70CF" w:rsidRPr="00297299" w:rsidRDefault="006F70CF" w:rsidP="006F70CF">
      <w:pPr>
        <w:rPr>
          <w:szCs w:val="22"/>
        </w:rPr>
      </w:pPr>
    </w:p>
    <w:p w:rsidR="00F636A5" w:rsidRDefault="006F70CF" w:rsidP="00C311A5">
      <w:pPr>
        <w:pStyle w:val="ListParagraph"/>
        <w:widowControl/>
        <w:numPr>
          <w:ilvl w:val="1"/>
          <w:numId w:val="2"/>
        </w:numPr>
        <w:snapToGrid w:val="0"/>
        <w:ind w:left="709" w:hanging="709"/>
        <w:rPr>
          <w:szCs w:val="22"/>
        </w:rPr>
      </w:pPr>
      <w:proofErr w:type="spellStart"/>
      <w:r w:rsidRPr="00350478">
        <w:rPr>
          <w:szCs w:val="22"/>
        </w:rPr>
        <w:t>Febuxostat</w:t>
      </w:r>
      <w:proofErr w:type="spellEnd"/>
      <w:r w:rsidRPr="00350478">
        <w:rPr>
          <w:szCs w:val="22"/>
        </w:rPr>
        <w:t xml:space="preserve"> </w:t>
      </w:r>
      <w:r w:rsidR="009B5A3F">
        <w:rPr>
          <w:szCs w:val="22"/>
        </w:rPr>
        <w:t>was included</w:t>
      </w:r>
      <w:r w:rsidR="00350478" w:rsidRPr="00350478">
        <w:rPr>
          <w:szCs w:val="22"/>
        </w:rPr>
        <w:t xml:space="preserve"> on the Australian Register of Therapeutic Goods</w:t>
      </w:r>
      <w:r w:rsidR="00B372C9">
        <w:rPr>
          <w:szCs w:val="22"/>
        </w:rPr>
        <w:t xml:space="preserve"> (ARTG)</w:t>
      </w:r>
      <w:r w:rsidR="00350478" w:rsidRPr="00350478">
        <w:rPr>
          <w:szCs w:val="22"/>
        </w:rPr>
        <w:t xml:space="preserve"> on 18 December 2014 and is indicated for</w:t>
      </w:r>
      <w:r w:rsidR="00350478">
        <w:rPr>
          <w:szCs w:val="22"/>
        </w:rPr>
        <w:t xml:space="preserve"> the treatment of symptomatic </w:t>
      </w:r>
      <w:proofErr w:type="spellStart"/>
      <w:r w:rsidR="00350478">
        <w:rPr>
          <w:szCs w:val="22"/>
        </w:rPr>
        <w:t>hyperuricaemia</w:t>
      </w:r>
      <w:proofErr w:type="spellEnd"/>
      <w:r w:rsidR="00350478">
        <w:rPr>
          <w:szCs w:val="22"/>
        </w:rPr>
        <w:t xml:space="preserve"> in conditions where </w:t>
      </w:r>
      <w:proofErr w:type="spellStart"/>
      <w:r w:rsidR="00350478">
        <w:rPr>
          <w:szCs w:val="22"/>
        </w:rPr>
        <w:t>urate</w:t>
      </w:r>
      <w:proofErr w:type="spellEnd"/>
      <w:r w:rsidR="00350478">
        <w:rPr>
          <w:szCs w:val="22"/>
        </w:rPr>
        <w:t xml:space="preserve"> deposition has already occurred (gouty arthritis and/or tophus formation) in adults with gout.</w:t>
      </w:r>
    </w:p>
    <w:p w:rsidR="006F70CF" w:rsidRPr="00297299" w:rsidRDefault="006F70CF" w:rsidP="00350478"/>
    <w:p w:rsidR="005C501F" w:rsidRDefault="00D01A14" w:rsidP="00C311A5">
      <w:pPr>
        <w:pStyle w:val="ListParagraph"/>
        <w:widowControl/>
        <w:numPr>
          <w:ilvl w:val="1"/>
          <w:numId w:val="2"/>
        </w:numPr>
        <w:snapToGrid w:val="0"/>
        <w:ind w:left="709" w:hanging="709"/>
        <w:rPr>
          <w:szCs w:val="22"/>
        </w:rPr>
      </w:pPr>
      <w:r>
        <w:rPr>
          <w:szCs w:val="22"/>
        </w:rPr>
        <w:t>This wa</w:t>
      </w:r>
      <w:r w:rsidR="00350478">
        <w:rPr>
          <w:szCs w:val="22"/>
        </w:rPr>
        <w:t xml:space="preserve">s the second submission to list </w:t>
      </w:r>
      <w:proofErr w:type="spellStart"/>
      <w:r w:rsidR="00350478">
        <w:rPr>
          <w:szCs w:val="22"/>
        </w:rPr>
        <w:t>febuxostat</w:t>
      </w:r>
      <w:proofErr w:type="spellEnd"/>
      <w:r w:rsidR="00350478">
        <w:rPr>
          <w:szCs w:val="22"/>
        </w:rPr>
        <w:t xml:space="preserve"> on the </w:t>
      </w:r>
      <w:r w:rsidR="006F70CF" w:rsidRPr="00297299">
        <w:rPr>
          <w:szCs w:val="22"/>
        </w:rPr>
        <w:t>PBS</w:t>
      </w:r>
      <w:r w:rsidR="00350478">
        <w:rPr>
          <w:szCs w:val="22"/>
        </w:rPr>
        <w:t>.</w:t>
      </w:r>
    </w:p>
    <w:p w:rsidR="00350478" w:rsidRDefault="006F70CF" w:rsidP="005C501F">
      <w:pPr>
        <w:pStyle w:val="ListParagraph"/>
        <w:widowControl/>
        <w:snapToGrid w:val="0"/>
        <w:ind w:left="709"/>
        <w:rPr>
          <w:szCs w:val="22"/>
        </w:rPr>
      </w:pPr>
      <w:r w:rsidRPr="00297299">
        <w:rPr>
          <w:szCs w:val="22"/>
        </w:rPr>
        <w:t xml:space="preserve"> </w:t>
      </w:r>
    </w:p>
    <w:p w:rsidR="006F70CF" w:rsidRDefault="005C501F" w:rsidP="00C311A5">
      <w:pPr>
        <w:pStyle w:val="ListParagraph"/>
        <w:widowControl/>
        <w:numPr>
          <w:ilvl w:val="1"/>
          <w:numId w:val="2"/>
        </w:numPr>
        <w:snapToGrid w:val="0"/>
        <w:ind w:left="709" w:hanging="709"/>
        <w:rPr>
          <w:szCs w:val="22"/>
        </w:rPr>
      </w:pPr>
      <w:r>
        <w:rPr>
          <w:szCs w:val="22"/>
        </w:rPr>
        <w:t>In March 2014, the</w:t>
      </w:r>
      <w:r w:rsidR="00204EEA">
        <w:rPr>
          <w:szCs w:val="22"/>
        </w:rPr>
        <w:t xml:space="preserve"> PBAC rejected a submission that sought to list </w:t>
      </w:r>
      <w:proofErr w:type="spellStart"/>
      <w:r>
        <w:rPr>
          <w:szCs w:val="22"/>
        </w:rPr>
        <w:t>febuxostat</w:t>
      </w:r>
      <w:proofErr w:type="spellEnd"/>
      <w:r>
        <w:rPr>
          <w:szCs w:val="22"/>
        </w:rPr>
        <w:t xml:space="preserve"> as</w:t>
      </w:r>
      <w:r w:rsidR="006F70CF" w:rsidRPr="00297299">
        <w:rPr>
          <w:szCs w:val="22"/>
        </w:rPr>
        <w:t xml:space="preserve"> </w:t>
      </w:r>
      <w:r w:rsidR="00204EEA">
        <w:rPr>
          <w:szCs w:val="22"/>
        </w:rPr>
        <w:t xml:space="preserve">a </w:t>
      </w:r>
      <w:r w:rsidR="00F37A75">
        <w:rPr>
          <w:szCs w:val="22"/>
        </w:rPr>
        <w:t xml:space="preserve">first-line </w:t>
      </w:r>
      <w:r>
        <w:rPr>
          <w:szCs w:val="22"/>
        </w:rPr>
        <w:t xml:space="preserve">therapy for gout. </w:t>
      </w:r>
    </w:p>
    <w:p w:rsidR="00D01A14" w:rsidRDefault="00D01A14" w:rsidP="00D01A14">
      <w:pPr>
        <w:pStyle w:val="ListParagraph"/>
        <w:widowControl/>
        <w:snapToGrid w:val="0"/>
        <w:ind w:left="709"/>
        <w:rPr>
          <w:szCs w:val="22"/>
        </w:rPr>
      </w:pPr>
    </w:p>
    <w:p w:rsidR="005C501F" w:rsidRPr="005C501F" w:rsidRDefault="005C501F" w:rsidP="00C311A5">
      <w:pPr>
        <w:pStyle w:val="ListParagraph"/>
        <w:widowControl/>
        <w:numPr>
          <w:ilvl w:val="1"/>
          <w:numId w:val="2"/>
        </w:numPr>
        <w:snapToGrid w:val="0"/>
        <w:ind w:left="709" w:hanging="709"/>
        <w:rPr>
          <w:szCs w:val="22"/>
        </w:rPr>
      </w:pPr>
      <w:r w:rsidRPr="005C501F">
        <w:rPr>
          <w:szCs w:val="22"/>
        </w:rPr>
        <w:t xml:space="preserve">The PBAC considered the </w:t>
      </w:r>
      <w:r>
        <w:rPr>
          <w:szCs w:val="22"/>
        </w:rPr>
        <w:t xml:space="preserve">March 2014 </w:t>
      </w:r>
      <w:r w:rsidRPr="005C501F">
        <w:rPr>
          <w:szCs w:val="22"/>
        </w:rPr>
        <w:t xml:space="preserve">submission did not establish that </w:t>
      </w:r>
      <w:proofErr w:type="spellStart"/>
      <w:r w:rsidRPr="005C501F">
        <w:rPr>
          <w:szCs w:val="22"/>
        </w:rPr>
        <w:t>febuxostat</w:t>
      </w:r>
      <w:proofErr w:type="spellEnd"/>
      <w:r w:rsidRPr="005C501F">
        <w:rPr>
          <w:szCs w:val="22"/>
        </w:rPr>
        <w:t xml:space="preserve"> is superior in terms of comparative effectiveness over allopurinol. The PBAC considered that the trials presented in the submission overall did not demonstrate superior effectiveness to allopurinol for patient-relevant outcomes such as reduction in acute gout attacks or tophi, or improvement in quality of life (</w:t>
      </w:r>
      <w:proofErr w:type="spellStart"/>
      <w:r w:rsidRPr="005C501F">
        <w:rPr>
          <w:szCs w:val="22"/>
        </w:rPr>
        <w:t>QoL</w:t>
      </w:r>
      <w:proofErr w:type="spellEnd"/>
      <w:r w:rsidRPr="005C501F">
        <w:rPr>
          <w:szCs w:val="22"/>
        </w:rPr>
        <w:t xml:space="preserve">).  </w:t>
      </w:r>
    </w:p>
    <w:p w:rsidR="005C501F" w:rsidRPr="005C501F" w:rsidRDefault="005C501F" w:rsidP="005C501F">
      <w:pPr>
        <w:pStyle w:val="ListParagraph"/>
        <w:widowControl/>
        <w:snapToGrid w:val="0"/>
        <w:ind w:left="709"/>
        <w:rPr>
          <w:szCs w:val="22"/>
        </w:rPr>
      </w:pPr>
    </w:p>
    <w:p w:rsidR="005C501F" w:rsidRPr="005C501F" w:rsidRDefault="005C501F" w:rsidP="00C311A5">
      <w:pPr>
        <w:pStyle w:val="ListParagraph"/>
        <w:widowControl/>
        <w:numPr>
          <w:ilvl w:val="1"/>
          <w:numId w:val="2"/>
        </w:numPr>
        <w:snapToGrid w:val="0"/>
        <w:ind w:left="709" w:hanging="709"/>
        <w:rPr>
          <w:szCs w:val="22"/>
        </w:rPr>
      </w:pPr>
      <w:r w:rsidRPr="005C501F">
        <w:rPr>
          <w:szCs w:val="22"/>
        </w:rPr>
        <w:t>The PBAC considered that the advantage of a faster reduction in serum uric acid (</w:t>
      </w:r>
      <w:proofErr w:type="spellStart"/>
      <w:r w:rsidRPr="005C501F">
        <w:rPr>
          <w:szCs w:val="22"/>
        </w:rPr>
        <w:t>sUA</w:t>
      </w:r>
      <w:proofErr w:type="spellEnd"/>
      <w:r w:rsidRPr="005C501F">
        <w:rPr>
          <w:szCs w:val="22"/>
        </w:rPr>
        <w:t xml:space="preserve">) </w:t>
      </w:r>
      <w:r w:rsidR="00B13F11">
        <w:rPr>
          <w:szCs w:val="22"/>
        </w:rPr>
        <w:t>may</w:t>
      </w:r>
      <w:r w:rsidR="00B13F11" w:rsidRPr="005C501F">
        <w:rPr>
          <w:szCs w:val="22"/>
        </w:rPr>
        <w:t xml:space="preserve"> </w:t>
      </w:r>
      <w:r w:rsidRPr="005C501F">
        <w:rPr>
          <w:szCs w:val="22"/>
        </w:rPr>
        <w:t>not translate into benefits over allopurinol for more clinically meaningful outcomes such as flare reduction, tophi resolution or health-related quality of life (</w:t>
      </w:r>
      <w:proofErr w:type="spellStart"/>
      <w:r w:rsidRPr="005C501F">
        <w:rPr>
          <w:szCs w:val="22"/>
        </w:rPr>
        <w:t>HRQoL</w:t>
      </w:r>
      <w:proofErr w:type="spellEnd"/>
      <w:r w:rsidRPr="005C501F">
        <w:rPr>
          <w:szCs w:val="22"/>
        </w:rPr>
        <w:t xml:space="preserve">). Therefore the PBAC did not support the submission’s assumption that attaining the biological </w:t>
      </w:r>
      <w:proofErr w:type="spellStart"/>
      <w:r w:rsidRPr="005C501F">
        <w:rPr>
          <w:szCs w:val="22"/>
        </w:rPr>
        <w:t>sUA</w:t>
      </w:r>
      <w:proofErr w:type="spellEnd"/>
      <w:r w:rsidRPr="005C501F">
        <w:rPr>
          <w:szCs w:val="22"/>
        </w:rPr>
        <w:t xml:space="preserve"> target would lead to clinically meaningful outcomes.  </w:t>
      </w:r>
    </w:p>
    <w:p w:rsidR="005C501F" w:rsidRPr="005C501F" w:rsidRDefault="005C501F" w:rsidP="005C501F">
      <w:pPr>
        <w:pStyle w:val="ListParagraph"/>
        <w:widowControl/>
        <w:snapToGrid w:val="0"/>
        <w:ind w:left="709"/>
        <w:rPr>
          <w:szCs w:val="22"/>
        </w:rPr>
      </w:pPr>
    </w:p>
    <w:p w:rsidR="005C501F" w:rsidRDefault="005C501F" w:rsidP="00C311A5">
      <w:pPr>
        <w:pStyle w:val="ListParagraph"/>
        <w:widowControl/>
        <w:numPr>
          <w:ilvl w:val="1"/>
          <w:numId w:val="2"/>
        </w:numPr>
        <w:snapToGrid w:val="0"/>
        <w:ind w:left="709" w:hanging="721"/>
        <w:rPr>
          <w:szCs w:val="22"/>
        </w:rPr>
      </w:pPr>
      <w:r w:rsidRPr="005C501F">
        <w:rPr>
          <w:szCs w:val="22"/>
        </w:rPr>
        <w:t>The PBAC recognised that there is a clinical need for an alternative treatment for patients, who are intolerant of allopurinol. The PBAC considered that an allopurinol-intolerant population consistent with the definition used in the NICE guidance for “</w:t>
      </w:r>
      <w:proofErr w:type="spellStart"/>
      <w:r w:rsidRPr="005C501F">
        <w:rPr>
          <w:szCs w:val="22"/>
        </w:rPr>
        <w:t>Febuxostat</w:t>
      </w:r>
      <w:proofErr w:type="spellEnd"/>
      <w:r w:rsidRPr="005C501F">
        <w:rPr>
          <w:szCs w:val="22"/>
        </w:rPr>
        <w:t xml:space="preserve"> for the management of </w:t>
      </w:r>
      <w:proofErr w:type="spellStart"/>
      <w:r w:rsidRPr="005C501F">
        <w:rPr>
          <w:szCs w:val="22"/>
        </w:rPr>
        <w:t>hyperuricaemia</w:t>
      </w:r>
      <w:proofErr w:type="spellEnd"/>
      <w:r w:rsidRPr="005C501F">
        <w:rPr>
          <w:szCs w:val="22"/>
        </w:rPr>
        <w:t xml:space="preserve"> in people with gout” may be an appropriate basis for defining a second-line treatment setting for </w:t>
      </w:r>
      <w:proofErr w:type="spellStart"/>
      <w:r w:rsidRPr="005C501F">
        <w:rPr>
          <w:szCs w:val="22"/>
        </w:rPr>
        <w:t>febuxostat</w:t>
      </w:r>
      <w:proofErr w:type="spellEnd"/>
      <w:r w:rsidRPr="005C501F">
        <w:rPr>
          <w:szCs w:val="22"/>
        </w:rPr>
        <w:t xml:space="preserve">.  However the PBAC noted that the submission did not present clinical evidence to support the use of </w:t>
      </w:r>
      <w:proofErr w:type="spellStart"/>
      <w:r w:rsidRPr="005C501F">
        <w:rPr>
          <w:szCs w:val="22"/>
        </w:rPr>
        <w:t>febuxostat</w:t>
      </w:r>
      <w:proofErr w:type="spellEnd"/>
      <w:r w:rsidRPr="005C501F">
        <w:rPr>
          <w:szCs w:val="22"/>
        </w:rPr>
        <w:t xml:space="preserve"> in a second-line setting.</w:t>
      </w:r>
    </w:p>
    <w:p w:rsidR="006F70CF" w:rsidRDefault="006F70CF" w:rsidP="006F70CF"/>
    <w:p w:rsidR="00FA200C" w:rsidRPr="00297299" w:rsidRDefault="00FA200C" w:rsidP="006F70CF"/>
    <w:p w:rsidR="006F70CF" w:rsidRPr="00297299" w:rsidRDefault="006F70CF" w:rsidP="00C311A5">
      <w:pPr>
        <w:pStyle w:val="PBACheading1"/>
        <w:numPr>
          <w:ilvl w:val="0"/>
          <w:numId w:val="2"/>
        </w:numPr>
        <w:snapToGrid w:val="0"/>
        <w:rPr>
          <w:b/>
        </w:rPr>
      </w:pPr>
      <w:bookmarkStart w:id="7" w:name="_Toc280358239"/>
      <w:bookmarkStart w:id="8" w:name="_Toc409518435"/>
      <w:r w:rsidRPr="00297299">
        <w:rPr>
          <w:b/>
        </w:rPr>
        <w:t>Clinical place for the proposed therapy</w:t>
      </w:r>
      <w:bookmarkEnd w:id="7"/>
      <w:bookmarkEnd w:id="8"/>
    </w:p>
    <w:p w:rsidR="006F70CF" w:rsidRPr="00297299" w:rsidRDefault="006F70CF" w:rsidP="006F70CF">
      <w:pPr>
        <w:rPr>
          <w:szCs w:val="22"/>
        </w:rPr>
      </w:pPr>
    </w:p>
    <w:p w:rsidR="006F70CF" w:rsidRPr="00297299" w:rsidRDefault="00B052CE" w:rsidP="00C311A5">
      <w:pPr>
        <w:pStyle w:val="ListParagraph"/>
        <w:widowControl/>
        <w:numPr>
          <w:ilvl w:val="1"/>
          <w:numId w:val="2"/>
        </w:numPr>
        <w:snapToGrid w:val="0"/>
        <w:ind w:left="709" w:hanging="709"/>
        <w:rPr>
          <w:szCs w:val="22"/>
        </w:rPr>
      </w:pPr>
      <w:r>
        <w:rPr>
          <w:szCs w:val="22"/>
        </w:rPr>
        <w:t>I</w:t>
      </w:r>
      <w:r w:rsidR="006E6D2F">
        <w:rPr>
          <w:szCs w:val="22"/>
        </w:rPr>
        <w:t>n the re-submission</w:t>
      </w:r>
      <w:r>
        <w:rPr>
          <w:szCs w:val="22"/>
        </w:rPr>
        <w:t xml:space="preserve">, </w:t>
      </w:r>
      <w:proofErr w:type="spellStart"/>
      <w:r>
        <w:rPr>
          <w:szCs w:val="22"/>
        </w:rPr>
        <w:t>f</w:t>
      </w:r>
      <w:r w:rsidRPr="00297299">
        <w:rPr>
          <w:szCs w:val="22"/>
        </w:rPr>
        <w:t>ebuxostat</w:t>
      </w:r>
      <w:proofErr w:type="spellEnd"/>
      <w:r w:rsidR="006E6D2F">
        <w:rPr>
          <w:szCs w:val="22"/>
        </w:rPr>
        <w:t xml:space="preserve"> wa</w:t>
      </w:r>
      <w:r w:rsidR="00E70EF1">
        <w:rPr>
          <w:szCs w:val="22"/>
        </w:rPr>
        <w:t>s proposed to be</w:t>
      </w:r>
      <w:r w:rsidR="006F70CF" w:rsidRPr="00297299">
        <w:rPr>
          <w:szCs w:val="22"/>
        </w:rPr>
        <w:t xml:space="preserve"> </w:t>
      </w:r>
      <w:r w:rsidR="00E70EF1">
        <w:rPr>
          <w:szCs w:val="22"/>
        </w:rPr>
        <w:t>a second-line treatment</w:t>
      </w:r>
      <w:r w:rsidR="008D2867">
        <w:rPr>
          <w:szCs w:val="22"/>
        </w:rPr>
        <w:t>,</w:t>
      </w:r>
      <w:r w:rsidR="00E70EF1">
        <w:rPr>
          <w:szCs w:val="22"/>
        </w:rPr>
        <w:t xml:space="preserve"> </w:t>
      </w:r>
      <w:r w:rsidR="008D2867">
        <w:rPr>
          <w:szCs w:val="22"/>
        </w:rPr>
        <w:t>as an alternative to</w:t>
      </w:r>
      <w:r w:rsidR="00E70EF1">
        <w:rPr>
          <w:szCs w:val="22"/>
        </w:rPr>
        <w:t xml:space="preserve"> allopurinol in instances of allopurinol intolerance or</w:t>
      </w:r>
      <w:r w:rsidR="008D2867">
        <w:rPr>
          <w:szCs w:val="22"/>
        </w:rPr>
        <w:t xml:space="preserve"> when the </w:t>
      </w:r>
      <w:r w:rsidR="00E70EF1">
        <w:rPr>
          <w:szCs w:val="22"/>
        </w:rPr>
        <w:t>effect</w:t>
      </w:r>
      <w:r w:rsidR="008D2867">
        <w:rPr>
          <w:szCs w:val="22"/>
        </w:rPr>
        <w:t xml:space="preserve"> of allopurinol is insufficient</w:t>
      </w:r>
      <w:r w:rsidR="00E70EF1">
        <w:rPr>
          <w:szCs w:val="22"/>
        </w:rPr>
        <w:t xml:space="preserve"> (defined as serum uric acid (</w:t>
      </w:r>
      <w:proofErr w:type="spellStart"/>
      <w:r w:rsidR="00E70EF1">
        <w:rPr>
          <w:szCs w:val="22"/>
        </w:rPr>
        <w:t>sUA</w:t>
      </w:r>
      <w:proofErr w:type="spellEnd"/>
      <w:r w:rsidR="00E70EF1">
        <w:rPr>
          <w:szCs w:val="22"/>
        </w:rPr>
        <w:t>) ≤357</w:t>
      </w:r>
      <w:r w:rsidR="00FB0F8B">
        <w:rPr>
          <w:szCs w:val="22"/>
        </w:rPr>
        <w:t xml:space="preserve"> </w:t>
      </w:r>
      <w:r w:rsidR="00E70EF1">
        <w:rPr>
          <w:szCs w:val="22"/>
        </w:rPr>
        <w:t>µ</w:t>
      </w:r>
      <w:proofErr w:type="spellStart"/>
      <w:r w:rsidR="00E70EF1">
        <w:rPr>
          <w:szCs w:val="22"/>
        </w:rPr>
        <w:t>mol</w:t>
      </w:r>
      <w:proofErr w:type="spellEnd"/>
      <w:r w:rsidR="00E70EF1">
        <w:rPr>
          <w:szCs w:val="22"/>
        </w:rPr>
        <w:t>/l)</w:t>
      </w:r>
      <w:r w:rsidR="006F70CF" w:rsidRPr="00297299">
        <w:rPr>
          <w:szCs w:val="22"/>
        </w:rPr>
        <w:t>.</w:t>
      </w:r>
    </w:p>
    <w:p w:rsidR="006F70CF" w:rsidRDefault="006F70CF" w:rsidP="006F70CF">
      <w:pPr>
        <w:pStyle w:val="ListParagraph"/>
        <w:ind w:left="0"/>
        <w:rPr>
          <w:szCs w:val="22"/>
        </w:rPr>
      </w:pPr>
    </w:p>
    <w:p w:rsidR="00E70EF1" w:rsidRPr="00297299" w:rsidRDefault="00E70EF1" w:rsidP="006F70CF">
      <w:pPr>
        <w:pStyle w:val="ListParagraph"/>
        <w:ind w:left="0"/>
        <w:rPr>
          <w:szCs w:val="22"/>
        </w:rPr>
      </w:pPr>
    </w:p>
    <w:p w:rsidR="006F70CF" w:rsidRPr="00297299" w:rsidRDefault="006F70CF" w:rsidP="00C311A5">
      <w:pPr>
        <w:pStyle w:val="PBACheading1"/>
        <w:keepNext/>
        <w:keepLines/>
        <w:numPr>
          <w:ilvl w:val="0"/>
          <w:numId w:val="2"/>
        </w:numPr>
        <w:snapToGrid w:val="0"/>
        <w:rPr>
          <w:b/>
        </w:rPr>
      </w:pPr>
      <w:bookmarkStart w:id="9" w:name="_Toc280358240"/>
      <w:bookmarkStart w:id="10" w:name="_Toc409518436"/>
      <w:r w:rsidRPr="00297299">
        <w:rPr>
          <w:b/>
        </w:rPr>
        <w:t>Comparator</w:t>
      </w:r>
      <w:bookmarkEnd w:id="9"/>
      <w:bookmarkEnd w:id="10"/>
    </w:p>
    <w:p w:rsidR="006F70CF" w:rsidRPr="00297299" w:rsidRDefault="006F70CF" w:rsidP="001E3D80">
      <w:pPr>
        <w:keepNext/>
        <w:keepLines/>
      </w:pPr>
    </w:p>
    <w:p w:rsidR="00246ED7" w:rsidRDefault="00246ED7" w:rsidP="00C311A5">
      <w:pPr>
        <w:pStyle w:val="ListParagraph"/>
        <w:keepNext/>
        <w:keepLines/>
        <w:widowControl/>
        <w:numPr>
          <w:ilvl w:val="1"/>
          <w:numId w:val="2"/>
        </w:numPr>
        <w:snapToGrid w:val="0"/>
        <w:ind w:left="709" w:hanging="709"/>
      </w:pPr>
      <w:r w:rsidRPr="00297299">
        <w:t>The re-</w:t>
      </w:r>
      <w:r w:rsidRPr="00246ED7">
        <w:rPr>
          <w:szCs w:val="22"/>
        </w:rPr>
        <w:t>submission</w:t>
      </w:r>
      <w:r w:rsidR="00D01A14">
        <w:t xml:space="preserve"> nominated</w:t>
      </w:r>
      <w:r w:rsidRPr="00297299">
        <w:t xml:space="preserve"> the following comparators, depend</w:t>
      </w:r>
      <w:r w:rsidR="008D2867">
        <w:t>ing</w:t>
      </w:r>
      <w:r w:rsidRPr="00297299">
        <w:t xml:space="preserve"> on the treatment </w:t>
      </w:r>
      <w:r>
        <w:t>population</w:t>
      </w:r>
      <w:r w:rsidRPr="00297299">
        <w:t>:</w:t>
      </w:r>
    </w:p>
    <w:p w:rsidR="0067738C" w:rsidRDefault="0067738C" w:rsidP="0067738C">
      <w:pPr>
        <w:pStyle w:val="ListParagraph"/>
        <w:keepNext/>
        <w:keepLines/>
        <w:widowControl/>
        <w:snapToGrid w:val="0"/>
        <w:ind w:left="862"/>
      </w:pPr>
    </w:p>
    <w:p w:rsidR="00344BFB" w:rsidRDefault="00344BFB">
      <w:pPr>
        <w:widowControl/>
        <w:jc w:val="left"/>
        <w:rPr>
          <w:rFonts w:ascii="Arial Narrow" w:hAnsi="Arial Narrow"/>
          <w:b/>
          <w:sz w:val="20"/>
        </w:rPr>
      </w:pPr>
      <w:r>
        <w:rPr>
          <w:rFonts w:ascii="Arial Narrow" w:hAnsi="Arial Narrow"/>
          <w:b/>
          <w:sz w:val="20"/>
        </w:rPr>
        <w:br w:type="page"/>
      </w:r>
    </w:p>
    <w:p w:rsidR="00171CB6" w:rsidRPr="00171CB6" w:rsidRDefault="00171CB6" w:rsidP="00171CB6">
      <w:pPr>
        <w:pStyle w:val="ListParagraph"/>
        <w:keepNext/>
        <w:keepLines/>
        <w:widowControl/>
        <w:snapToGrid w:val="0"/>
        <w:ind w:left="709"/>
        <w:rPr>
          <w:rFonts w:ascii="Arial Narrow" w:hAnsi="Arial Narrow"/>
          <w:b/>
          <w:sz w:val="20"/>
        </w:rPr>
      </w:pPr>
      <w:r w:rsidRPr="00171CB6">
        <w:rPr>
          <w:rFonts w:ascii="Arial Narrow" w:hAnsi="Arial Narrow"/>
          <w:b/>
          <w:sz w:val="20"/>
        </w:rPr>
        <w:lastRenderedPageBreak/>
        <w:t>Comparators</w:t>
      </w:r>
    </w:p>
    <w:tbl>
      <w:tblPr>
        <w:tblStyle w:val="TableGrid"/>
        <w:tblW w:w="0" w:type="auto"/>
        <w:tblInd w:w="737" w:type="dxa"/>
        <w:tblCellMar>
          <w:left w:w="28" w:type="dxa"/>
          <w:right w:w="28" w:type="dxa"/>
        </w:tblCellMar>
        <w:tblLook w:val="04A0" w:firstRow="1" w:lastRow="0" w:firstColumn="1" w:lastColumn="0" w:noHBand="0" w:noVBand="1"/>
      </w:tblPr>
      <w:tblGrid>
        <w:gridCol w:w="3804"/>
        <w:gridCol w:w="4541"/>
      </w:tblGrid>
      <w:tr w:rsidR="0067738C" w:rsidRPr="00297299" w:rsidTr="00FB0F8B">
        <w:tc>
          <w:tcPr>
            <w:tcW w:w="3804" w:type="dxa"/>
          </w:tcPr>
          <w:p w:rsidR="0067738C" w:rsidRPr="00297299" w:rsidRDefault="0067738C" w:rsidP="00C46E66">
            <w:pPr>
              <w:widowControl/>
              <w:jc w:val="center"/>
              <w:rPr>
                <w:rFonts w:ascii="Arial Narrow" w:hAnsi="Arial Narrow"/>
                <w:b/>
                <w:bCs/>
                <w:sz w:val="20"/>
              </w:rPr>
            </w:pPr>
            <w:r w:rsidRPr="00297299">
              <w:rPr>
                <w:rFonts w:ascii="Arial Narrow" w:hAnsi="Arial Narrow"/>
                <w:b/>
                <w:bCs/>
                <w:sz w:val="20"/>
              </w:rPr>
              <w:t>‘Allopurinol inappropriate’</w:t>
            </w:r>
          </w:p>
        </w:tc>
        <w:tc>
          <w:tcPr>
            <w:tcW w:w="4541" w:type="dxa"/>
          </w:tcPr>
          <w:p w:rsidR="0067738C" w:rsidRPr="00297299" w:rsidRDefault="0067738C" w:rsidP="00C46E66">
            <w:pPr>
              <w:widowControl/>
              <w:jc w:val="center"/>
              <w:rPr>
                <w:rFonts w:ascii="Arial Narrow" w:hAnsi="Arial Narrow"/>
                <w:b/>
                <w:bCs/>
                <w:sz w:val="20"/>
              </w:rPr>
            </w:pPr>
            <w:r w:rsidRPr="00297299">
              <w:rPr>
                <w:rFonts w:ascii="Arial Narrow" w:hAnsi="Arial Narrow"/>
                <w:b/>
                <w:bCs/>
                <w:sz w:val="20"/>
              </w:rPr>
              <w:t>‘Allopurinol insufficient’</w:t>
            </w:r>
          </w:p>
        </w:tc>
      </w:tr>
      <w:tr w:rsidR="0067738C" w:rsidRPr="00E70EF1" w:rsidTr="00FB0F8B">
        <w:tc>
          <w:tcPr>
            <w:tcW w:w="3804" w:type="dxa"/>
          </w:tcPr>
          <w:p w:rsidR="0067738C" w:rsidRPr="00297299" w:rsidRDefault="0067738C" w:rsidP="00C311A5">
            <w:pPr>
              <w:pStyle w:val="ListParagraph"/>
              <w:widowControl/>
              <w:numPr>
                <w:ilvl w:val="0"/>
                <w:numId w:val="5"/>
              </w:numPr>
              <w:ind w:left="284" w:hanging="284"/>
              <w:rPr>
                <w:rFonts w:ascii="Arial Narrow" w:hAnsi="Arial Narrow"/>
                <w:sz w:val="20"/>
              </w:rPr>
            </w:pPr>
            <w:proofErr w:type="spellStart"/>
            <w:r w:rsidRPr="00297299">
              <w:rPr>
                <w:rFonts w:ascii="Arial Narrow" w:hAnsi="Arial Narrow"/>
                <w:sz w:val="20"/>
              </w:rPr>
              <w:t>Probenecid</w:t>
            </w:r>
            <w:proofErr w:type="spellEnd"/>
            <w:r w:rsidRPr="00297299">
              <w:rPr>
                <w:rFonts w:ascii="Arial Narrow" w:hAnsi="Arial Narrow"/>
                <w:sz w:val="20"/>
              </w:rPr>
              <w:t xml:space="preserve"> (≈2 g/day); or</w:t>
            </w:r>
          </w:p>
          <w:p w:rsidR="0067738C" w:rsidRPr="008910FB" w:rsidRDefault="0067738C" w:rsidP="004220E0">
            <w:pPr>
              <w:pStyle w:val="ListParagraph"/>
              <w:widowControl/>
              <w:numPr>
                <w:ilvl w:val="0"/>
                <w:numId w:val="5"/>
              </w:numPr>
              <w:ind w:left="284" w:hanging="284"/>
              <w:rPr>
                <w:rFonts w:ascii="Arial Narrow" w:hAnsi="Arial Narrow"/>
                <w:i/>
                <w:iCs/>
                <w:sz w:val="20"/>
                <w:lang w:val="pt-PT"/>
              </w:rPr>
            </w:pPr>
            <w:r w:rsidRPr="008910FB">
              <w:rPr>
                <w:rFonts w:ascii="Arial Narrow" w:hAnsi="Arial Narrow"/>
                <w:sz w:val="20"/>
                <w:lang w:val="pt-PT"/>
              </w:rPr>
              <w:t xml:space="preserve">Placebo (i.e. no </w:t>
            </w:r>
            <w:r w:rsidR="004220E0">
              <w:rPr>
                <w:rFonts w:ascii="Arial Narrow" w:hAnsi="Arial Narrow"/>
                <w:sz w:val="20"/>
                <w:lang w:val="pt-PT"/>
              </w:rPr>
              <w:t>urate lowering therapy</w:t>
            </w:r>
            <w:r w:rsidRPr="008910FB">
              <w:rPr>
                <w:rFonts w:ascii="Arial Narrow" w:hAnsi="Arial Narrow"/>
                <w:sz w:val="20"/>
                <w:lang w:val="pt-PT"/>
              </w:rPr>
              <w:t>)</w:t>
            </w:r>
          </w:p>
        </w:tc>
        <w:tc>
          <w:tcPr>
            <w:tcW w:w="4541" w:type="dxa"/>
          </w:tcPr>
          <w:p w:rsidR="0067738C" w:rsidRPr="00297299" w:rsidRDefault="0067738C" w:rsidP="00C311A5">
            <w:pPr>
              <w:pStyle w:val="ListParagraph"/>
              <w:widowControl/>
              <w:numPr>
                <w:ilvl w:val="0"/>
                <w:numId w:val="5"/>
              </w:numPr>
              <w:ind w:left="284" w:hanging="284"/>
              <w:rPr>
                <w:rFonts w:ascii="Arial Narrow" w:hAnsi="Arial Narrow"/>
                <w:sz w:val="20"/>
              </w:rPr>
            </w:pPr>
            <w:proofErr w:type="spellStart"/>
            <w:r w:rsidRPr="00297299">
              <w:rPr>
                <w:rFonts w:ascii="Arial Narrow" w:hAnsi="Arial Narrow"/>
                <w:sz w:val="20"/>
              </w:rPr>
              <w:t>Probenecid</w:t>
            </w:r>
            <w:proofErr w:type="spellEnd"/>
            <w:r w:rsidRPr="00297299">
              <w:rPr>
                <w:rFonts w:ascii="Arial Narrow" w:hAnsi="Arial Narrow"/>
                <w:sz w:val="20"/>
              </w:rPr>
              <w:t xml:space="preserve"> (≈1 g/day) + allopurinol (≈300 mg/day); or</w:t>
            </w:r>
          </w:p>
          <w:p w:rsidR="0067738C" w:rsidRPr="00297299" w:rsidRDefault="0067738C" w:rsidP="00C311A5">
            <w:pPr>
              <w:pStyle w:val="ListParagraph"/>
              <w:widowControl/>
              <w:numPr>
                <w:ilvl w:val="0"/>
                <w:numId w:val="5"/>
              </w:numPr>
              <w:ind w:left="284" w:hanging="284"/>
              <w:rPr>
                <w:rFonts w:ascii="Arial Narrow" w:hAnsi="Arial Narrow"/>
                <w:sz w:val="20"/>
              </w:rPr>
            </w:pPr>
            <w:proofErr w:type="spellStart"/>
            <w:r w:rsidRPr="00297299">
              <w:rPr>
                <w:rFonts w:ascii="Arial Narrow" w:hAnsi="Arial Narrow"/>
                <w:sz w:val="20"/>
              </w:rPr>
              <w:t>Probenecid</w:t>
            </w:r>
            <w:proofErr w:type="spellEnd"/>
            <w:r w:rsidRPr="00297299">
              <w:rPr>
                <w:rFonts w:ascii="Arial Narrow" w:hAnsi="Arial Narrow"/>
                <w:sz w:val="20"/>
              </w:rPr>
              <w:t xml:space="preserve"> (≈2 g/day); or</w:t>
            </w:r>
          </w:p>
          <w:p w:rsidR="0067738C" w:rsidRPr="00297299" w:rsidRDefault="0067738C" w:rsidP="00C311A5">
            <w:pPr>
              <w:pStyle w:val="ListParagraph"/>
              <w:widowControl/>
              <w:numPr>
                <w:ilvl w:val="0"/>
                <w:numId w:val="5"/>
              </w:numPr>
              <w:ind w:left="284" w:hanging="284"/>
              <w:rPr>
                <w:rFonts w:ascii="Arial Narrow" w:hAnsi="Arial Narrow"/>
                <w:sz w:val="20"/>
              </w:rPr>
            </w:pPr>
            <w:r w:rsidRPr="00297299">
              <w:rPr>
                <w:rFonts w:ascii="Arial Narrow" w:hAnsi="Arial Narrow"/>
                <w:sz w:val="20"/>
              </w:rPr>
              <w:t xml:space="preserve">Allopurinol (optimally titrated dose); or </w:t>
            </w:r>
          </w:p>
          <w:p w:rsidR="0067738C" w:rsidRPr="008910FB" w:rsidRDefault="0067738C" w:rsidP="00C311A5">
            <w:pPr>
              <w:pStyle w:val="ListParagraph"/>
              <w:widowControl/>
              <w:numPr>
                <w:ilvl w:val="0"/>
                <w:numId w:val="5"/>
              </w:numPr>
              <w:ind w:left="284" w:hanging="284"/>
              <w:rPr>
                <w:rFonts w:ascii="Arial Narrow" w:hAnsi="Arial Narrow"/>
                <w:i/>
                <w:iCs/>
                <w:sz w:val="20"/>
                <w:lang w:val="pt-PT"/>
              </w:rPr>
            </w:pPr>
            <w:r w:rsidRPr="008910FB">
              <w:rPr>
                <w:rFonts w:ascii="Arial Narrow" w:hAnsi="Arial Narrow"/>
                <w:sz w:val="20"/>
                <w:lang w:val="pt-PT"/>
              </w:rPr>
              <w:t xml:space="preserve">Placebo (i.e. no </w:t>
            </w:r>
            <w:r w:rsidR="004220E0">
              <w:rPr>
                <w:rFonts w:ascii="Arial Narrow" w:hAnsi="Arial Narrow"/>
                <w:sz w:val="20"/>
                <w:lang w:val="pt-PT"/>
              </w:rPr>
              <w:t>urate lowering therapy</w:t>
            </w:r>
            <w:r w:rsidRPr="008910FB">
              <w:rPr>
                <w:rFonts w:ascii="Arial Narrow" w:hAnsi="Arial Narrow"/>
                <w:sz w:val="20"/>
                <w:lang w:val="pt-PT"/>
              </w:rPr>
              <w:t>)</w:t>
            </w:r>
          </w:p>
        </w:tc>
      </w:tr>
    </w:tbl>
    <w:p w:rsidR="0067738C" w:rsidRDefault="0067738C" w:rsidP="0067738C">
      <w:pPr>
        <w:pStyle w:val="ListParagraph"/>
        <w:keepNext/>
        <w:keepLines/>
        <w:widowControl/>
        <w:snapToGrid w:val="0"/>
        <w:ind w:left="862"/>
      </w:pPr>
    </w:p>
    <w:p w:rsidR="006F70CF" w:rsidRDefault="00246ED7" w:rsidP="00C311A5">
      <w:pPr>
        <w:pStyle w:val="ListParagraph"/>
        <w:keepNext/>
        <w:keepLines/>
        <w:widowControl/>
        <w:numPr>
          <w:ilvl w:val="1"/>
          <w:numId w:val="2"/>
        </w:numPr>
        <w:snapToGrid w:val="0"/>
        <w:ind w:left="709" w:hanging="709"/>
      </w:pPr>
      <w:r w:rsidRPr="009B5A3F">
        <w:rPr>
          <w:rFonts w:asciiTheme="minorBidi" w:hAnsiTheme="minorBidi" w:cstheme="minorBidi"/>
          <w:iCs/>
          <w:szCs w:val="22"/>
        </w:rPr>
        <w:t>The</w:t>
      </w:r>
      <w:r w:rsidR="00DB04B1" w:rsidRPr="009B5A3F">
        <w:rPr>
          <w:rFonts w:asciiTheme="minorBidi" w:hAnsiTheme="minorBidi" w:cstheme="minorBidi"/>
          <w:iCs/>
          <w:szCs w:val="22"/>
        </w:rPr>
        <w:t xml:space="preserve"> evaluation considered the</w:t>
      </w:r>
      <w:r w:rsidRPr="009B5A3F">
        <w:rPr>
          <w:rFonts w:asciiTheme="minorBidi" w:hAnsiTheme="minorBidi" w:cstheme="minorBidi"/>
          <w:iCs/>
          <w:szCs w:val="22"/>
        </w:rPr>
        <w:t xml:space="preserve"> nominated comparators </w:t>
      </w:r>
      <w:r w:rsidR="00DB04B1" w:rsidRPr="009B5A3F">
        <w:rPr>
          <w:rFonts w:asciiTheme="minorBidi" w:hAnsiTheme="minorBidi" w:cstheme="minorBidi"/>
          <w:iCs/>
          <w:szCs w:val="22"/>
        </w:rPr>
        <w:t>to be</w:t>
      </w:r>
      <w:r w:rsidRPr="009B5A3F">
        <w:rPr>
          <w:rFonts w:asciiTheme="minorBidi" w:hAnsiTheme="minorBidi" w:cstheme="minorBidi"/>
          <w:iCs/>
          <w:szCs w:val="22"/>
        </w:rPr>
        <w:t xml:space="preserve"> appropriate for the respective patient populations.  However the re-submission d</w:t>
      </w:r>
      <w:r w:rsidR="00D01A14">
        <w:rPr>
          <w:rFonts w:asciiTheme="minorBidi" w:hAnsiTheme="minorBidi" w:cstheme="minorBidi"/>
          <w:iCs/>
          <w:szCs w:val="22"/>
        </w:rPr>
        <w:t>id</w:t>
      </w:r>
      <w:r w:rsidRPr="009B5A3F">
        <w:rPr>
          <w:rFonts w:asciiTheme="minorBidi" w:hAnsiTheme="minorBidi" w:cstheme="minorBidi"/>
          <w:iCs/>
          <w:szCs w:val="22"/>
        </w:rPr>
        <w:t xml:space="preserve"> not nominate the proportional mix of these comparators for each population.</w:t>
      </w:r>
      <w:r w:rsidR="00DB04B1" w:rsidRPr="009B5A3F">
        <w:rPr>
          <w:rFonts w:asciiTheme="minorBidi" w:hAnsiTheme="minorBidi" w:cstheme="minorBidi"/>
          <w:iCs/>
          <w:szCs w:val="22"/>
        </w:rPr>
        <w:t xml:space="preserve"> </w:t>
      </w:r>
      <w:r w:rsidR="00DB04B1" w:rsidRPr="00FD6482">
        <w:rPr>
          <w:rFonts w:asciiTheme="minorBidi" w:hAnsiTheme="minorBidi" w:cstheme="minorBidi"/>
          <w:iCs/>
          <w:szCs w:val="22"/>
        </w:rPr>
        <w:t>The ESC noted that based on Stamp et al. (2014), the doses of allopurinol being used in clinical practice may be sub-optimal</w:t>
      </w:r>
      <w:r w:rsidR="009B5A3F" w:rsidRPr="00FD6482">
        <w:rPr>
          <w:rFonts w:asciiTheme="minorBidi" w:hAnsiTheme="minorBidi" w:cstheme="minorBidi"/>
          <w:iCs/>
          <w:szCs w:val="22"/>
        </w:rPr>
        <w:t>.</w:t>
      </w:r>
      <w:r w:rsidR="00DB04B1" w:rsidRPr="00FD6482">
        <w:rPr>
          <w:rFonts w:asciiTheme="minorBidi" w:hAnsiTheme="minorBidi" w:cstheme="minorBidi"/>
          <w:iCs/>
          <w:szCs w:val="22"/>
        </w:rPr>
        <w:t xml:space="preserve"> </w:t>
      </w:r>
    </w:p>
    <w:p w:rsidR="0041182D" w:rsidRDefault="0041182D" w:rsidP="0041182D">
      <w:pPr>
        <w:ind w:firstLine="709"/>
      </w:pPr>
    </w:p>
    <w:p w:rsidR="00FD6482" w:rsidRPr="00FD6482" w:rsidRDefault="00FD6482" w:rsidP="00FD6482">
      <w:pPr>
        <w:ind w:firstLine="709"/>
      </w:pPr>
      <w:r w:rsidRPr="00FD6482">
        <w:rPr>
          <w:i/>
        </w:rPr>
        <w:t>For more detail on PBAC’s view, see section 7 “PBAC outcome”</w:t>
      </w:r>
      <w:r>
        <w:rPr>
          <w:i/>
        </w:rPr>
        <w:t>.</w:t>
      </w:r>
      <w:r w:rsidRPr="00FD6482">
        <w:rPr>
          <w:i/>
        </w:rPr>
        <w:t xml:space="preserve"> </w:t>
      </w:r>
    </w:p>
    <w:p w:rsidR="00D01A14" w:rsidRDefault="00D01A14" w:rsidP="0041182D">
      <w:pPr>
        <w:ind w:firstLine="709"/>
      </w:pPr>
    </w:p>
    <w:p w:rsidR="0087120F" w:rsidRPr="00297299" w:rsidRDefault="0087120F" w:rsidP="0041182D">
      <w:pPr>
        <w:ind w:firstLine="709"/>
      </w:pPr>
    </w:p>
    <w:p w:rsidR="006F70CF" w:rsidRPr="00297299" w:rsidRDefault="006F70CF" w:rsidP="00C311A5">
      <w:pPr>
        <w:pStyle w:val="PBACheading1"/>
        <w:numPr>
          <w:ilvl w:val="0"/>
          <w:numId w:val="2"/>
        </w:numPr>
        <w:snapToGrid w:val="0"/>
        <w:rPr>
          <w:b/>
        </w:rPr>
      </w:pPr>
      <w:bookmarkStart w:id="11" w:name="_Toc280358241"/>
      <w:bookmarkStart w:id="12" w:name="_Toc409518437"/>
      <w:r w:rsidRPr="00297299">
        <w:rPr>
          <w:b/>
        </w:rPr>
        <w:t>Consideration of the evidence</w:t>
      </w:r>
      <w:bookmarkEnd w:id="11"/>
      <w:bookmarkEnd w:id="12"/>
    </w:p>
    <w:p w:rsidR="002122CB" w:rsidRDefault="002122CB" w:rsidP="002122CB">
      <w:pPr>
        <w:widowControl/>
        <w:rPr>
          <w:b/>
          <w:szCs w:val="22"/>
        </w:rPr>
      </w:pPr>
    </w:p>
    <w:p w:rsidR="002122CB" w:rsidRPr="002122CB" w:rsidRDefault="002122CB" w:rsidP="004958E3">
      <w:pPr>
        <w:pStyle w:val="Heading2"/>
      </w:pPr>
      <w:r w:rsidRPr="002122CB">
        <w:t>Sponsor hearing</w:t>
      </w:r>
    </w:p>
    <w:p w:rsidR="002122CB" w:rsidRPr="002122CB" w:rsidRDefault="002122CB" w:rsidP="002122CB">
      <w:pPr>
        <w:widowControl/>
        <w:rPr>
          <w:b/>
          <w:szCs w:val="22"/>
        </w:rPr>
      </w:pPr>
    </w:p>
    <w:p w:rsidR="002122CB" w:rsidRPr="002122CB" w:rsidRDefault="008A2449" w:rsidP="002122CB">
      <w:pPr>
        <w:pStyle w:val="ListParagraph"/>
        <w:widowControl/>
        <w:numPr>
          <w:ilvl w:val="1"/>
          <w:numId w:val="2"/>
        </w:numPr>
        <w:snapToGrid w:val="0"/>
        <w:ind w:left="709" w:hanging="709"/>
        <w:rPr>
          <w:szCs w:val="22"/>
        </w:rPr>
      </w:pPr>
      <w:r>
        <w:t>T</w:t>
      </w:r>
      <w:r w:rsidR="002122CB">
        <w:t>he</w:t>
      </w:r>
      <w:r w:rsidR="002122CB" w:rsidRPr="002122CB">
        <w:t xml:space="preserve"> sponsor </w:t>
      </w:r>
      <w:r w:rsidR="002122CB">
        <w:t>did not request</w:t>
      </w:r>
      <w:r w:rsidR="002122CB" w:rsidRPr="002122CB">
        <w:t xml:space="preserve"> a hearing for this item.  </w:t>
      </w:r>
    </w:p>
    <w:p w:rsidR="002122CB" w:rsidRDefault="002122CB" w:rsidP="002122CB">
      <w:pPr>
        <w:widowControl/>
        <w:snapToGrid w:val="0"/>
        <w:rPr>
          <w:szCs w:val="22"/>
        </w:rPr>
      </w:pPr>
    </w:p>
    <w:p w:rsidR="002122CB" w:rsidRPr="002122CB" w:rsidRDefault="002122CB" w:rsidP="004958E3">
      <w:pPr>
        <w:pStyle w:val="Heading2"/>
      </w:pPr>
      <w:r>
        <w:t>Consumer comments</w:t>
      </w:r>
    </w:p>
    <w:p w:rsidR="002122CB" w:rsidRPr="002122CB" w:rsidRDefault="002122CB" w:rsidP="002122CB">
      <w:pPr>
        <w:widowControl/>
        <w:snapToGrid w:val="0"/>
        <w:rPr>
          <w:szCs w:val="22"/>
        </w:rPr>
      </w:pPr>
    </w:p>
    <w:p w:rsidR="002122CB" w:rsidRDefault="002122CB" w:rsidP="002122CB">
      <w:pPr>
        <w:pStyle w:val="ListParagraph"/>
        <w:widowControl/>
        <w:numPr>
          <w:ilvl w:val="1"/>
          <w:numId w:val="2"/>
        </w:numPr>
        <w:snapToGrid w:val="0"/>
        <w:ind w:left="709" w:hanging="709"/>
        <w:rPr>
          <w:szCs w:val="22"/>
        </w:rPr>
      </w:pPr>
      <w:r>
        <w:rPr>
          <w:szCs w:val="22"/>
        </w:rPr>
        <w:t xml:space="preserve">There </w:t>
      </w:r>
      <w:r w:rsidRPr="002122CB">
        <w:rPr>
          <w:szCs w:val="22"/>
        </w:rPr>
        <w:t>were no consumer comments received for this item.</w:t>
      </w:r>
    </w:p>
    <w:p w:rsidR="002122CB" w:rsidRDefault="002122CB" w:rsidP="002122CB">
      <w:pPr>
        <w:widowControl/>
        <w:snapToGrid w:val="0"/>
        <w:rPr>
          <w:szCs w:val="22"/>
        </w:rPr>
      </w:pPr>
    </w:p>
    <w:p w:rsidR="002122CB" w:rsidRPr="004958E3" w:rsidRDefault="002122CB" w:rsidP="004958E3">
      <w:pPr>
        <w:pStyle w:val="Heading2"/>
      </w:pPr>
      <w:bookmarkStart w:id="13" w:name="_Toc280358242"/>
      <w:bookmarkStart w:id="14" w:name="_Toc409518438"/>
      <w:r w:rsidRPr="004958E3">
        <w:t>Clinical trials</w:t>
      </w:r>
      <w:bookmarkEnd w:id="13"/>
      <w:r w:rsidRPr="004958E3">
        <w:t xml:space="preserve"> and studies</w:t>
      </w:r>
      <w:bookmarkEnd w:id="14"/>
    </w:p>
    <w:p w:rsidR="002122CB" w:rsidRPr="002122CB" w:rsidRDefault="002122CB" w:rsidP="002122CB">
      <w:pPr>
        <w:widowControl/>
        <w:snapToGrid w:val="0"/>
        <w:rPr>
          <w:szCs w:val="22"/>
        </w:rPr>
      </w:pPr>
    </w:p>
    <w:p w:rsidR="0038078D" w:rsidRPr="0067738C" w:rsidRDefault="002122CB" w:rsidP="00C311A5">
      <w:pPr>
        <w:pStyle w:val="ListParagraph"/>
        <w:widowControl/>
        <w:numPr>
          <w:ilvl w:val="1"/>
          <w:numId w:val="2"/>
        </w:numPr>
        <w:snapToGrid w:val="0"/>
        <w:ind w:left="709" w:hanging="709"/>
        <w:rPr>
          <w:szCs w:val="22"/>
        </w:rPr>
      </w:pPr>
      <w:r>
        <w:t>T</w:t>
      </w:r>
      <w:r w:rsidR="008A2449">
        <w:t xml:space="preserve">he </w:t>
      </w:r>
      <w:r w:rsidR="000E34A5">
        <w:t>re-</w:t>
      </w:r>
      <w:r w:rsidR="008A2449">
        <w:t>submission wa</w:t>
      </w:r>
      <w:r w:rsidR="00246ED7">
        <w:t xml:space="preserve">s based on the trials </w:t>
      </w:r>
      <w:r w:rsidR="00334885">
        <w:t>and studies summarised in the table below</w:t>
      </w:r>
      <w:r w:rsidR="00246ED7">
        <w:t xml:space="preserve">.  </w:t>
      </w:r>
      <w:r w:rsidR="000B4618" w:rsidRPr="0067738C">
        <w:t xml:space="preserve">The inclusion and exclusion of some studies by the re-submission </w:t>
      </w:r>
      <w:r w:rsidR="009B5A3F">
        <w:t>were considered inappropriate for various reasons (e.g. allopurinol treatment naïve</w:t>
      </w:r>
      <w:r w:rsidR="008D2867">
        <w:t xml:space="preserve"> patients, </w:t>
      </w:r>
      <w:r w:rsidR="009B5A3F">
        <w:t>no allopurinol do</w:t>
      </w:r>
      <w:r w:rsidR="002F3893">
        <w:t>se titration beyond 300 mg/day)</w:t>
      </w:r>
      <w:r w:rsidR="009B5A3F">
        <w:t xml:space="preserve">. </w:t>
      </w:r>
      <w:r w:rsidR="000B4618" w:rsidRPr="0067738C">
        <w:t>Thus, some studies</w:t>
      </w:r>
      <w:r w:rsidR="008A2449">
        <w:t xml:space="preserve"> included by the re-submission we</w:t>
      </w:r>
      <w:r w:rsidR="000B4618" w:rsidRPr="0067738C">
        <w:t>re not considered in the Commentary and other studies from the excluded list were included in the evidence during the evaluation</w:t>
      </w:r>
      <w:r w:rsidR="00B052CE">
        <w:t>.</w:t>
      </w:r>
      <w:r w:rsidR="000B4618" w:rsidRPr="0067738C">
        <w:t xml:space="preserve"> </w:t>
      </w:r>
      <w:r w:rsidR="00B052CE">
        <w:t xml:space="preserve">This </w:t>
      </w:r>
      <w:r w:rsidR="008D2867">
        <w:t>includ</w:t>
      </w:r>
      <w:r w:rsidR="00B052CE">
        <w:t>ed the</w:t>
      </w:r>
      <w:r w:rsidR="000B4618" w:rsidRPr="0067738C">
        <w:t xml:space="preserve"> CONFIRMS</w:t>
      </w:r>
      <w:r w:rsidR="00B052CE">
        <w:t xml:space="preserve"> trial</w:t>
      </w:r>
      <w:r w:rsidR="000B4618" w:rsidRPr="0067738C">
        <w:t xml:space="preserve"> previously presented in the March 2014 submission</w:t>
      </w:r>
      <w:r w:rsidR="00B052CE">
        <w:t xml:space="preserve">, which was </w:t>
      </w:r>
      <w:r w:rsidR="002F3893">
        <w:t xml:space="preserve">the only </w:t>
      </w:r>
      <w:r w:rsidR="00884780">
        <w:t>trial that had</w:t>
      </w:r>
      <w:r w:rsidR="000B4618" w:rsidRPr="0067738C">
        <w:t xml:space="preserve"> been previously considered by the PBAC.</w:t>
      </w:r>
    </w:p>
    <w:p w:rsidR="0067738C" w:rsidRDefault="0067738C" w:rsidP="0067738C">
      <w:pPr>
        <w:pStyle w:val="ListParagraph"/>
        <w:widowControl/>
        <w:snapToGrid w:val="0"/>
        <w:ind w:left="862"/>
      </w:pPr>
    </w:p>
    <w:p w:rsidR="00344BFB" w:rsidRDefault="00344BFB">
      <w:pPr>
        <w:widowControl/>
        <w:jc w:val="left"/>
        <w:rPr>
          <w:rFonts w:ascii="Arial Narrow" w:hAnsi="Arial Narrow"/>
          <w:b/>
          <w:sz w:val="20"/>
        </w:rPr>
      </w:pPr>
      <w:r>
        <w:rPr>
          <w:rFonts w:ascii="Arial Narrow" w:hAnsi="Arial Narrow"/>
          <w:b/>
          <w:sz w:val="20"/>
        </w:rPr>
        <w:br w:type="page"/>
      </w:r>
    </w:p>
    <w:p w:rsidR="0067738C" w:rsidRPr="00882E5F" w:rsidRDefault="0067738C" w:rsidP="00FB0F8B">
      <w:pPr>
        <w:ind w:firstLine="709"/>
        <w:rPr>
          <w:rFonts w:ascii="Arial Narrow" w:hAnsi="Arial Narrow"/>
          <w:b/>
          <w:sz w:val="20"/>
        </w:rPr>
      </w:pPr>
      <w:r>
        <w:rPr>
          <w:rFonts w:ascii="Arial Narrow" w:hAnsi="Arial Narrow"/>
          <w:b/>
          <w:sz w:val="20"/>
        </w:rPr>
        <w:lastRenderedPageBreak/>
        <w:t xml:space="preserve">Trials and studies included in the </w:t>
      </w:r>
      <w:r w:rsidR="008A2449">
        <w:rPr>
          <w:rFonts w:ascii="Arial Narrow" w:hAnsi="Arial Narrow"/>
          <w:b/>
          <w:sz w:val="20"/>
        </w:rPr>
        <w:t>submission</w:t>
      </w:r>
    </w:p>
    <w:tbl>
      <w:tblPr>
        <w:tblStyle w:val="TableGrid"/>
        <w:tblW w:w="0" w:type="auto"/>
        <w:tblInd w:w="737" w:type="dxa"/>
        <w:tblCellMar>
          <w:left w:w="28" w:type="dxa"/>
          <w:right w:w="28" w:type="dxa"/>
        </w:tblCellMar>
        <w:tblLook w:val="04A0" w:firstRow="1" w:lastRow="0" w:firstColumn="1" w:lastColumn="0" w:noHBand="0" w:noVBand="1"/>
        <w:tblCaption w:val="Clinical trials "/>
      </w:tblPr>
      <w:tblGrid>
        <w:gridCol w:w="1276"/>
        <w:gridCol w:w="1134"/>
        <w:gridCol w:w="3260"/>
        <w:gridCol w:w="2675"/>
      </w:tblGrid>
      <w:tr w:rsidR="0067738C" w:rsidRPr="00F625C6" w:rsidTr="00FB0F8B">
        <w:tc>
          <w:tcPr>
            <w:tcW w:w="1276" w:type="dxa"/>
            <w:vMerge w:val="restart"/>
            <w:vAlign w:val="center"/>
          </w:tcPr>
          <w:p w:rsidR="0067738C" w:rsidRPr="00F625C6" w:rsidRDefault="0067738C" w:rsidP="00C46E66">
            <w:pPr>
              <w:jc w:val="left"/>
              <w:rPr>
                <w:rFonts w:ascii="Arial Narrow" w:hAnsi="Arial Narrow"/>
                <w:b/>
                <w:sz w:val="20"/>
              </w:rPr>
            </w:pPr>
            <w:r w:rsidRPr="00F625C6">
              <w:rPr>
                <w:rFonts w:ascii="Arial Narrow" w:hAnsi="Arial Narrow"/>
                <w:b/>
                <w:sz w:val="20"/>
              </w:rPr>
              <w:t xml:space="preserve">Treatment </w:t>
            </w:r>
          </w:p>
        </w:tc>
        <w:tc>
          <w:tcPr>
            <w:tcW w:w="7069" w:type="dxa"/>
            <w:gridSpan w:val="3"/>
            <w:vAlign w:val="center"/>
          </w:tcPr>
          <w:p w:rsidR="0067738C" w:rsidRPr="00F625C6" w:rsidRDefault="0067738C" w:rsidP="00C46E66">
            <w:pPr>
              <w:jc w:val="center"/>
              <w:rPr>
                <w:rFonts w:ascii="Arial Narrow" w:hAnsi="Arial Narrow"/>
                <w:b/>
                <w:sz w:val="20"/>
              </w:rPr>
            </w:pPr>
            <w:r w:rsidRPr="00F625C6">
              <w:rPr>
                <w:rFonts w:ascii="Arial Narrow" w:hAnsi="Arial Narrow"/>
                <w:b/>
                <w:sz w:val="20"/>
              </w:rPr>
              <w:t>Requested PBS population</w:t>
            </w:r>
          </w:p>
        </w:tc>
      </w:tr>
      <w:tr w:rsidR="0067738C" w:rsidRPr="00F625C6" w:rsidTr="00FB0F8B">
        <w:tc>
          <w:tcPr>
            <w:tcW w:w="1276" w:type="dxa"/>
            <w:vMerge/>
            <w:vAlign w:val="center"/>
          </w:tcPr>
          <w:p w:rsidR="0067738C" w:rsidRPr="00F625C6" w:rsidRDefault="0067738C" w:rsidP="00C46E66">
            <w:pPr>
              <w:jc w:val="left"/>
              <w:rPr>
                <w:rFonts w:ascii="Arial Narrow" w:hAnsi="Arial Narrow"/>
                <w:b/>
                <w:sz w:val="20"/>
              </w:rPr>
            </w:pPr>
          </w:p>
        </w:tc>
        <w:tc>
          <w:tcPr>
            <w:tcW w:w="1134" w:type="dxa"/>
            <w:vAlign w:val="center"/>
          </w:tcPr>
          <w:p w:rsidR="0067738C" w:rsidRPr="00F625C6" w:rsidRDefault="0067738C" w:rsidP="00C46E66">
            <w:pPr>
              <w:jc w:val="center"/>
              <w:rPr>
                <w:rFonts w:ascii="Arial Narrow" w:hAnsi="Arial Narrow"/>
                <w:b/>
                <w:sz w:val="20"/>
              </w:rPr>
            </w:pPr>
            <w:r w:rsidRPr="00F625C6">
              <w:rPr>
                <w:rFonts w:ascii="Arial Narrow" w:hAnsi="Arial Narrow"/>
                <w:b/>
                <w:sz w:val="20"/>
              </w:rPr>
              <w:t>Allopurinol inappropriate</w:t>
            </w:r>
          </w:p>
        </w:tc>
        <w:tc>
          <w:tcPr>
            <w:tcW w:w="3260" w:type="dxa"/>
            <w:vAlign w:val="center"/>
          </w:tcPr>
          <w:p w:rsidR="0067738C" w:rsidRPr="00F625C6" w:rsidRDefault="0067738C" w:rsidP="00C46E66">
            <w:pPr>
              <w:jc w:val="center"/>
              <w:rPr>
                <w:rFonts w:ascii="Arial Narrow" w:hAnsi="Arial Narrow"/>
                <w:b/>
                <w:sz w:val="20"/>
              </w:rPr>
            </w:pPr>
            <w:r w:rsidRPr="00F625C6">
              <w:rPr>
                <w:rFonts w:ascii="Arial Narrow" w:hAnsi="Arial Narrow"/>
                <w:b/>
                <w:sz w:val="20"/>
              </w:rPr>
              <w:t>Allopurinol insufficient</w:t>
            </w:r>
          </w:p>
        </w:tc>
        <w:tc>
          <w:tcPr>
            <w:tcW w:w="2675" w:type="dxa"/>
            <w:vAlign w:val="center"/>
          </w:tcPr>
          <w:p w:rsidR="0067738C" w:rsidRPr="00F625C6" w:rsidRDefault="0067738C" w:rsidP="00C46E66">
            <w:pPr>
              <w:jc w:val="center"/>
              <w:rPr>
                <w:rFonts w:ascii="Arial Narrow" w:hAnsi="Arial Narrow"/>
                <w:b/>
                <w:sz w:val="20"/>
                <w:vertAlign w:val="superscript"/>
              </w:rPr>
            </w:pPr>
            <w:r w:rsidRPr="00F625C6">
              <w:rPr>
                <w:rFonts w:ascii="Arial Narrow" w:hAnsi="Arial Narrow"/>
                <w:b/>
                <w:sz w:val="20"/>
              </w:rPr>
              <w:t xml:space="preserve">“Allopurinol insufficient + </w:t>
            </w:r>
            <w:proofErr w:type="spellStart"/>
            <w:r w:rsidRPr="00F625C6">
              <w:rPr>
                <w:rFonts w:ascii="Arial Narrow" w:hAnsi="Arial Narrow"/>
                <w:b/>
                <w:sz w:val="20"/>
              </w:rPr>
              <w:t>RI”</w:t>
            </w:r>
            <w:r w:rsidRPr="00F625C6">
              <w:rPr>
                <w:rFonts w:ascii="Arial Narrow" w:hAnsi="Arial Narrow"/>
                <w:b/>
                <w:sz w:val="20"/>
                <w:vertAlign w:val="superscript"/>
              </w:rPr>
              <w:t>a</w:t>
            </w:r>
            <w:proofErr w:type="spellEnd"/>
          </w:p>
        </w:tc>
      </w:tr>
      <w:tr w:rsidR="0067738C" w:rsidRPr="00F625C6" w:rsidTr="00FB0F8B">
        <w:tc>
          <w:tcPr>
            <w:tcW w:w="1276" w:type="dxa"/>
            <w:vAlign w:val="center"/>
          </w:tcPr>
          <w:p w:rsidR="0067738C" w:rsidRPr="00F625C6" w:rsidRDefault="0067738C" w:rsidP="00C46E66">
            <w:pPr>
              <w:jc w:val="left"/>
              <w:rPr>
                <w:rFonts w:ascii="Arial Narrow" w:hAnsi="Arial Narrow"/>
                <w:b/>
                <w:sz w:val="20"/>
              </w:rPr>
            </w:pPr>
            <w:proofErr w:type="spellStart"/>
            <w:r w:rsidRPr="00F625C6">
              <w:rPr>
                <w:rFonts w:ascii="Arial Narrow" w:hAnsi="Arial Narrow"/>
                <w:b/>
                <w:sz w:val="20"/>
              </w:rPr>
              <w:t>Febuxostat</w:t>
            </w:r>
            <w:proofErr w:type="spellEnd"/>
            <w:r w:rsidRPr="00F625C6">
              <w:rPr>
                <w:rFonts w:ascii="Arial Narrow" w:hAnsi="Arial Narrow"/>
                <w:b/>
                <w:sz w:val="20"/>
              </w:rPr>
              <w:t xml:space="preserve"> </w:t>
            </w:r>
          </w:p>
        </w:tc>
        <w:tc>
          <w:tcPr>
            <w:tcW w:w="1134" w:type="dxa"/>
            <w:vAlign w:val="center"/>
          </w:tcPr>
          <w:p w:rsidR="0067738C" w:rsidRPr="00F625C6" w:rsidRDefault="0067738C" w:rsidP="00C46E66">
            <w:pPr>
              <w:jc w:val="center"/>
              <w:rPr>
                <w:rFonts w:ascii="Arial Narrow" w:hAnsi="Arial Narrow"/>
                <w:sz w:val="20"/>
              </w:rPr>
            </w:pPr>
            <w:proofErr w:type="spellStart"/>
            <w:r w:rsidRPr="00F625C6">
              <w:rPr>
                <w:rFonts w:ascii="Arial Narrow" w:hAnsi="Arial Narrow"/>
                <w:sz w:val="20"/>
              </w:rPr>
              <w:t>Chohan</w:t>
            </w:r>
            <w:proofErr w:type="spellEnd"/>
            <w:r w:rsidRPr="00F625C6">
              <w:rPr>
                <w:rFonts w:ascii="Arial Narrow" w:hAnsi="Arial Narrow"/>
                <w:sz w:val="20"/>
              </w:rPr>
              <w:t xml:space="preserve"> 2011 – SA, n=13</w:t>
            </w:r>
          </w:p>
        </w:tc>
        <w:tc>
          <w:tcPr>
            <w:tcW w:w="3260" w:type="dxa"/>
            <w:vAlign w:val="center"/>
          </w:tcPr>
          <w:p w:rsidR="0067738C" w:rsidRPr="00F625C6" w:rsidRDefault="0067738C" w:rsidP="00C46E66">
            <w:pPr>
              <w:jc w:val="center"/>
              <w:rPr>
                <w:rFonts w:ascii="Arial Narrow" w:hAnsi="Arial Narrow"/>
                <w:sz w:val="20"/>
              </w:rPr>
            </w:pPr>
            <w:r w:rsidRPr="00F625C6">
              <w:rPr>
                <w:rFonts w:ascii="Arial Narrow" w:hAnsi="Arial Narrow"/>
                <w:sz w:val="20"/>
              </w:rPr>
              <w:t>-</w:t>
            </w:r>
          </w:p>
        </w:tc>
        <w:tc>
          <w:tcPr>
            <w:tcW w:w="2675" w:type="dxa"/>
            <w:vAlign w:val="center"/>
          </w:tcPr>
          <w:p w:rsidR="0067738C" w:rsidRPr="00F625C6" w:rsidRDefault="0067738C" w:rsidP="00C46E66">
            <w:pPr>
              <w:jc w:val="center"/>
              <w:rPr>
                <w:rFonts w:ascii="Arial Narrow" w:hAnsi="Arial Narrow"/>
                <w:sz w:val="20"/>
                <w:vertAlign w:val="superscript"/>
              </w:rPr>
            </w:pPr>
            <w:r w:rsidRPr="00F625C6">
              <w:rPr>
                <w:rFonts w:ascii="Arial Narrow" w:hAnsi="Arial Narrow"/>
                <w:sz w:val="20"/>
              </w:rPr>
              <w:t>TMX-67-203 - RCT v PBO, n=64</w:t>
            </w:r>
          </w:p>
          <w:p w:rsidR="0067738C" w:rsidRPr="00F625C6" w:rsidRDefault="0067738C" w:rsidP="00C46E66">
            <w:pPr>
              <w:jc w:val="center"/>
              <w:rPr>
                <w:rFonts w:ascii="Arial Narrow" w:hAnsi="Arial Narrow"/>
                <w:sz w:val="20"/>
                <w:vertAlign w:val="superscript"/>
              </w:rPr>
            </w:pPr>
            <w:r w:rsidRPr="00F625C6">
              <w:rPr>
                <w:rFonts w:ascii="Arial Narrow" w:hAnsi="Arial Narrow"/>
                <w:sz w:val="20"/>
              </w:rPr>
              <w:t>TMX-00-004 – RCT v PBO, n=115</w:t>
            </w:r>
          </w:p>
          <w:p w:rsidR="0067738C" w:rsidRPr="00F625C6" w:rsidRDefault="0067738C" w:rsidP="00C46E66">
            <w:pPr>
              <w:jc w:val="center"/>
              <w:rPr>
                <w:rFonts w:ascii="Arial Narrow" w:hAnsi="Arial Narrow"/>
                <w:sz w:val="20"/>
              </w:rPr>
            </w:pPr>
            <w:r w:rsidRPr="00F625C6">
              <w:rPr>
                <w:rFonts w:ascii="Arial Narrow" w:hAnsi="Arial Narrow"/>
                <w:sz w:val="20"/>
              </w:rPr>
              <w:t>FOCUS – extension to TMX-00-004</w:t>
            </w:r>
          </w:p>
          <w:p w:rsidR="0067738C" w:rsidRPr="00F625C6" w:rsidRDefault="0067738C" w:rsidP="00C46E66">
            <w:pPr>
              <w:jc w:val="center"/>
              <w:rPr>
                <w:rFonts w:ascii="Arial Narrow" w:hAnsi="Arial Narrow"/>
                <w:i/>
                <w:sz w:val="20"/>
                <w:vertAlign w:val="superscript"/>
              </w:rPr>
            </w:pPr>
            <w:r w:rsidRPr="00F625C6">
              <w:rPr>
                <w:rFonts w:ascii="Arial Narrow" w:hAnsi="Arial Narrow"/>
                <w:i/>
                <w:sz w:val="20"/>
              </w:rPr>
              <w:t>CONFIRMS – RCT v ALO, n=2269</w:t>
            </w:r>
          </w:p>
        </w:tc>
      </w:tr>
      <w:tr w:rsidR="0067738C" w:rsidRPr="00F625C6" w:rsidTr="00FB0F8B">
        <w:tc>
          <w:tcPr>
            <w:tcW w:w="1276" w:type="dxa"/>
            <w:vAlign w:val="center"/>
          </w:tcPr>
          <w:p w:rsidR="0067738C" w:rsidRPr="00F625C6" w:rsidRDefault="0067738C" w:rsidP="00C46E66">
            <w:pPr>
              <w:jc w:val="left"/>
              <w:rPr>
                <w:rFonts w:ascii="Arial Narrow" w:hAnsi="Arial Narrow"/>
                <w:b/>
                <w:sz w:val="20"/>
              </w:rPr>
            </w:pPr>
            <w:proofErr w:type="spellStart"/>
            <w:r w:rsidRPr="00F625C6">
              <w:rPr>
                <w:rFonts w:ascii="Arial Narrow" w:hAnsi="Arial Narrow"/>
                <w:b/>
                <w:sz w:val="20"/>
              </w:rPr>
              <w:t>Probenecid</w:t>
            </w:r>
            <w:proofErr w:type="spellEnd"/>
            <w:r w:rsidRPr="00F625C6">
              <w:rPr>
                <w:rFonts w:ascii="Arial Narrow" w:hAnsi="Arial Narrow"/>
                <w:b/>
                <w:sz w:val="20"/>
              </w:rPr>
              <w:t xml:space="preserve"> </w:t>
            </w:r>
          </w:p>
        </w:tc>
        <w:tc>
          <w:tcPr>
            <w:tcW w:w="1134" w:type="dxa"/>
            <w:vAlign w:val="center"/>
          </w:tcPr>
          <w:p w:rsidR="0067738C" w:rsidRPr="00F625C6" w:rsidRDefault="0067738C" w:rsidP="00C46E66">
            <w:pPr>
              <w:jc w:val="center"/>
              <w:rPr>
                <w:rFonts w:ascii="Arial Narrow" w:hAnsi="Arial Narrow"/>
                <w:sz w:val="20"/>
                <w:vertAlign w:val="superscript"/>
              </w:rPr>
            </w:pPr>
            <w:proofErr w:type="spellStart"/>
            <w:r w:rsidRPr="00F625C6">
              <w:rPr>
                <w:rFonts w:ascii="Arial Narrow" w:hAnsi="Arial Narrow"/>
                <w:sz w:val="20"/>
              </w:rPr>
              <w:t>Pui</w:t>
            </w:r>
            <w:proofErr w:type="spellEnd"/>
            <w:r w:rsidRPr="00F625C6">
              <w:rPr>
                <w:rFonts w:ascii="Arial Narrow" w:hAnsi="Arial Narrow"/>
                <w:sz w:val="20"/>
              </w:rPr>
              <w:t xml:space="preserve"> 2013 – comp. with PRO + ALO, n=30</w:t>
            </w:r>
          </w:p>
        </w:tc>
        <w:tc>
          <w:tcPr>
            <w:tcW w:w="3260" w:type="dxa"/>
            <w:vAlign w:val="center"/>
          </w:tcPr>
          <w:p w:rsidR="0067738C" w:rsidRPr="000B4618" w:rsidRDefault="0067738C" w:rsidP="00C46E66">
            <w:pPr>
              <w:jc w:val="center"/>
              <w:rPr>
                <w:rFonts w:ascii="Arial Narrow" w:hAnsi="Arial Narrow"/>
                <w:sz w:val="20"/>
                <w:vertAlign w:val="superscript"/>
              </w:rPr>
            </w:pPr>
            <w:proofErr w:type="spellStart"/>
            <w:r w:rsidRPr="000B4618">
              <w:rPr>
                <w:rFonts w:ascii="Arial Narrow" w:hAnsi="Arial Narrow"/>
                <w:sz w:val="20"/>
              </w:rPr>
              <w:t>Reinders</w:t>
            </w:r>
            <w:proofErr w:type="spellEnd"/>
            <w:r w:rsidRPr="000B4618">
              <w:rPr>
                <w:rFonts w:ascii="Arial Narrow" w:hAnsi="Arial Narrow"/>
                <w:sz w:val="20"/>
              </w:rPr>
              <w:t xml:space="preserve"> 2009a – RCT v BENZ, n=31</w:t>
            </w:r>
          </w:p>
        </w:tc>
        <w:tc>
          <w:tcPr>
            <w:tcW w:w="2675" w:type="dxa"/>
            <w:vAlign w:val="center"/>
          </w:tcPr>
          <w:p w:rsidR="0067738C" w:rsidRPr="00F625C6" w:rsidRDefault="0067738C" w:rsidP="00C46E66">
            <w:pPr>
              <w:jc w:val="center"/>
              <w:rPr>
                <w:rFonts w:ascii="Arial Narrow" w:hAnsi="Arial Narrow"/>
                <w:sz w:val="20"/>
              </w:rPr>
            </w:pPr>
            <w:proofErr w:type="spellStart"/>
            <w:r w:rsidRPr="005455AA">
              <w:rPr>
                <w:rFonts w:ascii="Arial Narrow" w:hAnsi="Arial Narrow"/>
                <w:sz w:val="20"/>
              </w:rPr>
              <w:t>Pui</w:t>
            </w:r>
            <w:proofErr w:type="spellEnd"/>
            <w:r w:rsidRPr="005455AA">
              <w:rPr>
                <w:rFonts w:ascii="Arial Narrow" w:hAnsi="Arial Narrow"/>
                <w:sz w:val="20"/>
              </w:rPr>
              <w:t xml:space="preserve"> 2013 provides some data in those with </w:t>
            </w:r>
            <w:proofErr w:type="spellStart"/>
            <w:r w:rsidRPr="005455AA">
              <w:rPr>
                <w:rFonts w:ascii="Arial Narrow" w:hAnsi="Arial Narrow"/>
                <w:sz w:val="20"/>
              </w:rPr>
              <w:t>eGFR</w:t>
            </w:r>
            <w:proofErr w:type="spellEnd"/>
            <w:r w:rsidRPr="005455AA">
              <w:rPr>
                <w:rFonts w:ascii="Arial Narrow" w:hAnsi="Arial Narrow"/>
                <w:sz w:val="20"/>
              </w:rPr>
              <w:t xml:space="preserve"> &lt;50</w:t>
            </w:r>
            <w:r w:rsidR="003D695D">
              <w:rPr>
                <w:rFonts w:ascii="Arial Narrow" w:hAnsi="Arial Narrow"/>
                <w:sz w:val="20"/>
              </w:rPr>
              <w:t> </w:t>
            </w:r>
            <w:r w:rsidRPr="005455AA">
              <w:rPr>
                <w:rFonts w:ascii="Arial Narrow" w:hAnsi="Arial Narrow"/>
                <w:sz w:val="20"/>
              </w:rPr>
              <w:t>ml/min/1.73</w:t>
            </w:r>
            <w:r w:rsidR="003D695D">
              <w:rPr>
                <w:rFonts w:ascii="Arial Narrow" w:hAnsi="Arial Narrow"/>
                <w:sz w:val="20"/>
              </w:rPr>
              <w:t> </w:t>
            </w:r>
            <w:r w:rsidRPr="005455AA">
              <w:rPr>
                <w:rFonts w:ascii="Arial Narrow" w:hAnsi="Arial Narrow"/>
                <w:sz w:val="20"/>
              </w:rPr>
              <w:t>m</w:t>
            </w:r>
            <w:r w:rsidRPr="000520BF">
              <w:rPr>
                <w:rFonts w:ascii="Arial Narrow" w:hAnsi="Arial Narrow"/>
                <w:sz w:val="20"/>
                <w:vertAlign w:val="superscript"/>
              </w:rPr>
              <w:t>2</w:t>
            </w:r>
            <w:r w:rsidRPr="005455AA">
              <w:rPr>
                <w:rFonts w:ascii="Arial Narrow" w:hAnsi="Arial Narrow"/>
                <w:sz w:val="20"/>
              </w:rPr>
              <w:t xml:space="preserve"> (n=9)</w:t>
            </w:r>
          </w:p>
        </w:tc>
      </w:tr>
      <w:tr w:rsidR="0067738C" w:rsidRPr="00F625C6" w:rsidTr="00FB0F8B">
        <w:tc>
          <w:tcPr>
            <w:tcW w:w="1276" w:type="dxa"/>
            <w:vAlign w:val="center"/>
          </w:tcPr>
          <w:p w:rsidR="0067738C" w:rsidRPr="00F625C6" w:rsidRDefault="0067738C" w:rsidP="00C46E66">
            <w:pPr>
              <w:jc w:val="left"/>
              <w:rPr>
                <w:rFonts w:ascii="Arial Narrow" w:hAnsi="Arial Narrow"/>
                <w:b/>
                <w:sz w:val="20"/>
              </w:rPr>
            </w:pPr>
            <w:r w:rsidRPr="00F625C6">
              <w:rPr>
                <w:rFonts w:ascii="Arial Narrow" w:hAnsi="Arial Narrow"/>
                <w:b/>
                <w:sz w:val="20"/>
              </w:rPr>
              <w:t xml:space="preserve">Allopurinol </w:t>
            </w:r>
          </w:p>
          <w:p w:rsidR="0067738C" w:rsidRPr="00F625C6" w:rsidRDefault="0067738C" w:rsidP="00C46E66">
            <w:pPr>
              <w:jc w:val="left"/>
              <w:rPr>
                <w:rFonts w:ascii="Arial Narrow" w:hAnsi="Arial Narrow"/>
                <w:b/>
                <w:sz w:val="20"/>
              </w:rPr>
            </w:pPr>
            <w:r w:rsidRPr="00F625C6">
              <w:rPr>
                <w:rFonts w:ascii="Arial Narrow" w:hAnsi="Arial Narrow"/>
                <w:b/>
                <w:sz w:val="20"/>
              </w:rPr>
              <w:t>up-titration</w:t>
            </w:r>
          </w:p>
        </w:tc>
        <w:tc>
          <w:tcPr>
            <w:tcW w:w="1134" w:type="dxa"/>
            <w:vAlign w:val="center"/>
          </w:tcPr>
          <w:p w:rsidR="0067738C" w:rsidRPr="00F625C6" w:rsidRDefault="0067738C" w:rsidP="00C46E66">
            <w:pPr>
              <w:jc w:val="center"/>
              <w:rPr>
                <w:rFonts w:ascii="Arial Narrow" w:hAnsi="Arial Narrow"/>
                <w:sz w:val="20"/>
              </w:rPr>
            </w:pPr>
            <w:r w:rsidRPr="00F625C6">
              <w:rPr>
                <w:rFonts w:ascii="Arial Narrow" w:hAnsi="Arial Narrow"/>
                <w:sz w:val="20"/>
              </w:rPr>
              <w:t>-</w:t>
            </w:r>
          </w:p>
        </w:tc>
        <w:tc>
          <w:tcPr>
            <w:tcW w:w="3260" w:type="dxa"/>
            <w:vAlign w:val="center"/>
          </w:tcPr>
          <w:p w:rsidR="0067738C" w:rsidRPr="00F625C6" w:rsidRDefault="0067738C" w:rsidP="00C46E66">
            <w:pPr>
              <w:jc w:val="center"/>
              <w:rPr>
                <w:rFonts w:ascii="Arial Narrow" w:hAnsi="Arial Narrow"/>
                <w:sz w:val="20"/>
                <w:vertAlign w:val="superscript"/>
              </w:rPr>
            </w:pPr>
            <w:r w:rsidRPr="00F625C6">
              <w:rPr>
                <w:rFonts w:ascii="Arial Narrow" w:hAnsi="Arial Narrow"/>
                <w:sz w:val="20"/>
              </w:rPr>
              <w:t>Jennings 2014 – SA, n=400</w:t>
            </w:r>
          </w:p>
          <w:p w:rsidR="0067738C" w:rsidRPr="00F625C6" w:rsidRDefault="0067738C" w:rsidP="00C46E66">
            <w:pPr>
              <w:jc w:val="center"/>
              <w:rPr>
                <w:rFonts w:ascii="Arial Narrow" w:hAnsi="Arial Narrow"/>
                <w:i/>
                <w:sz w:val="20"/>
              </w:rPr>
            </w:pPr>
            <w:r w:rsidRPr="00F625C6">
              <w:rPr>
                <w:rFonts w:ascii="Arial Narrow" w:hAnsi="Arial Narrow"/>
                <w:i/>
                <w:sz w:val="20"/>
              </w:rPr>
              <w:t>Stamp 2011 – comp. NDE, n=90</w:t>
            </w:r>
          </w:p>
          <w:p w:rsidR="0067738C" w:rsidRPr="00F625C6" w:rsidRDefault="0067738C" w:rsidP="00C46E66">
            <w:pPr>
              <w:jc w:val="center"/>
              <w:rPr>
                <w:rFonts w:ascii="Arial Narrow" w:hAnsi="Arial Narrow"/>
                <w:i/>
                <w:sz w:val="20"/>
                <w:vertAlign w:val="superscript"/>
              </w:rPr>
            </w:pPr>
            <w:r w:rsidRPr="00F625C6">
              <w:rPr>
                <w:rFonts w:ascii="Arial Narrow" w:hAnsi="Arial Narrow"/>
                <w:i/>
                <w:sz w:val="20"/>
              </w:rPr>
              <w:t>Baumgartner 2013 – SA, n=1732</w:t>
            </w:r>
          </w:p>
          <w:p w:rsidR="0067738C" w:rsidRPr="00F625C6" w:rsidRDefault="0067738C" w:rsidP="00C46E66">
            <w:pPr>
              <w:jc w:val="center"/>
              <w:rPr>
                <w:rFonts w:ascii="Arial Narrow" w:hAnsi="Arial Narrow"/>
                <w:i/>
                <w:sz w:val="20"/>
                <w:vertAlign w:val="superscript"/>
              </w:rPr>
            </w:pPr>
            <w:r w:rsidRPr="00F625C6">
              <w:rPr>
                <w:rFonts w:ascii="Arial Narrow" w:hAnsi="Arial Narrow"/>
                <w:i/>
                <w:sz w:val="20"/>
              </w:rPr>
              <w:t>Perez-Ruiz 1998 –  comp. with BENZ, n=49</w:t>
            </w:r>
            <w:r w:rsidRPr="00F625C6">
              <w:rPr>
                <w:rFonts w:ascii="Arial Narrow" w:hAnsi="Arial Narrow"/>
                <w:i/>
                <w:sz w:val="20"/>
                <w:vertAlign w:val="superscript"/>
              </w:rPr>
              <w:t>j</w:t>
            </w:r>
          </w:p>
          <w:p w:rsidR="0067738C" w:rsidRPr="00442EFB" w:rsidRDefault="0067738C" w:rsidP="00C46E66">
            <w:pPr>
              <w:jc w:val="center"/>
              <w:rPr>
                <w:rFonts w:ascii="Arial Narrow" w:hAnsi="Arial Narrow"/>
                <w:sz w:val="20"/>
              </w:rPr>
            </w:pPr>
            <w:proofErr w:type="spellStart"/>
            <w:r w:rsidRPr="00442EFB">
              <w:rPr>
                <w:rFonts w:ascii="Arial Narrow" w:hAnsi="Arial Narrow"/>
                <w:sz w:val="20"/>
              </w:rPr>
              <w:t>Reinders</w:t>
            </w:r>
            <w:proofErr w:type="spellEnd"/>
            <w:r w:rsidRPr="00442EFB">
              <w:rPr>
                <w:rFonts w:ascii="Arial Narrow" w:hAnsi="Arial Narrow"/>
                <w:sz w:val="20"/>
              </w:rPr>
              <w:t xml:space="preserve"> 2009b – RCT v BENZ, n=17</w:t>
            </w:r>
          </w:p>
        </w:tc>
        <w:tc>
          <w:tcPr>
            <w:tcW w:w="2675" w:type="dxa"/>
            <w:vAlign w:val="center"/>
          </w:tcPr>
          <w:p w:rsidR="0067738C" w:rsidRPr="00F625C6" w:rsidRDefault="0067738C" w:rsidP="00C46E66">
            <w:pPr>
              <w:jc w:val="center"/>
              <w:rPr>
                <w:rFonts w:ascii="Arial Narrow" w:hAnsi="Arial Narrow"/>
                <w:sz w:val="20"/>
              </w:rPr>
            </w:pPr>
            <w:r w:rsidRPr="00F625C6">
              <w:rPr>
                <w:rFonts w:ascii="Arial Narrow" w:hAnsi="Arial Narrow"/>
                <w:sz w:val="20"/>
              </w:rPr>
              <w:t>-</w:t>
            </w:r>
          </w:p>
        </w:tc>
      </w:tr>
      <w:tr w:rsidR="0067738C" w:rsidRPr="004253AA" w:rsidTr="00FB0F8B">
        <w:trPr>
          <w:trHeight w:val="767"/>
        </w:trPr>
        <w:tc>
          <w:tcPr>
            <w:tcW w:w="1276" w:type="dxa"/>
            <w:vAlign w:val="center"/>
          </w:tcPr>
          <w:p w:rsidR="0067738C" w:rsidRPr="00F625C6" w:rsidRDefault="0067738C" w:rsidP="00C46E66">
            <w:pPr>
              <w:jc w:val="left"/>
              <w:rPr>
                <w:rFonts w:ascii="Arial Narrow" w:hAnsi="Arial Narrow"/>
                <w:b/>
                <w:sz w:val="20"/>
              </w:rPr>
            </w:pPr>
            <w:proofErr w:type="spellStart"/>
            <w:r w:rsidRPr="00F625C6">
              <w:rPr>
                <w:rFonts w:ascii="Arial Narrow" w:hAnsi="Arial Narrow"/>
                <w:b/>
                <w:sz w:val="20"/>
              </w:rPr>
              <w:t>Probenecid</w:t>
            </w:r>
            <w:proofErr w:type="spellEnd"/>
            <w:r w:rsidRPr="00F625C6">
              <w:rPr>
                <w:rFonts w:ascii="Arial Narrow" w:hAnsi="Arial Narrow"/>
                <w:b/>
                <w:sz w:val="20"/>
              </w:rPr>
              <w:t xml:space="preserve"> + allopurinol</w:t>
            </w:r>
          </w:p>
        </w:tc>
        <w:tc>
          <w:tcPr>
            <w:tcW w:w="1134" w:type="dxa"/>
            <w:vAlign w:val="center"/>
          </w:tcPr>
          <w:p w:rsidR="0067738C" w:rsidRPr="00F625C6" w:rsidRDefault="0067738C" w:rsidP="00C46E66">
            <w:pPr>
              <w:jc w:val="center"/>
              <w:rPr>
                <w:rFonts w:ascii="Arial Narrow" w:hAnsi="Arial Narrow"/>
                <w:sz w:val="20"/>
              </w:rPr>
            </w:pPr>
            <w:r w:rsidRPr="00F625C6">
              <w:rPr>
                <w:rFonts w:ascii="Arial Narrow" w:hAnsi="Arial Narrow"/>
                <w:sz w:val="20"/>
              </w:rPr>
              <w:t>-</w:t>
            </w:r>
          </w:p>
        </w:tc>
        <w:tc>
          <w:tcPr>
            <w:tcW w:w="3260" w:type="dxa"/>
            <w:vAlign w:val="center"/>
          </w:tcPr>
          <w:p w:rsidR="0067738C" w:rsidRPr="00F625C6" w:rsidRDefault="0067738C" w:rsidP="00C46E66">
            <w:pPr>
              <w:jc w:val="center"/>
              <w:rPr>
                <w:rFonts w:ascii="Arial Narrow" w:hAnsi="Arial Narrow"/>
                <w:sz w:val="20"/>
                <w:vertAlign w:val="superscript"/>
              </w:rPr>
            </w:pPr>
            <w:proofErr w:type="spellStart"/>
            <w:r w:rsidRPr="00F625C6">
              <w:rPr>
                <w:rFonts w:ascii="Arial Narrow" w:hAnsi="Arial Narrow"/>
                <w:sz w:val="20"/>
              </w:rPr>
              <w:t>Pui</w:t>
            </w:r>
            <w:proofErr w:type="spellEnd"/>
            <w:r w:rsidRPr="00F625C6">
              <w:rPr>
                <w:rFonts w:ascii="Arial Narrow" w:hAnsi="Arial Narrow"/>
                <w:sz w:val="20"/>
              </w:rPr>
              <w:t xml:space="preserve"> 2013 – comp. with PRO, n=27</w:t>
            </w:r>
          </w:p>
          <w:p w:rsidR="0067738C" w:rsidRPr="00F625C6" w:rsidRDefault="0067738C" w:rsidP="00C46E66">
            <w:pPr>
              <w:jc w:val="center"/>
              <w:rPr>
                <w:rFonts w:ascii="Arial Narrow" w:hAnsi="Arial Narrow"/>
                <w:sz w:val="20"/>
                <w:vertAlign w:val="superscript"/>
                <w:lang w:val="de-DE"/>
              </w:rPr>
            </w:pPr>
            <w:r w:rsidRPr="00F625C6">
              <w:rPr>
                <w:rFonts w:ascii="Arial Narrow" w:hAnsi="Arial Narrow"/>
                <w:sz w:val="20"/>
                <w:lang w:val="de-DE"/>
              </w:rPr>
              <w:t>Reinders 2007 – SA, n=14</w:t>
            </w:r>
          </w:p>
          <w:p w:rsidR="0067738C" w:rsidRPr="00F625C6" w:rsidRDefault="0067738C" w:rsidP="00C46E66">
            <w:pPr>
              <w:jc w:val="center"/>
              <w:rPr>
                <w:rFonts w:ascii="Arial Narrow" w:hAnsi="Arial Narrow"/>
                <w:sz w:val="20"/>
                <w:vertAlign w:val="superscript"/>
                <w:lang w:val="de-DE"/>
              </w:rPr>
            </w:pPr>
            <w:r w:rsidRPr="00F625C6">
              <w:rPr>
                <w:rFonts w:ascii="Arial Narrow" w:hAnsi="Arial Narrow"/>
                <w:sz w:val="20"/>
                <w:lang w:val="de-DE"/>
              </w:rPr>
              <w:t>Stocker 2011 – SA, n=20</w:t>
            </w:r>
          </w:p>
        </w:tc>
        <w:tc>
          <w:tcPr>
            <w:tcW w:w="2675" w:type="dxa"/>
            <w:vAlign w:val="center"/>
          </w:tcPr>
          <w:p w:rsidR="0067738C" w:rsidRPr="004253AA" w:rsidRDefault="0067738C" w:rsidP="00C46E66">
            <w:pPr>
              <w:jc w:val="center"/>
              <w:rPr>
                <w:rFonts w:ascii="Arial Narrow" w:hAnsi="Arial Narrow"/>
                <w:sz w:val="20"/>
              </w:rPr>
            </w:pPr>
            <w:proofErr w:type="spellStart"/>
            <w:r w:rsidRPr="005455AA">
              <w:rPr>
                <w:rFonts w:ascii="Arial Narrow" w:hAnsi="Arial Narrow"/>
                <w:sz w:val="20"/>
              </w:rPr>
              <w:t>Pui</w:t>
            </w:r>
            <w:proofErr w:type="spellEnd"/>
            <w:r w:rsidRPr="005455AA">
              <w:rPr>
                <w:rFonts w:ascii="Arial Narrow" w:hAnsi="Arial Narrow"/>
                <w:sz w:val="20"/>
              </w:rPr>
              <w:t xml:space="preserve"> 2013 provides some data in those with </w:t>
            </w:r>
            <w:proofErr w:type="spellStart"/>
            <w:r w:rsidRPr="005455AA">
              <w:rPr>
                <w:rFonts w:ascii="Arial Narrow" w:hAnsi="Arial Narrow"/>
                <w:sz w:val="20"/>
              </w:rPr>
              <w:t>eGFR</w:t>
            </w:r>
            <w:proofErr w:type="spellEnd"/>
            <w:r w:rsidRPr="005455AA">
              <w:rPr>
                <w:rFonts w:ascii="Arial Narrow" w:hAnsi="Arial Narrow"/>
                <w:sz w:val="20"/>
              </w:rPr>
              <w:t xml:space="preserve"> &lt;50</w:t>
            </w:r>
            <w:r w:rsidR="003D695D">
              <w:rPr>
                <w:rFonts w:ascii="Arial Narrow" w:hAnsi="Arial Narrow"/>
                <w:sz w:val="20"/>
              </w:rPr>
              <w:t xml:space="preserve"> </w:t>
            </w:r>
            <w:r w:rsidRPr="005455AA">
              <w:rPr>
                <w:rFonts w:ascii="Arial Narrow" w:hAnsi="Arial Narrow"/>
                <w:sz w:val="20"/>
              </w:rPr>
              <w:t>ml/min/1.73</w:t>
            </w:r>
            <w:r w:rsidR="003D695D">
              <w:rPr>
                <w:rFonts w:ascii="Arial Narrow" w:hAnsi="Arial Narrow"/>
                <w:sz w:val="20"/>
              </w:rPr>
              <w:t> </w:t>
            </w:r>
            <w:r w:rsidRPr="005455AA">
              <w:rPr>
                <w:rFonts w:ascii="Arial Narrow" w:hAnsi="Arial Narrow"/>
                <w:sz w:val="20"/>
              </w:rPr>
              <w:t>m</w:t>
            </w:r>
            <w:r w:rsidRPr="000520BF">
              <w:rPr>
                <w:rFonts w:ascii="Arial Narrow" w:hAnsi="Arial Narrow"/>
                <w:sz w:val="20"/>
                <w:vertAlign w:val="superscript"/>
              </w:rPr>
              <w:t>2</w:t>
            </w:r>
            <w:r w:rsidRPr="005455AA">
              <w:rPr>
                <w:rFonts w:ascii="Arial Narrow" w:hAnsi="Arial Narrow"/>
                <w:sz w:val="20"/>
              </w:rPr>
              <w:t xml:space="preserve"> (n=</w:t>
            </w:r>
            <w:r>
              <w:rPr>
                <w:rFonts w:ascii="Arial Narrow" w:hAnsi="Arial Narrow"/>
                <w:sz w:val="20"/>
              </w:rPr>
              <w:t>6</w:t>
            </w:r>
            <w:r w:rsidRPr="005455AA">
              <w:rPr>
                <w:rFonts w:ascii="Arial Narrow" w:hAnsi="Arial Narrow"/>
                <w:sz w:val="20"/>
              </w:rPr>
              <w:t>)</w:t>
            </w:r>
          </w:p>
        </w:tc>
      </w:tr>
    </w:tbl>
    <w:p w:rsidR="0067738C" w:rsidRPr="00856D42" w:rsidRDefault="0067738C" w:rsidP="00FB0F8B">
      <w:pPr>
        <w:tabs>
          <w:tab w:val="left" w:pos="993"/>
        </w:tabs>
        <w:ind w:left="709"/>
        <w:rPr>
          <w:rFonts w:ascii="Arial Narrow" w:hAnsi="Arial Narrow"/>
          <w:sz w:val="18"/>
        </w:rPr>
      </w:pPr>
      <w:r w:rsidRPr="00856D42">
        <w:rPr>
          <w:rFonts w:ascii="Arial Narrow" w:hAnsi="Arial Narrow"/>
          <w:sz w:val="18"/>
        </w:rPr>
        <w:t xml:space="preserve">Abbreviations: SA=single arm, RCT=randomised controlled trial, PBO=placebo, ALO=allopurinol RI=renal impairment, </w:t>
      </w:r>
      <w:proofErr w:type="spellStart"/>
      <w:r w:rsidRPr="00856D42">
        <w:rPr>
          <w:rFonts w:ascii="Arial Narrow" w:hAnsi="Arial Narrow"/>
          <w:sz w:val="18"/>
        </w:rPr>
        <w:t>sUA</w:t>
      </w:r>
      <w:proofErr w:type="spellEnd"/>
      <w:r w:rsidRPr="00856D42">
        <w:rPr>
          <w:rFonts w:ascii="Arial Narrow" w:hAnsi="Arial Narrow"/>
          <w:sz w:val="18"/>
        </w:rPr>
        <w:t>=serum uric acid, QD=once daily, BID=twice daily, comp</w:t>
      </w:r>
      <w:proofErr w:type="gramStart"/>
      <w:r w:rsidRPr="00856D42">
        <w:rPr>
          <w:rFonts w:ascii="Arial Narrow" w:hAnsi="Arial Narrow"/>
          <w:sz w:val="18"/>
        </w:rPr>
        <w:t>.=</w:t>
      </w:r>
      <w:proofErr w:type="gramEnd"/>
      <w:r w:rsidRPr="00856D42">
        <w:rPr>
          <w:rFonts w:ascii="Arial Narrow" w:hAnsi="Arial Narrow"/>
          <w:sz w:val="18"/>
        </w:rPr>
        <w:t>comparison (not randomised), NDE=non-dose escalation</w:t>
      </w:r>
    </w:p>
    <w:p w:rsidR="0067738C" w:rsidRPr="00856D42" w:rsidRDefault="0067738C" w:rsidP="00FB0F8B">
      <w:pPr>
        <w:tabs>
          <w:tab w:val="left" w:pos="284"/>
          <w:tab w:val="left" w:pos="1134"/>
        </w:tabs>
        <w:ind w:left="709"/>
        <w:rPr>
          <w:rFonts w:ascii="Arial Narrow" w:hAnsi="Arial Narrow"/>
          <w:sz w:val="18"/>
        </w:rPr>
      </w:pPr>
      <w:proofErr w:type="gramStart"/>
      <w:r w:rsidRPr="00856D42">
        <w:rPr>
          <w:rFonts w:ascii="Arial Narrow" w:hAnsi="Arial Narrow"/>
          <w:sz w:val="18"/>
          <w:vertAlign w:val="superscript"/>
        </w:rPr>
        <w:t>a</w:t>
      </w:r>
      <w:proofErr w:type="gramEnd"/>
      <w:r w:rsidR="00FB0F8B">
        <w:rPr>
          <w:rFonts w:ascii="Arial Narrow" w:hAnsi="Arial Narrow"/>
          <w:sz w:val="18"/>
        </w:rPr>
        <w:t xml:space="preserve"> </w:t>
      </w:r>
      <w:r w:rsidRPr="00856D42">
        <w:rPr>
          <w:rFonts w:ascii="Arial Narrow" w:hAnsi="Arial Narrow"/>
          <w:sz w:val="18"/>
        </w:rPr>
        <w:t>while the requested population is those in whom allopurinol has been insufficient who have renal impairment (RI), the studies only inform the efficacy and safety of therapies in those with renal impairment</w:t>
      </w:r>
    </w:p>
    <w:p w:rsidR="0067738C" w:rsidRDefault="0067738C" w:rsidP="0067738C">
      <w:pPr>
        <w:pStyle w:val="ListParagraph"/>
        <w:widowControl/>
        <w:snapToGrid w:val="0"/>
        <w:ind w:left="862"/>
      </w:pPr>
    </w:p>
    <w:p w:rsidR="0067738C" w:rsidRPr="0067738C" w:rsidRDefault="0067738C" w:rsidP="0067738C">
      <w:pPr>
        <w:pStyle w:val="ListParagraph"/>
        <w:widowControl/>
        <w:snapToGrid w:val="0"/>
        <w:ind w:left="862"/>
        <w:rPr>
          <w:szCs w:val="22"/>
        </w:rPr>
      </w:pPr>
    </w:p>
    <w:p w:rsidR="00E2429E" w:rsidRPr="00E2429E" w:rsidRDefault="0038078D" w:rsidP="00C311A5">
      <w:pPr>
        <w:pStyle w:val="ListParagraph"/>
        <w:widowControl/>
        <w:numPr>
          <w:ilvl w:val="1"/>
          <w:numId w:val="2"/>
        </w:numPr>
        <w:snapToGrid w:val="0"/>
        <w:ind w:left="709" w:hanging="709"/>
        <w:rPr>
          <w:szCs w:val="22"/>
        </w:rPr>
      </w:pPr>
      <w:r w:rsidRPr="0067738C">
        <w:t xml:space="preserve">The evidence </w:t>
      </w:r>
      <w:r w:rsidR="002F3893">
        <w:t xml:space="preserve">to support the application in the </w:t>
      </w:r>
      <w:r w:rsidR="000E34A5">
        <w:t>re-</w:t>
      </w:r>
      <w:r w:rsidRPr="0067738C">
        <w:t>submission</w:t>
      </w:r>
      <w:r w:rsidR="002F3893">
        <w:t xml:space="preserve"> was </w:t>
      </w:r>
      <w:r w:rsidR="00E2429E">
        <w:t xml:space="preserve">not </w:t>
      </w:r>
      <w:r w:rsidR="00B052CE">
        <w:t>strong</w:t>
      </w:r>
      <w:r w:rsidR="00E2429E">
        <w:t xml:space="preserve"> for the following reasons: </w:t>
      </w:r>
    </w:p>
    <w:p w:rsidR="00E2429E" w:rsidRDefault="002F3893" w:rsidP="00C311A5">
      <w:pPr>
        <w:pStyle w:val="ListParagraph"/>
        <w:widowControl/>
        <w:numPr>
          <w:ilvl w:val="0"/>
          <w:numId w:val="10"/>
        </w:numPr>
        <w:snapToGrid w:val="0"/>
        <w:ind w:left="993" w:hanging="284"/>
      </w:pPr>
      <w:r>
        <w:t>No evidence wa</w:t>
      </w:r>
      <w:r w:rsidR="0038078D" w:rsidRPr="0067738C">
        <w:t xml:space="preserve">s presented </w:t>
      </w:r>
      <w:r w:rsidR="00B052CE">
        <w:t>to show</w:t>
      </w:r>
      <w:r w:rsidR="0038078D" w:rsidRPr="0067738C">
        <w:t xml:space="preserve"> the efficacy and safety of </w:t>
      </w:r>
      <w:proofErr w:type="spellStart"/>
      <w:r w:rsidR="0038078D" w:rsidRPr="0067738C">
        <w:t>febuxostat</w:t>
      </w:r>
      <w:proofErr w:type="spellEnd"/>
      <w:r w:rsidR="0038078D" w:rsidRPr="0067738C">
        <w:t xml:space="preserve"> in those in whom allopurinol is insufficient (with</w:t>
      </w:r>
      <w:r w:rsidR="0067738C">
        <w:t xml:space="preserve"> or without renal impairment). </w:t>
      </w:r>
      <w:r w:rsidR="0038078D" w:rsidRPr="0067738C">
        <w:t>While the TMX-67-203, TMX-00-004, and CONFIRM</w:t>
      </w:r>
      <w:r w:rsidR="00E70EF1" w:rsidRPr="0067738C">
        <w:t>S</w:t>
      </w:r>
      <w:r w:rsidR="0038078D" w:rsidRPr="0067738C">
        <w:t xml:space="preserve"> trials and the FOCUS extension study included patients with renal impairment, patients in these trials/studies were not required to have had insufficient effect with maximally tolerated doses of allopurinol.</w:t>
      </w:r>
    </w:p>
    <w:p w:rsidR="00E2429E" w:rsidRDefault="002F3893" w:rsidP="00C311A5">
      <w:pPr>
        <w:pStyle w:val="ListParagraph"/>
        <w:widowControl/>
        <w:numPr>
          <w:ilvl w:val="0"/>
          <w:numId w:val="10"/>
        </w:numPr>
        <w:snapToGrid w:val="0"/>
        <w:ind w:left="993" w:hanging="284"/>
      </w:pPr>
      <w:r>
        <w:t xml:space="preserve">Although </w:t>
      </w:r>
      <w:proofErr w:type="spellStart"/>
      <w:r>
        <w:t>Chohan</w:t>
      </w:r>
      <w:proofErr w:type="spellEnd"/>
      <w:r>
        <w:t xml:space="preserve"> (2011) presented</w:t>
      </w:r>
      <w:r w:rsidR="0038078D" w:rsidRPr="0067738C">
        <w:t xml:space="preserve"> data relating to the efficacy and safety of </w:t>
      </w:r>
      <w:proofErr w:type="spellStart"/>
      <w:r w:rsidR="0038078D" w:rsidRPr="0067738C">
        <w:t>febuxostat</w:t>
      </w:r>
      <w:proofErr w:type="spellEnd"/>
      <w:r w:rsidR="0038078D" w:rsidRPr="0067738C">
        <w:t xml:space="preserve"> in </w:t>
      </w:r>
      <w:r w:rsidR="00B13F11">
        <w:t>patients</w:t>
      </w:r>
      <w:r w:rsidR="00B13F11" w:rsidRPr="0067738C">
        <w:t xml:space="preserve"> </w:t>
      </w:r>
      <w:r w:rsidR="0038078D" w:rsidRPr="0067738C">
        <w:t>with documented adverse eve</w:t>
      </w:r>
      <w:r>
        <w:t>nts to allopurinol, this study was relatively small and provided</w:t>
      </w:r>
      <w:r w:rsidR="00E2429E">
        <w:t xml:space="preserve"> no comparative data. </w:t>
      </w:r>
    </w:p>
    <w:p w:rsidR="00E2429E" w:rsidRPr="00E2429E" w:rsidRDefault="0038078D" w:rsidP="00C311A5">
      <w:pPr>
        <w:pStyle w:val="ListParagraph"/>
        <w:widowControl/>
        <w:numPr>
          <w:ilvl w:val="0"/>
          <w:numId w:val="10"/>
        </w:numPr>
        <w:snapToGrid w:val="0"/>
        <w:ind w:left="993" w:hanging="284"/>
        <w:rPr>
          <w:szCs w:val="22"/>
        </w:rPr>
      </w:pPr>
      <w:r w:rsidRPr="0067738C">
        <w:t>Similarly, the evidence presente</w:t>
      </w:r>
      <w:r w:rsidR="002F3893">
        <w:t>d for the relevant comparators wa</w:t>
      </w:r>
      <w:r w:rsidR="0021146F">
        <w:t xml:space="preserve">s </w:t>
      </w:r>
      <w:r w:rsidR="00E2429E">
        <w:t>deficient</w:t>
      </w:r>
      <w:r w:rsidR="0021146F">
        <w:t xml:space="preserve">. </w:t>
      </w:r>
      <w:r w:rsidRPr="0067738C">
        <w:t xml:space="preserve">Although some </w:t>
      </w:r>
      <w:r w:rsidR="004220E0">
        <w:t xml:space="preserve">randomised-controlled </w:t>
      </w:r>
      <w:r w:rsidR="004220E0" w:rsidRPr="0067738C">
        <w:t>s</w:t>
      </w:r>
      <w:r w:rsidR="004220E0">
        <w:t>tudies</w:t>
      </w:r>
      <w:r w:rsidR="004220E0" w:rsidRPr="0067738C">
        <w:t xml:space="preserve"> </w:t>
      </w:r>
      <w:r w:rsidRPr="0067738C">
        <w:t xml:space="preserve">and comparative studies </w:t>
      </w:r>
      <w:r w:rsidR="002F3893">
        <w:t>were</w:t>
      </w:r>
      <w:r w:rsidRPr="0067738C">
        <w:t xml:space="preserve"> included, with the exception of </w:t>
      </w:r>
      <w:proofErr w:type="spellStart"/>
      <w:r w:rsidRPr="0067738C">
        <w:t>Pui</w:t>
      </w:r>
      <w:proofErr w:type="spellEnd"/>
      <w:r w:rsidRPr="0067738C">
        <w:t xml:space="preserve"> (2013), only a si</w:t>
      </w:r>
      <w:r w:rsidR="002F3893">
        <w:t xml:space="preserve">ngle-arm of the trials/studies </w:t>
      </w:r>
      <w:proofErr w:type="gramStart"/>
      <w:r w:rsidR="002F3893">
        <w:t>we</w:t>
      </w:r>
      <w:r w:rsidRPr="0067738C">
        <w:t>re</w:t>
      </w:r>
      <w:proofErr w:type="gramEnd"/>
      <w:r w:rsidRPr="0067738C">
        <w:t xml:space="preserve"> relevant to th</w:t>
      </w:r>
      <w:r w:rsidR="00E2429E">
        <w:t>e submission.</w:t>
      </w:r>
    </w:p>
    <w:p w:rsidR="00F62E21" w:rsidRPr="00F62E21" w:rsidRDefault="002F3893" w:rsidP="00C311A5">
      <w:pPr>
        <w:pStyle w:val="ListParagraph"/>
        <w:widowControl/>
        <w:numPr>
          <w:ilvl w:val="0"/>
          <w:numId w:val="10"/>
        </w:numPr>
        <w:snapToGrid w:val="0"/>
        <w:ind w:left="993" w:hanging="284"/>
        <w:rPr>
          <w:szCs w:val="22"/>
        </w:rPr>
      </w:pPr>
      <w:r>
        <w:t>The data did not</w:t>
      </w:r>
      <w:r w:rsidR="0038078D" w:rsidRPr="0067738C">
        <w:t xml:space="preserve"> </w:t>
      </w:r>
      <w:r>
        <w:t>permit</w:t>
      </w:r>
      <w:r w:rsidR="0038078D" w:rsidRPr="0067738C">
        <w:t xml:space="preserve"> indirect comparisons across the treatments under consideration.</w:t>
      </w:r>
    </w:p>
    <w:p w:rsidR="0038078D" w:rsidRDefault="0038078D" w:rsidP="0038078D">
      <w:pPr>
        <w:pStyle w:val="ListParagraph"/>
        <w:widowControl/>
        <w:snapToGrid w:val="0"/>
        <w:ind w:left="862"/>
        <w:rPr>
          <w:szCs w:val="22"/>
        </w:rPr>
      </w:pPr>
    </w:p>
    <w:p w:rsidR="006F70CF" w:rsidRDefault="006F70CF" w:rsidP="00C311A5">
      <w:pPr>
        <w:pStyle w:val="ListParagraph"/>
        <w:widowControl/>
        <w:numPr>
          <w:ilvl w:val="1"/>
          <w:numId w:val="2"/>
        </w:numPr>
        <w:snapToGrid w:val="0"/>
        <w:ind w:left="709" w:hanging="709"/>
        <w:rPr>
          <w:szCs w:val="22"/>
        </w:rPr>
      </w:pPr>
      <w:r w:rsidRPr="0038078D">
        <w:rPr>
          <w:szCs w:val="22"/>
        </w:rPr>
        <w:t xml:space="preserve">Citations for the studies presented in the </w:t>
      </w:r>
      <w:r w:rsidR="000E34A5">
        <w:rPr>
          <w:szCs w:val="22"/>
        </w:rPr>
        <w:t>re-</w:t>
      </w:r>
      <w:r w:rsidR="00403C6D">
        <w:rPr>
          <w:szCs w:val="22"/>
        </w:rPr>
        <w:t>submission</w:t>
      </w:r>
      <w:r w:rsidRPr="0038078D">
        <w:rPr>
          <w:szCs w:val="22"/>
        </w:rPr>
        <w:t xml:space="preserve"> are provided in </w:t>
      </w:r>
      <w:r w:rsidR="00334885">
        <w:rPr>
          <w:szCs w:val="22"/>
        </w:rPr>
        <w:t>the table below</w:t>
      </w:r>
      <w:r w:rsidRPr="0038078D">
        <w:rPr>
          <w:szCs w:val="22"/>
        </w:rPr>
        <w:t>.</w:t>
      </w:r>
    </w:p>
    <w:p w:rsidR="0032422D" w:rsidRDefault="0032422D">
      <w:pPr>
        <w:widowControl/>
        <w:jc w:val="left"/>
        <w:rPr>
          <w:szCs w:val="22"/>
        </w:rPr>
      </w:pPr>
      <w:r>
        <w:rPr>
          <w:szCs w:val="22"/>
        </w:rPr>
        <w:br w:type="page"/>
      </w:r>
    </w:p>
    <w:p w:rsidR="00BF0C6E" w:rsidRDefault="00BF0C6E" w:rsidP="00BF0C6E">
      <w:pPr>
        <w:pStyle w:val="ListParagraph"/>
        <w:widowControl/>
        <w:snapToGrid w:val="0"/>
        <w:ind w:left="862"/>
        <w:rPr>
          <w:szCs w:val="22"/>
        </w:rPr>
      </w:pPr>
    </w:p>
    <w:p w:rsidR="00BF0C6E" w:rsidRPr="00BF0C6E" w:rsidRDefault="00BF0C6E" w:rsidP="00FB0F8B">
      <w:pPr>
        <w:pStyle w:val="ListParagraph"/>
        <w:widowControl/>
        <w:snapToGrid w:val="0"/>
        <w:ind w:left="709"/>
        <w:rPr>
          <w:rFonts w:ascii="Arial Narrow" w:hAnsi="Arial Narrow"/>
          <w:b/>
          <w:sz w:val="20"/>
        </w:rPr>
      </w:pPr>
      <w:r w:rsidRPr="00BF0C6E">
        <w:rPr>
          <w:rFonts w:ascii="Arial Narrow" w:hAnsi="Arial Narrow"/>
          <w:b/>
          <w:sz w:val="20"/>
        </w:rPr>
        <w:t xml:space="preserve">Citations for the studies presented in the </w:t>
      </w:r>
      <w:r w:rsidR="00403C6D">
        <w:rPr>
          <w:rFonts w:ascii="Arial Narrow" w:hAnsi="Arial Narrow"/>
          <w:b/>
          <w:sz w:val="20"/>
        </w:rPr>
        <w:t>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Pr>
      <w:tblGrid>
        <w:gridCol w:w="1559"/>
        <w:gridCol w:w="4398"/>
        <w:gridCol w:w="2388"/>
      </w:tblGrid>
      <w:tr w:rsidR="0038078D" w:rsidRPr="00CD4B0B" w:rsidTr="004958E3">
        <w:trPr>
          <w:tblHeader/>
        </w:trPr>
        <w:tc>
          <w:tcPr>
            <w:tcW w:w="934"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b/>
                <w:sz w:val="20"/>
              </w:rPr>
            </w:pPr>
            <w:r w:rsidRPr="00CD4B0B">
              <w:rPr>
                <w:rFonts w:ascii="Arial Narrow" w:hAnsi="Arial Narrow"/>
                <w:b/>
                <w:sz w:val="20"/>
              </w:rPr>
              <w:t>Trial ID</w:t>
            </w: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center"/>
              <w:rPr>
                <w:rFonts w:ascii="Arial Narrow" w:hAnsi="Arial Narrow"/>
                <w:b/>
                <w:sz w:val="20"/>
              </w:rPr>
            </w:pPr>
            <w:r w:rsidRPr="00CD4B0B">
              <w:rPr>
                <w:rFonts w:ascii="Arial Narrow" w:hAnsi="Arial Narrow"/>
                <w:b/>
                <w:sz w:val="20"/>
              </w:rPr>
              <w:t>Protocol title/ Publication title</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center"/>
              <w:rPr>
                <w:rFonts w:ascii="Arial Narrow" w:hAnsi="Arial Narrow"/>
                <w:b/>
                <w:sz w:val="20"/>
              </w:rPr>
            </w:pPr>
            <w:r w:rsidRPr="00CD4B0B">
              <w:rPr>
                <w:rFonts w:ascii="Arial Narrow" w:hAnsi="Arial Narrow"/>
                <w:b/>
                <w:sz w:val="20"/>
              </w:rPr>
              <w:t>Publication citation</w:t>
            </w:r>
          </w:p>
        </w:tc>
      </w:tr>
      <w:tr w:rsidR="0038078D" w:rsidRPr="00CD4B0B" w:rsidTr="004958E3">
        <w:tc>
          <w:tcPr>
            <w:tcW w:w="5000" w:type="pct"/>
            <w:gridSpan w:val="3"/>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b/>
                <w:sz w:val="20"/>
              </w:rPr>
            </w:pPr>
            <w:r w:rsidRPr="00CD4B0B">
              <w:rPr>
                <w:rFonts w:ascii="Arial Narrow" w:hAnsi="Arial Narrow"/>
                <w:b/>
                <w:sz w:val="20"/>
              </w:rPr>
              <w:t>Allopurinol inappropriate</w:t>
            </w:r>
          </w:p>
        </w:tc>
      </w:tr>
      <w:tr w:rsidR="0038078D" w:rsidRPr="00CD4B0B" w:rsidTr="004958E3">
        <w:tc>
          <w:tcPr>
            <w:tcW w:w="934"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widowControl/>
              <w:jc w:val="left"/>
              <w:rPr>
                <w:rFonts w:ascii="Arial Narrow" w:hAnsi="Arial Narrow"/>
                <w:sz w:val="20"/>
              </w:rPr>
            </w:pPr>
            <w:proofErr w:type="spellStart"/>
            <w:r w:rsidRPr="00CD4B0B">
              <w:rPr>
                <w:rFonts w:ascii="Arial Narrow" w:hAnsi="Arial Narrow"/>
                <w:sz w:val="20"/>
              </w:rPr>
              <w:t>Chohan</w:t>
            </w:r>
            <w:proofErr w:type="spellEnd"/>
            <w:r w:rsidRPr="00CD4B0B">
              <w:rPr>
                <w:rFonts w:ascii="Arial Narrow" w:hAnsi="Arial Narrow"/>
                <w:sz w:val="20"/>
              </w:rPr>
              <w:t xml:space="preserve"> 2011</w:t>
            </w:r>
          </w:p>
          <w:p w:rsidR="0038078D" w:rsidRPr="00CD4B0B" w:rsidRDefault="0038078D" w:rsidP="000771B7">
            <w:pPr>
              <w:snapToGrid w:val="0"/>
              <w:jc w:val="left"/>
              <w:rPr>
                <w:rFonts w:ascii="Arial Narrow" w:hAnsi="Arial Narrow"/>
                <w:sz w:val="20"/>
              </w:rPr>
            </w:pPr>
            <w:r w:rsidRPr="00CD4B0B">
              <w:rPr>
                <w:rFonts w:ascii="Arial Narrow" w:hAnsi="Arial Narrow"/>
                <w:sz w:val="20"/>
              </w:rPr>
              <w:t>[FBX single arm]</w:t>
            </w: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b/>
                <w:sz w:val="20"/>
              </w:rPr>
            </w:pPr>
            <w:r w:rsidRPr="00CD4B0B">
              <w:rPr>
                <w:rFonts w:ascii="Arial Narrow" w:hAnsi="Arial Narrow"/>
                <w:noProof/>
                <w:sz w:val="20"/>
              </w:rPr>
              <w:t>Chohan S. Safety and efficacy of febuxostat treatment in subjects with gout and severe allopurinol adverse reactions.</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b/>
                <w:sz w:val="20"/>
              </w:rPr>
            </w:pPr>
            <w:r w:rsidRPr="00CD4B0B">
              <w:rPr>
                <w:rFonts w:ascii="Arial Narrow" w:hAnsi="Arial Narrow"/>
                <w:i/>
                <w:iCs/>
                <w:noProof/>
                <w:sz w:val="20"/>
              </w:rPr>
              <w:t>J Rheumatol</w:t>
            </w:r>
            <w:r w:rsidRPr="00CD4B0B">
              <w:rPr>
                <w:rFonts w:ascii="Arial Narrow" w:hAnsi="Arial Narrow"/>
                <w:noProof/>
                <w:sz w:val="20"/>
              </w:rPr>
              <w:t>, 2011: 38(9):1957-9.</w:t>
            </w:r>
          </w:p>
        </w:tc>
      </w:tr>
      <w:tr w:rsidR="0038078D" w:rsidRPr="00CD4B0B" w:rsidTr="004958E3">
        <w:tc>
          <w:tcPr>
            <w:tcW w:w="934" w:type="pct"/>
            <w:tcBorders>
              <w:top w:val="single" w:sz="4" w:space="0" w:color="auto"/>
              <w:left w:val="single" w:sz="4" w:space="0" w:color="auto"/>
              <w:bottom w:val="single" w:sz="4" w:space="0" w:color="auto"/>
              <w:right w:val="single" w:sz="4" w:space="0" w:color="auto"/>
            </w:tcBorders>
            <w:hideMark/>
          </w:tcPr>
          <w:p w:rsidR="0038078D" w:rsidRPr="00CD4B0B" w:rsidRDefault="0038078D" w:rsidP="00EB6A24">
            <w:pPr>
              <w:widowControl/>
              <w:snapToGrid w:val="0"/>
              <w:jc w:val="left"/>
              <w:rPr>
                <w:rFonts w:ascii="Arial Narrow" w:hAnsi="Arial Narrow"/>
                <w:sz w:val="20"/>
              </w:rPr>
            </w:pPr>
            <w:r w:rsidRPr="00CD4B0B">
              <w:rPr>
                <w:rFonts w:ascii="Arial Narrow" w:hAnsi="Arial Narrow"/>
                <w:sz w:val="20"/>
                <w:lang w:val="it-IT"/>
              </w:rPr>
              <w:t>Pui 2013 – includes a [PRO arm, includes a PRO + ALO arm for ALO insufficient]</w:t>
            </w: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noProof/>
                <w:sz w:val="20"/>
              </w:rPr>
              <w:t xml:space="preserve">Pui K, et al. Efficacy and tolerability of probenecid as urate-lowering therapy in gout; clinical experience in high-prevalence population. </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Cs/>
                <w:noProof/>
                <w:sz w:val="20"/>
              </w:rPr>
            </w:pPr>
            <w:r w:rsidRPr="00CD4B0B">
              <w:rPr>
                <w:rFonts w:ascii="Arial Narrow" w:hAnsi="Arial Narrow"/>
                <w:i/>
                <w:iCs/>
                <w:noProof/>
                <w:sz w:val="20"/>
              </w:rPr>
              <w:t>J Rheumatol</w:t>
            </w:r>
            <w:r w:rsidRPr="00CD4B0B">
              <w:rPr>
                <w:rFonts w:ascii="Arial Narrow" w:hAnsi="Arial Narrow"/>
                <w:noProof/>
                <w:sz w:val="20"/>
              </w:rPr>
              <w:t>, 2013: 40(6):872-6.</w:t>
            </w:r>
          </w:p>
        </w:tc>
      </w:tr>
      <w:tr w:rsidR="0038078D" w:rsidRPr="00CD4B0B" w:rsidTr="004958E3">
        <w:tc>
          <w:tcPr>
            <w:tcW w:w="5000" w:type="pct"/>
            <w:gridSpan w:val="3"/>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b/>
                <w:iCs/>
                <w:noProof/>
                <w:sz w:val="20"/>
              </w:rPr>
            </w:pPr>
            <w:r w:rsidRPr="00CD4B0B">
              <w:rPr>
                <w:rFonts w:ascii="Arial Narrow" w:hAnsi="Arial Narrow"/>
                <w:b/>
                <w:iCs/>
                <w:noProof/>
                <w:sz w:val="20"/>
              </w:rPr>
              <w:t>Alluopurinol insufficient (no renal impairment)</w:t>
            </w:r>
          </w:p>
        </w:tc>
      </w:tr>
      <w:tr w:rsidR="0038078D" w:rsidRPr="00CD4B0B" w:rsidTr="004958E3">
        <w:tc>
          <w:tcPr>
            <w:tcW w:w="5000" w:type="pct"/>
            <w:gridSpan w:val="3"/>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tabs>
                <w:tab w:val="left" w:pos="296"/>
              </w:tabs>
              <w:snapToGrid w:val="0"/>
              <w:jc w:val="left"/>
              <w:rPr>
                <w:rFonts w:ascii="Arial Narrow" w:hAnsi="Arial Narrow"/>
                <w:b/>
                <w:iCs/>
                <w:noProof/>
                <w:sz w:val="20"/>
              </w:rPr>
            </w:pPr>
            <w:r w:rsidRPr="00CD4B0B">
              <w:rPr>
                <w:rFonts w:ascii="Arial Narrow" w:hAnsi="Arial Narrow"/>
                <w:iCs/>
                <w:noProof/>
                <w:sz w:val="20"/>
              </w:rPr>
              <w:tab/>
            </w:r>
            <w:r w:rsidRPr="00CD4B0B">
              <w:rPr>
                <w:rFonts w:ascii="Arial Narrow" w:hAnsi="Arial Narrow"/>
                <w:b/>
                <w:iCs/>
                <w:noProof/>
                <w:sz w:val="20"/>
              </w:rPr>
              <w:t>Treated to target of sUA ≤357µmol/L (6mg/dL)</w:t>
            </w:r>
          </w:p>
        </w:tc>
      </w:tr>
      <w:tr w:rsidR="0038078D" w:rsidRPr="00CD4B0B" w:rsidTr="004958E3">
        <w:tc>
          <w:tcPr>
            <w:tcW w:w="934" w:type="pct"/>
            <w:tcBorders>
              <w:top w:val="single" w:sz="4" w:space="0" w:color="auto"/>
              <w:left w:val="single" w:sz="4" w:space="0" w:color="auto"/>
              <w:bottom w:val="single" w:sz="4" w:space="0" w:color="auto"/>
              <w:right w:val="single" w:sz="4" w:space="0" w:color="auto"/>
            </w:tcBorders>
            <w:hideMark/>
          </w:tcPr>
          <w:p w:rsidR="0038078D" w:rsidRPr="00CD4B0B" w:rsidRDefault="00E2429E" w:rsidP="000771B7">
            <w:pPr>
              <w:jc w:val="left"/>
              <w:rPr>
                <w:rFonts w:ascii="Arial Narrow" w:hAnsi="Arial Narrow"/>
                <w:sz w:val="20"/>
              </w:rPr>
            </w:pPr>
            <w:r>
              <w:rPr>
                <w:rFonts w:ascii="Arial Narrow" w:hAnsi="Arial Narrow"/>
                <w:sz w:val="20"/>
              </w:rPr>
              <w:t xml:space="preserve">Jennings </w:t>
            </w:r>
          </w:p>
          <w:p w:rsidR="0038078D" w:rsidRPr="00CD4B0B" w:rsidRDefault="0038078D" w:rsidP="000771B7">
            <w:pPr>
              <w:snapToGrid w:val="0"/>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noProof/>
                <w:sz w:val="20"/>
              </w:rPr>
              <w:t>Jennings C, et al. Up-titration of allopurinol in subjects with gout.</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Cs/>
                <w:noProof/>
                <w:sz w:val="20"/>
              </w:rPr>
            </w:pPr>
            <w:r w:rsidRPr="00CD4B0B">
              <w:rPr>
                <w:rFonts w:ascii="Arial Narrow" w:hAnsi="Arial Narrow"/>
                <w:i/>
                <w:iCs/>
                <w:noProof/>
                <w:sz w:val="20"/>
              </w:rPr>
              <w:t>Semin Arthritis Rheum</w:t>
            </w:r>
            <w:r w:rsidRPr="00CD4B0B">
              <w:rPr>
                <w:rFonts w:ascii="Arial Narrow" w:hAnsi="Arial Narrow"/>
                <w:noProof/>
                <w:sz w:val="20"/>
              </w:rPr>
              <w:t>, 2014: 44(1):25-30.</w:t>
            </w:r>
          </w:p>
        </w:tc>
      </w:tr>
      <w:tr w:rsidR="0038078D" w:rsidRPr="00CD4B0B" w:rsidTr="004958E3">
        <w:tc>
          <w:tcPr>
            <w:tcW w:w="934" w:type="pct"/>
            <w:tcBorders>
              <w:top w:val="single" w:sz="4" w:space="0" w:color="auto"/>
              <w:left w:val="single" w:sz="4" w:space="0" w:color="auto"/>
              <w:bottom w:val="single" w:sz="4" w:space="0" w:color="auto"/>
              <w:right w:val="single" w:sz="4" w:space="0" w:color="auto"/>
            </w:tcBorders>
            <w:hideMark/>
          </w:tcPr>
          <w:p w:rsidR="0038078D" w:rsidRPr="00CD4B0B" w:rsidRDefault="00E2429E" w:rsidP="000771B7">
            <w:pPr>
              <w:jc w:val="left"/>
              <w:rPr>
                <w:rFonts w:ascii="Arial Narrow" w:hAnsi="Arial Narrow"/>
                <w:sz w:val="20"/>
              </w:rPr>
            </w:pPr>
            <w:r>
              <w:rPr>
                <w:rFonts w:ascii="Arial Narrow" w:hAnsi="Arial Narrow"/>
                <w:sz w:val="20"/>
              </w:rPr>
              <w:t>Stamp</w:t>
            </w:r>
          </w:p>
          <w:p w:rsidR="0038078D" w:rsidRPr="00CD4B0B" w:rsidRDefault="0038078D" w:rsidP="000771B7">
            <w:pPr>
              <w:snapToGrid w:val="0"/>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noProof/>
                <w:sz w:val="20"/>
              </w:rPr>
              <w:t>Stamp L, et al. Using allopurinol above the dose based on creatinine clearance is effective and safe in subjects with chronic gout, including those with renal impairment.</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Cs/>
                <w:noProof/>
                <w:sz w:val="20"/>
              </w:rPr>
            </w:pPr>
            <w:r w:rsidRPr="00CD4B0B">
              <w:rPr>
                <w:rFonts w:ascii="Arial Narrow" w:hAnsi="Arial Narrow"/>
                <w:i/>
                <w:iCs/>
                <w:noProof/>
                <w:sz w:val="20"/>
              </w:rPr>
              <w:t>Arthritis Rheum</w:t>
            </w:r>
            <w:r w:rsidRPr="00CD4B0B">
              <w:rPr>
                <w:rFonts w:ascii="Arial Narrow" w:hAnsi="Arial Narrow"/>
                <w:noProof/>
                <w:sz w:val="20"/>
              </w:rPr>
              <w:t>, 2011: 63(2):412-21.</w:t>
            </w:r>
          </w:p>
        </w:tc>
      </w:tr>
      <w:tr w:rsidR="0038078D" w:rsidRPr="00CD4B0B" w:rsidTr="004958E3">
        <w:tc>
          <w:tcPr>
            <w:tcW w:w="934" w:type="pct"/>
            <w:tcBorders>
              <w:top w:val="single" w:sz="4" w:space="0" w:color="auto"/>
              <w:left w:val="single" w:sz="4" w:space="0" w:color="auto"/>
              <w:bottom w:val="single" w:sz="4" w:space="0" w:color="auto"/>
              <w:right w:val="single" w:sz="4" w:space="0" w:color="auto"/>
            </w:tcBorders>
            <w:hideMark/>
          </w:tcPr>
          <w:p w:rsidR="0038078D" w:rsidRPr="00CD4B0B" w:rsidRDefault="00E2429E" w:rsidP="000771B7">
            <w:pPr>
              <w:jc w:val="left"/>
              <w:rPr>
                <w:rFonts w:ascii="Arial Narrow" w:hAnsi="Arial Narrow"/>
                <w:sz w:val="20"/>
              </w:rPr>
            </w:pPr>
            <w:r>
              <w:rPr>
                <w:rFonts w:ascii="Arial Narrow" w:hAnsi="Arial Narrow"/>
                <w:sz w:val="20"/>
              </w:rPr>
              <w:t>Baumgartner</w:t>
            </w:r>
          </w:p>
          <w:p w:rsidR="0038078D" w:rsidRPr="00CD4B0B" w:rsidRDefault="0038078D" w:rsidP="000771B7">
            <w:pPr>
              <w:snapToGrid w:val="0"/>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noProof/>
                <w:sz w:val="20"/>
              </w:rPr>
              <w:t>Allopurinol dose titration and efficacy: A large-scale, 6-month, multicenter, prospective study.</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Cs/>
                <w:noProof/>
                <w:sz w:val="20"/>
              </w:rPr>
            </w:pPr>
            <w:r w:rsidRPr="00CD4B0B">
              <w:rPr>
                <w:rFonts w:ascii="Arial Narrow" w:hAnsi="Arial Narrow"/>
                <w:i/>
                <w:iCs/>
                <w:noProof/>
                <w:sz w:val="20"/>
              </w:rPr>
              <w:t xml:space="preserve">Arthritis and Rheumatism </w:t>
            </w:r>
            <w:r w:rsidRPr="00CD4B0B">
              <w:rPr>
                <w:rFonts w:ascii="Arial Narrow" w:hAnsi="Arial Narrow"/>
                <w:noProof/>
                <w:sz w:val="20"/>
              </w:rPr>
              <w:t>, 2013: 65 SUPPL. 10 (S503-S504).</w:t>
            </w:r>
          </w:p>
        </w:tc>
      </w:tr>
      <w:tr w:rsidR="0038078D" w:rsidRPr="00CD4B0B" w:rsidTr="004958E3">
        <w:tc>
          <w:tcPr>
            <w:tcW w:w="934" w:type="pct"/>
            <w:tcBorders>
              <w:top w:val="single" w:sz="4" w:space="0" w:color="auto"/>
              <w:left w:val="single" w:sz="4" w:space="0" w:color="auto"/>
              <w:bottom w:val="single" w:sz="4" w:space="0" w:color="auto"/>
              <w:right w:val="single" w:sz="4" w:space="0" w:color="auto"/>
            </w:tcBorders>
            <w:hideMark/>
          </w:tcPr>
          <w:p w:rsidR="0038078D" w:rsidRPr="00CD4B0B" w:rsidRDefault="00E2429E" w:rsidP="000771B7">
            <w:pPr>
              <w:jc w:val="left"/>
              <w:rPr>
                <w:rFonts w:ascii="Arial Narrow" w:hAnsi="Arial Narrow"/>
                <w:sz w:val="20"/>
              </w:rPr>
            </w:pPr>
            <w:r>
              <w:rPr>
                <w:rFonts w:ascii="Arial Narrow" w:hAnsi="Arial Narrow"/>
                <w:sz w:val="20"/>
              </w:rPr>
              <w:t xml:space="preserve">Perez-Ruiz </w:t>
            </w:r>
          </w:p>
          <w:p w:rsidR="0038078D" w:rsidRPr="00CD4B0B" w:rsidRDefault="0038078D" w:rsidP="000771B7">
            <w:pPr>
              <w:snapToGrid w:val="0"/>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noProof/>
                <w:sz w:val="20"/>
              </w:rPr>
              <w:t>Efficacy of allopurinol and benzbromarone for the control of hyperuricaemia. A pathogenic approach to the treatment of primary chronic gout.</w:t>
            </w:r>
            <w:r w:rsidRPr="00CD4B0B">
              <w:rPr>
                <w:rFonts w:ascii="Arial Narrow" w:hAnsi="Arial Narrow"/>
                <w:sz w:val="20"/>
              </w:rPr>
              <w:t xml:space="preserve"> </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Cs/>
                <w:noProof/>
                <w:sz w:val="20"/>
              </w:rPr>
            </w:pPr>
            <w:r w:rsidRPr="00CD4B0B">
              <w:rPr>
                <w:rFonts w:ascii="Arial Narrow" w:hAnsi="Arial Narrow"/>
                <w:i/>
                <w:iCs/>
                <w:noProof/>
                <w:sz w:val="20"/>
              </w:rPr>
              <w:t>Ann Rheum Dis</w:t>
            </w:r>
            <w:r w:rsidRPr="00CD4B0B">
              <w:rPr>
                <w:rFonts w:ascii="Arial Narrow" w:hAnsi="Arial Narrow"/>
                <w:noProof/>
                <w:sz w:val="20"/>
              </w:rPr>
              <w:t>, 1998: 57(9):545-9</w:t>
            </w:r>
          </w:p>
        </w:tc>
      </w:tr>
      <w:tr w:rsidR="0038078D" w:rsidRPr="00CD4B0B" w:rsidTr="004958E3">
        <w:tc>
          <w:tcPr>
            <w:tcW w:w="934" w:type="pct"/>
            <w:tcBorders>
              <w:top w:val="single" w:sz="4" w:space="0" w:color="auto"/>
              <w:left w:val="single" w:sz="4" w:space="0" w:color="auto"/>
              <w:bottom w:val="single" w:sz="4" w:space="0" w:color="auto"/>
              <w:right w:val="single" w:sz="4" w:space="0" w:color="auto"/>
            </w:tcBorders>
            <w:hideMark/>
          </w:tcPr>
          <w:p w:rsidR="0038078D" w:rsidRPr="00CD4B0B" w:rsidRDefault="0038078D" w:rsidP="00E2429E">
            <w:pPr>
              <w:snapToGrid w:val="0"/>
              <w:jc w:val="left"/>
              <w:rPr>
                <w:rFonts w:ascii="Arial Narrow" w:hAnsi="Arial Narrow"/>
                <w:sz w:val="20"/>
              </w:rPr>
            </w:pPr>
            <w:r w:rsidRPr="00CD4B0B">
              <w:rPr>
                <w:rFonts w:ascii="Arial Narrow" w:hAnsi="Arial Narrow"/>
                <w:sz w:val="20"/>
                <w:lang w:val="it-IT"/>
              </w:rPr>
              <w:t xml:space="preserve">Pui </w:t>
            </w: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noProof/>
                <w:sz w:val="20"/>
              </w:rPr>
              <w:t xml:space="preserve">Efficacy and tolerability of probenecid as urate-lowering therapy in gout; clinical experience in high-prevalence population. </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
                <w:iCs/>
                <w:noProof/>
                <w:sz w:val="20"/>
              </w:rPr>
            </w:pPr>
            <w:r w:rsidRPr="00CD4B0B">
              <w:rPr>
                <w:rFonts w:ascii="Arial Narrow" w:hAnsi="Arial Narrow"/>
                <w:i/>
                <w:iCs/>
                <w:noProof/>
                <w:sz w:val="20"/>
              </w:rPr>
              <w:t>J Rheumatol</w:t>
            </w:r>
            <w:r w:rsidRPr="00CD4B0B">
              <w:rPr>
                <w:rFonts w:ascii="Arial Narrow" w:hAnsi="Arial Narrow"/>
                <w:noProof/>
                <w:sz w:val="20"/>
              </w:rPr>
              <w:t>, 2013: 40(6):872-6.</w:t>
            </w:r>
          </w:p>
        </w:tc>
      </w:tr>
      <w:tr w:rsidR="0038078D" w:rsidRPr="00CD4B0B" w:rsidTr="004958E3">
        <w:tc>
          <w:tcPr>
            <w:tcW w:w="5000" w:type="pct"/>
            <w:gridSpan w:val="3"/>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tabs>
                <w:tab w:val="left" w:pos="296"/>
              </w:tabs>
              <w:snapToGrid w:val="0"/>
              <w:jc w:val="left"/>
              <w:rPr>
                <w:rFonts w:ascii="Arial Narrow" w:hAnsi="Arial Narrow"/>
                <w:i/>
                <w:iCs/>
                <w:noProof/>
                <w:sz w:val="20"/>
              </w:rPr>
            </w:pPr>
            <w:r w:rsidRPr="00CD4B0B">
              <w:rPr>
                <w:rFonts w:ascii="Arial Narrow" w:hAnsi="Arial Narrow"/>
                <w:b/>
                <w:iCs/>
                <w:noProof/>
                <w:sz w:val="20"/>
              </w:rPr>
              <w:t xml:space="preserve">ALO dose not treated to sUA target specified in the restriction </w:t>
            </w:r>
          </w:p>
        </w:tc>
      </w:tr>
      <w:tr w:rsidR="0038078D" w:rsidRPr="00CD4B0B" w:rsidTr="004958E3">
        <w:tc>
          <w:tcPr>
            <w:tcW w:w="934"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jc w:val="left"/>
              <w:rPr>
                <w:rFonts w:ascii="Arial Narrow" w:hAnsi="Arial Narrow"/>
                <w:sz w:val="20"/>
              </w:rPr>
            </w:pPr>
            <w:proofErr w:type="spellStart"/>
            <w:r w:rsidRPr="00CD4B0B">
              <w:rPr>
                <w:rFonts w:ascii="Arial Narrow" w:hAnsi="Arial Narrow"/>
                <w:sz w:val="20"/>
              </w:rPr>
              <w:t>Reinders</w:t>
            </w:r>
            <w:proofErr w:type="spellEnd"/>
            <w:r w:rsidRPr="00CD4B0B">
              <w:rPr>
                <w:rFonts w:ascii="Arial Narrow" w:hAnsi="Arial Narrow"/>
                <w:sz w:val="20"/>
              </w:rPr>
              <w:t xml:space="preserve"> 2009b </w:t>
            </w:r>
          </w:p>
          <w:p w:rsidR="0038078D" w:rsidRPr="00CD4B0B" w:rsidRDefault="0038078D" w:rsidP="000771B7">
            <w:pPr>
              <w:snapToGrid w:val="0"/>
              <w:jc w:val="left"/>
              <w:rPr>
                <w:rFonts w:ascii="Arial Narrow" w:hAnsi="Arial Narrow"/>
                <w:sz w:val="20"/>
              </w:rPr>
            </w:pPr>
            <w:r w:rsidRPr="00CD4B0B">
              <w:rPr>
                <w:rFonts w:ascii="Arial Narrow" w:hAnsi="Arial Narrow"/>
                <w:sz w:val="20"/>
              </w:rPr>
              <w:t>[ALO single arm]</w:t>
            </w: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noProof/>
                <w:sz w:val="20"/>
              </w:rPr>
              <w:t>A randomised controlled trial on the efficacy and tolerability with dose escalation of allopurinol 300-600 mg/day versus benzbromarone 100-200 mg/day in subjects with gout.</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
                <w:iCs/>
                <w:noProof/>
                <w:sz w:val="20"/>
              </w:rPr>
            </w:pPr>
            <w:r w:rsidRPr="00CD4B0B">
              <w:rPr>
                <w:rFonts w:ascii="Arial Narrow" w:hAnsi="Arial Narrow"/>
                <w:i/>
                <w:iCs/>
                <w:noProof/>
                <w:sz w:val="20"/>
              </w:rPr>
              <w:t>Ann Rheum Dis</w:t>
            </w:r>
            <w:r w:rsidRPr="00CD4B0B">
              <w:rPr>
                <w:rFonts w:ascii="Arial Narrow" w:hAnsi="Arial Narrow"/>
                <w:noProof/>
                <w:sz w:val="20"/>
              </w:rPr>
              <w:t>, 2009: 68(6):892-7.</w:t>
            </w:r>
          </w:p>
        </w:tc>
      </w:tr>
      <w:tr w:rsidR="0038078D" w:rsidRPr="00CD4B0B" w:rsidTr="004958E3">
        <w:tc>
          <w:tcPr>
            <w:tcW w:w="934"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jc w:val="left"/>
              <w:rPr>
                <w:rFonts w:ascii="Arial Narrow" w:hAnsi="Arial Narrow"/>
                <w:sz w:val="20"/>
              </w:rPr>
            </w:pPr>
            <w:proofErr w:type="spellStart"/>
            <w:r w:rsidRPr="00CD4B0B">
              <w:rPr>
                <w:rFonts w:ascii="Arial Narrow" w:hAnsi="Arial Narrow"/>
                <w:sz w:val="20"/>
              </w:rPr>
              <w:t>Reinders</w:t>
            </w:r>
            <w:proofErr w:type="spellEnd"/>
            <w:r w:rsidRPr="00CD4B0B">
              <w:rPr>
                <w:rFonts w:ascii="Arial Narrow" w:hAnsi="Arial Narrow"/>
                <w:sz w:val="20"/>
              </w:rPr>
              <w:t xml:space="preserve"> 2009a </w:t>
            </w:r>
          </w:p>
          <w:p w:rsidR="0038078D" w:rsidRPr="00CD4B0B" w:rsidRDefault="0038078D" w:rsidP="000771B7">
            <w:pPr>
              <w:snapToGrid w:val="0"/>
              <w:jc w:val="left"/>
              <w:rPr>
                <w:rFonts w:ascii="Arial Narrow" w:hAnsi="Arial Narrow"/>
                <w:sz w:val="20"/>
                <w:lang w:val="it-IT"/>
              </w:rPr>
            </w:pPr>
            <w:r w:rsidRPr="00CD4B0B">
              <w:rPr>
                <w:rFonts w:ascii="Arial Narrow" w:hAnsi="Arial Narrow"/>
                <w:sz w:val="20"/>
              </w:rPr>
              <w:t>[PRO single arm]</w:t>
            </w: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noProof/>
                <w:sz w:val="20"/>
              </w:rPr>
              <w:t xml:space="preserve">Efficacy and tolerability of urate-lowering drugs in gout: a randomised controlled trial of benzbromarone versus probenecid after failure of allopurinol. </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
                <w:iCs/>
                <w:noProof/>
                <w:sz w:val="20"/>
              </w:rPr>
            </w:pPr>
            <w:r w:rsidRPr="00CD4B0B">
              <w:rPr>
                <w:rFonts w:ascii="Arial Narrow" w:hAnsi="Arial Narrow"/>
                <w:i/>
                <w:iCs/>
                <w:noProof/>
                <w:sz w:val="20"/>
              </w:rPr>
              <w:t>Ann Rheum Dis</w:t>
            </w:r>
            <w:r w:rsidRPr="00CD4B0B">
              <w:rPr>
                <w:rFonts w:ascii="Arial Narrow" w:hAnsi="Arial Narrow"/>
                <w:noProof/>
                <w:sz w:val="20"/>
              </w:rPr>
              <w:t>, 2009: 68(1):51-6.</w:t>
            </w:r>
          </w:p>
        </w:tc>
      </w:tr>
      <w:tr w:rsidR="0038078D" w:rsidRPr="00CD4B0B" w:rsidTr="004958E3">
        <w:tc>
          <w:tcPr>
            <w:tcW w:w="934" w:type="pct"/>
            <w:tcBorders>
              <w:top w:val="single" w:sz="4" w:space="0" w:color="auto"/>
              <w:left w:val="single" w:sz="4" w:space="0" w:color="auto"/>
              <w:bottom w:val="single" w:sz="4" w:space="0" w:color="auto"/>
              <w:right w:val="single" w:sz="4" w:space="0" w:color="auto"/>
            </w:tcBorders>
            <w:hideMark/>
          </w:tcPr>
          <w:p w:rsidR="0038078D" w:rsidRPr="00CD4B0B" w:rsidRDefault="00E2429E" w:rsidP="000771B7">
            <w:pPr>
              <w:jc w:val="left"/>
              <w:rPr>
                <w:rFonts w:ascii="Arial Narrow" w:hAnsi="Arial Narrow"/>
                <w:sz w:val="20"/>
              </w:rPr>
            </w:pPr>
            <w:proofErr w:type="spellStart"/>
            <w:r>
              <w:rPr>
                <w:rFonts w:ascii="Arial Narrow" w:hAnsi="Arial Narrow"/>
                <w:sz w:val="20"/>
              </w:rPr>
              <w:t>Reinders</w:t>
            </w:r>
            <w:proofErr w:type="spellEnd"/>
          </w:p>
          <w:p w:rsidR="0038078D" w:rsidRPr="00CD4B0B" w:rsidRDefault="0038078D" w:rsidP="000771B7">
            <w:pPr>
              <w:snapToGrid w:val="0"/>
              <w:jc w:val="left"/>
              <w:rPr>
                <w:rFonts w:ascii="Arial Narrow" w:hAnsi="Arial Narrow"/>
                <w:sz w:val="20"/>
              </w:rPr>
            </w:pPr>
            <w:r w:rsidRPr="00CD4B0B">
              <w:rPr>
                <w:rFonts w:ascii="Arial Narrow" w:hAnsi="Arial Narrow"/>
                <w:sz w:val="20"/>
              </w:rPr>
              <w:t>[PRO + ALO single arm]</w:t>
            </w: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noProof/>
                <w:sz w:val="20"/>
              </w:rPr>
              <w:t>Biochemical effectiveness of allopurinol and allopurinol-probenecid in previously benzbromarone-treated gout subjects.</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
                <w:iCs/>
                <w:noProof/>
                <w:sz w:val="20"/>
              </w:rPr>
            </w:pPr>
            <w:r w:rsidRPr="00CD4B0B">
              <w:rPr>
                <w:rFonts w:ascii="Arial Narrow" w:hAnsi="Arial Narrow"/>
                <w:i/>
                <w:iCs/>
                <w:noProof/>
                <w:sz w:val="20"/>
              </w:rPr>
              <w:t>Clin Rheumatol</w:t>
            </w:r>
            <w:r w:rsidRPr="00CD4B0B">
              <w:rPr>
                <w:rFonts w:ascii="Arial Narrow" w:hAnsi="Arial Narrow"/>
                <w:noProof/>
                <w:sz w:val="20"/>
              </w:rPr>
              <w:t>, 2007: 26(9):1459-6.</w:t>
            </w:r>
          </w:p>
        </w:tc>
      </w:tr>
      <w:tr w:rsidR="0038078D" w:rsidRPr="00CD4B0B" w:rsidTr="004958E3">
        <w:tc>
          <w:tcPr>
            <w:tcW w:w="934" w:type="pct"/>
            <w:tcBorders>
              <w:top w:val="single" w:sz="4" w:space="0" w:color="auto"/>
              <w:left w:val="single" w:sz="4" w:space="0" w:color="auto"/>
              <w:bottom w:val="single" w:sz="4" w:space="0" w:color="auto"/>
              <w:right w:val="single" w:sz="4" w:space="0" w:color="auto"/>
            </w:tcBorders>
            <w:hideMark/>
          </w:tcPr>
          <w:p w:rsidR="0038078D" w:rsidRPr="00CD4B0B" w:rsidRDefault="00E2429E" w:rsidP="000771B7">
            <w:pPr>
              <w:jc w:val="left"/>
              <w:rPr>
                <w:rFonts w:ascii="Arial Narrow" w:hAnsi="Arial Narrow"/>
                <w:sz w:val="20"/>
              </w:rPr>
            </w:pPr>
            <w:r>
              <w:rPr>
                <w:rFonts w:ascii="Arial Narrow" w:hAnsi="Arial Narrow"/>
                <w:sz w:val="20"/>
              </w:rPr>
              <w:t xml:space="preserve">Stocker </w:t>
            </w:r>
          </w:p>
          <w:p w:rsidR="0038078D" w:rsidRPr="00CD4B0B" w:rsidRDefault="0038078D" w:rsidP="000771B7">
            <w:pPr>
              <w:snapToGrid w:val="0"/>
              <w:jc w:val="left"/>
              <w:rPr>
                <w:rFonts w:ascii="Arial Narrow" w:hAnsi="Arial Narrow"/>
                <w:sz w:val="20"/>
                <w:lang w:val="it-IT"/>
              </w:rPr>
            </w:pPr>
            <w:r w:rsidRPr="00CD4B0B">
              <w:rPr>
                <w:rFonts w:ascii="Arial Narrow" w:hAnsi="Arial Narrow"/>
                <w:sz w:val="20"/>
              </w:rPr>
              <w:t>[PRO + ALO single arm]</w:t>
            </w: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noProof/>
                <w:sz w:val="20"/>
              </w:rPr>
              <w:t xml:space="preserve">Pharmacokinetic and pharmacodynamic interaction between allopurinol and probenecid in subjects with gout. </w:t>
            </w:r>
            <w:r w:rsidRPr="00CD4B0B">
              <w:rPr>
                <w:rFonts w:ascii="Arial Narrow" w:hAnsi="Arial Narrow"/>
                <w:sz w:val="20"/>
              </w:rPr>
              <w:t xml:space="preserve"> </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
                <w:iCs/>
                <w:noProof/>
                <w:sz w:val="20"/>
              </w:rPr>
            </w:pPr>
            <w:r w:rsidRPr="00CD4B0B">
              <w:rPr>
                <w:rFonts w:ascii="Arial Narrow" w:hAnsi="Arial Narrow"/>
                <w:i/>
                <w:iCs/>
                <w:noProof/>
                <w:sz w:val="20"/>
              </w:rPr>
              <w:t>J Rheumatol</w:t>
            </w:r>
            <w:r w:rsidRPr="00CD4B0B">
              <w:rPr>
                <w:rFonts w:ascii="Arial Narrow" w:hAnsi="Arial Narrow"/>
                <w:noProof/>
                <w:sz w:val="20"/>
              </w:rPr>
              <w:t>, 2011: 38(5):904-10.</w:t>
            </w:r>
          </w:p>
        </w:tc>
      </w:tr>
      <w:tr w:rsidR="0038078D" w:rsidRPr="00CD4B0B" w:rsidTr="004958E3">
        <w:tc>
          <w:tcPr>
            <w:tcW w:w="5000" w:type="pct"/>
            <w:gridSpan w:val="3"/>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b/>
                <w:sz w:val="20"/>
                <w:vertAlign w:val="superscript"/>
              </w:rPr>
            </w:pPr>
            <w:r w:rsidRPr="00CD4B0B">
              <w:rPr>
                <w:rFonts w:ascii="Arial Narrow" w:hAnsi="Arial Narrow"/>
                <w:b/>
                <w:sz w:val="20"/>
              </w:rPr>
              <w:t xml:space="preserve">Allopurinol insufficient + renal </w:t>
            </w:r>
            <w:proofErr w:type="spellStart"/>
            <w:r w:rsidRPr="00CD4B0B">
              <w:rPr>
                <w:rFonts w:ascii="Arial Narrow" w:hAnsi="Arial Narrow"/>
                <w:b/>
                <w:sz w:val="20"/>
              </w:rPr>
              <w:t>impairment</w:t>
            </w:r>
            <w:r w:rsidRPr="00CD4B0B">
              <w:rPr>
                <w:rFonts w:ascii="Arial Narrow" w:hAnsi="Arial Narrow"/>
                <w:b/>
                <w:sz w:val="20"/>
                <w:vertAlign w:val="superscript"/>
              </w:rPr>
              <w:t>a</w:t>
            </w:r>
            <w:proofErr w:type="spellEnd"/>
          </w:p>
        </w:tc>
      </w:tr>
      <w:tr w:rsidR="0038078D" w:rsidRPr="00CD4B0B" w:rsidTr="004958E3">
        <w:tc>
          <w:tcPr>
            <w:tcW w:w="934" w:type="pct"/>
            <w:vMerge w:val="restar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widowControl/>
              <w:jc w:val="left"/>
              <w:rPr>
                <w:rFonts w:ascii="Arial Narrow" w:hAnsi="Arial Narrow"/>
                <w:sz w:val="20"/>
              </w:rPr>
            </w:pPr>
            <w:r w:rsidRPr="00CD4B0B">
              <w:rPr>
                <w:rFonts w:ascii="Arial Narrow" w:hAnsi="Arial Narrow"/>
                <w:sz w:val="20"/>
              </w:rPr>
              <w:t xml:space="preserve">TMX-67-203 </w:t>
            </w:r>
          </w:p>
          <w:p w:rsidR="0038078D" w:rsidRPr="00CD4B0B" w:rsidRDefault="0038078D" w:rsidP="000771B7">
            <w:pPr>
              <w:snapToGrid w:val="0"/>
              <w:jc w:val="left"/>
              <w:rPr>
                <w:rFonts w:ascii="Arial Narrow" w:hAnsi="Arial Narrow"/>
                <w:sz w:val="20"/>
              </w:rPr>
            </w:pPr>
            <w:r w:rsidRPr="00CD4B0B">
              <w:rPr>
                <w:rFonts w:ascii="Arial Narrow" w:hAnsi="Arial Narrow"/>
                <w:sz w:val="20"/>
              </w:rPr>
              <w:t>[RCT of FBX v PBO]</w:t>
            </w: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cs="Helvetica"/>
                <w:sz w:val="20"/>
                <w:lang w:eastAsia="en-AU"/>
              </w:rPr>
            </w:pPr>
            <w:r w:rsidRPr="00CD4B0B">
              <w:rPr>
                <w:rFonts w:ascii="Arial Narrow" w:hAnsi="Arial Narrow"/>
                <w:sz w:val="20"/>
              </w:rPr>
              <w:t xml:space="preserve">A </w:t>
            </w:r>
            <w:proofErr w:type="spellStart"/>
            <w:r w:rsidRPr="00CD4B0B">
              <w:rPr>
                <w:rFonts w:ascii="Arial Narrow" w:hAnsi="Arial Narrow"/>
                <w:sz w:val="20"/>
              </w:rPr>
              <w:t>Multicenter</w:t>
            </w:r>
            <w:proofErr w:type="spellEnd"/>
            <w:r w:rsidRPr="00CD4B0B">
              <w:rPr>
                <w:rFonts w:ascii="Arial Narrow" w:hAnsi="Arial Narrow"/>
                <w:sz w:val="20"/>
              </w:rPr>
              <w:t xml:space="preserve">, Randomized, Double-Blind, Phase 2 Study to Evaluate the Effect of </w:t>
            </w:r>
            <w:proofErr w:type="spellStart"/>
            <w:r w:rsidRPr="00CD4B0B">
              <w:rPr>
                <w:rFonts w:ascii="Arial Narrow" w:hAnsi="Arial Narrow"/>
                <w:sz w:val="20"/>
              </w:rPr>
              <w:t>Febuxostat</w:t>
            </w:r>
            <w:proofErr w:type="spellEnd"/>
            <w:r w:rsidRPr="00CD4B0B">
              <w:rPr>
                <w:rFonts w:ascii="Arial Narrow" w:hAnsi="Arial Narrow"/>
                <w:sz w:val="20"/>
              </w:rPr>
              <w:t xml:space="preserve"> versus Placebo on Renal Function in Gout Subjects with </w:t>
            </w:r>
            <w:proofErr w:type="spellStart"/>
            <w:r w:rsidRPr="00CD4B0B">
              <w:rPr>
                <w:rFonts w:ascii="Arial Narrow" w:hAnsi="Arial Narrow"/>
                <w:sz w:val="20"/>
              </w:rPr>
              <w:t>Hyperuricemia</w:t>
            </w:r>
            <w:proofErr w:type="spellEnd"/>
            <w:r w:rsidRPr="00CD4B0B">
              <w:rPr>
                <w:rFonts w:ascii="Arial Narrow" w:hAnsi="Arial Narrow"/>
                <w:sz w:val="20"/>
              </w:rPr>
              <w:t xml:space="preserve"> and Moderate to Severe Renal Impairment</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cs="Helvetica"/>
                <w:iCs/>
                <w:sz w:val="20"/>
                <w:lang w:eastAsia="en-AU"/>
              </w:rPr>
            </w:pPr>
            <w:r w:rsidRPr="00CD4B0B">
              <w:rPr>
                <w:rFonts w:ascii="Arial Narrow" w:hAnsi="Arial Narrow"/>
                <w:sz w:val="20"/>
              </w:rPr>
              <w:t>26 April 2013</w:t>
            </w:r>
          </w:p>
        </w:tc>
      </w:tr>
      <w:tr w:rsidR="0038078D" w:rsidRPr="00CD4B0B" w:rsidTr="004958E3">
        <w:tc>
          <w:tcPr>
            <w:tcW w:w="934" w:type="pct"/>
            <w:vMerge/>
            <w:tcBorders>
              <w:top w:val="single" w:sz="4" w:space="0" w:color="auto"/>
              <w:left w:val="single" w:sz="4" w:space="0" w:color="auto"/>
              <w:bottom w:val="single" w:sz="4" w:space="0" w:color="auto"/>
              <w:right w:val="single" w:sz="4" w:space="0" w:color="auto"/>
            </w:tcBorders>
            <w:vAlign w:val="center"/>
            <w:hideMark/>
          </w:tcPr>
          <w:p w:rsidR="0038078D" w:rsidRPr="00CD4B0B" w:rsidRDefault="0038078D" w:rsidP="000771B7">
            <w:pPr>
              <w:widowControl/>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cs="Helvetica"/>
                <w:sz w:val="20"/>
                <w:lang w:eastAsia="en-AU"/>
              </w:rPr>
            </w:pPr>
            <w:r w:rsidRPr="00CD4B0B">
              <w:rPr>
                <w:rFonts w:ascii="Arial Narrow" w:hAnsi="Arial Narrow"/>
                <w:noProof/>
                <w:sz w:val="20"/>
              </w:rPr>
              <w:t>Saag K, et al. Effect of febuxostat on serum urate levels in gout subjects with hyperuricemia and moderate-to-severe renal impairment: A randomized controlled trial.”</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cs="Helvetica"/>
                <w:iCs/>
                <w:sz w:val="20"/>
                <w:lang w:eastAsia="en-AU"/>
              </w:rPr>
            </w:pPr>
            <w:r w:rsidRPr="00CD4B0B">
              <w:rPr>
                <w:rFonts w:ascii="Arial Narrow" w:hAnsi="Arial Narrow"/>
                <w:i/>
                <w:iCs/>
                <w:noProof/>
                <w:sz w:val="20"/>
              </w:rPr>
              <w:t>Arthritis &amp; Rheumatism</w:t>
            </w:r>
            <w:r w:rsidRPr="00CD4B0B">
              <w:rPr>
                <w:rFonts w:ascii="Arial Narrow" w:hAnsi="Arial Narrow"/>
                <w:noProof/>
                <w:sz w:val="20"/>
              </w:rPr>
              <w:t>, 2013: 65 Suppl. 10:S498-499.</w:t>
            </w:r>
          </w:p>
        </w:tc>
      </w:tr>
      <w:tr w:rsidR="0038078D" w:rsidRPr="00CD4B0B" w:rsidTr="004958E3">
        <w:tc>
          <w:tcPr>
            <w:tcW w:w="934" w:type="pct"/>
            <w:vMerge w:val="restar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widowControl/>
              <w:jc w:val="left"/>
              <w:rPr>
                <w:rFonts w:ascii="Arial Narrow" w:hAnsi="Arial Narrow"/>
                <w:sz w:val="20"/>
              </w:rPr>
            </w:pPr>
            <w:r w:rsidRPr="00CD4B0B">
              <w:rPr>
                <w:rFonts w:ascii="Arial Narrow" w:hAnsi="Arial Narrow"/>
                <w:sz w:val="20"/>
              </w:rPr>
              <w:t>TMX-00-004</w:t>
            </w:r>
          </w:p>
          <w:p w:rsidR="0038078D" w:rsidRPr="00CD4B0B" w:rsidRDefault="0038078D" w:rsidP="000771B7">
            <w:pPr>
              <w:snapToGrid w:val="0"/>
              <w:jc w:val="left"/>
              <w:rPr>
                <w:rFonts w:ascii="Arial Narrow" w:hAnsi="Arial Narrow"/>
                <w:sz w:val="20"/>
              </w:rPr>
            </w:pPr>
            <w:r w:rsidRPr="00CD4B0B">
              <w:rPr>
                <w:rFonts w:ascii="Arial Narrow" w:hAnsi="Arial Narrow"/>
                <w:sz w:val="20"/>
              </w:rPr>
              <w:t>[RCT of FBX v PBO; sub-group of patients with RI]</w:t>
            </w: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sz w:val="20"/>
              </w:rPr>
              <w:t xml:space="preserve">Phase II, dose-response, safety and efficacy study of oral </w:t>
            </w:r>
            <w:proofErr w:type="spellStart"/>
            <w:r w:rsidRPr="00CD4B0B">
              <w:rPr>
                <w:rFonts w:ascii="Arial Narrow" w:hAnsi="Arial Narrow"/>
                <w:sz w:val="20"/>
              </w:rPr>
              <w:t>febuxostat</w:t>
            </w:r>
            <w:proofErr w:type="spellEnd"/>
            <w:r w:rsidRPr="00CD4B0B">
              <w:rPr>
                <w:rFonts w:ascii="Arial Narrow" w:hAnsi="Arial Narrow"/>
                <w:sz w:val="20"/>
              </w:rPr>
              <w:t xml:space="preserve"> (TMX-67) in subjects with gout. </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
                <w:iCs/>
                <w:noProof/>
                <w:sz w:val="20"/>
              </w:rPr>
            </w:pPr>
            <w:r w:rsidRPr="00CD4B0B">
              <w:rPr>
                <w:rFonts w:ascii="Arial Narrow" w:hAnsi="Arial Narrow"/>
                <w:sz w:val="20"/>
              </w:rPr>
              <w:t>2 September 2005</w:t>
            </w:r>
          </w:p>
        </w:tc>
      </w:tr>
      <w:tr w:rsidR="0038078D" w:rsidRPr="00CD4B0B" w:rsidTr="004958E3">
        <w:tc>
          <w:tcPr>
            <w:tcW w:w="934" w:type="pct"/>
            <w:vMerge/>
            <w:tcBorders>
              <w:top w:val="single" w:sz="4" w:space="0" w:color="auto"/>
              <w:left w:val="single" w:sz="4" w:space="0" w:color="auto"/>
              <w:bottom w:val="single" w:sz="4" w:space="0" w:color="auto"/>
              <w:right w:val="single" w:sz="4" w:space="0" w:color="auto"/>
            </w:tcBorders>
            <w:vAlign w:val="center"/>
            <w:hideMark/>
          </w:tcPr>
          <w:p w:rsidR="0038078D" w:rsidRPr="00CD4B0B" w:rsidRDefault="0038078D" w:rsidP="000771B7">
            <w:pPr>
              <w:widowControl/>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sz w:val="20"/>
              </w:rPr>
              <w:t xml:space="preserve">Becker MA, et al. </w:t>
            </w:r>
            <w:proofErr w:type="spellStart"/>
            <w:r w:rsidRPr="00CD4B0B">
              <w:rPr>
                <w:rFonts w:ascii="Arial Narrow" w:hAnsi="Arial Narrow"/>
                <w:sz w:val="20"/>
              </w:rPr>
              <w:t>Febuxostat</w:t>
            </w:r>
            <w:proofErr w:type="spellEnd"/>
            <w:r w:rsidRPr="00CD4B0B">
              <w:rPr>
                <w:rFonts w:ascii="Arial Narrow" w:hAnsi="Arial Narrow"/>
                <w:sz w:val="20"/>
              </w:rPr>
              <w:t xml:space="preserve">, a novel </w:t>
            </w:r>
            <w:proofErr w:type="spellStart"/>
            <w:r w:rsidRPr="00CD4B0B">
              <w:rPr>
                <w:rFonts w:ascii="Arial Narrow" w:hAnsi="Arial Narrow"/>
                <w:sz w:val="20"/>
              </w:rPr>
              <w:t>nonpurine</w:t>
            </w:r>
            <w:proofErr w:type="spellEnd"/>
            <w:r w:rsidRPr="00CD4B0B">
              <w:rPr>
                <w:rFonts w:ascii="Arial Narrow" w:hAnsi="Arial Narrow"/>
                <w:sz w:val="20"/>
              </w:rPr>
              <w:t xml:space="preserve"> selective inhibitor of xanthine oxidase: A twenty-eight–day, </w:t>
            </w:r>
            <w:proofErr w:type="spellStart"/>
            <w:r w:rsidRPr="00CD4B0B">
              <w:rPr>
                <w:rFonts w:ascii="Arial Narrow" w:hAnsi="Arial Narrow"/>
                <w:sz w:val="20"/>
              </w:rPr>
              <w:t>multicenter</w:t>
            </w:r>
            <w:proofErr w:type="spellEnd"/>
            <w:r w:rsidRPr="00CD4B0B">
              <w:rPr>
                <w:rFonts w:ascii="Arial Narrow" w:hAnsi="Arial Narrow"/>
                <w:sz w:val="20"/>
              </w:rPr>
              <w:t xml:space="preserve">, phase II, randomized, double-blind, placebo-controlled, dose-response clinical trial examining safety and efficacy in subjects with gout. </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
                <w:iCs/>
                <w:noProof/>
                <w:sz w:val="20"/>
              </w:rPr>
            </w:pPr>
            <w:r w:rsidRPr="00CD4B0B">
              <w:rPr>
                <w:rFonts w:ascii="Arial Narrow" w:hAnsi="Arial Narrow"/>
                <w:i/>
                <w:iCs/>
                <w:sz w:val="20"/>
              </w:rPr>
              <w:t xml:space="preserve">Arthritis &amp; Rheumatism, </w:t>
            </w:r>
            <w:r w:rsidRPr="00CD4B0B">
              <w:rPr>
                <w:rFonts w:ascii="Arial Narrow" w:hAnsi="Arial Narrow"/>
                <w:iCs/>
                <w:sz w:val="20"/>
              </w:rPr>
              <w:t>2005:</w:t>
            </w:r>
            <w:r w:rsidRPr="00CD4B0B">
              <w:rPr>
                <w:rFonts w:ascii="Arial Narrow" w:hAnsi="Arial Narrow"/>
                <w:i/>
                <w:iCs/>
                <w:sz w:val="20"/>
              </w:rPr>
              <w:t xml:space="preserve"> 52</w:t>
            </w:r>
            <w:r w:rsidRPr="00CD4B0B">
              <w:rPr>
                <w:rFonts w:ascii="Arial Narrow" w:hAnsi="Arial Narrow"/>
                <w:sz w:val="20"/>
              </w:rPr>
              <w:t>(3), 916-923.</w:t>
            </w:r>
          </w:p>
        </w:tc>
      </w:tr>
      <w:tr w:rsidR="0038078D" w:rsidRPr="00CD4B0B" w:rsidTr="004958E3">
        <w:tc>
          <w:tcPr>
            <w:tcW w:w="934" w:type="pct"/>
            <w:vMerge w:val="restar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widowControl/>
              <w:jc w:val="left"/>
              <w:rPr>
                <w:rFonts w:ascii="Arial Narrow" w:hAnsi="Arial Narrow"/>
                <w:sz w:val="20"/>
              </w:rPr>
            </w:pPr>
            <w:r w:rsidRPr="00CD4B0B">
              <w:rPr>
                <w:rFonts w:ascii="Arial Narrow" w:hAnsi="Arial Narrow"/>
                <w:sz w:val="20"/>
              </w:rPr>
              <w:lastRenderedPageBreak/>
              <w:t>FOCUS</w:t>
            </w:r>
          </w:p>
          <w:p w:rsidR="0038078D" w:rsidRPr="00CD4B0B" w:rsidRDefault="0038078D" w:rsidP="000771B7">
            <w:pPr>
              <w:snapToGrid w:val="0"/>
              <w:jc w:val="left"/>
              <w:rPr>
                <w:rFonts w:ascii="Arial Narrow" w:hAnsi="Arial Narrow"/>
                <w:sz w:val="20"/>
              </w:rPr>
            </w:pPr>
            <w:r w:rsidRPr="00CD4B0B">
              <w:rPr>
                <w:rFonts w:ascii="Arial Narrow" w:hAnsi="Arial Narrow"/>
                <w:sz w:val="20"/>
              </w:rPr>
              <w:t>[FBX single arm; extension of TMX-00-004]]</w:t>
            </w: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sz w:val="20"/>
              </w:rPr>
              <w:t xml:space="preserve">Phase 2, open-label study to assess the long-term safety of oral </w:t>
            </w:r>
            <w:proofErr w:type="spellStart"/>
            <w:r w:rsidRPr="00CD4B0B">
              <w:rPr>
                <w:rFonts w:ascii="Arial Narrow" w:hAnsi="Arial Narrow"/>
                <w:sz w:val="20"/>
              </w:rPr>
              <w:t>febuxostat</w:t>
            </w:r>
            <w:proofErr w:type="spellEnd"/>
            <w:r w:rsidRPr="00CD4B0B">
              <w:rPr>
                <w:rFonts w:ascii="Arial Narrow" w:hAnsi="Arial Narrow"/>
                <w:sz w:val="20"/>
              </w:rPr>
              <w:t xml:space="preserve"> in subjects with gout. </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
                <w:iCs/>
                <w:noProof/>
                <w:sz w:val="20"/>
              </w:rPr>
            </w:pPr>
            <w:r w:rsidRPr="00CD4B0B">
              <w:rPr>
                <w:rFonts w:ascii="Arial Narrow" w:hAnsi="Arial Narrow"/>
                <w:sz w:val="20"/>
              </w:rPr>
              <w:t>11 March 2008</w:t>
            </w:r>
          </w:p>
        </w:tc>
      </w:tr>
      <w:tr w:rsidR="0038078D" w:rsidRPr="00CD4B0B" w:rsidTr="004958E3">
        <w:tc>
          <w:tcPr>
            <w:tcW w:w="934" w:type="pct"/>
            <w:vMerge/>
            <w:tcBorders>
              <w:top w:val="single" w:sz="4" w:space="0" w:color="auto"/>
              <w:left w:val="single" w:sz="4" w:space="0" w:color="auto"/>
              <w:bottom w:val="single" w:sz="4" w:space="0" w:color="auto"/>
              <w:right w:val="single" w:sz="4" w:space="0" w:color="auto"/>
            </w:tcBorders>
            <w:vAlign w:val="center"/>
            <w:hideMark/>
          </w:tcPr>
          <w:p w:rsidR="0038078D" w:rsidRPr="00CD4B0B" w:rsidRDefault="0038078D" w:rsidP="000771B7">
            <w:pPr>
              <w:widowControl/>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noProof/>
                <w:sz w:val="20"/>
              </w:rPr>
            </w:pPr>
            <w:r w:rsidRPr="00CD4B0B">
              <w:rPr>
                <w:rFonts w:ascii="Arial Narrow" w:hAnsi="Arial Narrow" w:cs="Helvetica"/>
                <w:sz w:val="20"/>
                <w:lang w:eastAsia="en-AU"/>
              </w:rPr>
              <w:t xml:space="preserve">Schumacher HR, et al. </w:t>
            </w:r>
            <w:proofErr w:type="spellStart"/>
            <w:r w:rsidRPr="00CD4B0B">
              <w:rPr>
                <w:rFonts w:ascii="Arial Narrow" w:hAnsi="Arial Narrow" w:cs="Helvetica"/>
                <w:sz w:val="20"/>
                <w:lang w:eastAsia="en-AU"/>
              </w:rPr>
              <w:t>Febuxostat</w:t>
            </w:r>
            <w:proofErr w:type="spellEnd"/>
            <w:r w:rsidRPr="00CD4B0B">
              <w:rPr>
                <w:rFonts w:ascii="Arial Narrow" w:hAnsi="Arial Narrow" w:cs="Helvetica"/>
                <w:sz w:val="20"/>
                <w:lang w:eastAsia="en-AU"/>
              </w:rPr>
              <w:t xml:space="preserve"> in the treatment of gout: 5-yr findings of the FOCUS efficacy and safety study. </w:t>
            </w:r>
          </w:p>
        </w:tc>
        <w:tc>
          <w:tcPr>
            <w:tcW w:w="1431" w:type="pc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snapToGrid w:val="0"/>
              <w:jc w:val="left"/>
              <w:rPr>
                <w:rFonts w:ascii="Arial Narrow" w:hAnsi="Arial Narrow"/>
                <w:i/>
                <w:iCs/>
                <w:noProof/>
                <w:sz w:val="20"/>
              </w:rPr>
            </w:pPr>
            <w:r w:rsidRPr="00CD4B0B">
              <w:rPr>
                <w:rFonts w:ascii="Arial Narrow" w:hAnsi="Arial Narrow" w:cs="Helvetica"/>
                <w:i/>
                <w:iCs/>
                <w:sz w:val="20"/>
                <w:lang w:eastAsia="en-AU"/>
              </w:rPr>
              <w:t xml:space="preserve">Rheumatology </w:t>
            </w:r>
            <w:r w:rsidRPr="00CD4B0B">
              <w:rPr>
                <w:rFonts w:ascii="Arial Narrow" w:hAnsi="Arial Narrow" w:cs="Helvetica"/>
                <w:iCs/>
                <w:sz w:val="20"/>
                <w:lang w:eastAsia="en-AU"/>
              </w:rPr>
              <w:t>(Oxford), 2009: 48</w:t>
            </w:r>
            <w:r w:rsidRPr="00CD4B0B">
              <w:rPr>
                <w:rFonts w:ascii="Arial Narrow" w:hAnsi="Arial Narrow" w:cs="Helvetica"/>
                <w:sz w:val="20"/>
                <w:lang w:eastAsia="en-AU"/>
              </w:rPr>
              <w:t xml:space="preserve">(2), 188-194. </w:t>
            </w:r>
          </w:p>
        </w:tc>
      </w:tr>
      <w:tr w:rsidR="0038078D" w:rsidRPr="00CD4B0B" w:rsidTr="004958E3">
        <w:tc>
          <w:tcPr>
            <w:tcW w:w="934" w:type="pct"/>
            <w:vMerge w:val="restart"/>
            <w:tcBorders>
              <w:top w:val="single" w:sz="4" w:space="0" w:color="auto"/>
              <w:left w:val="single" w:sz="4" w:space="0" w:color="auto"/>
              <w:bottom w:val="single" w:sz="4" w:space="0" w:color="auto"/>
              <w:right w:val="single" w:sz="4" w:space="0" w:color="auto"/>
            </w:tcBorders>
            <w:hideMark/>
          </w:tcPr>
          <w:p w:rsidR="0038078D" w:rsidRPr="00CD4B0B" w:rsidRDefault="0038078D" w:rsidP="000771B7">
            <w:pPr>
              <w:widowControl/>
              <w:jc w:val="left"/>
              <w:rPr>
                <w:rFonts w:ascii="Arial Narrow" w:hAnsi="Arial Narrow"/>
                <w:i/>
                <w:sz w:val="20"/>
              </w:rPr>
            </w:pPr>
            <w:r w:rsidRPr="00CD4B0B">
              <w:rPr>
                <w:rFonts w:ascii="Arial Narrow" w:hAnsi="Arial Narrow"/>
                <w:i/>
                <w:sz w:val="20"/>
              </w:rPr>
              <w:t>CONFIRMS</w:t>
            </w:r>
          </w:p>
          <w:p w:rsidR="0038078D" w:rsidRPr="00CD4B0B" w:rsidRDefault="0038078D" w:rsidP="000771B7">
            <w:pPr>
              <w:snapToGrid w:val="0"/>
              <w:jc w:val="left"/>
              <w:rPr>
                <w:rFonts w:ascii="Arial Narrow" w:hAnsi="Arial Narrow"/>
                <w:sz w:val="20"/>
              </w:rPr>
            </w:pPr>
            <w:r w:rsidRPr="00CD4B0B">
              <w:rPr>
                <w:rFonts w:ascii="Arial Narrow" w:hAnsi="Arial Narrow"/>
                <w:i/>
                <w:sz w:val="20"/>
              </w:rPr>
              <w:t>[RCT of FBX v ALO; sub-group of patients with RI]</w:t>
            </w:r>
          </w:p>
        </w:tc>
        <w:tc>
          <w:tcPr>
            <w:tcW w:w="2635"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noProof/>
                <w:sz w:val="20"/>
              </w:rPr>
            </w:pPr>
            <w:r w:rsidRPr="005E34B3">
              <w:rPr>
                <w:rFonts w:ascii="Arial Narrow" w:hAnsi="Arial Narrow"/>
                <w:i/>
                <w:sz w:val="20"/>
              </w:rPr>
              <w:t xml:space="preserve">A Phase 3, Randomized, </w:t>
            </w:r>
            <w:proofErr w:type="spellStart"/>
            <w:r w:rsidRPr="005E34B3">
              <w:rPr>
                <w:rFonts w:ascii="Arial Narrow" w:hAnsi="Arial Narrow"/>
                <w:i/>
                <w:sz w:val="20"/>
              </w:rPr>
              <w:t>Multicenter</w:t>
            </w:r>
            <w:proofErr w:type="spellEnd"/>
            <w:r w:rsidRPr="005E34B3">
              <w:rPr>
                <w:rFonts w:ascii="Arial Narrow" w:hAnsi="Arial Narrow"/>
                <w:i/>
                <w:sz w:val="20"/>
              </w:rPr>
              <w:t xml:space="preserve">, Double-Blind, Allopurinol-Controlled Study Assessing the Safety and Efficacy of Oral </w:t>
            </w:r>
            <w:proofErr w:type="spellStart"/>
            <w:r w:rsidRPr="005E34B3">
              <w:rPr>
                <w:rFonts w:ascii="Arial Narrow" w:hAnsi="Arial Narrow"/>
                <w:i/>
                <w:sz w:val="20"/>
              </w:rPr>
              <w:t>Febuxostat</w:t>
            </w:r>
            <w:proofErr w:type="spellEnd"/>
            <w:r w:rsidRPr="005E34B3">
              <w:rPr>
                <w:rFonts w:ascii="Arial Narrow" w:hAnsi="Arial Narrow"/>
                <w:i/>
                <w:sz w:val="20"/>
              </w:rPr>
              <w:t xml:space="preserve"> in Patients with Gout</w:t>
            </w:r>
          </w:p>
        </w:tc>
        <w:tc>
          <w:tcPr>
            <w:tcW w:w="1431"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i/>
                <w:iCs/>
                <w:noProof/>
                <w:sz w:val="20"/>
              </w:rPr>
            </w:pPr>
            <w:r w:rsidRPr="005E34B3">
              <w:rPr>
                <w:rFonts w:ascii="Arial Narrow" w:hAnsi="Arial Narrow"/>
                <w:i/>
                <w:sz w:val="20"/>
              </w:rPr>
              <w:t>27 June 2008</w:t>
            </w:r>
          </w:p>
        </w:tc>
      </w:tr>
      <w:tr w:rsidR="0038078D" w:rsidRPr="00CD4B0B" w:rsidTr="004958E3">
        <w:tc>
          <w:tcPr>
            <w:tcW w:w="934" w:type="pct"/>
            <w:vMerge/>
            <w:tcBorders>
              <w:top w:val="single" w:sz="4" w:space="0" w:color="auto"/>
              <w:left w:val="single" w:sz="4" w:space="0" w:color="auto"/>
              <w:bottom w:val="single" w:sz="4" w:space="0" w:color="auto"/>
              <w:right w:val="single" w:sz="4" w:space="0" w:color="auto"/>
            </w:tcBorders>
            <w:vAlign w:val="center"/>
            <w:hideMark/>
          </w:tcPr>
          <w:p w:rsidR="0038078D" w:rsidRPr="00CD4B0B" w:rsidRDefault="0038078D" w:rsidP="000771B7">
            <w:pPr>
              <w:widowControl/>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noProof/>
                <w:sz w:val="20"/>
              </w:rPr>
            </w:pPr>
            <w:r w:rsidRPr="005E34B3">
              <w:rPr>
                <w:rFonts w:ascii="Arial Narrow" w:hAnsi="Arial Narrow"/>
                <w:i/>
                <w:sz w:val="20"/>
              </w:rPr>
              <w:t xml:space="preserve">Becker, M, et al. “The </w:t>
            </w:r>
            <w:proofErr w:type="spellStart"/>
            <w:r w:rsidRPr="005E34B3">
              <w:rPr>
                <w:rFonts w:ascii="Arial Narrow" w:hAnsi="Arial Narrow"/>
                <w:i/>
                <w:sz w:val="20"/>
              </w:rPr>
              <w:t>urate</w:t>
            </w:r>
            <w:proofErr w:type="spellEnd"/>
            <w:r w:rsidRPr="005E34B3">
              <w:rPr>
                <w:rFonts w:ascii="Arial Narrow" w:hAnsi="Arial Narrow"/>
                <w:i/>
                <w:sz w:val="20"/>
              </w:rPr>
              <w:t xml:space="preserve">-lowering efficacy and safety of </w:t>
            </w:r>
            <w:proofErr w:type="spellStart"/>
            <w:r w:rsidRPr="005E34B3">
              <w:rPr>
                <w:rFonts w:ascii="Arial Narrow" w:hAnsi="Arial Narrow"/>
                <w:i/>
                <w:sz w:val="20"/>
              </w:rPr>
              <w:t>febuxostat</w:t>
            </w:r>
            <w:proofErr w:type="spellEnd"/>
            <w:r w:rsidRPr="005E34B3">
              <w:rPr>
                <w:rFonts w:ascii="Arial Narrow" w:hAnsi="Arial Narrow"/>
                <w:i/>
                <w:sz w:val="20"/>
              </w:rPr>
              <w:t xml:space="preserve"> in the treatment of the </w:t>
            </w:r>
            <w:proofErr w:type="spellStart"/>
            <w:r w:rsidRPr="005E34B3">
              <w:rPr>
                <w:rFonts w:ascii="Arial Narrow" w:hAnsi="Arial Narrow"/>
                <w:i/>
                <w:sz w:val="20"/>
              </w:rPr>
              <w:t>hyperuricemia</w:t>
            </w:r>
            <w:proofErr w:type="spellEnd"/>
            <w:r w:rsidRPr="005E34B3">
              <w:rPr>
                <w:rFonts w:ascii="Arial Narrow" w:hAnsi="Arial Narrow"/>
                <w:i/>
                <w:sz w:val="20"/>
              </w:rPr>
              <w:t xml:space="preserve"> of gout: the CONFIRMS trial.” </w:t>
            </w:r>
          </w:p>
        </w:tc>
        <w:tc>
          <w:tcPr>
            <w:tcW w:w="1431"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i/>
                <w:iCs/>
                <w:noProof/>
                <w:sz w:val="20"/>
              </w:rPr>
            </w:pPr>
            <w:r w:rsidRPr="005E34B3">
              <w:rPr>
                <w:rFonts w:ascii="Arial Narrow" w:hAnsi="Arial Narrow"/>
                <w:sz w:val="20"/>
              </w:rPr>
              <w:t xml:space="preserve">Arthritis Res </w:t>
            </w:r>
            <w:proofErr w:type="spellStart"/>
            <w:r w:rsidRPr="005E34B3">
              <w:rPr>
                <w:rFonts w:ascii="Arial Narrow" w:hAnsi="Arial Narrow"/>
                <w:sz w:val="20"/>
              </w:rPr>
              <w:t>Ther</w:t>
            </w:r>
            <w:proofErr w:type="spellEnd"/>
            <w:r w:rsidRPr="005E34B3">
              <w:rPr>
                <w:rFonts w:ascii="Arial Narrow" w:hAnsi="Arial Narrow"/>
                <w:i/>
                <w:sz w:val="20"/>
              </w:rPr>
              <w:t>, 2010: Apr 6</w:t>
            </w:r>
            <w:proofErr w:type="gramStart"/>
            <w:r w:rsidRPr="005E34B3">
              <w:rPr>
                <w:rFonts w:ascii="Arial Narrow" w:hAnsi="Arial Narrow"/>
                <w:i/>
                <w:sz w:val="20"/>
              </w:rPr>
              <w:t>;12</w:t>
            </w:r>
            <w:proofErr w:type="gramEnd"/>
            <w:r w:rsidRPr="005E34B3">
              <w:rPr>
                <w:rFonts w:ascii="Arial Narrow" w:hAnsi="Arial Narrow"/>
                <w:i/>
                <w:sz w:val="20"/>
              </w:rPr>
              <w:t>(2):R63.</w:t>
            </w:r>
          </w:p>
        </w:tc>
      </w:tr>
      <w:tr w:rsidR="0038078D" w:rsidRPr="00CD4B0B" w:rsidTr="004958E3">
        <w:tc>
          <w:tcPr>
            <w:tcW w:w="934" w:type="pct"/>
            <w:vMerge/>
            <w:tcBorders>
              <w:top w:val="single" w:sz="4" w:space="0" w:color="auto"/>
              <w:left w:val="single" w:sz="4" w:space="0" w:color="auto"/>
              <w:bottom w:val="single" w:sz="4" w:space="0" w:color="auto"/>
              <w:right w:val="single" w:sz="4" w:space="0" w:color="auto"/>
            </w:tcBorders>
            <w:vAlign w:val="center"/>
            <w:hideMark/>
          </w:tcPr>
          <w:p w:rsidR="0038078D" w:rsidRPr="00CD4B0B" w:rsidRDefault="0038078D" w:rsidP="000771B7">
            <w:pPr>
              <w:widowControl/>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noProof/>
                <w:sz w:val="20"/>
              </w:rPr>
            </w:pPr>
            <w:r w:rsidRPr="005E34B3">
              <w:rPr>
                <w:rFonts w:ascii="Arial Narrow" w:hAnsi="Arial Narrow"/>
                <w:i/>
                <w:sz w:val="20"/>
              </w:rPr>
              <w:t xml:space="preserve">Becker, M, P MacDonald, B Hunt, and L </w:t>
            </w:r>
            <w:proofErr w:type="spellStart"/>
            <w:r w:rsidRPr="005E34B3">
              <w:rPr>
                <w:rFonts w:ascii="Arial Narrow" w:hAnsi="Arial Narrow"/>
                <w:i/>
                <w:sz w:val="20"/>
              </w:rPr>
              <w:t>Gunawardhana</w:t>
            </w:r>
            <w:proofErr w:type="spellEnd"/>
            <w:r w:rsidRPr="005E34B3">
              <w:rPr>
                <w:rFonts w:ascii="Arial Narrow" w:hAnsi="Arial Narrow"/>
                <w:i/>
                <w:sz w:val="20"/>
              </w:rPr>
              <w:t xml:space="preserve">. “Treating </w:t>
            </w:r>
            <w:proofErr w:type="spellStart"/>
            <w:r w:rsidRPr="005E34B3">
              <w:rPr>
                <w:rFonts w:ascii="Arial Narrow" w:hAnsi="Arial Narrow"/>
                <w:i/>
                <w:sz w:val="20"/>
              </w:rPr>
              <w:t>hyperuricemia</w:t>
            </w:r>
            <w:proofErr w:type="spellEnd"/>
            <w:r w:rsidRPr="005E34B3">
              <w:rPr>
                <w:rFonts w:ascii="Arial Narrow" w:hAnsi="Arial Narrow"/>
                <w:i/>
                <w:sz w:val="20"/>
              </w:rPr>
              <w:t xml:space="preserve"> of gout: safety and efficacy of </w:t>
            </w:r>
            <w:proofErr w:type="spellStart"/>
            <w:r w:rsidRPr="005E34B3">
              <w:rPr>
                <w:rFonts w:ascii="Arial Narrow" w:hAnsi="Arial Narrow"/>
                <w:i/>
                <w:sz w:val="20"/>
              </w:rPr>
              <w:t>febuxostat</w:t>
            </w:r>
            <w:proofErr w:type="spellEnd"/>
            <w:r w:rsidRPr="005E34B3">
              <w:rPr>
                <w:rFonts w:ascii="Arial Narrow" w:hAnsi="Arial Narrow"/>
                <w:i/>
                <w:sz w:val="20"/>
              </w:rPr>
              <w:t xml:space="preserve"> and allopurinol in older versus younger subjects.” </w:t>
            </w:r>
          </w:p>
        </w:tc>
        <w:tc>
          <w:tcPr>
            <w:tcW w:w="1431"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i/>
                <w:iCs/>
                <w:noProof/>
                <w:sz w:val="20"/>
              </w:rPr>
            </w:pPr>
            <w:r w:rsidRPr="005E34B3">
              <w:rPr>
                <w:rFonts w:ascii="Arial Narrow" w:hAnsi="Arial Narrow"/>
                <w:sz w:val="20"/>
              </w:rPr>
              <w:t>Nucleosides Nucleotides Nucleic Acids</w:t>
            </w:r>
            <w:r w:rsidRPr="005E34B3">
              <w:rPr>
                <w:rFonts w:ascii="Arial Narrow" w:hAnsi="Arial Narrow"/>
                <w:i/>
                <w:sz w:val="20"/>
              </w:rPr>
              <w:t>, 2011: Dec</w:t>
            </w:r>
            <w:proofErr w:type="gramStart"/>
            <w:r w:rsidRPr="005E34B3">
              <w:rPr>
                <w:rFonts w:ascii="Arial Narrow" w:hAnsi="Arial Narrow"/>
                <w:i/>
                <w:sz w:val="20"/>
              </w:rPr>
              <w:t>;30</w:t>
            </w:r>
            <w:proofErr w:type="gramEnd"/>
            <w:r w:rsidRPr="005E34B3">
              <w:rPr>
                <w:rFonts w:ascii="Arial Narrow" w:hAnsi="Arial Narrow"/>
                <w:i/>
                <w:sz w:val="20"/>
              </w:rPr>
              <w:t>(12):1011-7.</w:t>
            </w:r>
          </w:p>
        </w:tc>
      </w:tr>
      <w:tr w:rsidR="0038078D" w:rsidRPr="00CD4B0B" w:rsidTr="004958E3">
        <w:tc>
          <w:tcPr>
            <w:tcW w:w="934" w:type="pct"/>
            <w:vMerge/>
            <w:tcBorders>
              <w:top w:val="single" w:sz="4" w:space="0" w:color="auto"/>
              <w:left w:val="single" w:sz="4" w:space="0" w:color="auto"/>
              <w:bottom w:val="single" w:sz="4" w:space="0" w:color="auto"/>
              <w:right w:val="single" w:sz="4" w:space="0" w:color="auto"/>
            </w:tcBorders>
            <w:vAlign w:val="center"/>
            <w:hideMark/>
          </w:tcPr>
          <w:p w:rsidR="0038078D" w:rsidRPr="00CD4B0B" w:rsidRDefault="0038078D" w:rsidP="000771B7">
            <w:pPr>
              <w:widowControl/>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noProof/>
                <w:sz w:val="20"/>
              </w:rPr>
            </w:pPr>
            <w:r w:rsidRPr="005E34B3">
              <w:rPr>
                <w:rFonts w:ascii="Arial Narrow" w:hAnsi="Arial Narrow"/>
                <w:i/>
                <w:sz w:val="20"/>
              </w:rPr>
              <w:t xml:space="preserve">Jackson, R, B Hunt, and P MacDonald. “The efficacy and safety of </w:t>
            </w:r>
            <w:proofErr w:type="spellStart"/>
            <w:r w:rsidRPr="005E34B3">
              <w:rPr>
                <w:rFonts w:ascii="Arial Narrow" w:hAnsi="Arial Narrow"/>
                <w:i/>
                <w:sz w:val="20"/>
              </w:rPr>
              <w:t>febuxostat</w:t>
            </w:r>
            <w:proofErr w:type="spellEnd"/>
            <w:r w:rsidRPr="005E34B3">
              <w:rPr>
                <w:rFonts w:ascii="Arial Narrow" w:hAnsi="Arial Narrow"/>
                <w:i/>
                <w:sz w:val="20"/>
              </w:rPr>
              <w:t xml:space="preserve"> for </w:t>
            </w:r>
            <w:proofErr w:type="spellStart"/>
            <w:r w:rsidRPr="005E34B3">
              <w:rPr>
                <w:rFonts w:ascii="Arial Narrow" w:hAnsi="Arial Narrow"/>
                <w:i/>
                <w:sz w:val="20"/>
              </w:rPr>
              <w:t>urate</w:t>
            </w:r>
            <w:proofErr w:type="spellEnd"/>
            <w:r w:rsidRPr="005E34B3">
              <w:rPr>
                <w:rFonts w:ascii="Arial Narrow" w:hAnsi="Arial Narrow"/>
                <w:i/>
                <w:sz w:val="20"/>
              </w:rPr>
              <w:t xml:space="preserve"> lowering in gout </w:t>
            </w:r>
            <w:proofErr w:type="gramStart"/>
            <w:r w:rsidRPr="005E34B3">
              <w:rPr>
                <w:rFonts w:ascii="Arial Narrow" w:hAnsi="Arial Narrow"/>
                <w:i/>
                <w:sz w:val="20"/>
              </w:rPr>
              <w:t>patients</w:t>
            </w:r>
            <w:proofErr w:type="gramEnd"/>
            <w:r w:rsidRPr="005E34B3">
              <w:rPr>
                <w:rFonts w:ascii="Arial Narrow" w:hAnsi="Arial Narrow"/>
                <w:i/>
                <w:sz w:val="20"/>
              </w:rPr>
              <w:t xml:space="preserve"> ≥65 years of age.” </w:t>
            </w:r>
          </w:p>
        </w:tc>
        <w:tc>
          <w:tcPr>
            <w:tcW w:w="1431"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i/>
                <w:iCs/>
                <w:noProof/>
                <w:sz w:val="20"/>
              </w:rPr>
            </w:pPr>
            <w:r w:rsidRPr="005E34B3">
              <w:rPr>
                <w:rFonts w:ascii="Arial Narrow" w:hAnsi="Arial Narrow"/>
                <w:sz w:val="20"/>
              </w:rPr>
              <w:t xml:space="preserve">BMC </w:t>
            </w:r>
            <w:proofErr w:type="spellStart"/>
            <w:r w:rsidRPr="005E34B3">
              <w:rPr>
                <w:rFonts w:ascii="Arial Narrow" w:hAnsi="Arial Narrow"/>
                <w:sz w:val="20"/>
              </w:rPr>
              <w:t>Geriatr</w:t>
            </w:r>
            <w:proofErr w:type="spellEnd"/>
            <w:r w:rsidRPr="005E34B3">
              <w:rPr>
                <w:rFonts w:ascii="Arial Narrow" w:hAnsi="Arial Narrow"/>
                <w:i/>
                <w:sz w:val="20"/>
              </w:rPr>
              <w:t>, 2012: Mar 21</w:t>
            </w:r>
            <w:proofErr w:type="gramStart"/>
            <w:r w:rsidRPr="005E34B3">
              <w:rPr>
                <w:rFonts w:ascii="Arial Narrow" w:hAnsi="Arial Narrow"/>
                <w:i/>
                <w:sz w:val="20"/>
              </w:rPr>
              <w:t>;12:11</w:t>
            </w:r>
            <w:proofErr w:type="gramEnd"/>
            <w:r w:rsidRPr="005E34B3">
              <w:rPr>
                <w:rFonts w:ascii="Arial Narrow" w:hAnsi="Arial Narrow"/>
                <w:i/>
                <w:sz w:val="20"/>
              </w:rPr>
              <w:t>.</w:t>
            </w:r>
          </w:p>
        </w:tc>
      </w:tr>
      <w:tr w:rsidR="0038078D" w:rsidRPr="00CD4B0B" w:rsidTr="004958E3">
        <w:tc>
          <w:tcPr>
            <w:tcW w:w="934" w:type="pct"/>
            <w:vMerge/>
            <w:tcBorders>
              <w:top w:val="single" w:sz="4" w:space="0" w:color="auto"/>
              <w:left w:val="single" w:sz="4" w:space="0" w:color="auto"/>
              <w:bottom w:val="single" w:sz="4" w:space="0" w:color="auto"/>
              <w:right w:val="single" w:sz="4" w:space="0" w:color="auto"/>
            </w:tcBorders>
            <w:vAlign w:val="center"/>
            <w:hideMark/>
          </w:tcPr>
          <w:p w:rsidR="0038078D" w:rsidRPr="00CD4B0B" w:rsidRDefault="0038078D" w:rsidP="000771B7">
            <w:pPr>
              <w:widowControl/>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noProof/>
                <w:sz w:val="20"/>
              </w:rPr>
            </w:pPr>
            <w:r w:rsidRPr="005E34B3">
              <w:rPr>
                <w:rFonts w:ascii="Arial Narrow" w:hAnsi="Arial Narrow"/>
                <w:i/>
                <w:sz w:val="20"/>
              </w:rPr>
              <w:t xml:space="preserve">Wells, A, P MacDonald, S </w:t>
            </w:r>
            <w:proofErr w:type="spellStart"/>
            <w:r w:rsidRPr="005E34B3">
              <w:rPr>
                <w:rFonts w:ascii="Arial Narrow" w:hAnsi="Arial Narrow"/>
                <w:i/>
                <w:sz w:val="20"/>
              </w:rPr>
              <w:t>Chefo</w:t>
            </w:r>
            <w:proofErr w:type="spellEnd"/>
            <w:r w:rsidRPr="005E34B3">
              <w:rPr>
                <w:rFonts w:ascii="Arial Narrow" w:hAnsi="Arial Narrow"/>
                <w:i/>
                <w:sz w:val="20"/>
              </w:rPr>
              <w:t xml:space="preserve">, and R Jackson. “African American patients with gout: efficacy and safety of </w:t>
            </w:r>
            <w:proofErr w:type="spellStart"/>
            <w:r w:rsidRPr="005E34B3">
              <w:rPr>
                <w:rFonts w:ascii="Arial Narrow" w:hAnsi="Arial Narrow"/>
                <w:i/>
                <w:sz w:val="20"/>
              </w:rPr>
              <w:t>febuxostat</w:t>
            </w:r>
            <w:proofErr w:type="spellEnd"/>
            <w:r w:rsidRPr="005E34B3">
              <w:rPr>
                <w:rFonts w:ascii="Arial Narrow" w:hAnsi="Arial Narrow"/>
                <w:i/>
                <w:sz w:val="20"/>
              </w:rPr>
              <w:t xml:space="preserve"> vs allopurinol.” </w:t>
            </w:r>
          </w:p>
        </w:tc>
        <w:tc>
          <w:tcPr>
            <w:tcW w:w="1431"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i/>
                <w:iCs/>
                <w:noProof/>
                <w:sz w:val="20"/>
              </w:rPr>
            </w:pPr>
            <w:r w:rsidRPr="005E34B3">
              <w:rPr>
                <w:rFonts w:ascii="Arial Narrow" w:hAnsi="Arial Narrow"/>
                <w:sz w:val="20"/>
              </w:rPr>
              <w:t xml:space="preserve">BMC </w:t>
            </w:r>
            <w:proofErr w:type="spellStart"/>
            <w:r w:rsidRPr="005E34B3">
              <w:rPr>
                <w:rFonts w:ascii="Arial Narrow" w:hAnsi="Arial Narrow"/>
                <w:sz w:val="20"/>
              </w:rPr>
              <w:t>Musculoskelet</w:t>
            </w:r>
            <w:proofErr w:type="spellEnd"/>
            <w:r w:rsidRPr="005E34B3">
              <w:rPr>
                <w:rFonts w:ascii="Arial Narrow" w:hAnsi="Arial Narrow"/>
                <w:sz w:val="20"/>
              </w:rPr>
              <w:t xml:space="preserve"> </w:t>
            </w:r>
            <w:proofErr w:type="spellStart"/>
            <w:r w:rsidRPr="005E34B3">
              <w:rPr>
                <w:rFonts w:ascii="Arial Narrow" w:hAnsi="Arial Narrow"/>
                <w:sz w:val="20"/>
              </w:rPr>
              <w:t>Disord</w:t>
            </w:r>
            <w:proofErr w:type="spellEnd"/>
            <w:r w:rsidRPr="005E34B3">
              <w:rPr>
                <w:rFonts w:ascii="Arial Narrow" w:hAnsi="Arial Narrow"/>
                <w:sz w:val="20"/>
              </w:rPr>
              <w:t>.,</w:t>
            </w:r>
            <w:r w:rsidRPr="005E34B3">
              <w:rPr>
                <w:rFonts w:ascii="Arial Narrow" w:hAnsi="Arial Narrow"/>
                <w:i/>
                <w:sz w:val="20"/>
              </w:rPr>
              <w:t xml:space="preserve"> 2012: Feb 9</w:t>
            </w:r>
            <w:proofErr w:type="gramStart"/>
            <w:r w:rsidRPr="005E34B3">
              <w:rPr>
                <w:rFonts w:ascii="Arial Narrow" w:hAnsi="Arial Narrow"/>
                <w:i/>
                <w:sz w:val="20"/>
              </w:rPr>
              <w:t>;13:15</w:t>
            </w:r>
            <w:proofErr w:type="gramEnd"/>
            <w:r w:rsidRPr="005E34B3">
              <w:rPr>
                <w:rFonts w:ascii="Arial Narrow" w:hAnsi="Arial Narrow"/>
                <w:i/>
                <w:sz w:val="20"/>
              </w:rPr>
              <w:t>.</w:t>
            </w:r>
          </w:p>
        </w:tc>
      </w:tr>
      <w:tr w:rsidR="0038078D" w:rsidRPr="00CD4B0B" w:rsidTr="004958E3">
        <w:tc>
          <w:tcPr>
            <w:tcW w:w="934" w:type="pct"/>
            <w:vMerge/>
            <w:tcBorders>
              <w:top w:val="single" w:sz="4" w:space="0" w:color="auto"/>
              <w:left w:val="single" w:sz="4" w:space="0" w:color="auto"/>
              <w:bottom w:val="single" w:sz="4" w:space="0" w:color="auto"/>
              <w:right w:val="single" w:sz="4" w:space="0" w:color="auto"/>
            </w:tcBorders>
            <w:vAlign w:val="center"/>
            <w:hideMark/>
          </w:tcPr>
          <w:p w:rsidR="0038078D" w:rsidRPr="00CD4B0B" w:rsidRDefault="0038078D" w:rsidP="000771B7">
            <w:pPr>
              <w:widowControl/>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noProof/>
                <w:sz w:val="20"/>
              </w:rPr>
            </w:pPr>
            <w:proofErr w:type="spellStart"/>
            <w:r w:rsidRPr="005E34B3">
              <w:rPr>
                <w:rFonts w:ascii="Arial Narrow" w:hAnsi="Arial Narrow"/>
                <w:i/>
                <w:sz w:val="20"/>
              </w:rPr>
              <w:t>Wortmann</w:t>
            </w:r>
            <w:proofErr w:type="spellEnd"/>
            <w:r w:rsidRPr="005E34B3">
              <w:rPr>
                <w:rFonts w:ascii="Arial Narrow" w:hAnsi="Arial Narrow"/>
                <w:i/>
                <w:sz w:val="20"/>
              </w:rPr>
              <w:t xml:space="preserve">, R, P Macdonald, B Hunt, and R Jackson. “Effect of prophylaxis on gout flares after the initiation of </w:t>
            </w:r>
            <w:proofErr w:type="spellStart"/>
            <w:r w:rsidRPr="005E34B3">
              <w:rPr>
                <w:rFonts w:ascii="Arial Narrow" w:hAnsi="Arial Narrow"/>
                <w:i/>
                <w:sz w:val="20"/>
              </w:rPr>
              <w:t>urate</w:t>
            </w:r>
            <w:proofErr w:type="spellEnd"/>
            <w:r w:rsidRPr="005E34B3">
              <w:rPr>
                <w:rFonts w:ascii="Arial Narrow" w:hAnsi="Arial Narrow"/>
                <w:i/>
                <w:sz w:val="20"/>
              </w:rPr>
              <w:t xml:space="preserve">-lowering therapy: analysis of data from three phase III trials.” </w:t>
            </w:r>
          </w:p>
        </w:tc>
        <w:tc>
          <w:tcPr>
            <w:tcW w:w="1431"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i/>
                <w:iCs/>
                <w:noProof/>
                <w:sz w:val="20"/>
              </w:rPr>
            </w:pPr>
            <w:proofErr w:type="spellStart"/>
            <w:r w:rsidRPr="005E34B3">
              <w:rPr>
                <w:rFonts w:ascii="Arial Narrow" w:hAnsi="Arial Narrow"/>
                <w:sz w:val="20"/>
              </w:rPr>
              <w:t>Clin</w:t>
            </w:r>
            <w:proofErr w:type="spellEnd"/>
            <w:r w:rsidRPr="005E34B3">
              <w:rPr>
                <w:rFonts w:ascii="Arial Narrow" w:hAnsi="Arial Narrow"/>
                <w:sz w:val="20"/>
              </w:rPr>
              <w:t xml:space="preserve"> </w:t>
            </w:r>
            <w:proofErr w:type="spellStart"/>
            <w:r w:rsidRPr="005E34B3">
              <w:rPr>
                <w:rFonts w:ascii="Arial Narrow" w:hAnsi="Arial Narrow"/>
                <w:sz w:val="20"/>
              </w:rPr>
              <w:t>Ther</w:t>
            </w:r>
            <w:proofErr w:type="spellEnd"/>
            <w:r w:rsidRPr="005E34B3">
              <w:rPr>
                <w:rFonts w:ascii="Arial Narrow" w:hAnsi="Arial Narrow"/>
                <w:sz w:val="20"/>
              </w:rPr>
              <w:t xml:space="preserve">, </w:t>
            </w:r>
            <w:r w:rsidRPr="005E34B3">
              <w:rPr>
                <w:rFonts w:ascii="Arial Narrow" w:hAnsi="Arial Narrow"/>
                <w:i/>
                <w:sz w:val="20"/>
              </w:rPr>
              <w:t>2010: Dec; 32(14):2386-97.</w:t>
            </w:r>
          </w:p>
        </w:tc>
      </w:tr>
      <w:tr w:rsidR="0038078D" w:rsidRPr="00CD4B0B" w:rsidTr="004958E3">
        <w:tc>
          <w:tcPr>
            <w:tcW w:w="934" w:type="pct"/>
            <w:vMerge/>
            <w:tcBorders>
              <w:top w:val="single" w:sz="4" w:space="0" w:color="auto"/>
              <w:left w:val="single" w:sz="4" w:space="0" w:color="auto"/>
              <w:bottom w:val="single" w:sz="4" w:space="0" w:color="auto"/>
              <w:right w:val="single" w:sz="4" w:space="0" w:color="auto"/>
            </w:tcBorders>
            <w:vAlign w:val="center"/>
            <w:hideMark/>
          </w:tcPr>
          <w:p w:rsidR="0038078D" w:rsidRPr="00CD4B0B" w:rsidRDefault="0038078D" w:rsidP="000771B7">
            <w:pPr>
              <w:widowControl/>
              <w:jc w:val="left"/>
              <w:rPr>
                <w:rFonts w:ascii="Arial Narrow" w:hAnsi="Arial Narrow"/>
                <w:sz w:val="20"/>
              </w:rPr>
            </w:pPr>
          </w:p>
        </w:tc>
        <w:tc>
          <w:tcPr>
            <w:tcW w:w="2635"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noProof/>
                <w:sz w:val="20"/>
              </w:rPr>
            </w:pPr>
            <w:proofErr w:type="spellStart"/>
            <w:r w:rsidRPr="005E34B3">
              <w:rPr>
                <w:rFonts w:ascii="Arial Narrow" w:hAnsi="Arial Narrow"/>
                <w:i/>
                <w:sz w:val="20"/>
              </w:rPr>
              <w:t>Chohan</w:t>
            </w:r>
            <w:proofErr w:type="spellEnd"/>
            <w:r w:rsidRPr="005E34B3">
              <w:rPr>
                <w:rFonts w:ascii="Arial Narrow" w:hAnsi="Arial Narrow"/>
                <w:i/>
                <w:sz w:val="20"/>
              </w:rPr>
              <w:t xml:space="preserve">, S, M Becker, P Macdonald, S </w:t>
            </w:r>
            <w:proofErr w:type="spellStart"/>
            <w:r w:rsidRPr="005E34B3">
              <w:rPr>
                <w:rFonts w:ascii="Arial Narrow" w:hAnsi="Arial Narrow"/>
                <w:i/>
                <w:sz w:val="20"/>
              </w:rPr>
              <w:t>Chefo</w:t>
            </w:r>
            <w:proofErr w:type="spellEnd"/>
            <w:r w:rsidRPr="005E34B3">
              <w:rPr>
                <w:rFonts w:ascii="Arial Narrow" w:hAnsi="Arial Narrow"/>
                <w:i/>
                <w:sz w:val="20"/>
              </w:rPr>
              <w:t xml:space="preserve">, and R Jackson. “Women with gout: Efficacy and safety of </w:t>
            </w:r>
            <w:proofErr w:type="spellStart"/>
            <w:r w:rsidRPr="005E34B3">
              <w:rPr>
                <w:rFonts w:ascii="Arial Narrow" w:hAnsi="Arial Narrow"/>
                <w:i/>
                <w:sz w:val="20"/>
              </w:rPr>
              <w:t>urate</w:t>
            </w:r>
            <w:proofErr w:type="spellEnd"/>
            <w:r w:rsidRPr="005E34B3">
              <w:rPr>
                <w:rFonts w:ascii="Arial Narrow" w:hAnsi="Arial Narrow"/>
                <w:i/>
                <w:sz w:val="20"/>
              </w:rPr>
              <w:t xml:space="preserve">-lowering with </w:t>
            </w:r>
            <w:proofErr w:type="spellStart"/>
            <w:r w:rsidRPr="005E34B3">
              <w:rPr>
                <w:rFonts w:ascii="Arial Narrow" w:hAnsi="Arial Narrow"/>
                <w:i/>
                <w:sz w:val="20"/>
              </w:rPr>
              <w:t>febuxostat</w:t>
            </w:r>
            <w:proofErr w:type="spellEnd"/>
            <w:r w:rsidRPr="005E34B3">
              <w:rPr>
                <w:rFonts w:ascii="Arial Narrow" w:hAnsi="Arial Narrow"/>
                <w:i/>
                <w:sz w:val="20"/>
              </w:rPr>
              <w:t xml:space="preserve"> and allopurinol.” </w:t>
            </w:r>
          </w:p>
        </w:tc>
        <w:tc>
          <w:tcPr>
            <w:tcW w:w="1431" w:type="pct"/>
            <w:tcBorders>
              <w:top w:val="single" w:sz="4" w:space="0" w:color="auto"/>
              <w:left w:val="single" w:sz="4" w:space="0" w:color="auto"/>
              <w:bottom w:val="single" w:sz="4" w:space="0" w:color="auto"/>
              <w:right w:val="single" w:sz="4" w:space="0" w:color="auto"/>
            </w:tcBorders>
            <w:hideMark/>
          </w:tcPr>
          <w:p w:rsidR="0038078D" w:rsidRPr="005E34B3" w:rsidRDefault="0038078D" w:rsidP="000771B7">
            <w:pPr>
              <w:snapToGrid w:val="0"/>
              <w:jc w:val="left"/>
              <w:rPr>
                <w:rFonts w:ascii="Arial Narrow" w:hAnsi="Arial Narrow"/>
                <w:i/>
                <w:iCs/>
                <w:noProof/>
                <w:sz w:val="20"/>
              </w:rPr>
            </w:pPr>
            <w:r w:rsidRPr="005E34B3">
              <w:rPr>
                <w:rFonts w:ascii="Arial Narrow" w:hAnsi="Arial Narrow"/>
                <w:sz w:val="20"/>
              </w:rPr>
              <w:t>Arthritis Care Res (Hoboken)</w:t>
            </w:r>
            <w:r w:rsidRPr="005E34B3">
              <w:rPr>
                <w:rFonts w:ascii="Arial Narrow" w:hAnsi="Arial Narrow"/>
                <w:i/>
                <w:sz w:val="20"/>
              </w:rPr>
              <w:t>, 2012: Feb</w:t>
            </w:r>
            <w:proofErr w:type="gramStart"/>
            <w:r w:rsidRPr="005E34B3">
              <w:rPr>
                <w:rFonts w:ascii="Arial Narrow" w:hAnsi="Arial Narrow"/>
                <w:i/>
                <w:sz w:val="20"/>
              </w:rPr>
              <w:t>;64</w:t>
            </w:r>
            <w:proofErr w:type="gramEnd"/>
            <w:r w:rsidRPr="005E34B3">
              <w:rPr>
                <w:rFonts w:ascii="Arial Narrow" w:hAnsi="Arial Narrow"/>
                <w:i/>
                <w:sz w:val="20"/>
              </w:rPr>
              <w:t>(2):256-61.</w:t>
            </w:r>
          </w:p>
        </w:tc>
      </w:tr>
    </w:tbl>
    <w:p w:rsidR="0067738C" w:rsidRPr="00395981" w:rsidRDefault="0067738C" w:rsidP="00FB0F8B">
      <w:pPr>
        <w:widowControl/>
        <w:snapToGrid w:val="0"/>
        <w:ind w:left="680" w:firstLine="29"/>
        <w:rPr>
          <w:rFonts w:ascii="Arial Narrow" w:hAnsi="Arial Narrow"/>
          <w:i/>
          <w:sz w:val="18"/>
          <w:highlight w:val="green"/>
        </w:rPr>
      </w:pPr>
      <w:r w:rsidRPr="00395981">
        <w:rPr>
          <w:rFonts w:ascii="Arial Narrow" w:hAnsi="Arial Narrow"/>
          <w:i/>
          <w:sz w:val="18"/>
        </w:rPr>
        <w:t>Trials and studies in italics were included during the evaluation</w:t>
      </w:r>
    </w:p>
    <w:p w:rsidR="006F70CF" w:rsidRDefault="006F70CF" w:rsidP="006F70CF">
      <w:pPr>
        <w:widowControl/>
        <w:rPr>
          <w:szCs w:val="22"/>
        </w:rPr>
      </w:pPr>
    </w:p>
    <w:p w:rsidR="0067738C" w:rsidRPr="00297299" w:rsidRDefault="0067738C" w:rsidP="006F70CF">
      <w:pPr>
        <w:widowControl/>
        <w:rPr>
          <w:szCs w:val="22"/>
        </w:rPr>
      </w:pPr>
    </w:p>
    <w:p w:rsidR="00287A20" w:rsidRPr="000233E1" w:rsidRDefault="006F70CF" w:rsidP="00C311A5">
      <w:pPr>
        <w:pStyle w:val="ListParagraph"/>
        <w:widowControl/>
        <w:numPr>
          <w:ilvl w:val="1"/>
          <w:numId w:val="2"/>
        </w:numPr>
        <w:snapToGrid w:val="0"/>
        <w:ind w:left="709" w:hanging="709"/>
        <w:rPr>
          <w:szCs w:val="22"/>
        </w:rPr>
      </w:pPr>
      <w:r w:rsidRPr="000233E1">
        <w:rPr>
          <w:szCs w:val="22"/>
        </w:rPr>
        <w:t>T</w:t>
      </w:r>
      <w:r w:rsidR="00287A20" w:rsidRPr="000233E1">
        <w:rPr>
          <w:szCs w:val="22"/>
        </w:rPr>
        <w:t xml:space="preserve">he ESC noted that a systematic review and meta-analysis by </w:t>
      </w:r>
      <w:proofErr w:type="spellStart"/>
      <w:r w:rsidR="00287A20" w:rsidRPr="000233E1">
        <w:rPr>
          <w:szCs w:val="22"/>
        </w:rPr>
        <w:t>Castrejon</w:t>
      </w:r>
      <w:proofErr w:type="spellEnd"/>
      <w:r w:rsidR="00287A20" w:rsidRPr="000233E1">
        <w:rPr>
          <w:szCs w:val="22"/>
        </w:rPr>
        <w:t xml:space="preserve"> et al. (2014)</w:t>
      </w:r>
      <w:r w:rsidR="00287A20" w:rsidRPr="000233E1">
        <w:rPr>
          <w:rStyle w:val="FootnoteReference"/>
          <w:szCs w:val="22"/>
        </w:rPr>
        <w:footnoteReference w:id="1"/>
      </w:r>
      <w:r w:rsidR="00287A20" w:rsidRPr="000233E1">
        <w:rPr>
          <w:szCs w:val="22"/>
        </w:rPr>
        <w:t xml:space="preserve"> of allopurinol’s safety compared with other </w:t>
      </w:r>
      <w:proofErr w:type="spellStart"/>
      <w:r w:rsidR="00287A20" w:rsidRPr="000233E1">
        <w:rPr>
          <w:szCs w:val="22"/>
        </w:rPr>
        <w:t>urate</w:t>
      </w:r>
      <w:proofErr w:type="spellEnd"/>
      <w:r w:rsidR="00287A20" w:rsidRPr="000233E1">
        <w:rPr>
          <w:szCs w:val="22"/>
        </w:rPr>
        <w:t xml:space="preserve"> lowering drugs became available in December 2014 during the </w:t>
      </w:r>
      <w:r w:rsidR="00B052CE">
        <w:rPr>
          <w:szCs w:val="22"/>
        </w:rPr>
        <w:t>period</w:t>
      </w:r>
      <w:r w:rsidR="00287A20" w:rsidRPr="000233E1">
        <w:rPr>
          <w:szCs w:val="22"/>
        </w:rPr>
        <w:t xml:space="preserve"> of the evaluation and so was not presented </w:t>
      </w:r>
      <w:r w:rsidR="00B13F11">
        <w:rPr>
          <w:szCs w:val="22"/>
        </w:rPr>
        <w:t>in</w:t>
      </w:r>
      <w:r w:rsidR="00B13F11" w:rsidRPr="000233E1">
        <w:rPr>
          <w:szCs w:val="22"/>
        </w:rPr>
        <w:t xml:space="preserve"> </w:t>
      </w:r>
      <w:r w:rsidR="00287A20" w:rsidRPr="000233E1">
        <w:rPr>
          <w:szCs w:val="22"/>
        </w:rPr>
        <w:t xml:space="preserve">the </w:t>
      </w:r>
      <w:r w:rsidR="000E34A5">
        <w:rPr>
          <w:szCs w:val="22"/>
        </w:rPr>
        <w:t>re-</w:t>
      </w:r>
      <w:r w:rsidR="00287A20" w:rsidRPr="000233E1">
        <w:rPr>
          <w:szCs w:val="22"/>
        </w:rPr>
        <w:t xml:space="preserve">submission or evaluated in the Commentary. </w:t>
      </w:r>
      <w:r w:rsidR="00CE75D1" w:rsidRPr="000233E1">
        <w:rPr>
          <w:szCs w:val="22"/>
        </w:rPr>
        <w:t xml:space="preserve">This study </w:t>
      </w:r>
      <w:r w:rsidR="000233E1">
        <w:rPr>
          <w:szCs w:val="22"/>
        </w:rPr>
        <w:t>contained relevant</w:t>
      </w:r>
      <w:r w:rsidR="00CE75D1" w:rsidRPr="000233E1">
        <w:rPr>
          <w:szCs w:val="22"/>
        </w:rPr>
        <w:t xml:space="preserve"> </w:t>
      </w:r>
      <w:r w:rsidR="00B13F11">
        <w:rPr>
          <w:szCs w:val="22"/>
        </w:rPr>
        <w:t xml:space="preserve">data regarding the </w:t>
      </w:r>
      <w:r w:rsidR="00CE75D1" w:rsidRPr="000233E1">
        <w:rPr>
          <w:szCs w:val="22"/>
        </w:rPr>
        <w:t xml:space="preserve">comparative </w:t>
      </w:r>
      <w:r w:rsidR="00B13F11">
        <w:rPr>
          <w:szCs w:val="22"/>
        </w:rPr>
        <w:t>safety</w:t>
      </w:r>
      <w:r w:rsidR="000233E1">
        <w:rPr>
          <w:szCs w:val="22"/>
        </w:rPr>
        <w:t xml:space="preserve"> </w:t>
      </w:r>
      <w:r w:rsidR="00B13F11">
        <w:rPr>
          <w:szCs w:val="22"/>
        </w:rPr>
        <w:t>of</w:t>
      </w:r>
      <w:r w:rsidR="000233E1">
        <w:rPr>
          <w:szCs w:val="22"/>
        </w:rPr>
        <w:t xml:space="preserve"> </w:t>
      </w:r>
      <w:proofErr w:type="spellStart"/>
      <w:r w:rsidR="000233E1">
        <w:rPr>
          <w:szCs w:val="22"/>
        </w:rPr>
        <w:t>febuxostat</w:t>
      </w:r>
      <w:proofErr w:type="spellEnd"/>
      <w:r w:rsidR="00CE75D1" w:rsidRPr="000233E1">
        <w:rPr>
          <w:szCs w:val="22"/>
        </w:rPr>
        <w:t>.</w:t>
      </w:r>
    </w:p>
    <w:p w:rsidR="00287A20" w:rsidRPr="00287A20" w:rsidRDefault="00287A20" w:rsidP="00CE75D1">
      <w:pPr>
        <w:pStyle w:val="PBACheading1"/>
        <w:numPr>
          <w:ilvl w:val="0"/>
          <w:numId w:val="0"/>
        </w:numPr>
        <w:snapToGrid w:val="0"/>
      </w:pPr>
    </w:p>
    <w:p w:rsidR="006F70CF" w:rsidRDefault="00287A20" w:rsidP="00C311A5">
      <w:pPr>
        <w:pStyle w:val="ListParagraph"/>
        <w:widowControl/>
        <w:numPr>
          <w:ilvl w:val="1"/>
          <w:numId w:val="2"/>
        </w:numPr>
        <w:snapToGrid w:val="0"/>
        <w:ind w:left="709" w:hanging="709"/>
        <w:rPr>
          <w:szCs w:val="22"/>
        </w:rPr>
      </w:pPr>
      <w:r>
        <w:rPr>
          <w:szCs w:val="22"/>
        </w:rPr>
        <w:t>T</w:t>
      </w:r>
      <w:r w:rsidR="006F70CF" w:rsidRPr="00EB6A24">
        <w:rPr>
          <w:szCs w:val="22"/>
        </w:rPr>
        <w:t xml:space="preserve">he key features of the studies assessed in </w:t>
      </w:r>
      <w:r w:rsidR="008A2449">
        <w:rPr>
          <w:szCs w:val="22"/>
        </w:rPr>
        <w:t xml:space="preserve">the </w:t>
      </w:r>
      <w:r w:rsidR="000E34A5">
        <w:rPr>
          <w:szCs w:val="22"/>
        </w:rPr>
        <w:t>re-</w:t>
      </w:r>
      <w:r w:rsidR="008A2449">
        <w:rPr>
          <w:szCs w:val="22"/>
        </w:rPr>
        <w:t xml:space="preserve">submission </w:t>
      </w:r>
      <w:r w:rsidR="00334885">
        <w:rPr>
          <w:szCs w:val="22"/>
        </w:rPr>
        <w:t>are provided in the table below</w:t>
      </w:r>
      <w:r w:rsidR="006F70CF" w:rsidRPr="00EB6A24">
        <w:rPr>
          <w:szCs w:val="22"/>
        </w:rPr>
        <w:t>.</w:t>
      </w:r>
    </w:p>
    <w:p w:rsidR="000E34A5" w:rsidRDefault="000E34A5">
      <w:pPr>
        <w:widowControl/>
        <w:jc w:val="left"/>
        <w:rPr>
          <w:szCs w:val="22"/>
        </w:rPr>
      </w:pPr>
      <w:r>
        <w:rPr>
          <w:szCs w:val="22"/>
        </w:rPr>
        <w:br w:type="page"/>
      </w:r>
    </w:p>
    <w:p w:rsidR="008F7923" w:rsidRDefault="008F7923" w:rsidP="008F7923">
      <w:pPr>
        <w:pStyle w:val="ListParagraph"/>
        <w:widowControl/>
        <w:snapToGrid w:val="0"/>
        <w:ind w:left="709"/>
        <w:rPr>
          <w:szCs w:val="22"/>
        </w:rPr>
      </w:pPr>
    </w:p>
    <w:p w:rsidR="008F7923" w:rsidRDefault="008F7923" w:rsidP="008F7923">
      <w:pPr>
        <w:ind w:firstLine="709"/>
        <w:rPr>
          <w:rStyle w:val="CommentReference"/>
        </w:rPr>
      </w:pPr>
      <w:r>
        <w:rPr>
          <w:rStyle w:val="CommentReference"/>
        </w:rPr>
        <w:t xml:space="preserve">Key features of the included evidence </w:t>
      </w:r>
    </w:p>
    <w:tbl>
      <w:tblPr>
        <w:tblW w:w="461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
      </w:tblPr>
      <w:tblGrid>
        <w:gridCol w:w="1561"/>
        <w:gridCol w:w="429"/>
        <w:gridCol w:w="1413"/>
        <w:gridCol w:w="849"/>
        <w:gridCol w:w="711"/>
        <w:gridCol w:w="1280"/>
        <w:gridCol w:w="991"/>
        <w:gridCol w:w="1154"/>
      </w:tblGrid>
      <w:tr w:rsidR="008F7923" w:rsidTr="00C46E66">
        <w:trPr>
          <w:tblHeader/>
        </w:trPr>
        <w:tc>
          <w:tcPr>
            <w:tcW w:w="930" w:type="pct"/>
            <w:shd w:val="clear" w:color="auto" w:fill="auto"/>
            <w:vAlign w:val="center"/>
            <w:hideMark/>
          </w:tcPr>
          <w:p w:rsidR="008F7923" w:rsidRDefault="008F7923" w:rsidP="00C46E66">
            <w:pPr>
              <w:snapToGrid w:val="0"/>
              <w:jc w:val="left"/>
              <w:rPr>
                <w:rFonts w:ascii="Arial Narrow" w:hAnsi="Arial Narrow"/>
                <w:b/>
                <w:sz w:val="18"/>
                <w:szCs w:val="18"/>
                <w:lang w:val="en-US"/>
              </w:rPr>
            </w:pPr>
            <w:r>
              <w:rPr>
                <w:rFonts w:ascii="Arial Narrow" w:hAnsi="Arial Narrow"/>
                <w:b/>
                <w:sz w:val="18"/>
                <w:szCs w:val="18"/>
                <w:lang w:val="en-US"/>
              </w:rPr>
              <w:t>Trial</w:t>
            </w:r>
          </w:p>
        </w:tc>
        <w:tc>
          <w:tcPr>
            <w:tcW w:w="256" w:type="pct"/>
            <w:shd w:val="clear" w:color="auto" w:fill="auto"/>
            <w:vAlign w:val="center"/>
            <w:hideMark/>
          </w:tcPr>
          <w:p w:rsidR="008F7923" w:rsidRDefault="008F7923" w:rsidP="00C46E66">
            <w:pPr>
              <w:snapToGrid w:val="0"/>
              <w:jc w:val="center"/>
              <w:rPr>
                <w:rFonts w:ascii="Arial Narrow" w:hAnsi="Arial Narrow"/>
                <w:b/>
                <w:sz w:val="18"/>
                <w:szCs w:val="18"/>
                <w:vertAlign w:val="superscript"/>
                <w:lang w:val="en-US"/>
              </w:rPr>
            </w:pPr>
            <w:proofErr w:type="spellStart"/>
            <w:r>
              <w:rPr>
                <w:rFonts w:ascii="Arial Narrow" w:hAnsi="Arial Narrow"/>
                <w:b/>
                <w:sz w:val="18"/>
                <w:szCs w:val="18"/>
                <w:lang w:val="en-US"/>
              </w:rPr>
              <w:t>N</w:t>
            </w:r>
            <w:r>
              <w:rPr>
                <w:rFonts w:ascii="Arial Narrow" w:hAnsi="Arial Narrow"/>
                <w:b/>
                <w:sz w:val="18"/>
                <w:szCs w:val="18"/>
                <w:vertAlign w:val="superscript"/>
                <w:lang w:val="en-US"/>
              </w:rPr>
              <w:t>b</w:t>
            </w:r>
            <w:proofErr w:type="spellEnd"/>
          </w:p>
        </w:tc>
        <w:tc>
          <w:tcPr>
            <w:tcW w:w="842" w:type="pct"/>
            <w:shd w:val="clear" w:color="auto" w:fill="auto"/>
            <w:vAlign w:val="center"/>
            <w:hideMark/>
          </w:tcPr>
          <w:p w:rsidR="008F7923" w:rsidRDefault="008F7923" w:rsidP="00C46E66">
            <w:pPr>
              <w:snapToGrid w:val="0"/>
              <w:jc w:val="center"/>
              <w:rPr>
                <w:rFonts w:ascii="Arial Narrow" w:hAnsi="Arial Narrow"/>
                <w:b/>
                <w:sz w:val="18"/>
                <w:szCs w:val="18"/>
                <w:vertAlign w:val="superscript"/>
                <w:lang w:val="en-US"/>
              </w:rPr>
            </w:pPr>
            <w:r>
              <w:rPr>
                <w:rFonts w:ascii="Arial Narrow" w:hAnsi="Arial Narrow"/>
                <w:b/>
                <w:sz w:val="18"/>
                <w:szCs w:val="18"/>
                <w:lang w:val="en-US"/>
              </w:rPr>
              <w:t>Design/ duration</w:t>
            </w:r>
          </w:p>
        </w:tc>
        <w:tc>
          <w:tcPr>
            <w:tcW w:w="506" w:type="pct"/>
            <w:shd w:val="clear" w:color="auto" w:fill="auto"/>
            <w:vAlign w:val="center"/>
            <w:hideMark/>
          </w:tcPr>
          <w:p w:rsidR="008F7923" w:rsidRDefault="008F7923" w:rsidP="00C46E66">
            <w:pPr>
              <w:snapToGrid w:val="0"/>
              <w:jc w:val="center"/>
              <w:rPr>
                <w:rFonts w:ascii="Arial Narrow" w:hAnsi="Arial Narrow"/>
                <w:b/>
                <w:sz w:val="18"/>
                <w:szCs w:val="18"/>
                <w:lang w:val="en-US"/>
              </w:rPr>
            </w:pPr>
            <w:r>
              <w:rPr>
                <w:rFonts w:ascii="Arial Narrow" w:hAnsi="Arial Narrow"/>
                <w:b/>
                <w:sz w:val="18"/>
                <w:szCs w:val="18"/>
                <w:lang w:val="en-US"/>
              </w:rPr>
              <w:t>Treatment</w:t>
            </w:r>
          </w:p>
        </w:tc>
        <w:tc>
          <w:tcPr>
            <w:tcW w:w="424" w:type="pct"/>
            <w:shd w:val="clear" w:color="auto" w:fill="auto"/>
            <w:vAlign w:val="center"/>
            <w:hideMark/>
          </w:tcPr>
          <w:p w:rsidR="008F7923" w:rsidRDefault="008F7923" w:rsidP="00C46E66">
            <w:pPr>
              <w:snapToGrid w:val="0"/>
              <w:jc w:val="center"/>
              <w:rPr>
                <w:rFonts w:ascii="Arial Narrow" w:hAnsi="Arial Narrow"/>
                <w:b/>
                <w:sz w:val="18"/>
                <w:szCs w:val="18"/>
                <w:lang w:val="en-US"/>
              </w:rPr>
            </w:pPr>
            <w:r>
              <w:rPr>
                <w:rFonts w:ascii="Arial Narrow" w:hAnsi="Arial Narrow"/>
                <w:b/>
                <w:sz w:val="18"/>
                <w:szCs w:val="18"/>
                <w:lang w:val="en-US"/>
              </w:rPr>
              <w:t>Risk of bias</w:t>
            </w:r>
          </w:p>
        </w:tc>
        <w:tc>
          <w:tcPr>
            <w:tcW w:w="763" w:type="pct"/>
            <w:shd w:val="clear" w:color="auto" w:fill="auto"/>
            <w:vAlign w:val="center"/>
            <w:hideMark/>
          </w:tcPr>
          <w:p w:rsidR="008F7923" w:rsidRDefault="008F7923" w:rsidP="00C46E66">
            <w:pPr>
              <w:snapToGrid w:val="0"/>
              <w:jc w:val="center"/>
              <w:rPr>
                <w:rFonts w:ascii="Arial Narrow" w:hAnsi="Arial Narrow"/>
                <w:b/>
                <w:sz w:val="18"/>
                <w:szCs w:val="18"/>
                <w:lang w:val="en-US"/>
              </w:rPr>
            </w:pPr>
            <w:r>
              <w:rPr>
                <w:rFonts w:ascii="Arial Narrow" w:hAnsi="Arial Narrow"/>
                <w:b/>
                <w:sz w:val="18"/>
                <w:szCs w:val="18"/>
                <w:lang w:val="en-US"/>
              </w:rPr>
              <w:t>Patient population</w:t>
            </w:r>
          </w:p>
        </w:tc>
        <w:tc>
          <w:tcPr>
            <w:tcW w:w="591" w:type="pct"/>
            <w:shd w:val="clear" w:color="auto" w:fill="auto"/>
            <w:vAlign w:val="center"/>
            <w:hideMark/>
          </w:tcPr>
          <w:p w:rsidR="008F7923" w:rsidRDefault="008F7923" w:rsidP="00C46E66">
            <w:pPr>
              <w:snapToGrid w:val="0"/>
              <w:jc w:val="center"/>
              <w:rPr>
                <w:rFonts w:ascii="Arial Narrow" w:hAnsi="Arial Narrow"/>
                <w:b/>
                <w:sz w:val="18"/>
                <w:szCs w:val="18"/>
                <w:lang w:val="en-US"/>
              </w:rPr>
            </w:pPr>
            <w:r>
              <w:rPr>
                <w:rFonts w:ascii="Arial Narrow" w:hAnsi="Arial Narrow"/>
                <w:b/>
                <w:sz w:val="18"/>
                <w:szCs w:val="18"/>
                <w:lang w:val="en-US"/>
              </w:rPr>
              <w:t xml:space="preserve">Outcome - </w:t>
            </w:r>
            <w:proofErr w:type="spellStart"/>
            <w:r>
              <w:rPr>
                <w:rFonts w:ascii="Arial Narrow" w:hAnsi="Arial Narrow"/>
                <w:b/>
                <w:sz w:val="18"/>
                <w:szCs w:val="18"/>
                <w:lang w:val="en-US"/>
              </w:rPr>
              <w:t>sUA</w:t>
            </w:r>
            <w:proofErr w:type="spellEnd"/>
          </w:p>
        </w:tc>
        <w:tc>
          <w:tcPr>
            <w:tcW w:w="688" w:type="pct"/>
            <w:shd w:val="clear" w:color="auto" w:fill="auto"/>
            <w:vAlign w:val="center"/>
            <w:hideMark/>
          </w:tcPr>
          <w:p w:rsidR="008F7923" w:rsidRDefault="008F7923" w:rsidP="00C46E66">
            <w:pPr>
              <w:snapToGrid w:val="0"/>
              <w:jc w:val="center"/>
              <w:rPr>
                <w:rFonts w:ascii="Arial Narrow" w:hAnsi="Arial Narrow"/>
                <w:b/>
                <w:sz w:val="18"/>
                <w:szCs w:val="18"/>
                <w:lang w:val="en-US"/>
              </w:rPr>
            </w:pPr>
            <w:r>
              <w:rPr>
                <w:rFonts w:ascii="Arial Narrow" w:hAnsi="Arial Narrow"/>
                <w:b/>
                <w:sz w:val="18"/>
                <w:szCs w:val="18"/>
                <w:lang w:val="en-US"/>
              </w:rPr>
              <w:t>Use in modelled evaluation</w:t>
            </w:r>
          </w:p>
        </w:tc>
      </w:tr>
      <w:tr w:rsidR="008F7923" w:rsidTr="00C46E66">
        <w:tc>
          <w:tcPr>
            <w:tcW w:w="5000" w:type="pct"/>
            <w:gridSpan w:val="8"/>
            <w:shd w:val="clear" w:color="auto" w:fill="auto"/>
            <w:vAlign w:val="center"/>
            <w:hideMark/>
          </w:tcPr>
          <w:p w:rsidR="008F7923" w:rsidRDefault="008F7923" w:rsidP="00C46E66">
            <w:pPr>
              <w:snapToGrid w:val="0"/>
              <w:jc w:val="left"/>
              <w:rPr>
                <w:rFonts w:ascii="Arial Narrow" w:hAnsi="Arial Narrow"/>
                <w:b/>
                <w:sz w:val="18"/>
                <w:szCs w:val="18"/>
                <w:lang w:val="en-US"/>
              </w:rPr>
            </w:pPr>
            <w:r>
              <w:rPr>
                <w:rFonts w:ascii="Arial Narrow" w:hAnsi="Arial Narrow"/>
                <w:b/>
                <w:sz w:val="18"/>
                <w:szCs w:val="18"/>
                <w:lang w:val="en-US"/>
              </w:rPr>
              <w:t>Allopurinol inappropriate</w:t>
            </w:r>
          </w:p>
        </w:tc>
      </w:tr>
      <w:tr w:rsidR="008F7923" w:rsidTr="00C46E66">
        <w:tc>
          <w:tcPr>
            <w:tcW w:w="930" w:type="pct"/>
            <w:shd w:val="clear" w:color="auto" w:fill="auto"/>
            <w:vAlign w:val="center"/>
            <w:hideMark/>
          </w:tcPr>
          <w:p w:rsidR="008F7923" w:rsidRDefault="008F7923" w:rsidP="00C46E66">
            <w:pPr>
              <w:snapToGrid w:val="0"/>
              <w:jc w:val="left"/>
              <w:rPr>
                <w:rFonts w:ascii="Arial Narrow" w:hAnsi="Arial Narrow"/>
                <w:sz w:val="18"/>
                <w:szCs w:val="18"/>
                <w:lang w:val="en-US"/>
              </w:rPr>
            </w:pPr>
            <w:proofErr w:type="spellStart"/>
            <w:r>
              <w:rPr>
                <w:rFonts w:ascii="Arial Narrow" w:hAnsi="Arial Narrow"/>
                <w:sz w:val="18"/>
                <w:szCs w:val="18"/>
                <w:lang w:val="en-US"/>
              </w:rPr>
              <w:t>Chohan</w:t>
            </w:r>
            <w:proofErr w:type="spellEnd"/>
            <w:r>
              <w:rPr>
                <w:rFonts w:ascii="Arial Narrow" w:hAnsi="Arial Narrow"/>
                <w:sz w:val="18"/>
                <w:szCs w:val="18"/>
                <w:lang w:val="en-US"/>
              </w:rPr>
              <w:t xml:space="preserve"> 2011</w:t>
            </w:r>
          </w:p>
        </w:tc>
        <w:tc>
          <w:tcPr>
            <w:tcW w:w="256" w:type="pct"/>
            <w:shd w:val="clear" w:color="auto" w:fill="auto"/>
            <w:vAlign w:val="center"/>
            <w:hideMark/>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13</w:t>
            </w:r>
          </w:p>
        </w:tc>
        <w:tc>
          <w:tcPr>
            <w:tcW w:w="842" w:type="pct"/>
            <w:shd w:val="clear" w:color="auto" w:fill="auto"/>
            <w:vAlign w:val="center"/>
            <w:hideMark/>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Re, SA, 15 </w:t>
            </w:r>
            <w:proofErr w:type="spellStart"/>
            <w:r>
              <w:rPr>
                <w:rFonts w:ascii="Arial Narrow" w:hAnsi="Arial Narrow"/>
                <w:sz w:val="18"/>
                <w:szCs w:val="18"/>
                <w:lang w:val="en-US"/>
              </w:rPr>
              <w:t>mths</w:t>
            </w:r>
            <w:proofErr w:type="spellEnd"/>
          </w:p>
        </w:tc>
        <w:tc>
          <w:tcPr>
            <w:tcW w:w="506" w:type="pct"/>
            <w:shd w:val="clear" w:color="auto" w:fill="auto"/>
            <w:hideMark/>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FBX</w:t>
            </w:r>
          </w:p>
        </w:tc>
        <w:tc>
          <w:tcPr>
            <w:tcW w:w="424" w:type="pct"/>
            <w:shd w:val="clear" w:color="auto" w:fill="auto"/>
            <w:vAlign w:val="center"/>
            <w:hideMark/>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High  </w:t>
            </w:r>
          </w:p>
        </w:tc>
        <w:tc>
          <w:tcPr>
            <w:tcW w:w="763" w:type="pct"/>
            <w:vMerge w:val="restart"/>
            <w:shd w:val="clear" w:color="auto" w:fill="auto"/>
            <w:vAlign w:val="center"/>
            <w:hideMark/>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Allopurinol intolerance</w:t>
            </w:r>
          </w:p>
        </w:tc>
        <w:tc>
          <w:tcPr>
            <w:tcW w:w="591" w:type="pct"/>
            <w:vMerge w:val="restart"/>
            <w:shd w:val="clear" w:color="auto" w:fill="auto"/>
            <w:vAlign w:val="center"/>
            <w:hideMark/>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&lt;357µmol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Yes </w:t>
            </w:r>
          </w:p>
        </w:tc>
      </w:tr>
      <w:tr w:rsidR="008F7923" w:rsidTr="00C46E66">
        <w:tc>
          <w:tcPr>
            <w:tcW w:w="930" w:type="pct"/>
            <w:shd w:val="clear" w:color="auto" w:fill="auto"/>
            <w:vAlign w:val="center"/>
            <w:hideMark/>
          </w:tcPr>
          <w:p w:rsidR="008F7923" w:rsidRDefault="008F7923" w:rsidP="00C46E66">
            <w:pPr>
              <w:snapToGrid w:val="0"/>
              <w:jc w:val="left"/>
              <w:rPr>
                <w:rFonts w:ascii="Arial Narrow" w:hAnsi="Arial Narrow"/>
                <w:sz w:val="18"/>
                <w:szCs w:val="18"/>
                <w:lang w:val="en-US"/>
              </w:rPr>
            </w:pPr>
            <w:proofErr w:type="spellStart"/>
            <w:r>
              <w:rPr>
                <w:rFonts w:ascii="Arial Narrow" w:hAnsi="Arial Narrow"/>
                <w:sz w:val="18"/>
                <w:szCs w:val="18"/>
                <w:lang w:val="en-US"/>
              </w:rPr>
              <w:t>Pui</w:t>
            </w:r>
            <w:proofErr w:type="spellEnd"/>
            <w:r>
              <w:rPr>
                <w:rFonts w:ascii="Arial Narrow" w:hAnsi="Arial Narrow"/>
                <w:sz w:val="18"/>
                <w:szCs w:val="18"/>
                <w:lang w:val="en-US"/>
              </w:rPr>
              <w:t xml:space="preserve"> 2013</w:t>
            </w:r>
          </w:p>
        </w:tc>
        <w:tc>
          <w:tcPr>
            <w:tcW w:w="256" w:type="pct"/>
            <w:shd w:val="clear" w:color="auto" w:fill="auto"/>
            <w:vAlign w:val="center"/>
            <w:hideMark/>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30</w:t>
            </w:r>
          </w:p>
        </w:tc>
        <w:tc>
          <w:tcPr>
            <w:tcW w:w="842" w:type="pct"/>
            <w:shd w:val="clear" w:color="auto" w:fill="auto"/>
            <w:vAlign w:val="center"/>
            <w:hideMark/>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Re, OBS, 3 </w:t>
            </w:r>
            <w:proofErr w:type="spellStart"/>
            <w:r>
              <w:rPr>
                <w:rFonts w:ascii="Arial Narrow" w:hAnsi="Arial Narrow"/>
                <w:sz w:val="18"/>
                <w:szCs w:val="18"/>
                <w:lang w:val="en-US"/>
              </w:rPr>
              <w:t>mths</w:t>
            </w:r>
            <w:proofErr w:type="spellEnd"/>
          </w:p>
        </w:tc>
        <w:tc>
          <w:tcPr>
            <w:tcW w:w="506" w:type="pct"/>
            <w:shd w:val="clear" w:color="auto" w:fill="auto"/>
            <w:hideMark/>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PRO</w:t>
            </w:r>
          </w:p>
        </w:tc>
        <w:tc>
          <w:tcPr>
            <w:tcW w:w="424" w:type="pct"/>
            <w:shd w:val="clear" w:color="auto" w:fill="auto"/>
            <w:vAlign w:val="center"/>
            <w:hideMark/>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High </w:t>
            </w:r>
          </w:p>
        </w:tc>
        <w:tc>
          <w:tcPr>
            <w:tcW w:w="763" w:type="pct"/>
            <w:vMerge/>
            <w:shd w:val="clear" w:color="auto" w:fill="auto"/>
            <w:vAlign w:val="center"/>
            <w:hideMark/>
          </w:tcPr>
          <w:p w:rsidR="008F7923" w:rsidRDefault="008F7923" w:rsidP="00C46E66">
            <w:pPr>
              <w:widowControl/>
              <w:jc w:val="left"/>
              <w:rPr>
                <w:rFonts w:ascii="Arial Narrow" w:hAnsi="Arial Narrow"/>
                <w:sz w:val="18"/>
                <w:szCs w:val="18"/>
                <w:lang w:val="en-US"/>
              </w:rPr>
            </w:pPr>
          </w:p>
        </w:tc>
        <w:tc>
          <w:tcPr>
            <w:tcW w:w="0" w:type="auto"/>
            <w:vMerge/>
            <w:shd w:val="clear" w:color="auto" w:fill="auto"/>
            <w:vAlign w:val="center"/>
            <w:hideMark/>
          </w:tcPr>
          <w:p w:rsidR="008F7923" w:rsidRDefault="008F7923" w:rsidP="00C46E66">
            <w:pPr>
              <w:widowControl/>
              <w:jc w:val="left"/>
              <w:rPr>
                <w:rFonts w:ascii="Arial Narrow" w:hAnsi="Arial Narrow"/>
                <w:sz w:val="18"/>
                <w:szCs w:val="18"/>
                <w:lang w:val="en-US"/>
              </w:rPr>
            </w:pP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No </w:t>
            </w:r>
          </w:p>
        </w:tc>
      </w:tr>
      <w:tr w:rsidR="008F7923" w:rsidTr="00C46E66">
        <w:tc>
          <w:tcPr>
            <w:tcW w:w="5000" w:type="pct"/>
            <w:gridSpan w:val="8"/>
            <w:shd w:val="clear" w:color="auto" w:fill="auto"/>
            <w:hideMark/>
          </w:tcPr>
          <w:p w:rsidR="008F7923" w:rsidRDefault="008F7923" w:rsidP="00C46E66">
            <w:pPr>
              <w:snapToGrid w:val="0"/>
              <w:jc w:val="left"/>
              <w:rPr>
                <w:rFonts w:ascii="Arial Narrow" w:hAnsi="Arial Narrow"/>
                <w:b/>
                <w:sz w:val="18"/>
                <w:szCs w:val="18"/>
                <w:lang w:val="en-US"/>
              </w:rPr>
            </w:pPr>
            <w:r>
              <w:rPr>
                <w:rFonts w:ascii="Arial Narrow" w:hAnsi="Arial Narrow"/>
                <w:b/>
                <w:sz w:val="18"/>
                <w:szCs w:val="18"/>
                <w:lang w:val="en-US"/>
              </w:rPr>
              <w:t>Allopurinol insufficient</w:t>
            </w:r>
          </w:p>
        </w:tc>
      </w:tr>
      <w:tr w:rsidR="008F7923" w:rsidTr="00C46E66">
        <w:tc>
          <w:tcPr>
            <w:tcW w:w="930" w:type="pct"/>
            <w:shd w:val="clear" w:color="auto" w:fill="auto"/>
            <w:vAlign w:val="center"/>
          </w:tcPr>
          <w:p w:rsidR="008F7923" w:rsidRPr="007D2074" w:rsidRDefault="008F7923" w:rsidP="00C46E66">
            <w:pPr>
              <w:snapToGrid w:val="0"/>
              <w:jc w:val="left"/>
              <w:rPr>
                <w:rFonts w:ascii="Arial Narrow" w:hAnsi="Arial Narrow"/>
                <w:sz w:val="18"/>
                <w:szCs w:val="18"/>
                <w:vertAlign w:val="superscript"/>
                <w:lang w:val="en-US"/>
              </w:rPr>
            </w:pPr>
            <w:proofErr w:type="spellStart"/>
            <w:r>
              <w:rPr>
                <w:rFonts w:ascii="Arial Narrow" w:hAnsi="Arial Narrow"/>
                <w:sz w:val="18"/>
                <w:szCs w:val="18"/>
                <w:lang w:val="en-US"/>
              </w:rPr>
              <w:t>Reinders</w:t>
            </w:r>
            <w:proofErr w:type="spellEnd"/>
            <w:r>
              <w:rPr>
                <w:rFonts w:ascii="Arial Narrow" w:hAnsi="Arial Narrow"/>
                <w:sz w:val="18"/>
                <w:szCs w:val="18"/>
                <w:lang w:val="en-US"/>
              </w:rPr>
              <w:t xml:space="preserve"> 2009a</w:t>
            </w:r>
            <w:r>
              <w:rPr>
                <w:rFonts w:ascii="Arial Narrow" w:hAnsi="Arial Narrow"/>
                <w:sz w:val="18"/>
                <w:szCs w:val="18"/>
                <w:vertAlign w:val="superscript"/>
                <w:lang w:val="en-US"/>
              </w:rPr>
              <w:t>a</w:t>
            </w:r>
          </w:p>
        </w:tc>
        <w:tc>
          <w:tcPr>
            <w:tcW w:w="256"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31</w:t>
            </w:r>
          </w:p>
        </w:tc>
        <w:tc>
          <w:tcPr>
            <w:tcW w:w="842"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RCT, OL, 2 </w:t>
            </w:r>
            <w:proofErr w:type="spellStart"/>
            <w:r>
              <w:rPr>
                <w:rFonts w:ascii="Arial Narrow" w:hAnsi="Arial Narrow"/>
                <w:sz w:val="18"/>
                <w:szCs w:val="18"/>
                <w:lang w:val="en-US"/>
              </w:rPr>
              <w:t>mths</w:t>
            </w:r>
            <w:proofErr w:type="spellEnd"/>
          </w:p>
        </w:tc>
        <w:tc>
          <w:tcPr>
            <w:tcW w:w="506" w:type="pct"/>
            <w:shd w:val="clear" w:color="auto" w:fill="auto"/>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PRO</w:t>
            </w:r>
          </w:p>
        </w:tc>
        <w:tc>
          <w:tcPr>
            <w:tcW w:w="424"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High </w:t>
            </w:r>
          </w:p>
        </w:tc>
        <w:tc>
          <w:tcPr>
            <w:tcW w:w="763" w:type="pct"/>
            <w:vMerge w:val="restar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Insufficient effect with allopurinol</w:t>
            </w:r>
          </w:p>
        </w:tc>
        <w:tc>
          <w:tcPr>
            <w:tcW w:w="591"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&lt;297µmol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No </w:t>
            </w:r>
          </w:p>
        </w:tc>
      </w:tr>
      <w:tr w:rsidR="008F7923" w:rsidTr="00C46E66">
        <w:tc>
          <w:tcPr>
            <w:tcW w:w="930" w:type="pct"/>
            <w:shd w:val="clear" w:color="auto" w:fill="auto"/>
            <w:vAlign w:val="center"/>
          </w:tcPr>
          <w:p w:rsidR="008F7923" w:rsidRDefault="008F7923" w:rsidP="00C46E66">
            <w:pPr>
              <w:snapToGrid w:val="0"/>
              <w:jc w:val="left"/>
              <w:rPr>
                <w:rFonts w:ascii="Arial Narrow" w:hAnsi="Arial Narrow"/>
                <w:sz w:val="18"/>
                <w:szCs w:val="18"/>
                <w:lang w:val="en-US"/>
              </w:rPr>
            </w:pPr>
            <w:r>
              <w:rPr>
                <w:rFonts w:ascii="Arial Narrow" w:hAnsi="Arial Narrow"/>
                <w:sz w:val="18"/>
                <w:szCs w:val="18"/>
                <w:lang w:val="en-US"/>
              </w:rPr>
              <w:t>Jennings 2014</w:t>
            </w:r>
          </w:p>
        </w:tc>
        <w:tc>
          <w:tcPr>
            <w:tcW w:w="256"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144</w:t>
            </w:r>
          </w:p>
        </w:tc>
        <w:tc>
          <w:tcPr>
            <w:tcW w:w="842"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Pros, SA, [NR]</w:t>
            </w:r>
          </w:p>
        </w:tc>
        <w:tc>
          <w:tcPr>
            <w:tcW w:w="506" w:type="pct"/>
            <w:shd w:val="clear" w:color="auto" w:fill="auto"/>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ALO-up</w:t>
            </w:r>
          </w:p>
        </w:tc>
        <w:tc>
          <w:tcPr>
            <w:tcW w:w="424" w:type="pct"/>
            <w:shd w:val="clear" w:color="auto" w:fill="auto"/>
            <w:vAlign w:val="center"/>
          </w:tcPr>
          <w:p w:rsidR="008F7923" w:rsidRPr="007D2074"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High </w:t>
            </w:r>
          </w:p>
        </w:tc>
        <w:tc>
          <w:tcPr>
            <w:tcW w:w="763" w:type="pct"/>
            <w:vMerge/>
            <w:shd w:val="clear" w:color="auto" w:fill="auto"/>
            <w:vAlign w:val="center"/>
          </w:tcPr>
          <w:p w:rsidR="008F7923" w:rsidRDefault="008F7923" w:rsidP="00C46E66">
            <w:pPr>
              <w:snapToGrid w:val="0"/>
              <w:jc w:val="center"/>
              <w:rPr>
                <w:rFonts w:ascii="Arial Narrow" w:hAnsi="Arial Narrow"/>
                <w:sz w:val="18"/>
                <w:szCs w:val="18"/>
                <w:lang w:val="en-US"/>
              </w:rPr>
            </w:pPr>
          </w:p>
        </w:tc>
        <w:tc>
          <w:tcPr>
            <w:tcW w:w="591"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&lt;357µmol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No </w:t>
            </w:r>
          </w:p>
        </w:tc>
      </w:tr>
      <w:tr w:rsidR="008F7923" w:rsidTr="00C46E66">
        <w:tc>
          <w:tcPr>
            <w:tcW w:w="930" w:type="pct"/>
            <w:shd w:val="clear" w:color="auto" w:fill="auto"/>
            <w:vAlign w:val="center"/>
          </w:tcPr>
          <w:p w:rsidR="008F7923" w:rsidRPr="00C7293D" w:rsidRDefault="008F7923" w:rsidP="00C46E66">
            <w:pPr>
              <w:snapToGrid w:val="0"/>
              <w:jc w:val="left"/>
              <w:rPr>
                <w:rFonts w:ascii="Arial Narrow" w:hAnsi="Arial Narrow"/>
                <w:i/>
                <w:sz w:val="18"/>
                <w:szCs w:val="18"/>
                <w:lang w:val="en-US"/>
              </w:rPr>
            </w:pPr>
            <w:r w:rsidRPr="00C7293D">
              <w:rPr>
                <w:rFonts w:ascii="Arial Narrow" w:hAnsi="Arial Narrow"/>
                <w:i/>
                <w:sz w:val="18"/>
                <w:szCs w:val="18"/>
                <w:lang w:val="en-US"/>
              </w:rPr>
              <w:t>Stamp 2011</w:t>
            </w:r>
          </w:p>
        </w:tc>
        <w:tc>
          <w:tcPr>
            <w:tcW w:w="256"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45</w:t>
            </w:r>
          </w:p>
        </w:tc>
        <w:tc>
          <w:tcPr>
            <w:tcW w:w="842"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 xml:space="preserve">NR, OL, 12 </w:t>
            </w:r>
            <w:proofErr w:type="spellStart"/>
            <w:r w:rsidRPr="00C7293D">
              <w:rPr>
                <w:rFonts w:ascii="Arial Narrow" w:hAnsi="Arial Narrow"/>
                <w:i/>
                <w:sz w:val="18"/>
                <w:szCs w:val="18"/>
                <w:lang w:val="en-US"/>
              </w:rPr>
              <w:t>mths</w:t>
            </w:r>
            <w:proofErr w:type="spellEnd"/>
          </w:p>
        </w:tc>
        <w:tc>
          <w:tcPr>
            <w:tcW w:w="506" w:type="pct"/>
            <w:shd w:val="clear" w:color="auto" w:fill="auto"/>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ALO-up</w:t>
            </w:r>
          </w:p>
        </w:tc>
        <w:tc>
          <w:tcPr>
            <w:tcW w:w="424"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 xml:space="preserve">High </w:t>
            </w:r>
          </w:p>
        </w:tc>
        <w:tc>
          <w:tcPr>
            <w:tcW w:w="763" w:type="pct"/>
            <w:vMerge/>
            <w:shd w:val="clear" w:color="auto" w:fill="auto"/>
            <w:vAlign w:val="center"/>
          </w:tcPr>
          <w:p w:rsidR="008F7923" w:rsidRDefault="008F7923" w:rsidP="00C46E66">
            <w:pPr>
              <w:snapToGrid w:val="0"/>
              <w:jc w:val="center"/>
              <w:rPr>
                <w:rFonts w:ascii="Arial Narrow" w:hAnsi="Arial Narrow"/>
                <w:sz w:val="18"/>
                <w:szCs w:val="18"/>
                <w:lang w:val="en-US"/>
              </w:rPr>
            </w:pPr>
          </w:p>
        </w:tc>
        <w:tc>
          <w:tcPr>
            <w:tcW w:w="591"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&lt;357µmol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No </w:t>
            </w:r>
          </w:p>
        </w:tc>
      </w:tr>
      <w:tr w:rsidR="008F7923" w:rsidTr="00C46E66">
        <w:tc>
          <w:tcPr>
            <w:tcW w:w="930" w:type="pct"/>
            <w:shd w:val="clear" w:color="auto" w:fill="auto"/>
            <w:vAlign w:val="center"/>
          </w:tcPr>
          <w:p w:rsidR="008F7923" w:rsidRPr="00C7293D" w:rsidRDefault="008F7923" w:rsidP="00C46E66">
            <w:pPr>
              <w:snapToGrid w:val="0"/>
              <w:jc w:val="left"/>
              <w:rPr>
                <w:rFonts w:ascii="Arial Narrow" w:hAnsi="Arial Narrow"/>
                <w:i/>
                <w:sz w:val="18"/>
                <w:szCs w:val="18"/>
                <w:lang w:val="en-US"/>
              </w:rPr>
            </w:pPr>
            <w:r w:rsidRPr="00C7293D">
              <w:rPr>
                <w:rFonts w:ascii="Arial Narrow" w:hAnsi="Arial Narrow"/>
                <w:i/>
                <w:sz w:val="18"/>
                <w:szCs w:val="18"/>
                <w:lang w:val="en-US"/>
              </w:rPr>
              <w:t>Baumgartner 2013</w:t>
            </w:r>
          </w:p>
        </w:tc>
        <w:tc>
          <w:tcPr>
            <w:tcW w:w="256"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1732</w:t>
            </w:r>
          </w:p>
        </w:tc>
        <w:tc>
          <w:tcPr>
            <w:tcW w:w="842"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 xml:space="preserve">SA, OL, 6 </w:t>
            </w:r>
            <w:proofErr w:type="spellStart"/>
            <w:r w:rsidRPr="00C7293D">
              <w:rPr>
                <w:rFonts w:ascii="Arial Narrow" w:hAnsi="Arial Narrow"/>
                <w:i/>
                <w:sz w:val="18"/>
                <w:szCs w:val="18"/>
                <w:lang w:val="en-US"/>
              </w:rPr>
              <w:t>mths</w:t>
            </w:r>
            <w:proofErr w:type="spellEnd"/>
          </w:p>
        </w:tc>
        <w:tc>
          <w:tcPr>
            <w:tcW w:w="506" w:type="pct"/>
            <w:shd w:val="clear" w:color="auto" w:fill="auto"/>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ALO-up</w:t>
            </w:r>
          </w:p>
        </w:tc>
        <w:tc>
          <w:tcPr>
            <w:tcW w:w="424"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 xml:space="preserve">High </w:t>
            </w:r>
          </w:p>
        </w:tc>
        <w:tc>
          <w:tcPr>
            <w:tcW w:w="763" w:type="pct"/>
            <w:vMerge/>
            <w:shd w:val="clear" w:color="auto" w:fill="auto"/>
            <w:vAlign w:val="center"/>
          </w:tcPr>
          <w:p w:rsidR="008F7923" w:rsidRDefault="008F7923" w:rsidP="00C46E66">
            <w:pPr>
              <w:snapToGrid w:val="0"/>
              <w:jc w:val="center"/>
              <w:rPr>
                <w:rFonts w:ascii="Arial Narrow" w:hAnsi="Arial Narrow"/>
                <w:sz w:val="18"/>
                <w:szCs w:val="18"/>
                <w:lang w:val="en-US"/>
              </w:rPr>
            </w:pPr>
          </w:p>
        </w:tc>
        <w:tc>
          <w:tcPr>
            <w:tcW w:w="591"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&lt;357µmol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No</w:t>
            </w:r>
          </w:p>
        </w:tc>
      </w:tr>
      <w:tr w:rsidR="008F7923" w:rsidTr="00C46E66">
        <w:tc>
          <w:tcPr>
            <w:tcW w:w="930" w:type="pct"/>
            <w:shd w:val="clear" w:color="auto" w:fill="auto"/>
            <w:vAlign w:val="center"/>
          </w:tcPr>
          <w:p w:rsidR="008F7923" w:rsidRPr="00C7293D" w:rsidRDefault="008F7923" w:rsidP="00C46E66">
            <w:pPr>
              <w:snapToGrid w:val="0"/>
              <w:jc w:val="left"/>
              <w:rPr>
                <w:rFonts w:ascii="Arial Narrow" w:hAnsi="Arial Narrow"/>
                <w:i/>
                <w:sz w:val="18"/>
                <w:szCs w:val="18"/>
                <w:lang w:val="en-US"/>
              </w:rPr>
            </w:pPr>
            <w:r w:rsidRPr="00C7293D">
              <w:rPr>
                <w:rFonts w:ascii="Arial Narrow" w:hAnsi="Arial Narrow"/>
                <w:i/>
                <w:sz w:val="18"/>
                <w:szCs w:val="18"/>
                <w:lang w:val="en-US"/>
              </w:rPr>
              <w:t>Perez-Ruiz</w:t>
            </w:r>
            <w:r>
              <w:rPr>
                <w:rFonts w:ascii="Arial Narrow" w:hAnsi="Arial Narrow"/>
                <w:i/>
                <w:sz w:val="18"/>
                <w:szCs w:val="18"/>
                <w:lang w:val="en-US"/>
              </w:rPr>
              <w:t xml:space="preserve"> 1998</w:t>
            </w:r>
          </w:p>
        </w:tc>
        <w:tc>
          <w:tcPr>
            <w:tcW w:w="256"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23</w:t>
            </w:r>
          </w:p>
        </w:tc>
        <w:tc>
          <w:tcPr>
            <w:tcW w:w="842"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 xml:space="preserve">Pros, NR, 12 </w:t>
            </w:r>
            <w:proofErr w:type="spellStart"/>
            <w:r w:rsidRPr="00C7293D">
              <w:rPr>
                <w:rFonts w:ascii="Arial Narrow" w:hAnsi="Arial Narrow"/>
                <w:i/>
                <w:sz w:val="18"/>
                <w:szCs w:val="18"/>
                <w:lang w:val="en-US"/>
              </w:rPr>
              <w:t>mths</w:t>
            </w:r>
            <w:proofErr w:type="spellEnd"/>
          </w:p>
        </w:tc>
        <w:tc>
          <w:tcPr>
            <w:tcW w:w="506" w:type="pct"/>
            <w:shd w:val="clear" w:color="auto" w:fill="auto"/>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ALO-up</w:t>
            </w:r>
          </w:p>
        </w:tc>
        <w:tc>
          <w:tcPr>
            <w:tcW w:w="424"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 xml:space="preserve">High </w:t>
            </w:r>
          </w:p>
        </w:tc>
        <w:tc>
          <w:tcPr>
            <w:tcW w:w="763" w:type="pct"/>
            <w:vMerge/>
            <w:shd w:val="clear" w:color="auto" w:fill="auto"/>
            <w:vAlign w:val="center"/>
          </w:tcPr>
          <w:p w:rsidR="008F7923" w:rsidRDefault="008F7923" w:rsidP="00C46E66">
            <w:pPr>
              <w:snapToGrid w:val="0"/>
              <w:jc w:val="center"/>
              <w:rPr>
                <w:rFonts w:ascii="Arial Narrow" w:hAnsi="Arial Narrow"/>
                <w:sz w:val="18"/>
                <w:szCs w:val="18"/>
                <w:lang w:val="en-US"/>
              </w:rPr>
            </w:pPr>
          </w:p>
        </w:tc>
        <w:tc>
          <w:tcPr>
            <w:tcW w:w="591"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&lt;357µmol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No</w:t>
            </w:r>
          </w:p>
        </w:tc>
      </w:tr>
      <w:tr w:rsidR="008F7923" w:rsidTr="00C46E66">
        <w:tc>
          <w:tcPr>
            <w:tcW w:w="930" w:type="pct"/>
            <w:shd w:val="clear" w:color="auto" w:fill="auto"/>
            <w:vAlign w:val="center"/>
          </w:tcPr>
          <w:p w:rsidR="008F7923" w:rsidRPr="0037026F" w:rsidRDefault="008F7923" w:rsidP="00C46E66">
            <w:pPr>
              <w:snapToGrid w:val="0"/>
              <w:jc w:val="left"/>
              <w:rPr>
                <w:rFonts w:ascii="Arial Narrow" w:hAnsi="Arial Narrow"/>
                <w:sz w:val="18"/>
                <w:szCs w:val="18"/>
                <w:vertAlign w:val="superscript"/>
                <w:lang w:val="en-US"/>
              </w:rPr>
            </w:pPr>
            <w:proofErr w:type="spellStart"/>
            <w:r w:rsidRPr="0037026F">
              <w:rPr>
                <w:rFonts w:ascii="Arial Narrow" w:hAnsi="Arial Narrow"/>
                <w:sz w:val="18"/>
                <w:szCs w:val="18"/>
                <w:lang w:val="en-US"/>
              </w:rPr>
              <w:t>Reinders</w:t>
            </w:r>
            <w:proofErr w:type="spellEnd"/>
            <w:r w:rsidRPr="0037026F">
              <w:rPr>
                <w:rFonts w:ascii="Arial Narrow" w:hAnsi="Arial Narrow"/>
                <w:sz w:val="18"/>
                <w:szCs w:val="18"/>
                <w:lang w:val="en-US"/>
              </w:rPr>
              <w:t xml:space="preserve"> 2009b</w:t>
            </w:r>
            <w:r w:rsidRPr="0037026F">
              <w:rPr>
                <w:rFonts w:ascii="Arial Narrow" w:hAnsi="Arial Narrow"/>
                <w:sz w:val="18"/>
                <w:szCs w:val="18"/>
                <w:vertAlign w:val="superscript"/>
                <w:lang w:val="en-US"/>
              </w:rPr>
              <w:t>a</w:t>
            </w:r>
          </w:p>
        </w:tc>
        <w:tc>
          <w:tcPr>
            <w:tcW w:w="256" w:type="pct"/>
            <w:shd w:val="clear" w:color="auto" w:fill="auto"/>
            <w:vAlign w:val="center"/>
          </w:tcPr>
          <w:p w:rsidR="008F7923" w:rsidRPr="0037026F" w:rsidRDefault="008F7923" w:rsidP="00C46E66">
            <w:pPr>
              <w:snapToGrid w:val="0"/>
              <w:jc w:val="center"/>
              <w:rPr>
                <w:rFonts w:ascii="Arial Narrow" w:hAnsi="Arial Narrow"/>
                <w:sz w:val="18"/>
                <w:szCs w:val="18"/>
                <w:lang w:val="en-US"/>
              </w:rPr>
            </w:pPr>
            <w:r w:rsidRPr="0037026F">
              <w:rPr>
                <w:rFonts w:ascii="Arial Narrow" w:hAnsi="Arial Narrow"/>
                <w:sz w:val="18"/>
                <w:szCs w:val="18"/>
                <w:lang w:val="en-US"/>
              </w:rPr>
              <w:t>17</w:t>
            </w:r>
          </w:p>
        </w:tc>
        <w:tc>
          <w:tcPr>
            <w:tcW w:w="842" w:type="pct"/>
            <w:shd w:val="clear" w:color="auto" w:fill="auto"/>
            <w:vAlign w:val="center"/>
          </w:tcPr>
          <w:p w:rsidR="008F7923" w:rsidRPr="0037026F" w:rsidRDefault="008F7923" w:rsidP="00C46E66">
            <w:pPr>
              <w:snapToGrid w:val="0"/>
              <w:jc w:val="center"/>
              <w:rPr>
                <w:rFonts w:ascii="Arial Narrow" w:hAnsi="Arial Narrow"/>
                <w:sz w:val="18"/>
                <w:szCs w:val="18"/>
                <w:lang w:val="en-US"/>
              </w:rPr>
            </w:pPr>
            <w:r w:rsidRPr="0037026F">
              <w:rPr>
                <w:rFonts w:ascii="Arial Narrow" w:hAnsi="Arial Narrow"/>
                <w:sz w:val="18"/>
                <w:szCs w:val="18"/>
                <w:lang w:val="en-US"/>
              </w:rPr>
              <w:t xml:space="preserve">RCT, OL, &gt;2 </w:t>
            </w:r>
            <w:proofErr w:type="spellStart"/>
            <w:r w:rsidRPr="0037026F">
              <w:rPr>
                <w:rFonts w:ascii="Arial Narrow" w:hAnsi="Arial Narrow"/>
                <w:sz w:val="18"/>
                <w:szCs w:val="18"/>
                <w:lang w:val="en-US"/>
              </w:rPr>
              <w:t>mths</w:t>
            </w:r>
            <w:proofErr w:type="spellEnd"/>
          </w:p>
        </w:tc>
        <w:tc>
          <w:tcPr>
            <w:tcW w:w="506" w:type="pct"/>
            <w:shd w:val="clear" w:color="auto" w:fill="auto"/>
          </w:tcPr>
          <w:p w:rsidR="008F7923" w:rsidRPr="0037026F" w:rsidRDefault="008F7923" w:rsidP="00C46E66">
            <w:pPr>
              <w:snapToGrid w:val="0"/>
              <w:jc w:val="center"/>
              <w:rPr>
                <w:rFonts w:ascii="Arial Narrow" w:hAnsi="Arial Narrow"/>
                <w:sz w:val="18"/>
                <w:szCs w:val="18"/>
                <w:lang w:val="en-US"/>
              </w:rPr>
            </w:pPr>
            <w:r w:rsidRPr="0037026F">
              <w:rPr>
                <w:rFonts w:ascii="Arial Narrow" w:hAnsi="Arial Narrow"/>
                <w:sz w:val="18"/>
                <w:szCs w:val="18"/>
                <w:lang w:val="en-US"/>
              </w:rPr>
              <w:t>ALO-up</w:t>
            </w:r>
          </w:p>
        </w:tc>
        <w:tc>
          <w:tcPr>
            <w:tcW w:w="424" w:type="pct"/>
            <w:shd w:val="clear" w:color="auto" w:fill="auto"/>
            <w:vAlign w:val="center"/>
          </w:tcPr>
          <w:p w:rsidR="008F7923" w:rsidRPr="0037026F" w:rsidRDefault="008F7923" w:rsidP="00C46E66">
            <w:pPr>
              <w:snapToGrid w:val="0"/>
              <w:jc w:val="center"/>
              <w:rPr>
                <w:rFonts w:ascii="Arial Narrow" w:hAnsi="Arial Narrow"/>
                <w:sz w:val="18"/>
                <w:szCs w:val="18"/>
                <w:lang w:val="en-US"/>
              </w:rPr>
            </w:pPr>
            <w:r w:rsidRPr="0037026F">
              <w:rPr>
                <w:rFonts w:ascii="Arial Narrow" w:hAnsi="Arial Narrow"/>
                <w:sz w:val="18"/>
                <w:szCs w:val="18"/>
                <w:lang w:val="en-US"/>
              </w:rPr>
              <w:t xml:space="preserve">High </w:t>
            </w:r>
          </w:p>
        </w:tc>
        <w:tc>
          <w:tcPr>
            <w:tcW w:w="763" w:type="pct"/>
            <w:vMerge/>
            <w:shd w:val="clear" w:color="auto" w:fill="auto"/>
            <w:vAlign w:val="center"/>
          </w:tcPr>
          <w:p w:rsidR="008F7923" w:rsidRDefault="008F7923" w:rsidP="00C46E66">
            <w:pPr>
              <w:snapToGrid w:val="0"/>
              <w:jc w:val="center"/>
              <w:rPr>
                <w:rFonts w:ascii="Arial Narrow" w:hAnsi="Arial Narrow"/>
                <w:sz w:val="18"/>
                <w:szCs w:val="18"/>
                <w:lang w:val="en-US"/>
              </w:rPr>
            </w:pPr>
          </w:p>
        </w:tc>
        <w:tc>
          <w:tcPr>
            <w:tcW w:w="591"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&lt;297µmol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Yes </w:t>
            </w:r>
          </w:p>
        </w:tc>
      </w:tr>
      <w:tr w:rsidR="008F7923" w:rsidTr="00C46E66">
        <w:tc>
          <w:tcPr>
            <w:tcW w:w="930" w:type="pct"/>
            <w:shd w:val="clear" w:color="auto" w:fill="auto"/>
            <w:vAlign w:val="center"/>
          </w:tcPr>
          <w:p w:rsidR="008F7923" w:rsidRDefault="008F7923" w:rsidP="00C46E66">
            <w:pPr>
              <w:snapToGrid w:val="0"/>
              <w:jc w:val="left"/>
              <w:rPr>
                <w:rFonts w:ascii="Arial Narrow" w:hAnsi="Arial Narrow"/>
                <w:sz w:val="18"/>
                <w:szCs w:val="18"/>
                <w:lang w:val="en-US"/>
              </w:rPr>
            </w:pPr>
            <w:proofErr w:type="spellStart"/>
            <w:r>
              <w:rPr>
                <w:rFonts w:ascii="Arial Narrow" w:hAnsi="Arial Narrow"/>
                <w:sz w:val="18"/>
                <w:szCs w:val="18"/>
                <w:lang w:val="en-US"/>
              </w:rPr>
              <w:t>Pui</w:t>
            </w:r>
            <w:proofErr w:type="spellEnd"/>
            <w:r>
              <w:rPr>
                <w:rFonts w:ascii="Arial Narrow" w:hAnsi="Arial Narrow"/>
                <w:sz w:val="18"/>
                <w:szCs w:val="18"/>
                <w:lang w:val="en-US"/>
              </w:rPr>
              <w:t xml:space="preserve"> 2013</w:t>
            </w:r>
          </w:p>
        </w:tc>
        <w:tc>
          <w:tcPr>
            <w:tcW w:w="256"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27</w:t>
            </w:r>
          </w:p>
        </w:tc>
        <w:tc>
          <w:tcPr>
            <w:tcW w:w="842"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Re, OBS, 3 </w:t>
            </w:r>
            <w:proofErr w:type="spellStart"/>
            <w:r>
              <w:rPr>
                <w:rFonts w:ascii="Arial Narrow" w:hAnsi="Arial Narrow"/>
                <w:sz w:val="18"/>
                <w:szCs w:val="18"/>
                <w:lang w:val="en-US"/>
              </w:rPr>
              <w:t>mths</w:t>
            </w:r>
            <w:proofErr w:type="spellEnd"/>
          </w:p>
        </w:tc>
        <w:tc>
          <w:tcPr>
            <w:tcW w:w="506" w:type="pct"/>
            <w:shd w:val="clear" w:color="auto" w:fill="auto"/>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ALO+PRO</w:t>
            </w:r>
          </w:p>
        </w:tc>
        <w:tc>
          <w:tcPr>
            <w:tcW w:w="424"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High </w:t>
            </w:r>
          </w:p>
        </w:tc>
        <w:tc>
          <w:tcPr>
            <w:tcW w:w="763" w:type="pct"/>
            <w:vMerge/>
            <w:shd w:val="clear" w:color="auto" w:fill="auto"/>
            <w:vAlign w:val="center"/>
          </w:tcPr>
          <w:p w:rsidR="008F7923" w:rsidRDefault="008F7923" w:rsidP="00C46E66">
            <w:pPr>
              <w:snapToGrid w:val="0"/>
              <w:jc w:val="center"/>
              <w:rPr>
                <w:rFonts w:ascii="Arial Narrow" w:hAnsi="Arial Narrow"/>
                <w:sz w:val="18"/>
                <w:szCs w:val="18"/>
                <w:lang w:val="en-US"/>
              </w:rPr>
            </w:pPr>
          </w:p>
        </w:tc>
        <w:tc>
          <w:tcPr>
            <w:tcW w:w="591"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&lt;357µmol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Yes </w:t>
            </w:r>
          </w:p>
        </w:tc>
      </w:tr>
      <w:tr w:rsidR="008F7923" w:rsidTr="00C46E66">
        <w:tc>
          <w:tcPr>
            <w:tcW w:w="930" w:type="pct"/>
            <w:shd w:val="clear" w:color="auto" w:fill="auto"/>
            <w:vAlign w:val="center"/>
          </w:tcPr>
          <w:p w:rsidR="008F7923" w:rsidRPr="00157667" w:rsidRDefault="008F7923" w:rsidP="00C46E66">
            <w:pPr>
              <w:snapToGrid w:val="0"/>
              <w:jc w:val="left"/>
              <w:rPr>
                <w:rFonts w:ascii="Arial Narrow" w:hAnsi="Arial Narrow"/>
                <w:sz w:val="18"/>
                <w:szCs w:val="18"/>
                <w:vertAlign w:val="superscript"/>
                <w:lang w:val="en-US"/>
              </w:rPr>
            </w:pPr>
            <w:proofErr w:type="spellStart"/>
            <w:r>
              <w:rPr>
                <w:rFonts w:ascii="Arial Narrow" w:hAnsi="Arial Narrow"/>
                <w:sz w:val="18"/>
                <w:szCs w:val="18"/>
                <w:lang w:val="en-US"/>
              </w:rPr>
              <w:t>Reinders</w:t>
            </w:r>
            <w:proofErr w:type="spellEnd"/>
            <w:r>
              <w:rPr>
                <w:rFonts w:ascii="Arial Narrow" w:hAnsi="Arial Narrow"/>
                <w:sz w:val="18"/>
                <w:szCs w:val="18"/>
                <w:lang w:val="en-US"/>
              </w:rPr>
              <w:t xml:space="preserve"> 2007</w:t>
            </w:r>
            <w:r>
              <w:rPr>
                <w:rFonts w:ascii="Arial Narrow" w:hAnsi="Arial Narrow"/>
                <w:sz w:val="18"/>
                <w:szCs w:val="18"/>
                <w:vertAlign w:val="superscript"/>
                <w:lang w:val="en-US"/>
              </w:rPr>
              <w:t>a</w:t>
            </w:r>
          </w:p>
        </w:tc>
        <w:tc>
          <w:tcPr>
            <w:tcW w:w="256"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14</w:t>
            </w:r>
          </w:p>
        </w:tc>
        <w:tc>
          <w:tcPr>
            <w:tcW w:w="842"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RCT, OL, &gt;2 </w:t>
            </w:r>
            <w:proofErr w:type="spellStart"/>
            <w:r>
              <w:rPr>
                <w:rFonts w:ascii="Arial Narrow" w:hAnsi="Arial Narrow"/>
                <w:sz w:val="18"/>
                <w:szCs w:val="18"/>
                <w:lang w:val="en-US"/>
              </w:rPr>
              <w:t>mths</w:t>
            </w:r>
            <w:proofErr w:type="spellEnd"/>
          </w:p>
        </w:tc>
        <w:tc>
          <w:tcPr>
            <w:tcW w:w="506" w:type="pct"/>
            <w:shd w:val="clear" w:color="auto" w:fill="auto"/>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ALO+PRO</w:t>
            </w:r>
          </w:p>
        </w:tc>
        <w:tc>
          <w:tcPr>
            <w:tcW w:w="424"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High </w:t>
            </w:r>
          </w:p>
        </w:tc>
        <w:tc>
          <w:tcPr>
            <w:tcW w:w="763" w:type="pct"/>
            <w:vMerge/>
            <w:shd w:val="clear" w:color="auto" w:fill="auto"/>
            <w:vAlign w:val="center"/>
          </w:tcPr>
          <w:p w:rsidR="008F7923" w:rsidRDefault="008F7923" w:rsidP="00C46E66">
            <w:pPr>
              <w:snapToGrid w:val="0"/>
              <w:jc w:val="center"/>
              <w:rPr>
                <w:rFonts w:ascii="Arial Narrow" w:hAnsi="Arial Narrow"/>
                <w:sz w:val="18"/>
                <w:szCs w:val="18"/>
                <w:lang w:val="en-US"/>
              </w:rPr>
            </w:pPr>
          </w:p>
        </w:tc>
        <w:tc>
          <w:tcPr>
            <w:tcW w:w="591"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&lt;297µmol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No </w:t>
            </w:r>
          </w:p>
        </w:tc>
      </w:tr>
      <w:tr w:rsidR="008F7923" w:rsidTr="00C46E66">
        <w:tc>
          <w:tcPr>
            <w:tcW w:w="930" w:type="pct"/>
            <w:shd w:val="clear" w:color="auto" w:fill="auto"/>
            <w:vAlign w:val="center"/>
          </w:tcPr>
          <w:p w:rsidR="008F7923" w:rsidRDefault="008F7923" w:rsidP="00C46E66">
            <w:pPr>
              <w:snapToGrid w:val="0"/>
              <w:jc w:val="left"/>
              <w:rPr>
                <w:rFonts w:ascii="Arial Narrow" w:hAnsi="Arial Narrow"/>
                <w:sz w:val="18"/>
                <w:szCs w:val="18"/>
                <w:lang w:val="en-US"/>
              </w:rPr>
            </w:pPr>
            <w:r>
              <w:rPr>
                <w:rFonts w:ascii="Arial Narrow" w:hAnsi="Arial Narrow"/>
                <w:sz w:val="18"/>
                <w:szCs w:val="18"/>
                <w:lang w:val="en-US"/>
              </w:rPr>
              <w:t>Stocker 2011</w:t>
            </w:r>
          </w:p>
        </w:tc>
        <w:tc>
          <w:tcPr>
            <w:tcW w:w="256"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19</w:t>
            </w:r>
          </w:p>
        </w:tc>
        <w:tc>
          <w:tcPr>
            <w:tcW w:w="842"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OL, OBS, [NR]</w:t>
            </w:r>
          </w:p>
        </w:tc>
        <w:tc>
          <w:tcPr>
            <w:tcW w:w="506" w:type="pct"/>
            <w:shd w:val="clear" w:color="auto" w:fill="auto"/>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ALO+PRO</w:t>
            </w:r>
          </w:p>
        </w:tc>
        <w:tc>
          <w:tcPr>
            <w:tcW w:w="424"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High </w:t>
            </w:r>
          </w:p>
        </w:tc>
        <w:tc>
          <w:tcPr>
            <w:tcW w:w="763" w:type="pct"/>
            <w:vMerge/>
            <w:shd w:val="clear" w:color="auto" w:fill="auto"/>
            <w:vAlign w:val="center"/>
          </w:tcPr>
          <w:p w:rsidR="008F7923" w:rsidRDefault="008F7923" w:rsidP="00C46E66">
            <w:pPr>
              <w:snapToGrid w:val="0"/>
              <w:jc w:val="center"/>
              <w:rPr>
                <w:rFonts w:ascii="Arial Narrow" w:hAnsi="Arial Narrow"/>
                <w:sz w:val="18"/>
                <w:szCs w:val="18"/>
                <w:lang w:val="en-US"/>
              </w:rPr>
            </w:pPr>
          </w:p>
        </w:tc>
        <w:tc>
          <w:tcPr>
            <w:tcW w:w="591"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&lt;357µmol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No </w:t>
            </w:r>
          </w:p>
        </w:tc>
      </w:tr>
      <w:tr w:rsidR="008F7923" w:rsidTr="00C46E66">
        <w:tc>
          <w:tcPr>
            <w:tcW w:w="5000" w:type="pct"/>
            <w:gridSpan w:val="8"/>
            <w:shd w:val="clear" w:color="auto" w:fill="auto"/>
            <w:hideMark/>
          </w:tcPr>
          <w:p w:rsidR="008F7923" w:rsidRDefault="006F4A56" w:rsidP="006F4A56">
            <w:pPr>
              <w:snapToGrid w:val="0"/>
              <w:jc w:val="left"/>
              <w:rPr>
                <w:rFonts w:ascii="Arial Narrow" w:hAnsi="Arial Narrow"/>
                <w:b/>
                <w:sz w:val="18"/>
                <w:szCs w:val="18"/>
                <w:lang w:val="en-US"/>
              </w:rPr>
            </w:pPr>
            <w:r>
              <w:rPr>
                <w:rFonts w:ascii="Arial Narrow" w:hAnsi="Arial Narrow"/>
                <w:b/>
                <w:sz w:val="18"/>
                <w:szCs w:val="18"/>
                <w:lang w:val="en-US"/>
              </w:rPr>
              <w:t>Allopurinol</w:t>
            </w:r>
          </w:p>
        </w:tc>
      </w:tr>
      <w:tr w:rsidR="008F7923" w:rsidTr="00C46E66">
        <w:tc>
          <w:tcPr>
            <w:tcW w:w="930" w:type="pct"/>
            <w:shd w:val="clear" w:color="auto" w:fill="auto"/>
            <w:vAlign w:val="center"/>
          </w:tcPr>
          <w:p w:rsidR="008F7923" w:rsidRDefault="008F7923" w:rsidP="00C46E66">
            <w:pPr>
              <w:snapToGrid w:val="0"/>
              <w:jc w:val="left"/>
              <w:rPr>
                <w:rFonts w:ascii="Arial Narrow" w:hAnsi="Arial Narrow"/>
                <w:sz w:val="18"/>
                <w:szCs w:val="18"/>
                <w:lang w:val="en-US"/>
              </w:rPr>
            </w:pPr>
            <w:r>
              <w:rPr>
                <w:rFonts w:ascii="Arial Narrow" w:hAnsi="Arial Narrow"/>
                <w:sz w:val="18"/>
                <w:szCs w:val="18"/>
                <w:lang w:val="en-US"/>
              </w:rPr>
              <w:t>TMX-67-203</w:t>
            </w:r>
          </w:p>
        </w:tc>
        <w:tc>
          <w:tcPr>
            <w:tcW w:w="256"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63</w:t>
            </w:r>
          </w:p>
        </w:tc>
        <w:tc>
          <w:tcPr>
            <w:tcW w:w="842"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R, DB, [NR]</w:t>
            </w:r>
          </w:p>
        </w:tc>
        <w:tc>
          <w:tcPr>
            <w:tcW w:w="506" w:type="pct"/>
            <w:shd w:val="clear" w:color="auto" w:fill="auto"/>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FBX, PBO</w:t>
            </w:r>
          </w:p>
        </w:tc>
        <w:tc>
          <w:tcPr>
            <w:tcW w:w="424"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Low </w:t>
            </w:r>
          </w:p>
        </w:tc>
        <w:tc>
          <w:tcPr>
            <w:tcW w:w="763" w:type="pct"/>
            <w:vMerge w:val="restar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Renal impairment (not + insufficient ALO)</w:t>
            </w:r>
          </w:p>
        </w:tc>
        <w:tc>
          <w:tcPr>
            <w:tcW w:w="591"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&lt;357µmol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Yes </w:t>
            </w:r>
          </w:p>
        </w:tc>
      </w:tr>
      <w:tr w:rsidR="008F7923" w:rsidTr="00C46E66">
        <w:tc>
          <w:tcPr>
            <w:tcW w:w="930" w:type="pct"/>
            <w:shd w:val="clear" w:color="auto" w:fill="auto"/>
            <w:vAlign w:val="center"/>
          </w:tcPr>
          <w:p w:rsidR="008F7923" w:rsidRDefault="008F7923" w:rsidP="00C46E66">
            <w:pPr>
              <w:snapToGrid w:val="0"/>
              <w:jc w:val="left"/>
              <w:rPr>
                <w:rFonts w:ascii="Arial Narrow" w:hAnsi="Arial Narrow"/>
                <w:sz w:val="18"/>
                <w:szCs w:val="18"/>
                <w:lang w:val="en-US"/>
              </w:rPr>
            </w:pPr>
            <w:r>
              <w:rPr>
                <w:rFonts w:ascii="Arial Narrow" w:hAnsi="Arial Narrow"/>
                <w:sz w:val="18"/>
                <w:szCs w:val="18"/>
                <w:lang w:val="en-US"/>
              </w:rPr>
              <w:t>TMX-00-007</w:t>
            </w:r>
          </w:p>
        </w:tc>
        <w:tc>
          <w:tcPr>
            <w:tcW w:w="256"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106</w:t>
            </w:r>
          </w:p>
        </w:tc>
        <w:tc>
          <w:tcPr>
            <w:tcW w:w="842"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R, DB, 1 </w:t>
            </w:r>
            <w:proofErr w:type="spellStart"/>
            <w:r>
              <w:rPr>
                <w:rFonts w:ascii="Arial Narrow" w:hAnsi="Arial Narrow"/>
                <w:sz w:val="18"/>
                <w:szCs w:val="18"/>
                <w:lang w:val="en-US"/>
              </w:rPr>
              <w:t>mth</w:t>
            </w:r>
            <w:proofErr w:type="spellEnd"/>
          </w:p>
        </w:tc>
        <w:tc>
          <w:tcPr>
            <w:tcW w:w="506" w:type="pct"/>
            <w:shd w:val="clear" w:color="auto" w:fill="auto"/>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FBX, PBO</w:t>
            </w:r>
          </w:p>
        </w:tc>
        <w:tc>
          <w:tcPr>
            <w:tcW w:w="424"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Low </w:t>
            </w:r>
          </w:p>
        </w:tc>
        <w:tc>
          <w:tcPr>
            <w:tcW w:w="763" w:type="pct"/>
            <w:vMerge/>
            <w:shd w:val="clear" w:color="auto" w:fill="auto"/>
            <w:vAlign w:val="center"/>
          </w:tcPr>
          <w:p w:rsidR="008F7923" w:rsidRDefault="008F7923" w:rsidP="00C46E66">
            <w:pPr>
              <w:snapToGrid w:val="0"/>
              <w:jc w:val="center"/>
              <w:rPr>
                <w:rFonts w:ascii="Arial Narrow" w:hAnsi="Arial Narrow"/>
                <w:sz w:val="18"/>
                <w:szCs w:val="18"/>
                <w:lang w:val="en-US"/>
              </w:rPr>
            </w:pPr>
          </w:p>
        </w:tc>
        <w:tc>
          <w:tcPr>
            <w:tcW w:w="591"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&lt;357µmol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No </w:t>
            </w:r>
          </w:p>
        </w:tc>
      </w:tr>
      <w:tr w:rsidR="008F7923" w:rsidTr="00C46E66">
        <w:tc>
          <w:tcPr>
            <w:tcW w:w="930" w:type="pct"/>
            <w:shd w:val="clear" w:color="auto" w:fill="auto"/>
            <w:vAlign w:val="center"/>
          </w:tcPr>
          <w:p w:rsidR="008F7923" w:rsidRDefault="008F7923" w:rsidP="00C46E66">
            <w:pPr>
              <w:snapToGrid w:val="0"/>
              <w:jc w:val="left"/>
              <w:rPr>
                <w:rFonts w:ascii="Arial Narrow" w:hAnsi="Arial Narrow"/>
                <w:sz w:val="18"/>
                <w:szCs w:val="18"/>
                <w:lang w:val="en-US"/>
              </w:rPr>
            </w:pPr>
            <w:r>
              <w:rPr>
                <w:rFonts w:ascii="Arial Narrow" w:hAnsi="Arial Narrow"/>
                <w:sz w:val="18"/>
                <w:szCs w:val="18"/>
                <w:lang w:val="en-US"/>
              </w:rPr>
              <w:t>FOCUS</w:t>
            </w:r>
          </w:p>
        </w:tc>
        <w:tc>
          <w:tcPr>
            <w:tcW w:w="256"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68</w:t>
            </w:r>
          </w:p>
        </w:tc>
        <w:tc>
          <w:tcPr>
            <w:tcW w:w="842"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OL Ext</w:t>
            </w:r>
          </w:p>
        </w:tc>
        <w:tc>
          <w:tcPr>
            <w:tcW w:w="506" w:type="pct"/>
            <w:shd w:val="clear" w:color="auto" w:fill="auto"/>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FBX</w:t>
            </w:r>
          </w:p>
        </w:tc>
        <w:tc>
          <w:tcPr>
            <w:tcW w:w="424"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High </w:t>
            </w:r>
          </w:p>
        </w:tc>
        <w:tc>
          <w:tcPr>
            <w:tcW w:w="763" w:type="pct"/>
            <w:vMerge/>
            <w:shd w:val="clear" w:color="auto" w:fill="auto"/>
            <w:vAlign w:val="center"/>
          </w:tcPr>
          <w:p w:rsidR="008F7923" w:rsidRDefault="008F7923" w:rsidP="00C46E66">
            <w:pPr>
              <w:snapToGrid w:val="0"/>
              <w:jc w:val="center"/>
              <w:rPr>
                <w:rFonts w:ascii="Arial Narrow" w:hAnsi="Arial Narrow"/>
                <w:sz w:val="18"/>
                <w:szCs w:val="18"/>
                <w:lang w:val="en-US"/>
              </w:rPr>
            </w:pPr>
          </w:p>
        </w:tc>
        <w:tc>
          <w:tcPr>
            <w:tcW w:w="591"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&lt;357µmol</w:t>
            </w:r>
          </w:p>
        </w:tc>
        <w:tc>
          <w:tcPr>
            <w:tcW w:w="688" w:type="pct"/>
            <w:shd w:val="clear" w:color="auto" w:fill="auto"/>
            <w:vAlign w:val="center"/>
          </w:tcPr>
          <w:p w:rsidR="008F7923" w:rsidRDefault="008F7923" w:rsidP="00C46E66">
            <w:pPr>
              <w:snapToGrid w:val="0"/>
              <w:jc w:val="center"/>
              <w:rPr>
                <w:rFonts w:ascii="Arial Narrow" w:hAnsi="Arial Narrow"/>
                <w:sz w:val="18"/>
                <w:szCs w:val="18"/>
                <w:lang w:val="en-US"/>
              </w:rPr>
            </w:pPr>
            <w:r>
              <w:rPr>
                <w:rFonts w:ascii="Arial Narrow" w:hAnsi="Arial Narrow"/>
                <w:sz w:val="18"/>
                <w:szCs w:val="18"/>
                <w:lang w:val="en-US"/>
              </w:rPr>
              <w:t xml:space="preserve">Yes </w:t>
            </w:r>
          </w:p>
        </w:tc>
      </w:tr>
      <w:tr w:rsidR="008F7923" w:rsidTr="00C46E66">
        <w:tc>
          <w:tcPr>
            <w:tcW w:w="930" w:type="pct"/>
            <w:shd w:val="clear" w:color="auto" w:fill="auto"/>
            <w:vAlign w:val="center"/>
          </w:tcPr>
          <w:p w:rsidR="008F7923" w:rsidRPr="00C7293D" w:rsidRDefault="008F7923" w:rsidP="00C46E66">
            <w:pPr>
              <w:snapToGrid w:val="0"/>
              <w:jc w:val="left"/>
              <w:rPr>
                <w:rFonts w:ascii="Arial Narrow" w:hAnsi="Arial Narrow"/>
                <w:i/>
                <w:sz w:val="18"/>
                <w:szCs w:val="18"/>
                <w:lang w:val="en-US"/>
              </w:rPr>
            </w:pPr>
            <w:r w:rsidRPr="00C7293D">
              <w:rPr>
                <w:rFonts w:ascii="Arial Narrow" w:hAnsi="Arial Narrow"/>
                <w:i/>
                <w:sz w:val="18"/>
                <w:szCs w:val="18"/>
                <w:lang w:val="en-US"/>
              </w:rPr>
              <w:t>CONFIRMS</w:t>
            </w:r>
          </w:p>
        </w:tc>
        <w:tc>
          <w:tcPr>
            <w:tcW w:w="256" w:type="pct"/>
            <w:shd w:val="clear" w:color="auto" w:fill="auto"/>
            <w:vAlign w:val="center"/>
          </w:tcPr>
          <w:p w:rsidR="008F7923" w:rsidRPr="00C7293D" w:rsidRDefault="008F7923" w:rsidP="00C46E66">
            <w:pPr>
              <w:snapToGrid w:val="0"/>
              <w:jc w:val="center"/>
              <w:rPr>
                <w:rFonts w:ascii="Arial Narrow" w:hAnsi="Arial Narrow"/>
                <w:i/>
                <w:sz w:val="18"/>
                <w:szCs w:val="18"/>
                <w:vertAlign w:val="superscript"/>
                <w:lang w:val="en-US"/>
              </w:rPr>
            </w:pPr>
            <w:r w:rsidRPr="00C7293D">
              <w:rPr>
                <w:rFonts w:ascii="Arial Narrow" w:hAnsi="Arial Narrow"/>
                <w:i/>
                <w:sz w:val="18"/>
                <w:szCs w:val="18"/>
                <w:lang w:val="en-US"/>
              </w:rPr>
              <w:t>402</w:t>
            </w:r>
            <w:r w:rsidRPr="00C7293D">
              <w:rPr>
                <w:rFonts w:ascii="Arial Narrow" w:hAnsi="Arial Narrow"/>
                <w:i/>
                <w:sz w:val="18"/>
                <w:szCs w:val="18"/>
                <w:vertAlign w:val="superscript"/>
                <w:lang w:val="en-US"/>
              </w:rPr>
              <w:t>b</w:t>
            </w:r>
          </w:p>
        </w:tc>
        <w:tc>
          <w:tcPr>
            <w:tcW w:w="842"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 xml:space="preserve">R, DB, 6 </w:t>
            </w:r>
            <w:proofErr w:type="spellStart"/>
            <w:r w:rsidRPr="00C7293D">
              <w:rPr>
                <w:rFonts w:ascii="Arial Narrow" w:hAnsi="Arial Narrow"/>
                <w:i/>
                <w:sz w:val="18"/>
                <w:szCs w:val="18"/>
                <w:lang w:val="en-US"/>
              </w:rPr>
              <w:t>mths</w:t>
            </w:r>
            <w:proofErr w:type="spellEnd"/>
          </w:p>
        </w:tc>
        <w:tc>
          <w:tcPr>
            <w:tcW w:w="506" w:type="pct"/>
            <w:shd w:val="clear" w:color="auto" w:fill="auto"/>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FBX, ALO</w:t>
            </w:r>
          </w:p>
        </w:tc>
        <w:tc>
          <w:tcPr>
            <w:tcW w:w="424"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 xml:space="preserve">Low </w:t>
            </w:r>
          </w:p>
        </w:tc>
        <w:tc>
          <w:tcPr>
            <w:tcW w:w="763" w:type="pct"/>
            <w:vMerge/>
            <w:shd w:val="clear" w:color="auto" w:fill="auto"/>
            <w:vAlign w:val="center"/>
          </w:tcPr>
          <w:p w:rsidR="008F7923" w:rsidRDefault="008F7923" w:rsidP="00C46E66">
            <w:pPr>
              <w:snapToGrid w:val="0"/>
              <w:jc w:val="center"/>
              <w:rPr>
                <w:rFonts w:ascii="Arial Narrow" w:hAnsi="Arial Narrow"/>
                <w:sz w:val="18"/>
                <w:szCs w:val="18"/>
                <w:lang w:val="en-US"/>
              </w:rPr>
            </w:pPr>
          </w:p>
        </w:tc>
        <w:tc>
          <w:tcPr>
            <w:tcW w:w="591"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&lt;357µmol</w:t>
            </w:r>
          </w:p>
        </w:tc>
        <w:tc>
          <w:tcPr>
            <w:tcW w:w="688" w:type="pct"/>
            <w:shd w:val="clear" w:color="auto" w:fill="auto"/>
            <w:vAlign w:val="center"/>
          </w:tcPr>
          <w:p w:rsidR="008F7923" w:rsidRPr="00C7293D" w:rsidRDefault="008F7923" w:rsidP="00C46E66">
            <w:pPr>
              <w:snapToGrid w:val="0"/>
              <w:jc w:val="center"/>
              <w:rPr>
                <w:rFonts w:ascii="Arial Narrow" w:hAnsi="Arial Narrow"/>
                <w:i/>
                <w:sz w:val="18"/>
                <w:szCs w:val="18"/>
                <w:lang w:val="en-US"/>
              </w:rPr>
            </w:pPr>
            <w:r w:rsidRPr="00C7293D">
              <w:rPr>
                <w:rFonts w:ascii="Arial Narrow" w:hAnsi="Arial Narrow"/>
                <w:i/>
                <w:sz w:val="18"/>
                <w:szCs w:val="18"/>
                <w:lang w:val="en-US"/>
              </w:rPr>
              <w:t>No</w:t>
            </w:r>
          </w:p>
        </w:tc>
      </w:tr>
    </w:tbl>
    <w:p w:rsidR="008F7923" w:rsidRPr="00395981" w:rsidRDefault="008F7923" w:rsidP="008F7923">
      <w:pPr>
        <w:widowControl/>
        <w:snapToGrid w:val="0"/>
        <w:ind w:left="709"/>
        <w:rPr>
          <w:rFonts w:ascii="Arial Narrow" w:hAnsi="Arial Narrow"/>
          <w:sz w:val="18"/>
        </w:rPr>
      </w:pPr>
      <w:r w:rsidRPr="00395981">
        <w:rPr>
          <w:rFonts w:ascii="Arial Narrow" w:hAnsi="Arial Narrow"/>
          <w:sz w:val="18"/>
        </w:rPr>
        <w:t>FBX=</w:t>
      </w:r>
      <w:proofErr w:type="spellStart"/>
      <w:r w:rsidRPr="00395981">
        <w:rPr>
          <w:rFonts w:ascii="Arial Narrow" w:hAnsi="Arial Narrow"/>
          <w:sz w:val="18"/>
        </w:rPr>
        <w:t>febuxostat</w:t>
      </w:r>
      <w:proofErr w:type="spellEnd"/>
      <w:r w:rsidRPr="00395981">
        <w:rPr>
          <w:rFonts w:ascii="Arial Narrow" w:hAnsi="Arial Narrow"/>
          <w:sz w:val="18"/>
        </w:rPr>
        <w:t>, ALO-up=allopurinol up-titration, PRO=</w:t>
      </w:r>
      <w:proofErr w:type="spellStart"/>
      <w:r w:rsidRPr="00395981">
        <w:rPr>
          <w:rFonts w:ascii="Arial Narrow" w:hAnsi="Arial Narrow"/>
          <w:sz w:val="18"/>
        </w:rPr>
        <w:t>probenecid</w:t>
      </w:r>
      <w:proofErr w:type="spellEnd"/>
      <w:r w:rsidRPr="00395981">
        <w:rPr>
          <w:rFonts w:ascii="Arial Narrow" w:hAnsi="Arial Narrow"/>
          <w:sz w:val="18"/>
        </w:rPr>
        <w:t xml:space="preserve">, ALO+PRO=allopurinol + </w:t>
      </w:r>
      <w:proofErr w:type="spellStart"/>
      <w:r w:rsidRPr="00395981">
        <w:rPr>
          <w:rFonts w:ascii="Arial Narrow" w:hAnsi="Arial Narrow"/>
          <w:sz w:val="18"/>
        </w:rPr>
        <w:t>probenecid</w:t>
      </w:r>
      <w:proofErr w:type="spellEnd"/>
      <w:r w:rsidRPr="00395981">
        <w:rPr>
          <w:rFonts w:ascii="Arial Narrow" w:hAnsi="Arial Narrow"/>
          <w:sz w:val="18"/>
        </w:rPr>
        <w:t>, PBO=placebo, Re=retrospective, OBS=observational, RCT=randomised controlled trial, OL=open-label, Pros=prospective, NR=non-randomised, [NR</w:t>
      </w:r>
      <w:proofErr w:type="gramStart"/>
      <w:r w:rsidRPr="00395981">
        <w:rPr>
          <w:rFonts w:ascii="Arial Narrow" w:hAnsi="Arial Narrow"/>
          <w:sz w:val="18"/>
        </w:rPr>
        <w:t>]=</w:t>
      </w:r>
      <w:proofErr w:type="gramEnd"/>
      <w:r w:rsidRPr="00395981">
        <w:rPr>
          <w:rFonts w:ascii="Arial Narrow" w:hAnsi="Arial Narrow"/>
          <w:sz w:val="18"/>
        </w:rPr>
        <w:t>not reported, R=randomised, DB=double blind; OL Ext=open-label extension</w:t>
      </w:r>
    </w:p>
    <w:p w:rsidR="008F7923" w:rsidRPr="00395981" w:rsidRDefault="008F7923" w:rsidP="008F7923">
      <w:pPr>
        <w:widowControl/>
        <w:snapToGrid w:val="0"/>
        <w:ind w:left="709"/>
        <w:rPr>
          <w:rFonts w:ascii="Arial Narrow" w:hAnsi="Arial Narrow"/>
          <w:sz w:val="18"/>
        </w:rPr>
      </w:pPr>
      <w:proofErr w:type="spellStart"/>
      <w:proofErr w:type="gramStart"/>
      <w:r w:rsidRPr="00395981">
        <w:rPr>
          <w:rFonts w:ascii="Arial Narrow" w:hAnsi="Arial Narrow"/>
          <w:sz w:val="18"/>
          <w:vertAlign w:val="superscript"/>
        </w:rPr>
        <w:t>a</w:t>
      </w:r>
      <w:proofErr w:type="spellEnd"/>
      <w:proofErr w:type="gramEnd"/>
      <w:r w:rsidRPr="00395981">
        <w:rPr>
          <w:rFonts w:ascii="Arial Narrow" w:hAnsi="Arial Narrow"/>
          <w:sz w:val="18"/>
        </w:rPr>
        <w:tab/>
        <w:t>only one arm relevant</w:t>
      </w:r>
    </w:p>
    <w:p w:rsidR="008F7923" w:rsidRPr="00395981" w:rsidRDefault="008F7923" w:rsidP="008F7923">
      <w:pPr>
        <w:widowControl/>
        <w:snapToGrid w:val="0"/>
        <w:ind w:left="709"/>
        <w:rPr>
          <w:rFonts w:ascii="Arial Narrow" w:hAnsi="Arial Narrow"/>
          <w:sz w:val="18"/>
        </w:rPr>
      </w:pPr>
      <w:proofErr w:type="gramStart"/>
      <w:r w:rsidRPr="00395981">
        <w:rPr>
          <w:rFonts w:ascii="Arial Narrow" w:hAnsi="Arial Narrow"/>
          <w:sz w:val="18"/>
          <w:vertAlign w:val="superscript"/>
        </w:rPr>
        <w:t>b</w:t>
      </w:r>
      <w:proofErr w:type="gramEnd"/>
      <w:r w:rsidRPr="00395981">
        <w:rPr>
          <w:rFonts w:ascii="Arial Narrow" w:hAnsi="Arial Narrow"/>
          <w:sz w:val="18"/>
        </w:rPr>
        <w:tab/>
        <w:t xml:space="preserve">moderate renal impairment sub-group (defined as </w:t>
      </w:r>
      <w:proofErr w:type="spellStart"/>
      <w:r w:rsidRPr="00395981">
        <w:rPr>
          <w:rFonts w:ascii="Arial Narrow" w:hAnsi="Arial Narrow"/>
          <w:sz w:val="18"/>
        </w:rPr>
        <w:t>eGFR</w:t>
      </w:r>
      <w:proofErr w:type="spellEnd"/>
      <w:r w:rsidRPr="00395981">
        <w:rPr>
          <w:rFonts w:ascii="Arial Narrow" w:hAnsi="Arial Narrow"/>
          <w:sz w:val="18"/>
        </w:rPr>
        <w:t xml:space="preserve"> ≤60</w:t>
      </w:r>
      <w:r w:rsidR="003D695D">
        <w:rPr>
          <w:rFonts w:ascii="Arial Narrow" w:hAnsi="Arial Narrow"/>
          <w:sz w:val="18"/>
        </w:rPr>
        <w:t xml:space="preserve"> </w:t>
      </w:r>
      <w:r w:rsidRPr="00395981">
        <w:rPr>
          <w:rFonts w:ascii="Arial Narrow" w:hAnsi="Arial Narrow"/>
          <w:sz w:val="18"/>
        </w:rPr>
        <w:t>ml/ml/1.73</w:t>
      </w:r>
      <w:r w:rsidR="003D695D">
        <w:rPr>
          <w:rFonts w:ascii="Arial Narrow" w:hAnsi="Arial Narrow"/>
          <w:sz w:val="18"/>
        </w:rPr>
        <w:t xml:space="preserve"> </w:t>
      </w:r>
      <w:r w:rsidRPr="00395981">
        <w:rPr>
          <w:rFonts w:ascii="Arial Narrow" w:hAnsi="Arial Narrow"/>
          <w:sz w:val="18"/>
        </w:rPr>
        <w:t>m</w:t>
      </w:r>
      <w:r w:rsidRPr="00395981">
        <w:rPr>
          <w:rFonts w:ascii="Arial Narrow" w:hAnsi="Arial Narrow"/>
          <w:sz w:val="18"/>
          <w:vertAlign w:val="superscript"/>
        </w:rPr>
        <w:t>2</w:t>
      </w:r>
      <w:r w:rsidRPr="00395981">
        <w:rPr>
          <w:rFonts w:ascii="Arial Narrow" w:hAnsi="Arial Narrow"/>
          <w:sz w:val="18"/>
        </w:rPr>
        <w:t>)</w:t>
      </w:r>
    </w:p>
    <w:p w:rsidR="008F7923" w:rsidRDefault="008F7923" w:rsidP="008F7923">
      <w:pPr>
        <w:pStyle w:val="ListParagraph"/>
        <w:widowControl/>
        <w:snapToGrid w:val="0"/>
        <w:ind w:left="709"/>
        <w:rPr>
          <w:szCs w:val="22"/>
        </w:rPr>
      </w:pPr>
      <w:r w:rsidRPr="00395981">
        <w:rPr>
          <w:rFonts w:ascii="Arial Narrow" w:hAnsi="Arial Narrow"/>
          <w:i/>
          <w:sz w:val="18"/>
        </w:rPr>
        <w:t>Trials and studies in italics were included during the evaluation</w:t>
      </w:r>
    </w:p>
    <w:p w:rsidR="008F7923" w:rsidRDefault="008F7923" w:rsidP="008F7923">
      <w:pPr>
        <w:pStyle w:val="ListParagraph"/>
        <w:widowControl/>
        <w:snapToGrid w:val="0"/>
        <w:ind w:left="709"/>
        <w:rPr>
          <w:szCs w:val="22"/>
        </w:rPr>
      </w:pPr>
    </w:p>
    <w:p w:rsidR="00EB6A24" w:rsidRPr="008F7923" w:rsidRDefault="00EB6A24" w:rsidP="00C311A5">
      <w:pPr>
        <w:pStyle w:val="ListParagraph"/>
        <w:widowControl/>
        <w:numPr>
          <w:ilvl w:val="1"/>
          <w:numId w:val="2"/>
        </w:numPr>
        <w:snapToGrid w:val="0"/>
        <w:ind w:left="709" w:hanging="709"/>
        <w:rPr>
          <w:szCs w:val="22"/>
        </w:rPr>
      </w:pPr>
      <w:r w:rsidRPr="0067738C">
        <w:t xml:space="preserve">Only the TMX-67-203, </w:t>
      </w:r>
      <w:r w:rsidR="000233E1">
        <w:t>TMX-00-004 and CONFIRMS trials we</w:t>
      </w:r>
      <w:r w:rsidRPr="0067738C">
        <w:t>re considered to be of low risk of bias</w:t>
      </w:r>
      <w:r w:rsidR="000233E1">
        <w:t xml:space="preserve"> by the evaluation</w:t>
      </w:r>
      <w:r w:rsidR="00B052CE">
        <w:t>.</w:t>
      </w:r>
      <w:r w:rsidRPr="0067738C">
        <w:t xml:space="preserve">  </w:t>
      </w:r>
      <w:r w:rsidR="00B052CE">
        <w:t>A</w:t>
      </w:r>
      <w:r w:rsidRPr="0067738C">
        <w:t xml:space="preserve">ll other studies and trials </w:t>
      </w:r>
      <w:r w:rsidR="00B052CE">
        <w:t xml:space="preserve">were </w:t>
      </w:r>
      <w:r w:rsidRPr="0067738C">
        <w:t xml:space="preserve">considered to be high risk </w:t>
      </w:r>
      <w:r w:rsidR="00B052CE">
        <w:t xml:space="preserve">as they </w:t>
      </w:r>
      <w:r w:rsidRPr="0067738C">
        <w:t>were open-label or were retrospective in design or single-arm.</w:t>
      </w:r>
    </w:p>
    <w:p w:rsidR="00EB6A24" w:rsidRPr="00297299" w:rsidRDefault="00EB6A24" w:rsidP="006F70CF">
      <w:pPr>
        <w:widowControl/>
        <w:rPr>
          <w:szCs w:val="22"/>
        </w:rPr>
      </w:pPr>
    </w:p>
    <w:p w:rsidR="006F70CF" w:rsidRPr="00297299" w:rsidRDefault="006F70CF" w:rsidP="004958E3">
      <w:pPr>
        <w:pStyle w:val="Heading2"/>
      </w:pPr>
      <w:bookmarkStart w:id="15" w:name="_Toc280358243"/>
      <w:bookmarkStart w:id="16" w:name="_Toc409518439"/>
      <w:r w:rsidRPr="00297299">
        <w:t>Comparative effectiveness</w:t>
      </w:r>
      <w:bookmarkEnd w:id="15"/>
      <w:bookmarkEnd w:id="16"/>
    </w:p>
    <w:p w:rsidR="006F70CF" w:rsidRDefault="006F70CF" w:rsidP="006F70CF">
      <w:pPr>
        <w:rPr>
          <w:szCs w:val="22"/>
        </w:rPr>
      </w:pPr>
    </w:p>
    <w:p w:rsidR="00BF0C6E" w:rsidRDefault="00334885" w:rsidP="00C311A5">
      <w:pPr>
        <w:pStyle w:val="ListParagraph"/>
        <w:widowControl/>
        <w:numPr>
          <w:ilvl w:val="1"/>
          <w:numId w:val="2"/>
        </w:numPr>
        <w:snapToGrid w:val="0"/>
        <w:ind w:left="709" w:hanging="709"/>
        <w:rPr>
          <w:szCs w:val="22"/>
        </w:rPr>
      </w:pPr>
      <w:r>
        <w:rPr>
          <w:szCs w:val="22"/>
        </w:rPr>
        <w:t>The table below</w:t>
      </w:r>
      <w:r w:rsidR="00EB6A24">
        <w:rPr>
          <w:szCs w:val="22"/>
        </w:rPr>
        <w:t xml:space="preserve"> summarises the proportion of patients achieving target </w:t>
      </w:r>
      <w:proofErr w:type="spellStart"/>
      <w:r w:rsidR="00EB6A24">
        <w:rPr>
          <w:szCs w:val="22"/>
        </w:rPr>
        <w:t>sUA</w:t>
      </w:r>
      <w:proofErr w:type="spellEnd"/>
      <w:r w:rsidR="00EB6A24">
        <w:rPr>
          <w:szCs w:val="22"/>
        </w:rPr>
        <w:t xml:space="preserve"> levels.</w:t>
      </w:r>
    </w:p>
    <w:p w:rsidR="004A26DB" w:rsidRDefault="004A26DB" w:rsidP="008F7923">
      <w:pPr>
        <w:keepNext/>
        <w:keepLines/>
        <w:ind w:firstLine="709"/>
        <w:rPr>
          <w:szCs w:val="22"/>
        </w:rPr>
      </w:pPr>
      <w:r>
        <w:rPr>
          <w:rStyle w:val="CommentReference"/>
        </w:rPr>
        <w:lastRenderedPageBreak/>
        <w:t>P</w:t>
      </w:r>
      <w:r w:rsidRPr="00F40CC8">
        <w:rPr>
          <w:rStyle w:val="CommentReference"/>
        </w:rPr>
        <w:t xml:space="preserve">roportion of patients achieving target </w:t>
      </w:r>
      <w:proofErr w:type="spellStart"/>
      <w:r w:rsidRPr="00F40CC8">
        <w:rPr>
          <w:rStyle w:val="CommentReference"/>
        </w:rPr>
        <w:t>sUA</w:t>
      </w:r>
      <w:proofErr w:type="spellEnd"/>
      <w:r w:rsidRPr="00F40CC8">
        <w:rPr>
          <w:rStyle w:val="CommentReference"/>
        </w:rPr>
        <w:t xml:space="preserve"> levels</w:t>
      </w:r>
    </w:p>
    <w:tbl>
      <w:tblPr>
        <w:tblStyle w:val="TableGrid"/>
        <w:tblW w:w="8363" w:type="dxa"/>
        <w:tblInd w:w="737" w:type="dxa"/>
        <w:tblCellMar>
          <w:left w:w="28" w:type="dxa"/>
          <w:right w:w="28" w:type="dxa"/>
        </w:tblCellMar>
        <w:tblLook w:val="04A0" w:firstRow="1" w:lastRow="0" w:firstColumn="1" w:lastColumn="0" w:noHBand="0" w:noVBand="1"/>
      </w:tblPr>
      <w:tblGrid>
        <w:gridCol w:w="2268"/>
        <w:gridCol w:w="1843"/>
        <w:gridCol w:w="1134"/>
        <w:gridCol w:w="1086"/>
        <w:gridCol w:w="2032"/>
      </w:tblGrid>
      <w:tr w:rsidR="004A26DB" w:rsidRPr="000771B7" w:rsidTr="008F7923">
        <w:tc>
          <w:tcPr>
            <w:tcW w:w="2268" w:type="dxa"/>
          </w:tcPr>
          <w:p w:rsidR="004A26DB" w:rsidRPr="000771B7" w:rsidRDefault="004A26DB" w:rsidP="00C46E66">
            <w:pPr>
              <w:pStyle w:val="ListParagraph"/>
              <w:keepNext/>
              <w:keepLines/>
              <w:widowControl/>
              <w:snapToGrid w:val="0"/>
              <w:ind w:left="0"/>
              <w:rPr>
                <w:rFonts w:ascii="Arial Narrow" w:hAnsi="Arial Narrow" w:cs="Times New Roman"/>
                <w:sz w:val="19"/>
                <w:szCs w:val="19"/>
              </w:rPr>
            </w:pP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b/>
                <w:sz w:val="19"/>
                <w:szCs w:val="19"/>
              </w:rPr>
            </w:pPr>
            <w:r w:rsidRPr="000771B7">
              <w:rPr>
                <w:rFonts w:ascii="Arial Narrow" w:hAnsi="Arial Narrow" w:cs="Times New Roman"/>
                <w:b/>
                <w:sz w:val="19"/>
                <w:szCs w:val="19"/>
              </w:rPr>
              <w:t>ALO inappropriate</w:t>
            </w:r>
          </w:p>
        </w:tc>
        <w:tc>
          <w:tcPr>
            <w:tcW w:w="2220" w:type="dxa"/>
            <w:gridSpan w:val="2"/>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b/>
                <w:sz w:val="19"/>
                <w:szCs w:val="19"/>
              </w:rPr>
            </w:pPr>
            <w:r w:rsidRPr="000771B7">
              <w:rPr>
                <w:rFonts w:ascii="Arial Narrow" w:hAnsi="Arial Narrow" w:cs="Times New Roman"/>
                <w:b/>
                <w:sz w:val="19"/>
                <w:szCs w:val="19"/>
              </w:rPr>
              <w:t xml:space="preserve">ALO insufficient </w:t>
            </w:r>
          </w:p>
        </w:tc>
        <w:tc>
          <w:tcPr>
            <w:tcW w:w="2032" w:type="dxa"/>
            <w:vAlign w:val="center"/>
          </w:tcPr>
          <w:p w:rsidR="004A26DB" w:rsidRPr="000771B7" w:rsidRDefault="00FC1396" w:rsidP="00C46E66">
            <w:pPr>
              <w:pStyle w:val="ListParagraph"/>
              <w:keepNext/>
              <w:keepLines/>
              <w:widowControl/>
              <w:snapToGrid w:val="0"/>
              <w:ind w:left="0"/>
              <w:jc w:val="center"/>
              <w:rPr>
                <w:rFonts w:ascii="Arial Narrow" w:hAnsi="Arial Narrow" w:cs="Times New Roman"/>
                <w:b/>
                <w:sz w:val="19"/>
                <w:szCs w:val="19"/>
              </w:rPr>
            </w:pPr>
            <w:r>
              <w:rPr>
                <w:rFonts w:ascii="Arial Narrow" w:hAnsi="Arial Narrow" w:cs="Times New Roman"/>
                <w:b/>
                <w:sz w:val="19"/>
                <w:szCs w:val="19"/>
              </w:rPr>
              <w:t>Renal Impairment (RI)</w:t>
            </w:r>
          </w:p>
        </w:tc>
      </w:tr>
      <w:tr w:rsidR="004A26DB" w:rsidRPr="000771B7" w:rsidTr="007E30B4">
        <w:tc>
          <w:tcPr>
            <w:tcW w:w="2268" w:type="dxa"/>
          </w:tcPr>
          <w:p w:rsidR="004A26DB" w:rsidRPr="000771B7" w:rsidRDefault="004A26DB" w:rsidP="00C46E66">
            <w:pPr>
              <w:pStyle w:val="ListParagraph"/>
              <w:keepNext/>
              <w:keepLines/>
              <w:widowControl/>
              <w:snapToGrid w:val="0"/>
              <w:ind w:left="0"/>
              <w:rPr>
                <w:rFonts w:ascii="Arial Narrow" w:hAnsi="Arial Narrow" w:cs="Times New Roman"/>
                <w:b/>
                <w:sz w:val="19"/>
                <w:szCs w:val="19"/>
              </w:rPr>
            </w:pPr>
            <w:r w:rsidRPr="000771B7">
              <w:rPr>
                <w:rFonts w:ascii="Arial Narrow" w:hAnsi="Arial Narrow" w:cs="Times New Roman"/>
                <w:b/>
                <w:sz w:val="19"/>
                <w:szCs w:val="19"/>
              </w:rPr>
              <w:t xml:space="preserve">Target </w:t>
            </w:r>
            <w:proofErr w:type="spellStart"/>
            <w:r w:rsidRPr="000771B7">
              <w:rPr>
                <w:rFonts w:ascii="Arial Narrow" w:hAnsi="Arial Narrow" w:cs="Times New Roman"/>
                <w:b/>
                <w:sz w:val="19"/>
                <w:szCs w:val="19"/>
              </w:rPr>
              <w:t>sUA</w:t>
            </w:r>
            <w:proofErr w:type="spellEnd"/>
            <w:r w:rsidRPr="000771B7">
              <w:rPr>
                <w:rFonts w:ascii="Arial Narrow" w:hAnsi="Arial Narrow" w:cs="Times New Roman"/>
                <w:b/>
                <w:sz w:val="19"/>
                <w:szCs w:val="19"/>
              </w:rPr>
              <w:t>, n/N (%)</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b/>
                <w:sz w:val="19"/>
                <w:szCs w:val="19"/>
              </w:rPr>
            </w:pPr>
            <w:r w:rsidRPr="000771B7">
              <w:rPr>
                <w:rFonts w:ascii="Arial Narrow" w:hAnsi="Arial Narrow" w:cs="Times New Roman"/>
                <w:b/>
                <w:sz w:val="19"/>
                <w:szCs w:val="19"/>
              </w:rPr>
              <w:t>&lt;357</w:t>
            </w:r>
            <w:r w:rsidR="003D695D">
              <w:rPr>
                <w:rFonts w:ascii="Arial Narrow" w:hAnsi="Arial Narrow" w:cs="Times New Roman"/>
                <w:b/>
                <w:sz w:val="19"/>
                <w:szCs w:val="19"/>
              </w:rPr>
              <w:t xml:space="preserve"> </w:t>
            </w:r>
            <w:r w:rsidRPr="000771B7">
              <w:rPr>
                <w:rFonts w:ascii="Arial Narrow" w:hAnsi="Arial Narrow" w:cs="Times New Roman"/>
                <w:b/>
                <w:sz w:val="19"/>
                <w:szCs w:val="19"/>
              </w:rPr>
              <w:t>µ</w:t>
            </w:r>
            <w:proofErr w:type="spellStart"/>
            <w:r w:rsidRPr="000771B7">
              <w:rPr>
                <w:rFonts w:ascii="Arial Narrow" w:hAnsi="Arial Narrow" w:cs="Times New Roman"/>
                <w:b/>
                <w:sz w:val="19"/>
                <w:szCs w:val="19"/>
              </w:rPr>
              <w:t>mol</w:t>
            </w:r>
            <w:proofErr w:type="spellEnd"/>
            <w:r w:rsidRPr="000771B7">
              <w:rPr>
                <w:rFonts w:ascii="Arial Narrow" w:hAnsi="Arial Narrow" w:cs="Times New Roman"/>
                <w:b/>
                <w:sz w:val="19"/>
                <w:szCs w:val="19"/>
              </w:rPr>
              <w:t>/l</w:t>
            </w:r>
          </w:p>
        </w:tc>
        <w:tc>
          <w:tcPr>
            <w:tcW w:w="1134"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b/>
                <w:sz w:val="19"/>
                <w:szCs w:val="19"/>
              </w:rPr>
            </w:pPr>
            <w:r w:rsidRPr="000771B7">
              <w:rPr>
                <w:rFonts w:ascii="Arial Narrow" w:hAnsi="Arial Narrow" w:cs="Times New Roman"/>
                <w:b/>
                <w:sz w:val="19"/>
                <w:szCs w:val="19"/>
              </w:rPr>
              <w:t>&lt;297</w:t>
            </w:r>
            <w:r w:rsidR="003D695D">
              <w:rPr>
                <w:rFonts w:ascii="Arial Narrow" w:hAnsi="Arial Narrow" w:cs="Times New Roman"/>
                <w:b/>
                <w:sz w:val="19"/>
                <w:szCs w:val="19"/>
              </w:rPr>
              <w:t xml:space="preserve"> </w:t>
            </w:r>
            <w:r w:rsidRPr="000771B7">
              <w:rPr>
                <w:rFonts w:ascii="Arial Narrow" w:hAnsi="Arial Narrow" w:cs="Times New Roman"/>
                <w:b/>
                <w:sz w:val="19"/>
                <w:szCs w:val="19"/>
              </w:rPr>
              <w:t>µ</w:t>
            </w:r>
            <w:proofErr w:type="spellStart"/>
            <w:r w:rsidRPr="000771B7">
              <w:rPr>
                <w:rFonts w:ascii="Arial Narrow" w:hAnsi="Arial Narrow" w:cs="Times New Roman"/>
                <w:b/>
                <w:sz w:val="19"/>
                <w:szCs w:val="19"/>
              </w:rPr>
              <w:t>mol</w:t>
            </w:r>
            <w:proofErr w:type="spellEnd"/>
            <w:r w:rsidRPr="000771B7">
              <w:rPr>
                <w:rFonts w:ascii="Arial Narrow" w:hAnsi="Arial Narrow" w:cs="Times New Roman"/>
                <w:b/>
                <w:sz w:val="19"/>
                <w:szCs w:val="19"/>
              </w:rPr>
              <w:t>/l</w:t>
            </w:r>
          </w:p>
        </w:tc>
        <w:tc>
          <w:tcPr>
            <w:tcW w:w="1086"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b/>
                <w:sz w:val="19"/>
                <w:szCs w:val="19"/>
              </w:rPr>
            </w:pPr>
            <w:r w:rsidRPr="000771B7">
              <w:rPr>
                <w:rFonts w:ascii="Arial Narrow" w:hAnsi="Arial Narrow" w:cs="Times New Roman"/>
                <w:b/>
                <w:sz w:val="19"/>
                <w:szCs w:val="19"/>
              </w:rPr>
              <w:t>&lt;357</w:t>
            </w:r>
            <w:r w:rsidR="003D695D">
              <w:rPr>
                <w:rFonts w:ascii="Arial Narrow" w:hAnsi="Arial Narrow" w:cs="Times New Roman"/>
                <w:b/>
                <w:sz w:val="19"/>
                <w:szCs w:val="19"/>
              </w:rPr>
              <w:t xml:space="preserve"> </w:t>
            </w:r>
            <w:r w:rsidRPr="000771B7">
              <w:rPr>
                <w:rFonts w:ascii="Arial Narrow" w:hAnsi="Arial Narrow" w:cs="Times New Roman"/>
                <w:b/>
                <w:sz w:val="19"/>
                <w:szCs w:val="19"/>
              </w:rPr>
              <w:t>µ</w:t>
            </w:r>
            <w:proofErr w:type="spellStart"/>
            <w:r w:rsidRPr="000771B7">
              <w:rPr>
                <w:rFonts w:ascii="Arial Narrow" w:hAnsi="Arial Narrow" w:cs="Times New Roman"/>
                <w:b/>
                <w:sz w:val="19"/>
                <w:szCs w:val="19"/>
              </w:rPr>
              <w:t>mol</w:t>
            </w:r>
            <w:proofErr w:type="spellEnd"/>
            <w:r w:rsidRPr="000771B7">
              <w:rPr>
                <w:rFonts w:ascii="Arial Narrow" w:hAnsi="Arial Narrow" w:cs="Times New Roman"/>
                <w:b/>
                <w:sz w:val="19"/>
                <w:szCs w:val="19"/>
              </w:rPr>
              <w:t>/l</w:t>
            </w:r>
          </w:p>
        </w:tc>
        <w:tc>
          <w:tcPr>
            <w:tcW w:w="2032"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b/>
                <w:sz w:val="19"/>
                <w:szCs w:val="19"/>
              </w:rPr>
            </w:pPr>
            <w:r w:rsidRPr="000771B7">
              <w:rPr>
                <w:rFonts w:ascii="Arial Narrow" w:hAnsi="Arial Narrow" w:cs="Times New Roman"/>
                <w:b/>
                <w:sz w:val="19"/>
                <w:szCs w:val="19"/>
              </w:rPr>
              <w:t>&lt;357</w:t>
            </w:r>
            <w:r w:rsidR="003D695D">
              <w:rPr>
                <w:rFonts w:ascii="Arial Narrow" w:hAnsi="Arial Narrow" w:cs="Times New Roman"/>
                <w:b/>
                <w:sz w:val="19"/>
                <w:szCs w:val="19"/>
              </w:rPr>
              <w:t xml:space="preserve"> </w:t>
            </w:r>
            <w:r w:rsidRPr="000771B7">
              <w:rPr>
                <w:rFonts w:ascii="Arial Narrow" w:hAnsi="Arial Narrow" w:cs="Times New Roman"/>
                <w:b/>
                <w:sz w:val="19"/>
                <w:szCs w:val="19"/>
              </w:rPr>
              <w:t>µ</w:t>
            </w:r>
            <w:proofErr w:type="spellStart"/>
            <w:r w:rsidRPr="000771B7">
              <w:rPr>
                <w:rFonts w:ascii="Arial Narrow" w:hAnsi="Arial Narrow" w:cs="Times New Roman"/>
                <w:b/>
                <w:sz w:val="19"/>
                <w:szCs w:val="19"/>
              </w:rPr>
              <w:t>mol</w:t>
            </w:r>
            <w:proofErr w:type="spellEnd"/>
            <w:r w:rsidRPr="000771B7">
              <w:rPr>
                <w:rFonts w:ascii="Arial Narrow" w:hAnsi="Arial Narrow" w:cs="Times New Roman"/>
                <w:b/>
                <w:sz w:val="19"/>
                <w:szCs w:val="19"/>
              </w:rPr>
              <w:t>/l</w:t>
            </w:r>
          </w:p>
        </w:tc>
      </w:tr>
      <w:tr w:rsidR="004A26DB" w:rsidRPr="000771B7" w:rsidTr="007E30B4">
        <w:tc>
          <w:tcPr>
            <w:tcW w:w="2268" w:type="dxa"/>
          </w:tcPr>
          <w:p w:rsidR="004A26DB" w:rsidRPr="000771B7" w:rsidRDefault="004A26DB" w:rsidP="00C46E66">
            <w:pPr>
              <w:pStyle w:val="ListParagraph"/>
              <w:keepNext/>
              <w:keepLines/>
              <w:widowControl/>
              <w:snapToGrid w:val="0"/>
              <w:ind w:left="0"/>
              <w:rPr>
                <w:rFonts w:ascii="Arial Narrow" w:hAnsi="Arial Narrow" w:cs="Times New Roman"/>
                <w:sz w:val="19"/>
                <w:szCs w:val="19"/>
              </w:rPr>
            </w:pPr>
            <w:proofErr w:type="spellStart"/>
            <w:r w:rsidRPr="000771B7">
              <w:rPr>
                <w:rFonts w:ascii="Arial Narrow" w:hAnsi="Arial Narrow" w:cs="Times New Roman"/>
                <w:sz w:val="19"/>
                <w:szCs w:val="19"/>
              </w:rPr>
              <w:t>Chohan</w:t>
            </w:r>
            <w:proofErr w:type="spellEnd"/>
            <w:r w:rsidRPr="000771B7">
              <w:rPr>
                <w:rFonts w:ascii="Arial Narrow" w:hAnsi="Arial Narrow" w:cs="Times New Roman"/>
                <w:sz w:val="19"/>
                <w:szCs w:val="19"/>
              </w:rPr>
              <w:t xml:space="preserve"> 2011 (FBX)</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10</w:t>
            </w:r>
            <w:r w:rsidRPr="000771B7">
              <w:rPr>
                <w:rFonts w:ascii="Arial Narrow" w:hAnsi="Arial Narrow" w:cs="Times New Roman"/>
                <w:sz w:val="19"/>
                <w:szCs w:val="19"/>
              </w:rPr>
              <w:t>/13 (</w:t>
            </w:r>
            <w:r>
              <w:rPr>
                <w:rFonts w:ascii="Arial Narrow" w:hAnsi="Arial Narrow" w:cs="Times New Roman"/>
                <w:sz w:val="19"/>
                <w:szCs w:val="19"/>
              </w:rPr>
              <w:t>77</w:t>
            </w:r>
            <w:r w:rsidRPr="000771B7">
              <w:rPr>
                <w:rFonts w:ascii="Arial Narrow" w:hAnsi="Arial Narrow" w:cs="Times New Roman"/>
                <w:sz w:val="19"/>
                <w:szCs w:val="19"/>
              </w:rPr>
              <w:t>)</w:t>
            </w:r>
          </w:p>
        </w:tc>
        <w:tc>
          <w:tcPr>
            <w:tcW w:w="1134"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086"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2032"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r>
      <w:tr w:rsidR="004A26DB" w:rsidRPr="000771B7" w:rsidTr="007E30B4">
        <w:tc>
          <w:tcPr>
            <w:tcW w:w="2268" w:type="dxa"/>
          </w:tcPr>
          <w:p w:rsidR="004A26DB" w:rsidRPr="000771B7" w:rsidRDefault="004A26DB" w:rsidP="00C46E66">
            <w:pPr>
              <w:pStyle w:val="ListParagraph"/>
              <w:keepNext/>
              <w:keepLines/>
              <w:widowControl/>
              <w:snapToGrid w:val="0"/>
              <w:ind w:left="0"/>
              <w:rPr>
                <w:rFonts w:ascii="Arial Narrow" w:hAnsi="Arial Narrow" w:cs="Times New Roman"/>
                <w:sz w:val="19"/>
                <w:szCs w:val="19"/>
              </w:rPr>
            </w:pPr>
            <w:proofErr w:type="spellStart"/>
            <w:r w:rsidRPr="000771B7">
              <w:rPr>
                <w:rFonts w:ascii="Arial Narrow" w:hAnsi="Arial Narrow" w:cs="Times New Roman"/>
                <w:sz w:val="19"/>
                <w:szCs w:val="19"/>
              </w:rPr>
              <w:t>Pui</w:t>
            </w:r>
            <w:proofErr w:type="spellEnd"/>
            <w:r w:rsidRPr="000771B7">
              <w:rPr>
                <w:rFonts w:ascii="Arial Narrow" w:hAnsi="Arial Narrow" w:cs="Times New Roman"/>
                <w:sz w:val="19"/>
                <w:szCs w:val="19"/>
              </w:rPr>
              <w:t xml:space="preserve"> 2013 (PRO)</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sidRPr="000771B7">
              <w:rPr>
                <w:rFonts w:ascii="Arial Narrow" w:hAnsi="Arial Narrow" w:cs="Times New Roman"/>
                <w:sz w:val="19"/>
                <w:szCs w:val="19"/>
              </w:rPr>
              <w:t>10/30 (33)</w:t>
            </w:r>
          </w:p>
        </w:tc>
        <w:tc>
          <w:tcPr>
            <w:tcW w:w="1134"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086"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2032"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r>
      <w:tr w:rsidR="004A26DB" w:rsidRPr="000771B7" w:rsidTr="007E30B4">
        <w:tc>
          <w:tcPr>
            <w:tcW w:w="2268" w:type="dxa"/>
          </w:tcPr>
          <w:p w:rsidR="004A26DB" w:rsidRPr="000771B7" w:rsidRDefault="004A26DB" w:rsidP="00C46E66">
            <w:pPr>
              <w:pStyle w:val="ListParagraph"/>
              <w:keepNext/>
              <w:keepLines/>
              <w:widowControl/>
              <w:snapToGrid w:val="0"/>
              <w:ind w:left="0"/>
              <w:rPr>
                <w:rFonts w:ascii="Arial Narrow" w:hAnsi="Arial Narrow" w:cs="Times New Roman"/>
                <w:sz w:val="19"/>
                <w:szCs w:val="19"/>
              </w:rPr>
            </w:pPr>
            <w:proofErr w:type="spellStart"/>
            <w:r w:rsidRPr="000771B7">
              <w:rPr>
                <w:rFonts w:ascii="Arial Narrow" w:hAnsi="Arial Narrow" w:cs="Times New Roman"/>
                <w:sz w:val="19"/>
                <w:szCs w:val="19"/>
              </w:rPr>
              <w:t>Reinders</w:t>
            </w:r>
            <w:proofErr w:type="spellEnd"/>
            <w:r w:rsidRPr="000771B7">
              <w:rPr>
                <w:rFonts w:ascii="Arial Narrow" w:hAnsi="Arial Narrow" w:cs="Times New Roman"/>
                <w:sz w:val="19"/>
                <w:szCs w:val="19"/>
              </w:rPr>
              <w:t xml:space="preserve"> 2009a (PRO)</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134"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sidRPr="000771B7">
              <w:rPr>
                <w:rFonts w:ascii="Arial Narrow" w:hAnsi="Arial Narrow" w:cs="Times New Roman"/>
                <w:sz w:val="19"/>
                <w:szCs w:val="19"/>
              </w:rPr>
              <w:t>20/31 (</w:t>
            </w:r>
            <w:r>
              <w:rPr>
                <w:rFonts w:ascii="Arial Narrow" w:hAnsi="Arial Narrow" w:cs="Times New Roman"/>
                <w:sz w:val="19"/>
                <w:szCs w:val="19"/>
              </w:rPr>
              <w:t>65</w:t>
            </w:r>
            <w:r w:rsidRPr="000771B7">
              <w:rPr>
                <w:rFonts w:ascii="Arial Narrow" w:hAnsi="Arial Narrow" w:cs="Times New Roman"/>
                <w:sz w:val="19"/>
                <w:szCs w:val="19"/>
              </w:rPr>
              <w:t>)</w:t>
            </w:r>
          </w:p>
        </w:tc>
        <w:tc>
          <w:tcPr>
            <w:tcW w:w="1086"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sidRPr="000771B7">
              <w:rPr>
                <w:rFonts w:ascii="Arial Narrow" w:hAnsi="Arial Narrow" w:cs="Times New Roman"/>
                <w:sz w:val="19"/>
                <w:szCs w:val="19"/>
              </w:rPr>
              <w:t>NA</w:t>
            </w:r>
          </w:p>
        </w:tc>
        <w:tc>
          <w:tcPr>
            <w:tcW w:w="2032"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r>
      <w:tr w:rsidR="004A26DB" w:rsidRPr="000771B7" w:rsidTr="007E30B4">
        <w:tc>
          <w:tcPr>
            <w:tcW w:w="2268" w:type="dxa"/>
          </w:tcPr>
          <w:p w:rsidR="004A26DB" w:rsidRPr="000771B7" w:rsidRDefault="004A26DB" w:rsidP="00C46E66">
            <w:pPr>
              <w:pStyle w:val="ListParagraph"/>
              <w:keepNext/>
              <w:keepLines/>
              <w:widowControl/>
              <w:snapToGrid w:val="0"/>
              <w:ind w:left="0"/>
              <w:rPr>
                <w:rFonts w:ascii="Arial Narrow" w:hAnsi="Arial Narrow" w:cs="Times New Roman"/>
                <w:sz w:val="19"/>
                <w:szCs w:val="19"/>
              </w:rPr>
            </w:pPr>
            <w:r w:rsidRPr="000771B7">
              <w:rPr>
                <w:rFonts w:ascii="Arial Narrow" w:hAnsi="Arial Narrow" w:cs="Times New Roman"/>
                <w:sz w:val="19"/>
                <w:szCs w:val="19"/>
              </w:rPr>
              <w:t>Jennings 2014 (ALO-up)</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134"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NA</w:t>
            </w:r>
          </w:p>
        </w:tc>
        <w:tc>
          <w:tcPr>
            <w:tcW w:w="1086"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139/144 (97)</w:t>
            </w:r>
          </w:p>
        </w:tc>
        <w:tc>
          <w:tcPr>
            <w:tcW w:w="2032"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r>
      <w:tr w:rsidR="004A26DB" w:rsidRPr="000771B7" w:rsidTr="007E30B4">
        <w:tc>
          <w:tcPr>
            <w:tcW w:w="2268" w:type="dxa"/>
          </w:tcPr>
          <w:p w:rsidR="004A26DB" w:rsidRPr="000771B7" w:rsidRDefault="004A26DB" w:rsidP="00C46E66">
            <w:pPr>
              <w:pStyle w:val="ListParagraph"/>
              <w:keepNext/>
              <w:keepLines/>
              <w:widowControl/>
              <w:snapToGrid w:val="0"/>
              <w:ind w:left="0"/>
              <w:rPr>
                <w:rFonts w:ascii="Arial Narrow" w:hAnsi="Arial Narrow" w:cs="Times New Roman"/>
                <w:sz w:val="19"/>
                <w:szCs w:val="19"/>
              </w:rPr>
            </w:pPr>
            <w:r>
              <w:rPr>
                <w:rFonts w:ascii="Arial Narrow" w:hAnsi="Arial Narrow" w:cs="Times New Roman"/>
                <w:sz w:val="19"/>
                <w:szCs w:val="19"/>
              </w:rPr>
              <w:t>Stamp 2011 (ALO-up)</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134"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NA</w:t>
            </w:r>
          </w:p>
        </w:tc>
        <w:tc>
          <w:tcPr>
            <w:tcW w:w="1086"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31/45 (69)</w:t>
            </w:r>
          </w:p>
        </w:tc>
        <w:tc>
          <w:tcPr>
            <w:tcW w:w="2032"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r>
      <w:tr w:rsidR="004A26DB" w:rsidRPr="000771B7" w:rsidTr="007E30B4">
        <w:tc>
          <w:tcPr>
            <w:tcW w:w="2268" w:type="dxa"/>
          </w:tcPr>
          <w:p w:rsidR="004A26DB" w:rsidRPr="000771B7" w:rsidRDefault="004A26DB" w:rsidP="00C46E66">
            <w:pPr>
              <w:pStyle w:val="ListParagraph"/>
              <w:keepNext/>
              <w:keepLines/>
              <w:widowControl/>
              <w:snapToGrid w:val="0"/>
              <w:ind w:left="0"/>
              <w:rPr>
                <w:rFonts w:ascii="Arial Narrow" w:hAnsi="Arial Narrow" w:cs="Times New Roman"/>
                <w:sz w:val="19"/>
                <w:szCs w:val="19"/>
              </w:rPr>
            </w:pPr>
            <w:r>
              <w:rPr>
                <w:rFonts w:ascii="Arial Narrow" w:hAnsi="Arial Narrow" w:cs="Times New Roman"/>
                <w:sz w:val="19"/>
                <w:szCs w:val="19"/>
              </w:rPr>
              <w:t>Baumgartner 2013 (ALO-up)</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134"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NA</w:t>
            </w:r>
          </w:p>
        </w:tc>
        <w:tc>
          <w:tcPr>
            <w:tcW w:w="1086"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745/1732 (43)</w:t>
            </w:r>
          </w:p>
        </w:tc>
        <w:tc>
          <w:tcPr>
            <w:tcW w:w="2032"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r>
      <w:tr w:rsidR="004A26DB" w:rsidRPr="000771B7" w:rsidTr="007E30B4">
        <w:tc>
          <w:tcPr>
            <w:tcW w:w="2268" w:type="dxa"/>
          </w:tcPr>
          <w:p w:rsidR="004A26DB" w:rsidRDefault="004A26DB" w:rsidP="00C46E66">
            <w:pPr>
              <w:pStyle w:val="ListParagraph"/>
              <w:keepNext/>
              <w:keepLines/>
              <w:widowControl/>
              <w:snapToGrid w:val="0"/>
              <w:ind w:left="0"/>
              <w:rPr>
                <w:rFonts w:ascii="Arial Narrow" w:hAnsi="Arial Narrow" w:cs="Times New Roman"/>
                <w:sz w:val="19"/>
                <w:szCs w:val="19"/>
              </w:rPr>
            </w:pPr>
            <w:r>
              <w:rPr>
                <w:rFonts w:ascii="Arial Narrow" w:hAnsi="Arial Narrow" w:cs="Times New Roman"/>
                <w:sz w:val="19"/>
                <w:szCs w:val="19"/>
              </w:rPr>
              <w:t>Perez-Ruiz 1998 (ALO-up)</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134"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NA</w:t>
            </w:r>
          </w:p>
        </w:tc>
        <w:tc>
          <w:tcPr>
            <w:tcW w:w="1086"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23/23 (100)</w:t>
            </w:r>
          </w:p>
        </w:tc>
        <w:tc>
          <w:tcPr>
            <w:tcW w:w="2032"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r>
      <w:tr w:rsidR="004A26DB" w:rsidRPr="000771B7" w:rsidTr="007E30B4">
        <w:tc>
          <w:tcPr>
            <w:tcW w:w="2268" w:type="dxa"/>
          </w:tcPr>
          <w:p w:rsidR="004A26DB" w:rsidRDefault="004A26DB" w:rsidP="00C46E66">
            <w:pPr>
              <w:pStyle w:val="ListParagraph"/>
              <w:keepNext/>
              <w:keepLines/>
              <w:widowControl/>
              <w:snapToGrid w:val="0"/>
              <w:ind w:left="0"/>
              <w:rPr>
                <w:rFonts w:ascii="Arial Narrow" w:hAnsi="Arial Narrow" w:cs="Times New Roman"/>
                <w:sz w:val="19"/>
                <w:szCs w:val="19"/>
              </w:rPr>
            </w:pPr>
            <w:proofErr w:type="spellStart"/>
            <w:r>
              <w:rPr>
                <w:rFonts w:ascii="Arial Narrow" w:hAnsi="Arial Narrow" w:cs="Times New Roman"/>
                <w:sz w:val="19"/>
                <w:szCs w:val="19"/>
              </w:rPr>
              <w:t>Reinders</w:t>
            </w:r>
            <w:proofErr w:type="spellEnd"/>
            <w:r>
              <w:rPr>
                <w:rFonts w:ascii="Arial Narrow" w:hAnsi="Arial Narrow" w:cs="Times New Roman"/>
                <w:sz w:val="19"/>
                <w:szCs w:val="19"/>
              </w:rPr>
              <w:t xml:space="preserve"> 2009b (ALO-up)</w:t>
            </w:r>
          </w:p>
        </w:tc>
        <w:tc>
          <w:tcPr>
            <w:tcW w:w="1843"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p>
        </w:tc>
        <w:tc>
          <w:tcPr>
            <w:tcW w:w="1134"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NR</w:t>
            </w:r>
          </w:p>
        </w:tc>
        <w:tc>
          <w:tcPr>
            <w:tcW w:w="1086"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NA</w:t>
            </w:r>
          </w:p>
        </w:tc>
        <w:tc>
          <w:tcPr>
            <w:tcW w:w="2032"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p>
        </w:tc>
      </w:tr>
      <w:tr w:rsidR="004A26DB" w:rsidRPr="000771B7" w:rsidTr="007E30B4">
        <w:tc>
          <w:tcPr>
            <w:tcW w:w="2268" w:type="dxa"/>
          </w:tcPr>
          <w:p w:rsidR="004A26DB" w:rsidRDefault="004A26DB" w:rsidP="00C46E66">
            <w:pPr>
              <w:pStyle w:val="ListParagraph"/>
              <w:keepNext/>
              <w:keepLines/>
              <w:widowControl/>
              <w:snapToGrid w:val="0"/>
              <w:ind w:left="0"/>
              <w:rPr>
                <w:rFonts w:ascii="Arial Narrow" w:hAnsi="Arial Narrow" w:cs="Times New Roman"/>
                <w:sz w:val="19"/>
                <w:szCs w:val="19"/>
              </w:rPr>
            </w:pPr>
            <w:proofErr w:type="spellStart"/>
            <w:r>
              <w:rPr>
                <w:rFonts w:ascii="Arial Narrow" w:hAnsi="Arial Narrow" w:cs="Times New Roman"/>
                <w:sz w:val="19"/>
                <w:szCs w:val="19"/>
              </w:rPr>
              <w:t>Pui</w:t>
            </w:r>
            <w:proofErr w:type="spellEnd"/>
            <w:r>
              <w:rPr>
                <w:rFonts w:ascii="Arial Narrow" w:hAnsi="Arial Narrow" w:cs="Times New Roman"/>
                <w:sz w:val="19"/>
                <w:szCs w:val="19"/>
              </w:rPr>
              <w:t xml:space="preserve"> 2013 (ALO+PRO)</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134"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NA</w:t>
            </w:r>
          </w:p>
        </w:tc>
        <w:tc>
          <w:tcPr>
            <w:tcW w:w="1086"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10/27 (37)</w:t>
            </w:r>
          </w:p>
        </w:tc>
        <w:tc>
          <w:tcPr>
            <w:tcW w:w="2032"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r>
      <w:tr w:rsidR="004A26DB" w:rsidRPr="000771B7" w:rsidTr="007E30B4">
        <w:tc>
          <w:tcPr>
            <w:tcW w:w="2268" w:type="dxa"/>
          </w:tcPr>
          <w:p w:rsidR="004A26DB" w:rsidRDefault="004A26DB" w:rsidP="00C46E66">
            <w:pPr>
              <w:pStyle w:val="ListParagraph"/>
              <w:keepNext/>
              <w:keepLines/>
              <w:widowControl/>
              <w:snapToGrid w:val="0"/>
              <w:ind w:left="0"/>
              <w:rPr>
                <w:rFonts w:ascii="Arial Narrow" w:hAnsi="Arial Narrow" w:cs="Times New Roman"/>
                <w:sz w:val="19"/>
                <w:szCs w:val="19"/>
              </w:rPr>
            </w:pPr>
            <w:proofErr w:type="spellStart"/>
            <w:r>
              <w:rPr>
                <w:rFonts w:ascii="Arial Narrow" w:hAnsi="Arial Narrow" w:cs="Times New Roman"/>
                <w:sz w:val="19"/>
                <w:szCs w:val="19"/>
              </w:rPr>
              <w:t>Reinders</w:t>
            </w:r>
            <w:proofErr w:type="spellEnd"/>
            <w:r>
              <w:rPr>
                <w:rFonts w:ascii="Arial Narrow" w:hAnsi="Arial Narrow" w:cs="Times New Roman"/>
                <w:sz w:val="19"/>
                <w:szCs w:val="19"/>
              </w:rPr>
              <w:t xml:space="preserve"> 2007 (ALO+PRO)</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134"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12/14 (86)</w:t>
            </w:r>
          </w:p>
        </w:tc>
        <w:tc>
          <w:tcPr>
            <w:tcW w:w="1086"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14/14 (100)</w:t>
            </w:r>
          </w:p>
        </w:tc>
        <w:tc>
          <w:tcPr>
            <w:tcW w:w="2032"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r>
      <w:tr w:rsidR="004A26DB" w:rsidRPr="000771B7" w:rsidTr="007E30B4">
        <w:tc>
          <w:tcPr>
            <w:tcW w:w="2268" w:type="dxa"/>
          </w:tcPr>
          <w:p w:rsidR="004A26DB" w:rsidRDefault="004A26DB" w:rsidP="00C46E66">
            <w:pPr>
              <w:pStyle w:val="ListParagraph"/>
              <w:keepNext/>
              <w:keepLines/>
              <w:widowControl/>
              <w:snapToGrid w:val="0"/>
              <w:ind w:left="0"/>
              <w:rPr>
                <w:rFonts w:ascii="Arial Narrow" w:hAnsi="Arial Narrow" w:cs="Times New Roman"/>
                <w:sz w:val="19"/>
                <w:szCs w:val="19"/>
              </w:rPr>
            </w:pPr>
            <w:r>
              <w:rPr>
                <w:rFonts w:ascii="Arial Narrow" w:hAnsi="Arial Narrow" w:cs="Times New Roman"/>
                <w:sz w:val="19"/>
                <w:szCs w:val="19"/>
              </w:rPr>
              <w:t>Stocker 2011 (ALO+PRO)</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134"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NR</w:t>
            </w:r>
          </w:p>
        </w:tc>
        <w:tc>
          <w:tcPr>
            <w:tcW w:w="1086"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NA</w:t>
            </w:r>
          </w:p>
        </w:tc>
        <w:tc>
          <w:tcPr>
            <w:tcW w:w="2032"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r>
      <w:tr w:rsidR="004A26DB" w:rsidRPr="000771B7" w:rsidTr="007E30B4">
        <w:tc>
          <w:tcPr>
            <w:tcW w:w="2268" w:type="dxa"/>
            <w:vAlign w:val="center"/>
          </w:tcPr>
          <w:p w:rsidR="004A26DB" w:rsidRDefault="004A26DB" w:rsidP="00C46E66">
            <w:pPr>
              <w:pStyle w:val="ListParagraph"/>
              <w:keepNext/>
              <w:keepLines/>
              <w:widowControl/>
              <w:snapToGrid w:val="0"/>
              <w:ind w:left="0"/>
              <w:jc w:val="left"/>
              <w:rPr>
                <w:rFonts w:ascii="Arial Narrow" w:hAnsi="Arial Narrow" w:cs="Times New Roman"/>
                <w:sz w:val="19"/>
                <w:szCs w:val="19"/>
              </w:rPr>
            </w:pPr>
            <w:r>
              <w:rPr>
                <w:rFonts w:ascii="Arial Narrow" w:hAnsi="Arial Narrow" w:cs="Times New Roman"/>
                <w:sz w:val="19"/>
                <w:szCs w:val="19"/>
              </w:rPr>
              <w:t>TMX-67-203 – 12 months</w:t>
            </w:r>
          </w:p>
          <w:p w:rsidR="004A26DB" w:rsidRDefault="004A26DB" w:rsidP="00C46E66">
            <w:pPr>
              <w:pStyle w:val="ListParagraph"/>
              <w:keepNext/>
              <w:keepLines/>
              <w:widowControl/>
              <w:snapToGrid w:val="0"/>
              <w:ind w:left="0"/>
              <w:jc w:val="left"/>
              <w:rPr>
                <w:rFonts w:ascii="Arial Narrow" w:hAnsi="Arial Narrow" w:cs="Times New Roman"/>
                <w:sz w:val="19"/>
                <w:szCs w:val="19"/>
              </w:rPr>
            </w:pPr>
            <w:r>
              <w:rPr>
                <w:rFonts w:ascii="Arial Narrow" w:hAnsi="Arial Narrow" w:cs="Times New Roman"/>
                <w:sz w:val="19"/>
                <w:szCs w:val="19"/>
              </w:rPr>
              <w:tab/>
              <w:t>All patients had level of RI</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134"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086"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2032"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 xml:space="preserve">F40/80:14/31 (45); </w:t>
            </w:r>
          </w:p>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PBO: 0/32 (0)</w:t>
            </w:r>
          </w:p>
        </w:tc>
      </w:tr>
      <w:tr w:rsidR="004A26DB" w:rsidRPr="000771B7" w:rsidTr="008F7923">
        <w:tc>
          <w:tcPr>
            <w:tcW w:w="2268" w:type="dxa"/>
            <w:vAlign w:val="center"/>
          </w:tcPr>
          <w:p w:rsidR="004A26DB" w:rsidRDefault="004A26DB" w:rsidP="00C46E66">
            <w:pPr>
              <w:pStyle w:val="ListParagraph"/>
              <w:keepNext/>
              <w:keepLines/>
              <w:widowControl/>
              <w:snapToGrid w:val="0"/>
              <w:ind w:left="0"/>
              <w:jc w:val="left"/>
              <w:rPr>
                <w:rFonts w:ascii="Arial Narrow" w:hAnsi="Arial Narrow" w:cs="Times New Roman"/>
                <w:sz w:val="19"/>
                <w:szCs w:val="19"/>
              </w:rPr>
            </w:pPr>
            <w:r>
              <w:rPr>
                <w:rFonts w:ascii="Arial Narrow" w:hAnsi="Arial Narrow" w:cs="Times New Roman"/>
                <w:sz w:val="19"/>
                <w:szCs w:val="19"/>
              </w:rPr>
              <w:t>TMX-00-004 – 1 month</w:t>
            </w:r>
          </w:p>
          <w:p w:rsidR="004A26DB" w:rsidRDefault="004A26DB" w:rsidP="00C46E66">
            <w:pPr>
              <w:pStyle w:val="ListParagraph"/>
              <w:keepNext/>
              <w:keepLines/>
              <w:widowControl/>
              <w:snapToGrid w:val="0"/>
              <w:ind w:left="0"/>
              <w:jc w:val="left"/>
              <w:rPr>
                <w:rFonts w:ascii="Arial Narrow" w:hAnsi="Arial Narrow" w:cs="Times New Roman"/>
                <w:sz w:val="19"/>
                <w:szCs w:val="19"/>
              </w:rPr>
            </w:pPr>
            <w:r>
              <w:rPr>
                <w:rFonts w:ascii="Arial Narrow" w:hAnsi="Arial Narrow" w:cs="Times New Roman"/>
                <w:sz w:val="19"/>
                <w:szCs w:val="19"/>
              </w:rPr>
              <w:tab/>
              <w:t>RI sub-group</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134"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086"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2032"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FBX40: 9/18 (50)</w:t>
            </w:r>
          </w:p>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FBX80: 15/19 (79)</w:t>
            </w:r>
          </w:p>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PBO: 0/19 (0)</w:t>
            </w:r>
          </w:p>
        </w:tc>
      </w:tr>
      <w:tr w:rsidR="004A26DB" w:rsidRPr="000771B7" w:rsidTr="008F7923">
        <w:tc>
          <w:tcPr>
            <w:tcW w:w="2268" w:type="dxa"/>
            <w:vAlign w:val="center"/>
          </w:tcPr>
          <w:p w:rsidR="004A26DB" w:rsidRDefault="004A26DB" w:rsidP="00C46E66">
            <w:pPr>
              <w:pStyle w:val="ListParagraph"/>
              <w:keepNext/>
              <w:keepLines/>
              <w:widowControl/>
              <w:snapToGrid w:val="0"/>
              <w:ind w:left="0"/>
              <w:jc w:val="left"/>
              <w:rPr>
                <w:rFonts w:ascii="Arial Narrow" w:hAnsi="Arial Narrow" w:cs="Times New Roman"/>
                <w:sz w:val="19"/>
                <w:szCs w:val="19"/>
              </w:rPr>
            </w:pPr>
            <w:r>
              <w:rPr>
                <w:rFonts w:ascii="Arial Narrow" w:hAnsi="Arial Narrow" w:cs="Times New Roman"/>
                <w:sz w:val="19"/>
                <w:szCs w:val="19"/>
              </w:rPr>
              <w:t>FOCUS – 60 months</w:t>
            </w:r>
          </w:p>
          <w:p w:rsidR="004A26DB" w:rsidRDefault="004A26DB" w:rsidP="00C46E66">
            <w:pPr>
              <w:pStyle w:val="ListParagraph"/>
              <w:keepNext/>
              <w:keepLines/>
              <w:widowControl/>
              <w:snapToGrid w:val="0"/>
              <w:ind w:left="0"/>
              <w:jc w:val="left"/>
              <w:rPr>
                <w:rFonts w:ascii="Arial Narrow" w:hAnsi="Arial Narrow" w:cs="Times New Roman"/>
                <w:sz w:val="19"/>
                <w:szCs w:val="19"/>
              </w:rPr>
            </w:pPr>
            <w:r>
              <w:rPr>
                <w:rFonts w:ascii="Arial Narrow" w:hAnsi="Arial Narrow" w:cs="Times New Roman"/>
                <w:sz w:val="19"/>
                <w:szCs w:val="19"/>
              </w:rPr>
              <w:tab/>
              <w:t>RI sub-group</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134"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086"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2032"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FBX40: 3/3 (100)</w:t>
            </w:r>
          </w:p>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FBX80: 23/24 (96)</w:t>
            </w:r>
          </w:p>
        </w:tc>
      </w:tr>
      <w:tr w:rsidR="004A26DB" w:rsidRPr="000771B7" w:rsidTr="008F7923">
        <w:tc>
          <w:tcPr>
            <w:tcW w:w="2268" w:type="dxa"/>
            <w:vAlign w:val="center"/>
          </w:tcPr>
          <w:p w:rsidR="004A26DB" w:rsidRDefault="004A26DB" w:rsidP="00C46E66">
            <w:pPr>
              <w:pStyle w:val="ListParagraph"/>
              <w:keepNext/>
              <w:keepLines/>
              <w:widowControl/>
              <w:snapToGrid w:val="0"/>
              <w:ind w:left="0"/>
              <w:jc w:val="left"/>
              <w:rPr>
                <w:rFonts w:ascii="Arial Narrow" w:hAnsi="Arial Narrow" w:cs="Times New Roman"/>
                <w:sz w:val="19"/>
                <w:szCs w:val="19"/>
              </w:rPr>
            </w:pPr>
            <w:r>
              <w:rPr>
                <w:rFonts w:ascii="Arial Narrow" w:hAnsi="Arial Narrow" w:cs="Times New Roman"/>
                <w:sz w:val="19"/>
                <w:szCs w:val="19"/>
              </w:rPr>
              <w:t>CONFIRMS – 6 months</w:t>
            </w:r>
          </w:p>
          <w:p w:rsidR="004A26DB" w:rsidRDefault="004A26DB" w:rsidP="00C46E66">
            <w:pPr>
              <w:pStyle w:val="ListParagraph"/>
              <w:keepNext/>
              <w:keepLines/>
              <w:widowControl/>
              <w:snapToGrid w:val="0"/>
              <w:ind w:left="0"/>
              <w:jc w:val="left"/>
              <w:rPr>
                <w:rFonts w:ascii="Arial Narrow" w:hAnsi="Arial Narrow" w:cs="Times New Roman"/>
                <w:sz w:val="19"/>
                <w:szCs w:val="19"/>
              </w:rPr>
            </w:pPr>
            <w:r>
              <w:rPr>
                <w:rFonts w:ascii="Arial Narrow" w:hAnsi="Arial Narrow" w:cs="Times New Roman"/>
                <w:sz w:val="19"/>
                <w:szCs w:val="19"/>
              </w:rPr>
              <w:tab/>
              <w:t>RI sub-group</w:t>
            </w:r>
          </w:p>
        </w:tc>
        <w:tc>
          <w:tcPr>
            <w:tcW w:w="1843" w:type="dxa"/>
            <w:vAlign w:val="center"/>
          </w:tcPr>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134"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1086"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w:t>
            </w:r>
          </w:p>
        </w:tc>
        <w:tc>
          <w:tcPr>
            <w:tcW w:w="2032" w:type="dxa"/>
            <w:vAlign w:val="center"/>
          </w:tcPr>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FBX40: 56/130 (43)</w:t>
            </w:r>
          </w:p>
          <w:p w:rsidR="004A26DB"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FBX80: 97/136 (71)</w:t>
            </w:r>
          </w:p>
          <w:p w:rsidR="004A26DB" w:rsidRPr="000771B7" w:rsidRDefault="004A26DB" w:rsidP="00C46E66">
            <w:pPr>
              <w:pStyle w:val="ListParagraph"/>
              <w:keepNext/>
              <w:keepLines/>
              <w:widowControl/>
              <w:snapToGrid w:val="0"/>
              <w:ind w:left="0"/>
              <w:jc w:val="center"/>
              <w:rPr>
                <w:rFonts w:ascii="Arial Narrow" w:hAnsi="Arial Narrow" w:cs="Times New Roman"/>
                <w:sz w:val="19"/>
                <w:szCs w:val="19"/>
              </w:rPr>
            </w:pPr>
            <w:r>
              <w:rPr>
                <w:rFonts w:ascii="Arial Narrow" w:hAnsi="Arial Narrow" w:cs="Times New Roman"/>
                <w:sz w:val="19"/>
                <w:szCs w:val="19"/>
              </w:rPr>
              <w:t>ALO200: 43/136 (32)</w:t>
            </w:r>
          </w:p>
        </w:tc>
      </w:tr>
    </w:tbl>
    <w:p w:rsidR="004A26DB" w:rsidRPr="00395981" w:rsidRDefault="004A26DB" w:rsidP="004A26DB">
      <w:pPr>
        <w:pStyle w:val="ListParagraph"/>
        <w:keepNext/>
        <w:keepLines/>
        <w:widowControl/>
        <w:snapToGrid w:val="0"/>
        <w:ind w:left="862"/>
        <w:rPr>
          <w:rFonts w:ascii="Arial Narrow" w:hAnsi="Arial Narrow" w:cs="Times New Roman"/>
          <w:sz w:val="18"/>
        </w:rPr>
      </w:pPr>
      <w:r w:rsidRPr="00395981">
        <w:rPr>
          <w:rFonts w:ascii="Arial Narrow" w:hAnsi="Arial Narrow" w:cs="Times New Roman"/>
          <w:sz w:val="18"/>
        </w:rPr>
        <w:t>NA=not applicable as it was not a measured outcome, NR=not reported</w:t>
      </w:r>
    </w:p>
    <w:p w:rsidR="004A26DB" w:rsidRPr="003A1B50" w:rsidRDefault="004A26DB" w:rsidP="003A1B50">
      <w:pPr>
        <w:widowControl/>
        <w:snapToGrid w:val="0"/>
        <w:rPr>
          <w:szCs w:val="22"/>
        </w:rPr>
      </w:pPr>
    </w:p>
    <w:p w:rsidR="004A26DB" w:rsidRDefault="00A46D5C" w:rsidP="00C311A5">
      <w:pPr>
        <w:pStyle w:val="ListParagraph"/>
        <w:widowControl/>
        <w:numPr>
          <w:ilvl w:val="1"/>
          <w:numId w:val="2"/>
        </w:numPr>
        <w:snapToGrid w:val="0"/>
        <w:ind w:left="709" w:hanging="709"/>
        <w:rPr>
          <w:szCs w:val="22"/>
        </w:rPr>
      </w:pPr>
      <w:r w:rsidRPr="004A26DB">
        <w:rPr>
          <w:szCs w:val="22"/>
        </w:rPr>
        <w:t xml:space="preserve">Data from </w:t>
      </w:r>
      <w:proofErr w:type="spellStart"/>
      <w:r w:rsidRPr="004A26DB">
        <w:rPr>
          <w:szCs w:val="22"/>
        </w:rPr>
        <w:t>Chohan</w:t>
      </w:r>
      <w:proofErr w:type="spellEnd"/>
      <w:r w:rsidRPr="004A26DB">
        <w:rPr>
          <w:szCs w:val="22"/>
        </w:rPr>
        <w:t xml:space="preserve"> 2011 and </w:t>
      </w:r>
      <w:proofErr w:type="spellStart"/>
      <w:r w:rsidRPr="004A26DB">
        <w:rPr>
          <w:szCs w:val="22"/>
        </w:rPr>
        <w:t>Pui</w:t>
      </w:r>
      <w:proofErr w:type="spellEnd"/>
      <w:r w:rsidRPr="004A26DB">
        <w:rPr>
          <w:szCs w:val="22"/>
        </w:rPr>
        <w:t xml:space="preserve"> 2013 indicate</w:t>
      </w:r>
      <w:r w:rsidR="000233E1">
        <w:rPr>
          <w:szCs w:val="22"/>
        </w:rPr>
        <w:t>d</w:t>
      </w:r>
      <w:r w:rsidRPr="004A26DB">
        <w:rPr>
          <w:szCs w:val="22"/>
        </w:rPr>
        <w:t xml:space="preserve"> that patients with allopurinol intolerance respond</w:t>
      </w:r>
      <w:r w:rsidR="000233E1">
        <w:rPr>
          <w:szCs w:val="22"/>
        </w:rPr>
        <w:t>ed</w:t>
      </w:r>
      <w:r w:rsidRPr="004A26DB">
        <w:rPr>
          <w:szCs w:val="22"/>
        </w:rPr>
        <w:t xml:space="preserve"> to treatment with </w:t>
      </w:r>
      <w:proofErr w:type="spellStart"/>
      <w:r w:rsidRPr="004A26DB">
        <w:rPr>
          <w:szCs w:val="22"/>
        </w:rPr>
        <w:t>febuxostat</w:t>
      </w:r>
      <w:proofErr w:type="spellEnd"/>
      <w:r w:rsidRPr="004A26DB">
        <w:rPr>
          <w:szCs w:val="22"/>
        </w:rPr>
        <w:t xml:space="preserve"> or </w:t>
      </w:r>
      <w:proofErr w:type="spellStart"/>
      <w:r w:rsidRPr="004A26DB">
        <w:rPr>
          <w:szCs w:val="22"/>
        </w:rPr>
        <w:t>proben</w:t>
      </w:r>
      <w:r w:rsidR="007E30B4">
        <w:rPr>
          <w:szCs w:val="22"/>
        </w:rPr>
        <w:t>ecid</w:t>
      </w:r>
      <w:proofErr w:type="spellEnd"/>
      <w:r w:rsidR="007E30B4">
        <w:rPr>
          <w:szCs w:val="22"/>
        </w:rPr>
        <w:t xml:space="preserve"> in terms of </w:t>
      </w:r>
      <w:proofErr w:type="spellStart"/>
      <w:r w:rsidR="007E30B4">
        <w:rPr>
          <w:szCs w:val="22"/>
        </w:rPr>
        <w:t>sUA</w:t>
      </w:r>
      <w:proofErr w:type="spellEnd"/>
      <w:r w:rsidR="007E30B4">
        <w:rPr>
          <w:szCs w:val="22"/>
        </w:rPr>
        <w:t xml:space="preserve"> lowering. </w:t>
      </w:r>
      <w:r w:rsidRPr="004A26DB">
        <w:rPr>
          <w:szCs w:val="22"/>
        </w:rPr>
        <w:t>Although no com</w:t>
      </w:r>
      <w:r w:rsidR="000233E1">
        <w:rPr>
          <w:szCs w:val="22"/>
        </w:rPr>
        <w:t>parison between these studies wa</w:t>
      </w:r>
      <w:r w:rsidRPr="004A26DB">
        <w:rPr>
          <w:szCs w:val="22"/>
        </w:rPr>
        <w:t>s possible, the res</w:t>
      </w:r>
      <w:r w:rsidR="000233E1">
        <w:rPr>
          <w:szCs w:val="22"/>
        </w:rPr>
        <w:t xml:space="preserve">ponse rate to </w:t>
      </w:r>
      <w:proofErr w:type="spellStart"/>
      <w:r w:rsidR="000233E1">
        <w:rPr>
          <w:szCs w:val="22"/>
        </w:rPr>
        <w:t>febuxostat</w:t>
      </w:r>
      <w:proofErr w:type="spellEnd"/>
      <w:r w:rsidR="000233E1">
        <w:rPr>
          <w:szCs w:val="22"/>
        </w:rPr>
        <w:t xml:space="preserve"> appeared</w:t>
      </w:r>
      <w:r w:rsidRPr="004A26DB">
        <w:rPr>
          <w:szCs w:val="22"/>
        </w:rPr>
        <w:t xml:space="preserve"> to be higher</w:t>
      </w:r>
      <w:r w:rsidR="00B052CE">
        <w:rPr>
          <w:szCs w:val="22"/>
        </w:rPr>
        <w:t>.</w:t>
      </w:r>
      <w:r w:rsidRPr="004A26DB">
        <w:rPr>
          <w:szCs w:val="22"/>
        </w:rPr>
        <w:t xml:space="preserve"> </w:t>
      </w:r>
      <w:r w:rsidR="00B052CE">
        <w:rPr>
          <w:szCs w:val="22"/>
        </w:rPr>
        <w:t>T</w:t>
      </w:r>
      <w:r w:rsidRPr="004A26DB">
        <w:rPr>
          <w:szCs w:val="22"/>
        </w:rPr>
        <w:t xml:space="preserve">his may </w:t>
      </w:r>
      <w:r w:rsidR="000233E1">
        <w:rPr>
          <w:szCs w:val="22"/>
        </w:rPr>
        <w:t xml:space="preserve">have </w:t>
      </w:r>
      <w:r w:rsidRPr="004A26DB">
        <w:rPr>
          <w:szCs w:val="22"/>
        </w:rPr>
        <w:t>be</w:t>
      </w:r>
      <w:r w:rsidR="000233E1">
        <w:rPr>
          <w:szCs w:val="22"/>
        </w:rPr>
        <w:t>en</w:t>
      </w:r>
      <w:r w:rsidRPr="004A26DB">
        <w:rPr>
          <w:szCs w:val="22"/>
        </w:rPr>
        <w:t xml:space="preserve"> due to the dose of </w:t>
      </w:r>
      <w:proofErr w:type="spellStart"/>
      <w:r w:rsidRPr="004A26DB">
        <w:rPr>
          <w:szCs w:val="22"/>
        </w:rPr>
        <w:t>febuxostat</w:t>
      </w:r>
      <w:proofErr w:type="spellEnd"/>
      <w:r w:rsidRPr="004A26DB">
        <w:rPr>
          <w:szCs w:val="22"/>
        </w:rPr>
        <w:t xml:space="preserve"> being optimised for individual patients and the possibility that </w:t>
      </w:r>
      <w:proofErr w:type="spellStart"/>
      <w:r w:rsidRPr="004A26DB">
        <w:rPr>
          <w:szCs w:val="22"/>
        </w:rPr>
        <w:t>probenecid</w:t>
      </w:r>
      <w:proofErr w:type="spellEnd"/>
      <w:r w:rsidRPr="004A26DB">
        <w:rPr>
          <w:szCs w:val="22"/>
        </w:rPr>
        <w:t xml:space="preserve"> was being used a</w:t>
      </w:r>
      <w:r w:rsidR="000233E1">
        <w:rPr>
          <w:szCs w:val="22"/>
        </w:rPr>
        <w:t>t</w:t>
      </w:r>
      <w:r w:rsidRPr="004A26DB">
        <w:rPr>
          <w:szCs w:val="22"/>
        </w:rPr>
        <w:t xml:space="preserve"> sub-therapeutic doses (1.29</w:t>
      </w:r>
      <w:r w:rsidR="004A26DB">
        <w:rPr>
          <w:szCs w:val="22"/>
        </w:rPr>
        <w:t xml:space="preserve"> </w:t>
      </w:r>
      <w:r w:rsidRPr="004A26DB">
        <w:rPr>
          <w:szCs w:val="22"/>
        </w:rPr>
        <w:t>g, with 2</w:t>
      </w:r>
      <w:r w:rsidR="004A26DB">
        <w:rPr>
          <w:szCs w:val="22"/>
        </w:rPr>
        <w:t xml:space="preserve"> </w:t>
      </w:r>
      <w:r w:rsidRPr="004A26DB">
        <w:rPr>
          <w:szCs w:val="22"/>
        </w:rPr>
        <w:t xml:space="preserve">g being the maximum dose). </w:t>
      </w:r>
    </w:p>
    <w:p w:rsidR="004A26DB" w:rsidRDefault="004A26DB" w:rsidP="008F7923">
      <w:pPr>
        <w:pStyle w:val="ListParagraph"/>
        <w:widowControl/>
        <w:snapToGrid w:val="0"/>
        <w:ind w:left="709" w:hanging="709"/>
        <w:rPr>
          <w:szCs w:val="22"/>
        </w:rPr>
      </w:pPr>
    </w:p>
    <w:p w:rsidR="005455AA" w:rsidRDefault="005455AA" w:rsidP="00C311A5">
      <w:pPr>
        <w:pStyle w:val="ListParagraph"/>
        <w:widowControl/>
        <w:numPr>
          <w:ilvl w:val="1"/>
          <w:numId w:val="2"/>
        </w:numPr>
        <w:snapToGrid w:val="0"/>
        <w:ind w:left="709" w:hanging="709"/>
        <w:rPr>
          <w:szCs w:val="22"/>
        </w:rPr>
      </w:pPr>
      <w:r w:rsidRPr="004A26DB">
        <w:rPr>
          <w:szCs w:val="22"/>
        </w:rPr>
        <w:t>Allopurinol up-titration, or t</w:t>
      </w:r>
      <w:r w:rsidR="000233E1">
        <w:rPr>
          <w:szCs w:val="22"/>
        </w:rPr>
        <w:t>he addition of</w:t>
      </w:r>
      <w:r w:rsidR="00B13F11">
        <w:rPr>
          <w:szCs w:val="22"/>
        </w:rPr>
        <w:t>/</w:t>
      </w:r>
      <w:r w:rsidR="000233E1">
        <w:rPr>
          <w:szCs w:val="22"/>
        </w:rPr>
        <w:t>switching to</w:t>
      </w:r>
      <w:r w:rsidRPr="004A26DB">
        <w:rPr>
          <w:szCs w:val="22"/>
        </w:rPr>
        <w:t xml:space="preserve"> </w:t>
      </w:r>
      <w:proofErr w:type="spellStart"/>
      <w:r w:rsidRPr="004A26DB">
        <w:rPr>
          <w:szCs w:val="22"/>
        </w:rPr>
        <w:t>probenecid</w:t>
      </w:r>
      <w:proofErr w:type="spellEnd"/>
      <w:r w:rsidRPr="004A26DB">
        <w:rPr>
          <w:szCs w:val="22"/>
        </w:rPr>
        <w:t xml:space="preserve"> amongs</w:t>
      </w:r>
      <w:r w:rsidR="000233E1">
        <w:rPr>
          <w:szCs w:val="22"/>
        </w:rPr>
        <w:t>t those who we</w:t>
      </w:r>
      <w:r w:rsidRPr="004A26DB">
        <w:rPr>
          <w:szCs w:val="22"/>
        </w:rPr>
        <w:t xml:space="preserve">re allopurinol insufficient led to 37-100% of patients achieving </w:t>
      </w:r>
      <w:proofErr w:type="spellStart"/>
      <w:r w:rsidRPr="004A26DB">
        <w:rPr>
          <w:szCs w:val="22"/>
        </w:rPr>
        <w:t>sUA</w:t>
      </w:r>
      <w:proofErr w:type="spellEnd"/>
      <w:r w:rsidR="000233E1">
        <w:rPr>
          <w:szCs w:val="22"/>
        </w:rPr>
        <w:t xml:space="preserve"> levels</w:t>
      </w:r>
      <w:r w:rsidRPr="004A26DB">
        <w:rPr>
          <w:szCs w:val="22"/>
        </w:rPr>
        <w:t xml:space="preserve"> &lt;357</w:t>
      </w:r>
      <w:r w:rsidR="006E6D2F">
        <w:rPr>
          <w:szCs w:val="22"/>
        </w:rPr>
        <w:t> </w:t>
      </w:r>
      <w:r w:rsidRPr="004A26DB">
        <w:rPr>
          <w:szCs w:val="22"/>
        </w:rPr>
        <w:t>µ</w:t>
      </w:r>
      <w:proofErr w:type="spellStart"/>
      <w:r w:rsidRPr="004A26DB">
        <w:rPr>
          <w:szCs w:val="22"/>
        </w:rPr>
        <w:t>mol</w:t>
      </w:r>
      <w:proofErr w:type="spellEnd"/>
      <w:r w:rsidRPr="004A26DB">
        <w:rPr>
          <w:szCs w:val="22"/>
        </w:rPr>
        <w:t>/l.</w:t>
      </w:r>
    </w:p>
    <w:p w:rsidR="004A26DB" w:rsidRDefault="004A26DB" w:rsidP="008F7923">
      <w:pPr>
        <w:pStyle w:val="ListParagraph"/>
        <w:widowControl/>
        <w:snapToGrid w:val="0"/>
        <w:ind w:left="709" w:hanging="709"/>
        <w:rPr>
          <w:szCs w:val="22"/>
        </w:rPr>
      </w:pPr>
    </w:p>
    <w:p w:rsidR="00A46D5C" w:rsidRPr="004A26DB" w:rsidRDefault="00A46D5C" w:rsidP="00C311A5">
      <w:pPr>
        <w:pStyle w:val="ListParagraph"/>
        <w:widowControl/>
        <w:numPr>
          <w:ilvl w:val="1"/>
          <w:numId w:val="2"/>
        </w:numPr>
        <w:snapToGrid w:val="0"/>
        <w:ind w:left="709" w:hanging="709"/>
        <w:rPr>
          <w:szCs w:val="22"/>
        </w:rPr>
      </w:pPr>
      <w:r>
        <w:t>A statistically significantly greater proportion of pati</w:t>
      </w:r>
      <w:r w:rsidR="008F7923">
        <w:t xml:space="preserve">ents treated with </w:t>
      </w:r>
      <w:proofErr w:type="spellStart"/>
      <w:r w:rsidR="008F7923">
        <w:t>febuxostat</w:t>
      </w:r>
      <w:proofErr w:type="spellEnd"/>
      <w:r w:rsidR="008F7923">
        <w:t xml:space="preserve"> 40 </w:t>
      </w:r>
      <w:r w:rsidR="008C7B04">
        <w:t xml:space="preserve">mg </w:t>
      </w:r>
      <w:r>
        <w:t>and 80</w:t>
      </w:r>
      <w:r w:rsidR="008F7923">
        <w:t xml:space="preserve"> </w:t>
      </w:r>
      <w:r>
        <w:t xml:space="preserve">mg achieved target </w:t>
      </w:r>
      <w:proofErr w:type="spellStart"/>
      <w:r>
        <w:t>sUA</w:t>
      </w:r>
      <w:proofErr w:type="spellEnd"/>
      <w:r>
        <w:t xml:space="preserve"> doses in the TMX-67-203 and TMX-00-004  trials compared with those treated with placebo</w:t>
      </w:r>
      <w:r w:rsidR="00395981">
        <w:t xml:space="preserve"> (</w:t>
      </w:r>
      <w:r w:rsidR="000233E1">
        <w:t xml:space="preserve">in </w:t>
      </w:r>
      <w:r w:rsidR="00395981">
        <w:t xml:space="preserve">both </w:t>
      </w:r>
      <w:r w:rsidR="000233E1">
        <w:t xml:space="preserve">the </w:t>
      </w:r>
      <w:r w:rsidR="00395981">
        <w:t>ITT</w:t>
      </w:r>
      <w:r w:rsidR="000233E1">
        <w:t xml:space="preserve"> group</w:t>
      </w:r>
      <w:r w:rsidR="00395981">
        <w:t xml:space="preserve"> and in the renal impairment </w:t>
      </w:r>
      <w:r w:rsidR="00395981" w:rsidRPr="004A26DB">
        <w:rPr>
          <w:szCs w:val="22"/>
        </w:rPr>
        <w:t>sub</w:t>
      </w:r>
      <w:r w:rsidR="00395981">
        <w:t>-group)</w:t>
      </w:r>
      <w:r w:rsidR="003D695D">
        <w:t xml:space="preserve">. </w:t>
      </w:r>
      <w:r>
        <w:t xml:space="preserve">A statistically significantly greater proportion of patients treated with </w:t>
      </w:r>
      <w:proofErr w:type="spellStart"/>
      <w:r>
        <w:t>febuxostat</w:t>
      </w:r>
      <w:proofErr w:type="spellEnd"/>
      <w:r>
        <w:t xml:space="preserve"> 80</w:t>
      </w:r>
      <w:r w:rsidR="008F7923">
        <w:t xml:space="preserve"> </w:t>
      </w:r>
      <w:r>
        <w:t>mg achieved t</w:t>
      </w:r>
      <w:r w:rsidR="000233E1">
        <w:t xml:space="preserve">arget </w:t>
      </w:r>
      <w:proofErr w:type="spellStart"/>
      <w:r w:rsidR="000233E1">
        <w:t>sUA</w:t>
      </w:r>
      <w:proofErr w:type="spellEnd"/>
      <w:r w:rsidR="000233E1">
        <w:t xml:space="preserve"> doses in CONFIRMS. N</w:t>
      </w:r>
      <w:r>
        <w:t xml:space="preserve">o differences were observed when comparing </w:t>
      </w:r>
      <w:proofErr w:type="spellStart"/>
      <w:r>
        <w:t>febuxostat</w:t>
      </w:r>
      <w:proofErr w:type="spellEnd"/>
      <w:r>
        <w:t xml:space="preserve"> 40</w:t>
      </w:r>
      <w:r w:rsidR="00E87210">
        <w:t xml:space="preserve"> </w:t>
      </w:r>
      <w:r>
        <w:t xml:space="preserve">mg/day </w:t>
      </w:r>
      <w:r w:rsidR="00395981">
        <w:t>with allopurinol (300</w:t>
      </w:r>
      <w:r w:rsidR="008F7923">
        <w:t> </w:t>
      </w:r>
      <w:r w:rsidR="007850BF">
        <w:t xml:space="preserve">mg/day in </w:t>
      </w:r>
      <w:r w:rsidR="006E6D2F">
        <w:t xml:space="preserve">the </w:t>
      </w:r>
      <w:r w:rsidR="00A648AB">
        <w:t xml:space="preserve">absence of </w:t>
      </w:r>
      <w:r w:rsidR="007850BF">
        <w:t>renal-impairment</w:t>
      </w:r>
      <w:r w:rsidR="00395981">
        <w:t xml:space="preserve"> and 200</w:t>
      </w:r>
      <w:r w:rsidR="008F7923">
        <w:t xml:space="preserve"> </w:t>
      </w:r>
      <w:r w:rsidR="007850BF">
        <w:t>mg/day in renal-impairment</w:t>
      </w:r>
      <w:r w:rsidR="00395981">
        <w:t xml:space="preserve"> patients)</w:t>
      </w:r>
      <w:r>
        <w:t>.</w:t>
      </w:r>
    </w:p>
    <w:p w:rsidR="00A46D5C" w:rsidRDefault="00A46D5C" w:rsidP="00FD6482">
      <w:pPr>
        <w:rPr>
          <w:szCs w:val="22"/>
        </w:rPr>
      </w:pPr>
    </w:p>
    <w:p w:rsidR="00FD6482" w:rsidRPr="00FD6482" w:rsidRDefault="00FD6482" w:rsidP="00FD6482">
      <w:pPr>
        <w:ind w:left="680"/>
        <w:rPr>
          <w:szCs w:val="22"/>
        </w:rPr>
      </w:pPr>
      <w:r w:rsidRPr="00FD6482">
        <w:rPr>
          <w:i/>
          <w:szCs w:val="22"/>
        </w:rPr>
        <w:t>For more detail on PBAC’s view, see section 7 “PBAC outcome”</w:t>
      </w:r>
      <w:r>
        <w:rPr>
          <w:i/>
          <w:szCs w:val="22"/>
        </w:rPr>
        <w:t>.</w:t>
      </w:r>
      <w:r w:rsidRPr="00FD6482">
        <w:rPr>
          <w:i/>
          <w:szCs w:val="22"/>
        </w:rPr>
        <w:t xml:space="preserve"> </w:t>
      </w:r>
    </w:p>
    <w:p w:rsidR="00FD6482" w:rsidRDefault="00FD6482" w:rsidP="00FD6482">
      <w:pPr>
        <w:ind w:left="680"/>
        <w:rPr>
          <w:szCs w:val="22"/>
        </w:rPr>
      </w:pPr>
    </w:p>
    <w:p w:rsidR="006F70CF" w:rsidRPr="00297299" w:rsidRDefault="006F70CF" w:rsidP="004958E3">
      <w:pPr>
        <w:pStyle w:val="Heading2"/>
      </w:pPr>
      <w:bookmarkStart w:id="17" w:name="_Toc280358245"/>
      <w:bookmarkStart w:id="18" w:name="_Toc409518440"/>
      <w:r w:rsidRPr="006F0003">
        <w:t>Harms</w:t>
      </w:r>
      <w:bookmarkEnd w:id="17"/>
      <w:bookmarkEnd w:id="18"/>
    </w:p>
    <w:p w:rsidR="006F70CF" w:rsidRDefault="006F70CF" w:rsidP="006F70CF"/>
    <w:p w:rsidR="00BF0C6E" w:rsidRDefault="00334885" w:rsidP="00C311A5">
      <w:pPr>
        <w:pStyle w:val="ListParagraph"/>
        <w:widowControl/>
        <w:numPr>
          <w:ilvl w:val="1"/>
          <w:numId w:val="2"/>
        </w:numPr>
        <w:snapToGrid w:val="0"/>
        <w:ind w:left="709" w:hanging="709"/>
      </w:pPr>
      <w:r>
        <w:t>The table below</w:t>
      </w:r>
      <w:r w:rsidR="00D82155">
        <w:t xml:space="preserve"> summarises the proportion of patients discontinuing treatment due to an adverse event.</w:t>
      </w:r>
    </w:p>
    <w:p w:rsidR="004A26DB" w:rsidRDefault="004A26DB" w:rsidP="004A26DB">
      <w:pPr>
        <w:pStyle w:val="ListParagraph"/>
        <w:widowControl/>
        <w:snapToGrid w:val="0"/>
        <w:ind w:left="862"/>
      </w:pPr>
    </w:p>
    <w:p w:rsidR="004A26DB" w:rsidRDefault="004A26DB" w:rsidP="00403C6D">
      <w:pPr>
        <w:keepNext/>
        <w:keepLines/>
        <w:ind w:firstLine="709"/>
        <w:rPr>
          <w:rFonts w:ascii="Arial Narrow" w:hAnsi="Arial Narrow"/>
          <w:sz w:val="20"/>
        </w:rPr>
      </w:pPr>
      <w:r>
        <w:rPr>
          <w:rStyle w:val="CommentReference"/>
        </w:rPr>
        <w:lastRenderedPageBreak/>
        <w:t>P</w:t>
      </w:r>
      <w:r w:rsidRPr="00F40CC8">
        <w:rPr>
          <w:rStyle w:val="CommentReference"/>
        </w:rPr>
        <w:t xml:space="preserve">roportion of patients </w:t>
      </w:r>
      <w:r w:rsidRPr="00D82155">
        <w:rPr>
          <w:rStyle w:val="CommentReference"/>
        </w:rPr>
        <w:t>discontinuing tr</w:t>
      </w:r>
      <w:r>
        <w:rPr>
          <w:rStyle w:val="CommentReference"/>
        </w:rPr>
        <w:t>eatment due to an adverse event</w:t>
      </w:r>
    </w:p>
    <w:tbl>
      <w:tblPr>
        <w:tblStyle w:val="TableGrid"/>
        <w:tblW w:w="0" w:type="auto"/>
        <w:tblInd w:w="737" w:type="dxa"/>
        <w:tblCellMar>
          <w:left w:w="28" w:type="dxa"/>
          <w:right w:w="28" w:type="dxa"/>
        </w:tblCellMar>
        <w:tblLook w:val="04A0" w:firstRow="1" w:lastRow="0" w:firstColumn="1" w:lastColumn="0" w:noHBand="0" w:noVBand="1"/>
        <w:tblCaption w:val="Adverse event information"/>
      </w:tblPr>
      <w:tblGrid>
        <w:gridCol w:w="2265"/>
        <w:gridCol w:w="2026"/>
        <w:gridCol w:w="2027"/>
        <w:gridCol w:w="2027"/>
      </w:tblGrid>
      <w:tr w:rsidR="004A26DB" w:rsidTr="00403C6D">
        <w:tc>
          <w:tcPr>
            <w:tcW w:w="2265" w:type="dxa"/>
          </w:tcPr>
          <w:p w:rsidR="004A26DB" w:rsidRDefault="004A26DB" w:rsidP="00C46E66">
            <w:pPr>
              <w:pStyle w:val="ListParagraph"/>
              <w:keepNext/>
              <w:keepLines/>
              <w:widowControl/>
              <w:snapToGrid w:val="0"/>
              <w:ind w:left="0"/>
              <w:rPr>
                <w:rFonts w:ascii="Arial Narrow" w:hAnsi="Arial Narrow"/>
                <w:sz w:val="20"/>
              </w:rPr>
            </w:pP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sidRPr="000771B7">
              <w:rPr>
                <w:rFonts w:ascii="Arial Narrow" w:hAnsi="Arial Narrow" w:cs="Times New Roman"/>
                <w:b/>
                <w:sz w:val="19"/>
                <w:szCs w:val="19"/>
              </w:rPr>
              <w:t>ALO inappropriate</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sidRPr="000771B7">
              <w:rPr>
                <w:rFonts w:ascii="Arial Narrow" w:hAnsi="Arial Narrow" w:cs="Times New Roman"/>
                <w:b/>
                <w:sz w:val="19"/>
                <w:szCs w:val="19"/>
              </w:rPr>
              <w:t>ALO insufficient</w:t>
            </w:r>
          </w:p>
        </w:tc>
        <w:tc>
          <w:tcPr>
            <w:tcW w:w="2027" w:type="dxa"/>
            <w:vAlign w:val="center"/>
          </w:tcPr>
          <w:p w:rsidR="004A26DB" w:rsidRDefault="007850BF" w:rsidP="00C46E66">
            <w:pPr>
              <w:pStyle w:val="ListParagraph"/>
              <w:keepNext/>
              <w:keepLines/>
              <w:widowControl/>
              <w:snapToGrid w:val="0"/>
              <w:ind w:left="0"/>
              <w:jc w:val="center"/>
              <w:rPr>
                <w:rFonts w:ascii="Arial Narrow" w:hAnsi="Arial Narrow"/>
                <w:sz w:val="20"/>
              </w:rPr>
            </w:pPr>
            <w:r>
              <w:rPr>
                <w:rFonts w:ascii="Arial Narrow" w:hAnsi="Arial Narrow" w:cs="Times New Roman"/>
                <w:b/>
                <w:sz w:val="19"/>
                <w:szCs w:val="19"/>
              </w:rPr>
              <w:t>Renal Impairment (RI)</w:t>
            </w:r>
          </w:p>
        </w:tc>
      </w:tr>
      <w:tr w:rsidR="004A26DB" w:rsidTr="00403C6D">
        <w:tc>
          <w:tcPr>
            <w:tcW w:w="2265" w:type="dxa"/>
          </w:tcPr>
          <w:p w:rsidR="004A26DB" w:rsidRDefault="004A26DB" w:rsidP="00C46E66">
            <w:pPr>
              <w:pStyle w:val="ListParagraph"/>
              <w:keepNext/>
              <w:keepLines/>
              <w:widowControl/>
              <w:snapToGrid w:val="0"/>
              <w:ind w:left="0"/>
              <w:rPr>
                <w:rFonts w:ascii="Arial Narrow" w:hAnsi="Arial Narrow"/>
                <w:sz w:val="20"/>
              </w:rPr>
            </w:pPr>
            <w:proofErr w:type="spellStart"/>
            <w:r w:rsidRPr="000771B7">
              <w:rPr>
                <w:rFonts w:ascii="Arial Narrow" w:hAnsi="Arial Narrow" w:cs="Times New Roman"/>
                <w:sz w:val="19"/>
                <w:szCs w:val="19"/>
              </w:rPr>
              <w:t>Chohan</w:t>
            </w:r>
            <w:proofErr w:type="spellEnd"/>
            <w:r w:rsidRPr="000771B7">
              <w:rPr>
                <w:rFonts w:ascii="Arial Narrow" w:hAnsi="Arial Narrow" w:cs="Times New Roman"/>
                <w:sz w:val="19"/>
                <w:szCs w:val="19"/>
              </w:rPr>
              <w:t xml:space="preserve"> 2011 (FBX)</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1/13 (8)</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r>
      <w:tr w:rsidR="004A26DB" w:rsidTr="00403C6D">
        <w:tc>
          <w:tcPr>
            <w:tcW w:w="2265" w:type="dxa"/>
          </w:tcPr>
          <w:p w:rsidR="004A26DB" w:rsidRDefault="004A26DB" w:rsidP="00C46E66">
            <w:pPr>
              <w:pStyle w:val="ListParagraph"/>
              <w:keepNext/>
              <w:keepLines/>
              <w:widowControl/>
              <w:snapToGrid w:val="0"/>
              <w:ind w:left="0"/>
              <w:rPr>
                <w:rFonts w:ascii="Arial Narrow" w:hAnsi="Arial Narrow"/>
                <w:sz w:val="20"/>
              </w:rPr>
            </w:pPr>
            <w:proofErr w:type="spellStart"/>
            <w:r>
              <w:rPr>
                <w:rFonts w:ascii="Arial Narrow" w:hAnsi="Arial Narrow" w:cs="Times New Roman"/>
                <w:sz w:val="19"/>
                <w:szCs w:val="19"/>
              </w:rPr>
              <w:t>Pui</w:t>
            </w:r>
            <w:proofErr w:type="spellEnd"/>
            <w:r>
              <w:rPr>
                <w:rFonts w:ascii="Arial Narrow" w:hAnsi="Arial Narrow" w:cs="Times New Roman"/>
                <w:sz w:val="19"/>
                <w:szCs w:val="19"/>
              </w:rPr>
              <w:t xml:space="preserve"> 2013 (PRO &amp; ALO+PRO)</w:t>
            </w:r>
          </w:p>
        </w:tc>
        <w:tc>
          <w:tcPr>
            <w:tcW w:w="4053" w:type="dxa"/>
            <w:gridSpan w:val="2"/>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7/57 (12)</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r>
      <w:tr w:rsidR="004A26DB" w:rsidTr="00403C6D">
        <w:tc>
          <w:tcPr>
            <w:tcW w:w="2265" w:type="dxa"/>
          </w:tcPr>
          <w:p w:rsidR="004A26DB" w:rsidRDefault="004A26DB" w:rsidP="00C46E66">
            <w:pPr>
              <w:pStyle w:val="ListParagraph"/>
              <w:keepNext/>
              <w:keepLines/>
              <w:widowControl/>
              <w:snapToGrid w:val="0"/>
              <w:ind w:left="0"/>
              <w:rPr>
                <w:rFonts w:ascii="Arial Narrow" w:hAnsi="Arial Narrow"/>
                <w:sz w:val="20"/>
              </w:rPr>
            </w:pPr>
            <w:proofErr w:type="spellStart"/>
            <w:r w:rsidRPr="000771B7">
              <w:rPr>
                <w:rFonts w:ascii="Arial Narrow" w:hAnsi="Arial Narrow" w:cs="Times New Roman"/>
                <w:sz w:val="19"/>
                <w:szCs w:val="19"/>
              </w:rPr>
              <w:t>Reinders</w:t>
            </w:r>
            <w:proofErr w:type="spellEnd"/>
            <w:r w:rsidRPr="000771B7">
              <w:rPr>
                <w:rFonts w:ascii="Arial Narrow" w:hAnsi="Arial Narrow" w:cs="Times New Roman"/>
                <w:sz w:val="19"/>
                <w:szCs w:val="19"/>
              </w:rPr>
              <w:t xml:space="preserve"> 2009a (PRO)</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8/31 (26)</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r>
      <w:tr w:rsidR="004A26DB" w:rsidTr="00403C6D">
        <w:tc>
          <w:tcPr>
            <w:tcW w:w="2265" w:type="dxa"/>
          </w:tcPr>
          <w:p w:rsidR="004A26DB" w:rsidRDefault="004A26DB" w:rsidP="00C46E66">
            <w:pPr>
              <w:pStyle w:val="ListParagraph"/>
              <w:keepNext/>
              <w:keepLines/>
              <w:widowControl/>
              <w:snapToGrid w:val="0"/>
              <w:ind w:left="0"/>
              <w:rPr>
                <w:rFonts w:ascii="Arial Narrow" w:hAnsi="Arial Narrow"/>
                <w:sz w:val="20"/>
              </w:rPr>
            </w:pPr>
            <w:r w:rsidRPr="000771B7">
              <w:rPr>
                <w:rFonts w:ascii="Arial Narrow" w:hAnsi="Arial Narrow" w:cs="Times New Roman"/>
                <w:sz w:val="19"/>
                <w:szCs w:val="19"/>
              </w:rPr>
              <w:t>Jennings 2014 (ALO-up)</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0/144 (0)</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r>
      <w:tr w:rsidR="004A26DB" w:rsidTr="00403C6D">
        <w:tc>
          <w:tcPr>
            <w:tcW w:w="2265" w:type="dxa"/>
          </w:tcPr>
          <w:p w:rsidR="004A26DB" w:rsidRDefault="004A26DB" w:rsidP="00C46E66">
            <w:pPr>
              <w:pStyle w:val="ListParagraph"/>
              <w:keepNext/>
              <w:keepLines/>
              <w:widowControl/>
              <w:snapToGrid w:val="0"/>
              <w:ind w:left="0"/>
              <w:rPr>
                <w:rFonts w:ascii="Arial Narrow" w:hAnsi="Arial Narrow"/>
                <w:sz w:val="20"/>
              </w:rPr>
            </w:pPr>
            <w:r>
              <w:rPr>
                <w:rFonts w:ascii="Arial Narrow" w:hAnsi="Arial Narrow" w:cs="Times New Roman"/>
                <w:sz w:val="19"/>
                <w:szCs w:val="19"/>
              </w:rPr>
              <w:t>Stamp 2011 (ALO-up)</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3/45 (7)</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r>
      <w:tr w:rsidR="004A26DB" w:rsidTr="00403C6D">
        <w:tc>
          <w:tcPr>
            <w:tcW w:w="2265" w:type="dxa"/>
          </w:tcPr>
          <w:p w:rsidR="004A26DB" w:rsidRDefault="004A26DB" w:rsidP="00C46E66">
            <w:pPr>
              <w:pStyle w:val="ListParagraph"/>
              <w:keepNext/>
              <w:keepLines/>
              <w:widowControl/>
              <w:snapToGrid w:val="0"/>
              <w:ind w:left="0"/>
              <w:rPr>
                <w:rFonts w:ascii="Arial Narrow" w:hAnsi="Arial Narrow"/>
                <w:sz w:val="20"/>
              </w:rPr>
            </w:pPr>
            <w:r>
              <w:rPr>
                <w:rFonts w:ascii="Arial Narrow" w:hAnsi="Arial Narrow" w:cs="Times New Roman"/>
                <w:sz w:val="19"/>
                <w:szCs w:val="19"/>
              </w:rPr>
              <w:t>Baumgartner 2013 (ALO-up)</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NR</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r>
      <w:tr w:rsidR="004A26DB" w:rsidTr="00403C6D">
        <w:tc>
          <w:tcPr>
            <w:tcW w:w="2265" w:type="dxa"/>
          </w:tcPr>
          <w:p w:rsidR="004A26DB" w:rsidRDefault="004A26DB" w:rsidP="00C46E66">
            <w:pPr>
              <w:pStyle w:val="ListParagraph"/>
              <w:keepNext/>
              <w:keepLines/>
              <w:widowControl/>
              <w:snapToGrid w:val="0"/>
              <w:ind w:left="0"/>
              <w:rPr>
                <w:rFonts w:ascii="Arial Narrow" w:hAnsi="Arial Narrow"/>
                <w:sz w:val="20"/>
              </w:rPr>
            </w:pPr>
            <w:r>
              <w:rPr>
                <w:rFonts w:ascii="Arial Narrow" w:hAnsi="Arial Narrow" w:cs="Times New Roman"/>
                <w:sz w:val="19"/>
                <w:szCs w:val="19"/>
              </w:rPr>
              <w:t>Perez-Ruiz 1998 (ALO-up)</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NR</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r>
      <w:tr w:rsidR="004A26DB" w:rsidTr="00403C6D">
        <w:tc>
          <w:tcPr>
            <w:tcW w:w="2265" w:type="dxa"/>
          </w:tcPr>
          <w:p w:rsidR="004A26DB" w:rsidRDefault="004A26DB" w:rsidP="00C46E66">
            <w:pPr>
              <w:pStyle w:val="ListParagraph"/>
              <w:keepNext/>
              <w:keepLines/>
              <w:widowControl/>
              <w:snapToGrid w:val="0"/>
              <w:ind w:left="0"/>
              <w:rPr>
                <w:rFonts w:ascii="Arial Narrow" w:hAnsi="Arial Narrow" w:cs="Times New Roman"/>
                <w:sz w:val="19"/>
                <w:szCs w:val="19"/>
              </w:rPr>
            </w:pPr>
            <w:proofErr w:type="spellStart"/>
            <w:r>
              <w:rPr>
                <w:rFonts w:ascii="Arial Narrow" w:hAnsi="Arial Narrow" w:cs="Times New Roman"/>
                <w:sz w:val="19"/>
                <w:szCs w:val="19"/>
              </w:rPr>
              <w:t>Reinders</w:t>
            </w:r>
            <w:proofErr w:type="spellEnd"/>
            <w:r>
              <w:rPr>
                <w:rFonts w:ascii="Arial Narrow" w:hAnsi="Arial Narrow" w:cs="Times New Roman"/>
                <w:sz w:val="19"/>
                <w:szCs w:val="19"/>
              </w:rPr>
              <w:t xml:space="preserve"> 2009b (ALO-up)</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0/17 (0)</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r>
      <w:tr w:rsidR="004A26DB" w:rsidTr="00403C6D">
        <w:tc>
          <w:tcPr>
            <w:tcW w:w="2265" w:type="dxa"/>
          </w:tcPr>
          <w:p w:rsidR="004A26DB" w:rsidRDefault="004A26DB" w:rsidP="00C46E66">
            <w:pPr>
              <w:pStyle w:val="ListParagraph"/>
              <w:keepNext/>
              <w:keepLines/>
              <w:widowControl/>
              <w:snapToGrid w:val="0"/>
              <w:ind w:left="0"/>
              <w:rPr>
                <w:rFonts w:ascii="Arial Narrow" w:hAnsi="Arial Narrow"/>
                <w:sz w:val="20"/>
              </w:rPr>
            </w:pPr>
            <w:proofErr w:type="spellStart"/>
            <w:r>
              <w:rPr>
                <w:rFonts w:ascii="Arial Narrow" w:hAnsi="Arial Narrow" w:cs="Times New Roman"/>
                <w:sz w:val="19"/>
                <w:szCs w:val="19"/>
              </w:rPr>
              <w:t>Reinders</w:t>
            </w:r>
            <w:proofErr w:type="spellEnd"/>
            <w:r>
              <w:rPr>
                <w:rFonts w:ascii="Arial Narrow" w:hAnsi="Arial Narrow" w:cs="Times New Roman"/>
                <w:sz w:val="19"/>
                <w:szCs w:val="19"/>
              </w:rPr>
              <w:t xml:space="preserve"> 2007 (ALO+PRO)</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0/14 (0)</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r>
      <w:tr w:rsidR="004A26DB" w:rsidTr="00403C6D">
        <w:tc>
          <w:tcPr>
            <w:tcW w:w="2265" w:type="dxa"/>
          </w:tcPr>
          <w:p w:rsidR="004A26DB" w:rsidRDefault="004A26DB" w:rsidP="00C46E66">
            <w:pPr>
              <w:pStyle w:val="ListParagraph"/>
              <w:keepNext/>
              <w:keepLines/>
              <w:widowControl/>
              <w:snapToGrid w:val="0"/>
              <w:ind w:left="0"/>
              <w:rPr>
                <w:rFonts w:ascii="Arial Narrow" w:hAnsi="Arial Narrow"/>
                <w:sz w:val="20"/>
              </w:rPr>
            </w:pPr>
            <w:r>
              <w:rPr>
                <w:rFonts w:ascii="Arial Narrow" w:hAnsi="Arial Narrow" w:cs="Times New Roman"/>
                <w:sz w:val="19"/>
                <w:szCs w:val="19"/>
              </w:rPr>
              <w:t>Stocker 2011 (ALO+PRO)</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0/20 (0)</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r>
      <w:tr w:rsidR="004A26DB" w:rsidTr="00403C6D">
        <w:tc>
          <w:tcPr>
            <w:tcW w:w="2265" w:type="dxa"/>
            <w:vAlign w:val="center"/>
          </w:tcPr>
          <w:p w:rsidR="004A26DB" w:rsidRDefault="004A26DB" w:rsidP="00C46E66">
            <w:pPr>
              <w:pStyle w:val="ListParagraph"/>
              <w:keepNext/>
              <w:keepLines/>
              <w:widowControl/>
              <w:snapToGrid w:val="0"/>
              <w:ind w:left="0"/>
              <w:rPr>
                <w:rFonts w:ascii="Arial Narrow" w:hAnsi="Arial Narrow"/>
                <w:sz w:val="20"/>
              </w:rPr>
            </w:pPr>
            <w:r>
              <w:rPr>
                <w:rFonts w:ascii="Arial Narrow" w:hAnsi="Arial Narrow" w:cs="Times New Roman"/>
                <w:sz w:val="19"/>
                <w:szCs w:val="19"/>
              </w:rPr>
              <w:t>TMX-67-203 – 12 months</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FBX40/80: 3/32 (9.4)</w:t>
            </w:r>
          </w:p>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PBO: 9/32 (28)</w:t>
            </w:r>
          </w:p>
        </w:tc>
      </w:tr>
      <w:tr w:rsidR="004A26DB" w:rsidTr="00403C6D">
        <w:tc>
          <w:tcPr>
            <w:tcW w:w="2265" w:type="dxa"/>
            <w:vAlign w:val="center"/>
          </w:tcPr>
          <w:p w:rsidR="004A26DB" w:rsidRPr="00A46D5C" w:rsidRDefault="004A26DB" w:rsidP="00C46E66">
            <w:pPr>
              <w:pStyle w:val="ListParagraph"/>
              <w:keepNext/>
              <w:keepLines/>
              <w:widowControl/>
              <w:snapToGrid w:val="0"/>
              <w:ind w:left="0"/>
              <w:jc w:val="left"/>
              <w:rPr>
                <w:rFonts w:ascii="Arial Narrow" w:hAnsi="Arial Narrow" w:cs="Times New Roman"/>
                <w:sz w:val="19"/>
                <w:szCs w:val="19"/>
              </w:rPr>
            </w:pPr>
            <w:r>
              <w:rPr>
                <w:rFonts w:ascii="Arial Narrow" w:hAnsi="Arial Narrow" w:cs="Times New Roman"/>
                <w:sz w:val="19"/>
                <w:szCs w:val="19"/>
              </w:rPr>
              <w:t>TMX-00-004 – 1 month</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FBX40: 1/37 (3)</w:t>
            </w:r>
          </w:p>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FBX80: 2/40 (5)</w:t>
            </w:r>
          </w:p>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PBO: 1/38 (3)</w:t>
            </w:r>
          </w:p>
        </w:tc>
      </w:tr>
      <w:tr w:rsidR="004A26DB" w:rsidTr="00403C6D">
        <w:tc>
          <w:tcPr>
            <w:tcW w:w="2265" w:type="dxa"/>
            <w:vAlign w:val="center"/>
          </w:tcPr>
          <w:p w:rsidR="004A26DB" w:rsidRPr="00A46D5C" w:rsidRDefault="004A26DB" w:rsidP="00C46E66">
            <w:pPr>
              <w:pStyle w:val="ListParagraph"/>
              <w:keepNext/>
              <w:keepLines/>
              <w:widowControl/>
              <w:snapToGrid w:val="0"/>
              <w:ind w:left="0"/>
              <w:jc w:val="left"/>
              <w:rPr>
                <w:rFonts w:ascii="Arial Narrow" w:hAnsi="Arial Narrow" w:cs="Times New Roman"/>
                <w:sz w:val="19"/>
                <w:szCs w:val="19"/>
              </w:rPr>
            </w:pPr>
            <w:r>
              <w:rPr>
                <w:rFonts w:ascii="Arial Narrow" w:hAnsi="Arial Narrow" w:cs="Times New Roman"/>
                <w:sz w:val="19"/>
                <w:szCs w:val="19"/>
              </w:rPr>
              <w:t>FOCUS – 60 months</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FBX40: 1/8 (13)</w:t>
            </w:r>
          </w:p>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FBX80: 10/79 (13)</w:t>
            </w:r>
          </w:p>
        </w:tc>
      </w:tr>
      <w:tr w:rsidR="004A26DB" w:rsidTr="00403C6D">
        <w:tc>
          <w:tcPr>
            <w:tcW w:w="2265" w:type="dxa"/>
            <w:vAlign w:val="center"/>
          </w:tcPr>
          <w:p w:rsidR="004A26DB" w:rsidRPr="00A46D5C" w:rsidRDefault="004A26DB" w:rsidP="00C46E66">
            <w:pPr>
              <w:pStyle w:val="ListParagraph"/>
              <w:keepNext/>
              <w:keepLines/>
              <w:widowControl/>
              <w:snapToGrid w:val="0"/>
              <w:ind w:left="0"/>
              <w:jc w:val="left"/>
              <w:rPr>
                <w:rFonts w:ascii="Arial Narrow" w:hAnsi="Arial Narrow" w:cs="Times New Roman"/>
                <w:sz w:val="19"/>
                <w:szCs w:val="19"/>
              </w:rPr>
            </w:pPr>
            <w:r>
              <w:rPr>
                <w:rFonts w:ascii="Arial Narrow" w:hAnsi="Arial Narrow" w:cs="Times New Roman"/>
                <w:sz w:val="19"/>
                <w:szCs w:val="19"/>
              </w:rPr>
              <w:t>CONFIRMS – 6 months</w:t>
            </w:r>
          </w:p>
        </w:tc>
        <w:tc>
          <w:tcPr>
            <w:tcW w:w="2026"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w:t>
            </w:r>
          </w:p>
        </w:tc>
        <w:tc>
          <w:tcPr>
            <w:tcW w:w="2027" w:type="dxa"/>
            <w:vAlign w:val="center"/>
          </w:tcPr>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FBX40: 49/757 (7)</w:t>
            </w:r>
          </w:p>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FBX80: 61/756 (8)</w:t>
            </w:r>
          </w:p>
          <w:p w:rsidR="004A26DB" w:rsidRDefault="004A26DB" w:rsidP="00C46E66">
            <w:pPr>
              <w:pStyle w:val="ListParagraph"/>
              <w:keepNext/>
              <w:keepLines/>
              <w:widowControl/>
              <w:snapToGrid w:val="0"/>
              <w:ind w:left="0"/>
              <w:jc w:val="center"/>
              <w:rPr>
                <w:rFonts w:ascii="Arial Narrow" w:hAnsi="Arial Narrow"/>
                <w:sz w:val="20"/>
              </w:rPr>
            </w:pPr>
            <w:r>
              <w:rPr>
                <w:rFonts w:ascii="Arial Narrow" w:hAnsi="Arial Narrow"/>
                <w:sz w:val="20"/>
              </w:rPr>
              <w:t>ALO: 64/756 (9)</w:t>
            </w:r>
          </w:p>
        </w:tc>
      </w:tr>
    </w:tbl>
    <w:p w:rsidR="004A26DB" w:rsidRDefault="004A26DB" w:rsidP="004A26DB">
      <w:pPr>
        <w:widowControl/>
        <w:snapToGrid w:val="0"/>
      </w:pPr>
    </w:p>
    <w:p w:rsidR="00144AEC" w:rsidRPr="004A26DB" w:rsidRDefault="00144AEC" w:rsidP="00C311A5">
      <w:pPr>
        <w:pStyle w:val="ListParagraph"/>
        <w:widowControl/>
        <w:numPr>
          <w:ilvl w:val="1"/>
          <w:numId w:val="2"/>
        </w:numPr>
        <w:snapToGrid w:val="0"/>
        <w:ind w:left="709" w:hanging="709"/>
      </w:pPr>
      <w:r w:rsidRPr="004A26DB">
        <w:rPr>
          <w:szCs w:val="22"/>
        </w:rPr>
        <w:t>In it</w:t>
      </w:r>
      <w:r w:rsidR="009614CC">
        <w:rPr>
          <w:szCs w:val="22"/>
        </w:rPr>
        <w:t>s</w:t>
      </w:r>
      <w:r w:rsidRPr="004A26DB">
        <w:rPr>
          <w:szCs w:val="22"/>
        </w:rPr>
        <w:t xml:space="preserve"> consideration of the previous submission, the PBAC noted</w:t>
      </w:r>
      <w:r w:rsidR="009614CC">
        <w:rPr>
          <w:szCs w:val="22"/>
        </w:rPr>
        <w:t xml:space="preserve"> that</w:t>
      </w:r>
      <w:r w:rsidRPr="004A26DB">
        <w:rPr>
          <w:szCs w:val="22"/>
        </w:rPr>
        <w:t xml:space="preserve"> in a pooled safety analysis of trials with up to one year follow up, fewer total adverse events were reported by patients treated with </w:t>
      </w:r>
      <w:proofErr w:type="spellStart"/>
      <w:r w:rsidRPr="004A26DB">
        <w:rPr>
          <w:szCs w:val="22"/>
        </w:rPr>
        <w:t>febuxostat</w:t>
      </w:r>
      <w:proofErr w:type="spellEnd"/>
      <w:r w:rsidRPr="004A26DB">
        <w:rPr>
          <w:szCs w:val="22"/>
        </w:rPr>
        <w:t xml:space="preserve"> (80</w:t>
      </w:r>
      <w:r w:rsidR="004A26DB">
        <w:rPr>
          <w:szCs w:val="22"/>
        </w:rPr>
        <w:t xml:space="preserve"> </w:t>
      </w:r>
      <w:r w:rsidRPr="004A26DB">
        <w:rPr>
          <w:szCs w:val="22"/>
        </w:rPr>
        <w:t>mg or 120</w:t>
      </w:r>
      <w:r w:rsidR="004A26DB">
        <w:rPr>
          <w:szCs w:val="22"/>
        </w:rPr>
        <w:t xml:space="preserve"> </w:t>
      </w:r>
      <w:r w:rsidRPr="004A26DB">
        <w:rPr>
          <w:szCs w:val="22"/>
        </w:rPr>
        <w:t>mg) compared to patients treated with allopurinol (pooled RR (95%CI): 0.94 (0.89, 0.99) and 0.90 (0.84, 0.96) respectively.</w:t>
      </w:r>
      <w:r w:rsidRPr="004A26DB">
        <w:rPr>
          <w:b/>
          <w:color w:val="00B050"/>
          <w:szCs w:val="22"/>
        </w:rPr>
        <w:t xml:space="preserve"> </w:t>
      </w:r>
      <w:r w:rsidRPr="004A26DB">
        <w:rPr>
          <w:szCs w:val="22"/>
        </w:rPr>
        <w:t xml:space="preserve">There were </w:t>
      </w:r>
      <w:r w:rsidR="009614CC">
        <w:rPr>
          <w:szCs w:val="22"/>
        </w:rPr>
        <w:t>more</w:t>
      </w:r>
      <w:r w:rsidRPr="004A26DB">
        <w:rPr>
          <w:szCs w:val="22"/>
        </w:rPr>
        <w:t xml:space="preserve"> patients treated with </w:t>
      </w:r>
      <w:proofErr w:type="spellStart"/>
      <w:r w:rsidRPr="004A26DB">
        <w:rPr>
          <w:szCs w:val="22"/>
        </w:rPr>
        <w:t>febuxostat</w:t>
      </w:r>
      <w:proofErr w:type="spellEnd"/>
      <w:r w:rsidRPr="004A26DB">
        <w:rPr>
          <w:szCs w:val="22"/>
        </w:rPr>
        <w:t xml:space="preserve"> 120</w:t>
      </w:r>
      <w:r w:rsidR="004A26DB">
        <w:rPr>
          <w:szCs w:val="22"/>
        </w:rPr>
        <w:t xml:space="preserve"> </w:t>
      </w:r>
      <w:r w:rsidRPr="004A26DB">
        <w:rPr>
          <w:szCs w:val="22"/>
        </w:rPr>
        <w:t>mg who discontinued treatment due to flares and adverse events compared to allopurinol (RR (95%CI): 3.42 (1.72, 6.81))</w:t>
      </w:r>
      <w:r w:rsidR="009614CC">
        <w:rPr>
          <w:szCs w:val="22"/>
        </w:rPr>
        <w:t>.</w:t>
      </w:r>
      <w:r w:rsidRPr="004A26DB">
        <w:rPr>
          <w:szCs w:val="22"/>
        </w:rPr>
        <w:t xml:space="preserve"> </w:t>
      </w:r>
      <w:r w:rsidR="009614CC">
        <w:rPr>
          <w:szCs w:val="22"/>
        </w:rPr>
        <w:t>More</w:t>
      </w:r>
      <w:r w:rsidRPr="004A26DB">
        <w:rPr>
          <w:szCs w:val="22"/>
        </w:rPr>
        <w:t xml:space="preserve"> patients treated with </w:t>
      </w:r>
      <w:proofErr w:type="spellStart"/>
      <w:r w:rsidRPr="004A26DB">
        <w:rPr>
          <w:szCs w:val="22"/>
        </w:rPr>
        <w:t>febuxostat</w:t>
      </w:r>
      <w:proofErr w:type="spellEnd"/>
      <w:r w:rsidRPr="004A26DB">
        <w:rPr>
          <w:szCs w:val="22"/>
        </w:rPr>
        <w:t xml:space="preserve"> 80</w:t>
      </w:r>
      <w:r w:rsidR="006000E1">
        <w:rPr>
          <w:szCs w:val="22"/>
        </w:rPr>
        <w:t xml:space="preserve"> </w:t>
      </w:r>
      <w:r w:rsidRPr="004A26DB">
        <w:rPr>
          <w:szCs w:val="22"/>
        </w:rPr>
        <w:t>mg experienced hypertension compared to allopurinol (RR (95%CI) 4.35 (1.25, 15.09)</w:t>
      </w:r>
      <w:r w:rsidR="00B052CE">
        <w:rPr>
          <w:szCs w:val="22"/>
        </w:rPr>
        <w:t>.</w:t>
      </w:r>
      <w:r w:rsidRPr="004A26DB">
        <w:rPr>
          <w:szCs w:val="22"/>
        </w:rPr>
        <w:t xml:space="preserve"> </w:t>
      </w:r>
      <w:r w:rsidR="00B052CE">
        <w:rPr>
          <w:szCs w:val="22"/>
        </w:rPr>
        <w:t>H</w:t>
      </w:r>
      <w:r w:rsidRPr="004A26DB">
        <w:rPr>
          <w:szCs w:val="22"/>
        </w:rPr>
        <w:t>owev</w:t>
      </w:r>
      <w:r w:rsidR="004A26DB">
        <w:rPr>
          <w:szCs w:val="22"/>
        </w:rPr>
        <w:t xml:space="preserve">er, this was only </w:t>
      </w:r>
      <w:r w:rsidR="009614CC">
        <w:rPr>
          <w:szCs w:val="22"/>
        </w:rPr>
        <w:t xml:space="preserve">seen </w:t>
      </w:r>
      <w:r w:rsidR="004A26DB">
        <w:rPr>
          <w:szCs w:val="22"/>
        </w:rPr>
        <w:t>at 28 </w:t>
      </w:r>
      <w:r w:rsidRPr="004A26DB">
        <w:rPr>
          <w:szCs w:val="22"/>
        </w:rPr>
        <w:t xml:space="preserve">weeks and not at 52 weeks.  In regards to longer term safety (up to 3 years EXCEL trial), after adjusting for duration of exposure, which differed dramatically between the treatments arms of the EXCEL trial, adverse events were similar across the </w:t>
      </w:r>
      <w:proofErr w:type="spellStart"/>
      <w:r w:rsidRPr="004A26DB">
        <w:rPr>
          <w:szCs w:val="22"/>
        </w:rPr>
        <w:t>febuxostat</w:t>
      </w:r>
      <w:proofErr w:type="spellEnd"/>
      <w:r w:rsidRPr="004A26DB">
        <w:rPr>
          <w:szCs w:val="22"/>
        </w:rPr>
        <w:t xml:space="preserve"> and allopurinol groups.  The total adver</w:t>
      </w:r>
      <w:r w:rsidR="004A26DB">
        <w:rPr>
          <w:szCs w:val="22"/>
        </w:rPr>
        <w:t>se events were 227, 216 and 245 </w:t>
      </w:r>
      <w:r w:rsidRPr="004A26DB">
        <w:rPr>
          <w:szCs w:val="22"/>
        </w:rPr>
        <w:t xml:space="preserve">per 100 person years of exposure for patients receiving </w:t>
      </w:r>
      <w:proofErr w:type="spellStart"/>
      <w:r w:rsidRPr="004A26DB">
        <w:rPr>
          <w:szCs w:val="22"/>
        </w:rPr>
        <w:t>febuxostat</w:t>
      </w:r>
      <w:proofErr w:type="spellEnd"/>
      <w:r w:rsidRPr="004A26DB">
        <w:rPr>
          <w:szCs w:val="22"/>
        </w:rPr>
        <w:t xml:space="preserve"> 80</w:t>
      </w:r>
      <w:r w:rsidR="004A26DB">
        <w:rPr>
          <w:szCs w:val="22"/>
        </w:rPr>
        <w:t> </w:t>
      </w:r>
      <w:r w:rsidRPr="004A26DB">
        <w:rPr>
          <w:szCs w:val="22"/>
        </w:rPr>
        <w:t>mg, 120</w:t>
      </w:r>
      <w:r w:rsidR="004A26DB">
        <w:rPr>
          <w:szCs w:val="22"/>
        </w:rPr>
        <w:t> </w:t>
      </w:r>
      <w:r w:rsidRPr="004A26DB">
        <w:rPr>
          <w:szCs w:val="22"/>
        </w:rPr>
        <w:t>mg and allopurinol respectively.</w:t>
      </w:r>
    </w:p>
    <w:p w:rsidR="004A26DB" w:rsidRPr="004A26DB" w:rsidRDefault="004A26DB" w:rsidP="008F7923">
      <w:pPr>
        <w:pStyle w:val="ListParagraph"/>
        <w:widowControl/>
        <w:snapToGrid w:val="0"/>
        <w:ind w:left="709" w:hanging="709"/>
      </w:pPr>
    </w:p>
    <w:p w:rsidR="00D23837" w:rsidRPr="00CE75D1" w:rsidRDefault="00D23837" w:rsidP="00C311A5">
      <w:pPr>
        <w:pStyle w:val="ListParagraph"/>
        <w:widowControl/>
        <w:numPr>
          <w:ilvl w:val="1"/>
          <w:numId w:val="2"/>
        </w:numPr>
        <w:snapToGrid w:val="0"/>
        <w:ind w:left="709" w:hanging="709"/>
      </w:pPr>
      <w:r w:rsidRPr="004A26DB">
        <w:rPr>
          <w:szCs w:val="22"/>
        </w:rPr>
        <w:t xml:space="preserve">Data from the trials and studies included in the </w:t>
      </w:r>
      <w:r w:rsidR="000E34A5">
        <w:rPr>
          <w:szCs w:val="22"/>
        </w:rPr>
        <w:t>re-</w:t>
      </w:r>
      <w:r w:rsidR="006000E1">
        <w:rPr>
          <w:szCs w:val="22"/>
        </w:rPr>
        <w:t>submission to the March 2015 PBAC meeting did</w:t>
      </w:r>
      <w:r w:rsidRPr="004A26DB">
        <w:rPr>
          <w:szCs w:val="22"/>
        </w:rPr>
        <w:t xml:space="preserve"> not indicate any new safety signals.</w:t>
      </w:r>
    </w:p>
    <w:p w:rsidR="00CE75D1" w:rsidRPr="00CE75D1" w:rsidRDefault="00CE75D1" w:rsidP="00CE75D1">
      <w:pPr>
        <w:pStyle w:val="ListParagraph"/>
        <w:widowControl/>
        <w:snapToGrid w:val="0"/>
        <w:ind w:left="709"/>
      </w:pPr>
    </w:p>
    <w:p w:rsidR="00CE75D1" w:rsidRPr="006000E1" w:rsidRDefault="009614CC" w:rsidP="00C311A5">
      <w:pPr>
        <w:pStyle w:val="ListParagraph"/>
        <w:widowControl/>
        <w:numPr>
          <w:ilvl w:val="1"/>
          <w:numId w:val="2"/>
        </w:numPr>
        <w:snapToGrid w:val="0"/>
        <w:ind w:left="709" w:hanging="709"/>
      </w:pPr>
      <w:r w:rsidRPr="006000E1">
        <w:t xml:space="preserve">The ESC noted that the finding of </w:t>
      </w:r>
      <w:proofErr w:type="spellStart"/>
      <w:r w:rsidRPr="006000E1">
        <w:t>Castrejon</w:t>
      </w:r>
      <w:proofErr w:type="spellEnd"/>
      <w:r w:rsidRPr="006000E1">
        <w:t xml:space="preserve"> et al. (2014) that t</w:t>
      </w:r>
      <w:r w:rsidR="00CE75D1" w:rsidRPr="006000E1">
        <w:t xml:space="preserve">he incidence of adverse events was similar between allopurinol (range 38.6-85) and </w:t>
      </w:r>
      <w:proofErr w:type="spellStart"/>
      <w:r w:rsidR="00CE75D1" w:rsidRPr="006000E1">
        <w:t>febuxostat</w:t>
      </w:r>
      <w:proofErr w:type="spellEnd"/>
      <w:r w:rsidR="00CE75D1" w:rsidRPr="006000E1">
        <w:t xml:space="preserve"> (range 41.8-80)</w:t>
      </w:r>
      <w:r w:rsidR="00A648AB">
        <w:t xml:space="preserve"> treated patients</w:t>
      </w:r>
      <w:r w:rsidR="00CE75D1" w:rsidRPr="006000E1">
        <w:t xml:space="preserve">. Six patients on </w:t>
      </w:r>
      <w:proofErr w:type="spellStart"/>
      <w:r w:rsidR="00CE75D1" w:rsidRPr="006000E1">
        <w:t>febuxostat</w:t>
      </w:r>
      <w:proofErr w:type="spellEnd"/>
      <w:r w:rsidR="00CE75D1" w:rsidRPr="006000E1">
        <w:t xml:space="preserve"> and three on allopurinol died during the studies; no deaths were judged related to drug</w:t>
      </w:r>
      <w:r w:rsidR="00A648AB">
        <w:t xml:space="preserve"> therapy</w:t>
      </w:r>
      <w:r w:rsidR="00CE75D1" w:rsidRPr="006000E1">
        <w:t xml:space="preserve">. The combined risk of adverse events was RR = 1.04 (95 % CI 0.98, 1.11). </w:t>
      </w:r>
      <w:proofErr w:type="spellStart"/>
      <w:r w:rsidRPr="006000E1">
        <w:t>Castrejon</w:t>
      </w:r>
      <w:proofErr w:type="spellEnd"/>
      <w:r w:rsidRPr="006000E1">
        <w:t xml:space="preserve"> et al. (2014) concluded that allopurinol is a safe option that </w:t>
      </w:r>
      <w:r w:rsidR="00A648AB">
        <w:t>may be</w:t>
      </w:r>
      <w:r w:rsidRPr="006000E1">
        <w:t xml:space="preserve"> </w:t>
      </w:r>
      <w:r w:rsidR="00CE75D1" w:rsidRPr="006000E1">
        <w:t xml:space="preserve">slightly </w:t>
      </w:r>
      <w:r w:rsidR="00A648AB">
        <w:t>favourable compared to</w:t>
      </w:r>
      <w:r w:rsidR="00CE75D1" w:rsidRPr="006000E1">
        <w:t xml:space="preserve"> other </w:t>
      </w:r>
      <w:proofErr w:type="spellStart"/>
      <w:r w:rsidR="00CE75D1" w:rsidRPr="006000E1">
        <w:t>urate</w:t>
      </w:r>
      <w:proofErr w:type="spellEnd"/>
      <w:r w:rsidR="00CE75D1" w:rsidRPr="006000E1">
        <w:t xml:space="preserve"> lowering drugs.</w:t>
      </w:r>
    </w:p>
    <w:p w:rsidR="00BF0C6E" w:rsidRDefault="00BF0C6E" w:rsidP="006F70CF"/>
    <w:p w:rsidR="00FD6482" w:rsidRPr="00FD6482" w:rsidRDefault="00FD6482" w:rsidP="00FD6482">
      <w:pPr>
        <w:ind w:left="680"/>
      </w:pPr>
      <w:r w:rsidRPr="00FD6482">
        <w:rPr>
          <w:i/>
        </w:rPr>
        <w:t>For more detail on PBAC’s view, see section 7 “PBAC outcome”</w:t>
      </w:r>
      <w:r>
        <w:rPr>
          <w:i/>
        </w:rPr>
        <w:t>.</w:t>
      </w:r>
      <w:r w:rsidRPr="00FD6482">
        <w:rPr>
          <w:i/>
        </w:rPr>
        <w:t xml:space="preserve"> </w:t>
      </w:r>
    </w:p>
    <w:p w:rsidR="00FD6482" w:rsidRDefault="00FD6482" w:rsidP="006F70CF"/>
    <w:p w:rsidR="00344BFB" w:rsidRDefault="00344BFB">
      <w:pPr>
        <w:widowControl/>
        <w:jc w:val="left"/>
        <w:rPr>
          <w:b/>
          <w:i/>
        </w:rPr>
      </w:pPr>
      <w:bookmarkStart w:id="19" w:name="_Toc392858197"/>
      <w:bookmarkStart w:id="20" w:name="_Toc409518441"/>
      <w:r>
        <w:rPr>
          <w:i/>
        </w:rPr>
        <w:br w:type="page"/>
      </w:r>
    </w:p>
    <w:p w:rsidR="00E70EF1" w:rsidRDefault="00E70EF1" w:rsidP="004958E3">
      <w:pPr>
        <w:pStyle w:val="Heading2"/>
      </w:pPr>
      <w:r w:rsidRPr="002C2775">
        <w:lastRenderedPageBreak/>
        <w:t>Benefits/harms</w:t>
      </w:r>
      <w:bookmarkEnd w:id="19"/>
      <w:bookmarkEnd w:id="20"/>
    </w:p>
    <w:p w:rsidR="00E70EF1" w:rsidRPr="00E70EF1" w:rsidRDefault="00E70EF1" w:rsidP="00E70EF1"/>
    <w:p w:rsidR="00E70EF1" w:rsidRPr="004A26DB" w:rsidRDefault="00E70EF1" w:rsidP="00C311A5">
      <w:pPr>
        <w:pStyle w:val="ListParagraph"/>
        <w:widowControl/>
        <w:numPr>
          <w:ilvl w:val="1"/>
          <w:numId w:val="2"/>
        </w:numPr>
        <w:snapToGrid w:val="0"/>
        <w:ind w:left="709" w:hanging="709"/>
      </w:pPr>
      <w:r w:rsidRPr="004A26DB">
        <w:rPr>
          <w:iCs/>
        </w:rPr>
        <w:t>A benefi</w:t>
      </w:r>
      <w:r w:rsidR="006000E1">
        <w:rPr>
          <w:iCs/>
        </w:rPr>
        <w:t xml:space="preserve">ts/harms table </w:t>
      </w:r>
      <w:r w:rsidR="008D2867">
        <w:rPr>
          <w:iCs/>
        </w:rPr>
        <w:t>was not compiled</w:t>
      </w:r>
      <w:r w:rsidRPr="004A26DB">
        <w:rPr>
          <w:iCs/>
        </w:rPr>
        <w:t xml:space="preserve"> as the re-submission </w:t>
      </w:r>
      <w:r w:rsidR="006000E1">
        <w:rPr>
          <w:iCs/>
        </w:rPr>
        <w:t>did not present</w:t>
      </w:r>
      <w:r w:rsidRPr="004A26DB">
        <w:rPr>
          <w:iCs/>
        </w:rPr>
        <w:t xml:space="preserve"> data to </w:t>
      </w:r>
      <w:r w:rsidR="00B052CE">
        <w:rPr>
          <w:iCs/>
        </w:rPr>
        <w:t>allow an assessment of</w:t>
      </w:r>
      <w:r w:rsidRPr="004A26DB">
        <w:rPr>
          <w:iCs/>
        </w:rPr>
        <w:t xml:space="preserve"> t</w:t>
      </w:r>
      <w:r w:rsidR="00B052CE">
        <w:rPr>
          <w:iCs/>
        </w:rPr>
        <w:t>he</w:t>
      </w:r>
      <w:r w:rsidRPr="004A26DB">
        <w:rPr>
          <w:iCs/>
        </w:rPr>
        <w:t xml:space="preserve"> efficacy and safety of </w:t>
      </w:r>
      <w:proofErr w:type="spellStart"/>
      <w:r w:rsidRPr="004A26DB">
        <w:rPr>
          <w:iCs/>
        </w:rPr>
        <w:t>febuxostat</w:t>
      </w:r>
      <w:proofErr w:type="spellEnd"/>
      <w:r w:rsidRPr="004A26DB">
        <w:rPr>
          <w:iCs/>
        </w:rPr>
        <w:t xml:space="preserve"> </w:t>
      </w:r>
      <w:r w:rsidR="00B052CE">
        <w:rPr>
          <w:iCs/>
        </w:rPr>
        <w:t>compared to the alternative treatments</w:t>
      </w:r>
      <w:r w:rsidRPr="004A26DB">
        <w:rPr>
          <w:iCs/>
        </w:rPr>
        <w:t xml:space="preserve"> for any of th</w:t>
      </w:r>
      <w:r w:rsidR="006000E1">
        <w:rPr>
          <w:iCs/>
        </w:rPr>
        <w:t>e populations for whom listing wa</w:t>
      </w:r>
      <w:r w:rsidRPr="004A26DB">
        <w:rPr>
          <w:iCs/>
        </w:rPr>
        <w:t>s sought.</w:t>
      </w:r>
    </w:p>
    <w:p w:rsidR="00E70EF1" w:rsidRPr="00297299" w:rsidRDefault="00E70EF1" w:rsidP="006F70CF"/>
    <w:p w:rsidR="006F70CF" w:rsidRPr="00297299" w:rsidRDefault="006F70CF" w:rsidP="004958E3">
      <w:pPr>
        <w:pStyle w:val="Heading2"/>
      </w:pPr>
      <w:bookmarkStart w:id="21" w:name="_Toc280358246"/>
      <w:bookmarkStart w:id="22" w:name="_Toc409518442"/>
      <w:r w:rsidRPr="00B95B52">
        <w:t>Clinical claim</w:t>
      </w:r>
      <w:bookmarkEnd w:id="21"/>
      <w:bookmarkEnd w:id="22"/>
    </w:p>
    <w:p w:rsidR="00D82155" w:rsidRDefault="006F70CF" w:rsidP="000E009F">
      <w:pPr>
        <w:keepNext/>
        <w:keepLines/>
        <w:ind w:left="720" w:hanging="720"/>
      </w:pPr>
      <w:r w:rsidRPr="00297299">
        <w:tab/>
      </w:r>
    </w:p>
    <w:p w:rsidR="006F70CF" w:rsidRPr="004A26DB" w:rsidRDefault="00E70EF1" w:rsidP="00C311A5">
      <w:pPr>
        <w:pStyle w:val="ListParagraph"/>
        <w:keepNext/>
        <w:keepLines/>
        <w:widowControl/>
        <w:numPr>
          <w:ilvl w:val="1"/>
          <w:numId w:val="2"/>
        </w:numPr>
        <w:snapToGrid w:val="0"/>
        <w:ind w:left="709" w:hanging="709"/>
      </w:pPr>
      <w:r>
        <w:t xml:space="preserve">The re-submission </w:t>
      </w:r>
      <w:r w:rsidRPr="004A26DB">
        <w:rPr>
          <w:iCs/>
        </w:rPr>
        <w:t>appropriately</w:t>
      </w:r>
      <w:r>
        <w:t xml:space="preserve"> </w:t>
      </w:r>
      <w:r w:rsidR="006000E1">
        <w:t>did not make a</w:t>
      </w:r>
      <w:r>
        <w:t xml:space="preserve"> </w:t>
      </w:r>
      <w:r w:rsidRPr="004F642C">
        <w:t xml:space="preserve">formal </w:t>
      </w:r>
      <w:r w:rsidR="006F70CF" w:rsidRPr="00D82155">
        <w:t xml:space="preserve">clinical claim </w:t>
      </w:r>
      <w:r w:rsidR="004F642C">
        <w:t xml:space="preserve">regarding the comparative </w:t>
      </w:r>
      <w:r w:rsidR="004F642C" w:rsidRPr="004F642C">
        <w:t xml:space="preserve">efficacy and safety of </w:t>
      </w:r>
      <w:proofErr w:type="spellStart"/>
      <w:r w:rsidR="004F642C" w:rsidRPr="004F642C">
        <w:t>febuxostat</w:t>
      </w:r>
      <w:proofErr w:type="spellEnd"/>
      <w:r w:rsidR="004F642C" w:rsidRPr="004F642C">
        <w:t xml:space="preserve"> versus the relevant comparators for any of th</w:t>
      </w:r>
      <w:r w:rsidR="006000E1">
        <w:t>e populations for whom listing wa</w:t>
      </w:r>
      <w:r w:rsidR="004F642C" w:rsidRPr="004F642C">
        <w:t>s sought</w:t>
      </w:r>
      <w:r w:rsidR="006F70CF" w:rsidRPr="00D82155">
        <w:t xml:space="preserve">. </w:t>
      </w:r>
      <w:r w:rsidR="00705452" w:rsidRPr="00D82155">
        <w:t xml:space="preserve"> The </w:t>
      </w:r>
      <w:r w:rsidR="002A046D">
        <w:t xml:space="preserve">re-submission </w:t>
      </w:r>
      <w:r w:rsidR="00705452" w:rsidRPr="00D82155">
        <w:t>asserted that ≤</w:t>
      </w:r>
      <w:r w:rsidR="006F70CF" w:rsidRPr="00D82155">
        <w:t>25% of subjects on allopurinol either cannot tolerate dose ti</w:t>
      </w:r>
      <w:r w:rsidR="00705452" w:rsidRPr="00D82155">
        <w:t xml:space="preserve">tration or cannot achieve </w:t>
      </w:r>
      <w:proofErr w:type="spellStart"/>
      <w:r w:rsidR="00705452" w:rsidRPr="00D82155">
        <w:t>sUA</w:t>
      </w:r>
      <w:proofErr w:type="spellEnd"/>
      <w:r w:rsidR="00705452" w:rsidRPr="00D82155">
        <w:t xml:space="preserve"> ≤</w:t>
      </w:r>
      <w:r w:rsidR="006F70CF" w:rsidRPr="00D82155">
        <w:t>357 µ</w:t>
      </w:r>
      <w:proofErr w:type="spellStart"/>
      <w:r w:rsidR="006F70CF" w:rsidRPr="00D82155">
        <w:t>mol</w:t>
      </w:r>
      <w:proofErr w:type="spellEnd"/>
      <w:r w:rsidR="006F70CF" w:rsidRPr="00D82155">
        <w:t xml:space="preserve">/L with maximal doses. </w:t>
      </w:r>
      <w:r w:rsidR="00705452" w:rsidRPr="00D82155">
        <w:t xml:space="preserve"> </w:t>
      </w:r>
      <w:r w:rsidR="006F70CF" w:rsidRPr="00D82155">
        <w:t>The s</w:t>
      </w:r>
      <w:r w:rsidR="006000E1">
        <w:t xml:space="preserve">ubmission claimed that </w:t>
      </w:r>
      <w:proofErr w:type="spellStart"/>
      <w:r w:rsidR="006000E1">
        <w:t>febuxostat</w:t>
      </w:r>
      <w:proofErr w:type="spellEnd"/>
      <w:r w:rsidR="006000E1">
        <w:t xml:space="preserve"> i</w:t>
      </w:r>
      <w:r w:rsidR="006F70CF" w:rsidRPr="00D82155">
        <w:t xml:space="preserve">s an alternative to </w:t>
      </w:r>
      <w:proofErr w:type="spellStart"/>
      <w:r w:rsidR="006F70CF" w:rsidRPr="00D82155">
        <w:t>probenecid</w:t>
      </w:r>
      <w:proofErr w:type="spellEnd"/>
      <w:r w:rsidR="006F70CF" w:rsidRPr="00D82155">
        <w:t xml:space="preserve"> mon</w:t>
      </w:r>
      <w:r w:rsidR="00705452" w:rsidRPr="00D82155">
        <w:t>o</w:t>
      </w:r>
      <w:r w:rsidR="006F70CF" w:rsidRPr="00D82155">
        <w:t>therapy or combination therapy (</w:t>
      </w:r>
      <w:proofErr w:type="spellStart"/>
      <w:r w:rsidR="006000E1">
        <w:t>probenecid</w:t>
      </w:r>
      <w:proofErr w:type="spellEnd"/>
      <w:r w:rsidR="006000E1">
        <w:t xml:space="preserve"> added to</w:t>
      </w:r>
      <w:r w:rsidR="006F70CF" w:rsidRPr="00D82155">
        <w:t xml:space="preserve"> allopurinol) in these patients and that its efficacy and safety had been demonstrated in a range of relevant populations and is maintained for up to five years. </w:t>
      </w:r>
      <w:r w:rsidR="006000E1">
        <w:t>N</w:t>
      </w:r>
      <w:r w:rsidR="006F70CF" w:rsidRPr="004A26DB">
        <w:t xml:space="preserve">o data were presented on the use of </w:t>
      </w:r>
      <w:proofErr w:type="spellStart"/>
      <w:r w:rsidR="006F70CF" w:rsidRPr="004A26DB">
        <w:t>febuxostat</w:t>
      </w:r>
      <w:proofErr w:type="spellEnd"/>
      <w:r w:rsidR="006F70CF" w:rsidRPr="004A26DB">
        <w:t xml:space="preserve"> in allopurinol insufficient patients. The </w:t>
      </w:r>
      <w:proofErr w:type="spellStart"/>
      <w:r w:rsidR="006F70CF" w:rsidRPr="004A26DB">
        <w:t>febuxostat</w:t>
      </w:r>
      <w:proofErr w:type="spellEnd"/>
      <w:r w:rsidR="006F70CF" w:rsidRPr="004A26DB">
        <w:t xml:space="preserve"> study in patients with renal impairment and th</w:t>
      </w:r>
      <w:r w:rsidR="006000E1">
        <w:t xml:space="preserve">e 5-year </w:t>
      </w:r>
      <w:proofErr w:type="spellStart"/>
      <w:r w:rsidR="006000E1">
        <w:t>febuxostat</w:t>
      </w:r>
      <w:proofErr w:type="spellEnd"/>
      <w:r w:rsidR="006000E1">
        <w:t xml:space="preserve"> study had a</w:t>
      </w:r>
      <w:r w:rsidR="006F70CF" w:rsidRPr="004A26DB">
        <w:t xml:space="preserve"> 50% </w:t>
      </w:r>
      <w:r w:rsidR="006000E1">
        <w:t>(</w:t>
      </w:r>
      <w:r w:rsidR="006000E1" w:rsidRPr="006000E1">
        <w:t>approximately</w:t>
      </w:r>
      <w:r w:rsidR="006000E1">
        <w:t xml:space="preserve">) </w:t>
      </w:r>
      <w:r w:rsidR="006F70CF" w:rsidRPr="004A26DB">
        <w:t>dropout rate</w:t>
      </w:r>
      <w:r w:rsidR="00705452" w:rsidRPr="004A26DB">
        <w:t>.</w:t>
      </w:r>
    </w:p>
    <w:p w:rsidR="004F642C" w:rsidRPr="00D82155" w:rsidRDefault="004F642C" w:rsidP="00BB3F0F">
      <w:pPr>
        <w:widowControl/>
        <w:snapToGrid w:val="0"/>
      </w:pPr>
    </w:p>
    <w:p w:rsidR="00FD6482" w:rsidRPr="00BB3F0F" w:rsidRDefault="00FD6482" w:rsidP="00BB3F0F">
      <w:pPr>
        <w:widowControl/>
        <w:snapToGrid w:val="0"/>
        <w:ind w:left="510" w:firstLine="170"/>
        <w:rPr>
          <w:szCs w:val="22"/>
        </w:rPr>
      </w:pPr>
      <w:r w:rsidRPr="00BB3F0F">
        <w:rPr>
          <w:i/>
          <w:szCs w:val="22"/>
        </w:rPr>
        <w:t xml:space="preserve">For more detail on PBAC’s view, see section 7 “PBAC outcome”. </w:t>
      </w:r>
    </w:p>
    <w:p w:rsidR="006F70CF" w:rsidRPr="00D82155" w:rsidRDefault="006F70CF" w:rsidP="00BF0C6E">
      <w:pPr>
        <w:widowControl/>
        <w:snapToGrid w:val="0"/>
        <w:rPr>
          <w:i/>
          <w:szCs w:val="22"/>
        </w:rPr>
      </w:pPr>
    </w:p>
    <w:p w:rsidR="006F70CF" w:rsidRPr="00297299" w:rsidRDefault="006F70CF" w:rsidP="004958E3">
      <w:pPr>
        <w:pStyle w:val="Heading2"/>
      </w:pPr>
      <w:bookmarkStart w:id="23" w:name="_Toc280358247"/>
      <w:bookmarkStart w:id="24" w:name="_Toc409518443"/>
      <w:r w:rsidRPr="00297299">
        <w:t>Economic analysis</w:t>
      </w:r>
      <w:bookmarkEnd w:id="23"/>
      <w:bookmarkEnd w:id="24"/>
      <w:r w:rsidRPr="00297299">
        <w:t xml:space="preserve"> </w:t>
      </w:r>
    </w:p>
    <w:p w:rsidR="006F70CF" w:rsidRPr="00297299" w:rsidRDefault="006F70CF" w:rsidP="006F70CF">
      <w:pPr>
        <w:widowControl/>
        <w:rPr>
          <w:szCs w:val="22"/>
        </w:rPr>
      </w:pPr>
    </w:p>
    <w:p w:rsidR="001D61A3" w:rsidRPr="001D61A3" w:rsidRDefault="001D61A3" w:rsidP="00C311A5">
      <w:pPr>
        <w:pStyle w:val="ListParagraph"/>
        <w:widowControl/>
        <w:numPr>
          <w:ilvl w:val="1"/>
          <w:numId w:val="2"/>
        </w:numPr>
        <w:snapToGrid w:val="0"/>
        <w:ind w:left="709" w:hanging="709"/>
        <w:rPr>
          <w:szCs w:val="22"/>
        </w:rPr>
      </w:pPr>
      <w:r w:rsidRPr="001D61A3">
        <w:rPr>
          <w:szCs w:val="22"/>
        </w:rPr>
        <w:t xml:space="preserve">The </w:t>
      </w:r>
      <w:r w:rsidR="00FC1396">
        <w:rPr>
          <w:szCs w:val="22"/>
        </w:rPr>
        <w:t>economic analysis presented was</w:t>
      </w:r>
      <w:r w:rsidRPr="001D61A3">
        <w:rPr>
          <w:szCs w:val="22"/>
        </w:rPr>
        <w:t xml:space="preserve"> a cost-per-responder analysis (response defined </w:t>
      </w:r>
      <w:r w:rsidR="00FC1396">
        <w:rPr>
          <w:szCs w:val="22"/>
        </w:rPr>
        <w:t>as achievement of</w:t>
      </w:r>
      <w:r w:rsidRPr="001D61A3">
        <w:rPr>
          <w:szCs w:val="22"/>
        </w:rPr>
        <w:t xml:space="preserve"> serum uric acid</w:t>
      </w:r>
      <w:r w:rsidR="00FC1396">
        <w:rPr>
          <w:szCs w:val="22"/>
        </w:rPr>
        <w:t xml:space="preserve"> levels</w:t>
      </w:r>
      <w:r w:rsidRPr="001D61A3">
        <w:rPr>
          <w:szCs w:val="22"/>
        </w:rPr>
        <w:t xml:space="preserve"> &lt;357</w:t>
      </w:r>
      <w:r>
        <w:rPr>
          <w:szCs w:val="22"/>
        </w:rPr>
        <w:t xml:space="preserve"> </w:t>
      </w:r>
      <w:r w:rsidRPr="001D61A3">
        <w:rPr>
          <w:szCs w:val="22"/>
        </w:rPr>
        <w:t>µ</w:t>
      </w:r>
      <w:proofErr w:type="spellStart"/>
      <w:r w:rsidRPr="001D61A3">
        <w:rPr>
          <w:szCs w:val="22"/>
        </w:rPr>
        <w:t>mol</w:t>
      </w:r>
      <w:proofErr w:type="spellEnd"/>
      <w:r w:rsidRPr="001D61A3">
        <w:rPr>
          <w:szCs w:val="22"/>
        </w:rPr>
        <w:t xml:space="preserve">/l) of </w:t>
      </w:r>
      <w:proofErr w:type="spellStart"/>
      <w:r w:rsidRPr="001D61A3">
        <w:rPr>
          <w:szCs w:val="22"/>
        </w:rPr>
        <w:t>febuxostat</w:t>
      </w:r>
      <w:proofErr w:type="spellEnd"/>
      <w:r w:rsidRPr="001D61A3">
        <w:rPr>
          <w:szCs w:val="22"/>
        </w:rPr>
        <w:t xml:space="preserve"> compared with placebo and each of the three nominated comparators versus placebo.</w:t>
      </w:r>
    </w:p>
    <w:p w:rsidR="001D61A3" w:rsidRPr="001D61A3" w:rsidRDefault="001D61A3" w:rsidP="001D61A3">
      <w:pPr>
        <w:pStyle w:val="ListParagraph"/>
        <w:widowControl/>
        <w:snapToGrid w:val="0"/>
        <w:ind w:left="709"/>
      </w:pPr>
    </w:p>
    <w:p w:rsidR="006F70CF" w:rsidRPr="00297299" w:rsidRDefault="001D61A3" w:rsidP="00C311A5">
      <w:pPr>
        <w:pStyle w:val="ListParagraph"/>
        <w:widowControl/>
        <w:numPr>
          <w:ilvl w:val="1"/>
          <w:numId w:val="2"/>
        </w:numPr>
        <w:snapToGrid w:val="0"/>
        <w:ind w:left="709" w:hanging="709"/>
      </w:pPr>
      <w:r>
        <w:rPr>
          <w:szCs w:val="22"/>
        </w:rPr>
        <w:t>T</w:t>
      </w:r>
      <w:r w:rsidR="006F70CF" w:rsidRPr="00297299">
        <w:rPr>
          <w:szCs w:val="22"/>
        </w:rPr>
        <w:t xml:space="preserve">he economic analysis was a simple decision </w:t>
      </w:r>
      <w:r w:rsidR="00FC1396">
        <w:rPr>
          <w:szCs w:val="22"/>
        </w:rPr>
        <w:t xml:space="preserve">tree </w:t>
      </w:r>
      <w:r w:rsidR="006F70CF" w:rsidRPr="00297299">
        <w:rPr>
          <w:szCs w:val="22"/>
        </w:rPr>
        <w:t xml:space="preserve">analysis </w:t>
      </w:r>
      <w:r w:rsidR="00FC1396">
        <w:rPr>
          <w:szCs w:val="22"/>
        </w:rPr>
        <w:t>that considered</w:t>
      </w:r>
      <w:r w:rsidR="006F70CF" w:rsidRPr="00297299">
        <w:rPr>
          <w:szCs w:val="22"/>
        </w:rPr>
        <w:t xml:space="preserve"> drug treatment cost</w:t>
      </w:r>
      <w:r w:rsidR="00FC1396">
        <w:rPr>
          <w:szCs w:val="22"/>
        </w:rPr>
        <w:t>s</w:t>
      </w:r>
      <w:r w:rsidR="006F70CF" w:rsidRPr="00297299">
        <w:rPr>
          <w:szCs w:val="22"/>
        </w:rPr>
        <w:t xml:space="preserve"> and the proportio</w:t>
      </w:r>
      <w:r w:rsidR="00BF0C6E">
        <w:rPr>
          <w:szCs w:val="22"/>
        </w:rPr>
        <w:t xml:space="preserve">n of patients who reached </w:t>
      </w:r>
      <w:proofErr w:type="spellStart"/>
      <w:r w:rsidR="00BF0C6E">
        <w:rPr>
          <w:szCs w:val="22"/>
        </w:rPr>
        <w:t>sUA</w:t>
      </w:r>
      <w:proofErr w:type="spellEnd"/>
      <w:r w:rsidR="00BF0C6E">
        <w:rPr>
          <w:szCs w:val="22"/>
        </w:rPr>
        <w:t xml:space="preserve"> &lt;</w:t>
      </w:r>
      <w:r w:rsidR="006F70CF" w:rsidRPr="00297299">
        <w:t>357</w:t>
      </w:r>
      <w:r w:rsidR="00155163">
        <w:t xml:space="preserve"> </w:t>
      </w:r>
      <w:r w:rsidR="006F70CF" w:rsidRPr="00297299">
        <w:t>µ</w:t>
      </w:r>
      <w:proofErr w:type="spellStart"/>
      <w:r w:rsidR="006F70CF" w:rsidRPr="00297299">
        <w:t>mol</w:t>
      </w:r>
      <w:proofErr w:type="spellEnd"/>
      <w:r w:rsidR="006F70CF" w:rsidRPr="00297299">
        <w:t xml:space="preserve">/L (responders). </w:t>
      </w:r>
      <w:r w:rsidR="00BF0C6E">
        <w:t xml:space="preserve"> </w:t>
      </w:r>
      <w:r w:rsidR="00334885">
        <w:t>The table below</w:t>
      </w:r>
      <w:r w:rsidR="006F70CF" w:rsidRPr="00297299">
        <w:t xml:space="preserve"> summarises the model structure.</w:t>
      </w:r>
    </w:p>
    <w:p w:rsidR="006F70CF" w:rsidRPr="00297299" w:rsidRDefault="006F70CF" w:rsidP="006F70CF">
      <w:pPr>
        <w:widowControl/>
      </w:pPr>
    </w:p>
    <w:p w:rsidR="006F70CF" w:rsidRPr="006F0003" w:rsidRDefault="006F70CF" w:rsidP="008F7923">
      <w:pPr>
        <w:widowControl/>
        <w:ind w:firstLine="709"/>
        <w:rPr>
          <w:rFonts w:ascii="Arial Narrow" w:hAnsi="Arial Narrow"/>
          <w:b/>
          <w:sz w:val="20"/>
        </w:rPr>
      </w:pPr>
      <w:r w:rsidRPr="006F0003">
        <w:rPr>
          <w:rFonts w:ascii="Arial Narrow" w:hAnsi="Arial Narrow"/>
          <w:b/>
          <w:sz w:val="20"/>
        </w:rPr>
        <w:t>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structure"/>
      </w:tblPr>
      <w:tblGrid>
        <w:gridCol w:w="1985"/>
        <w:gridCol w:w="6350"/>
      </w:tblGrid>
      <w:tr w:rsidR="006F70CF" w:rsidRPr="00297299" w:rsidTr="00C63F5A">
        <w:trPr>
          <w:trHeight w:val="240"/>
        </w:trPr>
        <w:tc>
          <w:tcPr>
            <w:tcW w:w="1985" w:type="dxa"/>
            <w:tcBorders>
              <w:top w:val="single" w:sz="4" w:space="0" w:color="auto"/>
              <w:left w:val="single" w:sz="4" w:space="0" w:color="auto"/>
              <w:bottom w:val="single" w:sz="4" w:space="0" w:color="auto"/>
              <w:right w:val="single" w:sz="4" w:space="0" w:color="auto"/>
            </w:tcBorders>
            <w:hideMark/>
          </w:tcPr>
          <w:p w:rsidR="006F70CF" w:rsidRPr="006F0003" w:rsidRDefault="006F70CF">
            <w:pPr>
              <w:widowControl/>
              <w:snapToGrid w:val="0"/>
              <w:rPr>
                <w:rFonts w:ascii="Arial Narrow" w:hAnsi="Arial Narrow"/>
                <w:sz w:val="20"/>
              </w:rPr>
            </w:pPr>
            <w:r w:rsidRPr="006F0003">
              <w:rPr>
                <w:rFonts w:ascii="Arial Narrow" w:hAnsi="Arial Narrow"/>
                <w:sz w:val="20"/>
              </w:rPr>
              <w:t>Time horizon</w:t>
            </w:r>
          </w:p>
        </w:tc>
        <w:tc>
          <w:tcPr>
            <w:tcW w:w="6350" w:type="dxa"/>
            <w:tcBorders>
              <w:top w:val="single" w:sz="4" w:space="0" w:color="auto"/>
              <w:left w:val="single" w:sz="4" w:space="0" w:color="auto"/>
              <w:bottom w:val="single" w:sz="4" w:space="0" w:color="auto"/>
              <w:right w:val="single" w:sz="4" w:space="0" w:color="auto"/>
            </w:tcBorders>
            <w:hideMark/>
          </w:tcPr>
          <w:p w:rsidR="006F70CF" w:rsidRPr="00297299" w:rsidRDefault="006F70CF">
            <w:pPr>
              <w:widowControl/>
              <w:snapToGrid w:val="0"/>
              <w:rPr>
                <w:rFonts w:ascii="Arial Narrow" w:hAnsi="Arial Narrow"/>
                <w:sz w:val="20"/>
              </w:rPr>
            </w:pPr>
            <w:r w:rsidRPr="00297299">
              <w:rPr>
                <w:rFonts w:ascii="Arial Narrow" w:hAnsi="Arial Narrow"/>
                <w:sz w:val="20"/>
              </w:rPr>
              <w:t xml:space="preserve">One year. </w:t>
            </w:r>
            <w:r w:rsidR="008A2449">
              <w:rPr>
                <w:rFonts w:ascii="Arial Narrow" w:hAnsi="Arial Narrow"/>
                <w:sz w:val="20"/>
              </w:rPr>
              <w:t xml:space="preserve">(Studies presented in the submission </w:t>
            </w:r>
            <w:r w:rsidRPr="00155163">
              <w:rPr>
                <w:rFonts w:ascii="Arial Narrow" w:hAnsi="Arial Narrow"/>
                <w:sz w:val="20"/>
              </w:rPr>
              <w:t>ranged from 2 months to 5 years)</w:t>
            </w:r>
          </w:p>
        </w:tc>
      </w:tr>
      <w:tr w:rsidR="006F70CF" w:rsidRPr="00297299" w:rsidTr="00C63F5A">
        <w:trPr>
          <w:trHeight w:val="448"/>
        </w:trPr>
        <w:tc>
          <w:tcPr>
            <w:tcW w:w="1985" w:type="dxa"/>
            <w:tcBorders>
              <w:top w:val="single" w:sz="4" w:space="0" w:color="auto"/>
              <w:left w:val="single" w:sz="4" w:space="0" w:color="auto"/>
              <w:bottom w:val="single" w:sz="4" w:space="0" w:color="auto"/>
              <w:right w:val="single" w:sz="4" w:space="0" w:color="auto"/>
            </w:tcBorders>
            <w:vAlign w:val="center"/>
            <w:hideMark/>
          </w:tcPr>
          <w:p w:rsidR="006F70CF" w:rsidRPr="006F0003" w:rsidRDefault="006F70CF" w:rsidP="006F0003">
            <w:pPr>
              <w:widowControl/>
              <w:snapToGrid w:val="0"/>
              <w:jc w:val="left"/>
              <w:rPr>
                <w:rFonts w:ascii="Arial Narrow" w:hAnsi="Arial Narrow"/>
                <w:sz w:val="20"/>
              </w:rPr>
            </w:pPr>
            <w:r w:rsidRPr="006F0003">
              <w:rPr>
                <w:rFonts w:ascii="Arial Narrow" w:hAnsi="Arial Narrow"/>
                <w:sz w:val="20"/>
              </w:rPr>
              <w:t>Outcomes</w:t>
            </w:r>
          </w:p>
        </w:tc>
        <w:tc>
          <w:tcPr>
            <w:tcW w:w="6350" w:type="dxa"/>
            <w:tcBorders>
              <w:top w:val="single" w:sz="4" w:space="0" w:color="auto"/>
              <w:left w:val="single" w:sz="4" w:space="0" w:color="auto"/>
              <w:bottom w:val="single" w:sz="4" w:space="0" w:color="auto"/>
              <w:right w:val="single" w:sz="4" w:space="0" w:color="auto"/>
            </w:tcBorders>
            <w:hideMark/>
          </w:tcPr>
          <w:p w:rsidR="006F70CF" w:rsidRPr="00297299" w:rsidRDefault="006F70CF">
            <w:pPr>
              <w:widowControl/>
              <w:snapToGrid w:val="0"/>
              <w:rPr>
                <w:rFonts w:ascii="Arial Narrow" w:hAnsi="Arial Narrow"/>
                <w:sz w:val="20"/>
              </w:rPr>
            </w:pPr>
            <w:r w:rsidRPr="00297299">
              <w:rPr>
                <w:rFonts w:ascii="Arial Narrow" w:hAnsi="Arial Narrow"/>
                <w:sz w:val="20"/>
              </w:rPr>
              <w:t xml:space="preserve">If </w:t>
            </w:r>
            <w:proofErr w:type="spellStart"/>
            <w:r w:rsidRPr="00297299">
              <w:rPr>
                <w:rFonts w:ascii="Arial Narrow" w:hAnsi="Arial Narrow"/>
                <w:sz w:val="20"/>
              </w:rPr>
              <w:t>sUA</w:t>
            </w:r>
            <w:proofErr w:type="spellEnd"/>
            <w:r w:rsidRPr="00297299">
              <w:rPr>
                <w:rFonts w:ascii="Arial Narrow" w:hAnsi="Arial Narrow"/>
                <w:sz w:val="20"/>
              </w:rPr>
              <w:t xml:space="preserve"> ≤357 µ</w:t>
            </w:r>
            <w:proofErr w:type="spellStart"/>
            <w:r w:rsidRPr="00297299">
              <w:rPr>
                <w:rFonts w:ascii="Arial Narrow" w:hAnsi="Arial Narrow"/>
                <w:sz w:val="20"/>
              </w:rPr>
              <w:t>mol</w:t>
            </w:r>
            <w:proofErr w:type="spellEnd"/>
            <w:r w:rsidRPr="00297299">
              <w:rPr>
                <w:rFonts w:ascii="Arial Narrow" w:hAnsi="Arial Narrow"/>
                <w:sz w:val="20"/>
              </w:rPr>
              <w:t>/L at t</w:t>
            </w:r>
            <w:r w:rsidR="00FC1396">
              <w:rPr>
                <w:rFonts w:ascii="Arial Narrow" w:hAnsi="Arial Narrow"/>
                <w:sz w:val="20"/>
              </w:rPr>
              <w:t>he end of one year the subject wa</w:t>
            </w:r>
            <w:r w:rsidRPr="00297299">
              <w:rPr>
                <w:rFonts w:ascii="Arial Narrow" w:hAnsi="Arial Narrow"/>
                <w:sz w:val="20"/>
              </w:rPr>
              <w:t>s classified as a responder.</w:t>
            </w:r>
          </w:p>
        </w:tc>
      </w:tr>
      <w:tr w:rsidR="006F70CF" w:rsidRPr="00297299" w:rsidTr="00C63F5A">
        <w:trPr>
          <w:trHeight w:val="203"/>
        </w:trPr>
        <w:tc>
          <w:tcPr>
            <w:tcW w:w="1985" w:type="dxa"/>
            <w:tcBorders>
              <w:top w:val="single" w:sz="4" w:space="0" w:color="auto"/>
              <w:left w:val="single" w:sz="4" w:space="0" w:color="auto"/>
              <w:bottom w:val="single" w:sz="4" w:space="0" w:color="auto"/>
              <w:right w:val="single" w:sz="4" w:space="0" w:color="auto"/>
            </w:tcBorders>
            <w:hideMark/>
          </w:tcPr>
          <w:p w:rsidR="006F70CF" w:rsidRPr="006F0003" w:rsidRDefault="006F70CF">
            <w:pPr>
              <w:widowControl/>
              <w:snapToGrid w:val="0"/>
              <w:rPr>
                <w:rFonts w:ascii="Arial Narrow" w:hAnsi="Arial Narrow"/>
                <w:sz w:val="20"/>
              </w:rPr>
            </w:pPr>
            <w:r w:rsidRPr="006F0003">
              <w:rPr>
                <w:rFonts w:ascii="Arial Narrow" w:hAnsi="Arial Narrow"/>
                <w:sz w:val="20"/>
              </w:rPr>
              <w:t>Methods used to generate results</w:t>
            </w:r>
          </w:p>
        </w:tc>
        <w:tc>
          <w:tcPr>
            <w:tcW w:w="6350" w:type="dxa"/>
            <w:tcBorders>
              <w:top w:val="single" w:sz="4" w:space="0" w:color="auto"/>
              <w:left w:val="single" w:sz="4" w:space="0" w:color="auto"/>
              <w:bottom w:val="single" w:sz="4" w:space="0" w:color="auto"/>
              <w:right w:val="single" w:sz="4" w:space="0" w:color="auto"/>
            </w:tcBorders>
            <w:hideMark/>
          </w:tcPr>
          <w:p w:rsidR="006F70CF" w:rsidRPr="00297299" w:rsidRDefault="006F70CF">
            <w:pPr>
              <w:widowControl/>
              <w:snapToGrid w:val="0"/>
              <w:rPr>
                <w:rFonts w:ascii="Arial Narrow" w:hAnsi="Arial Narrow"/>
                <w:sz w:val="20"/>
              </w:rPr>
            </w:pPr>
            <w:r w:rsidRPr="00297299">
              <w:rPr>
                <w:rFonts w:ascii="Arial Narrow" w:hAnsi="Arial Narrow"/>
                <w:sz w:val="20"/>
              </w:rPr>
              <w:t>Simple decision tree</w:t>
            </w:r>
          </w:p>
        </w:tc>
      </w:tr>
      <w:tr w:rsidR="006F70CF" w:rsidRPr="00297299" w:rsidTr="00C63F5A">
        <w:trPr>
          <w:trHeight w:val="225"/>
        </w:trPr>
        <w:tc>
          <w:tcPr>
            <w:tcW w:w="1985" w:type="dxa"/>
            <w:tcBorders>
              <w:top w:val="single" w:sz="4" w:space="0" w:color="auto"/>
              <w:left w:val="single" w:sz="4" w:space="0" w:color="auto"/>
              <w:bottom w:val="single" w:sz="4" w:space="0" w:color="auto"/>
              <w:right w:val="single" w:sz="4" w:space="0" w:color="auto"/>
            </w:tcBorders>
            <w:hideMark/>
          </w:tcPr>
          <w:p w:rsidR="006F70CF" w:rsidRPr="006F0003" w:rsidRDefault="006F70CF">
            <w:pPr>
              <w:widowControl/>
              <w:snapToGrid w:val="0"/>
              <w:rPr>
                <w:rFonts w:ascii="Arial Narrow" w:hAnsi="Arial Narrow"/>
                <w:sz w:val="20"/>
              </w:rPr>
            </w:pPr>
            <w:r w:rsidRPr="006F0003">
              <w:rPr>
                <w:rFonts w:ascii="Arial Narrow" w:hAnsi="Arial Narrow"/>
                <w:sz w:val="20"/>
              </w:rPr>
              <w:t>Cycle length</w:t>
            </w:r>
          </w:p>
        </w:tc>
        <w:tc>
          <w:tcPr>
            <w:tcW w:w="6350" w:type="dxa"/>
            <w:tcBorders>
              <w:top w:val="single" w:sz="4" w:space="0" w:color="auto"/>
              <w:left w:val="single" w:sz="4" w:space="0" w:color="auto"/>
              <w:bottom w:val="single" w:sz="4" w:space="0" w:color="auto"/>
              <w:right w:val="single" w:sz="4" w:space="0" w:color="auto"/>
            </w:tcBorders>
            <w:hideMark/>
          </w:tcPr>
          <w:p w:rsidR="006F70CF" w:rsidRPr="00297299" w:rsidRDefault="006F70CF">
            <w:pPr>
              <w:widowControl/>
              <w:snapToGrid w:val="0"/>
              <w:rPr>
                <w:rFonts w:ascii="Arial Narrow" w:hAnsi="Arial Narrow"/>
                <w:sz w:val="20"/>
              </w:rPr>
            </w:pPr>
            <w:r w:rsidRPr="00297299">
              <w:rPr>
                <w:rFonts w:ascii="Arial Narrow" w:hAnsi="Arial Narrow"/>
                <w:sz w:val="20"/>
              </w:rPr>
              <w:t>One year</w:t>
            </w:r>
          </w:p>
        </w:tc>
      </w:tr>
      <w:tr w:rsidR="006F70CF" w:rsidRPr="00297299" w:rsidTr="00C63F5A">
        <w:trPr>
          <w:trHeight w:val="58"/>
        </w:trPr>
        <w:tc>
          <w:tcPr>
            <w:tcW w:w="1985" w:type="dxa"/>
            <w:tcBorders>
              <w:top w:val="single" w:sz="4" w:space="0" w:color="auto"/>
              <w:left w:val="single" w:sz="4" w:space="0" w:color="auto"/>
              <w:bottom w:val="single" w:sz="4" w:space="0" w:color="auto"/>
              <w:right w:val="single" w:sz="4" w:space="0" w:color="auto"/>
            </w:tcBorders>
            <w:hideMark/>
          </w:tcPr>
          <w:p w:rsidR="006F70CF" w:rsidRPr="006F0003" w:rsidRDefault="006F70CF">
            <w:pPr>
              <w:widowControl/>
              <w:snapToGrid w:val="0"/>
              <w:rPr>
                <w:rFonts w:ascii="Arial Narrow" w:hAnsi="Arial Narrow"/>
                <w:sz w:val="20"/>
              </w:rPr>
            </w:pPr>
            <w:r w:rsidRPr="006F0003">
              <w:rPr>
                <w:rFonts w:ascii="Arial Narrow" w:hAnsi="Arial Narrow"/>
                <w:sz w:val="20"/>
              </w:rPr>
              <w:t>Transition probabilities</w:t>
            </w:r>
          </w:p>
        </w:tc>
        <w:tc>
          <w:tcPr>
            <w:tcW w:w="6350" w:type="dxa"/>
            <w:tcBorders>
              <w:top w:val="single" w:sz="4" w:space="0" w:color="auto"/>
              <w:left w:val="single" w:sz="4" w:space="0" w:color="auto"/>
              <w:bottom w:val="single" w:sz="4" w:space="0" w:color="auto"/>
              <w:right w:val="single" w:sz="4" w:space="0" w:color="auto"/>
            </w:tcBorders>
            <w:hideMark/>
          </w:tcPr>
          <w:p w:rsidR="006F70CF" w:rsidRPr="00297299" w:rsidRDefault="006F70CF">
            <w:pPr>
              <w:widowControl/>
              <w:snapToGrid w:val="0"/>
              <w:rPr>
                <w:rFonts w:ascii="Arial Narrow" w:hAnsi="Arial Narrow"/>
                <w:sz w:val="20"/>
              </w:rPr>
            </w:pPr>
            <w:r w:rsidRPr="00297299">
              <w:rPr>
                <w:rFonts w:ascii="Arial Narrow" w:hAnsi="Arial Narrow"/>
                <w:sz w:val="20"/>
              </w:rPr>
              <w:t>Response rates and Di</w:t>
            </w:r>
            <w:r w:rsidR="00DA2B56">
              <w:rPr>
                <w:rFonts w:ascii="Arial Narrow" w:hAnsi="Arial Narrow"/>
                <w:sz w:val="20"/>
              </w:rPr>
              <w:t>scontinuation rates (</w:t>
            </w:r>
            <w:r w:rsidR="00334885">
              <w:rPr>
                <w:rFonts w:ascii="Arial Narrow" w:hAnsi="Arial Narrow"/>
                <w:sz w:val="20"/>
              </w:rPr>
              <w:t>see the table</w:t>
            </w:r>
            <w:r w:rsidR="00FC1396">
              <w:rPr>
                <w:rFonts w:ascii="Arial Narrow" w:hAnsi="Arial Narrow"/>
                <w:sz w:val="20"/>
              </w:rPr>
              <w:t xml:space="preserve"> below</w:t>
            </w:r>
            <w:r w:rsidRPr="00FC1396">
              <w:rPr>
                <w:rFonts w:ascii="Arial Narrow" w:hAnsi="Arial Narrow"/>
                <w:sz w:val="20"/>
              </w:rPr>
              <w:t>)</w:t>
            </w:r>
          </w:p>
        </w:tc>
      </w:tr>
      <w:tr w:rsidR="006F70CF" w:rsidRPr="00297299" w:rsidTr="00C63F5A">
        <w:trPr>
          <w:trHeight w:val="240"/>
        </w:trPr>
        <w:tc>
          <w:tcPr>
            <w:tcW w:w="1985" w:type="dxa"/>
            <w:tcBorders>
              <w:top w:val="single" w:sz="4" w:space="0" w:color="auto"/>
              <w:left w:val="single" w:sz="4" w:space="0" w:color="auto"/>
              <w:bottom w:val="single" w:sz="4" w:space="0" w:color="auto"/>
              <w:right w:val="single" w:sz="4" w:space="0" w:color="auto"/>
            </w:tcBorders>
            <w:hideMark/>
          </w:tcPr>
          <w:p w:rsidR="006F70CF" w:rsidRPr="006F0003" w:rsidRDefault="006F70CF">
            <w:pPr>
              <w:widowControl/>
              <w:snapToGrid w:val="0"/>
              <w:rPr>
                <w:rFonts w:ascii="Arial Narrow" w:hAnsi="Arial Narrow"/>
                <w:sz w:val="20"/>
              </w:rPr>
            </w:pPr>
            <w:r w:rsidRPr="006F0003">
              <w:rPr>
                <w:rFonts w:ascii="Arial Narrow" w:hAnsi="Arial Narrow"/>
                <w:sz w:val="20"/>
              </w:rPr>
              <w:t>Discount rate</w:t>
            </w:r>
          </w:p>
        </w:tc>
        <w:tc>
          <w:tcPr>
            <w:tcW w:w="6350" w:type="dxa"/>
            <w:tcBorders>
              <w:top w:val="single" w:sz="4" w:space="0" w:color="auto"/>
              <w:left w:val="single" w:sz="4" w:space="0" w:color="auto"/>
              <w:bottom w:val="single" w:sz="4" w:space="0" w:color="auto"/>
              <w:right w:val="single" w:sz="4" w:space="0" w:color="auto"/>
            </w:tcBorders>
            <w:hideMark/>
          </w:tcPr>
          <w:p w:rsidR="006F70CF" w:rsidRPr="00297299" w:rsidRDefault="006F70CF">
            <w:pPr>
              <w:widowControl/>
              <w:snapToGrid w:val="0"/>
              <w:rPr>
                <w:rFonts w:ascii="Arial Narrow" w:hAnsi="Arial Narrow"/>
                <w:sz w:val="20"/>
              </w:rPr>
            </w:pPr>
            <w:r w:rsidRPr="00297299">
              <w:rPr>
                <w:rFonts w:ascii="Arial Narrow" w:hAnsi="Arial Narrow"/>
                <w:sz w:val="20"/>
              </w:rPr>
              <w:t>Not applicable</w:t>
            </w:r>
          </w:p>
        </w:tc>
      </w:tr>
      <w:tr w:rsidR="006F70CF" w:rsidRPr="00297299" w:rsidTr="00C63F5A">
        <w:trPr>
          <w:trHeight w:val="225"/>
        </w:trPr>
        <w:tc>
          <w:tcPr>
            <w:tcW w:w="1985" w:type="dxa"/>
            <w:tcBorders>
              <w:top w:val="single" w:sz="4" w:space="0" w:color="auto"/>
              <w:left w:val="single" w:sz="4" w:space="0" w:color="auto"/>
              <w:bottom w:val="single" w:sz="4" w:space="0" w:color="auto"/>
              <w:right w:val="single" w:sz="4" w:space="0" w:color="auto"/>
            </w:tcBorders>
            <w:hideMark/>
          </w:tcPr>
          <w:p w:rsidR="006F70CF" w:rsidRPr="006F0003" w:rsidRDefault="006F70CF">
            <w:pPr>
              <w:widowControl/>
              <w:snapToGrid w:val="0"/>
              <w:rPr>
                <w:rFonts w:ascii="Arial Narrow" w:hAnsi="Arial Narrow"/>
                <w:sz w:val="20"/>
              </w:rPr>
            </w:pPr>
            <w:r w:rsidRPr="006F0003">
              <w:rPr>
                <w:rFonts w:ascii="Arial Narrow" w:hAnsi="Arial Narrow"/>
                <w:sz w:val="20"/>
              </w:rPr>
              <w:t>Software package</w:t>
            </w:r>
          </w:p>
        </w:tc>
        <w:tc>
          <w:tcPr>
            <w:tcW w:w="6350" w:type="dxa"/>
            <w:tcBorders>
              <w:top w:val="single" w:sz="4" w:space="0" w:color="auto"/>
              <w:left w:val="single" w:sz="4" w:space="0" w:color="auto"/>
              <w:bottom w:val="single" w:sz="4" w:space="0" w:color="auto"/>
              <w:right w:val="single" w:sz="4" w:space="0" w:color="auto"/>
            </w:tcBorders>
            <w:hideMark/>
          </w:tcPr>
          <w:p w:rsidR="006F70CF" w:rsidRPr="00297299" w:rsidRDefault="006F70CF">
            <w:pPr>
              <w:widowControl/>
              <w:snapToGrid w:val="0"/>
              <w:rPr>
                <w:rFonts w:ascii="Arial Narrow" w:hAnsi="Arial Narrow"/>
                <w:sz w:val="20"/>
              </w:rPr>
            </w:pPr>
            <w:proofErr w:type="spellStart"/>
            <w:r w:rsidRPr="00297299">
              <w:rPr>
                <w:rFonts w:ascii="Arial Narrow" w:hAnsi="Arial Narrow"/>
                <w:sz w:val="20"/>
              </w:rPr>
              <w:t>TreeAge</w:t>
            </w:r>
            <w:proofErr w:type="spellEnd"/>
            <w:r w:rsidRPr="00297299">
              <w:rPr>
                <w:rFonts w:ascii="Arial Narrow" w:hAnsi="Arial Narrow"/>
                <w:sz w:val="20"/>
              </w:rPr>
              <w:t xml:space="preserve"> Pro 2014</w:t>
            </w:r>
          </w:p>
        </w:tc>
      </w:tr>
    </w:tbl>
    <w:p w:rsidR="006F70CF" w:rsidRPr="00297299" w:rsidRDefault="006F70CF" w:rsidP="006F70CF">
      <w:pPr>
        <w:widowControl/>
        <w:rPr>
          <w:szCs w:val="22"/>
        </w:rPr>
      </w:pPr>
    </w:p>
    <w:p w:rsidR="006F70CF" w:rsidRPr="006F0003" w:rsidRDefault="00334885" w:rsidP="00C311A5">
      <w:pPr>
        <w:pStyle w:val="ListParagraph"/>
        <w:widowControl/>
        <w:numPr>
          <w:ilvl w:val="1"/>
          <w:numId w:val="2"/>
        </w:numPr>
        <w:snapToGrid w:val="0"/>
        <w:ind w:left="709" w:hanging="709"/>
        <w:rPr>
          <w:szCs w:val="22"/>
        </w:rPr>
      </w:pPr>
      <w:r>
        <w:t>The table below</w:t>
      </w:r>
      <w:r w:rsidR="006F70CF" w:rsidRPr="00297299">
        <w:t xml:space="preserve"> summarises the variables in the economic analysis.</w:t>
      </w:r>
    </w:p>
    <w:p w:rsidR="006F0003" w:rsidRDefault="006F0003" w:rsidP="006F0003">
      <w:pPr>
        <w:pStyle w:val="ListParagraph"/>
        <w:widowControl/>
        <w:snapToGrid w:val="0"/>
        <w:ind w:left="862"/>
      </w:pPr>
    </w:p>
    <w:p w:rsidR="006F0003" w:rsidRPr="00297299" w:rsidRDefault="006F0003" w:rsidP="008F7923">
      <w:pPr>
        <w:keepNext/>
        <w:keepLines/>
        <w:widowControl/>
        <w:ind w:firstLine="709"/>
      </w:pPr>
      <w:r w:rsidRPr="00297299">
        <w:rPr>
          <w:rFonts w:ascii="Arial Narrow" w:hAnsi="Arial Narrow" w:cs="Times New Roman"/>
          <w:b/>
          <w:sz w:val="20"/>
        </w:rPr>
        <w:lastRenderedPageBreak/>
        <w:t>Variables in the economic evaluation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Economic evaluation"/>
      </w:tblPr>
      <w:tblGrid>
        <w:gridCol w:w="1559"/>
        <w:gridCol w:w="1418"/>
        <w:gridCol w:w="992"/>
        <w:gridCol w:w="992"/>
        <w:gridCol w:w="1134"/>
        <w:gridCol w:w="1134"/>
        <w:gridCol w:w="1134"/>
      </w:tblGrid>
      <w:tr w:rsidR="005455AA" w:rsidRPr="00297299" w:rsidTr="008F7923">
        <w:trPr>
          <w:cantSplit/>
          <w:trHeight w:val="228"/>
        </w:trPr>
        <w:tc>
          <w:tcPr>
            <w:tcW w:w="1559" w:type="dxa"/>
            <w:vMerge w:val="restart"/>
            <w:tcBorders>
              <w:top w:val="single" w:sz="4" w:space="0" w:color="auto"/>
              <w:left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left"/>
              <w:rPr>
                <w:rFonts w:ascii="Arial Narrow" w:hAnsi="Arial Narrow" w:cs="Times New Roman"/>
                <w:b/>
                <w:sz w:val="20"/>
              </w:rPr>
            </w:pPr>
            <w:r w:rsidRPr="00297299">
              <w:rPr>
                <w:rFonts w:ascii="Arial Narrow" w:hAnsi="Arial Narrow" w:cs="Times New Roman"/>
                <w:b/>
                <w:sz w:val="20"/>
              </w:rPr>
              <w:t>Treatment strategies</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b/>
                <w:sz w:val="20"/>
              </w:rPr>
            </w:pPr>
            <w:r w:rsidRPr="00297299">
              <w:rPr>
                <w:rFonts w:ascii="Arial Narrow" w:hAnsi="Arial Narrow" w:cs="Times New Roman"/>
                <w:b/>
                <w:sz w:val="20"/>
              </w:rPr>
              <w:t>Mean dose</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b/>
                <w:sz w:val="20"/>
              </w:rPr>
            </w:pPr>
            <w:r w:rsidRPr="00297299">
              <w:rPr>
                <w:rFonts w:ascii="Arial Narrow" w:hAnsi="Arial Narrow" w:cs="Times New Roman"/>
                <w:b/>
                <w:sz w:val="20"/>
              </w:rPr>
              <w:t>Cost/year</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b/>
                <w:sz w:val="20"/>
              </w:rPr>
            </w:pPr>
            <w:proofErr w:type="spellStart"/>
            <w:r w:rsidRPr="00297299">
              <w:rPr>
                <w:rFonts w:ascii="Arial Narrow" w:hAnsi="Arial Narrow" w:cs="Times New Roman"/>
                <w:b/>
                <w:sz w:val="20"/>
              </w:rPr>
              <w:t>Discont</w:t>
            </w:r>
            <w:proofErr w:type="spellEnd"/>
            <w:r>
              <w:rPr>
                <w:rFonts w:ascii="Arial Narrow" w:hAnsi="Arial Narrow" w:cs="Times New Roman"/>
                <w:b/>
                <w:sz w:val="20"/>
              </w:rPr>
              <w:t>.</w:t>
            </w:r>
            <w:r w:rsidRPr="00297299">
              <w:rPr>
                <w:rFonts w:ascii="Arial Narrow" w:hAnsi="Arial Narrow" w:cs="Times New Roman"/>
                <w:b/>
                <w:sz w:val="20"/>
              </w:rPr>
              <w:t xml:space="preserve"> rate</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b/>
                <w:sz w:val="20"/>
              </w:rPr>
            </w:pPr>
            <w:r w:rsidRPr="00297299">
              <w:rPr>
                <w:rFonts w:ascii="Arial Narrow" w:hAnsi="Arial Narrow" w:cs="Times New Roman"/>
                <w:b/>
                <w:sz w:val="20"/>
              </w:rPr>
              <w:t>TTD (years)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b/>
                <w:sz w:val="20"/>
              </w:rPr>
            </w:pPr>
            <w:r w:rsidRPr="00297299">
              <w:rPr>
                <w:rFonts w:ascii="Arial Narrow" w:hAnsi="Arial Narrow" w:cs="Times New Roman"/>
                <w:b/>
                <w:sz w:val="20"/>
              </w:rPr>
              <w:t xml:space="preserve">Response probability </w:t>
            </w:r>
          </w:p>
        </w:tc>
      </w:tr>
      <w:tr w:rsidR="005455AA" w:rsidRPr="00297299" w:rsidTr="008F7923">
        <w:trPr>
          <w:cantSplit/>
          <w:trHeight w:val="228"/>
        </w:trPr>
        <w:tc>
          <w:tcPr>
            <w:tcW w:w="1559" w:type="dxa"/>
            <w:vMerge/>
            <w:tcBorders>
              <w:left w:val="single" w:sz="4" w:space="0" w:color="auto"/>
              <w:bottom w:val="single" w:sz="4" w:space="0" w:color="auto"/>
              <w:right w:val="single" w:sz="4" w:space="0" w:color="auto"/>
            </w:tcBorders>
            <w:shd w:val="clear" w:color="auto" w:fill="auto"/>
            <w:vAlign w:val="center"/>
          </w:tcPr>
          <w:p w:rsidR="005455AA" w:rsidRPr="00297299" w:rsidRDefault="005455AA" w:rsidP="000E009F">
            <w:pPr>
              <w:keepNext/>
              <w:keepLines/>
              <w:widowControl/>
              <w:snapToGrid w:val="0"/>
              <w:jc w:val="left"/>
              <w:rPr>
                <w:rFonts w:ascii="Arial Narrow" w:hAnsi="Arial Narrow" w:cs="Times New Roman"/>
                <w:b/>
                <w:sz w:val="20"/>
              </w:rPr>
            </w:pPr>
          </w:p>
        </w:tc>
        <w:tc>
          <w:tcPr>
            <w:tcW w:w="1418" w:type="dxa"/>
            <w:vMerge/>
            <w:tcBorders>
              <w:left w:val="single" w:sz="4" w:space="0" w:color="auto"/>
              <w:bottom w:val="single" w:sz="4" w:space="0" w:color="auto"/>
              <w:right w:val="single" w:sz="4" w:space="0" w:color="auto"/>
            </w:tcBorders>
            <w:shd w:val="clear" w:color="auto" w:fill="auto"/>
            <w:vAlign w:val="center"/>
          </w:tcPr>
          <w:p w:rsidR="005455AA" w:rsidRPr="00297299" w:rsidRDefault="005455AA" w:rsidP="000E009F">
            <w:pPr>
              <w:keepNext/>
              <w:keepLines/>
              <w:widowControl/>
              <w:snapToGrid w:val="0"/>
              <w:jc w:val="center"/>
              <w:rPr>
                <w:rFonts w:ascii="Arial Narrow" w:hAnsi="Arial Narrow" w:cs="Times New Roman"/>
                <w:b/>
                <w:sz w:val="20"/>
              </w:rPr>
            </w:pPr>
          </w:p>
        </w:tc>
        <w:tc>
          <w:tcPr>
            <w:tcW w:w="992" w:type="dxa"/>
            <w:vMerge/>
            <w:tcBorders>
              <w:left w:val="single" w:sz="4" w:space="0" w:color="auto"/>
              <w:bottom w:val="single" w:sz="4" w:space="0" w:color="auto"/>
              <w:right w:val="single" w:sz="4" w:space="0" w:color="auto"/>
            </w:tcBorders>
            <w:shd w:val="clear" w:color="auto" w:fill="auto"/>
            <w:vAlign w:val="center"/>
          </w:tcPr>
          <w:p w:rsidR="005455AA" w:rsidRPr="00297299" w:rsidRDefault="005455AA" w:rsidP="000E009F">
            <w:pPr>
              <w:keepNext/>
              <w:keepLines/>
              <w:widowControl/>
              <w:snapToGrid w:val="0"/>
              <w:jc w:val="center"/>
              <w:rPr>
                <w:rFonts w:ascii="Arial Narrow" w:hAnsi="Arial Narrow" w:cs="Times New Roman"/>
                <w:b/>
                <w:sz w:val="20"/>
              </w:rPr>
            </w:pPr>
          </w:p>
        </w:tc>
        <w:tc>
          <w:tcPr>
            <w:tcW w:w="992" w:type="dxa"/>
            <w:vMerge/>
            <w:tcBorders>
              <w:left w:val="single" w:sz="4" w:space="0" w:color="auto"/>
              <w:bottom w:val="single" w:sz="4" w:space="0" w:color="auto"/>
              <w:right w:val="single" w:sz="4" w:space="0" w:color="auto"/>
            </w:tcBorders>
            <w:shd w:val="clear" w:color="auto" w:fill="auto"/>
            <w:vAlign w:val="center"/>
          </w:tcPr>
          <w:p w:rsidR="005455AA" w:rsidRPr="00297299" w:rsidRDefault="005455AA" w:rsidP="000E009F">
            <w:pPr>
              <w:keepNext/>
              <w:keepLines/>
              <w:widowControl/>
              <w:snapToGrid w:val="0"/>
              <w:jc w:val="center"/>
              <w:rPr>
                <w:rFonts w:ascii="Arial Narrow" w:hAnsi="Arial Narrow" w:cs="Times New Roman"/>
                <w:b/>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5455AA" w:rsidRPr="00297299" w:rsidRDefault="005455AA" w:rsidP="000E009F">
            <w:pPr>
              <w:keepNext/>
              <w:keepLines/>
              <w:widowControl/>
              <w:snapToGrid w:val="0"/>
              <w:jc w:val="center"/>
              <w:rPr>
                <w:rFonts w:ascii="Arial Narrow" w:hAnsi="Arial Narrow" w:cs="Times New Roman"/>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55AA" w:rsidRPr="00297299" w:rsidRDefault="005455AA" w:rsidP="000E009F">
            <w:pPr>
              <w:keepNext/>
              <w:keepLines/>
              <w:widowControl/>
              <w:snapToGrid w:val="0"/>
              <w:jc w:val="center"/>
              <w:rPr>
                <w:rFonts w:ascii="Arial Narrow" w:hAnsi="Arial Narrow" w:cs="Times New Roman"/>
                <w:b/>
                <w:sz w:val="20"/>
              </w:rPr>
            </w:pPr>
            <w:r>
              <w:rPr>
                <w:rFonts w:ascii="Arial Narrow" w:hAnsi="Arial Narrow" w:cs="Times New Roman"/>
                <w:b/>
                <w:i/>
                <w:sz w:val="20"/>
              </w:rPr>
              <w:t>All</w:t>
            </w:r>
            <w:r w:rsidRPr="00297299">
              <w:rPr>
                <w:rFonts w:ascii="Arial Narrow" w:hAnsi="Arial Narrow" w:cs="Times New Roman"/>
                <w:b/>
                <w:sz w:val="20"/>
              </w:rPr>
              <w:t xml:space="preserve"> </w:t>
            </w:r>
            <w:r w:rsidRPr="000A51E6">
              <w:rPr>
                <w:rFonts w:ascii="Arial Narrow" w:hAnsi="Arial Narrow" w:cs="Times New Roman"/>
                <w:b/>
                <w:i/>
                <w:sz w:val="20"/>
              </w:rPr>
              <w:t>patients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55AA" w:rsidRPr="008067DB" w:rsidRDefault="005455AA" w:rsidP="000E009F">
            <w:pPr>
              <w:keepNext/>
              <w:keepLines/>
              <w:widowControl/>
              <w:snapToGrid w:val="0"/>
              <w:jc w:val="center"/>
              <w:rPr>
                <w:rFonts w:ascii="Arial Narrow" w:hAnsi="Arial Narrow" w:cs="Times New Roman"/>
                <w:b/>
                <w:i/>
                <w:sz w:val="20"/>
                <w:vertAlign w:val="superscript"/>
              </w:rPr>
            </w:pPr>
            <w:proofErr w:type="spellStart"/>
            <w:r>
              <w:rPr>
                <w:rFonts w:ascii="Arial Narrow" w:hAnsi="Arial Narrow" w:cs="Times New Roman"/>
                <w:b/>
                <w:i/>
                <w:sz w:val="20"/>
              </w:rPr>
              <w:t>Continuers</w:t>
            </w:r>
            <w:r>
              <w:rPr>
                <w:rFonts w:ascii="Arial Narrow" w:hAnsi="Arial Narrow" w:cs="Times New Roman"/>
                <w:b/>
                <w:i/>
                <w:sz w:val="20"/>
                <w:vertAlign w:val="superscript"/>
              </w:rPr>
              <w:t>a</w:t>
            </w:r>
            <w:proofErr w:type="spellEnd"/>
          </w:p>
        </w:tc>
      </w:tr>
      <w:tr w:rsidR="005455AA" w:rsidRPr="00297299" w:rsidTr="008F7923">
        <w:trPr>
          <w:cantSplit/>
          <w:trHeight w:val="245"/>
        </w:trPr>
        <w:tc>
          <w:tcPr>
            <w:tcW w:w="8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D03AA6" w:rsidRDefault="005455AA" w:rsidP="000E009F">
            <w:pPr>
              <w:keepNext/>
              <w:keepLines/>
              <w:widowControl/>
              <w:snapToGrid w:val="0"/>
              <w:jc w:val="left"/>
              <w:rPr>
                <w:rFonts w:ascii="Arial Narrow" w:hAnsi="Arial Narrow" w:cs="Times New Roman"/>
                <w:b/>
                <w:sz w:val="20"/>
              </w:rPr>
            </w:pPr>
            <w:r w:rsidRPr="00D03AA6">
              <w:rPr>
                <w:rFonts w:ascii="Arial Narrow" w:hAnsi="Arial Narrow"/>
                <w:b/>
                <w:sz w:val="20"/>
              </w:rPr>
              <w:t>Allopurinol inappropriate patients</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proofErr w:type="spellStart"/>
            <w:r w:rsidRPr="00297299">
              <w:rPr>
                <w:rFonts w:ascii="Arial Narrow" w:hAnsi="Arial Narrow"/>
                <w:sz w:val="20"/>
              </w:rPr>
              <w:t>Febuxostat</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55 mg/day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55AA" w:rsidRPr="00297299" w:rsidRDefault="005455AA" w:rsidP="000E009F">
            <w:pPr>
              <w:keepNext/>
              <w:keepLines/>
              <w:widowControl/>
              <w:jc w:val="center"/>
              <w:rPr>
                <w:rFonts w:ascii="Arial Narrow" w:hAnsi="Arial Narrow"/>
                <w:sz w:val="20"/>
              </w:rPr>
            </w:pPr>
            <w:r w:rsidRPr="00297299">
              <w:rPr>
                <w:rFonts w:ascii="Arial Narrow" w:hAnsi="Arial Narrow"/>
                <w:sz w:val="20"/>
              </w:rPr>
              <w:t>$</w:t>
            </w:r>
            <w:r w:rsidR="00470A32">
              <w:rPr>
                <w:rFonts w:ascii="Arial Narrow" w:hAnsi="Arial Narrow"/>
                <w:noProof/>
                <w:color w:val="000000"/>
                <w:sz w:val="2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center"/>
              <w:rPr>
                <w:rFonts w:ascii="Arial Narrow" w:hAnsi="Arial Narrow"/>
                <w:sz w:val="20"/>
              </w:rPr>
            </w:pPr>
            <w:r w:rsidRPr="00297299">
              <w:rPr>
                <w:rFonts w:ascii="Arial Narrow" w:hAnsi="Arial Narrow"/>
                <w:sz w:val="20"/>
              </w:rPr>
              <w:t>7.7%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center"/>
              <w:rPr>
                <w:rFonts w:ascii="Arial Narrow" w:hAnsi="Arial Narrow"/>
                <w:sz w:val="20"/>
              </w:rPr>
            </w:pPr>
            <w:r w:rsidRPr="00297299">
              <w:rPr>
                <w:rFonts w:ascii="Arial Narrow" w:hAnsi="Arial Narrow"/>
                <w:sz w:val="20"/>
              </w:rPr>
              <w:t>0.077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455AA" w:rsidRPr="004A4B61" w:rsidRDefault="005455AA" w:rsidP="000E009F">
            <w:pPr>
              <w:keepNext/>
              <w:keepLines/>
              <w:widowControl/>
              <w:snapToGrid w:val="0"/>
              <w:jc w:val="center"/>
              <w:rPr>
                <w:rFonts w:ascii="Arial Narrow" w:hAnsi="Arial Narrow"/>
                <w:i/>
                <w:sz w:val="20"/>
              </w:rPr>
            </w:pPr>
            <w:r w:rsidRPr="004A4B61">
              <w:rPr>
                <w:rFonts w:ascii="Arial Narrow" w:hAnsi="Arial Narrow"/>
                <w:i/>
                <w:sz w:val="20"/>
              </w:rPr>
              <w:t>76.9%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55AA" w:rsidRPr="008067DB" w:rsidRDefault="005455AA" w:rsidP="000E009F">
            <w:pPr>
              <w:keepNext/>
              <w:keepLines/>
              <w:widowControl/>
              <w:snapToGrid w:val="0"/>
              <w:jc w:val="center"/>
              <w:rPr>
                <w:rFonts w:ascii="Arial Narrow" w:hAnsi="Arial Narrow"/>
                <w:sz w:val="20"/>
              </w:rPr>
            </w:pPr>
            <w:r>
              <w:rPr>
                <w:rFonts w:ascii="Arial Narrow" w:hAnsi="Arial Narrow"/>
                <w:sz w:val="20"/>
              </w:rPr>
              <w:t>83.3%</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proofErr w:type="spellStart"/>
            <w:r w:rsidRPr="00297299">
              <w:rPr>
                <w:rFonts w:ascii="Arial Narrow" w:hAnsi="Arial Narrow"/>
                <w:sz w:val="20"/>
              </w:rPr>
              <w:t>Probenecid</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2 g/day</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center"/>
              <w:rPr>
                <w:rFonts w:ascii="Arial Narrow" w:hAnsi="Arial Narrow"/>
                <w:sz w:val="20"/>
              </w:rPr>
            </w:pPr>
            <w:r w:rsidRPr="00297299">
              <w:rPr>
                <w:rFonts w:ascii="Arial Narrow" w:hAnsi="Arial Narrow"/>
                <w:sz w:val="20"/>
              </w:rPr>
              <w:t>$1,110.04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center"/>
              <w:rPr>
                <w:rFonts w:ascii="Arial Narrow" w:hAnsi="Arial Narrow"/>
                <w:sz w:val="20"/>
              </w:rPr>
            </w:pPr>
            <w:r w:rsidRPr="00297299">
              <w:rPr>
                <w:rFonts w:ascii="Arial Narrow" w:hAnsi="Arial Narrow"/>
                <w:sz w:val="20"/>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center"/>
              <w:rPr>
                <w:rFonts w:ascii="Arial Narrow" w:hAnsi="Arial Narrow"/>
                <w:sz w:val="20"/>
              </w:rPr>
            </w:pPr>
            <w:r w:rsidRPr="00297299">
              <w:rPr>
                <w:rFonts w:ascii="Arial Narrow" w:hAnsi="Arial Narrow"/>
                <w:sz w:val="20"/>
              </w:rPr>
              <w:t>0.154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455AA" w:rsidRPr="004A4B61" w:rsidRDefault="005455AA" w:rsidP="000E009F">
            <w:pPr>
              <w:keepNext/>
              <w:keepLines/>
              <w:widowControl/>
              <w:snapToGrid w:val="0"/>
              <w:jc w:val="center"/>
              <w:rPr>
                <w:rFonts w:ascii="Arial Narrow" w:hAnsi="Arial Narrow"/>
                <w:i/>
                <w:sz w:val="20"/>
              </w:rPr>
            </w:pPr>
            <w:r w:rsidRPr="004A4B61">
              <w:rPr>
                <w:rFonts w:ascii="Arial Narrow" w:hAnsi="Arial Narrow"/>
                <w:i/>
                <w:sz w:val="20"/>
              </w:rPr>
              <w:t>67.7%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55AA" w:rsidRPr="008067DB" w:rsidRDefault="005455AA" w:rsidP="000E009F">
            <w:pPr>
              <w:keepNext/>
              <w:keepLines/>
              <w:widowControl/>
              <w:snapToGrid w:val="0"/>
              <w:jc w:val="center"/>
              <w:rPr>
                <w:rFonts w:ascii="Arial Narrow" w:hAnsi="Arial Narrow"/>
                <w:sz w:val="20"/>
              </w:rPr>
            </w:pPr>
            <w:r w:rsidRPr="008067DB">
              <w:rPr>
                <w:rFonts w:ascii="Arial Narrow" w:hAnsi="Arial Narrow"/>
                <w:sz w:val="20"/>
              </w:rPr>
              <w:t>91.3%</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r w:rsidRPr="00297299">
              <w:rPr>
                <w:rFonts w:ascii="Arial Narrow" w:hAnsi="Arial Narrow"/>
                <w:sz w:val="20"/>
              </w:rPr>
              <w:t>Placebo</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no ULT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center"/>
              <w:rPr>
                <w:rFonts w:ascii="Arial Narrow" w:hAnsi="Arial Narrow"/>
                <w:sz w:val="20"/>
              </w:rPr>
            </w:pPr>
            <w:r w:rsidRPr="00297299">
              <w:rPr>
                <w:rFonts w:ascii="Arial Narrow" w:hAnsi="Arial Narrow"/>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center"/>
              <w:rPr>
                <w:rFonts w:ascii="Arial Narrow" w:hAnsi="Arial Narrow"/>
                <w:sz w:val="20"/>
              </w:rPr>
            </w:pPr>
            <w:r w:rsidRPr="00297299">
              <w:rPr>
                <w:rFonts w:ascii="Arial Narrow" w:hAnsi="Arial Narrow"/>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center"/>
              <w:rPr>
                <w:rFonts w:ascii="Arial Narrow" w:hAnsi="Arial Narrow"/>
                <w:sz w:val="20"/>
              </w:rPr>
            </w:pPr>
            <w:r w:rsidRPr="00297299">
              <w:rPr>
                <w:rFonts w:ascii="Arial Narrow" w:hAnsi="Arial Narrow"/>
                <w:sz w:val="20"/>
              </w:rPr>
              <w:t>NA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455AA" w:rsidRPr="004A4B61" w:rsidRDefault="005455AA" w:rsidP="000E009F">
            <w:pPr>
              <w:keepNext/>
              <w:keepLines/>
              <w:widowControl/>
              <w:snapToGrid w:val="0"/>
              <w:jc w:val="center"/>
              <w:rPr>
                <w:rFonts w:ascii="Arial Narrow" w:hAnsi="Arial Narrow"/>
                <w:sz w:val="20"/>
              </w:rPr>
            </w:pPr>
            <w:r w:rsidRPr="004A4B61">
              <w:rPr>
                <w:rFonts w:ascii="Arial Narrow" w:hAnsi="Arial Narrow"/>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55AA" w:rsidRPr="004A4B61" w:rsidRDefault="005455AA" w:rsidP="000E009F">
            <w:pPr>
              <w:keepNext/>
              <w:keepLines/>
              <w:widowControl/>
              <w:snapToGrid w:val="0"/>
              <w:jc w:val="center"/>
              <w:rPr>
                <w:rFonts w:ascii="Arial Narrow" w:hAnsi="Arial Narrow"/>
                <w:sz w:val="20"/>
              </w:rPr>
            </w:pPr>
            <w:r>
              <w:rPr>
                <w:rFonts w:ascii="Arial Narrow" w:hAnsi="Arial Narrow"/>
                <w:sz w:val="20"/>
              </w:rPr>
              <w:t>0</w:t>
            </w:r>
          </w:p>
        </w:tc>
      </w:tr>
      <w:tr w:rsidR="005455AA" w:rsidRPr="00297299" w:rsidTr="008F7923">
        <w:trPr>
          <w:cantSplit/>
          <w:trHeight w:val="58"/>
        </w:trPr>
        <w:tc>
          <w:tcPr>
            <w:tcW w:w="8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D03AA6" w:rsidRDefault="005455AA" w:rsidP="000E009F">
            <w:pPr>
              <w:keepNext/>
              <w:keepLines/>
              <w:widowControl/>
              <w:snapToGrid w:val="0"/>
              <w:jc w:val="left"/>
              <w:rPr>
                <w:rFonts w:ascii="Arial Narrow" w:hAnsi="Arial Narrow"/>
                <w:b/>
                <w:sz w:val="20"/>
              </w:rPr>
            </w:pPr>
            <w:r w:rsidRPr="00D03AA6">
              <w:rPr>
                <w:rFonts w:ascii="Arial Narrow" w:hAnsi="Arial Narrow"/>
                <w:b/>
                <w:sz w:val="20"/>
              </w:rPr>
              <w:t>Allopurinol insufficient patients</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proofErr w:type="spellStart"/>
            <w:r w:rsidRPr="00297299">
              <w:rPr>
                <w:rFonts w:ascii="Arial Narrow" w:hAnsi="Arial Narrow"/>
                <w:sz w:val="20"/>
              </w:rPr>
              <w:t>Febuxostat</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cs="Times New Roman"/>
                <w:sz w:val="20"/>
              </w:rPr>
              <w:t>76 mg/day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w:t>
            </w:r>
            <w:r w:rsidR="00470A32">
              <w:rPr>
                <w:rFonts w:ascii="Arial Narrow" w:hAnsi="Arial Narrow"/>
                <w:noProof/>
                <w:color w:val="000000"/>
                <w:sz w:val="2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32.8%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D03AA6" w:rsidRDefault="005455AA" w:rsidP="000E009F">
            <w:pPr>
              <w:keepNext/>
              <w:keepLines/>
              <w:widowControl/>
              <w:snapToGrid w:val="0"/>
              <w:jc w:val="center"/>
              <w:rPr>
                <w:rFonts w:ascii="Arial Narrow" w:hAnsi="Arial Narrow" w:cs="Times New Roman"/>
                <w:sz w:val="20"/>
                <w:vertAlign w:val="superscript"/>
              </w:rPr>
            </w:pPr>
            <w:r w:rsidRPr="00297299">
              <w:rPr>
                <w:rFonts w:ascii="Arial Narrow" w:hAnsi="Arial Narrow"/>
                <w:sz w:val="20"/>
              </w:rPr>
              <w:t>0.445</w:t>
            </w:r>
            <w:r>
              <w:rPr>
                <w:rFonts w:ascii="Arial Narrow" w:hAnsi="Arial Narrow"/>
                <w:sz w:val="20"/>
                <w:vertAlign w:val="superscript"/>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A36346" w:rsidRDefault="005455AA" w:rsidP="000E009F">
            <w:pPr>
              <w:keepNext/>
              <w:keepLines/>
              <w:widowControl/>
              <w:snapToGrid w:val="0"/>
              <w:jc w:val="center"/>
              <w:rPr>
                <w:rFonts w:ascii="Arial Narrow" w:hAnsi="Arial Narrow" w:cs="Times New Roman"/>
                <w:sz w:val="20"/>
                <w:vertAlign w:val="superscript"/>
              </w:rPr>
            </w:pPr>
            <w:r w:rsidRPr="004A4B61">
              <w:rPr>
                <w:rFonts w:ascii="Arial Narrow" w:hAnsi="Arial Narrow"/>
                <w:sz w:val="20"/>
              </w:rPr>
              <w:t>85.5%</w:t>
            </w:r>
            <w:r>
              <w:rPr>
                <w:rFonts w:ascii="Arial Narrow" w:hAnsi="Arial Narrow"/>
                <w:sz w:val="20"/>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55AA" w:rsidRPr="000A51E6" w:rsidRDefault="005455AA" w:rsidP="000E009F">
            <w:pPr>
              <w:keepNext/>
              <w:keepLines/>
              <w:widowControl/>
              <w:snapToGrid w:val="0"/>
              <w:jc w:val="center"/>
              <w:rPr>
                <w:rFonts w:ascii="Arial Narrow" w:hAnsi="Arial Narrow" w:cs="Times New Roman"/>
                <w:i/>
                <w:sz w:val="20"/>
              </w:rPr>
            </w:pPr>
            <w:r w:rsidRPr="000A51E6">
              <w:rPr>
                <w:rFonts w:ascii="Arial Narrow" w:hAnsi="Arial Narrow" w:cs="Times New Roman"/>
                <w:i/>
                <w:sz w:val="20"/>
              </w:rPr>
              <w:t>&gt;100%</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proofErr w:type="spellStart"/>
            <w:r w:rsidRPr="00297299">
              <w:rPr>
                <w:rFonts w:ascii="Arial Narrow" w:hAnsi="Arial Narrow"/>
                <w:sz w:val="20"/>
              </w:rPr>
              <w:t>Probenecid</w:t>
            </w:r>
            <w:proofErr w:type="spellEnd"/>
            <w:r w:rsidRPr="00297299">
              <w:rPr>
                <w:rFonts w:ascii="Arial Narrow" w:hAnsi="Arial Narrow"/>
                <w:sz w:val="20"/>
              </w:rPr>
              <w:t xml:space="preserve"> + allopurinol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cs="Times New Roman"/>
                <w:sz w:val="20"/>
              </w:rPr>
              <w:t>1</w:t>
            </w:r>
            <w:r w:rsidR="00FC1396">
              <w:rPr>
                <w:rFonts w:ascii="Arial Narrow" w:hAnsi="Arial Narrow" w:cs="Times New Roman"/>
                <w:sz w:val="20"/>
              </w:rPr>
              <w:t xml:space="preserve"> </w:t>
            </w:r>
            <w:r w:rsidRPr="00297299">
              <w:rPr>
                <w:rFonts w:ascii="Arial Narrow" w:hAnsi="Arial Narrow" w:cs="Times New Roman"/>
                <w:sz w:val="20"/>
              </w:rPr>
              <w:t>g/day + 243mg/day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$605.18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4A4B61" w:rsidRDefault="005455AA" w:rsidP="000E009F">
            <w:pPr>
              <w:keepNext/>
              <w:keepLines/>
              <w:widowControl/>
              <w:snapToGrid w:val="0"/>
              <w:jc w:val="center"/>
              <w:rPr>
                <w:rFonts w:ascii="Arial Narrow" w:hAnsi="Arial Narrow" w:cs="Times New Roman"/>
                <w:sz w:val="20"/>
              </w:rPr>
            </w:pPr>
            <w:r w:rsidRPr="004A4B61">
              <w:rPr>
                <w:rFonts w:ascii="Arial Narrow" w:hAnsi="Arial Narrow"/>
                <w:sz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55AA" w:rsidRPr="004A4B61" w:rsidRDefault="005455AA" w:rsidP="000E009F">
            <w:pPr>
              <w:keepNext/>
              <w:keepLines/>
              <w:widowControl/>
              <w:snapToGrid w:val="0"/>
              <w:jc w:val="center"/>
              <w:rPr>
                <w:rFonts w:ascii="Arial Narrow" w:hAnsi="Arial Narrow" w:cs="Times New Roman"/>
                <w:sz w:val="20"/>
              </w:rPr>
            </w:pPr>
            <w:r>
              <w:rPr>
                <w:rFonts w:ascii="Arial Narrow" w:hAnsi="Arial Narrow" w:cs="Times New Roman"/>
                <w:sz w:val="20"/>
              </w:rPr>
              <w:t>100%</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proofErr w:type="spellStart"/>
            <w:r w:rsidRPr="00297299">
              <w:rPr>
                <w:rFonts w:ascii="Arial Narrow" w:hAnsi="Arial Narrow"/>
                <w:sz w:val="20"/>
              </w:rPr>
              <w:t>Probenecid</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cs="Times New Roman"/>
                <w:sz w:val="20"/>
              </w:rPr>
              <w:t>2g/day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$1,110.04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0.154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4A4B61" w:rsidRDefault="005455AA" w:rsidP="000E009F">
            <w:pPr>
              <w:keepNext/>
              <w:keepLines/>
              <w:widowControl/>
              <w:snapToGrid w:val="0"/>
              <w:jc w:val="center"/>
              <w:rPr>
                <w:rFonts w:ascii="Arial Narrow" w:hAnsi="Arial Narrow" w:cs="Times New Roman"/>
                <w:i/>
                <w:sz w:val="20"/>
              </w:rPr>
            </w:pPr>
            <w:r w:rsidRPr="004A4B61">
              <w:rPr>
                <w:rFonts w:ascii="Arial Narrow" w:hAnsi="Arial Narrow"/>
                <w:i/>
                <w:sz w:val="20"/>
              </w:rPr>
              <w:t>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55AA" w:rsidRPr="004A4B61" w:rsidRDefault="005455AA" w:rsidP="000E009F">
            <w:pPr>
              <w:keepNext/>
              <w:keepLines/>
              <w:widowControl/>
              <w:snapToGrid w:val="0"/>
              <w:jc w:val="center"/>
              <w:rPr>
                <w:rFonts w:ascii="Arial Narrow" w:hAnsi="Arial Narrow" w:cs="Times New Roman"/>
                <w:i/>
                <w:sz w:val="20"/>
              </w:rPr>
            </w:pPr>
            <w:r w:rsidRPr="008067DB">
              <w:rPr>
                <w:rFonts w:ascii="Arial Narrow" w:hAnsi="Arial Narrow"/>
                <w:sz w:val="20"/>
              </w:rPr>
              <w:t>91.3%</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r w:rsidRPr="00297299">
              <w:rPr>
                <w:rFonts w:ascii="Arial Narrow" w:hAnsi="Arial Narrow"/>
                <w:sz w:val="20"/>
              </w:rPr>
              <w:t>Allopurinol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cs="Times New Roman"/>
                <w:sz w:val="20"/>
              </w:rPr>
              <w:t>600mg/day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$123.84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4A4B61" w:rsidRDefault="005455AA" w:rsidP="000E009F">
            <w:pPr>
              <w:keepNext/>
              <w:keepLines/>
              <w:widowControl/>
              <w:snapToGrid w:val="0"/>
              <w:jc w:val="center"/>
              <w:rPr>
                <w:rFonts w:ascii="Arial Narrow" w:hAnsi="Arial Narrow" w:cs="Times New Roman"/>
                <w:sz w:val="20"/>
              </w:rPr>
            </w:pPr>
            <w:r w:rsidRPr="004A4B61">
              <w:rPr>
                <w:rFonts w:ascii="Arial Narrow" w:hAnsi="Arial Narrow"/>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55AA" w:rsidRPr="004A4B61" w:rsidRDefault="005455AA" w:rsidP="000E009F">
            <w:pPr>
              <w:keepNext/>
              <w:keepLines/>
              <w:widowControl/>
              <w:snapToGrid w:val="0"/>
              <w:jc w:val="center"/>
              <w:rPr>
                <w:rFonts w:ascii="Arial Narrow" w:hAnsi="Arial Narrow" w:cs="Times New Roman"/>
                <w:sz w:val="20"/>
              </w:rPr>
            </w:pPr>
            <w:r>
              <w:rPr>
                <w:rFonts w:ascii="Arial Narrow" w:hAnsi="Arial Narrow" w:cs="Times New Roman"/>
                <w:sz w:val="20"/>
              </w:rPr>
              <w:t>0%</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r w:rsidRPr="00297299">
              <w:rPr>
                <w:rFonts w:ascii="Arial Narrow" w:hAnsi="Arial Narrow"/>
                <w:sz w:val="20"/>
              </w:rPr>
              <w:t>Placebo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cs="Times New Roman"/>
                <w:sz w:val="20"/>
              </w:rPr>
              <w:t>no ULT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4A4B61" w:rsidRDefault="005455AA" w:rsidP="000E009F">
            <w:pPr>
              <w:keepNext/>
              <w:keepLines/>
              <w:widowControl/>
              <w:snapToGrid w:val="0"/>
              <w:jc w:val="center"/>
              <w:rPr>
                <w:rFonts w:ascii="Arial Narrow" w:hAnsi="Arial Narrow" w:cs="Times New Roman"/>
                <w:sz w:val="20"/>
              </w:rPr>
            </w:pPr>
            <w:r w:rsidRPr="004A4B61">
              <w:rPr>
                <w:rFonts w:ascii="Arial Narrow" w:hAnsi="Arial Narrow"/>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55AA" w:rsidRPr="004A4B61" w:rsidRDefault="005455AA" w:rsidP="000E009F">
            <w:pPr>
              <w:keepNext/>
              <w:keepLines/>
              <w:widowControl/>
              <w:snapToGrid w:val="0"/>
              <w:jc w:val="center"/>
              <w:rPr>
                <w:rFonts w:ascii="Arial Narrow" w:hAnsi="Arial Narrow" w:cs="Times New Roman"/>
                <w:sz w:val="20"/>
              </w:rPr>
            </w:pPr>
            <w:r>
              <w:rPr>
                <w:rFonts w:ascii="Arial Narrow" w:hAnsi="Arial Narrow" w:cs="Times New Roman"/>
                <w:sz w:val="20"/>
              </w:rPr>
              <w:t>0%</w:t>
            </w:r>
          </w:p>
        </w:tc>
      </w:tr>
      <w:tr w:rsidR="005455AA" w:rsidRPr="00297299" w:rsidTr="008F7923">
        <w:trPr>
          <w:cantSplit/>
          <w:trHeight w:val="58"/>
        </w:trPr>
        <w:tc>
          <w:tcPr>
            <w:tcW w:w="8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D03AA6" w:rsidRDefault="005455AA" w:rsidP="000E009F">
            <w:pPr>
              <w:keepNext/>
              <w:keepLines/>
              <w:widowControl/>
              <w:snapToGrid w:val="0"/>
              <w:jc w:val="left"/>
              <w:rPr>
                <w:rFonts w:ascii="Arial Narrow" w:hAnsi="Arial Narrow" w:cs="Times New Roman"/>
                <w:b/>
                <w:sz w:val="20"/>
              </w:rPr>
            </w:pPr>
            <w:r w:rsidRPr="00D03AA6">
              <w:rPr>
                <w:rFonts w:ascii="Arial Narrow" w:hAnsi="Arial Narrow"/>
                <w:b/>
                <w:sz w:val="20"/>
              </w:rPr>
              <w:t>Allopurinol insufficient patients with moderate to severe renal impairment</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proofErr w:type="spellStart"/>
            <w:r w:rsidRPr="00297299">
              <w:rPr>
                <w:rFonts w:ascii="Arial Narrow" w:hAnsi="Arial Narrow"/>
                <w:sz w:val="20"/>
              </w:rPr>
              <w:t>Febuxostat</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cs="Times New Roman"/>
                <w:sz w:val="20"/>
              </w:rPr>
              <w:t>65 mg/day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w:t>
            </w:r>
            <w:r w:rsidR="00470A32">
              <w:rPr>
                <w:rFonts w:ascii="Arial Narrow" w:hAnsi="Arial Narrow"/>
                <w:noProof/>
                <w:color w:val="000000"/>
                <w:sz w:val="2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D03AA6" w:rsidRDefault="005455AA" w:rsidP="000E009F">
            <w:pPr>
              <w:keepNext/>
              <w:keepLines/>
              <w:widowControl/>
              <w:snapToGrid w:val="0"/>
              <w:jc w:val="center"/>
              <w:rPr>
                <w:rFonts w:ascii="Arial Narrow" w:hAnsi="Arial Narrow" w:cs="Times New Roman"/>
                <w:i/>
                <w:sz w:val="20"/>
              </w:rPr>
            </w:pPr>
            <w:r>
              <w:rPr>
                <w:rFonts w:ascii="Arial Narrow" w:hAnsi="Arial Narrow"/>
                <w:i/>
                <w:sz w:val="20"/>
              </w:rPr>
              <w:t>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CE5FFF" w:rsidRDefault="005455AA" w:rsidP="000E009F">
            <w:pPr>
              <w:keepNext/>
              <w:keepLines/>
              <w:widowControl/>
              <w:snapToGrid w:val="0"/>
              <w:jc w:val="center"/>
              <w:rPr>
                <w:rFonts w:ascii="Arial Narrow" w:hAnsi="Arial Narrow" w:cs="Times New Roman"/>
                <w:sz w:val="20"/>
                <w:vertAlign w:val="superscript"/>
              </w:rPr>
            </w:pPr>
            <w:r w:rsidRPr="00297299">
              <w:rPr>
                <w:rFonts w:ascii="Arial Narrow" w:hAnsi="Arial Narrow"/>
                <w:sz w:val="20"/>
              </w:rPr>
              <w:t>0.462</w:t>
            </w:r>
            <w:r>
              <w:rPr>
                <w:rFonts w:ascii="Arial Narrow" w:hAnsi="Arial Narrow"/>
                <w:sz w:val="20"/>
                <w:vertAlign w:val="superscript"/>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4A4B61" w:rsidRDefault="005455AA" w:rsidP="000E009F">
            <w:pPr>
              <w:keepNext/>
              <w:keepLines/>
              <w:widowControl/>
              <w:snapToGrid w:val="0"/>
              <w:jc w:val="center"/>
              <w:rPr>
                <w:rFonts w:ascii="Arial Narrow" w:hAnsi="Arial Narrow" w:cs="Times New Roman"/>
                <w:sz w:val="20"/>
              </w:rPr>
            </w:pPr>
            <w:r w:rsidRPr="004A4B61">
              <w:rPr>
                <w:rFonts w:ascii="Arial Narrow" w:hAnsi="Arial Narrow"/>
                <w:i/>
                <w:sz w:val="20"/>
              </w:rPr>
              <w:t>45.2</w:t>
            </w:r>
            <w:r w:rsidRPr="004A4B61">
              <w:rPr>
                <w:rFonts w:ascii="Arial Narrow" w:hAnsi="Arial Narrow"/>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55AA" w:rsidRPr="00A36346" w:rsidRDefault="005455AA" w:rsidP="000E009F">
            <w:pPr>
              <w:keepNext/>
              <w:keepLines/>
              <w:widowControl/>
              <w:snapToGrid w:val="0"/>
              <w:jc w:val="center"/>
              <w:rPr>
                <w:rFonts w:ascii="Arial Narrow" w:hAnsi="Arial Narrow" w:cs="Times New Roman"/>
                <w:i/>
                <w:sz w:val="20"/>
                <w:vertAlign w:val="superscript"/>
              </w:rPr>
            </w:pPr>
            <w:r>
              <w:rPr>
                <w:rFonts w:ascii="Arial Narrow" w:hAnsi="Arial Narrow" w:cs="Times New Roman"/>
                <w:i/>
                <w:sz w:val="20"/>
              </w:rPr>
              <w:t>62.9%</w:t>
            </w:r>
            <w:r>
              <w:rPr>
                <w:rFonts w:ascii="Arial Narrow" w:hAnsi="Arial Narrow" w:cs="Times New Roman"/>
                <w:i/>
                <w:sz w:val="20"/>
                <w:vertAlign w:val="superscript"/>
              </w:rPr>
              <w:t>c</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proofErr w:type="spellStart"/>
            <w:r w:rsidRPr="00297299">
              <w:rPr>
                <w:rFonts w:ascii="Arial Narrow" w:hAnsi="Arial Narrow"/>
                <w:sz w:val="20"/>
              </w:rPr>
              <w:t>Probenecid</w:t>
            </w:r>
            <w:proofErr w:type="spellEnd"/>
            <w:r w:rsidRPr="00297299">
              <w:rPr>
                <w:rFonts w:ascii="Arial Narrow" w:hAnsi="Arial Narrow"/>
                <w:sz w:val="20"/>
              </w:rPr>
              <w:t xml:space="preserve"> + allopurinol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cs="Times New Roman"/>
                <w:sz w:val="20"/>
              </w:rPr>
              <w:t>0.99</w:t>
            </w:r>
            <w:r w:rsidR="00FC1396">
              <w:rPr>
                <w:rFonts w:ascii="Arial Narrow" w:hAnsi="Arial Narrow" w:cs="Times New Roman"/>
                <w:sz w:val="20"/>
              </w:rPr>
              <w:t xml:space="preserve"> </w:t>
            </w:r>
            <w:r w:rsidRPr="00297299">
              <w:rPr>
                <w:rFonts w:ascii="Arial Narrow" w:hAnsi="Arial Narrow" w:cs="Times New Roman"/>
                <w:sz w:val="20"/>
              </w:rPr>
              <w:t>g/day + 362mg/day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$624.19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3858D7" w:rsidRDefault="005455AA" w:rsidP="000E009F">
            <w:pPr>
              <w:keepNext/>
              <w:keepLines/>
              <w:widowControl/>
              <w:snapToGrid w:val="0"/>
              <w:jc w:val="center"/>
              <w:rPr>
                <w:rFonts w:ascii="Arial Narrow" w:hAnsi="Arial Narrow" w:cs="Times New Roman"/>
                <w:sz w:val="20"/>
                <w:vertAlign w:val="superscript"/>
              </w:rPr>
            </w:pPr>
            <w:r w:rsidRPr="00297299">
              <w:rPr>
                <w:rFonts w:ascii="Arial Narrow" w:hAnsi="Arial Narrow"/>
                <w:sz w:val="20"/>
              </w:rPr>
              <w:t>25.0%</w:t>
            </w:r>
            <w:r>
              <w:rPr>
                <w:rFonts w:ascii="Arial Narrow" w:hAnsi="Arial Narrow"/>
                <w:sz w:val="20"/>
                <w:vertAlign w:val="superscript"/>
              </w:rPr>
              <w: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CE5FFF" w:rsidRDefault="005455AA" w:rsidP="000E009F">
            <w:pPr>
              <w:keepNext/>
              <w:keepLines/>
              <w:widowControl/>
              <w:snapToGrid w:val="0"/>
              <w:jc w:val="center"/>
              <w:rPr>
                <w:rFonts w:ascii="Arial Narrow" w:hAnsi="Arial Narrow" w:cs="Times New Roman"/>
                <w:sz w:val="20"/>
                <w:vertAlign w:val="superscript"/>
              </w:rPr>
            </w:pPr>
            <w:r w:rsidRPr="00297299">
              <w:rPr>
                <w:rFonts w:ascii="Arial Narrow" w:hAnsi="Arial Narrow"/>
                <w:sz w:val="20"/>
              </w:rPr>
              <w:t>0.462</w:t>
            </w:r>
            <w:r>
              <w:rPr>
                <w:rFonts w:ascii="Arial Narrow" w:hAnsi="Arial Narrow"/>
                <w:sz w:val="20"/>
                <w:vertAlign w:val="superscript"/>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A36346" w:rsidRDefault="005455AA" w:rsidP="000E009F">
            <w:pPr>
              <w:keepNext/>
              <w:keepLines/>
              <w:widowControl/>
              <w:snapToGrid w:val="0"/>
              <w:jc w:val="center"/>
              <w:rPr>
                <w:rFonts w:ascii="Arial Narrow" w:hAnsi="Arial Narrow" w:cs="Times New Roman"/>
                <w:sz w:val="20"/>
                <w:vertAlign w:val="superscript"/>
              </w:rPr>
            </w:pPr>
            <w:r w:rsidRPr="004A4B61">
              <w:rPr>
                <w:rFonts w:ascii="Arial Narrow" w:hAnsi="Arial Narrow"/>
                <w:sz w:val="20"/>
              </w:rPr>
              <w:t>50.0%</w:t>
            </w:r>
            <w:r>
              <w:rPr>
                <w:rFonts w:ascii="Arial Narrow" w:hAnsi="Arial Narrow"/>
                <w:sz w:val="20"/>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55AA" w:rsidRPr="000A51E6" w:rsidRDefault="005455AA" w:rsidP="000E009F">
            <w:pPr>
              <w:keepNext/>
              <w:keepLines/>
              <w:widowControl/>
              <w:snapToGrid w:val="0"/>
              <w:jc w:val="center"/>
              <w:rPr>
                <w:rFonts w:ascii="Arial Narrow" w:hAnsi="Arial Narrow" w:cs="Times New Roman"/>
                <w:i/>
                <w:sz w:val="20"/>
              </w:rPr>
            </w:pPr>
            <w:r w:rsidRPr="000A51E6">
              <w:rPr>
                <w:rFonts w:ascii="Arial Narrow" w:hAnsi="Arial Narrow" w:cs="Times New Roman"/>
                <w:i/>
                <w:sz w:val="20"/>
              </w:rPr>
              <w:t>66.7%</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proofErr w:type="spellStart"/>
            <w:r w:rsidRPr="00297299">
              <w:rPr>
                <w:rFonts w:ascii="Arial Narrow" w:hAnsi="Arial Narrow"/>
                <w:sz w:val="20"/>
              </w:rPr>
              <w:t>Probenecid</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cs="Times New Roman"/>
                <w:sz w:val="20"/>
              </w:rPr>
              <w:t>1.29 g/day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$715.97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3858D7" w:rsidRDefault="005455AA" w:rsidP="000E009F">
            <w:pPr>
              <w:keepNext/>
              <w:keepLines/>
              <w:widowControl/>
              <w:snapToGrid w:val="0"/>
              <w:jc w:val="center"/>
              <w:rPr>
                <w:rFonts w:ascii="Arial Narrow" w:hAnsi="Arial Narrow" w:cs="Times New Roman"/>
                <w:sz w:val="20"/>
                <w:vertAlign w:val="superscript"/>
              </w:rPr>
            </w:pPr>
            <w:r w:rsidRPr="00297299">
              <w:rPr>
                <w:rFonts w:ascii="Arial Narrow" w:hAnsi="Arial Narrow"/>
                <w:sz w:val="20"/>
              </w:rPr>
              <w:t>25.0%</w:t>
            </w:r>
            <w:r>
              <w:rPr>
                <w:rFonts w:ascii="Arial Narrow" w:hAnsi="Arial Narrow"/>
                <w:sz w:val="20"/>
                <w:vertAlign w:val="superscript"/>
              </w:rPr>
              <w: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CE5FFF" w:rsidRDefault="005455AA" w:rsidP="000E009F">
            <w:pPr>
              <w:keepNext/>
              <w:keepLines/>
              <w:widowControl/>
              <w:snapToGrid w:val="0"/>
              <w:jc w:val="center"/>
              <w:rPr>
                <w:rFonts w:ascii="Arial Narrow" w:hAnsi="Arial Narrow" w:cs="Times New Roman"/>
                <w:sz w:val="20"/>
                <w:vertAlign w:val="superscript"/>
              </w:rPr>
            </w:pPr>
            <w:r w:rsidRPr="00297299">
              <w:rPr>
                <w:rFonts w:ascii="Arial Narrow" w:hAnsi="Arial Narrow"/>
                <w:sz w:val="20"/>
              </w:rPr>
              <w:t>0.462</w:t>
            </w:r>
            <w:r>
              <w:rPr>
                <w:rFonts w:ascii="Arial Narrow" w:hAnsi="Arial Narrow"/>
                <w:sz w:val="20"/>
                <w:vertAlign w:val="superscript"/>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A36346" w:rsidRDefault="005455AA" w:rsidP="000E009F">
            <w:pPr>
              <w:keepNext/>
              <w:keepLines/>
              <w:widowControl/>
              <w:snapToGrid w:val="0"/>
              <w:jc w:val="center"/>
              <w:rPr>
                <w:rFonts w:ascii="Arial Narrow" w:hAnsi="Arial Narrow" w:cs="Times New Roman"/>
                <w:sz w:val="20"/>
                <w:vertAlign w:val="superscript"/>
              </w:rPr>
            </w:pPr>
            <w:r w:rsidRPr="004A4B61">
              <w:rPr>
                <w:rFonts w:ascii="Arial Narrow" w:hAnsi="Arial Narrow"/>
                <w:sz w:val="20"/>
              </w:rPr>
              <w:t>22.0%</w:t>
            </w:r>
            <w:r>
              <w:rPr>
                <w:rFonts w:ascii="Arial Narrow" w:hAnsi="Arial Narrow"/>
                <w:sz w:val="20"/>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55AA" w:rsidRPr="000A51E6" w:rsidRDefault="005455AA" w:rsidP="000E009F">
            <w:pPr>
              <w:keepNext/>
              <w:keepLines/>
              <w:widowControl/>
              <w:snapToGrid w:val="0"/>
              <w:jc w:val="center"/>
              <w:rPr>
                <w:rFonts w:ascii="Arial Narrow" w:hAnsi="Arial Narrow" w:cs="Times New Roman"/>
                <w:i/>
                <w:sz w:val="20"/>
              </w:rPr>
            </w:pPr>
            <w:r>
              <w:rPr>
                <w:rFonts w:ascii="Arial Narrow" w:hAnsi="Arial Narrow" w:cs="Times New Roman"/>
                <w:i/>
                <w:sz w:val="20"/>
              </w:rPr>
              <w:t>29.3%</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r w:rsidRPr="00297299">
              <w:rPr>
                <w:rFonts w:ascii="Arial Narrow" w:hAnsi="Arial Narrow"/>
                <w:sz w:val="20"/>
              </w:rPr>
              <w:t>Allopurinol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cs="Times New Roman"/>
                <w:sz w:val="20"/>
              </w:rPr>
              <w:t>200 mg/day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$41.28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4A4B61" w:rsidRDefault="005455AA" w:rsidP="000E009F">
            <w:pPr>
              <w:keepNext/>
              <w:keepLines/>
              <w:widowControl/>
              <w:snapToGrid w:val="0"/>
              <w:jc w:val="center"/>
              <w:rPr>
                <w:rFonts w:ascii="Arial Narrow" w:hAnsi="Arial Narrow" w:cs="Times New Roman"/>
                <w:sz w:val="20"/>
              </w:rPr>
            </w:pPr>
            <w:r w:rsidRPr="004A4B61">
              <w:rPr>
                <w:rFonts w:ascii="Arial Narrow" w:hAnsi="Arial Narrow"/>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55AA" w:rsidRPr="004A4B61" w:rsidRDefault="005455AA" w:rsidP="000E009F">
            <w:pPr>
              <w:keepNext/>
              <w:keepLines/>
              <w:widowControl/>
              <w:snapToGrid w:val="0"/>
              <w:jc w:val="center"/>
              <w:rPr>
                <w:rFonts w:ascii="Arial Narrow" w:hAnsi="Arial Narrow" w:cs="Times New Roman"/>
                <w:sz w:val="20"/>
              </w:rPr>
            </w:pPr>
            <w:r>
              <w:rPr>
                <w:rFonts w:ascii="Arial Narrow" w:hAnsi="Arial Narrow" w:cs="Times New Roman"/>
                <w:sz w:val="20"/>
              </w:rPr>
              <w:t>0%</w:t>
            </w:r>
          </w:p>
        </w:tc>
      </w:tr>
      <w:tr w:rsidR="005455AA" w:rsidRPr="00297299" w:rsidTr="008F7923">
        <w:trPr>
          <w:cantSplit/>
          <w:trHeight w:val="58"/>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455AA" w:rsidRPr="00297299" w:rsidRDefault="005455AA" w:rsidP="000E009F">
            <w:pPr>
              <w:keepNext/>
              <w:keepLines/>
              <w:widowControl/>
              <w:snapToGrid w:val="0"/>
              <w:jc w:val="left"/>
              <w:rPr>
                <w:rFonts w:ascii="Arial Narrow" w:hAnsi="Arial Narrow" w:cs="Times New Roman"/>
                <w:sz w:val="20"/>
              </w:rPr>
            </w:pPr>
            <w:r w:rsidRPr="00297299">
              <w:rPr>
                <w:rFonts w:ascii="Arial Narrow" w:hAnsi="Arial Narrow"/>
                <w:sz w:val="20"/>
              </w:rPr>
              <w:t>Placebo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cs="Times New Roman"/>
                <w:sz w:val="20"/>
              </w:rPr>
              <w:t>no ULT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297299" w:rsidRDefault="005455AA" w:rsidP="000E009F">
            <w:pPr>
              <w:keepNext/>
              <w:keepLines/>
              <w:widowControl/>
              <w:snapToGrid w:val="0"/>
              <w:jc w:val="center"/>
              <w:rPr>
                <w:rFonts w:ascii="Arial Narrow" w:hAnsi="Arial Narrow" w:cs="Times New Roman"/>
                <w:sz w:val="20"/>
              </w:rPr>
            </w:pPr>
            <w:r w:rsidRPr="00297299">
              <w:rPr>
                <w:rFonts w:ascii="Arial Narrow" w:hAnsi="Arial Narrow"/>
                <w:sz w:val="20"/>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5AA" w:rsidRPr="004A4B61" w:rsidRDefault="005455AA" w:rsidP="000E009F">
            <w:pPr>
              <w:keepNext/>
              <w:keepLines/>
              <w:widowControl/>
              <w:snapToGrid w:val="0"/>
              <w:jc w:val="center"/>
              <w:rPr>
                <w:rFonts w:ascii="Arial Narrow" w:hAnsi="Arial Narrow" w:cs="Times New Roman"/>
                <w:sz w:val="20"/>
              </w:rPr>
            </w:pPr>
            <w:r w:rsidRPr="004A4B61">
              <w:rPr>
                <w:rFonts w:ascii="Arial Narrow" w:hAnsi="Arial Narrow"/>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55AA" w:rsidRPr="004A4B61" w:rsidRDefault="005455AA" w:rsidP="000E009F">
            <w:pPr>
              <w:keepNext/>
              <w:keepLines/>
              <w:widowControl/>
              <w:snapToGrid w:val="0"/>
              <w:jc w:val="center"/>
              <w:rPr>
                <w:rFonts w:ascii="Arial Narrow" w:hAnsi="Arial Narrow" w:cs="Times New Roman"/>
                <w:sz w:val="20"/>
              </w:rPr>
            </w:pPr>
            <w:r>
              <w:rPr>
                <w:rFonts w:ascii="Arial Narrow" w:hAnsi="Arial Narrow" w:cs="Times New Roman"/>
                <w:sz w:val="20"/>
              </w:rPr>
              <w:t>0%</w:t>
            </w:r>
          </w:p>
        </w:tc>
      </w:tr>
    </w:tbl>
    <w:p w:rsidR="005455AA" w:rsidRPr="00584558" w:rsidRDefault="005455AA" w:rsidP="008F7923">
      <w:pPr>
        <w:keepNext/>
        <w:keepLines/>
        <w:widowControl/>
        <w:ind w:left="851" w:hanging="142"/>
        <w:rPr>
          <w:rFonts w:ascii="Arial Narrow" w:hAnsi="Arial Narrow"/>
          <w:sz w:val="18"/>
        </w:rPr>
      </w:pPr>
      <w:r w:rsidRPr="00584558">
        <w:rPr>
          <w:rFonts w:ascii="Arial Narrow" w:hAnsi="Arial Narrow"/>
          <w:sz w:val="18"/>
        </w:rPr>
        <w:t>Source: Constructed during the evaluation from Table D-1 of the re-submission</w:t>
      </w:r>
    </w:p>
    <w:p w:rsidR="005455AA" w:rsidRDefault="005455AA" w:rsidP="008F7923">
      <w:pPr>
        <w:keepNext/>
        <w:keepLines/>
        <w:widowControl/>
        <w:ind w:left="851" w:hanging="142"/>
        <w:rPr>
          <w:rFonts w:ascii="Arial Narrow" w:hAnsi="Arial Narrow"/>
          <w:sz w:val="18"/>
        </w:rPr>
      </w:pPr>
      <w:r w:rsidRPr="00584558">
        <w:rPr>
          <w:rFonts w:ascii="Arial Narrow" w:hAnsi="Arial Narrow"/>
          <w:sz w:val="18"/>
        </w:rPr>
        <w:t>TTD = time to treatment discontinuation.</w:t>
      </w:r>
    </w:p>
    <w:p w:rsidR="005455AA" w:rsidRPr="00F44BB4" w:rsidRDefault="005455AA" w:rsidP="008F7923">
      <w:pPr>
        <w:keepNext/>
        <w:keepLines/>
        <w:widowControl/>
        <w:ind w:left="851" w:hanging="142"/>
        <w:rPr>
          <w:rFonts w:ascii="Arial Narrow" w:hAnsi="Arial Narrow"/>
          <w:i/>
          <w:sz w:val="18"/>
        </w:rPr>
      </w:pPr>
      <w:proofErr w:type="gramStart"/>
      <w:r w:rsidRPr="00F44BB4">
        <w:rPr>
          <w:rFonts w:ascii="Arial Narrow" w:hAnsi="Arial Narrow"/>
          <w:i/>
          <w:sz w:val="18"/>
          <w:vertAlign w:val="superscript"/>
        </w:rPr>
        <w:t>a</w:t>
      </w:r>
      <w:proofErr w:type="gramEnd"/>
      <w:r w:rsidRPr="00F44BB4">
        <w:rPr>
          <w:rFonts w:ascii="Arial Narrow" w:hAnsi="Arial Narrow"/>
          <w:i/>
          <w:sz w:val="18"/>
        </w:rPr>
        <w:tab/>
      </w:r>
      <w:r w:rsidRPr="00155163">
        <w:rPr>
          <w:rFonts w:ascii="Arial Narrow" w:hAnsi="Arial Narrow"/>
          <w:sz w:val="18"/>
        </w:rPr>
        <w:t>calculated as response rate/(1-discontinuation rate)</w:t>
      </w:r>
    </w:p>
    <w:p w:rsidR="005455AA" w:rsidRDefault="005455AA" w:rsidP="008F7923">
      <w:pPr>
        <w:keepNext/>
        <w:keepLines/>
        <w:widowControl/>
        <w:ind w:left="851" w:hanging="142"/>
        <w:rPr>
          <w:rFonts w:ascii="Arial Narrow" w:hAnsi="Arial Narrow"/>
          <w:sz w:val="18"/>
        </w:rPr>
      </w:pPr>
      <w:proofErr w:type="gramStart"/>
      <w:r>
        <w:rPr>
          <w:rFonts w:ascii="Arial Narrow" w:hAnsi="Arial Narrow"/>
          <w:sz w:val="18"/>
          <w:vertAlign w:val="superscript"/>
        </w:rPr>
        <w:t>b</w:t>
      </w:r>
      <w:proofErr w:type="gramEnd"/>
      <w:r>
        <w:rPr>
          <w:rFonts w:ascii="Arial Narrow" w:hAnsi="Arial Narrow"/>
          <w:sz w:val="18"/>
        </w:rPr>
        <w:tab/>
        <w:t>rate applied in the analysis presented in the re-submission</w:t>
      </w:r>
    </w:p>
    <w:p w:rsidR="005455AA" w:rsidRDefault="005455AA" w:rsidP="008F7923">
      <w:pPr>
        <w:keepNext/>
        <w:keepLines/>
        <w:widowControl/>
        <w:ind w:left="851" w:hanging="142"/>
        <w:rPr>
          <w:rFonts w:ascii="Arial Narrow" w:hAnsi="Arial Narrow"/>
          <w:i/>
          <w:sz w:val="18"/>
        </w:rPr>
      </w:pPr>
      <w:proofErr w:type="gramStart"/>
      <w:r w:rsidRPr="00F44BB4">
        <w:rPr>
          <w:rFonts w:ascii="Arial Narrow" w:hAnsi="Arial Narrow"/>
          <w:i/>
          <w:sz w:val="18"/>
          <w:vertAlign w:val="superscript"/>
        </w:rPr>
        <w:t>c</w:t>
      </w:r>
      <w:proofErr w:type="gramEnd"/>
      <w:r w:rsidRPr="00F44BB4">
        <w:rPr>
          <w:rFonts w:ascii="Arial Narrow" w:hAnsi="Arial Narrow"/>
          <w:i/>
          <w:sz w:val="18"/>
        </w:rPr>
        <w:tab/>
      </w:r>
      <w:r w:rsidRPr="00155163">
        <w:rPr>
          <w:rFonts w:ascii="Arial Narrow" w:hAnsi="Arial Narrow"/>
          <w:sz w:val="18"/>
        </w:rPr>
        <w:t>incorrectly estimated at 58.3% in the re-submission</w:t>
      </w:r>
    </w:p>
    <w:p w:rsidR="005455AA" w:rsidRDefault="005455AA" w:rsidP="008F7923">
      <w:pPr>
        <w:keepNext/>
        <w:keepLines/>
        <w:widowControl/>
        <w:ind w:left="851" w:hanging="142"/>
        <w:rPr>
          <w:rFonts w:ascii="Arial Narrow" w:hAnsi="Arial Narrow"/>
          <w:sz w:val="18"/>
          <w:szCs w:val="18"/>
        </w:rPr>
      </w:pPr>
      <w:proofErr w:type="gramStart"/>
      <w:r w:rsidRPr="00D03AA6">
        <w:rPr>
          <w:rFonts w:ascii="Arial Narrow" w:hAnsi="Arial Narrow"/>
          <w:sz w:val="18"/>
          <w:szCs w:val="18"/>
          <w:vertAlign w:val="superscript"/>
        </w:rPr>
        <w:t>d</w:t>
      </w:r>
      <w:proofErr w:type="gramEnd"/>
      <w:r w:rsidRPr="00D03AA6">
        <w:rPr>
          <w:rFonts w:ascii="Arial Narrow" w:hAnsi="Arial Narrow"/>
          <w:sz w:val="18"/>
          <w:szCs w:val="18"/>
          <w:vertAlign w:val="superscript"/>
        </w:rPr>
        <w:tab/>
      </w:r>
      <w:r w:rsidRPr="00D03AA6">
        <w:rPr>
          <w:rFonts w:ascii="Arial Narrow" w:hAnsi="Arial Narrow"/>
          <w:sz w:val="18"/>
          <w:szCs w:val="18"/>
        </w:rPr>
        <w:t>It is unclear how the TTD was estimated .</w:t>
      </w:r>
    </w:p>
    <w:p w:rsidR="005455AA" w:rsidRPr="003858D7" w:rsidRDefault="005455AA" w:rsidP="008F7923">
      <w:pPr>
        <w:keepNext/>
        <w:keepLines/>
        <w:widowControl/>
        <w:ind w:left="851" w:hanging="142"/>
        <w:rPr>
          <w:rFonts w:ascii="Arial Narrow" w:hAnsi="Arial Narrow"/>
          <w:i/>
          <w:sz w:val="18"/>
        </w:rPr>
      </w:pPr>
      <w:proofErr w:type="gramStart"/>
      <w:r>
        <w:rPr>
          <w:rFonts w:ascii="Arial Narrow" w:hAnsi="Arial Narrow"/>
          <w:sz w:val="18"/>
          <w:szCs w:val="18"/>
          <w:vertAlign w:val="superscript"/>
        </w:rPr>
        <w:t>e</w:t>
      </w:r>
      <w:proofErr w:type="gramEnd"/>
      <w:r>
        <w:rPr>
          <w:rFonts w:ascii="Arial Narrow" w:hAnsi="Arial Narrow"/>
          <w:sz w:val="18"/>
          <w:szCs w:val="18"/>
        </w:rPr>
        <w:tab/>
      </w:r>
      <w:r w:rsidRPr="00D03AA6">
        <w:rPr>
          <w:rFonts w:ascii="Arial Narrow" w:hAnsi="Arial Narrow"/>
          <w:sz w:val="18"/>
          <w:szCs w:val="18"/>
        </w:rPr>
        <w:t xml:space="preserve">The re-submission states that this discontinuation rate was estimated. </w:t>
      </w:r>
      <w:r w:rsidRPr="00155163">
        <w:rPr>
          <w:rFonts w:ascii="Arial Narrow" w:hAnsi="Arial Narrow"/>
          <w:sz w:val="18"/>
          <w:szCs w:val="18"/>
        </w:rPr>
        <w:t xml:space="preserve">The discontinuation rate for </w:t>
      </w:r>
      <w:proofErr w:type="spellStart"/>
      <w:r w:rsidRPr="00155163">
        <w:rPr>
          <w:rFonts w:ascii="Arial Narrow" w:hAnsi="Arial Narrow"/>
          <w:sz w:val="18"/>
          <w:szCs w:val="18"/>
        </w:rPr>
        <w:t>probenecid</w:t>
      </w:r>
      <w:proofErr w:type="spellEnd"/>
      <w:r w:rsidRPr="00155163">
        <w:rPr>
          <w:rFonts w:ascii="Arial Narrow" w:hAnsi="Arial Narrow"/>
          <w:sz w:val="18"/>
          <w:szCs w:val="18"/>
        </w:rPr>
        <w:t xml:space="preserve"> monotherapy and combination therapy combined is </w:t>
      </w:r>
      <w:r w:rsidR="00395981" w:rsidRPr="00155163">
        <w:rPr>
          <w:rFonts w:ascii="Arial Narrow" w:hAnsi="Arial Narrow"/>
          <w:sz w:val="18"/>
          <w:szCs w:val="18"/>
        </w:rPr>
        <w:t>12.3%</w:t>
      </w:r>
      <w:r w:rsidRPr="00155163">
        <w:rPr>
          <w:rFonts w:ascii="Arial Narrow" w:hAnsi="Arial Narrow"/>
          <w:sz w:val="18"/>
          <w:szCs w:val="18"/>
        </w:rPr>
        <w:t>.</w:t>
      </w:r>
    </w:p>
    <w:p w:rsidR="006F70CF" w:rsidRPr="00297299" w:rsidRDefault="006F70CF" w:rsidP="006F70CF">
      <w:pPr>
        <w:widowControl/>
        <w:rPr>
          <w:szCs w:val="22"/>
        </w:rPr>
      </w:pPr>
    </w:p>
    <w:p w:rsidR="006F70CF" w:rsidRPr="00155163" w:rsidRDefault="00334885" w:rsidP="00C311A5">
      <w:pPr>
        <w:pStyle w:val="ListParagraph"/>
        <w:widowControl/>
        <w:numPr>
          <w:ilvl w:val="1"/>
          <w:numId w:val="2"/>
        </w:numPr>
        <w:snapToGrid w:val="0"/>
        <w:ind w:left="709" w:hanging="709"/>
        <w:rPr>
          <w:szCs w:val="22"/>
        </w:rPr>
      </w:pPr>
      <w:r>
        <w:t>The tables below</w:t>
      </w:r>
      <w:r w:rsidR="006F70CF" w:rsidRPr="00297299">
        <w:t xml:space="preserve"> summarise the results of the economic analysis.</w:t>
      </w:r>
    </w:p>
    <w:p w:rsidR="00155163" w:rsidRDefault="00155163" w:rsidP="00155163">
      <w:pPr>
        <w:pStyle w:val="ListParagraph"/>
        <w:widowControl/>
        <w:snapToGrid w:val="0"/>
        <w:ind w:left="862"/>
      </w:pPr>
    </w:p>
    <w:p w:rsidR="00155163" w:rsidRPr="00297299" w:rsidRDefault="00155163" w:rsidP="008F7923">
      <w:pPr>
        <w:widowControl/>
        <w:ind w:firstLine="709"/>
      </w:pPr>
      <w:r w:rsidRPr="00297299">
        <w:rPr>
          <w:rFonts w:ascii="Arial Narrow" w:hAnsi="Arial Narrow"/>
          <w:b/>
          <w:sz w:val="20"/>
        </w:rPr>
        <w:t>Results of the economic evaluation: Allopurinol inappropriate patients</w:t>
      </w:r>
    </w:p>
    <w:tbl>
      <w:tblPr>
        <w:tblStyle w:val="TableGrid"/>
        <w:tblW w:w="0" w:type="auto"/>
        <w:tblInd w:w="737" w:type="dxa"/>
        <w:tblCellMar>
          <w:left w:w="28" w:type="dxa"/>
          <w:right w:w="28" w:type="dxa"/>
        </w:tblCellMar>
        <w:tblLook w:val="04A0" w:firstRow="1" w:lastRow="0" w:firstColumn="1" w:lastColumn="0" w:noHBand="0" w:noVBand="1"/>
        <w:tblCaption w:val="Results of the economic evaluation"/>
      </w:tblPr>
      <w:tblGrid>
        <w:gridCol w:w="1843"/>
        <w:gridCol w:w="1417"/>
        <w:gridCol w:w="2801"/>
        <w:gridCol w:w="2278"/>
      </w:tblGrid>
      <w:tr w:rsidR="00155163" w:rsidRPr="00297299" w:rsidTr="008F7923">
        <w:tc>
          <w:tcPr>
            <w:tcW w:w="1843" w:type="dxa"/>
            <w:tcBorders>
              <w:top w:val="single" w:sz="4" w:space="0" w:color="auto"/>
              <w:left w:val="single" w:sz="4" w:space="0" w:color="auto"/>
              <w:bottom w:val="single" w:sz="4" w:space="0" w:color="auto"/>
              <w:right w:val="single" w:sz="4" w:space="0" w:color="auto"/>
            </w:tcBorders>
          </w:tcPr>
          <w:p w:rsidR="00155163" w:rsidRPr="00297299" w:rsidRDefault="00155163" w:rsidP="00C46E66">
            <w:pPr>
              <w:widowControl/>
              <w:snapToGrid w:val="0"/>
              <w:rPr>
                <w:rFonts w:ascii="Arial Narrow" w:hAnsi="Arial Narrow"/>
                <w:sz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b/>
                <w:sz w:val="20"/>
              </w:rPr>
            </w:pPr>
            <w:r w:rsidRPr="00297299">
              <w:rPr>
                <w:rFonts w:ascii="Arial Narrow" w:hAnsi="Arial Narrow"/>
                <w:b/>
                <w:sz w:val="20"/>
              </w:rPr>
              <w:t>Cost</w:t>
            </w:r>
          </w:p>
        </w:tc>
        <w:tc>
          <w:tcPr>
            <w:tcW w:w="2801"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b/>
                <w:sz w:val="20"/>
              </w:rPr>
            </w:pPr>
            <w:r w:rsidRPr="00297299">
              <w:rPr>
                <w:rFonts w:ascii="Arial Narrow" w:hAnsi="Arial Narrow"/>
                <w:b/>
                <w:sz w:val="20"/>
              </w:rPr>
              <w:t>Response probability</w:t>
            </w:r>
          </w:p>
        </w:tc>
        <w:tc>
          <w:tcPr>
            <w:tcW w:w="2278"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b/>
                <w:sz w:val="20"/>
              </w:rPr>
            </w:pPr>
            <w:r w:rsidRPr="00297299">
              <w:rPr>
                <w:rFonts w:ascii="Arial Narrow" w:hAnsi="Arial Narrow"/>
                <w:b/>
                <w:sz w:val="20"/>
              </w:rPr>
              <w:t>Cost/responder</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widowControl/>
              <w:snapToGrid w:val="0"/>
              <w:rPr>
                <w:rFonts w:ascii="Arial Narrow" w:hAnsi="Arial Narrow"/>
                <w:sz w:val="20"/>
              </w:rPr>
            </w:pPr>
            <w:r w:rsidRPr="002B4265">
              <w:rPr>
                <w:rFonts w:ascii="Arial Narrow" w:hAnsi="Arial Narrow"/>
                <w:sz w:val="20"/>
              </w:rPr>
              <w:t xml:space="preserve">Placebo </w:t>
            </w:r>
            <w:r>
              <w:rPr>
                <w:rFonts w:ascii="Arial Narrow" w:hAnsi="Arial Narrow"/>
                <w:sz w:val="20"/>
              </w:rPr>
              <w:t>(PBO)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0</w:t>
            </w:r>
          </w:p>
        </w:tc>
        <w:tc>
          <w:tcPr>
            <w:tcW w:w="2801"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0</w:t>
            </w:r>
          </w:p>
        </w:tc>
        <w:tc>
          <w:tcPr>
            <w:tcW w:w="2278"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N/A</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widowControl/>
              <w:snapToGrid w:val="0"/>
              <w:rPr>
                <w:rFonts w:ascii="Arial Narrow" w:hAnsi="Arial Narrow"/>
                <w:sz w:val="20"/>
              </w:rPr>
            </w:pPr>
            <w:proofErr w:type="spellStart"/>
            <w:r w:rsidRPr="002B4265">
              <w:rPr>
                <w:rFonts w:ascii="Arial Narrow" w:hAnsi="Arial Narrow"/>
                <w:sz w:val="20"/>
              </w:rPr>
              <w:t>Probenecid</w:t>
            </w:r>
            <w:proofErr w:type="spellEnd"/>
            <w:r>
              <w:rPr>
                <w:rFonts w:ascii="Arial Narrow" w:hAnsi="Arial Narrow"/>
                <w:sz w:val="20"/>
              </w:rPr>
              <w:t xml:space="preserve"> (PRO)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$867.75</w:t>
            </w:r>
          </w:p>
        </w:tc>
        <w:tc>
          <w:tcPr>
            <w:tcW w:w="2801"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0.6774</w:t>
            </w:r>
          </w:p>
        </w:tc>
        <w:tc>
          <w:tcPr>
            <w:tcW w:w="2278"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$1,280</w:t>
            </w:r>
          </w:p>
        </w:tc>
      </w:tr>
      <w:tr w:rsidR="00155163" w:rsidRPr="00297299" w:rsidTr="008F7923">
        <w:trPr>
          <w:trHeight w:val="58"/>
        </w:trPr>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widowControl/>
              <w:snapToGrid w:val="0"/>
              <w:rPr>
                <w:rFonts w:ascii="Arial Narrow" w:hAnsi="Arial Narrow"/>
                <w:sz w:val="20"/>
              </w:rPr>
            </w:pPr>
            <w:proofErr w:type="spellStart"/>
            <w:r w:rsidRPr="002B4265">
              <w:rPr>
                <w:rFonts w:ascii="Arial Narrow" w:hAnsi="Arial Narrow"/>
                <w:sz w:val="20"/>
              </w:rPr>
              <w:t>Febuxostat</w:t>
            </w:r>
            <w:proofErr w:type="spellEnd"/>
            <w:r w:rsidRPr="002B4265">
              <w:rPr>
                <w:rFonts w:ascii="Arial Narrow" w:hAnsi="Arial Narrow"/>
                <w:sz w:val="20"/>
              </w:rPr>
              <w:t xml:space="preserve"> </w:t>
            </w:r>
            <w:r>
              <w:rPr>
                <w:rFonts w:ascii="Arial Narrow" w:hAnsi="Arial Narrow"/>
                <w:sz w:val="20"/>
              </w:rPr>
              <w:t>(FBX)</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w:t>
            </w:r>
            <w:r w:rsidR="00470A32">
              <w:rPr>
                <w:rFonts w:ascii="Arial Narrow" w:hAnsi="Arial Narrow"/>
                <w:noProof/>
                <w:color w:val="000000"/>
                <w:sz w:val="20"/>
                <w:highlight w:val="black"/>
              </w:rPr>
              <w:t>''''''''''''''''</w:t>
            </w:r>
          </w:p>
        </w:tc>
        <w:tc>
          <w:tcPr>
            <w:tcW w:w="2801"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0.7689</w:t>
            </w:r>
          </w:p>
        </w:tc>
        <w:tc>
          <w:tcPr>
            <w:tcW w:w="2278"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w:t>
            </w:r>
            <w:r w:rsidR="00470A32">
              <w:rPr>
                <w:rFonts w:ascii="Arial Narrow" w:hAnsi="Arial Narrow"/>
                <w:noProof/>
                <w:color w:val="000000"/>
                <w:sz w:val="20"/>
                <w:highlight w:val="black"/>
              </w:rPr>
              <w:t>'''''''''</w:t>
            </w:r>
          </w:p>
        </w:tc>
      </w:tr>
      <w:tr w:rsidR="00155163" w:rsidRPr="00297299" w:rsidTr="008F7923">
        <w:trPr>
          <w:trHeight w:val="58"/>
        </w:trPr>
        <w:tc>
          <w:tcPr>
            <w:tcW w:w="8339" w:type="dxa"/>
            <w:gridSpan w:val="4"/>
            <w:tcBorders>
              <w:top w:val="single" w:sz="4" w:space="0" w:color="auto"/>
              <w:left w:val="single" w:sz="4" w:space="0" w:color="auto"/>
              <w:bottom w:val="single" w:sz="4" w:space="0" w:color="auto"/>
              <w:right w:val="single" w:sz="4" w:space="0" w:color="auto"/>
            </w:tcBorders>
            <w:hideMark/>
          </w:tcPr>
          <w:p w:rsidR="00155163" w:rsidRPr="00297299" w:rsidRDefault="00155163" w:rsidP="00C46E66">
            <w:pPr>
              <w:widowControl/>
              <w:snapToGrid w:val="0"/>
              <w:rPr>
                <w:rFonts w:ascii="Arial Narrow" w:hAnsi="Arial Narrow"/>
                <w:sz w:val="20"/>
              </w:rPr>
            </w:pPr>
            <w:r w:rsidRPr="00297299">
              <w:rPr>
                <w:rFonts w:ascii="Arial Narrow" w:hAnsi="Arial Narrow"/>
                <w:b/>
                <w:i/>
                <w:sz w:val="20"/>
              </w:rPr>
              <w:t>Incremental analysis</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tcPr>
          <w:p w:rsidR="00155163" w:rsidRPr="00297299" w:rsidRDefault="00155163" w:rsidP="00C46E66">
            <w:pPr>
              <w:widowControl/>
              <w:snapToGrid w:val="0"/>
              <w:rPr>
                <w:rFonts w:ascii="Arial Narrow" w:hAnsi="Arial Narrow"/>
                <w:b/>
                <w:sz w:val="20"/>
              </w:rPr>
            </w:pPr>
            <w:r>
              <w:rPr>
                <w:rFonts w:ascii="Arial Narrow" w:hAnsi="Arial Narrow"/>
                <w:b/>
                <w:sz w:val="20"/>
              </w:rPr>
              <w:t xml:space="preserve">Comparison </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b/>
                <w:sz w:val="20"/>
              </w:rPr>
            </w:pPr>
            <w:r w:rsidRPr="00297299">
              <w:rPr>
                <w:rFonts w:ascii="Arial Narrow" w:hAnsi="Arial Narrow"/>
                <w:b/>
                <w:sz w:val="20"/>
              </w:rPr>
              <w:t>Incremental cost</w:t>
            </w:r>
          </w:p>
        </w:tc>
        <w:tc>
          <w:tcPr>
            <w:tcW w:w="2801"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b/>
                <w:sz w:val="20"/>
              </w:rPr>
            </w:pPr>
            <w:r w:rsidRPr="00297299">
              <w:rPr>
                <w:rFonts w:ascii="Arial Narrow" w:hAnsi="Arial Narrow"/>
                <w:b/>
                <w:sz w:val="20"/>
              </w:rPr>
              <w:t>Incremental response probability</w:t>
            </w:r>
          </w:p>
        </w:tc>
        <w:tc>
          <w:tcPr>
            <w:tcW w:w="2278"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b/>
                <w:sz w:val="20"/>
              </w:rPr>
            </w:pPr>
            <w:r w:rsidRPr="00297299">
              <w:rPr>
                <w:rFonts w:ascii="Arial Narrow" w:hAnsi="Arial Narrow"/>
                <w:b/>
                <w:sz w:val="20"/>
              </w:rPr>
              <w:t>ICER</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widowControl/>
              <w:snapToGrid w:val="0"/>
              <w:rPr>
                <w:rFonts w:ascii="Arial Narrow" w:hAnsi="Arial Narrow"/>
                <w:sz w:val="20"/>
              </w:rPr>
            </w:pPr>
            <w:r w:rsidRPr="002B4265">
              <w:rPr>
                <w:rFonts w:ascii="Arial Narrow" w:hAnsi="Arial Narrow"/>
                <w:sz w:val="20"/>
              </w:rPr>
              <w:t>FBX versus PBO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w:t>
            </w:r>
            <w:r w:rsidR="00470A32">
              <w:rPr>
                <w:rFonts w:ascii="Arial Narrow" w:hAnsi="Arial Narrow"/>
                <w:noProof/>
                <w:color w:val="000000"/>
                <w:sz w:val="20"/>
                <w:highlight w:val="black"/>
              </w:rPr>
              <w:t>'''''''''''''''''</w:t>
            </w:r>
          </w:p>
        </w:tc>
        <w:tc>
          <w:tcPr>
            <w:tcW w:w="2801"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0.7689</w:t>
            </w:r>
          </w:p>
        </w:tc>
        <w:tc>
          <w:tcPr>
            <w:tcW w:w="2278"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w:t>
            </w:r>
            <w:r w:rsidR="00470A32">
              <w:rPr>
                <w:rFonts w:ascii="Arial Narrow" w:hAnsi="Arial Narrow"/>
                <w:noProof/>
                <w:color w:val="000000"/>
                <w:sz w:val="20"/>
                <w:highlight w:val="black"/>
              </w:rPr>
              <w:t>'''''''''</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widowControl/>
              <w:snapToGrid w:val="0"/>
              <w:rPr>
                <w:rFonts w:ascii="Arial Narrow" w:hAnsi="Arial Narrow"/>
                <w:sz w:val="20"/>
                <w:vertAlign w:val="superscript"/>
              </w:rPr>
            </w:pPr>
            <w:r>
              <w:rPr>
                <w:rFonts w:ascii="Arial Narrow" w:hAnsi="Arial Narrow"/>
                <w:sz w:val="20"/>
              </w:rPr>
              <w:t xml:space="preserve">FBX versus </w:t>
            </w:r>
            <w:proofErr w:type="spellStart"/>
            <w:r>
              <w:rPr>
                <w:rFonts w:ascii="Arial Narrow" w:hAnsi="Arial Narrow"/>
                <w:sz w:val="20"/>
              </w:rPr>
              <w:t>PRO</w:t>
            </w:r>
            <w:r>
              <w:rPr>
                <w:rFonts w:ascii="Arial Narrow" w:hAnsi="Arial Narrow"/>
                <w:sz w:val="20"/>
                <w:vertAlign w:val="superscript"/>
              </w:rPr>
              <w:t>a</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w:t>
            </w:r>
            <w:r w:rsidR="00470A32">
              <w:rPr>
                <w:rFonts w:ascii="Arial Narrow" w:hAnsi="Arial Narrow"/>
                <w:noProof/>
                <w:color w:val="000000"/>
                <w:sz w:val="20"/>
                <w:highlight w:val="black"/>
              </w:rPr>
              <w:t>'''''''''''''''''</w:t>
            </w:r>
          </w:p>
        </w:tc>
        <w:tc>
          <w:tcPr>
            <w:tcW w:w="2801"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0.0915</w:t>
            </w:r>
          </w:p>
        </w:tc>
        <w:tc>
          <w:tcPr>
            <w:tcW w:w="2278"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Domina</w:t>
            </w:r>
            <w:r>
              <w:rPr>
                <w:rFonts w:ascii="Arial Narrow" w:hAnsi="Arial Narrow"/>
                <w:sz w:val="20"/>
              </w:rPr>
              <w:t>nt</w:t>
            </w:r>
          </w:p>
        </w:tc>
      </w:tr>
    </w:tbl>
    <w:p w:rsidR="00155163" w:rsidRPr="007137E1" w:rsidRDefault="00155163" w:rsidP="008F7923">
      <w:pPr>
        <w:widowControl/>
        <w:ind w:firstLine="709"/>
        <w:rPr>
          <w:rFonts w:ascii="Arial Narrow" w:hAnsi="Arial Narrow"/>
          <w:sz w:val="18"/>
        </w:rPr>
      </w:pPr>
      <w:r w:rsidRPr="007137E1">
        <w:rPr>
          <w:rFonts w:ascii="Arial Narrow" w:hAnsi="Arial Narrow"/>
          <w:sz w:val="18"/>
        </w:rPr>
        <w:t xml:space="preserve">Source: Table D-2 of re-submission and </w:t>
      </w:r>
      <w:proofErr w:type="spellStart"/>
      <w:r w:rsidRPr="007137E1">
        <w:rPr>
          <w:rFonts w:ascii="Arial Narrow" w:hAnsi="Arial Narrow"/>
          <w:sz w:val="18"/>
        </w:rPr>
        <w:t>TreeAgePro</w:t>
      </w:r>
      <w:proofErr w:type="spellEnd"/>
      <w:r w:rsidRPr="007137E1">
        <w:rPr>
          <w:rFonts w:ascii="Arial Narrow" w:hAnsi="Arial Narrow"/>
          <w:sz w:val="18"/>
        </w:rPr>
        <w:t xml:space="preserve"> results.</w:t>
      </w:r>
    </w:p>
    <w:p w:rsidR="00155163" w:rsidRPr="007137E1" w:rsidRDefault="00155163" w:rsidP="008F7923">
      <w:pPr>
        <w:widowControl/>
        <w:ind w:firstLine="709"/>
        <w:rPr>
          <w:rFonts w:ascii="Arial Narrow" w:hAnsi="Arial Narrow"/>
          <w:sz w:val="18"/>
        </w:rPr>
      </w:pPr>
      <w:proofErr w:type="gramStart"/>
      <w:r w:rsidRPr="007137E1">
        <w:rPr>
          <w:rFonts w:ascii="Arial Narrow" w:hAnsi="Arial Narrow"/>
          <w:sz w:val="18"/>
          <w:vertAlign w:val="superscript"/>
        </w:rPr>
        <w:t>a</w:t>
      </w:r>
      <w:proofErr w:type="gramEnd"/>
      <w:r w:rsidRPr="007137E1">
        <w:rPr>
          <w:rFonts w:ascii="Arial Narrow" w:hAnsi="Arial Narrow"/>
          <w:sz w:val="18"/>
          <w:vertAlign w:val="superscript"/>
        </w:rPr>
        <w:tab/>
      </w:r>
      <w:r w:rsidRPr="007137E1">
        <w:rPr>
          <w:rFonts w:ascii="Arial Narrow" w:hAnsi="Arial Narrow"/>
          <w:sz w:val="18"/>
        </w:rPr>
        <w:t>PRO versus FBX results presented as FBX versus PRO in the re-submission</w:t>
      </w:r>
    </w:p>
    <w:p w:rsidR="00155163" w:rsidRDefault="00155163" w:rsidP="00155163">
      <w:pPr>
        <w:widowControl/>
        <w:ind w:firstLine="851"/>
      </w:pPr>
    </w:p>
    <w:p w:rsidR="00155163" w:rsidRPr="00297299" w:rsidRDefault="00155163" w:rsidP="008F7923">
      <w:pPr>
        <w:keepNext/>
        <w:keepLines/>
        <w:widowControl/>
        <w:ind w:firstLine="709"/>
      </w:pPr>
      <w:r w:rsidRPr="00297299">
        <w:rPr>
          <w:rFonts w:ascii="Arial Narrow" w:hAnsi="Arial Narrow"/>
          <w:b/>
          <w:sz w:val="20"/>
        </w:rPr>
        <w:lastRenderedPageBreak/>
        <w:t>Results of the economic evaluation: Allopurinol insufficient patients</w:t>
      </w:r>
    </w:p>
    <w:tbl>
      <w:tblPr>
        <w:tblStyle w:val="TableGrid"/>
        <w:tblW w:w="0" w:type="auto"/>
        <w:tblInd w:w="737" w:type="dxa"/>
        <w:tblCellMar>
          <w:left w:w="28" w:type="dxa"/>
          <w:right w:w="28" w:type="dxa"/>
        </w:tblCellMar>
        <w:tblLook w:val="04A0" w:firstRow="1" w:lastRow="0" w:firstColumn="1" w:lastColumn="0" w:noHBand="0" w:noVBand="1"/>
        <w:tblCaption w:val="Results of the economic evaluation"/>
      </w:tblPr>
      <w:tblGrid>
        <w:gridCol w:w="1843"/>
        <w:gridCol w:w="1417"/>
        <w:gridCol w:w="2802"/>
        <w:gridCol w:w="2277"/>
      </w:tblGrid>
      <w:tr w:rsidR="00155163" w:rsidRPr="00297299" w:rsidTr="008F7923">
        <w:tc>
          <w:tcPr>
            <w:tcW w:w="1843" w:type="dxa"/>
            <w:tcBorders>
              <w:top w:val="single" w:sz="4" w:space="0" w:color="auto"/>
              <w:left w:val="single" w:sz="4" w:space="0" w:color="auto"/>
              <w:bottom w:val="single" w:sz="4" w:space="0" w:color="auto"/>
              <w:right w:val="single" w:sz="4" w:space="0" w:color="auto"/>
            </w:tcBorders>
          </w:tcPr>
          <w:p w:rsidR="00155163" w:rsidRPr="00297299" w:rsidRDefault="00155163" w:rsidP="00C46E66">
            <w:pPr>
              <w:keepNext/>
              <w:keepLines/>
              <w:widowControl/>
              <w:snapToGrid w:val="0"/>
              <w:rPr>
                <w:rFonts w:ascii="Arial Narrow" w:hAnsi="Arial Narrow"/>
                <w:b/>
                <w:sz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b/>
                <w:sz w:val="20"/>
              </w:rPr>
            </w:pPr>
            <w:r w:rsidRPr="00297299">
              <w:rPr>
                <w:rFonts w:ascii="Arial Narrow" w:hAnsi="Arial Narrow"/>
                <w:b/>
                <w:sz w:val="20"/>
              </w:rPr>
              <w:t>Cost</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b/>
                <w:sz w:val="20"/>
              </w:rPr>
            </w:pPr>
            <w:r w:rsidRPr="00297299">
              <w:rPr>
                <w:rFonts w:ascii="Arial Narrow" w:hAnsi="Arial Narrow"/>
                <w:b/>
                <w:sz w:val="20"/>
              </w:rPr>
              <w:t>Response probability</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b/>
                <w:sz w:val="20"/>
              </w:rPr>
            </w:pPr>
            <w:r w:rsidRPr="00297299">
              <w:rPr>
                <w:rFonts w:ascii="Arial Narrow" w:hAnsi="Arial Narrow"/>
                <w:b/>
                <w:sz w:val="20"/>
              </w:rPr>
              <w:t>Cost/responder</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97299" w:rsidRDefault="00155163" w:rsidP="00C46E66">
            <w:pPr>
              <w:keepNext/>
              <w:keepLines/>
              <w:widowControl/>
              <w:snapToGrid w:val="0"/>
              <w:rPr>
                <w:rFonts w:ascii="Arial Narrow" w:hAnsi="Arial Narrow"/>
                <w:b/>
                <w:sz w:val="20"/>
              </w:rPr>
            </w:pPr>
            <w:r w:rsidRPr="002B4265">
              <w:rPr>
                <w:rFonts w:ascii="Arial Narrow" w:hAnsi="Arial Narrow"/>
                <w:sz w:val="20"/>
              </w:rPr>
              <w:t xml:space="preserve">Placebo </w:t>
            </w:r>
            <w:r>
              <w:rPr>
                <w:rFonts w:ascii="Arial Narrow" w:hAnsi="Arial Narrow"/>
                <w:sz w:val="20"/>
              </w:rPr>
              <w:t>(PBO)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0</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0</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N/A</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keepNext/>
              <w:keepLines/>
              <w:widowControl/>
              <w:snapToGrid w:val="0"/>
              <w:rPr>
                <w:rFonts w:ascii="Arial Narrow" w:hAnsi="Arial Narrow"/>
                <w:sz w:val="20"/>
              </w:rPr>
            </w:pPr>
            <w:r w:rsidRPr="002B4265">
              <w:rPr>
                <w:rFonts w:ascii="Arial Narrow" w:hAnsi="Arial Narrow"/>
                <w:sz w:val="20"/>
              </w:rPr>
              <w:t>Allopurinol (ALO)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$123.84</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0</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N/A</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97299" w:rsidRDefault="00155163" w:rsidP="00C46E66">
            <w:pPr>
              <w:keepNext/>
              <w:keepLines/>
              <w:widowControl/>
              <w:snapToGrid w:val="0"/>
              <w:rPr>
                <w:rFonts w:ascii="Arial Narrow" w:hAnsi="Arial Narrow"/>
                <w:b/>
                <w:sz w:val="20"/>
              </w:rPr>
            </w:pPr>
            <w:proofErr w:type="spellStart"/>
            <w:r w:rsidRPr="002B4265">
              <w:rPr>
                <w:rFonts w:ascii="Arial Narrow" w:hAnsi="Arial Narrow"/>
                <w:sz w:val="20"/>
              </w:rPr>
              <w:t>Probenecid</w:t>
            </w:r>
            <w:proofErr w:type="spellEnd"/>
            <w:r>
              <w:rPr>
                <w:rFonts w:ascii="Arial Narrow" w:hAnsi="Arial Narrow"/>
                <w:sz w:val="20"/>
              </w:rPr>
              <w:t xml:space="preserve"> (PRO)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$867.75</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0.6774</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$1,281</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tcPr>
          <w:p w:rsidR="00155163" w:rsidRPr="002B4265" w:rsidRDefault="00155163" w:rsidP="00C46E66">
            <w:pPr>
              <w:keepNext/>
              <w:keepLines/>
              <w:widowControl/>
              <w:snapToGrid w:val="0"/>
              <w:rPr>
                <w:rFonts w:ascii="Arial Narrow" w:hAnsi="Arial Narrow"/>
                <w:sz w:val="20"/>
              </w:rPr>
            </w:pPr>
            <w:proofErr w:type="spellStart"/>
            <w:r w:rsidRPr="002B4265">
              <w:rPr>
                <w:rFonts w:ascii="Arial Narrow" w:hAnsi="Arial Narrow"/>
                <w:sz w:val="20"/>
              </w:rPr>
              <w:t>Febuxostat</w:t>
            </w:r>
            <w:proofErr w:type="spellEnd"/>
            <w:r w:rsidRPr="002B4265">
              <w:rPr>
                <w:rFonts w:ascii="Arial Narrow" w:hAnsi="Arial Narrow"/>
                <w:sz w:val="20"/>
              </w:rPr>
              <w:t xml:space="preserve"> </w:t>
            </w:r>
            <w:r>
              <w:rPr>
                <w:rFonts w:ascii="Arial Narrow" w:hAnsi="Arial Narrow"/>
                <w:sz w:val="20"/>
              </w:rPr>
              <w:t>(FBX)</w:t>
            </w:r>
          </w:p>
        </w:tc>
        <w:tc>
          <w:tcPr>
            <w:tcW w:w="1417" w:type="dxa"/>
            <w:tcBorders>
              <w:top w:val="single" w:sz="4" w:space="0" w:color="auto"/>
              <w:left w:val="single" w:sz="4" w:space="0" w:color="auto"/>
              <w:bottom w:val="single" w:sz="4" w:space="0" w:color="auto"/>
              <w:right w:val="single" w:sz="4" w:space="0" w:color="auto"/>
            </w:tcBorders>
            <w:vAlign w:val="center"/>
          </w:tcPr>
          <w:p w:rsidR="00155163" w:rsidRPr="00297299" w:rsidRDefault="00155163" w:rsidP="00C46E66">
            <w:pPr>
              <w:keepNext/>
              <w:keepLines/>
              <w:widowControl/>
              <w:snapToGrid w:val="0"/>
              <w:jc w:val="center"/>
              <w:rPr>
                <w:rFonts w:ascii="Arial Narrow" w:hAnsi="Arial Narrow"/>
                <w:sz w:val="20"/>
              </w:rPr>
            </w:pPr>
            <w:r w:rsidRPr="00ED4FEA">
              <w:rPr>
                <w:rFonts w:ascii="Arial Narrow" w:hAnsi="Arial Narrow"/>
                <w:sz w:val="20"/>
              </w:rPr>
              <w:t>$</w:t>
            </w:r>
            <w:r w:rsidR="00470A32">
              <w:rPr>
                <w:rFonts w:ascii="Arial Narrow" w:hAnsi="Arial Narrow"/>
                <w:noProof/>
                <w:color w:val="000000"/>
                <w:sz w:val="20"/>
                <w:highlight w:val="black"/>
              </w:rPr>
              <w:t>'''''''''''''''</w:t>
            </w:r>
          </w:p>
        </w:tc>
        <w:tc>
          <w:tcPr>
            <w:tcW w:w="2802" w:type="dxa"/>
            <w:tcBorders>
              <w:top w:val="single" w:sz="4" w:space="0" w:color="auto"/>
              <w:left w:val="single" w:sz="4" w:space="0" w:color="auto"/>
              <w:bottom w:val="single" w:sz="4" w:space="0" w:color="auto"/>
              <w:right w:val="single" w:sz="4" w:space="0" w:color="auto"/>
            </w:tcBorders>
            <w:vAlign w:val="center"/>
          </w:tcPr>
          <w:p w:rsidR="00155163" w:rsidRPr="00A639BB" w:rsidRDefault="00155163" w:rsidP="00C46E66">
            <w:pPr>
              <w:keepNext/>
              <w:keepLines/>
              <w:widowControl/>
              <w:snapToGrid w:val="0"/>
              <w:jc w:val="center"/>
              <w:rPr>
                <w:rFonts w:ascii="Arial Narrow" w:hAnsi="Arial Narrow"/>
                <w:sz w:val="20"/>
                <w:vertAlign w:val="superscript"/>
              </w:rPr>
            </w:pPr>
            <w:r w:rsidRPr="00292FC8">
              <w:rPr>
                <w:rFonts w:ascii="Arial Narrow" w:hAnsi="Arial Narrow"/>
                <w:i/>
                <w:sz w:val="20"/>
              </w:rPr>
              <w:t>0.855</w:t>
            </w:r>
            <w:r>
              <w:rPr>
                <w:rFonts w:ascii="Arial Narrow" w:hAnsi="Arial Narrow"/>
                <w:i/>
                <w:sz w:val="20"/>
                <w:vertAlign w:val="superscript"/>
              </w:rPr>
              <w:t>a</w:t>
            </w:r>
          </w:p>
        </w:tc>
        <w:tc>
          <w:tcPr>
            <w:tcW w:w="2277" w:type="dxa"/>
            <w:tcBorders>
              <w:top w:val="single" w:sz="4" w:space="0" w:color="auto"/>
              <w:left w:val="single" w:sz="4" w:space="0" w:color="auto"/>
              <w:bottom w:val="single" w:sz="4" w:space="0" w:color="auto"/>
              <w:right w:val="single" w:sz="4" w:space="0" w:color="auto"/>
            </w:tcBorders>
            <w:vAlign w:val="center"/>
          </w:tcPr>
          <w:p w:rsidR="00155163" w:rsidRPr="00ED4FEA" w:rsidRDefault="00155163" w:rsidP="00C46E66">
            <w:pPr>
              <w:keepNext/>
              <w:keepLines/>
              <w:widowControl/>
              <w:snapToGrid w:val="0"/>
              <w:jc w:val="center"/>
              <w:rPr>
                <w:rFonts w:ascii="Arial Narrow" w:hAnsi="Arial Narrow"/>
                <w:i/>
                <w:sz w:val="20"/>
              </w:rPr>
            </w:pPr>
            <w:r w:rsidRPr="00ED4FEA">
              <w:rPr>
                <w:rFonts w:ascii="Arial Narrow" w:hAnsi="Arial Narrow"/>
                <w:i/>
                <w:sz w:val="20"/>
              </w:rPr>
              <w:t>$608</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keepNext/>
              <w:keepLines/>
              <w:widowControl/>
              <w:snapToGrid w:val="0"/>
              <w:rPr>
                <w:rFonts w:ascii="Arial Narrow" w:hAnsi="Arial Narrow"/>
                <w:sz w:val="20"/>
              </w:rPr>
            </w:pPr>
            <w:r w:rsidRPr="002B4265">
              <w:rPr>
                <w:rFonts w:ascii="Arial Narrow" w:hAnsi="Arial Narrow"/>
                <w:sz w:val="20"/>
              </w:rPr>
              <w:t>ALO + PRO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$605.18</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1.0</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$605</w:t>
            </w:r>
          </w:p>
        </w:tc>
      </w:tr>
      <w:tr w:rsidR="00155163" w:rsidRPr="00297299" w:rsidTr="008F7923">
        <w:tc>
          <w:tcPr>
            <w:tcW w:w="8339" w:type="dxa"/>
            <w:gridSpan w:val="4"/>
            <w:tcBorders>
              <w:top w:val="single" w:sz="4" w:space="0" w:color="auto"/>
              <w:left w:val="single" w:sz="4" w:space="0" w:color="auto"/>
              <w:bottom w:val="single" w:sz="4" w:space="0" w:color="auto"/>
              <w:right w:val="single" w:sz="4" w:space="0" w:color="auto"/>
            </w:tcBorders>
            <w:hideMark/>
          </w:tcPr>
          <w:p w:rsidR="00155163" w:rsidRPr="00297299" w:rsidRDefault="00155163" w:rsidP="00C46E66">
            <w:pPr>
              <w:keepNext/>
              <w:keepLines/>
              <w:widowControl/>
              <w:snapToGrid w:val="0"/>
              <w:rPr>
                <w:rFonts w:ascii="Arial Narrow" w:hAnsi="Arial Narrow"/>
                <w:sz w:val="20"/>
              </w:rPr>
            </w:pPr>
            <w:r w:rsidRPr="00297299">
              <w:rPr>
                <w:rFonts w:ascii="Arial Narrow" w:hAnsi="Arial Narrow"/>
                <w:b/>
                <w:i/>
                <w:sz w:val="20"/>
              </w:rPr>
              <w:t>Incremental analysis</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tcPr>
          <w:p w:rsidR="00155163" w:rsidRPr="00297299" w:rsidRDefault="00155163" w:rsidP="00C46E66">
            <w:pPr>
              <w:keepNext/>
              <w:keepLines/>
              <w:widowControl/>
              <w:snapToGrid w:val="0"/>
              <w:rPr>
                <w:rFonts w:ascii="Arial Narrow" w:hAnsi="Arial Narrow"/>
                <w:b/>
                <w:sz w:val="20"/>
              </w:rPr>
            </w:pPr>
            <w:r>
              <w:rPr>
                <w:rFonts w:ascii="Arial Narrow" w:hAnsi="Arial Narrow"/>
                <w:b/>
                <w:sz w:val="20"/>
              </w:rPr>
              <w:t xml:space="preserve">Comparison </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b/>
                <w:sz w:val="20"/>
              </w:rPr>
            </w:pPr>
            <w:r w:rsidRPr="00297299">
              <w:rPr>
                <w:rFonts w:ascii="Arial Narrow" w:hAnsi="Arial Narrow"/>
                <w:b/>
                <w:sz w:val="20"/>
              </w:rPr>
              <w:t>Incremental cost</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b/>
                <w:sz w:val="20"/>
              </w:rPr>
            </w:pPr>
            <w:r w:rsidRPr="00297299">
              <w:rPr>
                <w:rFonts w:ascii="Arial Narrow" w:hAnsi="Arial Narrow"/>
                <w:b/>
                <w:sz w:val="20"/>
              </w:rPr>
              <w:t>Incremental response probability</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b/>
                <w:sz w:val="20"/>
              </w:rPr>
            </w:pPr>
            <w:r w:rsidRPr="00297299">
              <w:rPr>
                <w:rFonts w:ascii="Arial Narrow" w:hAnsi="Arial Narrow"/>
                <w:b/>
                <w:sz w:val="20"/>
              </w:rPr>
              <w:t>ICER</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keepNext/>
              <w:keepLines/>
              <w:widowControl/>
              <w:snapToGrid w:val="0"/>
              <w:rPr>
                <w:rFonts w:ascii="Arial Narrow" w:hAnsi="Arial Narrow"/>
                <w:sz w:val="20"/>
              </w:rPr>
            </w:pPr>
            <w:r w:rsidRPr="002B4265">
              <w:rPr>
                <w:rFonts w:ascii="Arial Narrow" w:hAnsi="Arial Narrow"/>
                <w:sz w:val="20"/>
              </w:rPr>
              <w:t>FBX versus PBO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w:t>
            </w:r>
            <w:r w:rsidR="00470A32">
              <w:rPr>
                <w:rFonts w:ascii="Arial Narrow" w:hAnsi="Arial Narrow"/>
                <w:noProof/>
                <w:color w:val="000000"/>
                <w:sz w:val="20"/>
                <w:highlight w:val="black"/>
              </w:rPr>
              <w:t>''''''''''''''''</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292FC8" w:rsidRDefault="00155163" w:rsidP="00C46E66">
            <w:pPr>
              <w:keepNext/>
              <w:keepLines/>
              <w:widowControl/>
              <w:snapToGrid w:val="0"/>
              <w:jc w:val="center"/>
              <w:rPr>
                <w:rFonts w:ascii="Arial Narrow" w:hAnsi="Arial Narrow"/>
                <w:i/>
                <w:sz w:val="20"/>
              </w:rPr>
            </w:pPr>
            <w:r w:rsidRPr="00292FC8">
              <w:rPr>
                <w:rFonts w:ascii="Arial Narrow" w:hAnsi="Arial Narrow"/>
                <w:i/>
                <w:sz w:val="20"/>
              </w:rPr>
              <w:t>0.855</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ED4FEA" w:rsidRDefault="00155163" w:rsidP="00C46E66">
            <w:pPr>
              <w:keepNext/>
              <w:keepLines/>
              <w:widowControl/>
              <w:snapToGrid w:val="0"/>
              <w:jc w:val="center"/>
              <w:rPr>
                <w:rFonts w:ascii="Arial Narrow" w:hAnsi="Arial Narrow"/>
                <w:i/>
                <w:sz w:val="20"/>
              </w:rPr>
            </w:pPr>
            <w:r w:rsidRPr="00ED4FEA">
              <w:rPr>
                <w:rFonts w:ascii="Arial Narrow" w:hAnsi="Arial Narrow"/>
                <w:i/>
                <w:sz w:val="20"/>
              </w:rPr>
              <w:t>$</w:t>
            </w:r>
            <w:r w:rsidR="00470A32">
              <w:rPr>
                <w:rFonts w:ascii="Arial Narrow" w:hAnsi="Arial Narrow"/>
                <w:i/>
                <w:noProof/>
                <w:color w:val="000000"/>
                <w:sz w:val="20"/>
                <w:highlight w:val="black"/>
              </w:rPr>
              <w:t>''''''''''</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keepNext/>
              <w:keepLines/>
              <w:widowControl/>
              <w:snapToGrid w:val="0"/>
              <w:rPr>
                <w:rFonts w:ascii="Arial Narrow" w:hAnsi="Arial Narrow"/>
                <w:sz w:val="20"/>
              </w:rPr>
            </w:pPr>
            <w:r w:rsidRPr="002B4265">
              <w:rPr>
                <w:rFonts w:ascii="Arial Narrow" w:hAnsi="Arial Narrow"/>
                <w:sz w:val="20"/>
              </w:rPr>
              <w:t>FBX versus ALO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keepNext/>
              <w:keepLines/>
              <w:widowControl/>
              <w:snapToGrid w:val="0"/>
              <w:jc w:val="center"/>
              <w:rPr>
                <w:rFonts w:ascii="Arial Narrow" w:hAnsi="Arial Narrow"/>
                <w:sz w:val="20"/>
              </w:rPr>
            </w:pPr>
            <w:r w:rsidRPr="00297299">
              <w:rPr>
                <w:rFonts w:ascii="Arial Narrow" w:hAnsi="Arial Narrow"/>
                <w:sz w:val="20"/>
              </w:rPr>
              <w:t>$</w:t>
            </w:r>
            <w:r w:rsidR="00470A32">
              <w:rPr>
                <w:rFonts w:ascii="Arial Narrow" w:hAnsi="Arial Narrow"/>
                <w:noProof/>
                <w:color w:val="000000"/>
                <w:sz w:val="20"/>
                <w:highlight w:val="black"/>
              </w:rPr>
              <w:t>''''''''''''''''</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ED4FEA" w:rsidRDefault="00155163" w:rsidP="00C46E66">
            <w:pPr>
              <w:keepNext/>
              <w:keepLines/>
              <w:widowControl/>
              <w:snapToGrid w:val="0"/>
              <w:jc w:val="center"/>
              <w:rPr>
                <w:rFonts w:ascii="Arial Narrow" w:hAnsi="Arial Narrow"/>
                <w:i/>
                <w:sz w:val="20"/>
              </w:rPr>
            </w:pPr>
            <w:r w:rsidRPr="00ED4FEA">
              <w:rPr>
                <w:rFonts w:ascii="Arial Narrow" w:hAnsi="Arial Narrow"/>
                <w:i/>
                <w:sz w:val="20"/>
              </w:rPr>
              <w:t>0.855</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ED4FEA" w:rsidRDefault="00155163" w:rsidP="00C46E66">
            <w:pPr>
              <w:keepNext/>
              <w:keepLines/>
              <w:widowControl/>
              <w:snapToGrid w:val="0"/>
              <w:jc w:val="center"/>
              <w:rPr>
                <w:rFonts w:ascii="Arial Narrow" w:hAnsi="Arial Narrow"/>
                <w:i/>
                <w:sz w:val="20"/>
              </w:rPr>
            </w:pPr>
            <w:r w:rsidRPr="00ED4FEA">
              <w:rPr>
                <w:rFonts w:ascii="Arial Narrow" w:hAnsi="Arial Narrow"/>
                <w:i/>
                <w:sz w:val="20"/>
              </w:rPr>
              <w:t>$</w:t>
            </w:r>
            <w:r w:rsidR="00470A32">
              <w:rPr>
                <w:rFonts w:ascii="Arial Narrow" w:hAnsi="Arial Narrow"/>
                <w:i/>
                <w:noProof/>
                <w:color w:val="000000"/>
                <w:sz w:val="20"/>
                <w:highlight w:val="black"/>
              </w:rPr>
              <w:t>''''''''</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tcPr>
          <w:p w:rsidR="00155163" w:rsidRPr="002B4265" w:rsidRDefault="00155163" w:rsidP="00C46E66">
            <w:pPr>
              <w:keepNext/>
              <w:keepLines/>
              <w:widowControl/>
              <w:rPr>
                <w:rFonts w:ascii="Arial Narrow" w:hAnsi="Arial Narrow"/>
                <w:i/>
                <w:sz w:val="20"/>
                <w:lang w:val="de-DE"/>
              </w:rPr>
            </w:pPr>
            <w:r w:rsidRPr="002B4265">
              <w:rPr>
                <w:rFonts w:ascii="Arial Narrow" w:hAnsi="Arial Narrow"/>
                <w:sz w:val="20"/>
                <w:lang w:val="de-DE"/>
              </w:rPr>
              <w:t>FBX versus PRO</w:t>
            </w:r>
          </w:p>
        </w:tc>
        <w:tc>
          <w:tcPr>
            <w:tcW w:w="1417" w:type="dxa"/>
            <w:tcBorders>
              <w:top w:val="single" w:sz="4" w:space="0" w:color="auto"/>
              <w:left w:val="single" w:sz="4" w:space="0" w:color="auto"/>
              <w:bottom w:val="single" w:sz="4" w:space="0" w:color="auto"/>
              <w:right w:val="single" w:sz="4" w:space="0" w:color="auto"/>
            </w:tcBorders>
            <w:vAlign w:val="center"/>
          </w:tcPr>
          <w:p w:rsidR="00155163" w:rsidRPr="00297299" w:rsidRDefault="00155163" w:rsidP="00C46E66">
            <w:pPr>
              <w:keepNext/>
              <w:keepLines/>
              <w:widowControl/>
              <w:jc w:val="center"/>
              <w:rPr>
                <w:rFonts w:ascii="Arial Narrow" w:hAnsi="Arial Narrow"/>
                <w:i/>
                <w:sz w:val="20"/>
              </w:rPr>
            </w:pPr>
            <w:r w:rsidRPr="00297299">
              <w:rPr>
                <w:rFonts w:ascii="Arial Narrow" w:hAnsi="Arial Narrow"/>
                <w:sz w:val="20"/>
              </w:rPr>
              <w:t>-$</w:t>
            </w:r>
            <w:r w:rsidR="00470A32">
              <w:rPr>
                <w:rFonts w:ascii="Arial Narrow" w:hAnsi="Arial Narrow"/>
                <w:noProof/>
                <w:color w:val="000000"/>
                <w:sz w:val="20"/>
                <w:highlight w:val="black"/>
              </w:rPr>
              <w:t>''''''''''''''''''</w:t>
            </w:r>
          </w:p>
        </w:tc>
        <w:tc>
          <w:tcPr>
            <w:tcW w:w="2802" w:type="dxa"/>
            <w:tcBorders>
              <w:top w:val="single" w:sz="4" w:space="0" w:color="auto"/>
              <w:left w:val="single" w:sz="4" w:space="0" w:color="auto"/>
              <w:bottom w:val="single" w:sz="4" w:space="0" w:color="auto"/>
              <w:right w:val="single" w:sz="4" w:space="0" w:color="auto"/>
            </w:tcBorders>
            <w:vAlign w:val="center"/>
          </w:tcPr>
          <w:p w:rsidR="00155163" w:rsidRPr="00297299" w:rsidRDefault="00155163" w:rsidP="00C46E66">
            <w:pPr>
              <w:keepNext/>
              <w:keepLines/>
              <w:widowControl/>
              <w:snapToGrid w:val="0"/>
              <w:jc w:val="center"/>
              <w:rPr>
                <w:rFonts w:ascii="Arial Narrow" w:hAnsi="Arial Narrow"/>
                <w:i/>
                <w:sz w:val="20"/>
              </w:rPr>
            </w:pPr>
            <w:r>
              <w:rPr>
                <w:rFonts w:ascii="Arial Narrow" w:hAnsi="Arial Narrow"/>
                <w:i/>
                <w:sz w:val="20"/>
              </w:rPr>
              <w:t>0.1776</w:t>
            </w:r>
          </w:p>
        </w:tc>
        <w:tc>
          <w:tcPr>
            <w:tcW w:w="2277" w:type="dxa"/>
            <w:tcBorders>
              <w:top w:val="single" w:sz="4" w:space="0" w:color="auto"/>
              <w:left w:val="single" w:sz="4" w:space="0" w:color="auto"/>
              <w:bottom w:val="single" w:sz="4" w:space="0" w:color="auto"/>
              <w:right w:val="single" w:sz="4" w:space="0" w:color="auto"/>
            </w:tcBorders>
            <w:vAlign w:val="center"/>
          </w:tcPr>
          <w:p w:rsidR="00155163" w:rsidRPr="00297299" w:rsidRDefault="00155163" w:rsidP="00C46E66">
            <w:pPr>
              <w:keepNext/>
              <w:keepLines/>
              <w:widowControl/>
              <w:snapToGrid w:val="0"/>
              <w:jc w:val="center"/>
              <w:rPr>
                <w:rFonts w:ascii="Arial Narrow" w:hAnsi="Arial Narrow"/>
                <w:sz w:val="20"/>
              </w:rPr>
            </w:pPr>
            <w:r>
              <w:rPr>
                <w:rFonts w:ascii="Arial Narrow" w:hAnsi="Arial Narrow"/>
                <w:sz w:val="20"/>
              </w:rPr>
              <w:t xml:space="preserve">Dominant </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tcPr>
          <w:p w:rsidR="00155163" w:rsidRPr="002B4265" w:rsidRDefault="00155163" w:rsidP="00C46E66">
            <w:pPr>
              <w:keepNext/>
              <w:keepLines/>
              <w:widowControl/>
              <w:rPr>
                <w:rFonts w:ascii="Arial Narrow" w:hAnsi="Arial Narrow"/>
                <w:sz w:val="20"/>
                <w:lang w:val="de-DE"/>
              </w:rPr>
            </w:pPr>
            <w:r>
              <w:rPr>
                <w:rFonts w:ascii="Arial Narrow" w:hAnsi="Arial Narrow"/>
                <w:sz w:val="20"/>
                <w:lang w:val="de-DE"/>
              </w:rPr>
              <w:t>FBX versus ALO + PRO</w:t>
            </w:r>
          </w:p>
        </w:tc>
        <w:tc>
          <w:tcPr>
            <w:tcW w:w="1417" w:type="dxa"/>
            <w:tcBorders>
              <w:top w:val="single" w:sz="4" w:space="0" w:color="auto"/>
              <w:left w:val="single" w:sz="4" w:space="0" w:color="auto"/>
              <w:bottom w:val="single" w:sz="4" w:space="0" w:color="auto"/>
              <w:right w:val="single" w:sz="4" w:space="0" w:color="auto"/>
            </w:tcBorders>
            <w:vAlign w:val="center"/>
          </w:tcPr>
          <w:p w:rsidR="00155163" w:rsidRPr="00297299" w:rsidRDefault="00155163" w:rsidP="00C46E66">
            <w:pPr>
              <w:keepNext/>
              <w:keepLines/>
              <w:widowControl/>
              <w:jc w:val="center"/>
              <w:rPr>
                <w:rFonts w:ascii="Arial Narrow" w:hAnsi="Arial Narrow"/>
                <w:sz w:val="20"/>
              </w:rPr>
            </w:pPr>
            <w:r>
              <w:rPr>
                <w:rFonts w:ascii="Arial Narrow" w:hAnsi="Arial Narrow"/>
                <w:sz w:val="20"/>
              </w:rPr>
              <w:t>-$</w:t>
            </w:r>
            <w:r w:rsidR="00470A32">
              <w:rPr>
                <w:rFonts w:ascii="Arial Narrow" w:hAnsi="Arial Narrow"/>
                <w:noProof/>
                <w:color w:val="000000"/>
                <w:sz w:val="20"/>
                <w:highlight w:val="black"/>
              </w:rPr>
              <w:t>'''''''''''''''</w:t>
            </w:r>
          </w:p>
        </w:tc>
        <w:tc>
          <w:tcPr>
            <w:tcW w:w="2802" w:type="dxa"/>
            <w:tcBorders>
              <w:top w:val="single" w:sz="4" w:space="0" w:color="auto"/>
              <w:left w:val="single" w:sz="4" w:space="0" w:color="auto"/>
              <w:bottom w:val="single" w:sz="4" w:space="0" w:color="auto"/>
              <w:right w:val="single" w:sz="4" w:space="0" w:color="auto"/>
            </w:tcBorders>
            <w:vAlign w:val="center"/>
          </w:tcPr>
          <w:p w:rsidR="00155163" w:rsidRDefault="00155163" w:rsidP="00C46E66">
            <w:pPr>
              <w:keepNext/>
              <w:keepLines/>
              <w:widowControl/>
              <w:snapToGrid w:val="0"/>
              <w:jc w:val="center"/>
              <w:rPr>
                <w:rFonts w:ascii="Arial Narrow" w:hAnsi="Arial Narrow"/>
                <w:i/>
                <w:sz w:val="20"/>
              </w:rPr>
            </w:pPr>
            <w:r>
              <w:rPr>
                <w:rFonts w:ascii="Arial Narrow" w:hAnsi="Arial Narrow"/>
                <w:i/>
                <w:sz w:val="20"/>
              </w:rPr>
              <w:t>-0.145</w:t>
            </w:r>
          </w:p>
        </w:tc>
        <w:tc>
          <w:tcPr>
            <w:tcW w:w="2277" w:type="dxa"/>
            <w:tcBorders>
              <w:top w:val="single" w:sz="4" w:space="0" w:color="auto"/>
              <w:left w:val="single" w:sz="4" w:space="0" w:color="auto"/>
              <w:bottom w:val="single" w:sz="4" w:space="0" w:color="auto"/>
              <w:right w:val="single" w:sz="4" w:space="0" w:color="auto"/>
            </w:tcBorders>
            <w:vAlign w:val="center"/>
          </w:tcPr>
          <w:p w:rsidR="00155163" w:rsidRDefault="00155163" w:rsidP="00C46E66">
            <w:pPr>
              <w:keepNext/>
              <w:keepLines/>
              <w:widowControl/>
              <w:snapToGrid w:val="0"/>
              <w:jc w:val="center"/>
              <w:rPr>
                <w:rFonts w:ascii="Arial Narrow" w:hAnsi="Arial Narrow"/>
                <w:sz w:val="20"/>
              </w:rPr>
            </w:pPr>
            <w:r>
              <w:rPr>
                <w:rFonts w:ascii="Arial Narrow" w:hAnsi="Arial Narrow"/>
                <w:i/>
                <w:sz w:val="20"/>
              </w:rPr>
              <w:t>FBX less costly &amp; effective</w:t>
            </w:r>
          </w:p>
        </w:tc>
      </w:tr>
    </w:tbl>
    <w:p w:rsidR="00155163" w:rsidRDefault="00155163" w:rsidP="008F7923">
      <w:pPr>
        <w:keepNext/>
        <w:keepLines/>
        <w:widowControl/>
        <w:ind w:left="851" w:hanging="142"/>
        <w:rPr>
          <w:rFonts w:ascii="Arial Narrow" w:hAnsi="Arial Narrow"/>
          <w:sz w:val="18"/>
        </w:rPr>
      </w:pPr>
      <w:r w:rsidRPr="007137E1">
        <w:rPr>
          <w:rFonts w:ascii="Arial Narrow" w:hAnsi="Arial Narrow"/>
          <w:sz w:val="18"/>
        </w:rPr>
        <w:t xml:space="preserve">Source: Table D-3 of re-submission and </w:t>
      </w:r>
      <w:proofErr w:type="spellStart"/>
      <w:r w:rsidRPr="007137E1">
        <w:rPr>
          <w:rFonts w:ascii="Arial Narrow" w:hAnsi="Arial Narrow"/>
          <w:sz w:val="18"/>
        </w:rPr>
        <w:t>TreeAgePro</w:t>
      </w:r>
      <w:proofErr w:type="spellEnd"/>
      <w:r w:rsidRPr="007137E1">
        <w:rPr>
          <w:rFonts w:ascii="Arial Narrow" w:hAnsi="Arial Narrow"/>
          <w:sz w:val="18"/>
        </w:rPr>
        <w:t xml:space="preserve"> results.</w:t>
      </w:r>
      <w:r>
        <w:rPr>
          <w:rFonts w:ascii="Arial Narrow" w:hAnsi="Arial Narrow"/>
          <w:sz w:val="18"/>
        </w:rPr>
        <w:t xml:space="preserve">  </w:t>
      </w:r>
    </w:p>
    <w:p w:rsidR="00155163" w:rsidRPr="007137E1" w:rsidRDefault="00155163" w:rsidP="008F7923">
      <w:pPr>
        <w:keepNext/>
        <w:keepLines/>
        <w:widowControl/>
        <w:ind w:left="851" w:hanging="142"/>
        <w:rPr>
          <w:rFonts w:ascii="Arial Narrow" w:hAnsi="Arial Narrow"/>
          <w:sz w:val="18"/>
        </w:rPr>
      </w:pPr>
      <w:proofErr w:type="gramStart"/>
      <w:r>
        <w:rPr>
          <w:rFonts w:ascii="Arial Narrow" w:hAnsi="Arial Narrow"/>
          <w:sz w:val="18"/>
          <w:vertAlign w:val="superscript"/>
        </w:rPr>
        <w:t>a</w:t>
      </w:r>
      <w:proofErr w:type="gramEnd"/>
      <w:r>
        <w:rPr>
          <w:rFonts w:ascii="Arial Narrow" w:hAnsi="Arial Narrow"/>
          <w:sz w:val="18"/>
          <w:vertAlign w:val="superscript"/>
        </w:rPr>
        <w:tab/>
      </w:r>
      <w:r>
        <w:rPr>
          <w:rFonts w:ascii="Arial Narrow" w:hAnsi="Arial Narrow"/>
          <w:sz w:val="18"/>
        </w:rPr>
        <w:t xml:space="preserve">Table D-3, p89 indicates that the response rate to </w:t>
      </w:r>
      <w:proofErr w:type="spellStart"/>
      <w:r>
        <w:rPr>
          <w:rFonts w:ascii="Arial Narrow" w:hAnsi="Arial Narrow"/>
          <w:sz w:val="18"/>
        </w:rPr>
        <w:t>febuxostat</w:t>
      </w:r>
      <w:proofErr w:type="spellEnd"/>
      <w:r>
        <w:rPr>
          <w:rFonts w:ascii="Arial Narrow" w:hAnsi="Arial Narrow"/>
          <w:sz w:val="18"/>
        </w:rPr>
        <w:t xml:space="preserve"> is 0.5746 – derived from (1-0.328)*0.855 (responder rate applied to continuing patients).</w:t>
      </w:r>
    </w:p>
    <w:p w:rsidR="00155163" w:rsidRPr="007137E1" w:rsidRDefault="00155163" w:rsidP="008F7923">
      <w:pPr>
        <w:keepNext/>
        <w:keepLines/>
        <w:widowControl/>
        <w:ind w:left="851" w:hanging="142"/>
        <w:rPr>
          <w:sz w:val="20"/>
        </w:rPr>
      </w:pPr>
      <w:r w:rsidRPr="007137E1">
        <w:rPr>
          <w:rFonts w:ascii="Arial Narrow" w:hAnsi="Arial Narrow"/>
          <w:sz w:val="18"/>
        </w:rPr>
        <w:t xml:space="preserve">Abbreviations: ALO=allopurinol; FBX= </w:t>
      </w:r>
      <w:proofErr w:type="spellStart"/>
      <w:r w:rsidRPr="007137E1">
        <w:rPr>
          <w:rFonts w:ascii="Arial Narrow" w:hAnsi="Arial Narrow"/>
          <w:sz w:val="18"/>
        </w:rPr>
        <w:t>febuxostat</w:t>
      </w:r>
      <w:proofErr w:type="spellEnd"/>
      <w:r w:rsidRPr="007137E1">
        <w:rPr>
          <w:rFonts w:ascii="Arial Narrow" w:hAnsi="Arial Narrow"/>
          <w:sz w:val="18"/>
        </w:rPr>
        <w:t xml:space="preserve">; PBO = placebo; PRO = </w:t>
      </w:r>
      <w:proofErr w:type="spellStart"/>
      <w:r w:rsidRPr="007137E1">
        <w:rPr>
          <w:rFonts w:ascii="Arial Narrow" w:hAnsi="Arial Narrow"/>
          <w:sz w:val="18"/>
        </w:rPr>
        <w:t>probenecid</w:t>
      </w:r>
      <w:proofErr w:type="spellEnd"/>
    </w:p>
    <w:p w:rsidR="00155163" w:rsidRDefault="00155163" w:rsidP="00155163">
      <w:pPr>
        <w:widowControl/>
        <w:ind w:firstLine="851"/>
      </w:pPr>
    </w:p>
    <w:p w:rsidR="00155163" w:rsidRPr="00297299" w:rsidRDefault="00155163" w:rsidP="008F7923">
      <w:pPr>
        <w:widowControl/>
        <w:ind w:firstLine="709"/>
      </w:pPr>
      <w:r w:rsidRPr="00297299">
        <w:rPr>
          <w:rFonts w:ascii="Arial Narrow" w:hAnsi="Arial Narrow"/>
          <w:b/>
          <w:sz w:val="20"/>
        </w:rPr>
        <w:t>Results of the economic evaluatio</w:t>
      </w:r>
      <w:r w:rsidR="007850BF">
        <w:rPr>
          <w:rFonts w:ascii="Arial Narrow" w:hAnsi="Arial Narrow"/>
          <w:b/>
          <w:sz w:val="20"/>
        </w:rPr>
        <w:t>n: Allopurinol insufficient + Renal Impairment</w:t>
      </w:r>
      <w:r w:rsidRPr="00297299">
        <w:rPr>
          <w:rFonts w:ascii="Arial Narrow" w:hAnsi="Arial Narrow"/>
          <w:b/>
          <w:sz w:val="20"/>
        </w:rPr>
        <w:t xml:space="preserve"> patients</w:t>
      </w:r>
    </w:p>
    <w:tbl>
      <w:tblPr>
        <w:tblStyle w:val="TableGrid"/>
        <w:tblW w:w="0" w:type="auto"/>
        <w:tblInd w:w="737" w:type="dxa"/>
        <w:tblCellMar>
          <w:left w:w="28" w:type="dxa"/>
          <w:right w:w="28" w:type="dxa"/>
        </w:tblCellMar>
        <w:tblLook w:val="04A0" w:firstRow="1" w:lastRow="0" w:firstColumn="1" w:lastColumn="0" w:noHBand="0" w:noVBand="1"/>
        <w:tblCaption w:val="Results of the economic evaluation"/>
      </w:tblPr>
      <w:tblGrid>
        <w:gridCol w:w="1843"/>
        <w:gridCol w:w="1417"/>
        <w:gridCol w:w="2802"/>
        <w:gridCol w:w="2277"/>
      </w:tblGrid>
      <w:tr w:rsidR="00155163" w:rsidRPr="00297299" w:rsidTr="008F7923">
        <w:tc>
          <w:tcPr>
            <w:tcW w:w="1843" w:type="dxa"/>
            <w:tcBorders>
              <w:top w:val="single" w:sz="4" w:space="0" w:color="auto"/>
              <w:left w:val="single" w:sz="4" w:space="0" w:color="auto"/>
              <w:bottom w:val="single" w:sz="4" w:space="0" w:color="auto"/>
              <w:right w:val="single" w:sz="4" w:space="0" w:color="auto"/>
            </w:tcBorders>
          </w:tcPr>
          <w:p w:rsidR="00155163" w:rsidRPr="00297299" w:rsidRDefault="00155163" w:rsidP="00C46E66">
            <w:pPr>
              <w:widowControl/>
              <w:snapToGrid w:val="0"/>
              <w:rPr>
                <w:rFonts w:ascii="Arial Narrow" w:hAnsi="Arial Narrow"/>
                <w:b/>
                <w:sz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b/>
                <w:sz w:val="20"/>
              </w:rPr>
            </w:pPr>
            <w:r w:rsidRPr="00297299">
              <w:rPr>
                <w:rFonts w:ascii="Arial Narrow" w:hAnsi="Arial Narrow"/>
                <w:b/>
                <w:sz w:val="20"/>
              </w:rPr>
              <w:t>Cost</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b/>
                <w:sz w:val="20"/>
              </w:rPr>
            </w:pPr>
            <w:r w:rsidRPr="00297299">
              <w:rPr>
                <w:rFonts w:ascii="Arial Narrow" w:hAnsi="Arial Narrow"/>
                <w:b/>
                <w:sz w:val="20"/>
              </w:rPr>
              <w:t>Response probability</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b/>
                <w:sz w:val="20"/>
              </w:rPr>
            </w:pPr>
            <w:r w:rsidRPr="00297299">
              <w:rPr>
                <w:rFonts w:ascii="Arial Narrow" w:hAnsi="Arial Narrow"/>
                <w:b/>
                <w:sz w:val="20"/>
              </w:rPr>
              <w:t>Cost/responder</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97299" w:rsidRDefault="00155163" w:rsidP="00C46E66">
            <w:pPr>
              <w:widowControl/>
              <w:snapToGrid w:val="0"/>
              <w:rPr>
                <w:rFonts w:ascii="Arial Narrow" w:hAnsi="Arial Narrow"/>
                <w:b/>
                <w:sz w:val="20"/>
              </w:rPr>
            </w:pPr>
            <w:r w:rsidRPr="002B4265">
              <w:rPr>
                <w:rFonts w:ascii="Arial Narrow" w:hAnsi="Arial Narrow"/>
                <w:sz w:val="20"/>
              </w:rPr>
              <w:t xml:space="preserve">Placebo </w:t>
            </w:r>
            <w:r>
              <w:rPr>
                <w:rFonts w:ascii="Arial Narrow" w:hAnsi="Arial Narrow"/>
                <w:sz w:val="20"/>
              </w:rPr>
              <w:t>(PBO)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0</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0</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N/A</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97299" w:rsidRDefault="00155163" w:rsidP="00C46E66">
            <w:pPr>
              <w:widowControl/>
              <w:snapToGrid w:val="0"/>
              <w:rPr>
                <w:rFonts w:ascii="Arial Narrow" w:hAnsi="Arial Narrow"/>
                <w:b/>
                <w:sz w:val="20"/>
              </w:rPr>
            </w:pPr>
            <w:r w:rsidRPr="002B4265">
              <w:rPr>
                <w:rFonts w:ascii="Arial Narrow" w:hAnsi="Arial Narrow"/>
                <w:sz w:val="20"/>
              </w:rPr>
              <w:t>Allopurinol (ALO)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Pr>
                <w:rFonts w:ascii="Arial Narrow" w:hAnsi="Arial Narrow"/>
                <w:sz w:val="20"/>
              </w:rPr>
              <w:t>$</w:t>
            </w:r>
            <w:r w:rsidRPr="00297299">
              <w:rPr>
                <w:rFonts w:ascii="Arial Narrow" w:hAnsi="Arial Narrow"/>
                <w:sz w:val="20"/>
              </w:rPr>
              <w:t>41.28</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0</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sidRPr="00297299">
              <w:rPr>
                <w:rFonts w:ascii="Arial Narrow" w:hAnsi="Arial Narrow"/>
                <w:sz w:val="20"/>
              </w:rPr>
              <w:t>N/A</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97299" w:rsidRDefault="00155163" w:rsidP="00C46E66">
            <w:pPr>
              <w:widowControl/>
              <w:snapToGrid w:val="0"/>
              <w:rPr>
                <w:rFonts w:ascii="Arial Narrow" w:hAnsi="Arial Narrow"/>
                <w:b/>
                <w:sz w:val="20"/>
              </w:rPr>
            </w:pPr>
            <w:proofErr w:type="spellStart"/>
            <w:r w:rsidRPr="002B4265">
              <w:rPr>
                <w:rFonts w:ascii="Arial Narrow" w:hAnsi="Arial Narrow"/>
                <w:sz w:val="20"/>
              </w:rPr>
              <w:t>Probenecid</w:t>
            </w:r>
            <w:proofErr w:type="spellEnd"/>
            <w:r>
              <w:rPr>
                <w:rFonts w:ascii="Arial Narrow" w:hAnsi="Arial Narrow"/>
                <w:sz w:val="20"/>
              </w:rPr>
              <w:t xml:space="preserve"> (PRO)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Pr>
                <w:rFonts w:ascii="Arial Narrow" w:hAnsi="Arial Narrow"/>
                <w:sz w:val="20"/>
              </w:rPr>
              <w:t>$</w:t>
            </w:r>
            <w:r w:rsidRPr="00297299">
              <w:rPr>
                <w:rFonts w:ascii="Arial Narrow" w:hAnsi="Arial Narrow"/>
                <w:sz w:val="20"/>
              </w:rPr>
              <w:t>619.68</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A639BB" w:rsidRDefault="00155163" w:rsidP="00C46E66">
            <w:pPr>
              <w:widowControl/>
              <w:snapToGrid w:val="0"/>
              <w:jc w:val="center"/>
              <w:rPr>
                <w:rFonts w:ascii="Arial Narrow" w:hAnsi="Arial Narrow"/>
                <w:i/>
                <w:sz w:val="20"/>
                <w:vertAlign w:val="superscript"/>
              </w:rPr>
            </w:pPr>
            <w:r>
              <w:rPr>
                <w:rFonts w:ascii="Arial Narrow" w:hAnsi="Arial Narrow"/>
                <w:i/>
                <w:sz w:val="20"/>
              </w:rPr>
              <w:t>0.22</w:t>
            </w:r>
            <w:r>
              <w:rPr>
                <w:rFonts w:ascii="Arial Narrow" w:hAnsi="Arial Narrow"/>
                <w:i/>
                <w:sz w:val="20"/>
                <w:vertAlign w:val="superscript"/>
              </w:rPr>
              <w:t>a</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4A4B61" w:rsidRDefault="00155163" w:rsidP="00C46E66">
            <w:pPr>
              <w:widowControl/>
              <w:snapToGrid w:val="0"/>
              <w:jc w:val="center"/>
              <w:rPr>
                <w:rFonts w:ascii="Arial Narrow" w:hAnsi="Arial Narrow"/>
                <w:i/>
                <w:sz w:val="20"/>
              </w:rPr>
            </w:pPr>
            <w:r w:rsidRPr="004A4B61">
              <w:rPr>
                <w:rFonts w:ascii="Arial Narrow" w:hAnsi="Arial Narrow"/>
                <w:i/>
                <w:sz w:val="20"/>
              </w:rPr>
              <w:t>$2,817</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97299" w:rsidRDefault="00155163" w:rsidP="00C46E66">
            <w:pPr>
              <w:widowControl/>
              <w:snapToGrid w:val="0"/>
              <w:rPr>
                <w:rFonts w:ascii="Arial Narrow" w:hAnsi="Arial Narrow"/>
                <w:b/>
                <w:sz w:val="20"/>
              </w:rPr>
            </w:pPr>
            <w:proofErr w:type="spellStart"/>
            <w:r w:rsidRPr="002B4265">
              <w:rPr>
                <w:rFonts w:ascii="Arial Narrow" w:hAnsi="Arial Narrow"/>
                <w:sz w:val="20"/>
              </w:rPr>
              <w:t>Febuxostat</w:t>
            </w:r>
            <w:proofErr w:type="spellEnd"/>
            <w:r w:rsidRPr="002B4265">
              <w:rPr>
                <w:rFonts w:ascii="Arial Narrow" w:hAnsi="Arial Narrow"/>
                <w:sz w:val="20"/>
              </w:rPr>
              <w:t xml:space="preserve"> </w:t>
            </w:r>
            <w:r>
              <w:rPr>
                <w:rFonts w:ascii="Arial Narrow" w:hAnsi="Arial Narrow"/>
                <w:sz w:val="20"/>
              </w:rPr>
              <w:t>(FBX)</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CE5FFF" w:rsidRDefault="00155163" w:rsidP="00C46E66">
            <w:pPr>
              <w:widowControl/>
              <w:snapToGrid w:val="0"/>
              <w:jc w:val="center"/>
              <w:rPr>
                <w:rFonts w:ascii="Arial Narrow" w:hAnsi="Arial Narrow"/>
                <w:i/>
                <w:sz w:val="20"/>
              </w:rPr>
            </w:pPr>
            <w:r w:rsidRPr="00CE5FFF">
              <w:rPr>
                <w:rFonts w:ascii="Arial Narrow" w:hAnsi="Arial Narrow"/>
                <w:i/>
                <w:sz w:val="20"/>
              </w:rPr>
              <w:t>$</w:t>
            </w:r>
            <w:r w:rsidR="00470A32">
              <w:rPr>
                <w:rFonts w:ascii="Arial Narrow" w:hAnsi="Arial Narrow"/>
                <w:i/>
                <w:noProof/>
                <w:color w:val="000000"/>
                <w:sz w:val="20"/>
                <w:highlight w:val="black"/>
              </w:rPr>
              <w:t>'''''''''''''''</w:t>
            </w:r>
          </w:p>
        </w:tc>
        <w:tc>
          <w:tcPr>
            <w:tcW w:w="2802" w:type="dxa"/>
            <w:tcBorders>
              <w:top w:val="single" w:sz="4" w:space="0" w:color="auto"/>
              <w:left w:val="single" w:sz="4" w:space="0" w:color="auto"/>
              <w:bottom w:val="single" w:sz="4" w:space="0" w:color="auto"/>
              <w:right w:val="single" w:sz="4" w:space="0" w:color="auto"/>
            </w:tcBorders>
            <w:vAlign w:val="center"/>
            <w:hideMark/>
          </w:tcPr>
          <w:p w:rsidR="00155163" w:rsidRPr="00A639BB" w:rsidRDefault="00155163" w:rsidP="00C46E66">
            <w:pPr>
              <w:widowControl/>
              <w:snapToGrid w:val="0"/>
              <w:jc w:val="center"/>
              <w:rPr>
                <w:rFonts w:ascii="Arial Narrow" w:hAnsi="Arial Narrow"/>
                <w:i/>
                <w:sz w:val="20"/>
                <w:vertAlign w:val="superscript"/>
              </w:rPr>
            </w:pPr>
            <w:r w:rsidRPr="00292FC8">
              <w:rPr>
                <w:rFonts w:ascii="Arial Narrow" w:hAnsi="Arial Narrow"/>
                <w:i/>
                <w:sz w:val="20"/>
              </w:rPr>
              <w:t>0.452</w:t>
            </w:r>
            <w:r>
              <w:rPr>
                <w:rFonts w:ascii="Arial Narrow" w:hAnsi="Arial Narrow"/>
                <w:i/>
                <w:sz w:val="20"/>
                <w:vertAlign w:val="superscript"/>
              </w:rPr>
              <w:t>b</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4A4B61" w:rsidRDefault="00155163" w:rsidP="00C46E66">
            <w:pPr>
              <w:widowControl/>
              <w:snapToGrid w:val="0"/>
              <w:jc w:val="center"/>
              <w:rPr>
                <w:rFonts w:ascii="Arial Narrow" w:hAnsi="Arial Narrow"/>
                <w:i/>
                <w:sz w:val="20"/>
              </w:rPr>
            </w:pPr>
            <w:r w:rsidRPr="004A4B61">
              <w:rPr>
                <w:rFonts w:ascii="Arial Narrow" w:hAnsi="Arial Narrow"/>
                <w:i/>
                <w:sz w:val="20"/>
              </w:rPr>
              <w:t>$</w:t>
            </w:r>
            <w:r w:rsidR="00470A32">
              <w:rPr>
                <w:rFonts w:ascii="Arial Narrow" w:hAnsi="Arial Narrow"/>
                <w:i/>
                <w:noProof/>
                <w:color w:val="000000"/>
                <w:sz w:val="20"/>
                <w:highlight w:val="black"/>
              </w:rPr>
              <w:t>''''''''''''''</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tcPr>
          <w:p w:rsidR="00155163" w:rsidRPr="002B4265" w:rsidRDefault="00155163" w:rsidP="00C46E66">
            <w:pPr>
              <w:widowControl/>
              <w:snapToGrid w:val="0"/>
              <w:rPr>
                <w:rFonts w:ascii="Arial Narrow" w:hAnsi="Arial Narrow"/>
                <w:sz w:val="20"/>
              </w:rPr>
            </w:pPr>
            <w:r w:rsidRPr="002B4265">
              <w:rPr>
                <w:rFonts w:ascii="Arial Narrow" w:hAnsi="Arial Narrow"/>
                <w:sz w:val="20"/>
              </w:rPr>
              <w:t>ALO + PRO</w:t>
            </w:r>
          </w:p>
        </w:tc>
        <w:tc>
          <w:tcPr>
            <w:tcW w:w="1417" w:type="dxa"/>
            <w:tcBorders>
              <w:top w:val="single" w:sz="4" w:space="0" w:color="auto"/>
              <w:left w:val="single" w:sz="4" w:space="0" w:color="auto"/>
              <w:bottom w:val="single" w:sz="4" w:space="0" w:color="auto"/>
              <w:right w:val="single" w:sz="4" w:space="0" w:color="auto"/>
            </w:tcBorders>
            <w:vAlign w:val="center"/>
          </w:tcPr>
          <w:p w:rsidR="00155163" w:rsidRDefault="00155163" w:rsidP="00C46E66">
            <w:pPr>
              <w:widowControl/>
              <w:snapToGrid w:val="0"/>
              <w:jc w:val="center"/>
              <w:rPr>
                <w:rFonts w:ascii="Arial Narrow" w:hAnsi="Arial Narrow"/>
                <w:sz w:val="20"/>
              </w:rPr>
            </w:pPr>
            <w:r>
              <w:rPr>
                <w:rFonts w:ascii="Arial Narrow" w:hAnsi="Arial Narrow"/>
                <w:sz w:val="20"/>
              </w:rPr>
              <w:t>$</w:t>
            </w:r>
            <w:r w:rsidRPr="00297299">
              <w:rPr>
                <w:rFonts w:ascii="Arial Narrow" w:hAnsi="Arial Narrow"/>
                <w:sz w:val="20"/>
              </w:rPr>
              <w:t>540.23</w:t>
            </w:r>
          </w:p>
        </w:tc>
        <w:tc>
          <w:tcPr>
            <w:tcW w:w="2802" w:type="dxa"/>
            <w:tcBorders>
              <w:top w:val="single" w:sz="4" w:space="0" w:color="auto"/>
              <w:left w:val="single" w:sz="4" w:space="0" w:color="auto"/>
              <w:bottom w:val="single" w:sz="4" w:space="0" w:color="auto"/>
              <w:right w:val="single" w:sz="4" w:space="0" w:color="auto"/>
            </w:tcBorders>
            <w:vAlign w:val="center"/>
          </w:tcPr>
          <w:p w:rsidR="00155163" w:rsidRPr="00A639BB" w:rsidRDefault="00155163" w:rsidP="00C46E66">
            <w:pPr>
              <w:widowControl/>
              <w:snapToGrid w:val="0"/>
              <w:jc w:val="center"/>
              <w:rPr>
                <w:rFonts w:ascii="Arial Narrow" w:hAnsi="Arial Narrow"/>
                <w:i/>
                <w:sz w:val="20"/>
                <w:vertAlign w:val="superscript"/>
              </w:rPr>
            </w:pPr>
            <w:r>
              <w:rPr>
                <w:rFonts w:ascii="Arial Narrow" w:hAnsi="Arial Narrow"/>
                <w:i/>
                <w:sz w:val="20"/>
              </w:rPr>
              <w:t>0.50</w:t>
            </w:r>
            <w:r>
              <w:rPr>
                <w:rFonts w:ascii="Arial Narrow" w:hAnsi="Arial Narrow"/>
                <w:i/>
                <w:sz w:val="20"/>
                <w:vertAlign w:val="superscript"/>
              </w:rPr>
              <w:t>c</w:t>
            </w:r>
          </w:p>
        </w:tc>
        <w:tc>
          <w:tcPr>
            <w:tcW w:w="2277" w:type="dxa"/>
            <w:tcBorders>
              <w:top w:val="single" w:sz="4" w:space="0" w:color="auto"/>
              <w:left w:val="single" w:sz="4" w:space="0" w:color="auto"/>
              <w:bottom w:val="single" w:sz="4" w:space="0" w:color="auto"/>
              <w:right w:val="single" w:sz="4" w:space="0" w:color="auto"/>
            </w:tcBorders>
            <w:vAlign w:val="center"/>
          </w:tcPr>
          <w:p w:rsidR="00155163" w:rsidRPr="004A4B61" w:rsidRDefault="00155163" w:rsidP="00C46E66">
            <w:pPr>
              <w:widowControl/>
              <w:snapToGrid w:val="0"/>
              <w:jc w:val="center"/>
              <w:rPr>
                <w:rFonts w:ascii="Arial Narrow" w:hAnsi="Arial Narrow"/>
                <w:i/>
                <w:sz w:val="20"/>
              </w:rPr>
            </w:pPr>
            <w:r>
              <w:rPr>
                <w:rFonts w:ascii="Arial Narrow" w:hAnsi="Arial Narrow"/>
                <w:i/>
                <w:sz w:val="20"/>
              </w:rPr>
              <w:t>$1,080</w:t>
            </w:r>
          </w:p>
        </w:tc>
      </w:tr>
      <w:tr w:rsidR="00155163" w:rsidRPr="00297299" w:rsidTr="008F7923">
        <w:tc>
          <w:tcPr>
            <w:tcW w:w="8339" w:type="dxa"/>
            <w:gridSpan w:val="4"/>
            <w:tcBorders>
              <w:top w:val="single" w:sz="4" w:space="0" w:color="auto"/>
              <w:left w:val="single" w:sz="4" w:space="0" w:color="auto"/>
              <w:bottom w:val="single" w:sz="4" w:space="0" w:color="auto"/>
              <w:right w:val="single" w:sz="4" w:space="0" w:color="auto"/>
            </w:tcBorders>
            <w:hideMark/>
          </w:tcPr>
          <w:p w:rsidR="00155163" w:rsidRPr="00297299" w:rsidRDefault="00155163" w:rsidP="00C46E66">
            <w:pPr>
              <w:widowControl/>
              <w:snapToGrid w:val="0"/>
              <w:rPr>
                <w:rFonts w:ascii="Arial Narrow" w:hAnsi="Arial Narrow"/>
                <w:i/>
                <w:sz w:val="20"/>
              </w:rPr>
            </w:pPr>
            <w:r w:rsidRPr="00297299">
              <w:rPr>
                <w:rFonts w:ascii="Arial Narrow" w:hAnsi="Arial Narrow"/>
                <w:b/>
                <w:i/>
                <w:sz w:val="20"/>
              </w:rPr>
              <w:t>Incremental analysis</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tcPr>
          <w:p w:rsidR="00155163" w:rsidRPr="00297299" w:rsidRDefault="00155163" w:rsidP="00C46E66">
            <w:pPr>
              <w:widowControl/>
              <w:snapToGrid w:val="0"/>
              <w:rPr>
                <w:rFonts w:ascii="Arial Narrow" w:hAnsi="Arial Narrow"/>
                <w:b/>
                <w:sz w:val="20"/>
              </w:rPr>
            </w:pPr>
            <w:r>
              <w:rPr>
                <w:rFonts w:ascii="Arial Narrow" w:hAnsi="Arial Narrow"/>
                <w:b/>
                <w:sz w:val="20"/>
              </w:rPr>
              <w:t xml:space="preserve">Comparison </w:t>
            </w:r>
          </w:p>
        </w:tc>
        <w:tc>
          <w:tcPr>
            <w:tcW w:w="1417" w:type="dxa"/>
            <w:tcBorders>
              <w:top w:val="single" w:sz="4" w:space="0" w:color="auto"/>
              <w:left w:val="single" w:sz="4" w:space="0" w:color="auto"/>
              <w:bottom w:val="single" w:sz="4" w:space="0" w:color="auto"/>
              <w:right w:val="single" w:sz="4" w:space="0" w:color="auto"/>
            </w:tcBorders>
            <w:hideMark/>
          </w:tcPr>
          <w:p w:rsidR="00155163" w:rsidRPr="00297299" w:rsidRDefault="00155163" w:rsidP="00C46E66">
            <w:pPr>
              <w:widowControl/>
              <w:snapToGrid w:val="0"/>
              <w:rPr>
                <w:rFonts w:ascii="Arial Narrow" w:hAnsi="Arial Narrow"/>
                <w:b/>
                <w:sz w:val="20"/>
              </w:rPr>
            </w:pPr>
            <w:r w:rsidRPr="00297299">
              <w:rPr>
                <w:rFonts w:ascii="Arial Narrow" w:hAnsi="Arial Narrow"/>
                <w:b/>
                <w:sz w:val="20"/>
              </w:rPr>
              <w:t>Incremental cost</w:t>
            </w:r>
          </w:p>
        </w:tc>
        <w:tc>
          <w:tcPr>
            <w:tcW w:w="2802" w:type="dxa"/>
            <w:tcBorders>
              <w:top w:val="single" w:sz="4" w:space="0" w:color="auto"/>
              <w:left w:val="single" w:sz="4" w:space="0" w:color="auto"/>
              <w:bottom w:val="single" w:sz="4" w:space="0" w:color="auto"/>
              <w:right w:val="single" w:sz="4" w:space="0" w:color="auto"/>
            </w:tcBorders>
            <w:hideMark/>
          </w:tcPr>
          <w:p w:rsidR="00155163" w:rsidRPr="00297299" w:rsidRDefault="00155163" w:rsidP="00C46E66">
            <w:pPr>
              <w:widowControl/>
              <w:snapToGrid w:val="0"/>
              <w:rPr>
                <w:rFonts w:ascii="Arial Narrow" w:hAnsi="Arial Narrow"/>
                <w:b/>
                <w:sz w:val="20"/>
              </w:rPr>
            </w:pPr>
            <w:r w:rsidRPr="00297299">
              <w:rPr>
                <w:rFonts w:ascii="Arial Narrow" w:hAnsi="Arial Narrow"/>
                <w:b/>
                <w:sz w:val="20"/>
              </w:rPr>
              <w:t>Incremental response probability</w:t>
            </w:r>
          </w:p>
        </w:tc>
        <w:tc>
          <w:tcPr>
            <w:tcW w:w="2277" w:type="dxa"/>
            <w:tcBorders>
              <w:top w:val="single" w:sz="4" w:space="0" w:color="auto"/>
              <w:left w:val="single" w:sz="4" w:space="0" w:color="auto"/>
              <w:bottom w:val="single" w:sz="4" w:space="0" w:color="auto"/>
              <w:right w:val="single" w:sz="4" w:space="0" w:color="auto"/>
            </w:tcBorders>
            <w:hideMark/>
          </w:tcPr>
          <w:p w:rsidR="00155163" w:rsidRPr="00297299" w:rsidRDefault="00155163" w:rsidP="00C46E66">
            <w:pPr>
              <w:widowControl/>
              <w:snapToGrid w:val="0"/>
              <w:rPr>
                <w:rFonts w:ascii="Arial Narrow" w:hAnsi="Arial Narrow"/>
                <w:b/>
                <w:sz w:val="20"/>
              </w:rPr>
            </w:pPr>
            <w:r w:rsidRPr="00297299">
              <w:rPr>
                <w:rFonts w:ascii="Arial Narrow" w:hAnsi="Arial Narrow"/>
                <w:b/>
                <w:sz w:val="20"/>
              </w:rPr>
              <w:t>ICER</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widowControl/>
              <w:snapToGrid w:val="0"/>
              <w:rPr>
                <w:rFonts w:ascii="Arial Narrow" w:hAnsi="Arial Narrow"/>
                <w:sz w:val="20"/>
              </w:rPr>
            </w:pPr>
            <w:r w:rsidRPr="002B4265">
              <w:rPr>
                <w:rFonts w:ascii="Arial Narrow" w:hAnsi="Arial Narrow"/>
                <w:sz w:val="20"/>
              </w:rPr>
              <w:t>FBX versus PBO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CE5FFF" w:rsidRDefault="00155163" w:rsidP="00C46E66">
            <w:pPr>
              <w:widowControl/>
              <w:snapToGrid w:val="0"/>
              <w:jc w:val="center"/>
              <w:rPr>
                <w:rFonts w:ascii="Arial Narrow" w:hAnsi="Arial Narrow"/>
                <w:i/>
                <w:sz w:val="20"/>
              </w:rPr>
            </w:pPr>
            <w:r w:rsidRPr="00CE5FFF">
              <w:rPr>
                <w:rFonts w:ascii="Arial Narrow" w:hAnsi="Arial Narrow"/>
                <w:i/>
                <w:sz w:val="20"/>
              </w:rPr>
              <w:t>$</w:t>
            </w:r>
            <w:r w:rsidR="00470A32">
              <w:rPr>
                <w:rFonts w:ascii="Arial Narrow" w:hAnsi="Arial Narrow"/>
                <w:i/>
                <w:noProof/>
                <w:color w:val="000000"/>
                <w:sz w:val="20"/>
                <w:highlight w:val="black"/>
              </w:rPr>
              <w:t>'''''''''''''''</w:t>
            </w:r>
          </w:p>
        </w:tc>
        <w:tc>
          <w:tcPr>
            <w:tcW w:w="2802" w:type="dxa"/>
            <w:tcBorders>
              <w:top w:val="single" w:sz="4" w:space="0" w:color="auto"/>
              <w:left w:val="single" w:sz="4" w:space="0" w:color="auto"/>
              <w:bottom w:val="single" w:sz="4" w:space="0" w:color="auto"/>
              <w:right w:val="single" w:sz="4" w:space="0" w:color="auto"/>
            </w:tcBorders>
            <w:vAlign w:val="center"/>
          </w:tcPr>
          <w:p w:rsidR="00155163" w:rsidRPr="004A4B61" w:rsidRDefault="00155163" w:rsidP="00C46E66">
            <w:pPr>
              <w:widowControl/>
              <w:snapToGrid w:val="0"/>
              <w:jc w:val="center"/>
              <w:rPr>
                <w:rFonts w:ascii="Arial Narrow" w:hAnsi="Arial Narrow"/>
                <w:i/>
                <w:sz w:val="20"/>
              </w:rPr>
            </w:pPr>
            <w:r>
              <w:rPr>
                <w:rFonts w:ascii="Arial Narrow" w:hAnsi="Arial Narrow"/>
                <w:i/>
                <w:sz w:val="20"/>
              </w:rPr>
              <w:t>0.452</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4A4B61" w:rsidRDefault="00155163" w:rsidP="00C46E66">
            <w:pPr>
              <w:widowControl/>
              <w:snapToGrid w:val="0"/>
              <w:jc w:val="center"/>
              <w:rPr>
                <w:rFonts w:ascii="Arial Narrow" w:hAnsi="Arial Narrow"/>
                <w:i/>
                <w:sz w:val="20"/>
              </w:rPr>
            </w:pPr>
            <w:r w:rsidRPr="004A4B61">
              <w:rPr>
                <w:rFonts w:ascii="Arial Narrow" w:hAnsi="Arial Narrow"/>
                <w:i/>
                <w:sz w:val="20"/>
              </w:rPr>
              <w:t>$</w:t>
            </w:r>
            <w:r w:rsidR="00470A32">
              <w:rPr>
                <w:rFonts w:ascii="Arial Narrow" w:hAnsi="Arial Narrow"/>
                <w:i/>
                <w:noProof/>
                <w:color w:val="000000"/>
                <w:sz w:val="20"/>
                <w:highlight w:val="black"/>
              </w:rPr>
              <w:t>'''''''''''''</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widowControl/>
              <w:snapToGrid w:val="0"/>
              <w:rPr>
                <w:rFonts w:ascii="Arial Narrow" w:hAnsi="Arial Narrow"/>
                <w:sz w:val="20"/>
              </w:rPr>
            </w:pPr>
            <w:r w:rsidRPr="002B4265">
              <w:rPr>
                <w:rFonts w:ascii="Arial Narrow" w:hAnsi="Arial Narrow"/>
                <w:sz w:val="20"/>
              </w:rPr>
              <w:t>FBX versus ALO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CE5FFF" w:rsidRDefault="00155163" w:rsidP="00C46E66">
            <w:pPr>
              <w:widowControl/>
              <w:snapToGrid w:val="0"/>
              <w:jc w:val="center"/>
              <w:rPr>
                <w:rFonts w:ascii="Arial Narrow" w:hAnsi="Arial Narrow"/>
                <w:i/>
                <w:sz w:val="20"/>
              </w:rPr>
            </w:pPr>
            <w:r>
              <w:rPr>
                <w:rFonts w:ascii="Arial Narrow" w:hAnsi="Arial Narrow"/>
                <w:i/>
                <w:sz w:val="20"/>
              </w:rPr>
              <w:t>$</w:t>
            </w:r>
            <w:r w:rsidR="00470A32">
              <w:rPr>
                <w:rFonts w:ascii="Arial Narrow" w:hAnsi="Arial Narrow"/>
                <w:i/>
                <w:noProof/>
                <w:color w:val="000000"/>
                <w:sz w:val="20"/>
                <w:highlight w:val="black"/>
              </w:rPr>
              <w:t>''''''''''''''''</w:t>
            </w:r>
          </w:p>
        </w:tc>
        <w:tc>
          <w:tcPr>
            <w:tcW w:w="2802" w:type="dxa"/>
            <w:tcBorders>
              <w:top w:val="single" w:sz="4" w:space="0" w:color="auto"/>
              <w:left w:val="single" w:sz="4" w:space="0" w:color="auto"/>
              <w:bottom w:val="single" w:sz="4" w:space="0" w:color="auto"/>
              <w:right w:val="single" w:sz="4" w:space="0" w:color="auto"/>
            </w:tcBorders>
            <w:vAlign w:val="center"/>
          </w:tcPr>
          <w:p w:rsidR="00155163" w:rsidRPr="004A4B61" w:rsidRDefault="00155163" w:rsidP="00C46E66">
            <w:pPr>
              <w:widowControl/>
              <w:snapToGrid w:val="0"/>
              <w:jc w:val="center"/>
              <w:rPr>
                <w:rFonts w:ascii="Arial Narrow" w:hAnsi="Arial Narrow"/>
                <w:i/>
                <w:sz w:val="20"/>
              </w:rPr>
            </w:pPr>
            <w:r>
              <w:rPr>
                <w:rFonts w:ascii="Arial Narrow" w:hAnsi="Arial Narrow"/>
                <w:i/>
                <w:sz w:val="20"/>
              </w:rPr>
              <w:t>0.452</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4A4B61" w:rsidRDefault="00155163" w:rsidP="00C46E66">
            <w:pPr>
              <w:widowControl/>
              <w:snapToGrid w:val="0"/>
              <w:jc w:val="center"/>
              <w:rPr>
                <w:rFonts w:ascii="Arial Narrow" w:hAnsi="Arial Narrow"/>
                <w:i/>
                <w:sz w:val="20"/>
              </w:rPr>
            </w:pPr>
            <w:r>
              <w:rPr>
                <w:rFonts w:ascii="Arial Narrow" w:hAnsi="Arial Narrow"/>
                <w:i/>
                <w:sz w:val="20"/>
              </w:rPr>
              <w:t>$</w:t>
            </w:r>
            <w:r w:rsidR="00470A32">
              <w:rPr>
                <w:rFonts w:ascii="Arial Narrow" w:hAnsi="Arial Narrow"/>
                <w:i/>
                <w:noProof/>
                <w:color w:val="000000"/>
                <w:sz w:val="20"/>
                <w:highlight w:val="black"/>
              </w:rPr>
              <w:t>''''''''''</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widowControl/>
              <w:snapToGrid w:val="0"/>
              <w:rPr>
                <w:rFonts w:ascii="Arial Narrow" w:hAnsi="Arial Narrow"/>
                <w:sz w:val="20"/>
              </w:rPr>
            </w:pPr>
            <w:r w:rsidRPr="002B4265">
              <w:rPr>
                <w:rFonts w:ascii="Arial Narrow" w:hAnsi="Arial Narrow"/>
                <w:sz w:val="20"/>
              </w:rPr>
              <w:t>FBX versus PRO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CE5FFF" w:rsidRDefault="00155163" w:rsidP="00C46E66">
            <w:pPr>
              <w:widowControl/>
              <w:snapToGrid w:val="0"/>
              <w:jc w:val="center"/>
              <w:rPr>
                <w:rFonts w:ascii="Arial Narrow" w:hAnsi="Arial Narrow"/>
                <w:i/>
                <w:sz w:val="20"/>
              </w:rPr>
            </w:pPr>
            <w:r w:rsidRPr="00CE5FFF">
              <w:rPr>
                <w:rFonts w:ascii="Arial Narrow" w:hAnsi="Arial Narrow"/>
                <w:i/>
                <w:sz w:val="20"/>
              </w:rPr>
              <w:t>-$</w:t>
            </w:r>
            <w:r w:rsidR="00470A32">
              <w:rPr>
                <w:rFonts w:ascii="Arial Narrow" w:hAnsi="Arial Narrow"/>
                <w:i/>
                <w:noProof/>
                <w:color w:val="000000"/>
                <w:sz w:val="20"/>
                <w:highlight w:val="black"/>
              </w:rPr>
              <w:t>''''''''''''''''</w:t>
            </w:r>
          </w:p>
        </w:tc>
        <w:tc>
          <w:tcPr>
            <w:tcW w:w="2802" w:type="dxa"/>
            <w:tcBorders>
              <w:top w:val="single" w:sz="4" w:space="0" w:color="auto"/>
              <w:left w:val="single" w:sz="4" w:space="0" w:color="auto"/>
              <w:bottom w:val="single" w:sz="4" w:space="0" w:color="auto"/>
              <w:right w:val="single" w:sz="4" w:space="0" w:color="auto"/>
            </w:tcBorders>
            <w:vAlign w:val="center"/>
          </w:tcPr>
          <w:p w:rsidR="00155163" w:rsidRPr="004A4B61" w:rsidRDefault="00155163" w:rsidP="00C46E66">
            <w:pPr>
              <w:widowControl/>
              <w:snapToGrid w:val="0"/>
              <w:jc w:val="center"/>
              <w:rPr>
                <w:rFonts w:ascii="Arial Narrow" w:hAnsi="Arial Narrow"/>
                <w:i/>
                <w:sz w:val="20"/>
              </w:rPr>
            </w:pPr>
            <w:r w:rsidRPr="004A4B61">
              <w:rPr>
                <w:rFonts w:ascii="Arial Narrow" w:hAnsi="Arial Narrow"/>
                <w:i/>
                <w:sz w:val="20"/>
              </w:rPr>
              <w:t>0.232</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297299" w:rsidRDefault="00155163" w:rsidP="00C46E66">
            <w:pPr>
              <w:widowControl/>
              <w:snapToGrid w:val="0"/>
              <w:jc w:val="center"/>
              <w:rPr>
                <w:rFonts w:ascii="Arial Narrow" w:hAnsi="Arial Narrow"/>
                <w:sz w:val="20"/>
              </w:rPr>
            </w:pPr>
            <w:r>
              <w:rPr>
                <w:rFonts w:ascii="Arial Narrow" w:hAnsi="Arial Narrow"/>
                <w:sz w:val="20"/>
              </w:rPr>
              <w:t>Dominant</w:t>
            </w:r>
          </w:p>
        </w:tc>
      </w:tr>
      <w:tr w:rsidR="00155163" w:rsidRPr="00297299" w:rsidTr="008F7923">
        <w:tc>
          <w:tcPr>
            <w:tcW w:w="1843" w:type="dxa"/>
            <w:tcBorders>
              <w:top w:val="single" w:sz="4" w:space="0" w:color="auto"/>
              <w:left w:val="single" w:sz="4" w:space="0" w:color="auto"/>
              <w:bottom w:val="single" w:sz="4" w:space="0" w:color="auto"/>
              <w:right w:val="single" w:sz="4" w:space="0" w:color="auto"/>
            </w:tcBorders>
            <w:hideMark/>
          </w:tcPr>
          <w:p w:rsidR="00155163" w:rsidRPr="002B4265" w:rsidRDefault="00155163" w:rsidP="00C46E66">
            <w:pPr>
              <w:widowControl/>
              <w:snapToGrid w:val="0"/>
              <w:jc w:val="left"/>
              <w:rPr>
                <w:rFonts w:ascii="Arial Narrow" w:hAnsi="Arial Narrow"/>
                <w:sz w:val="20"/>
              </w:rPr>
            </w:pPr>
            <w:r w:rsidRPr="002B4265">
              <w:rPr>
                <w:rFonts w:ascii="Arial Narrow" w:hAnsi="Arial Narrow"/>
                <w:sz w:val="20"/>
              </w:rPr>
              <w:t>FBX versus ALO+PRO</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5163" w:rsidRPr="00CE5FFF" w:rsidRDefault="00155163" w:rsidP="00C46E66">
            <w:pPr>
              <w:widowControl/>
              <w:snapToGrid w:val="0"/>
              <w:jc w:val="center"/>
              <w:rPr>
                <w:rFonts w:ascii="Arial Narrow" w:hAnsi="Arial Narrow"/>
                <w:i/>
                <w:sz w:val="20"/>
              </w:rPr>
            </w:pPr>
            <w:r w:rsidRPr="00CE5FFF">
              <w:rPr>
                <w:rFonts w:ascii="Arial Narrow" w:hAnsi="Arial Narrow"/>
                <w:i/>
                <w:sz w:val="20"/>
              </w:rPr>
              <w:t>-$</w:t>
            </w:r>
            <w:r w:rsidR="00470A32">
              <w:rPr>
                <w:rFonts w:ascii="Arial Narrow" w:hAnsi="Arial Narrow"/>
                <w:i/>
                <w:noProof/>
                <w:color w:val="000000"/>
                <w:sz w:val="20"/>
                <w:highlight w:val="black"/>
              </w:rPr>
              <w:t>''''''''''''''</w:t>
            </w:r>
          </w:p>
        </w:tc>
        <w:tc>
          <w:tcPr>
            <w:tcW w:w="2802" w:type="dxa"/>
            <w:tcBorders>
              <w:top w:val="single" w:sz="4" w:space="0" w:color="auto"/>
              <w:left w:val="single" w:sz="4" w:space="0" w:color="auto"/>
              <w:bottom w:val="single" w:sz="4" w:space="0" w:color="auto"/>
              <w:right w:val="single" w:sz="4" w:space="0" w:color="auto"/>
            </w:tcBorders>
            <w:vAlign w:val="center"/>
          </w:tcPr>
          <w:p w:rsidR="00155163" w:rsidRPr="004A4B61" w:rsidRDefault="00155163" w:rsidP="00C46E66">
            <w:pPr>
              <w:widowControl/>
              <w:snapToGrid w:val="0"/>
              <w:jc w:val="center"/>
              <w:rPr>
                <w:rFonts w:ascii="Arial Narrow" w:hAnsi="Arial Narrow"/>
                <w:i/>
                <w:sz w:val="20"/>
              </w:rPr>
            </w:pPr>
            <w:r>
              <w:rPr>
                <w:rFonts w:ascii="Arial Narrow" w:hAnsi="Arial Narrow"/>
                <w:i/>
                <w:sz w:val="20"/>
              </w:rPr>
              <w:t>-0.048</w:t>
            </w:r>
          </w:p>
        </w:tc>
        <w:tc>
          <w:tcPr>
            <w:tcW w:w="2277" w:type="dxa"/>
            <w:tcBorders>
              <w:top w:val="single" w:sz="4" w:space="0" w:color="auto"/>
              <w:left w:val="single" w:sz="4" w:space="0" w:color="auto"/>
              <w:bottom w:val="single" w:sz="4" w:space="0" w:color="auto"/>
              <w:right w:val="single" w:sz="4" w:space="0" w:color="auto"/>
            </w:tcBorders>
            <w:vAlign w:val="center"/>
            <w:hideMark/>
          </w:tcPr>
          <w:p w:rsidR="00155163" w:rsidRPr="004A4B61" w:rsidRDefault="00155163" w:rsidP="00C46E66">
            <w:pPr>
              <w:widowControl/>
              <w:snapToGrid w:val="0"/>
              <w:jc w:val="center"/>
              <w:rPr>
                <w:rFonts w:ascii="Arial Narrow" w:hAnsi="Arial Narrow"/>
                <w:i/>
                <w:sz w:val="20"/>
              </w:rPr>
            </w:pPr>
            <w:r>
              <w:rPr>
                <w:rFonts w:ascii="Arial Narrow" w:hAnsi="Arial Narrow"/>
                <w:i/>
                <w:sz w:val="20"/>
              </w:rPr>
              <w:t>FBX less costly &amp; effective</w:t>
            </w:r>
          </w:p>
        </w:tc>
      </w:tr>
    </w:tbl>
    <w:p w:rsidR="00155163" w:rsidRDefault="00155163" w:rsidP="008F7923">
      <w:pPr>
        <w:widowControl/>
        <w:ind w:left="851" w:hanging="142"/>
        <w:rPr>
          <w:rFonts w:ascii="Arial Narrow" w:hAnsi="Arial Narrow"/>
          <w:sz w:val="18"/>
        </w:rPr>
      </w:pPr>
      <w:r w:rsidRPr="007137E1">
        <w:rPr>
          <w:rFonts w:ascii="Arial Narrow" w:hAnsi="Arial Narrow"/>
          <w:sz w:val="18"/>
        </w:rPr>
        <w:t xml:space="preserve">Source: Table D-4 of re-submission and </w:t>
      </w:r>
      <w:proofErr w:type="spellStart"/>
      <w:r w:rsidRPr="007137E1">
        <w:rPr>
          <w:rFonts w:ascii="Arial Narrow" w:hAnsi="Arial Narrow"/>
          <w:sz w:val="18"/>
        </w:rPr>
        <w:t>TreeAgePro</w:t>
      </w:r>
      <w:proofErr w:type="spellEnd"/>
      <w:r w:rsidRPr="007137E1">
        <w:rPr>
          <w:rFonts w:ascii="Arial Narrow" w:hAnsi="Arial Narrow"/>
          <w:sz w:val="18"/>
        </w:rPr>
        <w:t xml:space="preserve"> results.</w:t>
      </w:r>
    </w:p>
    <w:p w:rsidR="00155163" w:rsidRDefault="00155163" w:rsidP="008F7923">
      <w:pPr>
        <w:widowControl/>
        <w:ind w:left="851" w:hanging="142"/>
        <w:rPr>
          <w:rFonts w:ascii="Arial Narrow" w:hAnsi="Arial Narrow"/>
          <w:sz w:val="18"/>
        </w:rPr>
      </w:pPr>
      <w:r>
        <w:rPr>
          <w:rFonts w:ascii="Arial Narrow" w:hAnsi="Arial Narrow"/>
          <w:sz w:val="18"/>
        </w:rPr>
        <w:t xml:space="preserve">Table D-4, p90 of the submission cites the following response rates (derived from ((1-discontinuation rate)*response rate)) </w:t>
      </w:r>
    </w:p>
    <w:p w:rsidR="00155163" w:rsidRPr="00A639BB" w:rsidRDefault="00155163" w:rsidP="008F7923">
      <w:pPr>
        <w:widowControl/>
        <w:ind w:left="851" w:hanging="142"/>
        <w:rPr>
          <w:rFonts w:ascii="Arial Narrow" w:hAnsi="Arial Narrow"/>
          <w:sz w:val="18"/>
        </w:rPr>
      </w:pPr>
      <w:proofErr w:type="gramStart"/>
      <w:r>
        <w:rPr>
          <w:rFonts w:ascii="Arial Narrow" w:hAnsi="Arial Narrow"/>
          <w:sz w:val="18"/>
          <w:vertAlign w:val="superscript"/>
        </w:rPr>
        <w:t>a</w:t>
      </w:r>
      <w:proofErr w:type="gramEnd"/>
      <w:r>
        <w:rPr>
          <w:rFonts w:ascii="Arial Narrow" w:hAnsi="Arial Narrow"/>
          <w:sz w:val="18"/>
        </w:rPr>
        <w:tab/>
        <w:t xml:space="preserve">0.165, </w:t>
      </w:r>
      <w:r>
        <w:rPr>
          <w:rFonts w:ascii="Arial Narrow" w:hAnsi="Arial Narrow"/>
          <w:sz w:val="18"/>
          <w:vertAlign w:val="superscript"/>
        </w:rPr>
        <w:t>b</w:t>
      </w:r>
      <w:r>
        <w:rPr>
          <w:rFonts w:ascii="Arial Narrow" w:hAnsi="Arial Narrow"/>
          <w:sz w:val="18"/>
        </w:rPr>
        <w:tab/>
      </w:r>
      <w:r>
        <w:rPr>
          <w:rFonts w:ascii="Arial Narrow" w:hAnsi="Arial Narrow"/>
          <w:sz w:val="18"/>
        </w:rPr>
        <w:tab/>
        <w:t xml:space="preserve">0.4921 (response rate cited as 58.3%, </w:t>
      </w:r>
      <w:r w:rsidR="008A2449" w:rsidRPr="008A2449">
        <w:rPr>
          <w:rFonts w:ascii="Arial Narrow" w:hAnsi="Arial Narrow"/>
          <w:sz w:val="18"/>
        </w:rPr>
        <w:t>should be 53.6%,</w:t>
      </w:r>
      <w:r w:rsidR="008A2449">
        <w:rPr>
          <w:rFonts w:ascii="Arial Narrow" w:hAnsi="Arial Narrow"/>
          <w:i/>
          <w:sz w:val="18"/>
        </w:rPr>
        <w:t xml:space="preserve"> </w:t>
      </w:r>
      <w:r>
        <w:rPr>
          <w:rFonts w:ascii="Arial Narrow" w:hAnsi="Arial Narrow"/>
          <w:sz w:val="18"/>
        </w:rPr>
        <w:t xml:space="preserve"> </w:t>
      </w:r>
      <w:r>
        <w:rPr>
          <w:rFonts w:ascii="Arial Narrow" w:hAnsi="Arial Narrow"/>
          <w:sz w:val="18"/>
          <w:vertAlign w:val="superscript"/>
        </w:rPr>
        <w:t>c</w:t>
      </w:r>
      <w:r>
        <w:rPr>
          <w:rFonts w:ascii="Arial Narrow" w:hAnsi="Arial Narrow"/>
          <w:sz w:val="18"/>
        </w:rPr>
        <w:tab/>
        <w:t>0.375</w:t>
      </w:r>
    </w:p>
    <w:p w:rsidR="00155163" w:rsidRPr="00297299" w:rsidRDefault="00155163" w:rsidP="008F7923">
      <w:pPr>
        <w:widowControl/>
        <w:ind w:left="851" w:hanging="142"/>
      </w:pPr>
      <w:r w:rsidRPr="007137E1">
        <w:rPr>
          <w:rFonts w:ascii="Arial Narrow" w:hAnsi="Arial Narrow"/>
          <w:sz w:val="18"/>
        </w:rPr>
        <w:t xml:space="preserve">Abbreviations: ALO=allopurinol; FBX= </w:t>
      </w:r>
      <w:proofErr w:type="spellStart"/>
      <w:r w:rsidRPr="007137E1">
        <w:rPr>
          <w:rFonts w:ascii="Arial Narrow" w:hAnsi="Arial Narrow"/>
          <w:sz w:val="18"/>
        </w:rPr>
        <w:t>febuxostat</w:t>
      </w:r>
      <w:proofErr w:type="spellEnd"/>
      <w:r w:rsidRPr="007137E1">
        <w:rPr>
          <w:rFonts w:ascii="Arial Narrow" w:hAnsi="Arial Narrow"/>
          <w:sz w:val="18"/>
        </w:rPr>
        <w:t xml:space="preserve">; PBO = placebo; PRO = </w:t>
      </w:r>
      <w:proofErr w:type="spellStart"/>
      <w:r w:rsidRPr="007137E1">
        <w:rPr>
          <w:rFonts w:ascii="Arial Narrow" w:hAnsi="Arial Narrow"/>
          <w:sz w:val="18"/>
        </w:rPr>
        <w:t>probenecid</w:t>
      </w:r>
      <w:proofErr w:type="spellEnd"/>
    </w:p>
    <w:p w:rsidR="00155163" w:rsidRDefault="00155163" w:rsidP="00155163">
      <w:pPr>
        <w:pStyle w:val="ListParagraph"/>
        <w:widowControl/>
        <w:snapToGrid w:val="0"/>
        <w:ind w:left="862"/>
      </w:pPr>
    </w:p>
    <w:p w:rsidR="00155163" w:rsidRPr="00155163" w:rsidRDefault="00155163" w:rsidP="00155163">
      <w:pPr>
        <w:pStyle w:val="ListParagraph"/>
        <w:widowControl/>
        <w:snapToGrid w:val="0"/>
        <w:ind w:left="862"/>
        <w:rPr>
          <w:szCs w:val="22"/>
        </w:rPr>
      </w:pPr>
    </w:p>
    <w:p w:rsidR="00155163" w:rsidRPr="00155163" w:rsidRDefault="006F70CF" w:rsidP="00C311A5">
      <w:pPr>
        <w:pStyle w:val="ListParagraph"/>
        <w:widowControl/>
        <w:numPr>
          <w:ilvl w:val="1"/>
          <w:numId w:val="2"/>
        </w:numPr>
        <w:snapToGrid w:val="0"/>
        <w:ind w:left="709" w:hanging="709"/>
        <w:rPr>
          <w:szCs w:val="22"/>
        </w:rPr>
      </w:pPr>
      <w:r w:rsidRPr="00155163">
        <w:t xml:space="preserve">The variation in </w:t>
      </w:r>
      <w:proofErr w:type="spellStart"/>
      <w:r w:rsidRPr="00155163">
        <w:t>febuxostat’s</w:t>
      </w:r>
      <w:proofErr w:type="spellEnd"/>
      <w:r w:rsidRPr="00155163">
        <w:t xml:space="preserve"> cost-effectiveness profile across these thre</w:t>
      </w:r>
      <w:r w:rsidR="007850BF">
        <w:t>e patient populations highlighted</w:t>
      </w:r>
      <w:r w:rsidRPr="00155163">
        <w:t xml:space="preserve"> concern about the applicability of the data sources. The response rate data came from small studies in disparate populations. None of the data sources compared </w:t>
      </w:r>
      <w:proofErr w:type="spellStart"/>
      <w:r w:rsidRPr="00155163">
        <w:t>febuxostat</w:t>
      </w:r>
      <w:proofErr w:type="spellEnd"/>
      <w:r w:rsidRPr="00155163">
        <w:t xml:space="preserve"> directly with any of the comparators</w:t>
      </w:r>
      <w:r w:rsidR="007E583C" w:rsidRPr="00155163">
        <w:t xml:space="preserve">. </w:t>
      </w:r>
    </w:p>
    <w:p w:rsidR="00155163" w:rsidRPr="00155163" w:rsidRDefault="00155163" w:rsidP="00155163">
      <w:pPr>
        <w:pStyle w:val="ListParagraph"/>
        <w:widowControl/>
        <w:snapToGrid w:val="0"/>
        <w:ind w:left="862"/>
        <w:rPr>
          <w:szCs w:val="22"/>
        </w:rPr>
      </w:pPr>
    </w:p>
    <w:p w:rsidR="007E583C" w:rsidRPr="00FD6482" w:rsidRDefault="00F62E21" w:rsidP="00C311A5">
      <w:pPr>
        <w:pStyle w:val="ListParagraph"/>
        <w:widowControl/>
        <w:numPr>
          <w:ilvl w:val="1"/>
          <w:numId w:val="2"/>
        </w:numPr>
        <w:snapToGrid w:val="0"/>
        <w:ind w:left="709" w:hanging="709"/>
        <w:rPr>
          <w:iCs/>
          <w:szCs w:val="22"/>
        </w:rPr>
      </w:pPr>
      <w:r>
        <w:t xml:space="preserve">The evaluation questioned </w:t>
      </w:r>
      <w:r w:rsidRPr="003A1B50">
        <w:rPr>
          <w:iCs/>
        </w:rPr>
        <w:t>whether the cost per responder analysis presented in the re-submission was informative</w:t>
      </w:r>
      <w:r w:rsidR="00A648AB">
        <w:rPr>
          <w:iCs/>
        </w:rPr>
        <w:t>,</w:t>
      </w:r>
      <w:r w:rsidR="003A1B50" w:rsidRPr="003A1B50">
        <w:rPr>
          <w:iCs/>
        </w:rPr>
        <w:t xml:space="preserve"> </w:t>
      </w:r>
      <w:r w:rsidR="00A648AB">
        <w:rPr>
          <w:iCs/>
        </w:rPr>
        <w:t>given that</w:t>
      </w:r>
      <w:r w:rsidR="003A1B50" w:rsidRPr="003A1B50">
        <w:rPr>
          <w:iCs/>
        </w:rPr>
        <w:t xml:space="preserve"> </w:t>
      </w:r>
      <w:r w:rsidR="00A648AB">
        <w:rPr>
          <w:iCs/>
        </w:rPr>
        <w:t>it</w:t>
      </w:r>
      <w:r w:rsidR="003A1B50" w:rsidRPr="003A1B50">
        <w:rPr>
          <w:iCs/>
        </w:rPr>
        <w:t xml:space="preserve"> provide</w:t>
      </w:r>
      <w:r w:rsidR="00A648AB">
        <w:rPr>
          <w:iCs/>
        </w:rPr>
        <w:t>d</w:t>
      </w:r>
      <w:r w:rsidR="003A1B50" w:rsidRPr="003A1B50">
        <w:rPr>
          <w:iCs/>
        </w:rPr>
        <w:t xml:space="preserve"> a limited basis to assess the value of the health benefit of response.</w:t>
      </w:r>
      <w:r w:rsidRPr="003A1B50">
        <w:rPr>
          <w:iCs/>
        </w:rPr>
        <w:t xml:space="preserve"> </w:t>
      </w:r>
      <w:r w:rsidR="009512EA">
        <w:t>F</w:t>
      </w:r>
      <w:r w:rsidR="008C4368" w:rsidRPr="00155163">
        <w:t>urther</w:t>
      </w:r>
      <w:r w:rsidR="009512EA">
        <w:t xml:space="preserve">, </w:t>
      </w:r>
      <w:r w:rsidR="003A1B50">
        <w:t xml:space="preserve">the </w:t>
      </w:r>
      <w:r>
        <w:t xml:space="preserve">evaluation identified </w:t>
      </w:r>
      <w:r w:rsidR="003A1B50">
        <w:t xml:space="preserve">that </w:t>
      </w:r>
      <w:r w:rsidR="009512EA">
        <w:t>meaningful interpretation of the re</w:t>
      </w:r>
      <w:r>
        <w:t>sults of the economic analysis wa</w:t>
      </w:r>
      <w:r w:rsidR="009512EA">
        <w:t>s</w:t>
      </w:r>
      <w:r w:rsidR="008C4368" w:rsidRPr="00155163">
        <w:t xml:space="preserve"> conf</w:t>
      </w:r>
      <w:r w:rsidR="007E583C" w:rsidRPr="00155163">
        <w:t>ounded by the fact th</w:t>
      </w:r>
      <w:r w:rsidR="005455AA" w:rsidRPr="00155163">
        <w:t>at</w:t>
      </w:r>
      <w:r w:rsidR="007850BF">
        <w:t xml:space="preserve"> a responder wa</w:t>
      </w:r>
      <w:r w:rsidR="007E583C" w:rsidRPr="00155163">
        <w:t xml:space="preserve">s defined based on a </w:t>
      </w:r>
      <w:proofErr w:type="spellStart"/>
      <w:r w:rsidR="007E583C" w:rsidRPr="00155163">
        <w:t>sUA</w:t>
      </w:r>
      <w:proofErr w:type="spellEnd"/>
      <w:r w:rsidR="007E583C" w:rsidRPr="00155163">
        <w:t xml:space="preserve"> thr</w:t>
      </w:r>
      <w:r w:rsidR="007850BF">
        <w:t xml:space="preserve">eshold achievement, when </w:t>
      </w:r>
      <w:proofErr w:type="spellStart"/>
      <w:r w:rsidR="007850BF">
        <w:t>sUA</w:t>
      </w:r>
      <w:proofErr w:type="spellEnd"/>
      <w:r w:rsidR="007850BF">
        <w:t xml:space="preserve"> had</w:t>
      </w:r>
      <w:r w:rsidR="007E583C" w:rsidRPr="00155163">
        <w:t xml:space="preserve"> not been accepted to be a reliable surrogate outcome for clinical events</w:t>
      </w:r>
      <w:r w:rsidR="008C4368" w:rsidRPr="00155163">
        <w:t xml:space="preserve"> </w:t>
      </w:r>
      <w:r w:rsidR="00A648AB">
        <w:t>in the population of interest</w:t>
      </w:r>
      <w:r w:rsidR="007E583C" w:rsidRPr="00155163">
        <w:t>.</w:t>
      </w:r>
      <w:r w:rsidRPr="003A1B50">
        <w:rPr>
          <w:iCs/>
        </w:rPr>
        <w:t xml:space="preserve"> </w:t>
      </w:r>
    </w:p>
    <w:p w:rsidR="00FD6482" w:rsidRDefault="00FD6482" w:rsidP="00FD6482">
      <w:pPr>
        <w:pStyle w:val="ListParagraph"/>
        <w:widowControl/>
        <w:snapToGrid w:val="0"/>
        <w:ind w:left="709"/>
        <w:rPr>
          <w:iCs/>
        </w:rPr>
      </w:pPr>
    </w:p>
    <w:p w:rsidR="00FD6482" w:rsidRPr="00FD6482" w:rsidRDefault="00FD6482" w:rsidP="00FD6482">
      <w:pPr>
        <w:pStyle w:val="ListParagraph"/>
        <w:widowControl/>
        <w:snapToGrid w:val="0"/>
        <w:ind w:left="709"/>
        <w:rPr>
          <w:iCs/>
        </w:rPr>
      </w:pPr>
      <w:r w:rsidRPr="00FD6482">
        <w:rPr>
          <w:i/>
          <w:iCs/>
        </w:rPr>
        <w:t>For more detail on PBAC’s view, see section 7 “PBAC outcome”</w:t>
      </w:r>
      <w:r>
        <w:rPr>
          <w:i/>
          <w:iCs/>
        </w:rPr>
        <w:t>.</w:t>
      </w:r>
      <w:r w:rsidRPr="00FD6482">
        <w:rPr>
          <w:i/>
          <w:iCs/>
        </w:rPr>
        <w:t xml:space="preserve"> </w:t>
      </w:r>
    </w:p>
    <w:p w:rsidR="006F70CF" w:rsidRPr="007E583C" w:rsidRDefault="006F70CF" w:rsidP="007E583C">
      <w:pPr>
        <w:widowControl/>
        <w:snapToGrid w:val="0"/>
        <w:rPr>
          <w:szCs w:val="22"/>
        </w:rPr>
      </w:pPr>
    </w:p>
    <w:p w:rsidR="006F70CF" w:rsidRPr="00470A32" w:rsidRDefault="006F70CF" w:rsidP="004958E3">
      <w:pPr>
        <w:pStyle w:val="Heading2"/>
      </w:pPr>
      <w:bookmarkStart w:id="25" w:name="_Toc280358248"/>
      <w:bookmarkStart w:id="26" w:name="_Toc409518444"/>
      <w:r w:rsidRPr="00155163">
        <w:t>Drug cost/patient/year: $</w:t>
      </w:r>
      <w:bookmarkEnd w:id="25"/>
      <w:bookmarkEnd w:id="26"/>
      <w:r w:rsidR="00470A32">
        <w:rPr>
          <w:noProof/>
          <w:color w:val="000000"/>
          <w:highlight w:val="black"/>
        </w:rPr>
        <w:t>''''''''</w:t>
      </w:r>
    </w:p>
    <w:p w:rsidR="006F70CF" w:rsidRPr="00297299" w:rsidRDefault="006F70CF" w:rsidP="006F70CF">
      <w:pPr>
        <w:widowControl/>
        <w:rPr>
          <w:szCs w:val="22"/>
        </w:rPr>
      </w:pPr>
    </w:p>
    <w:p w:rsidR="006F70CF" w:rsidRPr="007E583C" w:rsidRDefault="007E583C" w:rsidP="00C311A5">
      <w:pPr>
        <w:pStyle w:val="ListParagraph"/>
        <w:widowControl/>
        <w:numPr>
          <w:ilvl w:val="1"/>
          <w:numId w:val="2"/>
        </w:numPr>
        <w:snapToGrid w:val="0"/>
        <w:ind w:left="709" w:hanging="709"/>
        <w:rPr>
          <w:szCs w:val="22"/>
        </w:rPr>
      </w:pPr>
      <w:r>
        <w:rPr>
          <w:szCs w:val="22"/>
        </w:rPr>
        <w:lastRenderedPageBreak/>
        <w:t>Based on 13 packs per patient per year, a dose of 80</w:t>
      </w:r>
      <w:r w:rsidR="00B830AB">
        <w:rPr>
          <w:szCs w:val="22"/>
        </w:rPr>
        <w:t xml:space="preserve"> </w:t>
      </w:r>
      <w:r>
        <w:rPr>
          <w:szCs w:val="22"/>
        </w:rPr>
        <w:t xml:space="preserve">mg/day </w:t>
      </w:r>
      <w:r w:rsidR="006F70CF" w:rsidRPr="00297299">
        <w:rPr>
          <w:szCs w:val="22"/>
        </w:rPr>
        <w:t>and the proposed DPMQ of $</w:t>
      </w:r>
      <w:r w:rsidR="00470A32">
        <w:rPr>
          <w:noProof/>
          <w:color w:val="000000"/>
          <w:szCs w:val="22"/>
          <w:highlight w:val="black"/>
        </w:rPr>
        <w:t>'''''''''''''</w:t>
      </w:r>
      <w:r w:rsidR="006F70CF" w:rsidRPr="00297299">
        <w:rPr>
          <w:szCs w:val="22"/>
        </w:rPr>
        <w:t>.</w:t>
      </w:r>
    </w:p>
    <w:p w:rsidR="006F70CF" w:rsidRPr="00297299" w:rsidRDefault="006F70CF" w:rsidP="006F70CF">
      <w:pPr>
        <w:widowControl/>
        <w:rPr>
          <w:szCs w:val="22"/>
        </w:rPr>
      </w:pPr>
    </w:p>
    <w:p w:rsidR="006F70CF" w:rsidRDefault="006F70CF" w:rsidP="004958E3">
      <w:pPr>
        <w:pStyle w:val="Heading2"/>
      </w:pPr>
      <w:bookmarkStart w:id="27" w:name="_Toc280358249"/>
      <w:bookmarkStart w:id="28" w:name="_Toc409518445"/>
      <w:r w:rsidRPr="00297299">
        <w:t>Estimated PBS usage &amp; financial implications</w:t>
      </w:r>
      <w:bookmarkEnd w:id="27"/>
      <w:bookmarkEnd w:id="28"/>
    </w:p>
    <w:p w:rsidR="007E583C" w:rsidRPr="007E583C" w:rsidRDefault="007E583C" w:rsidP="000E009F">
      <w:pPr>
        <w:keepNext/>
        <w:keepLines/>
      </w:pPr>
    </w:p>
    <w:p w:rsidR="00A95CD5" w:rsidRDefault="006F70CF" w:rsidP="00A95CD5">
      <w:pPr>
        <w:pStyle w:val="ListParagraph"/>
        <w:keepNext/>
        <w:keepLines/>
        <w:widowControl/>
        <w:numPr>
          <w:ilvl w:val="1"/>
          <w:numId w:val="2"/>
        </w:numPr>
        <w:snapToGrid w:val="0"/>
        <w:ind w:left="709" w:hanging="709"/>
      </w:pPr>
      <w:r w:rsidRPr="00297299">
        <w:t>T</w:t>
      </w:r>
      <w:r w:rsidR="00A95CD5">
        <w:t xml:space="preserve">his </w:t>
      </w:r>
      <w:r w:rsidR="000E34A5">
        <w:t>re-</w:t>
      </w:r>
      <w:r w:rsidR="00A95CD5">
        <w:t>submission was not considered by DUSC.</w:t>
      </w:r>
      <w:r w:rsidR="000E34A5">
        <w:t xml:space="preserve"> DUSC advice to the PBAC had previously been provided on the initial submission considered in March 2014. </w:t>
      </w:r>
      <w:r w:rsidR="003058DE">
        <w:t>The p</w:t>
      </w:r>
      <w:r w:rsidR="000E34A5">
        <w:t xml:space="preserve">revious DUSC advice had been in the context of listing allopurinol in the first-line setting but also </w:t>
      </w:r>
      <w:r w:rsidR="003058DE">
        <w:t>included</w:t>
      </w:r>
      <w:r w:rsidR="000E34A5">
        <w:t xml:space="preserve"> </w:t>
      </w:r>
      <w:r w:rsidR="008D2867">
        <w:t>additional</w:t>
      </w:r>
      <w:r w:rsidR="000E34A5">
        <w:t xml:space="preserve"> </w:t>
      </w:r>
      <w:proofErr w:type="gramStart"/>
      <w:r w:rsidR="000E34A5">
        <w:t xml:space="preserve">advice </w:t>
      </w:r>
      <w:r w:rsidR="003058DE">
        <w:t xml:space="preserve"> about</w:t>
      </w:r>
      <w:proofErr w:type="gramEnd"/>
      <w:r w:rsidR="003058DE">
        <w:t xml:space="preserve"> potential utilisation in </w:t>
      </w:r>
      <w:r w:rsidR="000E34A5">
        <w:t xml:space="preserve">a second-line setting. </w:t>
      </w:r>
    </w:p>
    <w:p w:rsidR="000E34A5" w:rsidRDefault="000E34A5" w:rsidP="000E34A5">
      <w:pPr>
        <w:pStyle w:val="ListParagraph"/>
        <w:keepNext/>
        <w:keepLines/>
        <w:widowControl/>
        <w:snapToGrid w:val="0"/>
        <w:ind w:left="709"/>
      </w:pPr>
    </w:p>
    <w:p w:rsidR="00155163" w:rsidRDefault="00334885" w:rsidP="00C311A5">
      <w:pPr>
        <w:pStyle w:val="ListParagraph"/>
        <w:keepNext/>
        <w:keepLines/>
        <w:widowControl/>
        <w:numPr>
          <w:ilvl w:val="1"/>
          <w:numId w:val="2"/>
        </w:numPr>
        <w:snapToGrid w:val="0"/>
        <w:ind w:left="709" w:hanging="709"/>
      </w:pPr>
      <w:r>
        <w:t>The table below</w:t>
      </w:r>
      <w:r w:rsidR="006F70CF" w:rsidRPr="00297299">
        <w:t xml:space="preserve"> summarises </w:t>
      </w:r>
      <w:proofErr w:type="spellStart"/>
      <w:r w:rsidR="006F70CF" w:rsidRPr="00297299">
        <w:t>febuxostat</w:t>
      </w:r>
      <w:proofErr w:type="spellEnd"/>
      <w:r w:rsidR="006F70CF" w:rsidRPr="00297299">
        <w:t xml:space="preserve"> usage and cost estimates </w:t>
      </w:r>
      <w:r w:rsidR="00CC69E2">
        <w:t xml:space="preserve">that </w:t>
      </w:r>
      <w:r w:rsidR="001F5042">
        <w:t xml:space="preserve">were provided in the sponsor’s pre-sub-committee response and repeated in the pre-PBAC response following the sponsor’s adjustment for a potential simplified </w:t>
      </w:r>
      <w:r w:rsidR="004220E0">
        <w:t>PBS-</w:t>
      </w:r>
      <w:r w:rsidR="001F5042">
        <w:t xml:space="preserve">restriction </w:t>
      </w:r>
      <w:r w:rsidR="004220E0">
        <w:t>definition of</w:t>
      </w:r>
      <w:r w:rsidR="003058DE">
        <w:t xml:space="preserve"> </w:t>
      </w:r>
      <w:r w:rsidR="001F5042">
        <w:t>‘allopurinol insufficient’ patients</w:t>
      </w:r>
      <w:r w:rsidR="00CC69E2">
        <w:t>.</w:t>
      </w:r>
      <w:r w:rsidR="00155163">
        <w:t xml:space="preserve"> </w:t>
      </w:r>
    </w:p>
    <w:p w:rsidR="00344BFB" w:rsidRDefault="00344BFB" w:rsidP="00344BFB">
      <w:pPr>
        <w:pStyle w:val="PBACheading1"/>
        <w:keepNext/>
        <w:keepLines/>
        <w:numPr>
          <w:ilvl w:val="0"/>
          <w:numId w:val="0"/>
        </w:numPr>
        <w:snapToGrid w:val="0"/>
        <w:ind w:left="720"/>
        <w:rPr>
          <w:rFonts w:ascii="Arial Narrow" w:hAnsi="Arial Narrow"/>
          <w:iCs/>
          <w:sz w:val="18"/>
        </w:rPr>
      </w:pPr>
    </w:p>
    <w:p w:rsidR="00344BFB" w:rsidRPr="00297299" w:rsidRDefault="00344BFB" w:rsidP="00344BFB">
      <w:pPr>
        <w:pStyle w:val="PBACheading1"/>
        <w:numPr>
          <w:ilvl w:val="0"/>
          <w:numId w:val="0"/>
        </w:numPr>
        <w:ind w:left="720"/>
        <w:rPr>
          <w:rStyle w:val="CommentReference"/>
        </w:rPr>
      </w:pPr>
      <w:r w:rsidRPr="00297299">
        <w:rPr>
          <w:rStyle w:val="CommentReference"/>
        </w:rPr>
        <w:t>Estimated use and financial implications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Estimated PBS usage &amp; financial implications"/>
        <w:tblDescription w:val="Year 1 to 5"/>
      </w:tblPr>
      <w:tblGrid>
        <w:gridCol w:w="3119"/>
        <w:gridCol w:w="1134"/>
        <w:gridCol w:w="992"/>
        <w:gridCol w:w="1134"/>
        <w:gridCol w:w="992"/>
        <w:gridCol w:w="992"/>
      </w:tblGrid>
      <w:tr w:rsidR="00344BFB" w:rsidRPr="008C4D45" w:rsidTr="008A0F2B">
        <w:trPr>
          <w:tblHeader/>
        </w:trPr>
        <w:tc>
          <w:tcPr>
            <w:tcW w:w="3119" w:type="dxa"/>
            <w:shd w:val="clear" w:color="auto" w:fill="auto"/>
            <w:vAlign w:val="center"/>
          </w:tcPr>
          <w:p w:rsidR="00344BFB" w:rsidRPr="008C4D45" w:rsidRDefault="00344BFB" w:rsidP="008A0F2B">
            <w:pPr>
              <w:tabs>
                <w:tab w:val="left" w:pos="142"/>
              </w:tabs>
              <w:jc w:val="left"/>
              <w:rPr>
                <w:rFonts w:ascii="Arial Narrow" w:hAnsi="Arial Narrow"/>
                <w:b/>
                <w:sz w:val="20"/>
              </w:rPr>
            </w:pPr>
          </w:p>
        </w:tc>
        <w:tc>
          <w:tcPr>
            <w:tcW w:w="1134" w:type="dxa"/>
            <w:shd w:val="clear" w:color="auto" w:fill="auto"/>
            <w:vAlign w:val="center"/>
          </w:tcPr>
          <w:p w:rsidR="00344BFB" w:rsidRPr="008C4D45" w:rsidRDefault="00344BFB" w:rsidP="008A0F2B">
            <w:pPr>
              <w:jc w:val="center"/>
              <w:rPr>
                <w:rFonts w:ascii="Arial Narrow" w:hAnsi="Arial Narrow"/>
                <w:b/>
                <w:sz w:val="20"/>
              </w:rPr>
            </w:pPr>
            <w:r w:rsidRPr="008C4D45">
              <w:rPr>
                <w:rFonts w:ascii="Arial Narrow" w:hAnsi="Arial Narrow"/>
                <w:b/>
                <w:sz w:val="20"/>
              </w:rPr>
              <w:t>Year 1</w:t>
            </w:r>
          </w:p>
        </w:tc>
        <w:tc>
          <w:tcPr>
            <w:tcW w:w="992" w:type="dxa"/>
            <w:shd w:val="clear" w:color="auto" w:fill="auto"/>
            <w:vAlign w:val="center"/>
          </w:tcPr>
          <w:p w:rsidR="00344BFB" w:rsidRPr="008C4D45" w:rsidRDefault="00344BFB" w:rsidP="008A0F2B">
            <w:pPr>
              <w:jc w:val="center"/>
              <w:rPr>
                <w:rFonts w:ascii="Arial Narrow" w:hAnsi="Arial Narrow"/>
                <w:b/>
                <w:sz w:val="20"/>
              </w:rPr>
            </w:pPr>
            <w:r w:rsidRPr="008C4D45">
              <w:rPr>
                <w:rFonts w:ascii="Arial Narrow" w:hAnsi="Arial Narrow"/>
                <w:b/>
                <w:sz w:val="20"/>
              </w:rPr>
              <w:t>Year 2</w:t>
            </w:r>
          </w:p>
        </w:tc>
        <w:tc>
          <w:tcPr>
            <w:tcW w:w="1134" w:type="dxa"/>
            <w:shd w:val="clear" w:color="auto" w:fill="auto"/>
            <w:vAlign w:val="center"/>
          </w:tcPr>
          <w:p w:rsidR="00344BFB" w:rsidRPr="008C4D45" w:rsidRDefault="00344BFB" w:rsidP="008A0F2B">
            <w:pPr>
              <w:jc w:val="center"/>
              <w:rPr>
                <w:rFonts w:ascii="Arial Narrow" w:hAnsi="Arial Narrow"/>
                <w:b/>
                <w:sz w:val="20"/>
              </w:rPr>
            </w:pPr>
            <w:r w:rsidRPr="008C4D45">
              <w:rPr>
                <w:rFonts w:ascii="Arial Narrow" w:hAnsi="Arial Narrow"/>
                <w:b/>
                <w:sz w:val="20"/>
              </w:rPr>
              <w:t>Year 3</w:t>
            </w:r>
          </w:p>
        </w:tc>
        <w:tc>
          <w:tcPr>
            <w:tcW w:w="992" w:type="dxa"/>
            <w:shd w:val="clear" w:color="auto" w:fill="auto"/>
            <w:vAlign w:val="center"/>
          </w:tcPr>
          <w:p w:rsidR="00344BFB" w:rsidRPr="008C4D45" w:rsidRDefault="00344BFB" w:rsidP="008A0F2B">
            <w:pPr>
              <w:jc w:val="center"/>
              <w:rPr>
                <w:rFonts w:ascii="Arial Narrow" w:hAnsi="Arial Narrow"/>
                <w:b/>
                <w:sz w:val="20"/>
              </w:rPr>
            </w:pPr>
            <w:r w:rsidRPr="008C4D45">
              <w:rPr>
                <w:rFonts w:ascii="Arial Narrow" w:hAnsi="Arial Narrow"/>
                <w:b/>
                <w:sz w:val="20"/>
              </w:rPr>
              <w:t>Year 4</w:t>
            </w:r>
          </w:p>
        </w:tc>
        <w:tc>
          <w:tcPr>
            <w:tcW w:w="992" w:type="dxa"/>
            <w:shd w:val="clear" w:color="auto" w:fill="auto"/>
            <w:vAlign w:val="center"/>
          </w:tcPr>
          <w:p w:rsidR="00344BFB" w:rsidRPr="008C4D45" w:rsidRDefault="00344BFB" w:rsidP="008A0F2B">
            <w:pPr>
              <w:jc w:val="center"/>
              <w:rPr>
                <w:rFonts w:ascii="Arial Narrow" w:hAnsi="Arial Narrow"/>
                <w:b/>
                <w:sz w:val="20"/>
              </w:rPr>
            </w:pPr>
            <w:r w:rsidRPr="008C4D45">
              <w:rPr>
                <w:rFonts w:ascii="Arial Narrow" w:hAnsi="Arial Narrow"/>
                <w:b/>
                <w:sz w:val="20"/>
              </w:rPr>
              <w:t>Year 5</w:t>
            </w:r>
          </w:p>
        </w:tc>
      </w:tr>
      <w:tr w:rsidR="00344BFB" w:rsidRPr="008C4D45" w:rsidTr="008A0F2B">
        <w:tc>
          <w:tcPr>
            <w:tcW w:w="8363" w:type="dxa"/>
            <w:gridSpan w:val="6"/>
            <w:shd w:val="clear" w:color="auto" w:fill="auto"/>
            <w:vAlign w:val="center"/>
          </w:tcPr>
          <w:p w:rsidR="00344BFB" w:rsidRPr="008C4D45" w:rsidRDefault="00344BFB" w:rsidP="008A0F2B">
            <w:pPr>
              <w:jc w:val="left"/>
              <w:rPr>
                <w:rFonts w:ascii="Arial Narrow" w:hAnsi="Arial Narrow"/>
                <w:b/>
                <w:bCs/>
                <w:color w:val="000000"/>
                <w:sz w:val="20"/>
              </w:rPr>
            </w:pPr>
            <w:r w:rsidRPr="008C4D45">
              <w:rPr>
                <w:rFonts w:ascii="Arial Narrow" w:hAnsi="Arial Narrow"/>
                <w:b/>
                <w:bCs/>
                <w:color w:val="000000"/>
                <w:sz w:val="20"/>
              </w:rPr>
              <w:t xml:space="preserve">Estimated use of </w:t>
            </w:r>
            <w:proofErr w:type="spellStart"/>
            <w:r w:rsidRPr="008C4D45">
              <w:rPr>
                <w:rFonts w:ascii="Arial Narrow" w:hAnsi="Arial Narrow"/>
                <w:b/>
                <w:bCs/>
                <w:color w:val="000000"/>
                <w:sz w:val="20"/>
              </w:rPr>
              <w:t>Febuxostat</w:t>
            </w:r>
            <w:proofErr w:type="spellEnd"/>
            <w:r w:rsidRPr="008C4D45">
              <w:rPr>
                <w:rFonts w:ascii="Arial Narrow" w:hAnsi="Arial Narrow"/>
                <w:b/>
                <w:bCs/>
                <w:color w:val="000000"/>
                <w:sz w:val="20"/>
              </w:rPr>
              <w:t xml:space="preserve"> and cost to PBS/RPBS</w:t>
            </w:r>
          </w:p>
        </w:tc>
      </w:tr>
      <w:tr w:rsidR="00344BFB" w:rsidRPr="008C4D45" w:rsidTr="008A0F2B">
        <w:tc>
          <w:tcPr>
            <w:tcW w:w="3119" w:type="dxa"/>
            <w:shd w:val="clear" w:color="auto" w:fill="auto"/>
            <w:vAlign w:val="center"/>
          </w:tcPr>
          <w:p w:rsidR="00344BFB" w:rsidRPr="008C4D45" w:rsidRDefault="00344BFB" w:rsidP="008A0F2B">
            <w:pPr>
              <w:tabs>
                <w:tab w:val="left" w:pos="142"/>
              </w:tabs>
              <w:jc w:val="left"/>
              <w:rPr>
                <w:rFonts w:ascii="Arial Narrow" w:hAnsi="Arial Narrow"/>
                <w:sz w:val="20"/>
              </w:rPr>
            </w:pPr>
            <w:r>
              <w:rPr>
                <w:rFonts w:ascii="Arial Narrow" w:hAnsi="Arial Narrow"/>
                <w:sz w:val="20"/>
              </w:rPr>
              <w:t>Untreated chronic gout patients (contraindicated or intolerant to allopurinol)</w:t>
            </w:r>
          </w:p>
        </w:tc>
        <w:tc>
          <w:tcPr>
            <w:tcW w:w="1134" w:type="dxa"/>
            <w:shd w:val="clear" w:color="auto" w:fill="auto"/>
            <w:vAlign w:val="bottom"/>
          </w:tcPr>
          <w:p w:rsidR="00344BFB" w:rsidRPr="00470A32" w:rsidRDefault="00470A32" w:rsidP="008A0F2B">
            <w:pPr>
              <w:jc w:val="right"/>
              <w:rPr>
                <w:rFonts w:ascii="Arial Narrow" w:hAnsi="Arial Narrow"/>
                <w:i/>
                <w:sz w:val="20"/>
                <w:highlight w:val="black"/>
              </w:rPr>
            </w:pPr>
            <w:r>
              <w:rPr>
                <w:rFonts w:ascii="Arial Narrow" w:hAnsi="Arial Narrow"/>
                <w:noProof/>
                <w:color w:val="000000"/>
                <w:sz w:val="20"/>
                <w:highlight w:val="black"/>
              </w:rPr>
              <w:t>''''''''''''''''</w:t>
            </w:r>
          </w:p>
        </w:tc>
        <w:tc>
          <w:tcPr>
            <w:tcW w:w="992" w:type="dxa"/>
            <w:shd w:val="clear" w:color="auto" w:fill="auto"/>
            <w:vAlign w:val="bottom"/>
          </w:tcPr>
          <w:p w:rsidR="00344BFB" w:rsidRPr="00470A32" w:rsidRDefault="00470A32" w:rsidP="008A0F2B">
            <w:pPr>
              <w:jc w:val="right"/>
              <w:rPr>
                <w:rFonts w:ascii="Arial Narrow" w:hAnsi="Arial Narrow"/>
                <w:i/>
                <w:sz w:val="20"/>
                <w:highlight w:val="black"/>
              </w:rPr>
            </w:pPr>
            <w:r>
              <w:rPr>
                <w:rFonts w:ascii="Arial Narrow" w:hAnsi="Arial Narrow"/>
                <w:noProof/>
                <w:color w:val="000000"/>
                <w:sz w:val="20"/>
                <w:highlight w:val="black"/>
              </w:rPr>
              <w:t>'''''''''''''''''</w:t>
            </w:r>
          </w:p>
        </w:tc>
        <w:tc>
          <w:tcPr>
            <w:tcW w:w="1134" w:type="dxa"/>
            <w:shd w:val="clear" w:color="auto" w:fill="auto"/>
            <w:vAlign w:val="bottom"/>
          </w:tcPr>
          <w:p w:rsidR="00344BFB" w:rsidRPr="00470A32" w:rsidRDefault="00470A32" w:rsidP="008A0F2B">
            <w:pPr>
              <w:jc w:val="right"/>
              <w:rPr>
                <w:rFonts w:ascii="Arial Narrow" w:hAnsi="Arial Narrow"/>
                <w:i/>
                <w:sz w:val="20"/>
                <w:highlight w:val="black"/>
              </w:rPr>
            </w:pPr>
            <w:r>
              <w:rPr>
                <w:rFonts w:ascii="Arial Narrow" w:hAnsi="Arial Narrow"/>
                <w:noProof/>
                <w:color w:val="000000"/>
                <w:sz w:val="20"/>
                <w:highlight w:val="black"/>
              </w:rPr>
              <w:t>'''''''''''''''</w:t>
            </w:r>
          </w:p>
        </w:tc>
        <w:tc>
          <w:tcPr>
            <w:tcW w:w="992" w:type="dxa"/>
            <w:shd w:val="clear" w:color="auto" w:fill="auto"/>
            <w:vAlign w:val="bottom"/>
          </w:tcPr>
          <w:p w:rsidR="00344BFB" w:rsidRPr="00470A32" w:rsidRDefault="00470A32" w:rsidP="008A0F2B">
            <w:pPr>
              <w:jc w:val="right"/>
              <w:rPr>
                <w:rFonts w:ascii="Arial Narrow" w:hAnsi="Arial Narrow"/>
                <w:i/>
                <w:sz w:val="20"/>
                <w:highlight w:val="black"/>
              </w:rPr>
            </w:pPr>
            <w:r>
              <w:rPr>
                <w:rFonts w:ascii="Arial Narrow" w:hAnsi="Arial Narrow"/>
                <w:noProof/>
                <w:color w:val="000000"/>
                <w:sz w:val="20"/>
                <w:highlight w:val="black"/>
              </w:rPr>
              <w:t>'''''''''''''''''</w:t>
            </w:r>
          </w:p>
        </w:tc>
        <w:tc>
          <w:tcPr>
            <w:tcW w:w="992" w:type="dxa"/>
            <w:shd w:val="clear" w:color="auto" w:fill="auto"/>
            <w:vAlign w:val="bottom"/>
          </w:tcPr>
          <w:p w:rsidR="00344BFB" w:rsidRPr="00470A32" w:rsidRDefault="00470A32" w:rsidP="008A0F2B">
            <w:pPr>
              <w:jc w:val="right"/>
              <w:rPr>
                <w:rFonts w:ascii="Arial Narrow" w:hAnsi="Arial Narrow"/>
                <w:i/>
                <w:sz w:val="20"/>
                <w:highlight w:val="black"/>
              </w:rPr>
            </w:pPr>
            <w:r>
              <w:rPr>
                <w:rFonts w:ascii="Arial Narrow" w:hAnsi="Arial Narrow"/>
                <w:noProof/>
                <w:color w:val="000000"/>
                <w:sz w:val="20"/>
                <w:highlight w:val="black"/>
              </w:rPr>
              <w:t>''''''''''''''''</w:t>
            </w:r>
          </w:p>
        </w:tc>
      </w:tr>
      <w:tr w:rsidR="00344BFB" w:rsidRPr="008C4D45" w:rsidTr="008A0F2B">
        <w:tc>
          <w:tcPr>
            <w:tcW w:w="3119" w:type="dxa"/>
            <w:shd w:val="clear" w:color="auto" w:fill="auto"/>
            <w:vAlign w:val="center"/>
          </w:tcPr>
          <w:p w:rsidR="00344BFB" w:rsidRPr="008C4D45" w:rsidRDefault="00344BFB" w:rsidP="008A0F2B">
            <w:pPr>
              <w:tabs>
                <w:tab w:val="left" w:pos="142"/>
              </w:tabs>
              <w:jc w:val="left"/>
              <w:rPr>
                <w:rFonts w:ascii="Arial Narrow" w:hAnsi="Arial Narrow"/>
                <w:sz w:val="20"/>
              </w:rPr>
            </w:pPr>
            <w:r>
              <w:rPr>
                <w:rFonts w:ascii="Arial Narrow" w:hAnsi="Arial Narrow"/>
                <w:sz w:val="20"/>
              </w:rPr>
              <w:t>Allopurinol treated patients with inadequate control</w:t>
            </w:r>
          </w:p>
        </w:tc>
        <w:tc>
          <w:tcPr>
            <w:tcW w:w="1134" w:type="dxa"/>
            <w:shd w:val="clear" w:color="auto" w:fill="auto"/>
            <w:vAlign w:val="bottom"/>
          </w:tcPr>
          <w:p w:rsidR="00344BFB" w:rsidRPr="00470A32" w:rsidRDefault="00470A32" w:rsidP="008A0F2B">
            <w:pPr>
              <w:jc w:val="right"/>
              <w:rPr>
                <w:rFonts w:ascii="Arial Narrow" w:hAnsi="Arial Narrow"/>
                <w:sz w:val="20"/>
                <w:highlight w:val="black"/>
              </w:rPr>
            </w:pPr>
            <w:r>
              <w:rPr>
                <w:rFonts w:ascii="Arial Narrow" w:hAnsi="Arial Narrow"/>
                <w:noProof/>
                <w:color w:val="000000"/>
                <w:sz w:val="20"/>
                <w:highlight w:val="black"/>
              </w:rPr>
              <w:t>''''''''''''''''</w:t>
            </w:r>
          </w:p>
        </w:tc>
        <w:tc>
          <w:tcPr>
            <w:tcW w:w="992" w:type="dxa"/>
            <w:shd w:val="clear" w:color="auto" w:fill="auto"/>
            <w:vAlign w:val="bottom"/>
          </w:tcPr>
          <w:p w:rsidR="00344BFB" w:rsidRPr="00470A32" w:rsidRDefault="00470A32" w:rsidP="008A0F2B">
            <w:pPr>
              <w:jc w:val="right"/>
              <w:rPr>
                <w:rFonts w:ascii="Arial Narrow" w:hAnsi="Arial Narrow"/>
                <w:sz w:val="20"/>
                <w:highlight w:val="black"/>
              </w:rPr>
            </w:pPr>
            <w:r>
              <w:rPr>
                <w:rFonts w:ascii="Arial Narrow" w:hAnsi="Arial Narrow"/>
                <w:noProof/>
                <w:color w:val="000000"/>
                <w:sz w:val="20"/>
                <w:highlight w:val="black"/>
              </w:rPr>
              <w:t>''''''''''''''''</w:t>
            </w:r>
          </w:p>
        </w:tc>
        <w:tc>
          <w:tcPr>
            <w:tcW w:w="1134" w:type="dxa"/>
            <w:shd w:val="clear" w:color="auto" w:fill="auto"/>
            <w:vAlign w:val="bottom"/>
          </w:tcPr>
          <w:p w:rsidR="00344BFB" w:rsidRPr="00470A32" w:rsidRDefault="00470A32" w:rsidP="008A0F2B">
            <w:pPr>
              <w:jc w:val="right"/>
              <w:rPr>
                <w:rFonts w:ascii="Arial Narrow" w:hAnsi="Arial Narrow"/>
                <w:sz w:val="20"/>
                <w:highlight w:val="black"/>
              </w:rPr>
            </w:pPr>
            <w:r>
              <w:rPr>
                <w:rFonts w:ascii="Arial Narrow" w:hAnsi="Arial Narrow"/>
                <w:noProof/>
                <w:color w:val="000000"/>
                <w:sz w:val="20"/>
                <w:highlight w:val="black"/>
              </w:rPr>
              <w:t>'''''''''''''''</w:t>
            </w:r>
          </w:p>
        </w:tc>
        <w:tc>
          <w:tcPr>
            <w:tcW w:w="992" w:type="dxa"/>
            <w:shd w:val="clear" w:color="auto" w:fill="auto"/>
            <w:vAlign w:val="bottom"/>
          </w:tcPr>
          <w:p w:rsidR="00344BFB" w:rsidRPr="00470A32" w:rsidRDefault="00470A32" w:rsidP="008A0F2B">
            <w:pPr>
              <w:jc w:val="right"/>
              <w:rPr>
                <w:rFonts w:ascii="Arial Narrow" w:hAnsi="Arial Narrow"/>
                <w:sz w:val="20"/>
                <w:highlight w:val="black"/>
              </w:rPr>
            </w:pPr>
            <w:r>
              <w:rPr>
                <w:rFonts w:ascii="Arial Narrow" w:hAnsi="Arial Narrow"/>
                <w:noProof/>
                <w:color w:val="000000"/>
                <w:sz w:val="20"/>
                <w:highlight w:val="black"/>
              </w:rPr>
              <w:t>''''''''''''''''</w:t>
            </w:r>
          </w:p>
        </w:tc>
        <w:tc>
          <w:tcPr>
            <w:tcW w:w="992" w:type="dxa"/>
            <w:shd w:val="clear" w:color="auto" w:fill="auto"/>
            <w:vAlign w:val="bottom"/>
          </w:tcPr>
          <w:p w:rsidR="00344BFB" w:rsidRPr="00470A32" w:rsidRDefault="00470A32" w:rsidP="008A0F2B">
            <w:pPr>
              <w:jc w:val="right"/>
              <w:rPr>
                <w:rFonts w:ascii="Arial Narrow" w:hAnsi="Arial Narrow"/>
                <w:sz w:val="20"/>
                <w:highlight w:val="black"/>
              </w:rPr>
            </w:pPr>
            <w:r>
              <w:rPr>
                <w:rFonts w:ascii="Arial Narrow" w:hAnsi="Arial Narrow"/>
                <w:noProof/>
                <w:color w:val="000000"/>
                <w:sz w:val="20"/>
                <w:highlight w:val="black"/>
              </w:rPr>
              <w:t>''''''''''''''''</w:t>
            </w:r>
          </w:p>
        </w:tc>
      </w:tr>
      <w:tr w:rsidR="00344BFB" w:rsidRPr="008C4D45" w:rsidTr="008A0F2B">
        <w:tc>
          <w:tcPr>
            <w:tcW w:w="3119" w:type="dxa"/>
            <w:shd w:val="clear" w:color="auto" w:fill="auto"/>
            <w:vAlign w:val="center"/>
          </w:tcPr>
          <w:p w:rsidR="00344BFB" w:rsidRPr="008C4D45" w:rsidRDefault="00344BFB" w:rsidP="008A0F2B">
            <w:pPr>
              <w:tabs>
                <w:tab w:val="left" w:pos="142"/>
              </w:tabs>
              <w:jc w:val="left"/>
              <w:rPr>
                <w:rFonts w:ascii="Arial Narrow" w:hAnsi="Arial Narrow"/>
                <w:sz w:val="20"/>
              </w:rPr>
            </w:pPr>
            <w:proofErr w:type="spellStart"/>
            <w:r>
              <w:rPr>
                <w:rFonts w:ascii="Arial Narrow" w:hAnsi="Arial Narrow"/>
                <w:sz w:val="20"/>
              </w:rPr>
              <w:t>Probenecid</w:t>
            </w:r>
            <w:proofErr w:type="spellEnd"/>
            <w:r>
              <w:rPr>
                <w:rFonts w:ascii="Arial Narrow" w:hAnsi="Arial Narrow"/>
                <w:sz w:val="20"/>
              </w:rPr>
              <w:t xml:space="preserve"> treated patients</w:t>
            </w:r>
          </w:p>
        </w:tc>
        <w:tc>
          <w:tcPr>
            <w:tcW w:w="1134" w:type="dxa"/>
            <w:shd w:val="clear" w:color="auto" w:fill="auto"/>
            <w:vAlign w:val="bottom"/>
          </w:tcPr>
          <w:p w:rsidR="00344BFB" w:rsidRPr="00470A32" w:rsidRDefault="00470A32" w:rsidP="008A0F2B">
            <w:pPr>
              <w:jc w:val="right"/>
              <w:rPr>
                <w:rFonts w:ascii="Arial Narrow" w:hAnsi="Arial Narrow"/>
                <w:i/>
                <w:sz w:val="20"/>
                <w:highlight w:val="black"/>
              </w:rPr>
            </w:pPr>
            <w:r>
              <w:rPr>
                <w:rFonts w:ascii="Arial Narrow" w:hAnsi="Arial Narrow"/>
                <w:noProof/>
                <w:color w:val="000000"/>
                <w:sz w:val="20"/>
                <w:highlight w:val="black"/>
              </w:rPr>
              <w:t>'''''</w:t>
            </w:r>
          </w:p>
        </w:tc>
        <w:tc>
          <w:tcPr>
            <w:tcW w:w="992" w:type="dxa"/>
            <w:shd w:val="clear" w:color="auto" w:fill="auto"/>
            <w:vAlign w:val="bottom"/>
          </w:tcPr>
          <w:p w:rsidR="00344BFB" w:rsidRPr="00470A32" w:rsidRDefault="00470A32" w:rsidP="008A0F2B">
            <w:pPr>
              <w:jc w:val="right"/>
              <w:rPr>
                <w:rFonts w:ascii="Arial Narrow" w:hAnsi="Arial Narrow"/>
                <w:i/>
                <w:sz w:val="20"/>
                <w:highlight w:val="black"/>
              </w:rPr>
            </w:pPr>
            <w:r>
              <w:rPr>
                <w:rFonts w:ascii="Arial Narrow" w:hAnsi="Arial Narrow"/>
                <w:noProof/>
                <w:color w:val="000000"/>
                <w:sz w:val="20"/>
                <w:highlight w:val="black"/>
              </w:rPr>
              <w:t>'''''''''</w:t>
            </w:r>
          </w:p>
        </w:tc>
        <w:tc>
          <w:tcPr>
            <w:tcW w:w="1134" w:type="dxa"/>
            <w:shd w:val="clear" w:color="auto" w:fill="auto"/>
            <w:vAlign w:val="bottom"/>
          </w:tcPr>
          <w:p w:rsidR="00344BFB" w:rsidRPr="00470A32" w:rsidRDefault="00470A32" w:rsidP="008A0F2B">
            <w:pPr>
              <w:jc w:val="right"/>
              <w:rPr>
                <w:rFonts w:ascii="Arial Narrow" w:hAnsi="Arial Narrow"/>
                <w:i/>
                <w:sz w:val="20"/>
                <w:highlight w:val="black"/>
              </w:rPr>
            </w:pPr>
            <w:r>
              <w:rPr>
                <w:rFonts w:ascii="Arial Narrow" w:hAnsi="Arial Narrow"/>
                <w:noProof/>
                <w:color w:val="000000"/>
                <w:sz w:val="20"/>
                <w:highlight w:val="black"/>
              </w:rPr>
              <w:t>''''''''''</w:t>
            </w:r>
          </w:p>
        </w:tc>
        <w:tc>
          <w:tcPr>
            <w:tcW w:w="992" w:type="dxa"/>
            <w:shd w:val="clear" w:color="auto" w:fill="auto"/>
            <w:vAlign w:val="bottom"/>
          </w:tcPr>
          <w:p w:rsidR="00344BFB" w:rsidRPr="00470A32" w:rsidRDefault="00470A32" w:rsidP="008A0F2B">
            <w:pPr>
              <w:jc w:val="right"/>
              <w:rPr>
                <w:rFonts w:ascii="Arial Narrow" w:hAnsi="Arial Narrow"/>
                <w:i/>
                <w:sz w:val="20"/>
                <w:highlight w:val="black"/>
              </w:rPr>
            </w:pPr>
            <w:r>
              <w:rPr>
                <w:rFonts w:ascii="Arial Narrow" w:hAnsi="Arial Narrow"/>
                <w:noProof/>
                <w:color w:val="000000"/>
                <w:sz w:val="20"/>
                <w:highlight w:val="black"/>
              </w:rPr>
              <w:t>'''''''''</w:t>
            </w:r>
          </w:p>
        </w:tc>
        <w:tc>
          <w:tcPr>
            <w:tcW w:w="992" w:type="dxa"/>
            <w:shd w:val="clear" w:color="auto" w:fill="auto"/>
            <w:vAlign w:val="bottom"/>
          </w:tcPr>
          <w:p w:rsidR="00344BFB" w:rsidRPr="00470A32" w:rsidRDefault="00470A32" w:rsidP="008A0F2B">
            <w:pPr>
              <w:jc w:val="right"/>
              <w:rPr>
                <w:rFonts w:ascii="Arial Narrow" w:hAnsi="Arial Narrow"/>
                <w:i/>
                <w:sz w:val="20"/>
                <w:highlight w:val="black"/>
              </w:rPr>
            </w:pPr>
            <w:r>
              <w:rPr>
                <w:rFonts w:ascii="Arial Narrow" w:hAnsi="Arial Narrow"/>
                <w:noProof/>
                <w:color w:val="000000"/>
                <w:sz w:val="20"/>
                <w:highlight w:val="black"/>
              </w:rPr>
              <w:t>''''''''''</w:t>
            </w:r>
          </w:p>
        </w:tc>
      </w:tr>
      <w:tr w:rsidR="00344BFB" w:rsidRPr="008C4D45" w:rsidTr="008A0F2B">
        <w:tc>
          <w:tcPr>
            <w:tcW w:w="3119" w:type="dxa"/>
            <w:shd w:val="clear" w:color="auto" w:fill="auto"/>
            <w:vAlign w:val="center"/>
          </w:tcPr>
          <w:p w:rsidR="00344BFB" w:rsidRPr="008C4D45" w:rsidRDefault="00344BFB" w:rsidP="008A0F2B">
            <w:pPr>
              <w:tabs>
                <w:tab w:val="left" w:pos="142"/>
              </w:tabs>
              <w:jc w:val="left"/>
              <w:rPr>
                <w:rFonts w:ascii="Arial Narrow" w:hAnsi="Arial Narrow"/>
                <w:sz w:val="20"/>
              </w:rPr>
            </w:pPr>
            <w:r>
              <w:rPr>
                <w:rFonts w:ascii="Arial Narrow" w:hAnsi="Arial Narrow"/>
                <w:sz w:val="20"/>
              </w:rPr>
              <w:t xml:space="preserve">Combination (allopurinol + </w:t>
            </w:r>
            <w:proofErr w:type="spellStart"/>
            <w:r>
              <w:rPr>
                <w:rFonts w:ascii="Arial Narrow" w:hAnsi="Arial Narrow"/>
                <w:sz w:val="20"/>
              </w:rPr>
              <w:t>probenecid</w:t>
            </w:r>
            <w:proofErr w:type="spellEnd"/>
            <w:r>
              <w:rPr>
                <w:rFonts w:ascii="Arial Narrow" w:hAnsi="Arial Narrow"/>
                <w:sz w:val="20"/>
              </w:rPr>
              <w:t xml:space="preserve"> ) treated patients</w:t>
            </w:r>
          </w:p>
        </w:tc>
        <w:tc>
          <w:tcPr>
            <w:tcW w:w="1134" w:type="dxa"/>
            <w:shd w:val="clear" w:color="auto" w:fill="auto"/>
            <w:vAlign w:val="bottom"/>
          </w:tcPr>
          <w:p w:rsidR="00344BFB" w:rsidRPr="00470A32" w:rsidRDefault="00470A32" w:rsidP="008A0F2B">
            <w:pPr>
              <w:jc w:val="right"/>
              <w:rPr>
                <w:rFonts w:ascii="Arial Narrow" w:hAnsi="Arial Narrow"/>
                <w:sz w:val="20"/>
                <w:highlight w:val="black"/>
              </w:rPr>
            </w:pPr>
            <w:r>
              <w:rPr>
                <w:rFonts w:ascii="Arial Narrow" w:hAnsi="Arial Narrow"/>
                <w:noProof/>
                <w:color w:val="000000"/>
                <w:sz w:val="20"/>
                <w:highlight w:val="black"/>
              </w:rPr>
              <w:t>'''''''</w:t>
            </w:r>
          </w:p>
        </w:tc>
        <w:tc>
          <w:tcPr>
            <w:tcW w:w="992" w:type="dxa"/>
            <w:shd w:val="clear" w:color="auto" w:fill="auto"/>
            <w:vAlign w:val="bottom"/>
          </w:tcPr>
          <w:p w:rsidR="00344BFB" w:rsidRPr="00470A32" w:rsidRDefault="00470A32" w:rsidP="008A0F2B">
            <w:pPr>
              <w:jc w:val="right"/>
              <w:rPr>
                <w:rFonts w:ascii="Arial Narrow" w:hAnsi="Arial Narrow"/>
                <w:sz w:val="20"/>
                <w:highlight w:val="black"/>
              </w:rPr>
            </w:pPr>
            <w:r>
              <w:rPr>
                <w:rFonts w:ascii="Arial Narrow" w:hAnsi="Arial Narrow"/>
                <w:noProof/>
                <w:color w:val="000000"/>
                <w:sz w:val="20"/>
                <w:highlight w:val="black"/>
              </w:rPr>
              <w:t>''''''''''</w:t>
            </w:r>
          </w:p>
        </w:tc>
        <w:tc>
          <w:tcPr>
            <w:tcW w:w="1134" w:type="dxa"/>
            <w:shd w:val="clear" w:color="auto" w:fill="auto"/>
            <w:vAlign w:val="bottom"/>
          </w:tcPr>
          <w:p w:rsidR="00344BFB" w:rsidRPr="00470A32" w:rsidRDefault="00470A32" w:rsidP="008A0F2B">
            <w:pPr>
              <w:jc w:val="right"/>
              <w:rPr>
                <w:rFonts w:ascii="Arial Narrow" w:hAnsi="Arial Narrow"/>
                <w:sz w:val="20"/>
                <w:highlight w:val="black"/>
              </w:rPr>
            </w:pPr>
            <w:r>
              <w:rPr>
                <w:rFonts w:ascii="Arial Narrow" w:hAnsi="Arial Narrow"/>
                <w:noProof/>
                <w:color w:val="000000"/>
                <w:sz w:val="20"/>
                <w:highlight w:val="black"/>
              </w:rPr>
              <w:t>'''''''''</w:t>
            </w:r>
          </w:p>
        </w:tc>
        <w:tc>
          <w:tcPr>
            <w:tcW w:w="992" w:type="dxa"/>
            <w:shd w:val="clear" w:color="auto" w:fill="auto"/>
            <w:vAlign w:val="bottom"/>
          </w:tcPr>
          <w:p w:rsidR="00344BFB" w:rsidRPr="00470A32" w:rsidRDefault="00470A32" w:rsidP="008A0F2B">
            <w:pPr>
              <w:jc w:val="right"/>
              <w:rPr>
                <w:rFonts w:ascii="Arial Narrow" w:hAnsi="Arial Narrow"/>
                <w:sz w:val="20"/>
                <w:highlight w:val="black"/>
              </w:rPr>
            </w:pPr>
            <w:r>
              <w:rPr>
                <w:rFonts w:ascii="Arial Narrow" w:hAnsi="Arial Narrow"/>
                <w:noProof/>
                <w:color w:val="000000"/>
                <w:sz w:val="20"/>
                <w:highlight w:val="black"/>
              </w:rPr>
              <w:t>''''''''</w:t>
            </w:r>
          </w:p>
        </w:tc>
        <w:tc>
          <w:tcPr>
            <w:tcW w:w="992" w:type="dxa"/>
            <w:shd w:val="clear" w:color="auto" w:fill="auto"/>
            <w:vAlign w:val="bottom"/>
          </w:tcPr>
          <w:p w:rsidR="00344BFB" w:rsidRPr="00470A32" w:rsidRDefault="00470A32" w:rsidP="008A0F2B">
            <w:pPr>
              <w:jc w:val="right"/>
              <w:rPr>
                <w:rFonts w:ascii="Arial Narrow" w:hAnsi="Arial Narrow"/>
                <w:sz w:val="20"/>
                <w:highlight w:val="black"/>
              </w:rPr>
            </w:pPr>
            <w:r>
              <w:rPr>
                <w:rFonts w:ascii="Arial Narrow" w:hAnsi="Arial Narrow"/>
                <w:noProof/>
                <w:color w:val="000000"/>
                <w:sz w:val="20"/>
                <w:highlight w:val="black"/>
              </w:rPr>
              <w:t>''''''''''</w:t>
            </w:r>
          </w:p>
        </w:tc>
      </w:tr>
      <w:tr w:rsidR="00344BFB" w:rsidRPr="008C4D45" w:rsidTr="008A0F2B">
        <w:tc>
          <w:tcPr>
            <w:tcW w:w="3119" w:type="dxa"/>
            <w:shd w:val="clear" w:color="auto" w:fill="auto"/>
            <w:vAlign w:val="center"/>
          </w:tcPr>
          <w:p w:rsidR="00344BFB" w:rsidRPr="008C4D45" w:rsidDel="008C4D45" w:rsidRDefault="00344BFB" w:rsidP="008A0F2B">
            <w:pPr>
              <w:tabs>
                <w:tab w:val="left" w:pos="142"/>
              </w:tabs>
              <w:jc w:val="left"/>
              <w:rPr>
                <w:rFonts w:ascii="Arial Narrow" w:hAnsi="Arial Narrow"/>
                <w:sz w:val="20"/>
              </w:rPr>
            </w:pPr>
            <w:r>
              <w:rPr>
                <w:rFonts w:ascii="Arial Narrow" w:hAnsi="Arial Narrow"/>
                <w:sz w:val="20"/>
              </w:rPr>
              <w:t xml:space="preserve">Total potential  patients who may be treated with </w:t>
            </w:r>
            <w:proofErr w:type="spellStart"/>
            <w:r>
              <w:rPr>
                <w:rFonts w:ascii="Arial Narrow" w:hAnsi="Arial Narrow"/>
                <w:sz w:val="20"/>
              </w:rPr>
              <w:t>febuxostat</w:t>
            </w:r>
            <w:proofErr w:type="spellEnd"/>
          </w:p>
        </w:tc>
        <w:tc>
          <w:tcPr>
            <w:tcW w:w="1134" w:type="dxa"/>
            <w:shd w:val="clear" w:color="auto" w:fill="auto"/>
            <w:vAlign w:val="bottom"/>
          </w:tcPr>
          <w:p w:rsidR="00344BFB" w:rsidRPr="00470A32" w:rsidDel="008C4D45" w:rsidRDefault="00470A32" w:rsidP="008A0F2B">
            <w:pPr>
              <w:jc w:val="right"/>
              <w:rPr>
                <w:rFonts w:ascii="Arial Narrow" w:hAnsi="Arial Narrow"/>
                <w:sz w:val="20"/>
                <w:highlight w:val="black"/>
                <w:lang w:eastAsia="en-AU"/>
              </w:rPr>
            </w:pPr>
            <w:r>
              <w:rPr>
                <w:rFonts w:ascii="Arial Narrow" w:hAnsi="Arial Narrow"/>
                <w:noProof/>
                <w:color w:val="000000"/>
                <w:sz w:val="20"/>
                <w:highlight w:val="black"/>
              </w:rPr>
              <w:t>''''''''''''''''''</w:t>
            </w:r>
          </w:p>
        </w:tc>
        <w:tc>
          <w:tcPr>
            <w:tcW w:w="992" w:type="dxa"/>
            <w:shd w:val="clear" w:color="auto" w:fill="auto"/>
            <w:vAlign w:val="bottom"/>
          </w:tcPr>
          <w:p w:rsidR="00344BFB" w:rsidRPr="00470A32" w:rsidDel="008C4D45" w:rsidRDefault="00470A32" w:rsidP="008A0F2B">
            <w:pPr>
              <w:jc w:val="right"/>
              <w:rPr>
                <w:rFonts w:ascii="Arial Narrow" w:hAnsi="Arial Narrow"/>
                <w:sz w:val="20"/>
                <w:highlight w:val="black"/>
                <w:lang w:eastAsia="en-AU"/>
              </w:rPr>
            </w:pPr>
            <w:r>
              <w:rPr>
                <w:rFonts w:ascii="Arial Narrow" w:hAnsi="Arial Narrow"/>
                <w:noProof/>
                <w:color w:val="000000"/>
                <w:sz w:val="20"/>
                <w:highlight w:val="black"/>
              </w:rPr>
              <w:t>''''''''''''''''</w:t>
            </w:r>
          </w:p>
        </w:tc>
        <w:tc>
          <w:tcPr>
            <w:tcW w:w="1134" w:type="dxa"/>
            <w:shd w:val="clear" w:color="auto" w:fill="auto"/>
            <w:vAlign w:val="bottom"/>
          </w:tcPr>
          <w:p w:rsidR="00344BFB" w:rsidRPr="00470A32" w:rsidDel="008C4D45" w:rsidRDefault="00470A32" w:rsidP="008A0F2B">
            <w:pPr>
              <w:jc w:val="right"/>
              <w:rPr>
                <w:rFonts w:ascii="Arial Narrow" w:hAnsi="Arial Narrow"/>
                <w:sz w:val="20"/>
                <w:highlight w:val="black"/>
                <w:lang w:eastAsia="en-AU"/>
              </w:rPr>
            </w:pPr>
            <w:r>
              <w:rPr>
                <w:rFonts w:ascii="Arial Narrow" w:hAnsi="Arial Narrow"/>
                <w:noProof/>
                <w:color w:val="000000"/>
                <w:sz w:val="20"/>
                <w:highlight w:val="black"/>
              </w:rPr>
              <w:t>''''''''''''''''</w:t>
            </w:r>
          </w:p>
        </w:tc>
        <w:tc>
          <w:tcPr>
            <w:tcW w:w="992" w:type="dxa"/>
            <w:shd w:val="clear" w:color="auto" w:fill="auto"/>
            <w:vAlign w:val="bottom"/>
          </w:tcPr>
          <w:p w:rsidR="00344BFB" w:rsidRPr="00470A32" w:rsidDel="008C4D45" w:rsidRDefault="00470A32" w:rsidP="008A0F2B">
            <w:pPr>
              <w:jc w:val="right"/>
              <w:rPr>
                <w:rFonts w:ascii="Arial Narrow" w:hAnsi="Arial Narrow"/>
                <w:sz w:val="20"/>
                <w:highlight w:val="black"/>
                <w:lang w:eastAsia="en-AU"/>
              </w:rPr>
            </w:pPr>
            <w:r>
              <w:rPr>
                <w:rFonts w:ascii="Arial Narrow" w:hAnsi="Arial Narrow"/>
                <w:noProof/>
                <w:color w:val="000000"/>
                <w:sz w:val="20"/>
                <w:highlight w:val="black"/>
              </w:rPr>
              <w:t>'''''''''''''''''</w:t>
            </w:r>
          </w:p>
        </w:tc>
        <w:tc>
          <w:tcPr>
            <w:tcW w:w="992" w:type="dxa"/>
            <w:shd w:val="clear" w:color="auto" w:fill="auto"/>
            <w:vAlign w:val="bottom"/>
          </w:tcPr>
          <w:p w:rsidR="00344BFB" w:rsidRPr="00470A32" w:rsidDel="008C4D45" w:rsidRDefault="00470A32" w:rsidP="008A0F2B">
            <w:pPr>
              <w:jc w:val="right"/>
              <w:rPr>
                <w:rFonts w:ascii="Arial Narrow" w:hAnsi="Arial Narrow"/>
                <w:sz w:val="20"/>
                <w:highlight w:val="black"/>
                <w:lang w:eastAsia="en-AU"/>
              </w:rPr>
            </w:pPr>
            <w:r>
              <w:rPr>
                <w:rFonts w:ascii="Arial Narrow" w:hAnsi="Arial Narrow"/>
                <w:noProof/>
                <w:color w:val="000000"/>
                <w:sz w:val="20"/>
                <w:highlight w:val="black"/>
              </w:rPr>
              <w:t>'''''''''''''''</w:t>
            </w:r>
          </w:p>
        </w:tc>
      </w:tr>
      <w:tr w:rsidR="00344BFB" w:rsidRPr="008C4D45" w:rsidTr="008A0F2B">
        <w:tc>
          <w:tcPr>
            <w:tcW w:w="8363" w:type="dxa"/>
            <w:gridSpan w:val="6"/>
            <w:shd w:val="clear" w:color="auto" w:fill="auto"/>
            <w:vAlign w:val="center"/>
          </w:tcPr>
          <w:p w:rsidR="00344BFB" w:rsidRPr="008C4D45" w:rsidRDefault="00344BFB" w:rsidP="008A0F2B">
            <w:pPr>
              <w:jc w:val="left"/>
              <w:rPr>
                <w:rFonts w:ascii="Arial Narrow" w:hAnsi="Arial Narrow"/>
                <w:b/>
                <w:color w:val="000000"/>
                <w:sz w:val="20"/>
              </w:rPr>
            </w:pPr>
            <w:r w:rsidRPr="008C4D45">
              <w:rPr>
                <w:rFonts w:ascii="Arial Narrow" w:hAnsi="Arial Narrow"/>
                <w:b/>
                <w:color w:val="000000"/>
                <w:sz w:val="20"/>
              </w:rPr>
              <w:t>Estimated net cost to the PBS/RPBS</w:t>
            </w:r>
          </w:p>
        </w:tc>
      </w:tr>
      <w:tr w:rsidR="00344BFB" w:rsidRPr="008C4D45" w:rsidTr="008A0F2B">
        <w:tc>
          <w:tcPr>
            <w:tcW w:w="3119" w:type="dxa"/>
            <w:shd w:val="clear" w:color="auto" w:fill="auto"/>
            <w:vAlign w:val="center"/>
          </w:tcPr>
          <w:p w:rsidR="00344BFB" w:rsidRPr="008C4D45" w:rsidRDefault="00344BFB" w:rsidP="008A0F2B">
            <w:pPr>
              <w:tabs>
                <w:tab w:val="left" w:pos="142"/>
              </w:tabs>
              <w:jc w:val="left"/>
              <w:rPr>
                <w:rFonts w:ascii="Arial Narrow" w:hAnsi="Arial Narrow"/>
                <w:iCs/>
                <w:sz w:val="20"/>
                <w:vertAlign w:val="superscript"/>
              </w:rPr>
            </w:pPr>
            <w:r w:rsidRPr="008C4D45">
              <w:rPr>
                <w:rFonts w:ascii="Arial Narrow" w:hAnsi="Arial Narrow"/>
                <w:iCs/>
                <w:sz w:val="20"/>
              </w:rPr>
              <w:t>Net cost to PBS/RPBS</w:t>
            </w:r>
          </w:p>
        </w:tc>
        <w:tc>
          <w:tcPr>
            <w:tcW w:w="1134" w:type="dxa"/>
            <w:shd w:val="clear" w:color="auto" w:fill="auto"/>
            <w:vAlign w:val="bottom"/>
          </w:tcPr>
          <w:p w:rsidR="00344BFB" w:rsidRPr="008C4D45" w:rsidRDefault="00344BFB" w:rsidP="008A0F2B">
            <w:pPr>
              <w:jc w:val="center"/>
              <w:rPr>
                <w:rFonts w:ascii="Arial Narrow" w:hAnsi="Arial Narrow"/>
                <w:i/>
                <w:iCs/>
                <w:sz w:val="20"/>
              </w:rPr>
            </w:pPr>
            <w:r w:rsidRPr="008C4D45">
              <w:rPr>
                <w:rFonts w:ascii="Arial Narrow" w:hAnsi="Arial Narrow"/>
                <w:sz w:val="20"/>
              </w:rPr>
              <w:t>$</w:t>
            </w:r>
            <w:r w:rsidR="00470A32">
              <w:rPr>
                <w:rFonts w:ascii="Arial Narrow" w:hAnsi="Arial Narrow"/>
                <w:noProof/>
                <w:color w:val="000000"/>
                <w:sz w:val="20"/>
                <w:highlight w:val="black"/>
              </w:rPr>
              <w:t>'''''''''''''''''''''''</w:t>
            </w:r>
          </w:p>
        </w:tc>
        <w:tc>
          <w:tcPr>
            <w:tcW w:w="992" w:type="dxa"/>
            <w:shd w:val="clear" w:color="auto" w:fill="auto"/>
            <w:vAlign w:val="bottom"/>
          </w:tcPr>
          <w:p w:rsidR="00344BFB" w:rsidRPr="008C4D45" w:rsidRDefault="00344BFB" w:rsidP="008A0F2B">
            <w:pPr>
              <w:jc w:val="center"/>
              <w:rPr>
                <w:rFonts w:ascii="Arial Narrow" w:hAnsi="Arial Narrow"/>
                <w:i/>
                <w:iCs/>
                <w:sz w:val="20"/>
              </w:rPr>
            </w:pPr>
            <w:r w:rsidRPr="008C4D45">
              <w:rPr>
                <w:rFonts w:ascii="Arial Narrow" w:hAnsi="Arial Narrow"/>
                <w:sz w:val="20"/>
              </w:rPr>
              <w:t>$</w:t>
            </w:r>
            <w:r w:rsidR="00470A32">
              <w:rPr>
                <w:rFonts w:ascii="Arial Narrow" w:hAnsi="Arial Narrow"/>
                <w:noProof/>
                <w:color w:val="000000"/>
                <w:sz w:val="20"/>
                <w:highlight w:val="black"/>
              </w:rPr>
              <w:t>'''''''''''''''''''''''''''''</w:t>
            </w:r>
          </w:p>
        </w:tc>
        <w:tc>
          <w:tcPr>
            <w:tcW w:w="1134" w:type="dxa"/>
            <w:shd w:val="clear" w:color="auto" w:fill="auto"/>
            <w:vAlign w:val="bottom"/>
          </w:tcPr>
          <w:p w:rsidR="00344BFB" w:rsidRPr="008C4D45" w:rsidRDefault="00344BFB" w:rsidP="008A0F2B">
            <w:pPr>
              <w:jc w:val="center"/>
              <w:rPr>
                <w:rFonts w:ascii="Arial Narrow" w:hAnsi="Arial Narrow"/>
                <w:i/>
                <w:iCs/>
                <w:sz w:val="20"/>
              </w:rPr>
            </w:pPr>
            <w:r w:rsidRPr="008C4D45">
              <w:rPr>
                <w:rFonts w:ascii="Arial Narrow" w:hAnsi="Arial Narrow"/>
                <w:sz w:val="20"/>
              </w:rPr>
              <w:t>$</w:t>
            </w:r>
            <w:r w:rsidR="00470A32">
              <w:rPr>
                <w:rFonts w:ascii="Arial Narrow" w:hAnsi="Arial Narrow"/>
                <w:noProof/>
                <w:color w:val="000000"/>
                <w:sz w:val="20"/>
                <w:highlight w:val="black"/>
              </w:rPr>
              <w:t>'''''''''''''''''''''''''</w:t>
            </w:r>
          </w:p>
        </w:tc>
        <w:tc>
          <w:tcPr>
            <w:tcW w:w="992" w:type="dxa"/>
            <w:shd w:val="clear" w:color="auto" w:fill="auto"/>
            <w:vAlign w:val="bottom"/>
          </w:tcPr>
          <w:p w:rsidR="00344BFB" w:rsidRPr="008C4D45" w:rsidRDefault="00344BFB" w:rsidP="008A0F2B">
            <w:pPr>
              <w:jc w:val="center"/>
              <w:rPr>
                <w:rFonts w:ascii="Arial Narrow" w:hAnsi="Arial Narrow"/>
                <w:i/>
                <w:iCs/>
                <w:sz w:val="20"/>
              </w:rPr>
            </w:pPr>
            <w:r w:rsidRPr="008C4D45">
              <w:rPr>
                <w:rFonts w:ascii="Arial Narrow" w:hAnsi="Arial Narrow"/>
                <w:sz w:val="20"/>
              </w:rPr>
              <w:t>$</w:t>
            </w:r>
            <w:r w:rsidR="00470A32">
              <w:rPr>
                <w:rFonts w:ascii="Arial Narrow" w:hAnsi="Arial Narrow"/>
                <w:noProof/>
                <w:color w:val="000000"/>
                <w:sz w:val="20"/>
                <w:highlight w:val="black"/>
              </w:rPr>
              <w:t>'''''''''''''''''''''''''''''</w:t>
            </w:r>
          </w:p>
        </w:tc>
        <w:tc>
          <w:tcPr>
            <w:tcW w:w="992" w:type="dxa"/>
            <w:shd w:val="clear" w:color="auto" w:fill="auto"/>
            <w:vAlign w:val="bottom"/>
          </w:tcPr>
          <w:p w:rsidR="00344BFB" w:rsidRPr="008C4D45" w:rsidRDefault="00344BFB" w:rsidP="008A0F2B">
            <w:pPr>
              <w:jc w:val="center"/>
              <w:rPr>
                <w:rFonts w:ascii="Arial Narrow" w:hAnsi="Arial Narrow"/>
                <w:i/>
                <w:iCs/>
                <w:sz w:val="20"/>
              </w:rPr>
            </w:pPr>
            <w:r w:rsidRPr="008C4D45">
              <w:rPr>
                <w:rFonts w:ascii="Arial Narrow" w:hAnsi="Arial Narrow"/>
                <w:sz w:val="20"/>
              </w:rPr>
              <w:t>$</w:t>
            </w:r>
            <w:r w:rsidR="00470A32">
              <w:rPr>
                <w:rFonts w:ascii="Arial Narrow" w:hAnsi="Arial Narrow"/>
                <w:noProof/>
                <w:color w:val="000000"/>
                <w:sz w:val="20"/>
                <w:highlight w:val="black"/>
              </w:rPr>
              <w:t>''''''''''''''''''''''''''</w:t>
            </w:r>
          </w:p>
        </w:tc>
      </w:tr>
    </w:tbl>
    <w:p w:rsidR="00344BFB" w:rsidRPr="00344BFB" w:rsidRDefault="00344BFB" w:rsidP="00344BFB">
      <w:pPr>
        <w:pStyle w:val="PBACheading1"/>
        <w:keepNext/>
        <w:keepLines/>
        <w:numPr>
          <w:ilvl w:val="0"/>
          <w:numId w:val="0"/>
        </w:numPr>
        <w:snapToGrid w:val="0"/>
        <w:ind w:left="720"/>
        <w:rPr>
          <w:rFonts w:ascii="Arial Narrow" w:hAnsi="Arial Narrow"/>
          <w:iCs/>
          <w:color w:val="FF00FF"/>
          <w:sz w:val="18"/>
        </w:rPr>
      </w:pPr>
      <w:r w:rsidRPr="00344BFB">
        <w:rPr>
          <w:rFonts w:ascii="Arial Narrow" w:hAnsi="Arial Narrow"/>
          <w:iCs/>
          <w:sz w:val="18"/>
        </w:rPr>
        <w:t xml:space="preserve">Source: Section E Workbook.xls, sponsor pre-sub-committee response, E2 worksheet, rows 4 to 8 and row 38 </w:t>
      </w:r>
    </w:p>
    <w:p w:rsidR="005E34B3" w:rsidRDefault="005E34B3" w:rsidP="00344BFB">
      <w:pPr>
        <w:pStyle w:val="PBACheading1"/>
        <w:numPr>
          <w:ilvl w:val="0"/>
          <w:numId w:val="0"/>
        </w:numPr>
        <w:ind w:left="720" w:hanging="720"/>
        <w:rPr>
          <w:rStyle w:val="CommentReference"/>
        </w:rPr>
      </w:pPr>
    </w:p>
    <w:p w:rsidR="002F415B" w:rsidRDefault="002F415B" w:rsidP="00155163">
      <w:pPr>
        <w:keepNext/>
        <w:keepLines/>
        <w:widowControl/>
        <w:snapToGrid w:val="0"/>
        <w:rPr>
          <w:rFonts w:ascii="Arial Narrow" w:hAnsi="Arial Narrow"/>
          <w:iCs/>
          <w:color w:val="FF00FF"/>
          <w:sz w:val="18"/>
        </w:rPr>
      </w:pPr>
      <w:r>
        <w:rPr>
          <w:rFonts w:ascii="Arial Narrow" w:hAnsi="Arial Narrow"/>
          <w:iCs/>
          <w:color w:val="FF00FF"/>
          <w:sz w:val="18"/>
        </w:rPr>
        <w:lastRenderedPageBreak/>
        <w:tab/>
      </w:r>
      <w:r>
        <w:rPr>
          <w:rFonts w:ascii="Arial Narrow" w:hAnsi="Arial Narrow"/>
          <w:iCs/>
          <w:color w:val="FF00FF"/>
          <w:sz w:val="18"/>
        </w:rPr>
        <w:tab/>
      </w:r>
    </w:p>
    <w:p w:rsidR="005E34B3" w:rsidRPr="00155163" w:rsidRDefault="005E34B3" w:rsidP="005E34B3">
      <w:pPr>
        <w:pStyle w:val="ListParagraph"/>
        <w:keepNext/>
        <w:keepLines/>
        <w:widowControl/>
        <w:numPr>
          <w:ilvl w:val="1"/>
          <w:numId w:val="2"/>
        </w:numPr>
        <w:snapToGrid w:val="0"/>
        <w:ind w:left="709" w:hanging="709"/>
      </w:pPr>
      <w:r>
        <w:t xml:space="preserve">The redacted table shows that the estimated number of patients who may be treated with </w:t>
      </w:r>
      <w:proofErr w:type="spellStart"/>
      <w:r>
        <w:t>febuxostat</w:t>
      </w:r>
      <w:proofErr w:type="spellEnd"/>
      <w:r>
        <w:t xml:space="preserve"> is 10,000-50,000 in Year 1 and 2, and 50,000-100,000 in Years 3-5.  The estimated net cost to the PBS is less than $10 million in Year 1, between $10 million and $20 million in Year 2 and &gt;$20 million in Year 5.  </w:t>
      </w:r>
    </w:p>
    <w:p w:rsidR="005E34B3" w:rsidRPr="005E34B3" w:rsidRDefault="005E34B3" w:rsidP="005E34B3">
      <w:pPr>
        <w:pStyle w:val="ListParagraph"/>
        <w:keepNext/>
        <w:keepLines/>
        <w:widowControl/>
        <w:snapToGrid w:val="0"/>
        <w:ind w:left="709"/>
      </w:pPr>
    </w:p>
    <w:p w:rsidR="00155163" w:rsidRPr="00155163" w:rsidRDefault="004F642C" w:rsidP="00C311A5">
      <w:pPr>
        <w:pStyle w:val="ListParagraph"/>
        <w:keepNext/>
        <w:keepLines/>
        <w:widowControl/>
        <w:numPr>
          <w:ilvl w:val="1"/>
          <w:numId w:val="2"/>
        </w:numPr>
        <w:snapToGrid w:val="0"/>
        <w:ind w:left="709" w:hanging="709"/>
      </w:pPr>
      <w:r w:rsidRPr="00155163">
        <w:rPr>
          <w:iCs/>
        </w:rPr>
        <w:t xml:space="preserve">The listing of </w:t>
      </w:r>
      <w:proofErr w:type="spellStart"/>
      <w:r w:rsidRPr="00155163">
        <w:rPr>
          <w:iCs/>
        </w:rPr>
        <w:t>febuxostat</w:t>
      </w:r>
      <w:proofErr w:type="spellEnd"/>
      <w:r w:rsidRPr="00155163">
        <w:rPr>
          <w:iCs/>
        </w:rPr>
        <w:t xml:space="preserve"> w</w:t>
      </w:r>
      <w:r w:rsidR="007850BF">
        <w:rPr>
          <w:iCs/>
        </w:rPr>
        <w:t xml:space="preserve">as projected to result </w:t>
      </w:r>
      <w:r w:rsidRPr="00155163">
        <w:rPr>
          <w:iCs/>
        </w:rPr>
        <w:t>in a net cost to the RPBS/PBS</w:t>
      </w:r>
      <w:r w:rsidR="00884759" w:rsidRPr="00155163">
        <w:rPr>
          <w:iCs/>
        </w:rPr>
        <w:t xml:space="preserve">, due to </w:t>
      </w:r>
      <w:proofErr w:type="spellStart"/>
      <w:r w:rsidR="00884759" w:rsidRPr="00155163">
        <w:rPr>
          <w:iCs/>
        </w:rPr>
        <w:t>febuxostat</w:t>
      </w:r>
      <w:proofErr w:type="spellEnd"/>
      <w:r w:rsidR="00884759" w:rsidRPr="00155163">
        <w:rPr>
          <w:iCs/>
        </w:rPr>
        <w:t xml:space="preserve"> predominantly replacing use of allopurinol which </w:t>
      </w:r>
      <w:r w:rsidR="005E7B01">
        <w:rPr>
          <w:iCs/>
        </w:rPr>
        <w:t xml:space="preserve">is </w:t>
      </w:r>
      <w:r w:rsidR="00884759" w:rsidRPr="00155163">
        <w:rPr>
          <w:iCs/>
        </w:rPr>
        <w:t>lower</w:t>
      </w:r>
      <w:r w:rsidR="005E7B01">
        <w:rPr>
          <w:iCs/>
        </w:rPr>
        <w:t xml:space="preserve"> in</w:t>
      </w:r>
      <w:r w:rsidR="00884759" w:rsidRPr="00155163">
        <w:rPr>
          <w:iCs/>
        </w:rPr>
        <w:t xml:space="preserve"> cost</w:t>
      </w:r>
      <w:r w:rsidRPr="00155163">
        <w:rPr>
          <w:iCs/>
        </w:rPr>
        <w:t xml:space="preserve">.  Ultimately, the </w:t>
      </w:r>
      <w:r w:rsidR="009540B4">
        <w:rPr>
          <w:iCs/>
        </w:rPr>
        <w:t xml:space="preserve">evaluation advised that the </w:t>
      </w:r>
      <w:r w:rsidRPr="00155163">
        <w:rPr>
          <w:iCs/>
        </w:rPr>
        <w:t xml:space="preserve">estimates </w:t>
      </w:r>
      <w:r w:rsidR="00A648AB">
        <w:rPr>
          <w:iCs/>
        </w:rPr>
        <w:t>were</w:t>
      </w:r>
      <w:r w:rsidR="00A648AB" w:rsidRPr="00155163">
        <w:rPr>
          <w:iCs/>
        </w:rPr>
        <w:t xml:space="preserve"> </w:t>
      </w:r>
      <w:r w:rsidRPr="00155163">
        <w:rPr>
          <w:iCs/>
        </w:rPr>
        <w:t>only reasonable if it is considered that (</w:t>
      </w:r>
      <w:proofErr w:type="spellStart"/>
      <w:r w:rsidRPr="00155163">
        <w:rPr>
          <w:iCs/>
        </w:rPr>
        <w:t>i</w:t>
      </w:r>
      <w:proofErr w:type="spellEnd"/>
      <w:r w:rsidRPr="00155163">
        <w:rPr>
          <w:iCs/>
        </w:rPr>
        <w:t>) the requested</w:t>
      </w:r>
      <w:r w:rsidR="009540B4">
        <w:rPr>
          <w:iCs/>
        </w:rPr>
        <w:t xml:space="preserve"> restriction for </w:t>
      </w:r>
      <w:proofErr w:type="spellStart"/>
      <w:r w:rsidR="009540B4">
        <w:rPr>
          <w:iCs/>
        </w:rPr>
        <w:t>febuxostat</w:t>
      </w:r>
      <w:proofErr w:type="spellEnd"/>
      <w:r w:rsidR="009540B4">
        <w:rPr>
          <w:iCs/>
        </w:rPr>
        <w:t xml:space="preserve"> would</w:t>
      </w:r>
      <w:r w:rsidRPr="00155163">
        <w:rPr>
          <w:iCs/>
        </w:rPr>
        <w:t xml:space="preserve"> change the treatment algorithm such that patients with gout w</w:t>
      </w:r>
      <w:r w:rsidR="009540B4">
        <w:rPr>
          <w:iCs/>
        </w:rPr>
        <w:t>ould</w:t>
      </w:r>
      <w:r w:rsidRPr="00155163">
        <w:rPr>
          <w:iCs/>
        </w:rPr>
        <w:t xml:space="preserve"> undertake allopurinol dose titration and (ii) the requ</w:t>
      </w:r>
      <w:r w:rsidR="009540B4">
        <w:rPr>
          <w:iCs/>
        </w:rPr>
        <w:t xml:space="preserve">ested listing for </w:t>
      </w:r>
      <w:proofErr w:type="spellStart"/>
      <w:r w:rsidR="009540B4">
        <w:rPr>
          <w:iCs/>
        </w:rPr>
        <w:t>febuxostat</w:t>
      </w:r>
      <w:proofErr w:type="spellEnd"/>
      <w:r w:rsidR="009540B4">
        <w:rPr>
          <w:iCs/>
        </w:rPr>
        <w:t xml:space="preserve"> wou</w:t>
      </w:r>
      <w:r w:rsidRPr="00155163">
        <w:rPr>
          <w:iCs/>
        </w:rPr>
        <w:t>l</w:t>
      </w:r>
      <w:r w:rsidR="009540B4">
        <w:rPr>
          <w:iCs/>
        </w:rPr>
        <w:t>d</w:t>
      </w:r>
      <w:r w:rsidRPr="00155163">
        <w:rPr>
          <w:iCs/>
        </w:rPr>
        <w:t xml:space="preserve"> sufficiently restrict use to patients in whom allopurinol dose titration has been trialled and failed</w:t>
      </w:r>
      <w:r w:rsidR="00A648AB">
        <w:rPr>
          <w:iCs/>
        </w:rPr>
        <w:t>,</w:t>
      </w:r>
      <w:r w:rsidRPr="00155163">
        <w:rPr>
          <w:iCs/>
        </w:rPr>
        <w:t xml:space="preserve"> and in those who are allopurinol intolerant.</w:t>
      </w:r>
      <w:r w:rsidR="00B22442" w:rsidRPr="00155163">
        <w:rPr>
          <w:iCs/>
        </w:rPr>
        <w:t xml:space="preserve"> </w:t>
      </w:r>
    </w:p>
    <w:p w:rsidR="00155163" w:rsidRPr="00155163" w:rsidRDefault="00155163" w:rsidP="00041841">
      <w:pPr>
        <w:keepNext/>
        <w:keepLines/>
        <w:widowControl/>
        <w:snapToGrid w:val="0"/>
      </w:pPr>
    </w:p>
    <w:p w:rsidR="004F642C" w:rsidRPr="009D6DF4" w:rsidRDefault="00B22442" w:rsidP="00C311A5">
      <w:pPr>
        <w:pStyle w:val="ListParagraph"/>
        <w:keepNext/>
        <w:keepLines/>
        <w:widowControl/>
        <w:numPr>
          <w:ilvl w:val="1"/>
          <w:numId w:val="2"/>
        </w:numPr>
        <w:snapToGrid w:val="0"/>
        <w:ind w:left="709" w:hanging="709"/>
      </w:pPr>
      <w:r w:rsidRPr="00155163">
        <w:rPr>
          <w:iCs/>
        </w:rPr>
        <w:t xml:space="preserve">The estimates also </w:t>
      </w:r>
      <w:r w:rsidR="00B1324A" w:rsidRPr="00155163">
        <w:rPr>
          <w:iCs/>
        </w:rPr>
        <w:t>assume</w:t>
      </w:r>
      <w:r w:rsidR="00D92104">
        <w:rPr>
          <w:iCs/>
        </w:rPr>
        <w:t>d</w:t>
      </w:r>
      <w:r w:rsidRPr="00155163">
        <w:rPr>
          <w:iCs/>
        </w:rPr>
        <w:t xml:space="preserve"> that allopurinol titration is the current managemen</w:t>
      </w:r>
      <w:r w:rsidR="008D2867">
        <w:rPr>
          <w:iCs/>
        </w:rPr>
        <w:t>t approach</w:t>
      </w:r>
      <w:r w:rsidRPr="00155163">
        <w:rPr>
          <w:iCs/>
        </w:rPr>
        <w:t xml:space="preserve">, rather than </w:t>
      </w:r>
      <w:r w:rsidR="001E25F2" w:rsidRPr="00155163">
        <w:rPr>
          <w:iCs/>
        </w:rPr>
        <w:t xml:space="preserve">assuming that </w:t>
      </w:r>
      <w:r w:rsidRPr="00155163">
        <w:rPr>
          <w:iCs/>
        </w:rPr>
        <w:t xml:space="preserve">the listing of </w:t>
      </w:r>
      <w:proofErr w:type="spellStart"/>
      <w:r w:rsidRPr="00155163">
        <w:rPr>
          <w:iCs/>
        </w:rPr>
        <w:t>febuxostat</w:t>
      </w:r>
      <w:proofErr w:type="spellEnd"/>
      <w:r w:rsidRPr="00155163">
        <w:rPr>
          <w:iCs/>
        </w:rPr>
        <w:t xml:space="preserve"> and changes to the treatment algorithm for gout </w:t>
      </w:r>
      <w:r w:rsidR="001E25F2" w:rsidRPr="00155163">
        <w:rPr>
          <w:iCs/>
        </w:rPr>
        <w:t>would occur</w:t>
      </w:r>
      <w:r w:rsidRPr="00155163">
        <w:rPr>
          <w:iCs/>
        </w:rPr>
        <w:t xml:space="preserve"> simultaneously.  In assuming that allopurinol is the current management for patients with gout, this allows for allopurinol insufficient patients </w:t>
      </w:r>
      <w:r w:rsidR="001E25F2" w:rsidRPr="00155163">
        <w:rPr>
          <w:iCs/>
        </w:rPr>
        <w:t xml:space="preserve">to be treated with </w:t>
      </w:r>
      <w:proofErr w:type="spellStart"/>
      <w:r w:rsidR="001E25F2" w:rsidRPr="00155163">
        <w:rPr>
          <w:iCs/>
        </w:rPr>
        <w:t>febuxostat</w:t>
      </w:r>
      <w:proofErr w:type="spellEnd"/>
      <w:r w:rsidR="001E25F2" w:rsidRPr="00155163">
        <w:rPr>
          <w:iCs/>
        </w:rPr>
        <w:t xml:space="preserve"> for the whole year in Year 1 (which substitutes for a year of continued use of titrated allopurinol, despite not achieving target </w:t>
      </w:r>
      <w:proofErr w:type="spellStart"/>
      <w:r w:rsidR="001E25F2" w:rsidRPr="00155163">
        <w:rPr>
          <w:iCs/>
        </w:rPr>
        <w:t>sUA</w:t>
      </w:r>
      <w:proofErr w:type="spellEnd"/>
      <w:r w:rsidR="001E25F2" w:rsidRPr="00155163">
        <w:rPr>
          <w:iCs/>
        </w:rPr>
        <w:t xml:space="preserve"> levels).  In a scenario where the listing of </w:t>
      </w:r>
      <w:proofErr w:type="spellStart"/>
      <w:r w:rsidR="001E25F2" w:rsidRPr="00155163">
        <w:rPr>
          <w:iCs/>
        </w:rPr>
        <w:t>febuxostat</w:t>
      </w:r>
      <w:proofErr w:type="spellEnd"/>
      <w:r w:rsidR="001E25F2" w:rsidRPr="00155163">
        <w:rPr>
          <w:iCs/>
        </w:rPr>
        <w:t xml:space="preserve"> and changes to the treatment algorithm occur simultaneously, patients who are allopurinol insufficient could not be treated with </w:t>
      </w:r>
      <w:proofErr w:type="spellStart"/>
      <w:r w:rsidR="001E25F2" w:rsidRPr="00155163">
        <w:rPr>
          <w:iCs/>
        </w:rPr>
        <w:t>febuxostat</w:t>
      </w:r>
      <w:proofErr w:type="spellEnd"/>
      <w:r w:rsidR="001E25F2" w:rsidRPr="00155163">
        <w:rPr>
          <w:iCs/>
        </w:rPr>
        <w:t xml:space="preserve"> in Year 1 as titration with allopurinol is assumed to occur over </w:t>
      </w:r>
      <w:r w:rsidR="00535EE0" w:rsidRPr="00155163">
        <w:rPr>
          <w:iCs/>
        </w:rPr>
        <w:t>a</w:t>
      </w:r>
      <w:r w:rsidR="001E25F2" w:rsidRPr="00155163">
        <w:rPr>
          <w:iCs/>
        </w:rPr>
        <w:t xml:space="preserve"> period of one year.</w:t>
      </w:r>
      <w:r w:rsidR="00835742">
        <w:rPr>
          <w:iCs/>
        </w:rPr>
        <w:t xml:space="preserve"> Th</w:t>
      </w:r>
      <w:r w:rsidR="00A4185D">
        <w:rPr>
          <w:iCs/>
        </w:rPr>
        <w:t>e sponsor’s</w:t>
      </w:r>
      <w:r w:rsidR="00835742">
        <w:rPr>
          <w:iCs/>
        </w:rPr>
        <w:t xml:space="preserve"> pre-sub-committee</w:t>
      </w:r>
      <w:r w:rsidR="008C4D45">
        <w:rPr>
          <w:iCs/>
        </w:rPr>
        <w:t xml:space="preserve"> response</w:t>
      </w:r>
      <w:r w:rsidR="00835742">
        <w:rPr>
          <w:iCs/>
        </w:rPr>
        <w:t xml:space="preserve"> corrected for this</w:t>
      </w:r>
      <w:r w:rsidR="008D2867">
        <w:rPr>
          <w:iCs/>
        </w:rPr>
        <w:t xml:space="preserve"> assumption</w:t>
      </w:r>
      <w:r w:rsidR="008C4D45">
        <w:rPr>
          <w:iCs/>
        </w:rPr>
        <w:t>.</w:t>
      </w:r>
    </w:p>
    <w:p w:rsidR="009D6DF4" w:rsidRPr="009D6DF4" w:rsidRDefault="009D6DF4" w:rsidP="009D6DF4">
      <w:pPr>
        <w:pStyle w:val="ListParagraph"/>
        <w:keepNext/>
        <w:keepLines/>
        <w:widowControl/>
        <w:snapToGrid w:val="0"/>
        <w:ind w:left="709"/>
      </w:pPr>
    </w:p>
    <w:p w:rsidR="003A1B50" w:rsidRDefault="003A1B50" w:rsidP="00C311A5">
      <w:pPr>
        <w:pStyle w:val="ListParagraph"/>
        <w:keepNext/>
        <w:keepLines/>
        <w:widowControl/>
        <w:numPr>
          <w:ilvl w:val="1"/>
          <w:numId w:val="2"/>
        </w:numPr>
        <w:snapToGrid w:val="0"/>
        <w:ind w:left="709" w:hanging="709"/>
        <w:rPr>
          <w:iCs/>
        </w:rPr>
      </w:pPr>
      <w:r w:rsidRPr="003A1B50">
        <w:rPr>
          <w:iCs/>
        </w:rPr>
        <w:t>The evaluation questioned whether the submission’s estimates of use and financial implications were accurate.</w:t>
      </w:r>
      <w:r w:rsidRPr="003A1B50">
        <w:rPr>
          <w:i/>
          <w:iCs/>
        </w:rPr>
        <w:t xml:space="preserve"> </w:t>
      </w:r>
      <w:r w:rsidR="00A648AB">
        <w:rPr>
          <w:iCs/>
        </w:rPr>
        <w:t>T</w:t>
      </w:r>
      <w:r w:rsidRPr="003A1B50">
        <w:rPr>
          <w:iCs/>
        </w:rPr>
        <w:t xml:space="preserve">he ESC noted that the </w:t>
      </w:r>
      <w:r w:rsidR="009540B4">
        <w:rPr>
          <w:iCs/>
        </w:rPr>
        <w:t>re-submission proposed</w:t>
      </w:r>
      <w:r w:rsidRPr="003A1B50">
        <w:rPr>
          <w:iCs/>
        </w:rPr>
        <w:t xml:space="preserve"> a risk sharing agreement consisting of a cap on patient numbers, and a rebate</w:t>
      </w:r>
      <w:r w:rsidR="00A648AB">
        <w:rPr>
          <w:iCs/>
        </w:rPr>
        <w:t>,</w:t>
      </w:r>
      <w:r w:rsidRPr="003A1B50">
        <w:rPr>
          <w:iCs/>
        </w:rPr>
        <w:t xml:space="preserve"> to achieve greater certainty in expected changes in Commonwealth financial expenditure</w:t>
      </w:r>
      <w:r w:rsidR="00A648AB">
        <w:rPr>
          <w:iCs/>
        </w:rPr>
        <w:t>. T</w:t>
      </w:r>
      <w:r w:rsidRPr="003A1B50">
        <w:rPr>
          <w:iCs/>
        </w:rPr>
        <w:t xml:space="preserve">he ESC advised that there is little robust epidemiological data on allopurinol intolerance or allopurinol insufficient gout available to inform what an appropriate cap would be. The ESC considered that the best proxy estimate for the number of such patients is the proportion of prescriptions for </w:t>
      </w:r>
      <w:proofErr w:type="spellStart"/>
      <w:r w:rsidRPr="003A1B50">
        <w:rPr>
          <w:iCs/>
        </w:rPr>
        <w:t>probenecid</w:t>
      </w:r>
      <w:proofErr w:type="spellEnd"/>
      <w:r w:rsidRPr="003A1B50">
        <w:rPr>
          <w:iCs/>
        </w:rPr>
        <w:t xml:space="preserve"> (which makes up &lt;2% of prescriptions for gout patients) as opposed to 10% as claimed in submission. The ESC further considered that an insufficient response to allopurinol is in most cases due to poor adherence and under-dosing. Dose escalation is effective in </w:t>
      </w:r>
      <w:r w:rsidR="00826D82">
        <w:rPr>
          <w:iCs/>
        </w:rPr>
        <w:t>the large majority of gout patients (e</w:t>
      </w:r>
      <w:r w:rsidR="006E6D2F">
        <w:rPr>
          <w:iCs/>
        </w:rPr>
        <w:t>.</w:t>
      </w:r>
      <w:r w:rsidR="00826D82">
        <w:rPr>
          <w:iCs/>
        </w:rPr>
        <w:t>g</w:t>
      </w:r>
      <w:r w:rsidR="006E6D2F">
        <w:rPr>
          <w:iCs/>
        </w:rPr>
        <w:t>.</w:t>
      </w:r>
      <w:r w:rsidR="00826D82">
        <w:rPr>
          <w:iCs/>
        </w:rPr>
        <w:t xml:space="preserve"> </w:t>
      </w:r>
      <w:r w:rsidRPr="003A1B50">
        <w:rPr>
          <w:iCs/>
        </w:rPr>
        <w:t>89%</w:t>
      </w:r>
      <w:r w:rsidR="00826D82">
        <w:rPr>
          <w:iCs/>
        </w:rPr>
        <w:t>,</w:t>
      </w:r>
      <w:r w:rsidR="00826D82" w:rsidRPr="003A1B50">
        <w:rPr>
          <w:iCs/>
        </w:rPr>
        <w:t xml:space="preserve"> </w:t>
      </w:r>
      <w:r w:rsidR="00826D82">
        <w:rPr>
          <w:iCs/>
        </w:rPr>
        <w:t>in</w:t>
      </w:r>
      <w:r w:rsidR="00826D82" w:rsidRPr="003A1B50">
        <w:rPr>
          <w:iCs/>
        </w:rPr>
        <w:t xml:space="preserve"> Stamp et al.</w:t>
      </w:r>
      <w:r w:rsidR="00826D82">
        <w:rPr>
          <w:iCs/>
        </w:rPr>
        <w:t xml:space="preserve"> </w:t>
      </w:r>
      <w:r w:rsidR="00826D82" w:rsidRPr="003A1B50">
        <w:rPr>
          <w:iCs/>
        </w:rPr>
        <w:t>2014</w:t>
      </w:r>
      <w:r w:rsidR="00826D82">
        <w:rPr>
          <w:iCs/>
        </w:rPr>
        <w:t xml:space="preserve">, suggesting </w:t>
      </w:r>
      <w:r w:rsidRPr="003A1B50">
        <w:rPr>
          <w:iCs/>
        </w:rPr>
        <w:t xml:space="preserve">a maximum of 11% </w:t>
      </w:r>
      <w:r w:rsidR="00826D82">
        <w:rPr>
          <w:iCs/>
        </w:rPr>
        <w:t>may be</w:t>
      </w:r>
      <w:r w:rsidRPr="003A1B50">
        <w:rPr>
          <w:iCs/>
        </w:rPr>
        <w:t xml:space="preserve"> allopurinol insufficient)</w:t>
      </w:r>
      <w:r w:rsidRPr="003A1B50">
        <w:rPr>
          <w:iCs/>
          <w:vertAlign w:val="superscript"/>
        </w:rPr>
        <w:footnoteReference w:id="2"/>
      </w:r>
      <w:r w:rsidRPr="003A1B50">
        <w:rPr>
          <w:iCs/>
        </w:rPr>
        <w:t>.</w:t>
      </w:r>
    </w:p>
    <w:p w:rsidR="009540B4" w:rsidRDefault="009540B4" w:rsidP="009540B4">
      <w:pPr>
        <w:pStyle w:val="ListParagraph"/>
        <w:keepNext/>
        <w:keepLines/>
        <w:widowControl/>
        <w:snapToGrid w:val="0"/>
        <w:ind w:left="709"/>
        <w:rPr>
          <w:iCs/>
        </w:rPr>
      </w:pPr>
    </w:p>
    <w:p w:rsidR="009540B4" w:rsidRPr="0040760C" w:rsidRDefault="009540B4" w:rsidP="009540B4">
      <w:pPr>
        <w:pStyle w:val="ListParagraph"/>
        <w:snapToGrid w:val="0"/>
        <w:rPr>
          <w:szCs w:val="22"/>
        </w:rPr>
      </w:pPr>
      <w:r w:rsidRPr="0040760C">
        <w:rPr>
          <w:i/>
          <w:szCs w:val="22"/>
        </w:rPr>
        <w:t>For more detail on PBAC’s view, see section 7 “PBAC outcome”</w:t>
      </w:r>
      <w:r w:rsidR="006D3BAA">
        <w:rPr>
          <w:i/>
          <w:szCs w:val="22"/>
        </w:rPr>
        <w:t>.</w:t>
      </w:r>
    </w:p>
    <w:p w:rsidR="004F642C" w:rsidRPr="007E583C" w:rsidRDefault="004F642C" w:rsidP="007E583C">
      <w:pPr>
        <w:widowControl/>
        <w:snapToGrid w:val="0"/>
        <w:rPr>
          <w:szCs w:val="22"/>
        </w:rPr>
      </w:pPr>
    </w:p>
    <w:p w:rsidR="006F70CF" w:rsidRDefault="006F70CF" w:rsidP="004958E3">
      <w:pPr>
        <w:pStyle w:val="Heading2"/>
      </w:pPr>
      <w:bookmarkStart w:id="29" w:name="_Toc280358250"/>
      <w:bookmarkStart w:id="30" w:name="_Toc409518446"/>
      <w:r w:rsidRPr="00297299">
        <w:t>Quality Use of Medicines</w:t>
      </w:r>
      <w:bookmarkEnd w:id="29"/>
      <w:bookmarkEnd w:id="30"/>
    </w:p>
    <w:p w:rsidR="005E34B3" w:rsidRPr="005E34B3" w:rsidRDefault="005E34B3" w:rsidP="005E34B3"/>
    <w:p w:rsidR="003A1B50" w:rsidRDefault="006F70CF" w:rsidP="00C311A5">
      <w:pPr>
        <w:pStyle w:val="ListParagraph"/>
        <w:widowControl/>
        <w:numPr>
          <w:ilvl w:val="1"/>
          <w:numId w:val="2"/>
        </w:numPr>
        <w:snapToGrid w:val="0"/>
        <w:ind w:left="709" w:hanging="709"/>
      </w:pPr>
      <w:r w:rsidRPr="00297299">
        <w:t xml:space="preserve">The sponsor </w:t>
      </w:r>
      <w:r w:rsidR="00C901B9">
        <w:t>suggested</w:t>
      </w:r>
      <w:r w:rsidRPr="00297299">
        <w:t xml:space="preserve"> that a </w:t>
      </w:r>
      <w:proofErr w:type="spellStart"/>
      <w:r w:rsidRPr="00297299">
        <w:t>febuxostat</w:t>
      </w:r>
      <w:proofErr w:type="spellEnd"/>
      <w:r w:rsidRPr="00297299">
        <w:t xml:space="preserve"> listing would create an incentive for physicians to treat-to-target. Further, </w:t>
      </w:r>
      <w:r w:rsidR="00C901B9">
        <w:t xml:space="preserve">it was claimed </w:t>
      </w:r>
      <w:r w:rsidRPr="00297299">
        <w:t xml:space="preserve">that to gain acceptance and </w:t>
      </w:r>
      <w:r w:rsidRPr="00297299">
        <w:lastRenderedPageBreak/>
        <w:t>adherence</w:t>
      </w:r>
      <w:r w:rsidR="00C901B9">
        <w:t>,</w:t>
      </w:r>
      <w:r w:rsidRPr="00297299">
        <w:t xml:space="preserve"> the restriction criteria would need to be supported by a body such as the National Prescribing Service.</w:t>
      </w:r>
    </w:p>
    <w:p w:rsidR="003A1B50" w:rsidRPr="003A1B50" w:rsidRDefault="003A1B50" w:rsidP="003A1B50">
      <w:pPr>
        <w:pStyle w:val="ListParagraph"/>
        <w:widowControl/>
        <w:snapToGrid w:val="0"/>
        <w:ind w:left="709"/>
      </w:pPr>
    </w:p>
    <w:p w:rsidR="006F70CF" w:rsidRDefault="006F70CF" w:rsidP="004958E3">
      <w:pPr>
        <w:pStyle w:val="Heading2"/>
      </w:pPr>
      <w:bookmarkStart w:id="31" w:name="_Toc280358251"/>
      <w:bookmarkStart w:id="32" w:name="_Toc409518447"/>
      <w:r w:rsidRPr="00297299">
        <w:t>Financial Management – Risk Sharing Arrangements</w:t>
      </w:r>
      <w:bookmarkEnd w:id="31"/>
      <w:bookmarkEnd w:id="32"/>
    </w:p>
    <w:p w:rsidR="005E34B3" w:rsidRPr="005E34B3" w:rsidRDefault="005E34B3" w:rsidP="005E34B3"/>
    <w:p w:rsidR="000B2F67" w:rsidRDefault="006F70CF" w:rsidP="00C311A5">
      <w:pPr>
        <w:pStyle w:val="ListParagraph"/>
        <w:keepNext/>
        <w:keepLines/>
        <w:widowControl/>
        <w:numPr>
          <w:ilvl w:val="1"/>
          <w:numId w:val="2"/>
        </w:numPr>
        <w:snapToGrid w:val="0"/>
        <w:ind w:left="709" w:hanging="709"/>
      </w:pPr>
      <w:r w:rsidRPr="00297299">
        <w:t>The sponsor signalled its willingness to enter into a risk sharing agreement based on a patient cap and rebate.</w:t>
      </w:r>
    </w:p>
    <w:p w:rsidR="000B2F67" w:rsidRDefault="000B2F67" w:rsidP="00D92104">
      <w:pPr>
        <w:keepNext/>
        <w:keepLines/>
        <w:widowControl/>
        <w:snapToGrid w:val="0"/>
      </w:pPr>
    </w:p>
    <w:p w:rsidR="005B2AF7" w:rsidRDefault="005B2AF7" w:rsidP="00D92104">
      <w:pPr>
        <w:keepNext/>
        <w:keepLines/>
        <w:widowControl/>
        <w:snapToGrid w:val="0"/>
      </w:pPr>
    </w:p>
    <w:p w:rsidR="000B2F67" w:rsidRDefault="00D92104" w:rsidP="00C311A5">
      <w:pPr>
        <w:pStyle w:val="PBACheading1"/>
        <w:numPr>
          <w:ilvl w:val="0"/>
          <w:numId w:val="2"/>
        </w:numPr>
        <w:snapToGrid w:val="0"/>
        <w:rPr>
          <w:b/>
        </w:rPr>
      </w:pPr>
      <w:r w:rsidRPr="00D92104">
        <w:rPr>
          <w:b/>
        </w:rPr>
        <w:t>PBAC Outcome</w:t>
      </w:r>
    </w:p>
    <w:p w:rsidR="005B2AF7" w:rsidRPr="000B2F67" w:rsidRDefault="005B2AF7" w:rsidP="005B2AF7">
      <w:pPr>
        <w:pStyle w:val="PBACheading1"/>
        <w:numPr>
          <w:ilvl w:val="0"/>
          <w:numId w:val="0"/>
        </w:numPr>
        <w:snapToGrid w:val="0"/>
        <w:ind w:left="720"/>
        <w:rPr>
          <w:b/>
        </w:rPr>
      </w:pPr>
    </w:p>
    <w:p w:rsidR="0039663D" w:rsidRDefault="00836259" w:rsidP="007A5994">
      <w:pPr>
        <w:pStyle w:val="ListParagraph"/>
        <w:keepNext/>
        <w:keepLines/>
        <w:widowControl/>
        <w:numPr>
          <w:ilvl w:val="1"/>
          <w:numId w:val="2"/>
        </w:numPr>
        <w:snapToGrid w:val="0"/>
        <w:ind w:left="709" w:hanging="709"/>
      </w:pPr>
      <w:r w:rsidRPr="00836259">
        <w:t xml:space="preserve">The PBAC recommended the listing of </w:t>
      </w:r>
      <w:proofErr w:type="spellStart"/>
      <w:r w:rsidR="001F54EE">
        <w:t>febuxostat</w:t>
      </w:r>
      <w:proofErr w:type="spellEnd"/>
      <w:r w:rsidR="001F54EE">
        <w:t xml:space="preserve"> as an Authority </w:t>
      </w:r>
      <w:proofErr w:type="gramStart"/>
      <w:r w:rsidR="001F54EE">
        <w:t>Required</w:t>
      </w:r>
      <w:proofErr w:type="gramEnd"/>
      <w:r w:rsidR="001F54EE">
        <w:t xml:space="preserve"> benefit</w:t>
      </w:r>
      <w:r w:rsidR="003058DE">
        <w:t>. The listing recommended was for</w:t>
      </w:r>
      <w:r w:rsidR="001F54EE">
        <w:t xml:space="preserve"> patients </w:t>
      </w:r>
      <w:r w:rsidR="00826D82">
        <w:t xml:space="preserve">with a </w:t>
      </w:r>
      <w:r w:rsidR="001F54EE">
        <w:t>contraindicat</w:t>
      </w:r>
      <w:r w:rsidR="00826D82">
        <w:t>ion</w:t>
      </w:r>
      <w:r w:rsidR="001F54EE">
        <w:t xml:space="preserve"> </w:t>
      </w:r>
      <w:r w:rsidR="00B072CB">
        <w:t xml:space="preserve">to, </w:t>
      </w:r>
      <w:r w:rsidR="001F54EE">
        <w:t>or intolerant of</w:t>
      </w:r>
      <w:r w:rsidR="00826D82">
        <w:t>,</w:t>
      </w:r>
      <w:r w:rsidR="001F54EE">
        <w:t xml:space="preserve"> treatment with allopurinol</w:t>
      </w:r>
      <w:r w:rsidR="00B072CB">
        <w:t xml:space="preserve">, on the basis </w:t>
      </w:r>
      <w:r w:rsidR="006C14F5">
        <w:t xml:space="preserve">of </w:t>
      </w:r>
      <w:r w:rsidR="00A4185D">
        <w:t>a clinical need for an alternative</w:t>
      </w:r>
      <w:r w:rsidR="006C14F5">
        <w:t xml:space="preserve"> </w:t>
      </w:r>
      <w:r w:rsidR="00A4185D">
        <w:t>to</w:t>
      </w:r>
      <w:r w:rsidR="00EB0528">
        <w:t xml:space="preserve"> </w:t>
      </w:r>
      <w:proofErr w:type="spellStart"/>
      <w:r w:rsidR="006C14F5">
        <w:t>probenecid</w:t>
      </w:r>
      <w:proofErr w:type="spellEnd"/>
      <w:r w:rsidR="006C14F5">
        <w:t xml:space="preserve"> in this patient population</w:t>
      </w:r>
      <w:r w:rsidR="007A5994">
        <w:t xml:space="preserve"> and on the basis that at</w:t>
      </w:r>
      <w:r w:rsidR="004D6652">
        <w:t xml:space="preserve"> the price proposed in the submission</w:t>
      </w:r>
      <w:r w:rsidR="007A5994">
        <w:t xml:space="preserve">, </w:t>
      </w:r>
      <w:proofErr w:type="spellStart"/>
      <w:r w:rsidR="007A5994">
        <w:t>febuxostat</w:t>
      </w:r>
      <w:proofErr w:type="spellEnd"/>
      <w:r w:rsidR="007A5994">
        <w:t xml:space="preserve"> </w:t>
      </w:r>
      <w:r w:rsidR="00EE5D86">
        <w:t>is likely to represent a cost-effective trea</w:t>
      </w:r>
      <w:r w:rsidR="00E2421F">
        <w:t>t</w:t>
      </w:r>
      <w:r w:rsidR="00EE5D86">
        <w:t>ment</w:t>
      </w:r>
      <w:r w:rsidR="007A5994">
        <w:t xml:space="preserve"> compared to </w:t>
      </w:r>
      <w:proofErr w:type="spellStart"/>
      <w:r w:rsidR="007A5994">
        <w:t>probenecid</w:t>
      </w:r>
      <w:proofErr w:type="spellEnd"/>
      <w:r w:rsidR="007A5994">
        <w:t xml:space="preserve"> in a </w:t>
      </w:r>
      <w:r w:rsidR="00EE5D86">
        <w:t>targeted, second line</w:t>
      </w:r>
      <w:r w:rsidR="006D3BAA">
        <w:t>-</w:t>
      </w:r>
      <w:r w:rsidR="00EE5D86">
        <w:t xml:space="preserve">treatment </w:t>
      </w:r>
      <w:r w:rsidR="007A5994">
        <w:t>patient population.</w:t>
      </w:r>
      <w:r w:rsidR="00E2421F">
        <w:t xml:space="preserve"> </w:t>
      </w:r>
      <w:r w:rsidR="0039663D">
        <w:t xml:space="preserve">The PBAC did not recommend </w:t>
      </w:r>
      <w:r w:rsidR="00F862A0">
        <w:t xml:space="preserve">the listing of </w:t>
      </w:r>
      <w:proofErr w:type="spellStart"/>
      <w:r w:rsidR="0039663D">
        <w:t>feb</w:t>
      </w:r>
      <w:r w:rsidR="00F862A0">
        <w:t>u</w:t>
      </w:r>
      <w:r w:rsidR="0039663D">
        <w:t>xostat</w:t>
      </w:r>
      <w:proofErr w:type="spellEnd"/>
      <w:r w:rsidR="0039663D">
        <w:t xml:space="preserve"> for </w:t>
      </w:r>
      <w:r w:rsidR="007A5994">
        <w:t xml:space="preserve">the patient population described by the submission as </w:t>
      </w:r>
      <w:r w:rsidR="0039663D">
        <w:t>‘allopurinol insufficient’ patients</w:t>
      </w:r>
      <w:r w:rsidR="007A5994">
        <w:t xml:space="preserve"> on the basis that</w:t>
      </w:r>
      <w:r w:rsidR="00446119">
        <w:t xml:space="preserve"> </w:t>
      </w:r>
      <w:r w:rsidR="00446119" w:rsidRPr="00446119">
        <w:t xml:space="preserve">inadequate clinical evidence had been presented to establish the cost-effectiveness of </w:t>
      </w:r>
      <w:proofErr w:type="spellStart"/>
      <w:r w:rsidR="00446119" w:rsidRPr="00446119">
        <w:t>febuxostat</w:t>
      </w:r>
      <w:proofErr w:type="spellEnd"/>
      <w:r w:rsidR="00446119" w:rsidRPr="00446119">
        <w:t xml:space="preserve"> </w:t>
      </w:r>
      <w:r w:rsidR="006F4A56">
        <w:t>in this setting</w:t>
      </w:r>
      <w:r w:rsidR="00446119" w:rsidRPr="00446119">
        <w:t>.</w:t>
      </w:r>
    </w:p>
    <w:p w:rsidR="00EB0528" w:rsidRDefault="00EB0528" w:rsidP="0039663D">
      <w:pPr>
        <w:pStyle w:val="ListParagraph"/>
      </w:pPr>
    </w:p>
    <w:p w:rsidR="00836259" w:rsidRDefault="003C27C2" w:rsidP="003C27C2">
      <w:pPr>
        <w:pStyle w:val="ListParagraph"/>
        <w:numPr>
          <w:ilvl w:val="1"/>
          <w:numId w:val="2"/>
        </w:numPr>
        <w:ind w:left="709" w:hanging="709"/>
      </w:pPr>
      <w:r>
        <w:t xml:space="preserve">The </w:t>
      </w:r>
      <w:r w:rsidR="00EE5D86">
        <w:t xml:space="preserve">PBAC noted that the </w:t>
      </w:r>
      <w:r>
        <w:t>re</w:t>
      </w:r>
      <w:r w:rsidR="00EE5D86">
        <w:t>-</w:t>
      </w:r>
      <w:r>
        <w:t xml:space="preserve">submission’s clinical placement of </w:t>
      </w:r>
      <w:proofErr w:type="spellStart"/>
      <w:r>
        <w:t>f</w:t>
      </w:r>
      <w:r w:rsidRPr="003C27C2">
        <w:t>ebuxostat</w:t>
      </w:r>
      <w:proofErr w:type="spellEnd"/>
      <w:r w:rsidRPr="003C27C2">
        <w:t xml:space="preserve"> </w:t>
      </w:r>
      <w:r>
        <w:t xml:space="preserve">as </w:t>
      </w:r>
      <w:r w:rsidRPr="003C27C2">
        <w:t xml:space="preserve">an alternative second-line treatment </w:t>
      </w:r>
      <w:r w:rsidR="00EE5D86">
        <w:t xml:space="preserve">differed to the first line treatment setting proposed in the initial submission to </w:t>
      </w:r>
      <w:r w:rsidR="00DC1957">
        <w:t xml:space="preserve">the March 2014 PBAC </w:t>
      </w:r>
      <w:r w:rsidR="00EE5D86">
        <w:t>meeting</w:t>
      </w:r>
      <w:r w:rsidR="00DC1957">
        <w:t xml:space="preserve">. The PBAC considered the proposed use of </w:t>
      </w:r>
      <w:proofErr w:type="spellStart"/>
      <w:r w:rsidR="00DC1957">
        <w:t>febuxostat</w:t>
      </w:r>
      <w:proofErr w:type="spellEnd"/>
      <w:r w:rsidR="00DC1957">
        <w:t xml:space="preserve"> as an alternative second-line treatment </w:t>
      </w:r>
      <w:r w:rsidR="008E621D">
        <w:t xml:space="preserve">to be reasonable but </w:t>
      </w:r>
      <w:r w:rsidR="00274746">
        <w:t xml:space="preserve">was unsure </w:t>
      </w:r>
      <w:r w:rsidR="008E621D">
        <w:t xml:space="preserve">whether in </w:t>
      </w:r>
      <w:proofErr w:type="gramStart"/>
      <w:r w:rsidR="008E621D">
        <w:t>practice,</w:t>
      </w:r>
      <w:proofErr w:type="gramEnd"/>
      <w:r w:rsidR="008E621D">
        <w:t xml:space="preserve"> </w:t>
      </w:r>
      <w:proofErr w:type="spellStart"/>
      <w:r w:rsidR="008E621D">
        <w:t>febuxostat</w:t>
      </w:r>
      <w:proofErr w:type="spellEnd"/>
      <w:r w:rsidR="008E621D">
        <w:t xml:space="preserve"> use would be</w:t>
      </w:r>
      <w:r w:rsidR="00DC7216">
        <w:t xml:space="preserve"> limited to the second-</w:t>
      </w:r>
      <w:r w:rsidR="008E621D">
        <w:t xml:space="preserve">line setting.  The PBAC considered it </w:t>
      </w:r>
      <w:r w:rsidR="00274746">
        <w:t xml:space="preserve">possible </w:t>
      </w:r>
      <w:r w:rsidR="008E621D">
        <w:t xml:space="preserve">that some </w:t>
      </w:r>
      <w:proofErr w:type="spellStart"/>
      <w:r w:rsidR="008E621D">
        <w:t>febuxostat</w:t>
      </w:r>
      <w:proofErr w:type="spellEnd"/>
      <w:r w:rsidR="008E621D">
        <w:t xml:space="preserve"> use would occur in the first-line setting. Therefore, the </w:t>
      </w:r>
      <w:r w:rsidR="00274746">
        <w:t xml:space="preserve">actual </w:t>
      </w:r>
      <w:r w:rsidR="008E621D">
        <w:t xml:space="preserve">alternative </w:t>
      </w:r>
      <w:r w:rsidR="00274746">
        <w:t xml:space="preserve">(comparator) </w:t>
      </w:r>
      <w:r w:rsidR="008E621D">
        <w:t xml:space="preserve">therapy most replaced by </w:t>
      </w:r>
      <w:proofErr w:type="spellStart"/>
      <w:r w:rsidR="008E621D">
        <w:t>febuxostat</w:t>
      </w:r>
      <w:proofErr w:type="spellEnd"/>
      <w:r w:rsidR="008E621D">
        <w:t xml:space="preserve"> in practice, </w:t>
      </w:r>
      <w:r w:rsidR="00274746">
        <w:t>could vary from the nominated comparators</w:t>
      </w:r>
      <w:r w:rsidR="008E621D">
        <w:t xml:space="preserve">. </w:t>
      </w:r>
    </w:p>
    <w:p w:rsidR="00527846" w:rsidRDefault="00527846" w:rsidP="00527846">
      <w:pPr>
        <w:pStyle w:val="ListParagraph"/>
      </w:pPr>
      <w:bookmarkStart w:id="33" w:name="_GoBack"/>
      <w:bookmarkEnd w:id="33"/>
    </w:p>
    <w:p w:rsidR="00DC7216" w:rsidRDefault="00527846" w:rsidP="00527846">
      <w:pPr>
        <w:pStyle w:val="ListParagraph"/>
        <w:keepNext/>
        <w:keepLines/>
        <w:numPr>
          <w:ilvl w:val="1"/>
          <w:numId w:val="2"/>
        </w:numPr>
        <w:snapToGrid w:val="0"/>
        <w:ind w:left="709" w:hanging="709"/>
      </w:pPr>
      <w:r>
        <w:lastRenderedPageBreak/>
        <w:t>T</w:t>
      </w:r>
      <w:r w:rsidR="00DC7216">
        <w:t xml:space="preserve">he resubmission’s nominated comparators of </w:t>
      </w:r>
      <w:proofErr w:type="spellStart"/>
      <w:r w:rsidR="00DC7216">
        <w:t>probenecid</w:t>
      </w:r>
      <w:proofErr w:type="spellEnd"/>
      <w:r w:rsidR="00DC7216">
        <w:t xml:space="preserve"> (≈2 g/day) or placebo (i.e. no </w:t>
      </w:r>
      <w:proofErr w:type="spellStart"/>
      <w:r w:rsidR="00DC7216">
        <w:t>urate</w:t>
      </w:r>
      <w:proofErr w:type="spellEnd"/>
      <w:r w:rsidR="00DC7216">
        <w:t xml:space="preserve"> lowering therapy)</w:t>
      </w:r>
      <w:r w:rsidR="00DC7216">
        <w:tab/>
        <w:t xml:space="preserve">in allopurinol intolerant patients and </w:t>
      </w:r>
      <w:proofErr w:type="spellStart"/>
      <w:r w:rsidR="00DC7216">
        <w:t>probenecid</w:t>
      </w:r>
      <w:proofErr w:type="spellEnd"/>
      <w:r w:rsidR="00DC7216">
        <w:t xml:space="preserve"> (≈1</w:t>
      </w:r>
      <w:r w:rsidR="00C326EC">
        <w:t> </w:t>
      </w:r>
      <w:r w:rsidR="00DC7216">
        <w:t xml:space="preserve">g/day) + allopurinol (≈300 mg/day) or </w:t>
      </w:r>
      <w:proofErr w:type="spellStart"/>
      <w:r w:rsidR="00DC7216">
        <w:t>probenecid</w:t>
      </w:r>
      <w:proofErr w:type="spellEnd"/>
      <w:r w:rsidR="00DC7216">
        <w:t xml:space="preserve"> (≈2 g/day), or allopurinol (optimally titrated dose) or placebo in allopurinol insufficient patients reflected the submission’s proposed clinical management algorithm</w:t>
      </w:r>
      <w:r w:rsidR="005E4C5F">
        <w:t xml:space="preserve">. </w:t>
      </w:r>
      <w:r w:rsidR="005E4C5F" w:rsidRPr="00527846">
        <w:rPr>
          <w:iCs/>
        </w:rPr>
        <w:t xml:space="preserve">The PBAC’s view was that optimal titration of allopurinol </w:t>
      </w:r>
      <w:r w:rsidR="00274746" w:rsidRPr="00527846">
        <w:rPr>
          <w:iCs/>
        </w:rPr>
        <w:t>may</w:t>
      </w:r>
      <w:r w:rsidR="005E4C5F" w:rsidRPr="00527846">
        <w:rPr>
          <w:iCs/>
        </w:rPr>
        <w:t xml:space="preserve"> not </w:t>
      </w:r>
      <w:r w:rsidR="002C21EF" w:rsidRPr="00527846">
        <w:rPr>
          <w:iCs/>
        </w:rPr>
        <w:t xml:space="preserve">be </w:t>
      </w:r>
      <w:r w:rsidR="005E4C5F" w:rsidRPr="00527846">
        <w:rPr>
          <w:iCs/>
        </w:rPr>
        <w:t>occurring in clinical practice</w:t>
      </w:r>
      <w:r w:rsidR="003058DE" w:rsidRPr="00527846">
        <w:rPr>
          <w:iCs/>
        </w:rPr>
        <w:t>.</w:t>
      </w:r>
      <w:r w:rsidR="005E4C5F" w:rsidRPr="00527846">
        <w:rPr>
          <w:iCs/>
        </w:rPr>
        <w:t xml:space="preserve">  Further, if allopurinol was </w:t>
      </w:r>
      <w:r w:rsidR="002C21EF" w:rsidRPr="00527846">
        <w:rPr>
          <w:iCs/>
        </w:rPr>
        <w:t xml:space="preserve">consistently </w:t>
      </w:r>
      <w:r w:rsidR="005E4C5F" w:rsidRPr="00527846">
        <w:rPr>
          <w:iCs/>
        </w:rPr>
        <w:t>optimally titrated in patient</w:t>
      </w:r>
      <w:r w:rsidR="002C21EF" w:rsidRPr="00527846">
        <w:rPr>
          <w:iCs/>
        </w:rPr>
        <w:t>s</w:t>
      </w:r>
      <w:r w:rsidR="005E4C5F" w:rsidRPr="00527846">
        <w:rPr>
          <w:iCs/>
        </w:rPr>
        <w:t xml:space="preserve"> with chronic gout, the PBAC’s opinion was that there would be very few patients </w:t>
      </w:r>
      <w:r w:rsidR="002C21EF" w:rsidRPr="00527846">
        <w:rPr>
          <w:iCs/>
        </w:rPr>
        <w:t>with</w:t>
      </w:r>
      <w:r w:rsidR="005E4C5F" w:rsidRPr="00527846">
        <w:rPr>
          <w:iCs/>
        </w:rPr>
        <w:t xml:space="preserve"> </w:t>
      </w:r>
      <w:r w:rsidR="002C21EF" w:rsidRPr="00527846">
        <w:rPr>
          <w:iCs/>
        </w:rPr>
        <w:t>in</w:t>
      </w:r>
      <w:r w:rsidR="005E4C5F" w:rsidRPr="00527846">
        <w:rPr>
          <w:iCs/>
        </w:rPr>
        <w:t xml:space="preserve">adequate response. </w:t>
      </w:r>
      <w:proofErr w:type="spellStart"/>
      <w:r w:rsidR="007D4627" w:rsidRPr="00527846">
        <w:rPr>
          <w:iCs/>
        </w:rPr>
        <w:t>P</w:t>
      </w:r>
      <w:r w:rsidR="005E4C5F" w:rsidRPr="00527846">
        <w:rPr>
          <w:iCs/>
        </w:rPr>
        <w:t>robenecid</w:t>
      </w:r>
      <w:proofErr w:type="spellEnd"/>
      <w:r w:rsidR="005E4C5F" w:rsidRPr="00527846">
        <w:rPr>
          <w:iCs/>
        </w:rPr>
        <w:t xml:space="preserve"> or placebo in allopurinol intolerant </w:t>
      </w:r>
      <w:r w:rsidR="00B43886" w:rsidRPr="00527846">
        <w:rPr>
          <w:iCs/>
        </w:rPr>
        <w:t xml:space="preserve">patients </w:t>
      </w:r>
      <w:r w:rsidR="007D4627" w:rsidRPr="00527846">
        <w:rPr>
          <w:iCs/>
        </w:rPr>
        <w:t xml:space="preserve">appeared to be </w:t>
      </w:r>
      <w:r w:rsidR="00B43886" w:rsidRPr="00527846">
        <w:rPr>
          <w:iCs/>
        </w:rPr>
        <w:t>the most relevant comparators.</w:t>
      </w:r>
      <w:r w:rsidR="005E4C5F" w:rsidRPr="00527846">
        <w:rPr>
          <w:iCs/>
        </w:rPr>
        <w:t xml:space="preserve">    </w:t>
      </w:r>
    </w:p>
    <w:p w:rsidR="00836259" w:rsidRPr="00836259" w:rsidRDefault="00836259" w:rsidP="00677006">
      <w:pPr>
        <w:keepNext/>
        <w:keepLines/>
        <w:snapToGrid w:val="0"/>
      </w:pPr>
    </w:p>
    <w:p w:rsidR="00836259" w:rsidRPr="00836259" w:rsidRDefault="00677006" w:rsidP="00677006">
      <w:pPr>
        <w:pStyle w:val="ListParagraph"/>
        <w:keepNext/>
        <w:keepLines/>
        <w:numPr>
          <w:ilvl w:val="1"/>
          <w:numId w:val="2"/>
        </w:numPr>
        <w:snapToGrid w:val="0"/>
        <w:ind w:left="709" w:hanging="709"/>
      </w:pPr>
      <w:r>
        <w:t xml:space="preserve">The PBAC’s main concern </w:t>
      </w:r>
      <w:r w:rsidR="002C21EF">
        <w:t xml:space="preserve">about </w:t>
      </w:r>
      <w:r>
        <w:t>the clinical evidence presented in the submission was th</w:t>
      </w:r>
      <w:r w:rsidR="002C21EF">
        <w:t xml:space="preserve">e paucity of </w:t>
      </w:r>
      <w:r w:rsidRPr="00677006">
        <w:t xml:space="preserve">evidence </w:t>
      </w:r>
      <w:r w:rsidR="002C21EF">
        <w:t xml:space="preserve">of </w:t>
      </w:r>
      <w:r w:rsidRPr="00677006">
        <w:t xml:space="preserve">efficacy and safety of </w:t>
      </w:r>
      <w:proofErr w:type="spellStart"/>
      <w:r w:rsidRPr="00677006">
        <w:t>febuxostat</w:t>
      </w:r>
      <w:proofErr w:type="spellEnd"/>
      <w:r w:rsidRPr="00677006">
        <w:t xml:space="preserve"> in allopurinol insufficient </w:t>
      </w:r>
      <w:r w:rsidR="002C21EF">
        <w:t xml:space="preserve">patients </w:t>
      </w:r>
      <w:r w:rsidRPr="00677006">
        <w:t>(with or without renal impairment). While the TMX-67-203, TMX-00-004, and CONFIRMS trials and the FOCUS extension stud</w:t>
      </w:r>
      <w:r w:rsidR="00C326EC">
        <w:t>ies</w:t>
      </w:r>
      <w:r w:rsidRPr="00677006">
        <w:t xml:space="preserve"> included patients with renal impairment, patients in these trials/studies were not required to have had insufficient effect with maximally tolerated doses of allopurinol.</w:t>
      </w:r>
      <w:r>
        <w:t xml:space="preserve"> Therefore, the submission’s request to list </w:t>
      </w:r>
      <w:proofErr w:type="spellStart"/>
      <w:r>
        <w:t>febuxostat</w:t>
      </w:r>
      <w:proofErr w:type="spellEnd"/>
      <w:r>
        <w:t xml:space="preserve"> in allopurinol insufficient patients was not </w:t>
      </w:r>
      <w:r w:rsidR="002C21EF">
        <w:t xml:space="preserve">adequately </w:t>
      </w:r>
      <w:r>
        <w:t xml:space="preserve">supported by the evidence </w:t>
      </w:r>
      <w:r w:rsidR="008D2867">
        <w:t xml:space="preserve">available </w:t>
      </w:r>
      <w:r w:rsidR="003058DE">
        <w:t>to</w:t>
      </w:r>
      <w:r>
        <w:t xml:space="preserve"> the Committee.</w:t>
      </w:r>
    </w:p>
    <w:p w:rsidR="00836259" w:rsidRPr="00836259" w:rsidRDefault="00836259" w:rsidP="00836259">
      <w:pPr>
        <w:pStyle w:val="ListParagraph"/>
        <w:keepNext/>
        <w:keepLines/>
        <w:snapToGrid w:val="0"/>
        <w:ind w:left="709"/>
      </w:pPr>
    </w:p>
    <w:p w:rsidR="00BD53C2" w:rsidRDefault="00677006" w:rsidP="00BD53C2">
      <w:pPr>
        <w:pStyle w:val="ListParagraph"/>
        <w:numPr>
          <w:ilvl w:val="1"/>
          <w:numId w:val="2"/>
        </w:numPr>
        <w:ind w:left="709" w:hanging="709"/>
      </w:pPr>
      <w:r>
        <w:t>The PBAC noted th</w:t>
      </w:r>
      <w:r w:rsidR="002610C8">
        <w:t>at the trial</w:t>
      </w:r>
      <w:r w:rsidR="002C21EF">
        <w:t xml:space="preserve"> data</w:t>
      </w:r>
      <w:r w:rsidR="002610C8">
        <w:t xml:space="preserve"> suggested that </w:t>
      </w:r>
      <w:proofErr w:type="spellStart"/>
      <w:r w:rsidR="002610C8">
        <w:t>febuxostat</w:t>
      </w:r>
      <w:proofErr w:type="spellEnd"/>
      <w:r w:rsidR="002610C8">
        <w:t xml:space="preserve"> is an effective drug. </w:t>
      </w:r>
      <w:r>
        <w:t xml:space="preserve"> </w:t>
      </w:r>
      <w:r w:rsidRPr="00677006">
        <w:t xml:space="preserve">A statistically significantly greater proportion of patients treated with </w:t>
      </w:r>
      <w:proofErr w:type="spellStart"/>
      <w:r w:rsidRPr="00677006">
        <w:t>febuxostat</w:t>
      </w:r>
      <w:proofErr w:type="spellEnd"/>
      <w:r w:rsidRPr="00677006">
        <w:t xml:space="preserve"> 40 mg and 80 mg achieved target </w:t>
      </w:r>
      <w:proofErr w:type="spellStart"/>
      <w:r w:rsidRPr="00677006">
        <w:t>sUA</w:t>
      </w:r>
      <w:proofErr w:type="spellEnd"/>
      <w:r w:rsidRPr="00677006">
        <w:t xml:space="preserve"> doses in the TMX-67-203 and TMX-00-004  trials compared with those treated with placebo (in both the ITT group and in the renal impairment sub-group). A statistically significantly greater proportion of patients treated with </w:t>
      </w:r>
      <w:proofErr w:type="spellStart"/>
      <w:r w:rsidRPr="00677006">
        <w:t>febuxostat</w:t>
      </w:r>
      <w:proofErr w:type="spellEnd"/>
      <w:r w:rsidRPr="00677006">
        <w:t xml:space="preserve"> 80 mg achieved target </w:t>
      </w:r>
      <w:proofErr w:type="spellStart"/>
      <w:r w:rsidRPr="00677006">
        <w:t>sUA</w:t>
      </w:r>
      <w:proofErr w:type="spellEnd"/>
      <w:r w:rsidRPr="00677006">
        <w:t xml:space="preserve"> doses in CONFIRMS. No differences were observed when comparing </w:t>
      </w:r>
      <w:proofErr w:type="spellStart"/>
      <w:r w:rsidRPr="00677006">
        <w:t>febuxostat</w:t>
      </w:r>
      <w:proofErr w:type="spellEnd"/>
      <w:r w:rsidRPr="00677006">
        <w:t xml:space="preserve"> 40 mg/day with allopurinol (300 mg/day in </w:t>
      </w:r>
      <w:r w:rsidR="002C21EF">
        <w:t xml:space="preserve">the absence of </w:t>
      </w:r>
      <w:r w:rsidRPr="00677006">
        <w:t>renal-impairment and 200 mg/day in renal-impairment patients).</w:t>
      </w:r>
      <w:r w:rsidR="002610C8" w:rsidRPr="002610C8">
        <w:t xml:space="preserve"> </w:t>
      </w:r>
      <w:r w:rsidR="002610C8">
        <w:t>The PBAC further observed that d</w:t>
      </w:r>
      <w:r w:rsidR="002610C8" w:rsidRPr="002610C8">
        <w:t xml:space="preserve">ata from </w:t>
      </w:r>
      <w:proofErr w:type="spellStart"/>
      <w:r w:rsidR="002610C8" w:rsidRPr="002610C8">
        <w:t>Chohan</w:t>
      </w:r>
      <w:proofErr w:type="spellEnd"/>
      <w:r w:rsidR="002610C8" w:rsidRPr="002610C8">
        <w:t xml:space="preserve"> 2011 and </w:t>
      </w:r>
      <w:proofErr w:type="spellStart"/>
      <w:r w:rsidR="002610C8" w:rsidRPr="002610C8">
        <w:t>Pui</w:t>
      </w:r>
      <w:proofErr w:type="spellEnd"/>
      <w:r w:rsidR="002610C8" w:rsidRPr="002610C8">
        <w:t xml:space="preserve"> 2013 indicated that patients with allopurinol intolerance responded to treatment with </w:t>
      </w:r>
      <w:proofErr w:type="spellStart"/>
      <w:r w:rsidR="002610C8" w:rsidRPr="002610C8">
        <w:t>febuxostat</w:t>
      </w:r>
      <w:proofErr w:type="spellEnd"/>
      <w:r w:rsidR="002610C8" w:rsidRPr="002610C8">
        <w:t xml:space="preserve"> or </w:t>
      </w:r>
      <w:proofErr w:type="spellStart"/>
      <w:r w:rsidR="002610C8" w:rsidRPr="002610C8">
        <w:t>probenecid</w:t>
      </w:r>
      <w:proofErr w:type="spellEnd"/>
      <w:r w:rsidR="002610C8" w:rsidRPr="002610C8">
        <w:t xml:space="preserve"> in terms of </w:t>
      </w:r>
      <w:proofErr w:type="spellStart"/>
      <w:r w:rsidR="002610C8" w:rsidRPr="002610C8">
        <w:t>sUA</w:t>
      </w:r>
      <w:proofErr w:type="spellEnd"/>
      <w:r w:rsidR="002610C8" w:rsidRPr="002610C8">
        <w:t xml:space="preserve"> lowering. Although </w:t>
      </w:r>
      <w:r w:rsidR="002610C8">
        <w:t xml:space="preserve">the evaluation advised that </w:t>
      </w:r>
      <w:r w:rsidR="002610C8" w:rsidRPr="002610C8">
        <w:t xml:space="preserve">no </w:t>
      </w:r>
      <w:proofErr w:type="gramStart"/>
      <w:r w:rsidR="002610C8" w:rsidRPr="002610C8">
        <w:t>comparisons between these studies was</w:t>
      </w:r>
      <w:proofErr w:type="gramEnd"/>
      <w:r w:rsidR="002610C8" w:rsidRPr="002610C8">
        <w:t xml:space="preserve"> possible, the response rate to </w:t>
      </w:r>
      <w:proofErr w:type="spellStart"/>
      <w:r w:rsidR="002610C8" w:rsidRPr="002610C8">
        <w:t>febuxostat</w:t>
      </w:r>
      <w:proofErr w:type="spellEnd"/>
      <w:r w:rsidR="002610C8" w:rsidRPr="002610C8">
        <w:t xml:space="preserve"> appeared to be higher</w:t>
      </w:r>
      <w:r w:rsidR="00C326EC">
        <w:t>.</w:t>
      </w:r>
      <w:r w:rsidR="002610C8" w:rsidRPr="002610C8">
        <w:t xml:space="preserve"> </w:t>
      </w:r>
      <w:r w:rsidR="00C326EC">
        <w:t>T</w:t>
      </w:r>
      <w:r w:rsidR="002610C8" w:rsidRPr="002610C8">
        <w:t xml:space="preserve">his may have been due to the dose of </w:t>
      </w:r>
      <w:proofErr w:type="spellStart"/>
      <w:r w:rsidR="002610C8" w:rsidRPr="002610C8">
        <w:t>febuxostat</w:t>
      </w:r>
      <w:proofErr w:type="spellEnd"/>
      <w:r w:rsidR="002610C8" w:rsidRPr="002610C8">
        <w:t xml:space="preserve"> being optimised for individual patients and the possibility that </w:t>
      </w:r>
      <w:proofErr w:type="spellStart"/>
      <w:r w:rsidR="002610C8" w:rsidRPr="002610C8">
        <w:t>probenecid</w:t>
      </w:r>
      <w:proofErr w:type="spellEnd"/>
      <w:r w:rsidR="002610C8" w:rsidRPr="002610C8">
        <w:t xml:space="preserve"> was being used at sub-therapeutic doses (1.29 g, with 2 g being the maximum dose).</w:t>
      </w:r>
    </w:p>
    <w:p w:rsidR="00677006" w:rsidRPr="00677006" w:rsidRDefault="002610C8" w:rsidP="00BD53C2">
      <w:pPr>
        <w:pStyle w:val="ListParagraph"/>
        <w:ind w:left="709"/>
      </w:pPr>
      <w:r w:rsidRPr="002610C8">
        <w:t xml:space="preserve"> </w:t>
      </w:r>
    </w:p>
    <w:p w:rsidR="00836259" w:rsidRDefault="002610C8" w:rsidP="00BD53C2">
      <w:pPr>
        <w:pStyle w:val="ListParagraph"/>
        <w:numPr>
          <w:ilvl w:val="1"/>
          <w:numId w:val="2"/>
        </w:numPr>
        <w:ind w:left="709" w:hanging="709"/>
      </w:pPr>
      <w:r>
        <w:t>The PBAC recalled that i</w:t>
      </w:r>
      <w:r w:rsidRPr="002610C8">
        <w:t>n its consideration of the previous submission</w:t>
      </w:r>
      <w:r>
        <w:t xml:space="preserve"> (March 2014)</w:t>
      </w:r>
      <w:proofErr w:type="gramStart"/>
      <w:r w:rsidRPr="002610C8">
        <w:t xml:space="preserve">, </w:t>
      </w:r>
      <w:r>
        <w:t xml:space="preserve"> </w:t>
      </w:r>
      <w:r w:rsidRPr="002610C8">
        <w:t>a</w:t>
      </w:r>
      <w:proofErr w:type="gramEnd"/>
      <w:r w:rsidRPr="002610C8">
        <w:t xml:space="preserve"> pooled safety analysis of trials with up to one year follow</w:t>
      </w:r>
      <w:r w:rsidR="003058DE">
        <w:t>-</w:t>
      </w:r>
      <w:r w:rsidRPr="002610C8">
        <w:t>up</w:t>
      </w:r>
      <w:r w:rsidR="003058DE">
        <w:t xml:space="preserve"> found that</w:t>
      </w:r>
      <w:r w:rsidRPr="002610C8">
        <w:t xml:space="preserve"> fewer total adverse events</w:t>
      </w:r>
      <w:r w:rsidR="00BB3F0F">
        <w:t xml:space="preserve"> </w:t>
      </w:r>
      <w:r w:rsidR="003058DE">
        <w:t>were</w:t>
      </w:r>
      <w:r w:rsidRPr="002610C8">
        <w:t xml:space="preserve"> reported by patients treated with </w:t>
      </w:r>
      <w:proofErr w:type="spellStart"/>
      <w:r w:rsidRPr="002610C8">
        <w:t>febuxostat</w:t>
      </w:r>
      <w:proofErr w:type="spellEnd"/>
      <w:r w:rsidRPr="002610C8">
        <w:t xml:space="preserve"> (80 mg or 120 mg) compared to patients treated with allopurinol (pooled RR (95%CI): 0.94 (0.89, 0.99) and 0.90 (0.84, 0.96) respectively.</w:t>
      </w:r>
      <w:r w:rsidR="00BD53C2">
        <w:t xml:space="preserve"> </w:t>
      </w:r>
      <w:r w:rsidR="00BD53C2" w:rsidRPr="00BD53C2">
        <w:t>Data from the trials and studies included in the submission to the March 2015 PBAC meeting did not indicate any new safety signals.</w:t>
      </w:r>
      <w:r w:rsidR="00BD53C2">
        <w:t xml:space="preserve"> The PBAC</w:t>
      </w:r>
      <w:r w:rsidR="003058DE">
        <w:t xml:space="preserve"> </w:t>
      </w:r>
      <w:r w:rsidR="00BD53C2">
        <w:t>therefore</w:t>
      </w:r>
      <w:r w:rsidR="00AA20A1">
        <w:t xml:space="preserve"> </w:t>
      </w:r>
      <w:r w:rsidR="003058DE">
        <w:t xml:space="preserve">considered </w:t>
      </w:r>
      <w:r w:rsidR="00BD53C2">
        <w:t xml:space="preserve">that </w:t>
      </w:r>
      <w:r w:rsidR="003058DE">
        <w:t xml:space="preserve">the comparative harms of </w:t>
      </w:r>
      <w:proofErr w:type="spellStart"/>
      <w:r w:rsidR="00BD53C2">
        <w:t>febuxostat</w:t>
      </w:r>
      <w:proofErr w:type="spellEnd"/>
      <w:r w:rsidR="00BD53C2">
        <w:t xml:space="preserve"> </w:t>
      </w:r>
      <w:r w:rsidR="003058DE">
        <w:t xml:space="preserve">were probably no worse than </w:t>
      </w:r>
      <w:r w:rsidR="00BD53C2">
        <w:t xml:space="preserve">allopurinol, </w:t>
      </w:r>
      <w:proofErr w:type="spellStart"/>
      <w:r w:rsidR="00BD53C2">
        <w:t>probenecid</w:t>
      </w:r>
      <w:proofErr w:type="spellEnd"/>
      <w:r w:rsidR="004220E0">
        <w:t xml:space="preserve"> and</w:t>
      </w:r>
      <w:r w:rsidR="00BD53C2">
        <w:t xml:space="preserve"> allopurinol + </w:t>
      </w:r>
      <w:proofErr w:type="spellStart"/>
      <w:r w:rsidR="00BD53C2">
        <w:t>probenecid</w:t>
      </w:r>
      <w:proofErr w:type="spellEnd"/>
      <w:r w:rsidR="003058DE">
        <w:t>.</w:t>
      </w:r>
      <w:r w:rsidR="00BD53C2">
        <w:t xml:space="preserve"> </w:t>
      </w:r>
    </w:p>
    <w:p w:rsidR="00143C44" w:rsidRPr="00836259" w:rsidRDefault="00143C44" w:rsidP="00143C44"/>
    <w:p w:rsidR="00736F93" w:rsidRDefault="00143C44" w:rsidP="00C311A5">
      <w:pPr>
        <w:pStyle w:val="ListParagraph"/>
        <w:keepNext/>
        <w:keepLines/>
        <w:numPr>
          <w:ilvl w:val="1"/>
          <w:numId w:val="2"/>
        </w:numPr>
        <w:snapToGrid w:val="0"/>
        <w:ind w:left="709" w:hanging="709"/>
      </w:pPr>
      <w:r>
        <w:lastRenderedPageBreak/>
        <w:t xml:space="preserve">The PBAC noted </w:t>
      </w:r>
      <w:r w:rsidR="009E187C">
        <w:t xml:space="preserve">that </w:t>
      </w:r>
      <w:proofErr w:type="gramStart"/>
      <w:r w:rsidR="009E187C">
        <w:t>its</w:t>
      </w:r>
      <w:proofErr w:type="gramEnd"/>
      <w:r w:rsidR="009E187C">
        <w:t xml:space="preserve"> Minutes from its </w:t>
      </w:r>
      <w:r>
        <w:t xml:space="preserve">March 2014 </w:t>
      </w:r>
      <w:r w:rsidR="009E187C">
        <w:t xml:space="preserve">meeting </w:t>
      </w:r>
      <w:r>
        <w:t>record</w:t>
      </w:r>
      <w:r w:rsidR="003A50D0">
        <w:t>ed</w:t>
      </w:r>
      <w:r>
        <w:t xml:space="preserve"> that </w:t>
      </w:r>
      <w:r w:rsidRPr="00143C44">
        <w:t xml:space="preserve">that it may be possible to demonstrate acceptable cost-effectiveness of </w:t>
      </w:r>
      <w:proofErr w:type="spellStart"/>
      <w:r w:rsidRPr="00143C44">
        <w:t>febuxostat</w:t>
      </w:r>
      <w:proofErr w:type="spellEnd"/>
      <w:r w:rsidRPr="00143C44">
        <w:t xml:space="preserve"> </w:t>
      </w:r>
      <w:r w:rsidR="009E187C">
        <w:t>compared to</w:t>
      </w:r>
      <w:r w:rsidRPr="00143C44">
        <w:t xml:space="preserve"> placebo in the second-line treatment setting for patients intolera</w:t>
      </w:r>
      <w:r>
        <w:t>nt of allopurinol</w:t>
      </w:r>
      <w:r w:rsidR="009E187C">
        <w:t xml:space="preserve">. However, </w:t>
      </w:r>
      <w:r>
        <w:t>the March 2015 resubmission had present</w:t>
      </w:r>
      <w:r w:rsidR="009E187C">
        <w:t>ed</w:t>
      </w:r>
      <w:r>
        <w:t xml:space="preserve"> a</w:t>
      </w:r>
      <w:r w:rsidRPr="00143C44">
        <w:t xml:space="preserve"> cost-per-responder analysis </w:t>
      </w:r>
      <w:r>
        <w:t>which compared</w:t>
      </w:r>
      <w:r w:rsidRPr="00143C44">
        <w:t xml:space="preserve"> </w:t>
      </w:r>
      <w:proofErr w:type="spellStart"/>
      <w:r w:rsidRPr="00143C44">
        <w:t>febuxostat</w:t>
      </w:r>
      <w:proofErr w:type="spellEnd"/>
      <w:r w:rsidRPr="00143C44">
        <w:t xml:space="preserve"> </w:t>
      </w:r>
      <w:r>
        <w:t xml:space="preserve">with placebo, </w:t>
      </w:r>
      <w:proofErr w:type="spellStart"/>
      <w:r>
        <w:t>probenecid</w:t>
      </w:r>
      <w:proofErr w:type="spellEnd"/>
      <w:r>
        <w:t xml:space="preserve">, allopurinol and </w:t>
      </w:r>
      <w:proofErr w:type="spellStart"/>
      <w:r>
        <w:t>proben</w:t>
      </w:r>
      <w:r w:rsidR="00A04883">
        <w:t>e</w:t>
      </w:r>
      <w:r>
        <w:t>cid</w:t>
      </w:r>
      <w:proofErr w:type="spellEnd"/>
      <w:r>
        <w:t xml:space="preserve"> + allopurinol.</w:t>
      </w:r>
      <w:r w:rsidR="006D7123">
        <w:t xml:space="preserve"> For the reasons identified in the evaluation (</w:t>
      </w:r>
      <w:r w:rsidR="00041841">
        <w:t>see para 6.23 and 6.24</w:t>
      </w:r>
      <w:r w:rsidR="006D7123">
        <w:t>), the PBAC</w:t>
      </w:r>
      <w:r w:rsidR="00AA20A1">
        <w:t>’s view was that</w:t>
      </w:r>
      <w:r w:rsidR="006D7123">
        <w:t xml:space="preserve"> the </w:t>
      </w:r>
      <w:r w:rsidR="00AA20A1">
        <w:t>conclusions that could be drawn from the</w:t>
      </w:r>
      <w:r w:rsidR="006D7123">
        <w:t xml:space="preserve"> </w:t>
      </w:r>
      <w:r w:rsidR="00D62091">
        <w:t>cost-per-responder analysis</w:t>
      </w:r>
      <w:r w:rsidR="00AA20A1">
        <w:t xml:space="preserve"> were limited</w:t>
      </w:r>
      <w:r w:rsidR="00D62091">
        <w:t>.</w:t>
      </w:r>
    </w:p>
    <w:p w:rsidR="00736F93" w:rsidRDefault="00736F93" w:rsidP="00736F93">
      <w:pPr>
        <w:pStyle w:val="ListParagraph"/>
        <w:keepNext/>
        <w:keepLines/>
        <w:snapToGrid w:val="0"/>
        <w:ind w:left="709"/>
      </w:pPr>
    </w:p>
    <w:p w:rsidR="00836259" w:rsidRPr="004A10D8" w:rsidRDefault="00D62091" w:rsidP="00736F93">
      <w:pPr>
        <w:pStyle w:val="ListParagraph"/>
        <w:keepNext/>
        <w:keepLines/>
        <w:numPr>
          <w:ilvl w:val="1"/>
          <w:numId w:val="2"/>
        </w:numPr>
        <w:snapToGrid w:val="0"/>
        <w:ind w:left="709" w:hanging="709"/>
      </w:pPr>
      <w:r>
        <w:t>The PBAC further noted that the evaluation and ESC provided</w:t>
      </w:r>
      <w:r w:rsidR="003A50D0">
        <w:t xml:space="preserve"> </w:t>
      </w:r>
      <w:r>
        <w:t xml:space="preserve">a sensitivity analysis </w:t>
      </w:r>
      <w:r w:rsidR="003A50D0">
        <w:t xml:space="preserve">of </w:t>
      </w:r>
      <w:r>
        <w:rPr>
          <w:bCs/>
        </w:rPr>
        <w:t>e</w:t>
      </w:r>
      <w:r w:rsidRPr="00D62091">
        <w:rPr>
          <w:bCs/>
        </w:rPr>
        <w:t>stimat</w:t>
      </w:r>
      <w:r w:rsidR="003A50D0">
        <w:rPr>
          <w:bCs/>
        </w:rPr>
        <w:t>ed</w:t>
      </w:r>
      <w:r w:rsidRPr="00D62091">
        <w:rPr>
          <w:bCs/>
        </w:rPr>
        <w:t xml:space="preserve"> DPMQ for a </w:t>
      </w:r>
      <w:proofErr w:type="spellStart"/>
      <w:r w:rsidRPr="00D62091">
        <w:rPr>
          <w:bCs/>
        </w:rPr>
        <w:t>febuxostat</w:t>
      </w:r>
      <w:proofErr w:type="spellEnd"/>
      <w:r w:rsidRPr="00D62091">
        <w:rPr>
          <w:bCs/>
        </w:rPr>
        <w:t xml:space="preserve"> pack assuming various proportions of allopurinol inappropriate</w:t>
      </w:r>
      <w:r w:rsidR="00041841">
        <w:rPr>
          <w:bCs/>
        </w:rPr>
        <w:t xml:space="preserve"> to </w:t>
      </w:r>
      <w:r w:rsidRPr="00D62091">
        <w:rPr>
          <w:bCs/>
        </w:rPr>
        <w:t xml:space="preserve">insufficient patients, and varying assumed </w:t>
      </w:r>
      <w:proofErr w:type="spellStart"/>
      <w:r w:rsidRPr="00D62091">
        <w:rPr>
          <w:bCs/>
        </w:rPr>
        <w:t>equi</w:t>
      </w:r>
      <w:proofErr w:type="spellEnd"/>
      <w:r w:rsidRPr="00D62091">
        <w:rPr>
          <w:bCs/>
        </w:rPr>
        <w:t xml:space="preserve">-effective doses of </w:t>
      </w:r>
      <w:proofErr w:type="spellStart"/>
      <w:r w:rsidRPr="00D62091">
        <w:rPr>
          <w:bCs/>
        </w:rPr>
        <w:t>febuxostat</w:t>
      </w:r>
      <w:proofErr w:type="spellEnd"/>
      <w:r w:rsidRPr="00D62091">
        <w:rPr>
          <w:bCs/>
        </w:rPr>
        <w:t xml:space="preserve"> compared with </w:t>
      </w:r>
      <w:proofErr w:type="spellStart"/>
      <w:r w:rsidRPr="00D62091">
        <w:rPr>
          <w:bCs/>
        </w:rPr>
        <w:t>probenecid</w:t>
      </w:r>
      <w:proofErr w:type="spellEnd"/>
      <w:r w:rsidRPr="00D62091">
        <w:rPr>
          <w:bCs/>
        </w:rPr>
        <w:t xml:space="preserve"> and allopurinol</w:t>
      </w:r>
      <w:r>
        <w:rPr>
          <w:bCs/>
        </w:rPr>
        <w:t xml:space="preserve">. </w:t>
      </w:r>
      <w:r w:rsidR="00206E7A">
        <w:rPr>
          <w:bCs/>
        </w:rPr>
        <w:t xml:space="preserve">This analysis was </w:t>
      </w:r>
      <w:r w:rsidR="00206E7A">
        <w:t xml:space="preserve">for consideration </w:t>
      </w:r>
      <w:r w:rsidR="00206E7A">
        <w:rPr>
          <w:bCs/>
        </w:rPr>
        <w:t xml:space="preserve">in the event that a cost-minimisation analysis was considered appropriate. </w:t>
      </w:r>
      <w:r>
        <w:rPr>
          <w:bCs/>
        </w:rPr>
        <w:t xml:space="preserve">However, non-inferior efficacy and safety between </w:t>
      </w:r>
      <w:proofErr w:type="spellStart"/>
      <w:r>
        <w:rPr>
          <w:bCs/>
        </w:rPr>
        <w:t>febuxostat</w:t>
      </w:r>
      <w:proofErr w:type="spellEnd"/>
      <w:r>
        <w:rPr>
          <w:bCs/>
        </w:rPr>
        <w:t xml:space="preserve"> and the comparators in the allopurinol insufficient patient population had not been established due to the absence of appropriate comparative data. Hence, construction of a </w:t>
      </w:r>
      <w:proofErr w:type="spellStart"/>
      <w:r>
        <w:rPr>
          <w:bCs/>
        </w:rPr>
        <w:t>febuxostat</w:t>
      </w:r>
      <w:proofErr w:type="spellEnd"/>
      <w:r>
        <w:rPr>
          <w:bCs/>
        </w:rPr>
        <w:t xml:space="preserve"> price from a cost-minimisation basis was not considered applicable in the circumstances.</w:t>
      </w:r>
      <w:r w:rsidR="00736F93">
        <w:rPr>
          <w:bCs/>
        </w:rPr>
        <w:t xml:space="preserve"> Instead, the PBAC considered that </w:t>
      </w:r>
      <w:proofErr w:type="spellStart"/>
      <w:r w:rsidR="00736F93">
        <w:rPr>
          <w:bCs/>
        </w:rPr>
        <w:t>febuxostat</w:t>
      </w:r>
      <w:proofErr w:type="spellEnd"/>
      <w:r w:rsidR="00736F93">
        <w:rPr>
          <w:bCs/>
        </w:rPr>
        <w:t xml:space="preserve"> at the proposed price in the submission was </w:t>
      </w:r>
      <w:r w:rsidR="00A04883">
        <w:rPr>
          <w:bCs/>
        </w:rPr>
        <w:t xml:space="preserve">no more costly </w:t>
      </w:r>
      <w:r w:rsidR="00736F93">
        <w:rPr>
          <w:bCs/>
        </w:rPr>
        <w:t xml:space="preserve">compared </w:t>
      </w:r>
      <w:r w:rsidR="009C0F65">
        <w:rPr>
          <w:bCs/>
        </w:rPr>
        <w:t xml:space="preserve">to </w:t>
      </w:r>
      <w:proofErr w:type="spellStart"/>
      <w:r w:rsidR="00736F93">
        <w:rPr>
          <w:bCs/>
        </w:rPr>
        <w:t>probenecid</w:t>
      </w:r>
      <w:proofErr w:type="spellEnd"/>
      <w:r w:rsidR="00736F93">
        <w:rPr>
          <w:bCs/>
        </w:rPr>
        <w:t xml:space="preserve"> in a patient population which is genuinely intolerant of, or contraindicated to allopurinol treatment.</w:t>
      </w:r>
    </w:p>
    <w:p w:rsidR="004A10D8" w:rsidRPr="004A10D8" w:rsidRDefault="004A10D8" w:rsidP="004A10D8">
      <w:pPr>
        <w:pStyle w:val="ListParagraph"/>
        <w:keepNext/>
        <w:keepLines/>
        <w:snapToGrid w:val="0"/>
        <w:ind w:left="709"/>
      </w:pPr>
    </w:p>
    <w:p w:rsidR="004A10D8" w:rsidRDefault="004A10D8" w:rsidP="004A10D8">
      <w:pPr>
        <w:pStyle w:val="ListParagraph"/>
        <w:keepNext/>
        <w:keepLines/>
        <w:numPr>
          <w:ilvl w:val="1"/>
          <w:numId w:val="2"/>
        </w:numPr>
        <w:snapToGrid w:val="0"/>
        <w:ind w:left="709" w:hanging="709"/>
      </w:pPr>
      <w:r>
        <w:t>T</w:t>
      </w:r>
      <w:r w:rsidRPr="004A10D8">
        <w:t>he PBAC considered the resubmission estimates of use for patients intolerant to allopurinol likely to be overestimated. Based on the DUSC advice from the March 20</w:t>
      </w:r>
      <w:r w:rsidR="006F4A56">
        <w:t>14 meeting, between 0.1% and 5</w:t>
      </w:r>
      <w:r w:rsidRPr="004A10D8">
        <w:t>% of patients might be intolerant of allopurinol. This range was based on an estimated incidence of allopurinol hypersensitivity of 0.1% (</w:t>
      </w:r>
      <w:proofErr w:type="spellStart"/>
      <w:r w:rsidRPr="004A10D8">
        <w:t>Dalbeth</w:t>
      </w:r>
      <w:proofErr w:type="spellEnd"/>
      <w:r w:rsidRPr="004A10D8">
        <w:t xml:space="preserve"> &amp; Stamp 2007) and the proportion of patients unable to continue to take allopurinol due to a</w:t>
      </w:r>
      <w:r>
        <w:t xml:space="preserve">dverse effects estimated as 5% </w:t>
      </w:r>
      <w:r w:rsidRPr="004A10D8">
        <w:t>(</w:t>
      </w:r>
      <w:proofErr w:type="spellStart"/>
      <w:r w:rsidRPr="004A10D8">
        <w:t>Wortmann</w:t>
      </w:r>
      <w:proofErr w:type="spellEnd"/>
      <w:r w:rsidRPr="004A10D8">
        <w:t xml:space="preserve"> 2005).  Similarly, the small size of the current </w:t>
      </w:r>
      <w:proofErr w:type="spellStart"/>
      <w:r w:rsidRPr="004A10D8">
        <w:t>probenecid</w:t>
      </w:r>
      <w:proofErr w:type="spellEnd"/>
      <w:r w:rsidRPr="004A10D8">
        <w:t xml:space="preserve"> market is another measure of the population likely to use </w:t>
      </w:r>
      <w:proofErr w:type="spellStart"/>
      <w:r w:rsidRPr="004A10D8">
        <w:t>febuxostat</w:t>
      </w:r>
      <w:proofErr w:type="spellEnd"/>
      <w:r w:rsidRPr="004A10D8">
        <w:t>. The PBAC was of the view that an estimate of 5% of patients are unable to continue with allopurinol treatment due to adverse effects is conservative</w:t>
      </w:r>
      <w:r w:rsidR="006F4A56">
        <w:t xml:space="preserve"> (i.e. the true number is likely to be less)</w:t>
      </w:r>
      <w:r w:rsidRPr="004A10D8">
        <w:t>.</w:t>
      </w:r>
    </w:p>
    <w:p w:rsidR="00D43B34" w:rsidRDefault="00D43B34" w:rsidP="004A10D8">
      <w:pPr>
        <w:pStyle w:val="ListParagraph"/>
        <w:keepNext/>
        <w:keepLines/>
        <w:snapToGrid w:val="0"/>
        <w:ind w:left="709"/>
      </w:pPr>
    </w:p>
    <w:p w:rsidR="00D32E81" w:rsidRDefault="00A67100" w:rsidP="00C311A5">
      <w:pPr>
        <w:pStyle w:val="ListParagraph"/>
        <w:keepNext/>
        <w:keepLines/>
        <w:numPr>
          <w:ilvl w:val="1"/>
          <w:numId w:val="2"/>
        </w:numPr>
        <w:snapToGrid w:val="0"/>
        <w:ind w:left="709" w:hanging="709"/>
      </w:pPr>
      <w:r>
        <w:t>The PBAC also noted that</w:t>
      </w:r>
      <w:r w:rsidR="00206E7A">
        <w:t xml:space="preserve"> an alternative approach to </w:t>
      </w:r>
      <w:r>
        <w:t>estimat</w:t>
      </w:r>
      <w:r w:rsidR="00206E7A">
        <w:t>ing</w:t>
      </w:r>
      <w:r>
        <w:t xml:space="preserve"> use and</w:t>
      </w:r>
      <w:r w:rsidR="003534E4">
        <w:t xml:space="preserve"> financial implications </w:t>
      </w:r>
      <w:r w:rsidR="00206E7A">
        <w:t xml:space="preserve">were provided by </w:t>
      </w:r>
      <w:r w:rsidR="005D3991">
        <w:t xml:space="preserve">the sponsor </w:t>
      </w:r>
      <w:r w:rsidR="003534E4">
        <w:t xml:space="preserve">in the </w:t>
      </w:r>
      <w:r>
        <w:t xml:space="preserve">pre-sub-committee response and </w:t>
      </w:r>
      <w:r w:rsidR="00206E7A">
        <w:t>again</w:t>
      </w:r>
      <w:r w:rsidR="006F4A56">
        <w:t xml:space="preserve"> </w:t>
      </w:r>
      <w:r>
        <w:t>in the pre-PBAC respons</w:t>
      </w:r>
      <w:r w:rsidR="00206E7A">
        <w:t xml:space="preserve">e, with </w:t>
      </w:r>
      <w:r w:rsidR="003534E4">
        <w:t>revisions to account for the simplified restriction suggested by the Secretariat.</w:t>
      </w:r>
      <w:r w:rsidR="00041841">
        <w:t xml:space="preserve"> </w:t>
      </w:r>
      <w:r w:rsidR="005D3991">
        <w:t xml:space="preserve">The PBAC considered that the resubmission’s </w:t>
      </w:r>
      <w:r w:rsidR="002D3A94">
        <w:t xml:space="preserve">financial </w:t>
      </w:r>
      <w:r w:rsidR="005D3991">
        <w:t>estimates and revised estimates were high because they attempted to account for allopurinol insufficient patients</w:t>
      </w:r>
      <w:r w:rsidR="00C91EED">
        <w:t xml:space="preserve"> under less stringent PBS restrictions than originally proposed by the submission</w:t>
      </w:r>
      <w:r w:rsidR="005D3991">
        <w:t>. If the PBS population was limited to those intolerant of allopurinol or contraindicated to allopurinol, the PBAC expected that the financial implications would be less than those estimated by the submission.</w:t>
      </w:r>
    </w:p>
    <w:p w:rsidR="005D3991" w:rsidRDefault="005D3991" w:rsidP="00D32E81">
      <w:pPr>
        <w:pStyle w:val="ListParagraph"/>
        <w:keepNext/>
        <w:keepLines/>
        <w:snapToGrid w:val="0"/>
        <w:ind w:left="709"/>
      </w:pPr>
    </w:p>
    <w:p w:rsidR="00836259" w:rsidRPr="00836259" w:rsidRDefault="00E41209" w:rsidP="00AF6118">
      <w:pPr>
        <w:pStyle w:val="ListParagraph"/>
        <w:keepNext/>
        <w:keepLines/>
        <w:numPr>
          <w:ilvl w:val="1"/>
          <w:numId w:val="2"/>
        </w:numPr>
        <w:snapToGrid w:val="0"/>
        <w:ind w:left="709" w:hanging="709"/>
      </w:pPr>
      <w:r>
        <w:lastRenderedPageBreak/>
        <w:t xml:space="preserve">To address concerns about use of </w:t>
      </w:r>
      <w:proofErr w:type="spellStart"/>
      <w:r>
        <w:t>febuxostat</w:t>
      </w:r>
      <w:proofErr w:type="spellEnd"/>
      <w:r>
        <w:t xml:space="preserve"> in the first line setting, </w:t>
      </w:r>
      <w:r w:rsidR="005D3991">
        <w:t xml:space="preserve">the </w:t>
      </w:r>
      <w:r>
        <w:t xml:space="preserve">PBAC recommended an Authority </w:t>
      </w:r>
      <w:proofErr w:type="gramStart"/>
      <w:r>
        <w:t>Required</w:t>
      </w:r>
      <w:proofErr w:type="gramEnd"/>
      <w:r>
        <w:t xml:space="preserve"> listing and not an Authority Required (Streamlined). To reduce the risk of unexpected Commonwealth expenditure on </w:t>
      </w:r>
      <w:proofErr w:type="spellStart"/>
      <w:r>
        <w:t>febuxostat</w:t>
      </w:r>
      <w:proofErr w:type="spellEnd"/>
      <w:r>
        <w:t xml:space="preserve"> </w:t>
      </w:r>
      <w:r w:rsidR="00473718">
        <w:t xml:space="preserve">if used </w:t>
      </w:r>
      <w:r w:rsidR="006F4A56">
        <w:t>beyond the recommended listing</w:t>
      </w:r>
      <w:r>
        <w:t xml:space="preserve">, the PBAC recommended that a risk share agreement be </w:t>
      </w:r>
      <w:r w:rsidR="005D3991">
        <w:t>implemented</w:t>
      </w:r>
      <w:r>
        <w:t xml:space="preserve"> </w:t>
      </w:r>
      <w:r w:rsidR="005D3991">
        <w:t>whereby</w:t>
      </w:r>
      <w:r>
        <w:t xml:space="preserve"> financial expenditure beyond an agreed level</w:t>
      </w:r>
      <w:r w:rsidR="005D3991">
        <w:t xml:space="preserve"> would be </w:t>
      </w:r>
      <w:proofErr w:type="spellStart"/>
      <w:r w:rsidR="005D3991">
        <w:t>rebated</w:t>
      </w:r>
      <w:proofErr w:type="spellEnd"/>
      <w:r w:rsidR="005D3991">
        <w:t xml:space="preserve"> to the Commonwealth </w:t>
      </w:r>
      <w:r w:rsidR="00470A32">
        <w:rPr>
          <w:noProof/>
          <w:color w:val="000000"/>
          <w:highlight w:val="black"/>
        </w:rPr>
        <w:t>''''' ''' '''''''''' ''''''''' '''''''''''''' '''''''''''''''''''''' ''''''''' ''''''''''''''''''''''''''' ''''''''''' ''''''''''''''' ''''' ''''''''''''''''''''''''''''''' ''''''''''''' '''''''''''''''' ''''' '''''''''' '''''''''''''''''''</w:t>
      </w:r>
      <w:r w:rsidR="005D3991">
        <w:t xml:space="preserve">. </w:t>
      </w:r>
      <w:r w:rsidR="002D3A94">
        <w:t xml:space="preserve">The PBAC advised that </w:t>
      </w:r>
      <w:r w:rsidR="0087120F">
        <w:t>i</w:t>
      </w:r>
      <w:r w:rsidR="005D3991">
        <w:t>t would be reasonable for a risk share agreement</w:t>
      </w:r>
      <w:r w:rsidR="00D902EE">
        <w:t xml:space="preserve"> expenditure</w:t>
      </w:r>
      <w:r>
        <w:t xml:space="preserve"> cap </w:t>
      </w:r>
      <w:r w:rsidR="00D902EE">
        <w:t xml:space="preserve">to be calculated based on </w:t>
      </w:r>
      <w:r w:rsidR="0087120F">
        <w:t>the conservative estimate that up to</w:t>
      </w:r>
      <w:r w:rsidR="0087120F" w:rsidRPr="00344BFB">
        <w:t xml:space="preserve"> </w:t>
      </w:r>
      <w:r w:rsidR="00470A32">
        <w:rPr>
          <w:noProof/>
          <w:color w:val="000000"/>
          <w:highlight w:val="black"/>
        </w:rPr>
        <w:t>'''</w:t>
      </w:r>
      <w:r w:rsidR="0087120F">
        <w:t xml:space="preserve">% of patients with chronic gout cannot take allopurinol for reasons relating to contraindications or adverse effects. </w:t>
      </w:r>
      <w:r w:rsidR="00DC2BF3">
        <w:t xml:space="preserve">The PBAC further recommended that DUSC review </w:t>
      </w:r>
      <w:proofErr w:type="spellStart"/>
      <w:r w:rsidR="00DC2BF3">
        <w:t>febuxostat</w:t>
      </w:r>
      <w:proofErr w:type="spellEnd"/>
      <w:r w:rsidR="00DC2BF3">
        <w:t xml:space="preserve"> usage shortly after listing (i.e. after a period of 2 years) to ensure that usage is in line with estimates. </w:t>
      </w:r>
    </w:p>
    <w:p w:rsidR="00836259" w:rsidRPr="00836259" w:rsidRDefault="00836259" w:rsidP="0040760C">
      <w:pPr>
        <w:keepNext/>
        <w:keepLines/>
        <w:snapToGrid w:val="0"/>
      </w:pPr>
    </w:p>
    <w:p w:rsidR="00760C12" w:rsidRPr="00760C12" w:rsidRDefault="00760C12" w:rsidP="00760C12">
      <w:pPr>
        <w:pStyle w:val="ListParagraph"/>
        <w:keepNext/>
        <w:keepLines/>
        <w:numPr>
          <w:ilvl w:val="1"/>
          <w:numId w:val="2"/>
        </w:numPr>
        <w:snapToGrid w:val="0"/>
        <w:ind w:left="709" w:hanging="709"/>
        <w:rPr>
          <w:u w:val="single"/>
        </w:rPr>
      </w:pPr>
      <w:r w:rsidRPr="00760C12">
        <w:rPr>
          <w:u w:val="single"/>
        </w:rPr>
        <w:t>Advice to the Minister under subsection 101(3BA) of the Act</w:t>
      </w:r>
    </w:p>
    <w:p w:rsidR="00760C12" w:rsidRPr="00760C12" w:rsidRDefault="00760C12" w:rsidP="00760C12">
      <w:pPr>
        <w:pStyle w:val="ListParagraph"/>
        <w:keepNext/>
        <w:keepLines/>
        <w:snapToGrid w:val="0"/>
        <w:ind w:left="709"/>
      </w:pPr>
      <w:r w:rsidRPr="00760C12">
        <w:t xml:space="preserve">In accordance with subsection 101(3BA) of the Act the PBAC advised that it is of the opinion that, on the basis if the material available to it at its March 2015 meeting, </w:t>
      </w:r>
      <w:proofErr w:type="spellStart"/>
      <w:r>
        <w:t>febuxostat</w:t>
      </w:r>
      <w:proofErr w:type="spellEnd"/>
      <w:r w:rsidRPr="00760C12">
        <w:t xml:space="preserve"> should not be treated as interchangeable on an individual patient basis with any other drugs.</w:t>
      </w:r>
    </w:p>
    <w:p w:rsidR="00836259" w:rsidRPr="00836259" w:rsidRDefault="00836259" w:rsidP="00423553">
      <w:pPr>
        <w:keepNext/>
        <w:keepLines/>
        <w:snapToGrid w:val="0"/>
      </w:pPr>
    </w:p>
    <w:p w:rsidR="00836259" w:rsidRPr="00836259" w:rsidRDefault="00836259" w:rsidP="00C311A5">
      <w:pPr>
        <w:pStyle w:val="ListParagraph"/>
        <w:keepNext/>
        <w:keepLines/>
        <w:numPr>
          <w:ilvl w:val="1"/>
          <w:numId w:val="2"/>
        </w:numPr>
        <w:snapToGrid w:val="0"/>
        <w:ind w:left="709" w:hanging="709"/>
      </w:pPr>
      <w:r w:rsidRPr="00836259">
        <w:t xml:space="preserve">The PBAC advised that </w:t>
      </w:r>
      <w:proofErr w:type="spellStart"/>
      <w:r w:rsidR="0040760C">
        <w:t>febuxostat</w:t>
      </w:r>
      <w:proofErr w:type="spellEnd"/>
      <w:r w:rsidRPr="00836259">
        <w:t xml:space="preserve"> is suitable for prescribing by nurse practitioners</w:t>
      </w:r>
      <w:r w:rsidR="00E2421F">
        <w:t xml:space="preserve"> within a shared care model</w:t>
      </w:r>
      <w:r w:rsidRPr="00836259">
        <w:t xml:space="preserve">.  </w:t>
      </w:r>
    </w:p>
    <w:p w:rsidR="00836259" w:rsidRPr="00836259" w:rsidRDefault="00836259" w:rsidP="00836259">
      <w:pPr>
        <w:pStyle w:val="ListParagraph"/>
        <w:keepNext/>
        <w:keepLines/>
        <w:snapToGrid w:val="0"/>
        <w:ind w:left="709"/>
      </w:pPr>
    </w:p>
    <w:p w:rsidR="00836259" w:rsidRPr="00836259" w:rsidRDefault="00836259" w:rsidP="00C311A5">
      <w:pPr>
        <w:pStyle w:val="ListParagraph"/>
        <w:keepNext/>
        <w:keepLines/>
        <w:numPr>
          <w:ilvl w:val="1"/>
          <w:numId w:val="2"/>
        </w:numPr>
        <w:snapToGrid w:val="0"/>
        <w:ind w:left="709" w:hanging="709"/>
      </w:pPr>
      <w:r w:rsidRPr="00836259">
        <w:t xml:space="preserve">The PBAC recommended that the Safety Net 20 Day Rule should apply. </w:t>
      </w:r>
    </w:p>
    <w:p w:rsidR="00836259" w:rsidRPr="00836259" w:rsidRDefault="00836259" w:rsidP="00836259">
      <w:pPr>
        <w:pStyle w:val="ListParagraph"/>
        <w:keepNext/>
        <w:keepLines/>
        <w:snapToGrid w:val="0"/>
        <w:ind w:left="709"/>
      </w:pPr>
    </w:p>
    <w:p w:rsidR="00836259" w:rsidRDefault="00836259" w:rsidP="00423553">
      <w:pPr>
        <w:pStyle w:val="ListParagraph"/>
        <w:keepNext/>
        <w:keepLines/>
        <w:numPr>
          <w:ilvl w:val="1"/>
          <w:numId w:val="2"/>
        </w:numPr>
        <w:snapToGrid w:val="0"/>
        <w:ind w:left="709" w:hanging="709"/>
      </w:pPr>
      <w:r w:rsidRPr="00836259">
        <w:t>The PBA</w:t>
      </w:r>
      <w:r w:rsidR="00423553">
        <w:t xml:space="preserve">C noted that this submission </w:t>
      </w:r>
      <w:r w:rsidRPr="00836259">
        <w:t>is not eligible for an Independent Review.</w:t>
      </w:r>
      <w:r w:rsidR="00423553">
        <w:t xml:space="preserve"> </w:t>
      </w:r>
    </w:p>
    <w:p w:rsidR="00836259" w:rsidRDefault="00836259" w:rsidP="00836259">
      <w:pPr>
        <w:rPr>
          <w:b/>
          <w:szCs w:val="22"/>
        </w:rPr>
      </w:pPr>
    </w:p>
    <w:p w:rsidR="00836259" w:rsidRPr="00882085" w:rsidRDefault="00836259" w:rsidP="00836259">
      <w:pPr>
        <w:rPr>
          <w:b/>
          <w:szCs w:val="22"/>
        </w:rPr>
      </w:pPr>
      <w:r w:rsidRPr="00882085">
        <w:rPr>
          <w:b/>
          <w:szCs w:val="22"/>
        </w:rPr>
        <w:t>Outcome:</w:t>
      </w:r>
    </w:p>
    <w:p w:rsidR="00836259" w:rsidRDefault="00836259" w:rsidP="00836259">
      <w:pPr>
        <w:rPr>
          <w:szCs w:val="22"/>
        </w:rPr>
      </w:pPr>
      <w:r w:rsidRPr="00882085">
        <w:rPr>
          <w:szCs w:val="22"/>
        </w:rPr>
        <w:t xml:space="preserve">Recommended </w:t>
      </w:r>
    </w:p>
    <w:p w:rsidR="00836259" w:rsidRDefault="00836259" w:rsidP="00836259">
      <w:pPr>
        <w:rPr>
          <w:szCs w:val="22"/>
        </w:rPr>
      </w:pPr>
    </w:p>
    <w:p w:rsidR="00ED24B7" w:rsidRPr="00836259" w:rsidRDefault="00ED24B7" w:rsidP="00ED24B7">
      <w:pPr>
        <w:pStyle w:val="PBACheading1"/>
        <w:numPr>
          <w:ilvl w:val="0"/>
          <w:numId w:val="0"/>
        </w:numPr>
        <w:snapToGrid w:val="0"/>
        <w:ind w:left="720" w:hanging="720"/>
      </w:pPr>
    </w:p>
    <w:p w:rsidR="00D92104" w:rsidRDefault="00D92104" w:rsidP="00C311A5">
      <w:pPr>
        <w:pStyle w:val="PBACheading1"/>
        <w:numPr>
          <w:ilvl w:val="0"/>
          <w:numId w:val="2"/>
        </w:numPr>
        <w:snapToGrid w:val="0"/>
        <w:rPr>
          <w:b/>
        </w:rPr>
      </w:pPr>
      <w:r>
        <w:rPr>
          <w:b/>
        </w:rPr>
        <w:t>Recommended listing</w:t>
      </w:r>
    </w:p>
    <w:p w:rsidR="00836259" w:rsidRDefault="00836259" w:rsidP="00836259">
      <w:pPr>
        <w:pStyle w:val="PBACheading1"/>
        <w:numPr>
          <w:ilvl w:val="0"/>
          <w:numId w:val="0"/>
        </w:numPr>
        <w:snapToGrid w:val="0"/>
        <w:ind w:left="720"/>
        <w:rPr>
          <w:b/>
        </w:rPr>
      </w:pPr>
    </w:p>
    <w:p w:rsidR="00836259" w:rsidRPr="00836259" w:rsidRDefault="00836259" w:rsidP="00836259">
      <w:pPr>
        <w:pStyle w:val="ListParagraph"/>
        <w:keepNext/>
        <w:keepLines/>
        <w:widowControl/>
        <w:numPr>
          <w:ilvl w:val="1"/>
          <w:numId w:val="2"/>
        </w:numPr>
        <w:snapToGrid w:val="0"/>
        <w:ind w:left="709" w:hanging="709"/>
      </w:pPr>
      <w:r w:rsidRPr="00836259">
        <w:t>Add new item:</w:t>
      </w:r>
    </w:p>
    <w:p w:rsidR="00836259" w:rsidRPr="00836259" w:rsidRDefault="00836259" w:rsidP="00836259">
      <w:pPr>
        <w:pStyle w:val="ListParagraph"/>
        <w:keepNext/>
        <w:keepLines/>
        <w:snapToGrid w:val="0"/>
        <w:ind w:left="709"/>
      </w:pPr>
    </w:p>
    <w:tbl>
      <w:tblPr>
        <w:tblW w:w="9214" w:type="dxa"/>
        <w:tblInd w:w="108" w:type="dxa"/>
        <w:tblLayout w:type="fixed"/>
        <w:tblLook w:val="0000" w:firstRow="0" w:lastRow="0" w:firstColumn="0" w:lastColumn="0" w:noHBand="0" w:noVBand="0"/>
      </w:tblPr>
      <w:tblGrid>
        <w:gridCol w:w="1701"/>
        <w:gridCol w:w="1560"/>
        <w:gridCol w:w="567"/>
        <w:gridCol w:w="850"/>
        <w:gridCol w:w="1701"/>
        <w:gridCol w:w="1559"/>
        <w:gridCol w:w="1276"/>
      </w:tblGrid>
      <w:tr w:rsidR="004307A5" w:rsidRPr="00260CE3" w:rsidTr="00D04C9E">
        <w:trPr>
          <w:cantSplit/>
          <w:trHeight w:val="471"/>
        </w:trPr>
        <w:tc>
          <w:tcPr>
            <w:tcW w:w="3261" w:type="dxa"/>
            <w:gridSpan w:val="2"/>
            <w:tcBorders>
              <w:bottom w:val="single" w:sz="4" w:space="0" w:color="auto"/>
            </w:tcBorders>
          </w:tcPr>
          <w:p w:rsidR="004307A5" w:rsidRPr="00260CE3" w:rsidRDefault="004307A5" w:rsidP="00D04C9E">
            <w:pPr>
              <w:keepNext/>
              <w:ind w:left="-108"/>
              <w:rPr>
                <w:rFonts w:ascii="Arial Narrow" w:hAnsi="Arial Narrow"/>
                <w:sz w:val="20"/>
              </w:rPr>
            </w:pPr>
            <w:r w:rsidRPr="00260CE3">
              <w:rPr>
                <w:rFonts w:ascii="Arial Narrow" w:hAnsi="Arial Narrow"/>
                <w:sz w:val="20"/>
              </w:rPr>
              <w:t>Name, Restriction,</w:t>
            </w:r>
          </w:p>
          <w:p w:rsidR="004307A5" w:rsidRPr="00260CE3" w:rsidRDefault="004307A5" w:rsidP="00D04C9E">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4307A5" w:rsidRPr="00260CE3" w:rsidRDefault="004307A5" w:rsidP="00D04C9E">
            <w:pPr>
              <w:keepNext/>
              <w:ind w:left="-108"/>
              <w:rPr>
                <w:rFonts w:ascii="Arial Narrow" w:hAnsi="Arial Narrow"/>
                <w:sz w:val="20"/>
              </w:rPr>
            </w:pPr>
            <w:r w:rsidRPr="00260CE3">
              <w:rPr>
                <w:rFonts w:ascii="Arial Narrow" w:hAnsi="Arial Narrow"/>
                <w:sz w:val="20"/>
              </w:rPr>
              <w:t>Max.</w:t>
            </w:r>
          </w:p>
          <w:p w:rsidR="004307A5" w:rsidRPr="00260CE3" w:rsidRDefault="004307A5" w:rsidP="00D04C9E">
            <w:pPr>
              <w:keepNext/>
              <w:ind w:left="-108"/>
              <w:rPr>
                <w:rFonts w:ascii="Arial Narrow" w:hAnsi="Arial Narrow"/>
                <w:sz w:val="20"/>
              </w:rPr>
            </w:pPr>
            <w:r w:rsidRPr="00260CE3">
              <w:rPr>
                <w:rFonts w:ascii="Arial Narrow" w:hAnsi="Arial Narrow"/>
                <w:sz w:val="20"/>
              </w:rPr>
              <w:t>Qty</w:t>
            </w:r>
            <w:r>
              <w:rPr>
                <w:rFonts w:ascii="Arial Narrow" w:hAnsi="Arial Narrow"/>
                <w:sz w:val="20"/>
              </w:rPr>
              <w:t>. (units)</w:t>
            </w:r>
          </w:p>
        </w:tc>
        <w:tc>
          <w:tcPr>
            <w:tcW w:w="850" w:type="dxa"/>
            <w:tcBorders>
              <w:bottom w:val="single" w:sz="4" w:space="0" w:color="auto"/>
            </w:tcBorders>
          </w:tcPr>
          <w:p w:rsidR="004307A5" w:rsidRDefault="004307A5" w:rsidP="00D04C9E">
            <w:pPr>
              <w:keepNext/>
              <w:ind w:left="-108"/>
              <w:rPr>
                <w:rFonts w:ascii="Arial Narrow" w:hAnsi="Arial Narrow"/>
                <w:sz w:val="20"/>
              </w:rPr>
            </w:pPr>
            <w:r>
              <w:rPr>
                <w:rFonts w:ascii="Arial Narrow" w:hAnsi="Arial Narrow"/>
                <w:sz w:val="20"/>
              </w:rPr>
              <w:t>Max.</w:t>
            </w:r>
          </w:p>
          <w:p w:rsidR="004307A5" w:rsidRPr="00260CE3" w:rsidRDefault="004307A5" w:rsidP="00D04C9E">
            <w:pPr>
              <w:keepNext/>
              <w:ind w:left="-108"/>
              <w:rPr>
                <w:rFonts w:ascii="Arial Narrow" w:hAnsi="Arial Narrow"/>
                <w:sz w:val="20"/>
              </w:rPr>
            </w:pPr>
            <w:proofErr w:type="spellStart"/>
            <w:r>
              <w:rPr>
                <w:rFonts w:ascii="Arial Narrow" w:hAnsi="Arial Narrow"/>
                <w:sz w:val="20"/>
              </w:rPr>
              <w:t>Qty</w:t>
            </w:r>
            <w:proofErr w:type="spellEnd"/>
            <w:r>
              <w:rPr>
                <w:rFonts w:ascii="Arial Narrow" w:hAnsi="Arial Narrow"/>
                <w:sz w:val="20"/>
              </w:rPr>
              <w:t xml:space="preserve"> (packs)</w:t>
            </w:r>
          </w:p>
        </w:tc>
        <w:tc>
          <w:tcPr>
            <w:tcW w:w="1701" w:type="dxa"/>
            <w:tcBorders>
              <w:bottom w:val="single" w:sz="4" w:space="0" w:color="auto"/>
            </w:tcBorders>
          </w:tcPr>
          <w:p w:rsidR="004307A5" w:rsidRDefault="004307A5" w:rsidP="00D04C9E">
            <w:pPr>
              <w:keepNext/>
              <w:ind w:left="-108"/>
              <w:rPr>
                <w:rFonts w:ascii="Arial Narrow" w:hAnsi="Arial Narrow"/>
                <w:sz w:val="20"/>
              </w:rPr>
            </w:pPr>
            <w:r>
              <w:rPr>
                <w:rFonts w:ascii="Arial Narrow" w:hAnsi="Arial Narrow"/>
                <w:sz w:val="20"/>
              </w:rPr>
              <w:t xml:space="preserve">No. of </w:t>
            </w:r>
          </w:p>
          <w:p w:rsidR="004307A5" w:rsidRPr="00260CE3" w:rsidRDefault="004307A5" w:rsidP="00D04C9E">
            <w:pPr>
              <w:keepNext/>
              <w:ind w:left="-108"/>
              <w:rPr>
                <w:rFonts w:ascii="Arial Narrow" w:hAnsi="Arial Narrow"/>
                <w:sz w:val="20"/>
              </w:rPr>
            </w:pPr>
            <w:proofErr w:type="spellStart"/>
            <w:r>
              <w:rPr>
                <w:rFonts w:ascii="Arial Narrow" w:hAnsi="Arial Narrow"/>
                <w:sz w:val="20"/>
              </w:rPr>
              <w:t>Rpts</w:t>
            </w:r>
            <w:proofErr w:type="spellEnd"/>
          </w:p>
        </w:tc>
        <w:tc>
          <w:tcPr>
            <w:tcW w:w="2835" w:type="dxa"/>
            <w:gridSpan w:val="2"/>
            <w:tcBorders>
              <w:bottom w:val="single" w:sz="4" w:space="0" w:color="auto"/>
            </w:tcBorders>
          </w:tcPr>
          <w:p w:rsidR="004307A5" w:rsidRPr="00260CE3" w:rsidRDefault="004307A5" w:rsidP="00D04C9E">
            <w:pPr>
              <w:keepNext/>
              <w:rPr>
                <w:rFonts w:ascii="Arial Narrow" w:hAnsi="Arial Narrow"/>
                <w:sz w:val="20"/>
                <w:lang w:val="fr-FR"/>
              </w:rPr>
            </w:pPr>
            <w:r w:rsidRPr="00260CE3">
              <w:rPr>
                <w:rFonts w:ascii="Arial Narrow" w:hAnsi="Arial Narrow"/>
                <w:sz w:val="20"/>
              </w:rPr>
              <w:t>Proprietary Name and Manufacturer</w:t>
            </w:r>
          </w:p>
        </w:tc>
      </w:tr>
      <w:tr w:rsidR="004307A5" w:rsidRPr="00260CE3" w:rsidTr="00D04C9E">
        <w:trPr>
          <w:cantSplit/>
          <w:trHeight w:val="577"/>
        </w:trPr>
        <w:tc>
          <w:tcPr>
            <w:tcW w:w="3261" w:type="dxa"/>
            <w:gridSpan w:val="2"/>
          </w:tcPr>
          <w:p w:rsidR="004307A5" w:rsidRPr="00260CE3" w:rsidRDefault="004307A5" w:rsidP="00D04C9E">
            <w:pPr>
              <w:keepNext/>
              <w:ind w:left="-108"/>
              <w:rPr>
                <w:rFonts w:ascii="Arial Narrow" w:hAnsi="Arial Narrow"/>
                <w:sz w:val="20"/>
              </w:rPr>
            </w:pPr>
            <w:proofErr w:type="spellStart"/>
            <w:r>
              <w:rPr>
                <w:rFonts w:ascii="Arial Narrow" w:hAnsi="Arial Narrow"/>
                <w:smallCaps/>
                <w:sz w:val="20"/>
              </w:rPr>
              <w:t>febuxostat</w:t>
            </w:r>
            <w:proofErr w:type="spellEnd"/>
          </w:p>
          <w:p w:rsidR="004307A5" w:rsidRPr="00260CE3" w:rsidRDefault="004307A5" w:rsidP="00D04C9E">
            <w:pPr>
              <w:keepNext/>
              <w:ind w:left="-108"/>
              <w:rPr>
                <w:rFonts w:ascii="Arial Narrow" w:hAnsi="Arial Narrow"/>
                <w:sz w:val="20"/>
              </w:rPr>
            </w:pPr>
            <w:proofErr w:type="spellStart"/>
            <w:r>
              <w:rPr>
                <w:rFonts w:ascii="Arial Narrow" w:hAnsi="Arial Narrow"/>
                <w:sz w:val="20"/>
              </w:rPr>
              <w:t>Febuxostat</w:t>
            </w:r>
            <w:proofErr w:type="spellEnd"/>
            <w:r>
              <w:rPr>
                <w:rFonts w:ascii="Arial Narrow" w:hAnsi="Arial Narrow"/>
                <w:sz w:val="20"/>
              </w:rPr>
              <w:t xml:space="preserve"> 80 mg tablet, 28</w:t>
            </w:r>
          </w:p>
        </w:tc>
        <w:tc>
          <w:tcPr>
            <w:tcW w:w="567" w:type="dxa"/>
          </w:tcPr>
          <w:p w:rsidR="004307A5" w:rsidRPr="00260CE3" w:rsidRDefault="004307A5" w:rsidP="00D04C9E">
            <w:pPr>
              <w:keepNext/>
              <w:ind w:left="-108"/>
              <w:rPr>
                <w:rFonts w:ascii="Arial Narrow" w:hAnsi="Arial Narrow"/>
                <w:sz w:val="20"/>
              </w:rPr>
            </w:pPr>
          </w:p>
          <w:p w:rsidR="004307A5" w:rsidRPr="00260CE3" w:rsidRDefault="004307A5" w:rsidP="00D04C9E">
            <w:pPr>
              <w:keepNext/>
              <w:ind w:left="-108"/>
              <w:rPr>
                <w:rFonts w:ascii="Arial Narrow" w:hAnsi="Arial Narrow"/>
                <w:sz w:val="20"/>
              </w:rPr>
            </w:pPr>
            <w:r>
              <w:rPr>
                <w:rFonts w:ascii="Arial Narrow" w:hAnsi="Arial Narrow"/>
                <w:sz w:val="20"/>
              </w:rPr>
              <w:t>28</w:t>
            </w:r>
          </w:p>
        </w:tc>
        <w:tc>
          <w:tcPr>
            <w:tcW w:w="850" w:type="dxa"/>
          </w:tcPr>
          <w:p w:rsidR="004307A5" w:rsidRPr="00260CE3" w:rsidRDefault="004307A5" w:rsidP="00D04C9E">
            <w:pPr>
              <w:keepNext/>
              <w:ind w:left="-108"/>
              <w:rPr>
                <w:rFonts w:ascii="Arial Narrow" w:hAnsi="Arial Narrow"/>
                <w:sz w:val="20"/>
              </w:rPr>
            </w:pPr>
          </w:p>
          <w:p w:rsidR="004307A5" w:rsidRPr="00260CE3" w:rsidRDefault="004307A5" w:rsidP="00D04C9E">
            <w:pPr>
              <w:keepNext/>
              <w:ind w:left="-108"/>
              <w:rPr>
                <w:rFonts w:ascii="Arial Narrow" w:hAnsi="Arial Narrow"/>
                <w:sz w:val="20"/>
              </w:rPr>
            </w:pPr>
            <w:r>
              <w:rPr>
                <w:rFonts w:ascii="Arial Narrow" w:hAnsi="Arial Narrow"/>
                <w:sz w:val="20"/>
              </w:rPr>
              <w:t>1</w:t>
            </w:r>
          </w:p>
        </w:tc>
        <w:tc>
          <w:tcPr>
            <w:tcW w:w="1701" w:type="dxa"/>
          </w:tcPr>
          <w:p w:rsidR="004307A5" w:rsidRPr="00260CE3" w:rsidRDefault="004307A5" w:rsidP="00D04C9E">
            <w:pPr>
              <w:keepNext/>
              <w:ind w:left="-108"/>
              <w:rPr>
                <w:rFonts w:ascii="Arial Narrow" w:hAnsi="Arial Narrow"/>
                <w:sz w:val="20"/>
              </w:rPr>
            </w:pPr>
          </w:p>
          <w:p w:rsidR="004307A5" w:rsidRPr="00260CE3" w:rsidRDefault="004307A5" w:rsidP="00D04C9E">
            <w:pPr>
              <w:keepNext/>
              <w:ind w:left="-108"/>
              <w:rPr>
                <w:rFonts w:ascii="Arial Narrow" w:hAnsi="Arial Narrow"/>
                <w:sz w:val="20"/>
              </w:rPr>
            </w:pPr>
            <w:r>
              <w:rPr>
                <w:rFonts w:ascii="Arial Narrow" w:hAnsi="Arial Narrow"/>
                <w:sz w:val="20"/>
              </w:rPr>
              <w:t>5</w:t>
            </w:r>
          </w:p>
        </w:tc>
        <w:tc>
          <w:tcPr>
            <w:tcW w:w="1559" w:type="dxa"/>
          </w:tcPr>
          <w:p w:rsidR="004307A5" w:rsidRDefault="004307A5" w:rsidP="00D04C9E">
            <w:pPr>
              <w:keepNext/>
              <w:rPr>
                <w:rFonts w:ascii="Arial Narrow" w:hAnsi="Arial Narrow"/>
                <w:sz w:val="20"/>
              </w:rPr>
            </w:pPr>
          </w:p>
          <w:p w:rsidR="004307A5" w:rsidRPr="00260CE3" w:rsidRDefault="004307A5" w:rsidP="00D04C9E">
            <w:pPr>
              <w:keepNext/>
              <w:rPr>
                <w:rFonts w:ascii="Arial Narrow" w:hAnsi="Arial Narrow"/>
                <w:sz w:val="20"/>
              </w:rPr>
            </w:pPr>
            <w:proofErr w:type="spellStart"/>
            <w:r>
              <w:rPr>
                <w:rFonts w:ascii="Arial Narrow" w:hAnsi="Arial Narrow"/>
                <w:sz w:val="20"/>
              </w:rPr>
              <w:t>Adenuric</w:t>
            </w:r>
            <w:proofErr w:type="spellEnd"/>
          </w:p>
        </w:tc>
        <w:tc>
          <w:tcPr>
            <w:tcW w:w="1276" w:type="dxa"/>
          </w:tcPr>
          <w:p w:rsidR="004307A5" w:rsidRDefault="004307A5" w:rsidP="00D04C9E">
            <w:pPr>
              <w:keepNext/>
              <w:rPr>
                <w:rFonts w:ascii="Arial Narrow" w:hAnsi="Arial Narrow"/>
                <w:sz w:val="20"/>
              </w:rPr>
            </w:pPr>
          </w:p>
          <w:p w:rsidR="004307A5" w:rsidRPr="00260CE3" w:rsidRDefault="004307A5" w:rsidP="00D04C9E">
            <w:pPr>
              <w:keepNext/>
              <w:rPr>
                <w:rFonts w:ascii="Arial Narrow" w:hAnsi="Arial Narrow"/>
                <w:sz w:val="20"/>
              </w:rPr>
            </w:pPr>
            <w:r>
              <w:rPr>
                <w:rFonts w:ascii="Arial Narrow" w:hAnsi="Arial Narrow"/>
                <w:sz w:val="20"/>
              </w:rPr>
              <w:t>FK</w:t>
            </w:r>
          </w:p>
        </w:tc>
      </w:tr>
      <w:tr w:rsidR="004307A5" w:rsidRPr="00260CE3" w:rsidTr="00D04C9E">
        <w:trPr>
          <w:cantSplit/>
          <w:trHeight w:val="360"/>
        </w:trPr>
        <w:tc>
          <w:tcPr>
            <w:tcW w:w="9214" w:type="dxa"/>
            <w:gridSpan w:val="7"/>
            <w:tcBorders>
              <w:bottom w:val="single" w:sz="4" w:space="0" w:color="auto"/>
            </w:tcBorders>
          </w:tcPr>
          <w:p w:rsidR="004307A5" w:rsidRPr="00260CE3" w:rsidRDefault="004307A5" w:rsidP="00D04C9E">
            <w:pPr>
              <w:rPr>
                <w:rFonts w:ascii="Arial Narrow" w:hAnsi="Arial Narrow"/>
                <w:sz w:val="20"/>
              </w:rPr>
            </w:pPr>
          </w:p>
        </w:tc>
      </w:tr>
      <w:tr w:rsidR="004307A5" w:rsidRPr="00260CE3" w:rsidTr="00D04C9E">
        <w:trPr>
          <w:cantSplit/>
          <w:trHeight w:val="360"/>
        </w:trPr>
        <w:tc>
          <w:tcPr>
            <w:tcW w:w="1701" w:type="dxa"/>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b/>
                <w:sz w:val="20"/>
              </w:rPr>
            </w:pPr>
            <w:r w:rsidRPr="00260CE3">
              <w:rPr>
                <w:rFonts w:ascii="Arial Narrow" w:hAnsi="Arial Narrow"/>
                <w:b/>
                <w:sz w:val="20"/>
              </w:rPr>
              <w:t xml:space="preserve">Category / </w:t>
            </w:r>
          </w:p>
          <w:p w:rsidR="004307A5" w:rsidRPr="00260CE3" w:rsidRDefault="004307A5" w:rsidP="00D04C9E">
            <w:pPr>
              <w:rPr>
                <w:rFonts w:ascii="Arial Narrow" w:hAnsi="Arial Narrow"/>
                <w:b/>
                <w:sz w:val="20"/>
              </w:rPr>
            </w:pPr>
            <w:r w:rsidRPr="00260CE3">
              <w:rPr>
                <w:rFonts w:ascii="Arial Narrow" w:hAnsi="Arial Narrow"/>
                <w:b/>
                <w:sz w:val="20"/>
              </w:rPr>
              <w:t>Program</w:t>
            </w:r>
          </w:p>
        </w:tc>
        <w:tc>
          <w:tcPr>
            <w:tcW w:w="7513" w:type="dxa"/>
            <w:gridSpan w:val="6"/>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sz w:val="20"/>
              </w:rPr>
            </w:pPr>
            <w:r w:rsidRPr="00260CE3">
              <w:rPr>
                <w:rFonts w:ascii="Arial Narrow" w:hAnsi="Arial Narrow"/>
                <w:sz w:val="20"/>
              </w:rPr>
              <w:t>GENERAL – General Schedule (Code GE)</w:t>
            </w:r>
          </w:p>
          <w:p w:rsidR="004307A5" w:rsidRPr="00260CE3" w:rsidRDefault="004307A5" w:rsidP="00D04C9E">
            <w:pPr>
              <w:rPr>
                <w:rFonts w:ascii="Arial Narrow" w:hAnsi="Arial Narrow"/>
                <w:sz w:val="20"/>
              </w:rPr>
            </w:pPr>
          </w:p>
        </w:tc>
      </w:tr>
      <w:tr w:rsidR="004307A5" w:rsidRPr="00260CE3" w:rsidTr="00D04C9E">
        <w:trPr>
          <w:cantSplit/>
          <w:trHeight w:val="360"/>
        </w:trPr>
        <w:tc>
          <w:tcPr>
            <w:tcW w:w="1701" w:type="dxa"/>
            <w:tcBorders>
              <w:top w:val="single" w:sz="4" w:space="0" w:color="auto"/>
              <w:left w:val="single" w:sz="4" w:space="0" w:color="auto"/>
              <w:bottom w:val="single" w:sz="4" w:space="0" w:color="auto"/>
              <w:right w:val="single" w:sz="4" w:space="0" w:color="auto"/>
            </w:tcBorders>
          </w:tcPr>
          <w:p w:rsidR="004307A5" w:rsidRDefault="004307A5" w:rsidP="00D04C9E">
            <w:pPr>
              <w:rPr>
                <w:rFonts w:ascii="Arial Narrow" w:hAnsi="Arial Narrow"/>
                <w:b/>
                <w:sz w:val="20"/>
              </w:rPr>
            </w:pPr>
            <w:r w:rsidRPr="00260CE3">
              <w:rPr>
                <w:rFonts w:ascii="Arial Narrow" w:hAnsi="Arial Narrow"/>
                <w:b/>
                <w:sz w:val="20"/>
              </w:rPr>
              <w:t>Prescriber type:</w:t>
            </w:r>
          </w:p>
          <w:p w:rsidR="004307A5" w:rsidRPr="00260CE3" w:rsidRDefault="004307A5" w:rsidP="00D04C9E">
            <w:pPr>
              <w:rPr>
                <w:rFonts w:ascii="Arial Narrow" w:hAnsi="Arial Narrow"/>
                <w:b/>
                <w:sz w:val="20"/>
              </w:rPr>
            </w:pPr>
          </w:p>
        </w:tc>
        <w:tc>
          <w:tcPr>
            <w:tcW w:w="7513" w:type="dxa"/>
            <w:gridSpan w:val="6"/>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27846">
              <w:rPr>
                <w:rFonts w:ascii="Arial Narrow" w:hAnsi="Arial Narrow"/>
                <w:sz w:val="20"/>
              </w:rPr>
            </w:r>
            <w:r w:rsidR="0052784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27846">
              <w:rPr>
                <w:rFonts w:ascii="Arial Narrow" w:hAnsi="Arial Narrow"/>
                <w:sz w:val="20"/>
              </w:rPr>
            </w:r>
            <w:r w:rsidR="00527846">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34" w:name="Check3"/>
            <w:r>
              <w:rPr>
                <w:rFonts w:ascii="Arial Narrow" w:hAnsi="Arial Narrow"/>
                <w:sz w:val="20"/>
              </w:rPr>
              <w:instrText xml:space="preserve"> FORMCHECKBOX </w:instrText>
            </w:r>
            <w:r w:rsidR="00527846">
              <w:rPr>
                <w:rFonts w:ascii="Arial Narrow" w:hAnsi="Arial Narrow"/>
                <w:sz w:val="20"/>
              </w:rPr>
            </w:r>
            <w:r w:rsidR="00527846">
              <w:rPr>
                <w:rFonts w:ascii="Arial Narrow" w:hAnsi="Arial Narrow"/>
                <w:sz w:val="20"/>
              </w:rPr>
              <w:fldChar w:fldCharType="separate"/>
            </w:r>
            <w:r>
              <w:rPr>
                <w:rFonts w:ascii="Arial Narrow" w:hAnsi="Arial Narrow"/>
                <w:sz w:val="20"/>
              </w:rPr>
              <w:fldChar w:fldCharType="end"/>
            </w:r>
            <w:bookmarkEnd w:id="34"/>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27846">
              <w:rPr>
                <w:rFonts w:ascii="Arial Narrow" w:hAnsi="Arial Narrow"/>
                <w:sz w:val="20"/>
              </w:rPr>
            </w:r>
            <w:r w:rsidR="0052784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27846">
              <w:rPr>
                <w:rFonts w:ascii="Arial Narrow" w:hAnsi="Arial Narrow"/>
                <w:sz w:val="20"/>
              </w:rPr>
            </w:r>
            <w:r w:rsidR="0052784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4307A5" w:rsidRPr="00260CE3" w:rsidTr="00D04C9E">
        <w:trPr>
          <w:cantSplit/>
          <w:trHeight w:val="360"/>
        </w:trPr>
        <w:tc>
          <w:tcPr>
            <w:tcW w:w="1701" w:type="dxa"/>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7513" w:type="dxa"/>
            <w:gridSpan w:val="6"/>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sz w:val="20"/>
              </w:rPr>
            </w:pPr>
            <w:r>
              <w:rPr>
                <w:rFonts w:ascii="Arial Narrow" w:hAnsi="Arial Narrow"/>
                <w:sz w:val="20"/>
              </w:rPr>
              <w:t>Chronic</w:t>
            </w:r>
          </w:p>
        </w:tc>
      </w:tr>
      <w:tr w:rsidR="004307A5" w:rsidRPr="00260CE3" w:rsidTr="00D04C9E">
        <w:trPr>
          <w:cantSplit/>
          <w:trHeight w:val="360"/>
        </w:trPr>
        <w:tc>
          <w:tcPr>
            <w:tcW w:w="1701" w:type="dxa"/>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b/>
                <w:sz w:val="20"/>
              </w:rPr>
            </w:pPr>
            <w:r w:rsidRPr="00260CE3">
              <w:rPr>
                <w:rFonts w:ascii="Arial Narrow" w:hAnsi="Arial Narrow"/>
                <w:b/>
                <w:sz w:val="20"/>
              </w:rPr>
              <w:t>Severity:</w:t>
            </w:r>
          </w:p>
        </w:tc>
        <w:tc>
          <w:tcPr>
            <w:tcW w:w="7513" w:type="dxa"/>
            <w:gridSpan w:val="6"/>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sz w:val="20"/>
              </w:rPr>
            </w:pPr>
            <w:r>
              <w:rPr>
                <w:rFonts w:ascii="Arial Narrow" w:hAnsi="Arial Narrow"/>
                <w:sz w:val="20"/>
              </w:rPr>
              <w:t>---</w:t>
            </w:r>
          </w:p>
        </w:tc>
      </w:tr>
      <w:tr w:rsidR="004307A5" w:rsidRPr="00260CE3" w:rsidTr="00D04C9E">
        <w:trPr>
          <w:cantSplit/>
          <w:trHeight w:val="360"/>
        </w:trPr>
        <w:tc>
          <w:tcPr>
            <w:tcW w:w="1701" w:type="dxa"/>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b/>
                <w:sz w:val="20"/>
              </w:rPr>
            </w:pPr>
            <w:r w:rsidRPr="00260CE3">
              <w:rPr>
                <w:rFonts w:ascii="Arial Narrow" w:hAnsi="Arial Narrow"/>
                <w:b/>
                <w:sz w:val="20"/>
              </w:rPr>
              <w:t>Condition:</w:t>
            </w:r>
          </w:p>
        </w:tc>
        <w:tc>
          <w:tcPr>
            <w:tcW w:w="7513" w:type="dxa"/>
            <w:gridSpan w:val="6"/>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sz w:val="20"/>
              </w:rPr>
            </w:pPr>
            <w:r>
              <w:rPr>
                <w:rFonts w:ascii="Arial Narrow" w:hAnsi="Arial Narrow"/>
                <w:sz w:val="20"/>
              </w:rPr>
              <w:t>gout</w:t>
            </w:r>
          </w:p>
        </w:tc>
      </w:tr>
      <w:tr w:rsidR="004307A5" w:rsidRPr="00260CE3" w:rsidTr="00D04C9E">
        <w:trPr>
          <w:cantSplit/>
          <w:trHeight w:val="360"/>
        </w:trPr>
        <w:tc>
          <w:tcPr>
            <w:tcW w:w="1701" w:type="dxa"/>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b/>
                <w:sz w:val="20"/>
              </w:rPr>
            </w:pPr>
            <w:r w:rsidRPr="00260CE3">
              <w:rPr>
                <w:rFonts w:ascii="Arial Narrow" w:hAnsi="Arial Narrow"/>
                <w:b/>
                <w:sz w:val="20"/>
              </w:rPr>
              <w:t>PBS Indication:</w:t>
            </w:r>
          </w:p>
        </w:tc>
        <w:tc>
          <w:tcPr>
            <w:tcW w:w="7513" w:type="dxa"/>
            <w:gridSpan w:val="6"/>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sz w:val="20"/>
              </w:rPr>
            </w:pPr>
            <w:r>
              <w:rPr>
                <w:rFonts w:ascii="Arial Narrow" w:hAnsi="Arial Narrow"/>
                <w:sz w:val="20"/>
              </w:rPr>
              <w:t>Chronic gout</w:t>
            </w:r>
          </w:p>
        </w:tc>
      </w:tr>
      <w:tr w:rsidR="004307A5" w:rsidRPr="00260CE3" w:rsidTr="00D04C9E">
        <w:trPr>
          <w:cantSplit/>
          <w:trHeight w:val="360"/>
        </w:trPr>
        <w:tc>
          <w:tcPr>
            <w:tcW w:w="1701" w:type="dxa"/>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b/>
                <w:sz w:val="20"/>
              </w:rPr>
            </w:pPr>
            <w:r w:rsidRPr="00260CE3">
              <w:rPr>
                <w:rFonts w:ascii="Arial Narrow" w:hAnsi="Arial Narrow"/>
                <w:b/>
                <w:sz w:val="20"/>
              </w:rPr>
              <w:lastRenderedPageBreak/>
              <w:t>Treatment phase:</w:t>
            </w:r>
          </w:p>
          <w:p w:rsidR="004307A5" w:rsidRPr="00260CE3" w:rsidRDefault="004307A5" w:rsidP="00D04C9E">
            <w:pPr>
              <w:rPr>
                <w:rFonts w:ascii="Arial Narrow" w:hAnsi="Arial Narrow"/>
                <w:i/>
                <w:sz w:val="20"/>
              </w:rPr>
            </w:pPr>
          </w:p>
        </w:tc>
        <w:tc>
          <w:tcPr>
            <w:tcW w:w="7513" w:type="dxa"/>
            <w:gridSpan w:val="6"/>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sz w:val="20"/>
              </w:rPr>
            </w:pPr>
            <w:r>
              <w:rPr>
                <w:rFonts w:ascii="Arial Narrow" w:hAnsi="Arial Narrow"/>
                <w:sz w:val="20"/>
              </w:rPr>
              <w:t>----</w:t>
            </w:r>
          </w:p>
        </w:tc>
      </w:tr>
      <w:tr w:rsidR="004307A5" w:rsidRPr="00260CE3" w:rsidTr="00D04C9E">
        <w:trPr>
          <w:cantSplit/>
          <w:trHeight w:val="360"/>
        </w:trPr>
        <w:tc>
          <w:tcPr>
            <w:tcW w:w="1701" w:type="dxa"/>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4307A5" w:rsidRPr="00CD28F3" w:rsidRDefault="004307A5" w:rsidP="00D04C9E">
            <w:pPr>
              <w:rPr>
                <w:rFonts w:ascii="Arial Narrow" w:hAnsi="Arial Narrow"/>
                <w:i/>
                <w:sz w:val="20"/>
              </w:rPr>
            </w:pPr>
          </w:p>
        </w:tc>
        <w:tc>
          <w:tcPr>
            <w:tcW w:w="7513" w:type="dxa"/>
            <w:gridSpan w:val="6"/>
            <w:tcBorders>
              <w:top w:val="single" w:sz="4" w:space="0" w:color="auto"/>
              <w:left w:val="single" w:sz="4" w:space="0" w:color="auto"/>
              <w:bottom w:val="single" w:sz="4" w:space="0" w:color="auto"/>
              <w:right w:val="single" w:sz="4" w:space="0" w:color="auto"/>
            </w:tcBorders>
          </w:tcPr>
          <w:p w:rsidR="004307A5" w:rsidRPr="00307683" w:rsidRDefault="004307A5" w:rsidP="00D04C9E">
            <w:pPr>
              <w:rPr>
                <w:rFonts w:ascii="Arial Narrow" w:hAnsi="Arial Narrow"/>
                <w:i/>
                <w:sz w:val="20"/>
              </w:rPr>
            </w:pPr>
            <w:r>
              <w:rPr>
                <w:rFonts w:ascii="Arial Narrow" w:hAnsi="Arial Narrow"/>
                <w:i/>
                <w:sz w:val="20"/>
              </w:rPr>
              <w:fldChar w:fldCharType="begin">
                <w:ffData>
                  <w:name w:val=""/>
                  <w:enabled/>
                  <w:calcOnExit w:val="0"/>
                  <w:checkBox>
                    <w:sizeAuto/>
                    <w:default w:val="0"/>
                  </w:checkBox>
                </w:ffData>
              </w:fldChar>
            </w:r>
            <w:r>
              <w:rPr>
                <w:rFonts w:ascii="Arial Narrow" w:hAnsi="Arial Narrow"/>
                <w:i/>
                <w:sz w:val="20"/>
              </w:rPr>
              <w:instrText xml:space="preserve"> FORMCHECKBOX </w:instrText>
            </w:r>
            <w:r w:rsidR="00527846">
              <w:rPr>
                <w:rFonts w:ascii="Arial Narrow" w:hAnsi="Arial Narrow"/>
                <w:i/>
                <w:sz w:val="20"/>
              </w:rPr>
            </w:r>
            <w:r w:rsidR="00527846">
              <w:rPr>
                <w:rFonts w:ascii="Arial Narrow" w:hAnsi="Arial Narrow"/>
                <w:i/>
                <w:sz w:val="20"/>
              </w:rPr>
              <w:fldChar w:fldCharType="separate"/>
            </w:r>
            <w:r>
              <w:rPr>
                <w:rFonts w:ascii="Arial Narrow" w:hAnsi="Arial Narrow"/>
                <w:i/>
                <w:sz w:val="20"/>
              </w:rPr>
              <w:fldChar w:fldCharType="end"/>
            </w:r>
            <w:r w:rsidRPr="004307A5">
              <w:rPr>
                <w:rFonts w:ascii="Arial Narrow" w:hAnsi="Arial Narrow"/>
                <w:sz w:val="20"/>
              </w:rPr>
              <w:t>Restricted benefit</w:t>
            </w:r>
          </w:p>
          <w:p w:rsidR="004307A5" w:rsidRPr="00106BCF" w:rsidRDefault="004307A5" w:rsidP="00D04C9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27846">
              <w:rPr>
                <w:rFonts w:ascii="Arial Narrow" w:hAnsi="Arial Narrow"/>
                <w:sz w:val="20"/>
              </w:rPr>
            </w:r>
            <w:r w:rsidR="00527846">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4307A5" w:rsidRPr="00106BCF" w:rsidRDefault="004307A5" w:rsidP="00D04C9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27846">
              <w:rPr>
                <w:rFonts w:ascii="Arial Narrow" w:hAnsi="Arial Narrow"/>
                <w:sz w:val="20"/>
              </w:rPr>
            </w:r>
            <w:r w:rsidR="00527846">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4307A5" w:rsidRPr="00106BCF" w:rsidRDefault="004307A5" w:rsidP="00D04C9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27846">
              <w:rPr>
                <w:rFonts w:ascii="Arial Narrow" w:hAnsi="Arial Narrow"/>
                <w:sz w:val="20"/>
              </w:rPr>
            </w:r>
            <w:r w:rsidR="00527846">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Emergency</w:t>
            </w:r>
          </w:p>
          <w:p w:rsidR="004307A5" w:rsidRPr="00106BCF" w:rsidRDefault="004307A5" w:rsidP="00D04C9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27846">
              <w:rPr>
                <w:rFonts w:ascii="Arial Narrow" w:hAnsi="Arial Narrow"/>
                <w:sz w:val="20"/>
              </w:rPr>
            </w:r>
            <w:r w:rsidR="00527846">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4307A5" w:rsidRPr="004307A5" w:rsidRDefault="004307A5" w:rsidP="00D04C9E">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bookmarkStart w:id="35" w:name="Check5"/>
            <w:r>
              <w:rPr>
                <w:rFonts w:ascii="Arial Narrow" w:hAnsi="Arial Narrow"/>
                <w:sz w:val="20"/>
              </w:rPr>
              <w:instrText xml:space="preserve"> FORMCHECKBOX </w:instrText>
            </w:r>
            <w:r w:rsidR="00527846">
              <w:rPr>
                <w:rFonts w:ascii="Arial Narrow" w:hAnsi="Arial Narrow"/>
                <w:sz w:val="20"/>
              </w:rPr>
            </w:r>
            <w:r w:rsidR="00527846">
              <w:rPr>
                <w:rFonts w:ascii="Arial Narrow" w:hAnsi="Arial Narrow"/>
                <w:sz w:val="20"/>
              </w:rPr>
              <w:fldChar w:fldCharType="separate"/>
            </w:r>
            <w:r>
              <w:rPr>
                <w:rFonts w:ascii="Arial Narrow" w:hAnsi="Arial Narrow"/>
                <w:sz w:val="20"/>
              </w:rPr>
              <w:fldChar w:fldCharType="end"/>
            </w:r>
            <w:bookmarkEnd w:id="35"/>
            <w:r w:rsidRPr="004307A5">
              <w:rPr>
                <w:rFonts w:ascii="Arial Narrow" w:hAnsi="Arial Narrow"/>
                <w:sz w:val="20"/>
              </w:rPr>
              <w:t>Streamlined</w:t>
            </w:r>
          </w:p>
          <w:p w:rsidR="004307A5" w:rsidRPr="00307683" w:rsidRDefault="004307A5" w:rsidP="00D04C9E">
            <w:pPr>
              <w:rPr>
                <w:rFonts w:ascii="Arial Narrow" w:hAnsi="Arial Narrow"/>
                <w:strike/>
                <w:sz w:val="20"/>
              </w:rPr>
            </w:pPr>
          </w:p>
        </w:tc>
      </w:tr>
      <w:tr w:rsidR="004307A5" w:rsidRPr="00260CE3" w:rsidTr="00D04C9E">
        <w:trPr>
          <w:cantSplit/>
          <w:trHeight w:val="360"/>
        </w:trPr>
        <w:tc>
          <w:tcPr>
            <w:tcW w:w="1701" w:type="dxa"/>
            <w:tcBorders>
              <w:top w:val="single" w:sz="4" w:space="0" w:color="auto"/>
              <w:left w:val="single" w:sz="4" w:space="0" w:color="auto"/>
              <w:bottom w:val="single" w:sz="4" w:space="0" w:color="auto"/>
              <w:right w:val="single" w:sz="4" w:space="0" w:color="auto"/>
            </w:tcBorders>
          </w:tcPr>
          <w:p w:rsidR="004307A5" w:rsidRPr="00260CE3" w:rsidRDefault="004307A5" w:rsidP="00D04C9E">
            <w:pPr>
              <w:rPr>
                <w:rFonts w:ascii="Arial Narrow" w:hAnsi="Arial Narrow"/>
                <w:b/>
                <w:sz w:val="20"/>
              </w:rPr>
            </w:pPr>
            <w:r w:rsidRPr="00260CE3">
              <w:rPr>
                <w:rFonts w:ascii="Arial Narrow" w:hAnsi="Arial Narrow"/>
                <w:b/>
                <w:sz w:val="20"/>
              </w:rPr>
              <w:t>Clinical criteria:</w:t>
            </w:r>
          </w:p>
          <w:p w:rsidR="004307A5" w:rsidRPr="00260CE3" w:rsidRDefault="004307A5" w:rsidP="00D04C9E">
            <w:pPr>
              <w:rPr>
                <w:rFonts w:ascii="Arial Narrow" w:hAnsi="Arial Narrow"/>
                <w:i/>
                <w:sz w:val="20"/>
              </w:rPr>
            </w:pPr>
          </w:p>
          <w:p w:rsidR="004307A5" w:rsidRPr="00260CE3" w:rsidRDefault="004307A5" w:rsidP="00D04C9E">
            <w:pPr>
              <w:rPr>
                <w:rFonts w:ascii="Arial Narrow" w:hAnsi="Arial Narrow"/>
                <w:sz w:val="20"/>
              </w:rPr>
            </w:pPr>
          </w:p>
        </w:tc>
        <w:tc>
          <w:tcPr>
            <w:tcW w:w="7513" w:type="dxa"/>
            <w:gridSpan w:val="6"/>
            <w:tcBorders>
              <w:top w:val="single" w:sz="4" w:space="0" w:color="auto"/>
              <w:left w:val="single" w:sz="4" w:space="0" w:color="auto"/>
              <w:bottom w:val="single" w:sz="4" w:space="0" w:color="auto"/>
              <w:right w:val="single" w:sz="4" w:space="0" w:color="auto"/>
            </w:tcBorders>
          </w:tcPr>
          <w:p w:rsidR="00ED24B7" w:rsidRDefault="004307A5" w:rsidP="004307A5">
            <w:pPr>
              <w:rPr>
                <w:rFonts w:ascii="Arial Narrow" w:hAnsi="Arial Narrow"/>
                <w:sz w:val="20"/>
              </w:rPr>
            </w:pPr>
            <w:r w:rsidRPr="004307A5">
              <w:rPr>
                <w:rFonts w:ascii="Arial Narrow" w:hAnsi="Arial Narrow"/>
                <w:sz w:val="20"/>
              </w:rPr>
              <w:t xml:space="preserve">The patient must have a medical </w:t>
            </w:r>
            <w:r w:rsidR="00ED24B7">
              <w:rPr>
                <w:rFonts w:ascii="Arial Narrow" w:hAnsi="Arial Narrow"/>
                <w:sz w:val="20"/>
              </w:rPr>
              <w:t>contraindication to allopurinol;</w:t>
            </w:r>
            <w:r w:rsidRPr="004307A5">
              <w:rPr>
                <w:rFonts w:ascii="Arial Narrow" w:hAnsi="Arial Narrow"/>
                <w:sz w:val="20"/>
              </w:rPr>
              <w:t xml:space="preserve"> </w:t>
            </w:r>
            <w:r w:rsidR="00ED24B7">
              <w:rPr>
                <w:rFonts w:ascii="Arial Narrow" w:hAnsi="Arial Narrow"/>
                <w:sz w:val="20"/>
              </w:rPr>
              <w:t>OR</w:t>
            </w:r>
          </w:p>
          <w:p w:rsidR="00ED24B7" w:rsidRDefault="00ED24B7" w:rsidP="004307A5">
            <w:pPr>
              <w:rPr>
                <w:rFonts w:ascii="Arial Narrow" w:hAnsi="Arial Narrow"/>
                <w:sz w:val="20"/>
              </w:rPr>
            </w:pPr>
            <w:r>
              <w:rPr>
                <w:rFonts w:ascii="Arial Narrow" w:hAnsi="Arial Narrow"/>
                <w:sz w:val="20"/>
              </w:rPr>
              <w:t xml:space="preserve">The patient must have </w:t>
            </w:r>
            <w:r w:rsidRPr="00ED24B7">
              <w:rPr>
                <w:rFonts w:ascii="Arial Narrow" w:hAnsi="Arial Narrow"/>
                <w:sz w:val="20"/>
              </w:rPr>
              <w:t>a documented history of allopurinol hypersensitivity syndrome</w:t>
            </w:r>
            <w:r>
              <w:rPr>
                <w:rFonts w:ascii="Arial Narrow" w:hAnsi="Arial Narrow"/>
                <w:sz w:val="20"/>
              </w:rPr>
              <w:t>; OR</w:t>
            </w:r>
            <w:r w:rsidR="004307A5" w:rsidRPr="004307A5">
              <w:rPr>
                <w:rFonts w:ascii="Arial Narrow" w:hAnsi="Arial Narrow"/>
                <w:sz w:val="20"/>
              </w:rPr>
              <w:t xml:space="preserve"> </w:t>
            </w:r>
          </w:p>
          <w:p w:rsidR="004307A5" w:rsidRPr="00CA1409" w:rsidRDefault="00ED24B7" w:rsidP="004307A5">
            <w:pPr>
              <w:rPr>
                <w:rFonts w:ascii="Arial Narrow" w:hAnsi="Arial Narrow"/>
                <w:i/>
                <w:sz w:val="20"/>
              </w:rPr>
            </w:pPr>
            <w:r>
              <w:rPr>
                <w:rFonts w:ascii="Arial Narrow" w:hAnsi="Arial Narrow"/>
                <w:sz w:val="20"/>
              </w:rPr>
              <w:t>The patient must have an</w:t>
            </w:r>
            <w:r w:rsidR="004307A5" w:rsidRPr="004307A5">
              <w:rPr>
                <w:rFonts w:ascii="Arial Narrow" w:hAnsi="Arial Narrow"/>
                <w:sz w:val="20"/>
              </w:rPr>
              <w:t xml:space="preserve"> intolerance to allopurinol </w:t>
            </w:r>
            <w:r>
              <w:rPr>
                <w:rFonts w:ascii="Arial Narrow" w:hAnsi="Arial Narrow"/>
                <w:sz w:val="20"/>
              </w:rPr>
              <w:t>necessitating permanent</w:t>
            </w:r>
            <w:r w:rsidR="004307A5" w:rsidRPr="004307A5">
              <w:rPr>
                <w:rFonts w:ascii="Arial Narrow" w:hAnsi="Arial Narrow"/>
                <w:sz w:val="20"/>
              </w:rPr>
              <w:t xml:space="preserve"> treatment</w:t>
            </w:r>
            <w:r>
              <w:rPr>
                <w:rFonts w:ascii="Arial Narrow" w:hAnsi="Arial Narrow"/>
                <w:sz w:val="20"/>
              </w:rPr>
              <w:t xml:space="preserve"> discontinuation</w:t>
            </w:r>
          </w:p>
          <w:p w:rsidR="004307A5" w:rsidRDefault="004307A5" w:rsidP="00D04C9E">
            <w:pPr>
              <w:rPr>
                <w:rFonts w:ascii="Arial Narrow" w:hAnsi="Arial Narrow"/>
                <w:sz w:val="20"/>
              </w:rPr>
            </w:pPr>
          </w:p>
          <w:p w:rsidR="004307A5" w:rsidRPr="00307683" w:rsidRDefault="004307A5" w:rsidP="00D04C9E">
            <w:pPr>
              <w:rPr>
                <w:rFonts w:ascii="Arial Narrow" w:hAnsi="Arial Narrow"/>
                <w:i/>
                <w:sz w:val="20"/>
              </w:rPr>
            </w:pPr>
            <w:r>
              <w:rPr>
                <w:rFonts w:ascii="Arial Narrow" w:hAnsi="Arial Narrow"/>
                <w:sz w:val="20"/>
              </w:rPr>
              <w:t>AND</w:t>
            </w:r>
          </w:p>
          <w:p w:rsidR="004307A5" w:rsidRDefault="004307A5" w:rsidP="00D04C9E">
            <w:pPr>
              <w:rPr>
                <w:rFonts w:ascii="Arial Narrow" w:hAnsi="Arial Narrow"/>
                <w:i/>
                <w:sz w:val="20"/>
              </w:rPr>
            </w:pPr>
          </w:p>
          <w:p w:rsidR="004307A5" w:rsidRPr="004307A5" w:rsidRDefault="004307A5" w:rsidP="00D04C9E">
            <w:pPr>
              <w:rPr>
                <w:rFonts w:ascii="Arial Narrow" w:hAnsi="Arial Narrow"/>
                <w:sz w:val="20"/>
              </w:rPr>
            </w:pPr>
            <w:r w:rsidRPr="004307A5">
              <w:rPr>
                <w:rFonts w:ascii="Arial Narrow" w:hAnsi="Arial Narrow"/>
                <w:sz w:val="20"/>
              </w:rPr>
              <w:t xml:space="preserve">The condition must be either chronic gouty arthritis or chronic </w:t>
            </w:r>
            <w:proofErr w:type="spellStart"/>
            <w:r w:rsidRPr="004307A5">
              <w:rPr>
                <w:rFonts w:ascii="Arial Narrow" w:hAnsi="Arial Narrow"/>
                <w:sz w:val="20"/>
              </w:rPr>
              <w:t>tophaceous</w:t>
            </w:r>
            <w:proofErr w:type="spellEnd"/>
            <w:r w:rsidRPr="004307A5">
              <w:rPr>
                <w:rFonts w:ascii="Arial Narrow" w:hAnsi="Arial Narrow"/>
                <w:sz w:val="20"/>
              </w:rPr>
              <w:t xml:space="preserve"> gout</w:t>
            </w:r>
          </w:p>
          <w:p w:rsidR="004307A5" w:rsidRPr="00260CE3" w:rsidRDefault="004307A5" w:rsidP="00D04C9E">
            <w:pPr>
              <w:rPr>
                <w:rFonts w:ascii="Arial Narrow" w:hAnsi="Arial Narrow"/>
                <w:sz w:val="20"/>
              </w:rPr>
            </w:pPr>
          </w:p>
        </w:tc>
      </w:tr>
      <w:tr w:rsidR="00446119" w:rsidRPr="00260CE3" w:rsidTr="00D04C9E">
        <w:trPr>
          <w:cantSplit/>
          <w:trHeight w:val="360"/>
        </w:trPr>
        <w:tc>
          <w:tcPr>
            <w:tcW w:w="1701" w:type="dxa"/>
            <w:tcBorders>
              <w:top w:val="single" w:sz="4" w:space="0" w:color="auto"/>
              <w:left w:val="single" w:sz="4" w:space="0" w:color="auto"/>
              <w:bottom w:val="single" w:sz="4" w:space="0" w:color="auto"/>
              <w:right w:val="single" w:sz="4" w:space="0" w:color="auto"/>
            </w:tcBorders>
          </w:tcPr>
          <w:p w:rsidR="00446119" w:rsidRPr="00260CE3" w:rsidRDefault="00446119" w:rsidP="00D04C9E">
            <w:pPr>
              <w:rPr>
                <w:rFonts w:ascii="Arial Narrow" w:hAnsi="Arial Narrow"/>
                <w:b/>
                <w:sz w:val="20"/>
              </w:rPr>
            </w:pPr>
            <w:r>
              <w:rPr>
                <w:rFonts w:ascii="Arial Narrow" w:hAnsi="Arial Narrow"/>
                <w:b/>
                <w:sz w:val="20"/>
              </w:rPr>
              <w:t>Administrative advice</w:t>
            </w:r>
          </w:p>
        </w:tc>
        <w:tc>
          <w:tcPr>
            <w:tcW w:w="7513" w:type="dxa"/>
            <w:gridSpan w:val="6"/>
            <w:tcBorders>
              <w:top w:val="single" w:sz="4" w:space="0" w:color="auto"/>
              <w:left w:val="single" w:sz="4" w:space="0" w:color="auto"/>
              <w:bottom w:val="single" w:sz="4" w:space="0" w:color="auto"/>
              <w:right w:val="single" w:sz="4" w:space="0" w:color="auto"/>
            </w:tcBorders>
          </w:tcPr>
          <w:p w:rsidR="00446119" w:rsidRPr="00446119" w:rsidRDefault="00446119" w:rsidP="00446119">
            <w:pPr>
              <w:rPr>
                <w:rFonts w:ascii="Arial Narrow" w:hAnsi="Arial Narrow"/>
                <w:sz w:val="20"/>
              </w:rPr>
            </w:pPr>
            <w:r w:rsidRPr="0032602C">
              <w:rPr>
                <w:rFonts w:ascii="Arial Narrow" w:hAnsi="Arial Narrow"/>
                <w:sz w:val="20"/>
                <w:u w:val="single"/>
              </w:rPr>
              <w:t>Shared Care Model</w:t>
            </w:r>
            <w:r w:rsidRPr="00446119">
              <w:rPr>
                <w:rFonts w:ascii="Arial Narrow" w:hAnsi="Arial Narrow"/>
                <w:sz w:val="20"/>
              </w:rPr>
              <w:t>:</w:t>
            </w:r>
          </w:p>
          <w:p w:rsidR="00446119" w:rsidRPr="004307A5" w:rsidRDefault="00446119" w:rsidP="00446119">
            <w:pPr>
              <w:rPr>
                <w:rFonts w:ascii="Arial Narrow" w:hAnsi="Arial Narrow"/>
                <w:sz w:val="20"/>
              </w:rPr>
            </w:pPr>
            <w:r w:rsidRPr="00446119">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836259" w:rsidRDefault="00836259" w:rsidP="00836259">
      <w:pPr>
        <w:keepNext/>
        <w:keepLines/>
        <w:widowControl/>
        <w:snapToGrid w:val="0"/>
      </w:pPr>
    </w:p>
    <w:p w:rsidR="007D4EA3" w:rsidRPr="00D4207D" w:rsidRDefault="007D4EA3" w:rsidP="007D4EA3">
      <w:pPr>
        <w:pStyle w:val="PBACHeading10"/>
        <w:numPr>
          <w:ilvl w:val="0"/>
          <w:numId w:val="1"/>
        </w:numPr>
      </w:pPr>
      <w:r w:rsidRPr="00D4207D">
        <w:t>Context for Decision</w:t>
      </w:r>
    </w:p>
    <w:p w:rsidR="007D4EA3" w:rsidRPr="00D4420F" w:rsidRDefault="007D4EA3" w:rsidP="007D4EA3">
      <w:pPr>
        <w:pStyle w:val="ListParagraph"/>
        <w:rPr>
          <w:b/>
        </w:rPr>
      </w:pPr>
    </w:p>
    <w:p w:rsidR="007D4EA3" w:rsidRPr="00D4207D" w:rsidRDefault="007D4EA3" w:rsidP="007D4EA3">
      <w:pPr>
        <w:ind w:left="720"/>
        <w:rPr>
          <w:bCs/>
          <w:szCs w:val="22"/>
        </w:rPr>
      </w:pPr>
      <w:r w:rsidRPr="00D4207D">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D4EA3" w:rsidRPr="00D4420F" w:rsidRDefault="007D4EA3" w:rsidP="007D4EA3"/>
    <w:p w:rsidR="007D4EA3" w:rsidRPr="00D4207D" w:rsidRDefault="007D4EA3" w:rsidP="007D4EA3">
      <w:pPr>
        <w:pStyle w:val="PBACHeading10"/>
        <w:numPr>
          <w:ilvl w:val="0"/>
          <w:numId w:val="1"/>
        </w:numPr>
      </w:pPr>
      <w:r w:rsidRPr="00D4207D">
        <w:t>Sponsor’s Comment</w:t>
      </w:r>
    </w:p>
    <w:p w:rsidR="007D4EA3" w:rsidRDefault="007D4EA3" w:rsidP="007D4EA3">
      <w:pPr>
        <w:ind w:left="720"/>
        <w:rPr>
          <w:b/>
          <w:bCs/>
          <w:szCs w:val="22"/>
        </w:rPr>
      </w:pPr>
    </w:p>
    <w:p w:rsidR="005E34B3" w:rsidRDefault="005E34B3" w:rsidP="005E34B3">
      <w:pPr>
        <w:widowControl/>
        <w:ind w:left="680"/>
        <w:jc w:val="left"/>
        <w:rPr>
          <w:rFonts w:cs="Times New Roman"/>
          <w:snapToGrid/>
          <w:sz w:val="24"/>
          <w:szCs w:val="24"/>
          <w:lang w:eastAsia="en-AU"/>
        </w:rPr>
      </w:pPr>
      <w:proofErr w:type="spellStart"/>
      <w:r w:rsidRPr="007D78FD">
        <w:rPr>
          <w:bCs/>
          <w:szCs w:val="22"/>
        </w:rPr>
        <w:t>Menarini</w:t>
      </w:r>
      <w:proofErr w:type="spellEnd"/>
      <w:r w:rsidRPr="007D78FD">
        <w:rPr>
          <w:bCs/>
          <w:szCs w:val="22"/>
        </w:rPr>
        <w:t xml:space="preserve"> acknowledges that the PBAC has agreed to fund </w:t>
      </w:r>
      <w:proofErr w:type="spellStart"/>
      <w:r w:rsidRPr="007D78FD">
        <w:rPr>
          <w:bCs/>
          <w:szCs w:val="22"/>
        </w:rPr>
        <w:t>febuxostat</w:t>
      </w:r>
      <w:proofErr w:type="spellEnd"/>
      <w:r w:rsidRPr="007D78FD">
        <w:rPr>
          <w:bCs/>
          <w:szCs w:val="22"/>
        </w:rPr>
        <w:t xml:space="preserve"> in this high need group of chronic gout patients and continues to believe there is also an important unmet clinical need for </w:t>
      </w:r>
      <w:proofErr w:type="spellStart"/>
      <w:r w:rsidRPr="007D78FD">
        <w:rPr>
          <w:bCs/>
          <w:szCs w:val="22"/>
        </w:rPr>
        <w:t>febuxostat</w:t>
      </w:r>
      <w:proofErr w:type="spellEnd"/>
      <w:r w:rsidRPr="007D78FD">
        <w:rPr>
          <w:bCs/>
          <w:szCs w:val="22"/>
        </w:rPr>
        <w:t xml:space="preserve"> as an alternative therapy for patients who have had an insufficient response to their maximally tolerated dose of allopurinol.</w:t>
      </w:r>
    </w:p>
    <w:p w:rsidR="00836259" w:rsidRDefault="00836259" w:rsidP="00836259">
      <w:pPr>
        <w:widowControl/>
        <w:jc w:val="left"/>
        <w:rPr>
          <w:rFonts w:cs="Times New Roman"/>
          <w:snapToGrid/>
          <w:sz w:val="24"/>
          <w:szCs w:val="24"/>
          <w:lang w:eastAsia="en-AU"/>
        </w:rPr>
      </w:pPr>
    </w:p>
    <w:p w:rsidR="005B2AF7" w:rsidRDefault="005B2AF7" w:rsidP="00836259">
      <w:pPr>
        <w:widowControl/>
        <w:jc w:val="left"/>
        <w:rPr>
          <w:rFonts w:cs="Times New Roman"/>
          <w:snapToGrid/>
          <w:sz w:val="24"/>
          <w:szCs w:val="24"/>
          <w:lang w:eastAsia="en-AU"/>
        </w:rPr>
      </w:pPr>
    </w:p>
    <w:p w:rsidR="005B2AF7" w:rsidRDefault="005B2AF7" w:rsidP="00836259">
      <w:pPr>
        <w:widowControl/>
        <w:jc w:val="left"/>
        <w:rPr>
          <w:rFonts w:cs="Times New Roman"/>
          <w:snapToGrid/>
          <w:sz w:val="24"/>
          <w:szCs w:val="24"/>
          <w:lang w:eastAsia="en-AU"/>
        </w:rPr>
      </w:pPr>
    </w:p>
    <w:p w:rsidR="005B2AF7" w:rsidRDefault="005B2AF7" w:rsidP="00836259">
      <w:pPr>
        <w:widowControl/>
        <w:jc w:val="left"/>
        <w:rPr>
          <w:rFonts w:cs="Times New Roman"/>
          <w:snapToGrid/>
          <w:sz w:val="24"/>
          <w:szCs w:val="24"/>
          <w:lang w:eastAsia="en-AU"/>
        </w:rPr>
      </w:pPr>
    </w:p>
    <w:p w:rsidR="00836259" w:rsidRPr="00836259" w:rsidRDefault="00836259" w:rsidP="00836259">
      <w:pPr>
        <w:widowControl/>
        <w:jc w:val="left"/>
        <w:rPr>
          <w:rFonts w:ascii="Calibri" w:hAnsi="Calibri" w:cs="Calibri"/>
          <w:snapToGrid/>
          <w:sz w:val="24"/>
          <w:szCs w:val="24"/>
          <w:lang w:eastAsia="en-AU"/>
        </w:rPr>
      </w:pPr>
    </w:p>
    <w:p w:rsidR="00836259" w:rsidRPr="00836259" w:rsidRDefault="00836259" w:rsidP="00836259">
      <w:pPr>
        <w:widowControl/>
        <w:jc w:val="left"/>
        <w:rPr>
          <w:rFonts w:cs="Times New Roman"/>
          <w:snapToGrid/>
          <w:sz w:val="24"/>
          <w:szCs w:val="24"/>
          <w:lang w:eastAsia="en-AU"/>
        </w:rPr>
      </w:pPr>
    </w:p>
    <w:p w:rsidR="00836259" w:rsidRPr="00836259" w:rsidRDefault="00836259" w:rsidP="00836259">
      <w:pPr>
        <w:keepNext/>
        <w:keepLines/>
        <w:widowControl/>
        <w:snapToGrid w:val="0"/>
      </w:pPr>
    </w:p>
    <w:sectPr w:rsidR="00836259" w:rsidRPr="00836259" w:rsidSect="008F0758">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074CBF" w15:done="0"/>
  <w15:commentEx w15:paraId="16AFE875" w15:done="0"/>
  <w15:commentEx w15:paraId="2A84C5D2" w15:done="0"/>
  <w15:commentEx w15:paraId="49683CCE" w15:done="0"/>
  <w15:commentEx w15:paraId="6B841D46" w15:done="0"/>
  <w15:commentEx w15:paraId="2E3B43F6" w15:done="0"/>
  <w15:commentEx w15:paraId="7D6BBD64" w15:done="0"/>
  <w15:commentEx w15:paraId="1F45DAE0" w15:done="0"/>
  <w15:commentEx w15:paraId="52432934" w15:done="0"/>
  <w15:commentEx w15:paraId="45B61184" w15:done="0"/>
  <w15:commentEx w15:paraId="15A02E4F" w15:done="0"/>
  <w15:commentEx w15:paraId="03D2F02F" w15:done="0"/>
  <w15:commentEx w15:paraId="5A2B858F" w15:done="0"/>
  <w15:commentEx w15:paraId="360069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A32" w:rsidRDefault="00470A32" w:rsidP="00124A51">
      <w:r>
        <w:separator/>
      </w:r>
    </w:p>
  </w:endnote>
  <w:endnote w:type="continuationSeparator" w:id="0">
    <w:p w:rsidR="00470A32" w:rsidRDefault="00470A3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 w:name="Albertus Medium">
    <w:panose1 w:val="00000000000000000000"/>
    <w:charset w:val="00"/>
    <w:family w:val="swiss"/>
    <w:notTrueType/>
    <w:pitch w:val="variable"/>
    <w:sig w:usb0="00000003" w:usb1="00000000" w:usb2="00000000" w:usb3="00000000" w:csb0="00000001" w:csb1="00000000"/>
  </w:font>
  <w:font w:name="News Gothic MT">
    <w:altName w:val="Segoe Script"/>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abon">
    <w:altName w:val="Times New Roman"/>
    <w:charset w:val="00"/>
    <w:family w:val="roman"/>
    <w:pitch w:val="variable"/>
    <w:sig w:usb0="00000001"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582735"/>
      <w:docPartObj>
        <w:docPartGallery w:val="Page Numbers (Bottom of Page)"/>
        <w:docPartUnique/>
      </w:docPartObj>
    </w:sdtPr>
    <w:sdtEndPr>
      <w:rPr>
        <w:noProof/>
      </w:rPr>
    </w:sdtEndPr>
    <w:sdtContent>
      <w:p w:rsidR="007D4EA3" w:rsidRDefault="007D4EA3">
        <w:pPr>
          <w:pStyle w:val="Footer"/>
          <w:jc w:val="center"/>
        </w:pPr>
        <w:r>
          <w:fldChar w:fldCharType="begin"/>
        </w:r>
        <w:r>
          <w:instrText xml:space="preserve"> PAGE   \* MERGEFORMAT </w:instrText>
        </w:r>
        <w:r>
          <w:fldChar w:fldCharType="separate"/>
        </w:r>
        <w:r w:rsidR="00527846">
          <w:rPr>
            <w:noProof/>
          </w:rPr>
          <w:t>19</w:t>
        </w:r>
        <w:r>
          <w:rPr>
            <w:noProof/>
          </w:rPr>
          <w:fldChar w:fldCharType="end"/>
        </w:r>
      </w:p>
    </w:sdtContent>
  </w:sdt>
  <w:p w:rsidR="007D4EA3" w:rsidRDefault="007D4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A32" w:rsidRDefault="00470A32" w:rsidP="00124A51">
      <w:r>
        <w:separator/>
      </w:r>
    </w:p>
  </w:footnote>
  <w:footnote w:type="continuationSeparator" w:id="0">
    <w:p w:rsidR="00470A32" w:rsidRDefault="00470A32" w:rsidP="00124A51">
      <w:r>
        <w:continuationSeparator/>
      </w:r>
    </w:p>
  </w:footnote>
  <w:footnote w:id="1">
    <w:p w:rsidR="007D4EA3" w:rsidRPr="00287A20" w:rsidRDefault="007D4EA3">
      <w:pPr>
        <w:pStyle w:val="FootnoteText"/>
        <w:rPr>
          <w:rFonts w:ascii="Arial Narrow" w:hAnsi="Arial Narrow"/>
          <w:sz w:val="20"/>
          <w:szCs w:val="20"/>
        </w:rPr>
      </w:pPr>
      <w:r>
        <w:rPr>
          <w:rStyle w:val="FootnoteReference"/>
        </w:rPr>
        <w:footnoteRef/>
      </w:r>
      <w:r>
        <w:t xml:space="preserve"> </w:t>
      </w:r>
      <w:proofErr w:type="spellStart"/>
      <w:r>
        <w:rPr>
          <w:rFonts w:ascii="Arial Narrow" w:hAnsi="Arial Narrow"/>
          <w:sz w:val="20"/>
          <w:szCs w:val="20"/>
        </w:rPr>
        <w:t>Castrejon</w:t>
      </w:r>
      <w:proofErr w:type="spellEnd"/>
      <w:r>
        <w:rPr>
          <w:rFonts w:ascii="Arial Narrow" w:hAnsi="Arial Narrow"/>
          <w:sz w:val="20"/>
          <w:szCs w:val="20"/>
        </w:rPr>
        <w:t xml:space="preserve">, I et al, </w:t>
      </w:r>
      <w:r w:rsidRPr="00287A20">
        <w:rPr>
          <w:rFonts w:ascii="Arial Narrow" w:hAnsi="Arial Narrow"/>
          <w:sz w:val="20"/>
          <w:szCs w:val="20"/>
        </w:rPr>
        <w:t xml:space="preserve">Safety of allopurinol compared with other </w:t>
      </w:r>
      <w:proofErr w:type="spellStart"/>
      <w:r w:rsidRPr="00287A20">
        <w:rPr>
          <w:rFonts w:ascii="Arial Narrow" w:hAnsi="Arial Narrow"/>
          <w:sz w:val="20"/>
          <w:szCs w:val="20"/>
        </w:rPr>
        <w:t>urate</w:t>
      </w:r>
      <w:proofErr w:type="spellEnd"/>
      <w:r w:rsidRPr="00287A20">
        <w:rPr>
          <w:rFonts w:ascii="Arial Narrow" w:hAnsi="Arial Narrow"/>
          <w:sz w:val="20"/>
          <w:szCs w:val="20"/>
        </w:rPr>
        <w:t>-lowering drugs in patients with gout: a systematic review and meta-analysis.</w:t>
      </w:r>
      <w:r>
        <w:rPr>
          <w:rFonts w:ascii="Arial Narrow" w:hAnsi="Arial Narrow"/>
          <w:sz w:val="20"/>
          <w:szCs w:val="20"/>
        </w:rPr>
        <w:t xml:space="preserve"> </w:t>
      </w:r>
      <w:proofErr w:type="spellStart"/>
      <w:r w:rsidRPr="00287A20">
        <w:rPr>
          <w:rFonts w:ascii="Arial Narrow" w:hAnsi="Arial Narrow"/>
          <w:i/>
          <w:sz w:val="20"/>
          <w:szCs w:val="20"/>
        </w:rPr>
        <w:t>Rheumatol</w:t>
      </w:r>
      <w:proofErr w:type="spellEnd"/>
      <w:r w:rsidRPr="00287A20">
        <w:rPr>
          <w:rFonts w:ascii="Arial Narrow" w:hAnsi="Arial Narrow"/>
          <w:i/>
          <w:sz w:val="20"/>
          <w:szCs w:val="20"/>
        </w:rPr>
        <w:t xml:space="preserve"> Int.</w:t>
      </w:r>
      <w:r w:rsidRPr="00287A20">
        <w:rPr>
          <w:rFonts w:ascii="Arial Narrow" w:hAnsi="Arial Narrow"/>
          <w:sz w:val="20"/>
          <w:szCs w:val="20"/>
        </w:rPr>
        <w:t xml:space="preserve"> 2014 Dec 18. [</w:t>
      </w:r>
      <w:proofErr w:type="spellStart"/>
      <w:r w:rsidRPr="00287A20">
        <w:rPr>
          <w:rFonts w:ascii="Arial Narrow" w:hAnsi="Arial Narrow"/>
          <w:sz w:val="20"/>
          <w:szCs w:val="20"/>
        </w:rPr>
        <w:t>Epub</w:t>
      </w:r>
      <w:proofErr w:type="spellEnd"/>
      <w:r w:rsidRPr="00287A20">
        <w:rPr>
          <w:rFonts w:ascii="Arial Narrow" w:hAnsi="Arial Narrow"/>
          <w:sz w:val="20"/>
          <w:szCs w:val="20"/>
        </w:rPr>
        <w:t xml:space="preserve"> ahead of print]</w:t>
      </w:r>
    </w:p>
  </w:footnote>
  <w:footnote w:id="2">
    <w:p w:rsidR="007D4EA3" w:rsidRPr="002E6E6E" w:rsidRDefault="007D4EA3" w:rsidP="003A1B50">
      <w:pPr>
        <w:pStyle w:val="FootnoteText"/>
        <w:rPr>
          <w:rFonts w:ascii="Arial Narrow" w:hAnsi="Arial Narrow"/>
          <w:sz w:val="20"/>
          <w:szCs w:val="20"/>
        </w:rPr>
      </w:pPr>
      <w:r>
        <w:rPr>
          <w:rStyle w:val="FootnoteReference"/>
        </w:rPr>
        <w:footnoteRef/>
      </w:r>
      <w:r>
        <w:t xml:space="preserve"> </w:t>
      </w:r>
      <w:r>
        <w:rPr>
          <w:rFonts w:ascii="Arial Narrow" w:hAnsi="Arial Narrow"/>
          <w:sz w:val="20"/>
          <w:szCs w:val="20"/>
        </w:rPr>
        <w:t xml:space="preserve">Stamp, LK et al: </w:t>
      </w:r>
      <w:r w:rsidRPr="002E6E6E">
        <w:rPr>
          <w:rFonts w:ascii="Arial Narrow" w:hAnsi="Arial Narrow"/>
          <w:sz w:val="20"/>
          <w:szCs w:val="20"/>
        </w:rPr>
        <w:t xml:space="preserve">Impaired response or insufficient dosage? – examining the potential causes </w:t>
      </w:r>
      <w:proofErr w:type="gramStart"/>
      <w:r w:rsidRPr="002E6E6E">
        <w:rPr>
          <w:rFonts w:ascii="Arial Narrow" w:hAnsi="Arial Narrow"/>
          <w:sz w:val="20"/>
          <w:szCs w:val="20"/>
        </w:rPr>
        <w:t>of ”</w:t>
      </w:r>
      <w:proofErr w:type="gramEnd"/>
      <w:r w:rsidRPr="002E6E6E">
        <w:rPr>
          <w:rFonts w:ascii="Arial Narrow" w:hAnsi="Arial Narrow"/>
          <w:sz w:val="20"/>
          <w:szCs w:val="20"/>
        </w:rPr>
        <w:t>inadequate response” to allopurinol in the treatment of gout</w:t>
      </w:r>
      <w:r w:rsidRPr="002E6E6E">
        <w:rPr>
          <w:rFonts w:ascii="Arial Narrow" w:hAnsi="Arial Narrow"/>
          <w:i/>
          <w:sz w:val="20"/>
          <w:szCs w:val="20"/>
        </w:rPr>
        <w:t xml:space="preserve">. </w:t>
      </w:r>
      <w:proofErr w:type="spellStart"/>
      <w:proofErr w:type="gramStart"/>
      <w:r w:rsidRPr="002E6E6E">
        <w:rPr>
          <w:rFonts w:ascii="Arial Narrow" w:hAnsi="Arial Narrow"/>
          <w:i/>
          <w:sz w:val="20"/>
          <w:szCs w:val="20"/>
        </w:rPr>
        <w:t>Semin</w:t>
      </w:r>
      <w:proofErr w:type="spellEnd"/>
      <w:r w:rsidRPr="002E6E6E">
        <w:rPr>
          <w:rFonts w:ascii="Arial Narrow" w:hAnsi="Arial Narrow"/>
          <w:i/>
          <w:sz w:val="20"/>
          <w:szCs w:val="20"/>
        </w:rPr>
        <w:t xml:space="preserve"> </w:t>
      </w:r>
      <w:proofErr w:type="spellStart"/>
      <w:r w:rsidRPr="002E6E6E">
        <w:rPr>
          <w:rFonts w:ascii="Arial Narrow" w:hAnsi="Arial Narrow"/>
          <w:i/>
          <w:sz w:val="20"/>
          <w:szCs w:val="20"/>
        </w:rPr>
        <w:t>Arthrits</w:t>
      </w:r>
      <w:proofErr w:type="spellEnd"/>
      <w:r w:rsidRPr="002E6E6E">
        <w:rPr>
          <w:rFonts w:ascii="Arial Narrow" w:hAnsi="Arial Narrow"/>
          <w:i/>
          <w:sz w:val="20"/>
          <w:szCs w:val="20"/>
        </w:rPr>
        <w:t xml:space="preserve"> Rheum</w:t>
      </w:r>
      <w:r>
        <w:rPr>
          <w:rFonts w:ascii="Arial Narrow" w:hAnsi="Arial Narrow"/>
          <w:sz w:val="20"/>
          <w:szCs w:val="20"/>
        </w:rPr>
        <w:t>.</w:t>
      </w:r>
      <w:proofErr w:type="gramEnd"/>
      <w:r>
        <w:rPr>
          <w:rFonts w:ascii="Arial Narrow" w:hAnsi="Arial Narrow"/>
          <w:sz w:val="20"/>
          <w:szCs w:val="20"/>
        </w:rPr>
        <w:t xml:space="preserve"> 2014; 44(2):170-174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A3" w:rsidRPr="00BB4EBB" w:rsidRDefault="007D4EA3" w:rsidP="00BB4EBB">
    <w:pPr>
      <w:widowControl/>
      <w:tabs>
        <w:tab w:val="center" w:pos="4513"/>
        <w:tab w:val="right" w:pos="9026"/>
      </w:tabs>
      <w:snapToGrid w:val="0"/>
      <w:jc w:val="center"/>
      <w:rPr>
        <w:i/>
        <w:snapToGrid/>
        <w:color w:val="808080"/>
      </w:rPr>
    </w:pPr>
    <w:bookmarkStart w:id="36" w:name="_Toc380679747"/>
    <w:bookmarkStart w:id="37" w:name="_Toc380742604"/>
    <w:bookmarkStart w:id="38" w:name="_Toc380746171"/>
    <w:bookmarkStart w:id="39" w:name="_Toc380746294"/>
    <w:bookmarkStart w:id="40" w:name="_Toc380746578"/>
    <w:r>
      <w:rPr>
        <w:i/>
        <w:snapToGrid/>
        <w:color w:val="808080"/>
      </w:rPr>
      <w:t xml:space="preserve">Public Summary Document </w:t>
    </w:r>
    <w:r w:rsidRPr="00BB4EBB">
      <w:rPr>
        <w:i/>
        <w:snapToGrid/>
        <w:color w:val="808080"/>
      </w:rPr>
      <w:t>– March 2015 PBAC Meeting</w:t>
    </w:r>
  </w:p>
  <w:bookmarkEnd w:id="36"/>
  <w:bookmarkEnd w:id="37"/>
  <w:bookmarkEnd w:id="38"/>
  <w:bookmarkEnd w:id="39"/>
  <w:bookmarkEnd w:id="40"/>
  <w:p w:rsidR="007D4EA3" w:rsidRDefault="007D4EA3" w:rsidP="00BB4EB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9D82562"/>
    <w:lvl w:ilvl="0">
      <w:start w:val="1"/>
      <w:numFmt w:val="decimal"/>
      <w:lvlText w:val="%1."/>
      <w:lvlJc w:val="left"/>
      <w:pPr>
        <w:tabs>
          <w:tab w:val="num" w:pos="360"/>
        </w:tabs>
        <w:ind w:left="360" w:hanging="360"/>
      </w:pPr>
    </w:lvl>
  </w:abstractNum>
  <w:abstractNum w:abstractNumId="1">
    <w:nsid w:val="006C6CDA"/>
    <w:multiLevelType w:val="hybridMultilevel"/>
    <w:tmpl w:val="4B52F396"/>
    <w:lvl w:ilvl="0" w:tplc="718697C6">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DD7851"/>
    <w:multiLevelType w:val="hybridMultilevel"/>
    <w:tmpl w:val="233C15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6923FE9"/>
    <w:multiLevelType w:val="hybridMultilevel"/>
    <w:tmpl w:val="4322D6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nsid w:val="355F4A5B"/>
    <w:multiLevelType w:val="multilevel"/>
    <w:tmpl w:val="FB78B0DE"/>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20B6ECC"/>
    <w:multiLevelType w:val="hybridMultilevel"/>
    <w:tmpl w:val="433EFFD0"/>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6">
    <w:nsid w:val="45D3730C"/>
    <w:multiLevelType w:val="hybridMultilevel"/>
    <w:tmpl w:val="B9068A14"/>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6CB215F"/>
    <w:multiLevelType w:val="hybridMultilevel"/>
    <w:tmpl w:val="94D65ACC"/>
    <w:lvl w:ilvl="0" w:tplc="718697C6">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42E74AF"/>
    <w:multiLevelType w:val="hybridMultilevel"/>
    <w:tmpl w:val="0472E1D6"/>
    <w:lvl w:ilvl="0" w:tplc="B6A8DF66">
      <w:start w:val="1"/>
      <w:numFmt w:val="lowerLetter"/>
      <w:pStyle w:val="TableLetters"/>
      <w:lvlText w:val="%1)"/>
      <w:lvlJc w:val="left"/>
      <w:pPr>
        <w:ind w:left="397" w:hanging="17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0">
    <w:nsid w:val="784D033C"/>
    <w:multiLevelType w:val="multilevel"/>
    <w:tmpl w:val="A5AAE59E"/>
    <w:lvl w:ilvl="0">
      <w:start w:val="1"/>
      <w:numFmt w:val="decimal"/>
      <w:pStyle w:val="PBACheading1"/>
      <w:lvlText w:val="%1"/>
      <w:lvlJc w:val="left"/>
      <w:pPr>
        <w:ind w:left="720" w:hanging="720"/>
      </w:pPr>
      <w:rPr>
        <w:rFonts w:hint="default"/>
        <w:b/>
      </w:rPr>
    </w:lvl>
    <w:lvl w:ilvl="1">
      <w:start w:val="1"/>
      <w:numFmt w:val="decimal"/>
      <w:lvlText w:val="%1.%2"/>
      <w:lvlJc w:val="left"/>
      <w:pPr>
        <w:ind w:left="228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6"/>
  </w:num>
  <w:num w:numId="6">
    <w:abstractNumId w:val="4"/>
  </w:num>
  <w:num w:numId="7">
    <w:abstractNumId w:val="7"/>
  </w:num>
  <w:num w:numId="8">
    <w:abstractNumId w:val="1"/>
  </w:num>
  <w:num w:numId="9">
    <w:abstractNumId w:val="2"/>
  </w:num>
  <w:num w:numId="10">
    <w:abstractNumId w:val="3"/>
  </w:num>
  <w:num w:numId="11">
    <w:abstractNumId w:val="8"/>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17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ew England J Medicine&lt;/Style&gt;&lt;LeftDelim&gt;{&lt;/LeftDelim&gt;&lt;RightDelim&gt;}&lt;/RightDelim&gt;&lt;FontName&gt;Arial Bold&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err22x0xpw5hedrtlxpaphf5rr2wafvzer&quot;&gt;febuxostat&lt;record-ids&gt;&lt;item&gt;1&lt;/item&gt;&lt;item&gt;4&lt;/item&gt;&lt;item&gt;13&lt;/item&gt;&lt;/record-ids&gt;&lt;/item&gt;&lt;/Libraries&gt;"/>
  </w:docVars>
  <w:rsids>
    <w:rsidRoot w:val="00E65E79"/>
    <w:rsid w:val="0000063D"/>
    <w:rsid w:val="00000790"/>
    <w:rsid w:val="0000110B"/>
    <w:rsid w:val="00002B3D"/>
    <w:rsid w:val="00002D95"/>
    <w:rsid w:val="00004A8D"/>
    <w:rsid w:val="000110F3"/>
    <w:rsid w:val="00012111"/>
    <w:rsid w:val="00013247"/>
    <w:rsid w:val="00013D49"/>
    <w:rsid w:val="00015886"/>
    <w:rsid w:val="000162EF"/>
    <w:rsid w:val="00020370"/>
    <w:rsid w:val="0002225F"/>
    <w:rsid w:val="000233E1"/>
    <w:rsid w:val="00023763"/>
    <w:rsid w:val="00024427"/>
    <w:rsid w:val="0003703A"/>
    <w:rsid w:val="00037C36"/>
    <w:rsid w:val="00037C6C"/>
    <w:rsid w:val="00040895"/>
    <w:rsid w:val="000408E7"/>
    <w:rsid w:val="00040DBF"/>
    <w:rsid w:val="00041841"/>
    <w:rsid w:val="0004231D"/>
    <w:rsid w:val="00043C37"/>
    <w:rsid w:val="00044B32"/>
    <w:rsid w:val="0004663D"/>
    <w:rsid w:val="00046766"/>
    <w:rsid w:val="000472B4"/>
    <w:rsid w:val="00047796"/>
    <w:rsid w:val="00052075"/>
    <w:rsid w:val="000520BF"/>
    <w:rsid w:val="000546D7"/>
    <w:rsid w:val="0005528A"/>
    <w:rsid w:val="000606BE"/>
    <w:rsid w:val="000614B0"/>
    <w:rsid w:val="000627C8"/>
    <w:rsid w:val="00062B77"/>
    <w:rsid w:val="00066863"/>
    <w:rsid w:val="00066B5E"/>
    <w:rsid w:val="00066C1C"/>
    <w:rsid w:val="00071248"/>
    <w:rsid w:val="000720B9"/>
    <w:rsid w:val="00072315"/>
    <w:rsid w:val="000771B7"/>
    <w:rsid w:val="000812CA"/>
    <w:rsid w:val="00082984"/>
    <w:rsid w:val="00083F61"/>
    <w:rsid w:val="00085D0B"/>
    <w:rsid w:val="00090221"/>
    <w:rsid w:val="00090C7E"/>
    <w:rsid w:val="00091EEE"/>
    <w:rsid w:val="00094458"/>
    <w:rsid w:val="00097AA7"/>
    <w:rsid w:val="000A11E9"/>
    <w:rsid w:val="000A51E6"/>
    <w:rsid w:val="000A54D4"/>
    <w:rsid w:val="000B2F67"/>
    <w:rsid w:val="000B3744"/>
    <w:rsid w:val="000B4618"/>
    <w:rsid w:val="000B7A2A"/>
    <w:rsid w:val="000C139D"/>
    <w:rsid w:val="000C2823"/>
    <w:rsid w:val="000C6656"/>
    <w:rsid w:val="000C7761"/>
    <w:rsid w:val="000D1BFC"/>
    <w:rsid w:val="000D4878"/>
    <w:rsid w:val="000D69F0"/>
    <w:rsid w:val="000E009F"/>
    <w:rsid w:val="000E34A5"/>
    <w:rsid w:val="000F4364"/>
    <w:rsid w:val="000F6A92"/>
    <w:rsid w:val="000F736A"/>
    <w:rsid w:val="001002AF"/>
    <w:rsid w:val="00100F8A"/>
    <w:rsid w:val="0011032E"/>
    <w:rsid w:val="00121799"/>
    <w:rsid w:val="001222FC"/>
    <w:rsid w:val="00122F21"/>
    <w:rsid w:val="00124461"/>
    <w:rsid w:val="00124A51"/>
    <w:rsid w:val="00124BF1"/>
    <w:rsid w:val="0012545B"/>
    <w:rsid w:val="00126621"/>
    <w:rsid w:val="001268BF"/>
    <w:rsid w:val="001278C1"/>
    <w:rsid w:val="001301E9"/>
    <w:rsid w:val="00136DFD"/>
    <w:rsid w:val="00137645"/>
    <w:rsid w:val="0014015A"/>
    <w:rsid w:val="001406E2"/>
    <w:rsid w:val="00140D70"/>
    <w:rsid w:val="00140E99"/>
    <w:rsid w:val="00143C44"/>
    <w:rsid w:val="00144AEC"/>
    <w:rsid w:val="001456B0"/>
    <w:rsid w:val="00145B5D"/>
    <w:rsid w:val="00145BF4"/>
    <w:rsid w:val="00145CCE"/>
    <w:rsid w:val="001475F0"/>
    <w:rsid w:val="00151873"/>
    <w:rsid w:val="00152A57"/>
    <w:rsid w:val="00152F61"/>
    <w:rsid w:val="00154AD7"/>
    <w:rsid w:val="00155163"/>
    <w:rsid w:val="00157130"/>
    <w:rsid w:val="00157667"/>
    <w:rsid w:val="00162913"/>
    <w:rsid w:val="00163EFF"/>
    <w:rsid w:val="001642DA"/>
    <w:rsid w:val="001647B8"/>
    <w:rsid w:val="001659D6"/>
    <w:rsid w:val="001661FB"/>
    <w:rsid w:val="0016625C"/>
    <w:rsid w:val="00167848"/>
    <w:rsid w:val="00171CB6"/>
    <w:rsid w:val="001740BF"/>
    <w:rsid w:val="00177424"/>
    <w:rsid w:val="00181E65"/>
    <w:rsid w:val="001821CC"/>
    <w:rsid w:val="00184E54"/>
    <w:rsid w:val="00187E68"/>
    <w:rsid w:val="00187F40"/>
    <w:rsid w:val="00191FB7"/>
    <w:rsid w:val="00195222"/>
    <w:rsid w:val="00196CF4"/>
    <w:rsid w:val="001971A6"/>
    <w:rsid w:val="001975D8"/>
    <w:rsid w:val="001A0308"/>
    <w:rsid w:val="001A2C8C"/>
    <w:rsid w:val="001B18ED"/>
    <w:rsid w:val="001B2D68"/>
    <w:rsid w:val="001B3443"/>
    <w:rsid w:val="001B3540"/>
    <w:rsid w:val="001B5915"/>
    <w:rsid w:val="001B5B94"/>
    <w:rsid w:val="001B6188"/>
    <w:rsid w:val="001B67C1"/>
    <w:rsid w:val="001B69F4"/>
    <w:rsid w:val="001C1030"/>
    <w:rsid w:val="001C364D"/>
    <w:rsid w:val="001C4877"/>
    <w:rsid w:val="001C4A54"/>
    <w:rsid w:val="001C570D"/>
    <w:rsid w:val="001C6E66"/>
    <w:rsid w:val="001D112E"/>
    <w:rsid w:val="001D3160"/>
    <w:rsid w:val="001D48FB"/>
    <w:rsid w:val="001D4ADB"/>
    <w:rsid w:val="001D61A3"/>
    <w:rsid w:val="001D6759"/>
    <w:rsid w:val="001E238E"/>
    <w:rsid w:val="001E24BA"/>
    <w:rsid w:val="001E25F2"/>
    <w:rsid w:val="001E3D80"/>
    <w:rsid w:val="001E42D0"/>
    <w:rsid w:val="001E4D03"/>
    <w:rsid w:val="001E52EB"/>
    <w:rsid w:val="001E740C"/>
    <w:rsid w:val="001E7B50"/>
    <w:rsid w:val="001F0A3B"/>
    <w:rsid w:val="001F1091"/>
    <w:rsid w:val="001F1235"/>
    <w:rsid w:val="001F1CB3"/>
    <w:rsid w:val="001F236B"/>
    <w:rsid w:val="001F5042"/>
    <w:rsid w:val="001F54EE"/>
    <w:rsid w:val="001F5F09"/>
    <w:rsid w:val="001F6A2F"/>
    <w:rsid w:val="001F6B18"/>
    <w:rsid w:val="001F7361"/>
    <w:rsid w:val="0020177D"/>
    <w:rsid w:val="002025FE"/>
    <w:rsid w:val="0020392C"/>
    <w:rsid w:val="00204EEA"/>
    <w:rsid w:val="00205578"/>
    <w:rsid w:val="00206E7A"/>
    <w:rsid w:val="0021028E"/>
    <w:rsid w:val="002105C1"/>
    <w:rsid w:val="00210A37"/>
    <w:rsid w:val="0021146F"/>
    <w:rsid w:val="00211C7A"/>
    <w:rsid w:val="002122CB"/>
    <w:rsid w:val="00222898"/>
    <w:rsid w:val="00223B49"/>
    <w:rsid w:val="00224DD4"/>
    <w:rsid w:val="002309CC"/>
    <w:rsid w:val="002352BA"/>
    <w:rsid w:val="002401C8"/>
    <w:rsid w:val="00241319"/>
    <w:rsid w:val="00241499"/>
    <w:rsid w:val="00246ED7"/>
    <w:rsid w:val="00251FD7"/>
    <w:rsid w:val="0025534B"/>
    <w:rsid w:val="00255BB7"/>
    <w:rsid w:val="002570C5"/>
    <w:rsid w:val="00257ABF"/>
    <w:rsid w:val="00260858"/>
    <w:rsid w:val="002610C8"/>
    <w:rsid w:val="00261459"/>
    <w:rsid w:val="00262A87"/>
    <w:rsid w:val="00264C0C"/>
    <w:rsid w:val="002670D2"/>
    <w:rsid w:val="00270E5C"/>
    <w:rsid w:val="00271F64"/>
    <w:rsid w:val="00274746"/>
    <w:rsid w:val="0027488B"/>
    <w:rsid w:val="00275C5A"/>
    <w:rsid w:val="00287A20"/>
    <w:rsid w:val="00287C98"/>
    <w:rsid w:val="00292FC8"/>
    <w:rsid w:val="0029666C"/>
    <w:rsid w:val="00297299"/>
    <w:rsid w:val="002A046D"/>
    <w:rsid w:val="002A14AB"/>
    <w:rsid w:val="002A4492"/>
    <w:rsid w:val="002A7175"/>
    <w:rsid w:val="002B06DA"/>
    <w:rsid w:val="002B1C1F"/>
    <w:rsid w:val="002B2E23"/>
    <w:rsid w:val="002B4265"/>
    <w:rsid w:val="002B432F"/>
    <w:rsid w:val="002B6CCE"/>
    <w:rsid w:val="002C21EF"/>
    <w:rsid w:val="002C27C1"/>
    <w:rsid w:val="002C434D"/>
    <w:rsid w:val="002C52FC"/>
    <w:rsid w:val="002C6CE5"/>
    <w:rsid w:val="002D0B4A"/>
    <w:rsid w:val="002D12DB"/>
    <w:rsid w:val="002D19D8"/>
    <w:rsid w:val="002D19DA"/>
    <w:rsid w:val="002D3A94"/>
    <w:rsid w:val="002D420B"/>
    <w:rsid w:val="002E18C6"/>
    <w:rsid w:val="002E1C82"/>
    <w:rsid w:val="002E6E6E"/>
    <w:rsid w:val="002E7C13"/>
    <w:rsid w:val="002E7F75"/>
    <w:rsid w:val="002F2EA4"/>
    <w:rsid w:val="002F3893"/>
    <w:rsid w:val="002F415B"/>
    <w:rsid w:val="002F5984"/>
    <w:rsid w:val="00301017"/>
    <w:rsid w:val="00303AC6"/>
    <w:rsid w:val="00303EBE"/>
    <w:rsid w:val="003058DE"/>
    <w:rsid w:val="0030722B"/>
    <w:rsid w:val="0030786C"/>
    <w:rsid w:val="0031031A"/>
    <w:rsid w:val="00315498"/>
    <w:rsid w:val="003177FB"/>
    <w:rsid w:val="00320E7F"/>
    <w:rsid w:val="003229F7"/>
    <w:rsid w:val="003231F5"/>
    <w:rsid w:val="0032422D"/>
    <w:rsid w:val="003247A8"/>
    <w:rsid w:val="00324A29"/>
    <w:rsid w:val="00324A49"/>
    <w:rsid w:val="00324A89"/>
    <w:rsid w:val="0032602C"/>
    <w:rsid w:val="0032605D"/>
    <w:rsid w:val="00327626"/>
    <w:rsid w:val="00327C25"/>
    <w:rsid w:val="00330C22"/>
    <w:rsid w:val="003324E7"/>
    <w:rsid w:val="00334731"/>
    <w:rsid w:val="00334885"/>
    <w:rsid w:val="00335206"/>
    <w:rsid w:val="003366C9"/>
    <w:rsid w:val="00340798"/>
    <w:rsid w:val="00344BFB"/>
    <w:rsid w:val="00344FD7"/>
    <w:rsid w:val="00345181"/>
    <w:rsid w:val="00350478"/>
    <w:rsid w:val="00351FC4"/>
    <w:rsid w:val="00352144"/>
    <w:rsid w:val="003534E4"/>
    <w:rsid w:val="003538C6"/>
    <w:rsid w:val="00354335"/>
    <w:rsid w:val="00355FE2"/>
    <w:rsid w:val="0035620E"/>
    <w:rsid w:val="00357341"/>
    <w:rsid w:val="00362FB1"/>
    <w:rsid w:val="00365F81"/>
    <w:rsid w:val="003673DE"/>
    <w:rsid w:val="00367F2E"/>
    <w:rsid w:val="0037026F"/>
    <w:rsid w:val="0037032C"/>
    <w:rsid w:val="0037610A"/>
    <w:rsid w:val="0037755D"/>
    <w:rsid w:val="0038078D"/>
    <w:rsid w:val="0038365C"/>
    <w:rsid w:val="003858D7"/>
    <w:rsid w:val="00392272"/>
    <w:rsid w:val="003932D3"/>
    <w:rsid w:val="00393F75"/>
    <w:rsid w:val="003955C2"/>
    <w:rsid w:val="00395981"/>
    <w:rsid w:val="0039658F"/>
    <w:rsid w:val="0039663D"/>
    <w:rsid w:val="003967C8"/>
    <w:rsid w:val="00396FD0"/>
    <w:rsid w:val="003A04F8"/>
    <w:rsid w:val="003A13D0"/>
    <w:rsid w:val="003A1A7A"/>
    <w:rsid w:val="003A1B50"/>
    <w:rsid w:val="003A2683"/>
    <w:rsid w:val="003A2C74"/>
    <w:rsid w:val="003A4853"/>
    <w:rsid w:val="003A50D0"/>
    <w:rsid w:val="003B0A7E"/>
    <w:rsid w:val="003B32B3"/>
    <w:rsid w:val="003B71B4"/>
    <w:rsid w:val="003C234A"/>
    <w:rsid w:val="003C27C2"/>
    <w:rsid w:val="003C6356"/>
    <w:rsid w:val="003D0024"/>
    <w:rsid w:val="003D006A"/>
    <w:rsid w:val="003D1828"/>
    <w:rsid w:val="003D2422"/>
    <w:rsid w:val="003D2962"/>
    <w:rsid w:val="003D34D8"/>
    <w:rsid w:val="003D6267"/>
    <w:rsid w:val="003D695D"/>
    <w:rsid w:val="003D6C5D"/>
    <w:rsid w:val="003E3989"/>
    <w:rsid w:val="003E5269"/>
    <w:rsid w:val="003E61D8"/>
    <w:rsid w:val="003E6205"/>
    <w:rsid w:val="003F4156"/>
    <w:rsid w:val="003F4B35"/>
    <w:rsid w:val="003F5DAE"/>
    <w:rsid w:val="003F5DBC"/>
    <w:rsid w:val="003F6965"/>
    <w:rsid w:val="003F69A8"/>
    <w:rsid w:val="003F6BE8"/>
    <w:rsid w:val="004026B9"/>
    <w:rsid w:val="00403C6D"/>
    <w:rsid w:val="0040453C"/>
    <w:rsid w:val="0040760C"/>
    <w:rsid w:val="004102AF"/>
    <w:rsid w:val="00410EC7"/>
    <w:rsid w:val="004113CD"/>
    <w:rsid w:val="0041182D"/>
    <w:rsid w:val="0041262E"/>
    <w:rsid w:val="004129ED"/>
    <w:rsid w:val="00412ACB"/>
    <w:rsid w:val="00412F8E"/>
    <w:rsid w:val="00413939"/>
    <w:rsid w:val="00413CB8"/>
    <w:rsid w:val="00413F45"/>
    <w:rsid w:val="00414087"/>
    <w:rsid w:val="004143AF"/>
    <w:rsid w:val="00414476"/>
    <w:rsid w:val="00417CC3"/>
    <w:rsid w:val="00420B9F"/>
    <w:rsid w:val="004217F3"/>
    <w:rsid w:val="004220E0"/>
    <w:rsid w:val="00423553"/>
    <w:rsid w:val="00425CB2"/>
    <w:rsid w:val="00427F06"/>
    <w:rsid w:val="0043005A"/>
    <w:rsid w:val="004307A5"/>
    <w:rsid w:val="004319F8"/>
    <w:rsid w:val="00432B01"/>
    <w:rsid w:val="00433998"/>
    <w:rsid w:val="00437EB9"/>
    <w:rsid w:val="00440F0E"/>
    <w:rsid w:val="00442EFB"/>
    <w:rsid w:val="004443A7"/>
    <w:rsid w:val="00446119"/>
    <w:rsid w:val="004464EB"/>
    <w:rsid w:val="00451CA2"/>
    <w:rsid w:val="00451E26"/>
    <w:rsid w:val="00453AAF"/>
    <w:rsid w:val="00453D11"/>
    <w:rsid w:val="004543C5"/>
    <w:rsid w:val="00455D45"/>
    <w:rsid w:val="00456171"/>
    <w:rsid w:val="00457647"/>
    <w:rsid w:val="004612DD"/>
    <w:rsid w:val="0046340F"/>
    <w:rsid w:val="00463C50"/>
    <w:rsid w:val="00464595"/>
    <w:rsid w:val="00470105"/>
    <w:rsid w:val="004705C6"/>
    <w:rsid w:val="00470A32"/>
    <w:rsid w:val="00471E85"/>
    <w:rsid w:val="00472359"/>
    <w:rsid w:val="00473718"/>
    <w:rsid w:val="0047456A"/>
    <w:rsid w:val="004800CD"/>
    <w:rsid w:val="00480331"/>
    <w:rsid w:val="00480B80"/>
    <w:rsid w:val="00482F8F"/>
    <w:rsid w:val="00484665"/>
    <w:rsid w:val="00484835"/>
    <w:rsid w:val="004867E2"/>
    <w:rsid w:val="00490B6C"/>
    <w:rsid w:val="00491B3A"/>
    <w:rsid w:val="00491D93"/>
    <w:rsid w:val="00491EAD"/>
    <w:rsid w:val="004958E3"/>
    <w:rsid w:val="00496A65"/>
    <w:rsid w:val="00497F10"/>
    <w:rsid w:val="004A0295"/>
    <w:rsid w:val="004A0DA1"/>
    <w:rsid w:val="004A10D8"/>
    <w:rsid w:val="004A22D9"/>
    <w:rsid w:val="004A267A"/>
    <w:rsid w:val="004A26DB"/>
    <w:rsid w:val="004A3C49"/>
    <w:rsid w:val="004A4B61"/>
    <w:rsid w:val="004A6597"/>
    <w:rsid w:val="004A7338"/>
    <w:rsid w:val="004B063A"/>
    <w:rsid w:val="004B178E"/>
    <w:rsid w:val="004B28D3"/>
    <w:rsid w:val="004B2F18"/>
    <w:rsid w:val="004B3DDB"/>
    <w:rsid w:val="004B44FD"/>
    <w:rsid w:val="004B5CFC"/>
    <w:rsid w:val="004C0D62"/>
    <w:rsid w:val="004C307A"/>
    <w:rsid w:val="004C3690"/>
    <w:rsid w:val="004C4AED"/>
    <w:rsid w:val="004C6380"/>
    <w:rsid w:val="004D1218"/>
    <w:rsid w:val="004D1425"/>
    <w:rsid w:val="004D2B1E"/>
    <w:rsid w:val="004D2DBA"/>
    <w:rsid w:val="004D6652"/>
    <w:rsid w:val="004E0EB8"/>
    <w:rsid w:val="004E2ADC"/>
    <w:rsid w:val="004E2ED9"/>
    <w:rsid w:val="004E5F17"/>
    <w:rsid w:val="004F09C4"/>
    <w:rsid w:val="004F1D02"/>
    <w:rsid w:val="004F2679"/>
    <w:rsid w:val="004F4815"/>
    <w:rsid w:val="004F6346"/>
    <w:rsid w:val="004F642C"/>
    <w:rsid w:val="004F703E"/>
    <w:rsid w:val="005000B0"/>
    <w:rsid w:val="00501A0C"/>
    <w:rsid w:val="00506E16"/>
    <w:rsid w:val="005102BA"/>
    <w:rsid w:val="0051212D"/>
    <w:rsid w:val="00513448"/>
    <w:rsid w:val="00513E34"/>
    <w:rsid w:val="005152B5"/>
    <w:rsid w:val="00515793"/>
    <w:rsid w:val="00517087"/>
    <w:rsid w:val="00521319"/>
    <w:rsid w:val="00522A16"/>
    <w:rsid w:val="00523C28"/>
    <w:rsid w:val="005242A1"/>
    <w:rsid w:val="00524B80"/>
    <w:rsid w:val="00525EF4"/>
    <w:rsid w:val="0052748E"/>
    <w:rsid w:val="00527846"/>
    <w:rsid w:val="005324AC"/>
    <w:rsid w:val="00534249"/>
    <w:rsid w:val="00535EE0"/>
    <w:rsid w:val="00536475"/>
    <w:rsid w:val="00540431"/>
    <w:rsid w:val="00541C5E"/>
    <w:rsid w:val="005421FE"/>
    <w:rsid w:val="00542DAA"/>
    <w:rsid w:val="005432B8"/>
    <w:rsid w:val="00543D54"/>
    <w:rsid w:val="005455AA"/>
    <w:rsid w:val="00545BA1"/>
    <w:rsid w:val="0054606C"/>
    <w:rsid w:val="00547E6F"/>
    <w:rsid w:val="005515D0"/>
    <w:rsid w:val="00553918"/>
    <w:rsid w:val="00555109"/>
    <w:rsid w:val="00556E3E"/>
    <w:rsid w:val="0056276A"/>
    <w:rsid w:val="00564025"/>
    <w:rsid w:val="0056487D"/>
    <w:rsid w:val="0056696F"/>
    <w:rsid w:val="00570A07"/>
    <w:rsid w:val="005744F9"/>
    <w:rsid w:val="0057617A"/>
    <w:rsid w:val="00576972"/>
    <w:rsid w:val="00577717"/>
    <w:rsid w:val="0057778C"/>
    <w:rsid w:val="005801E9"/>
    <w:rsid w:val="005809BC"/>
    <w:rsid w:val="00580E46"/>
    <w:rsid w:val="00581E8A"/>
    <w:rsid w:val="00583699"/>
    <w:rsid w:val="00584558"/>
    <w:rsid w:val="00586415"/>
    <w:rsid w:val="005864AA"/>
    <w:rsid w:val="00587C4B"/>
    <w:rsid w:val="0059236C"/>
    <w:rsid w:val="0059338E"/>
    <w:rsid w:val="0059586A"/>
    <w:rsid w:val="00596C66"/>
    <w:rsid w:val="005A1056"/>
    <w:rsid w:val="005A63DF"/>
    <w:rsid w:val="005B0EE7"/>
    <w:rsid w:val="005B1396"/>
    <w:rsid w:val="005B26CD"/>
    <w:rsid w:val="005B2AF7"/>
    <w:rsid w:val="005B3C71"/>
    <w:rsid w:val="005B4EF0"/>
    <w:rsid w:val="005B5136"/>
    <w:rsid w:val="005B5857"/>
    <w:rsid w:val="005B7E61"/>
    <w:rsid w:val="005C1B83"/>
    <w:rsid w:val="005C346B"/>
    <w:rsid w:val="005C501F"/>
    <w:rsid w:val="005D1734"/>
    <w:rsid w:val="005D18AD"/>
    <w:rsid w:val="005D25E6"/>
    <w:rsid w:val="005D3991"/>
    <w:rsid w:val="005D6092"/>
    <w:rsid w:val="005D6663"/>
    <w:rsid w:val="005D7930"/>
    <w:rsid w:val="005D7E3E"/>
    <w:rsid w:val="005E156C"/>
    <w:rsid w:val="005E1CBA"/>
    <w:rsid w:val="005E34B3"/>
    <w:rsid w:val="005E4C2D"/>
    <w:rsid w:val="005E4C5F"/>
    <w:rsid w:val="005E7B01"/>
    <w:rsid w:val="005E7DC4"/>
    <w:rsid w:val="005F2706"/>
    <w:rsid w:val="005F36D3"/>
    <w:rsid w:val="005F6A8F"/>
    <w:rsid w:val="006000E1"/>
    <w:rsid w:val="006035D1"/>
    <w:rsid w:val="00605A23"/>
    <w:rsid w:val="00605EE6"/>
    <w:rsid w:val="00607669"/>
    <w:rsid w:val="00612F97"/>
    <w:rsid w:val="00615376"/>
    <w:rsid w:val="006161AC"/>
    <w:rsid w:val="00616802"/>
    <w:rsid w:val="00617E12"/>
    <w:rsid w:val="00621477"/>
    <w:rsid w:val="0062302F"/>
    <w:rsid w:val="00624475"/>
    <w:rsid w:val="00627A50"/>
    <w:rsid w:val="00630B27"/>
    <w:rsid w:val="00631D6B"/>
    <w:rsid w:val="00632CDB"/>
    <w:rsid w:val="0063479F"/>
    <w:rsid w:val="006364A1"/>
    <w:rsid w:val="00637BFD"/>
    <w:rsid w:val="00640620"/>
    <w:rsid w:val="00641304"/>
    <w:rsid w:val="0064452F"/>
    <w:rsid w:val="006471CC"/>
    <w:rsid w:val="0065079F"/>
    <w:rsid w:val="00651EB1"/>
    <w:rsid w:val="00652806"/>
    <w:rsid w:val="00653314"/>
    <w:rsid w:val="00653525"/>
    <w:rsid w:val="00660F9A"/>
    <w:rsid w:val="00661D3E"/>
    <w:rsid w:val="006708E7"/>
    <w:rsid w:val="00674E42"/>
    <w:rsid w:val="0067585B"/>
    <w:rsid w:val="00675EA0"/>
    <w:rsid w:val="006763F9"/>
    <w:rsid w:val="00677006"/>
    <w:rsid w:val="0067738C"/>
    <w:rsid w:val="00680823"/>
    <w:rsid w:val="00682112"/>
    <w:rsid w:val="00684A04"/>
    <w:rsid w:val="0068637D"/>
    <w:rsid w:val="00693020"/>
    <w:rsid w:val="006941A3"/>
    <w:rsid w:val="00694F44"/>
    <w:rsid w:val="006A080B"/>
    <w:rsid w:val="006A752D"/>
    <w:rsid w:val="006B086A"/>
    <w:rsid w:val="006B2AB8"/>
    <w:rsid w:val="006B3238"/>
    <w:rsid w:val="006B6449"/>
    <w:rsid w:val="006C0EE1"/>
    <w:rsid w:val="006C10A2"/>
    <w:rsid w:val="006C14F5"/>
    <w:rsid w:val="006C2A71"/>
    <w:rsid w:val="006C2A8E"/>
    <w:rsid w:val="006C384C"/>
    <w:rsid w:val="006C7238"/>
    <w:rsid w:val="006D2E87"/>
    <w:rsid w:val="006D3BAA"/>
    <w:rsid w:val="006D3C7D"/>
    <w:rsid w:val="006D67AD"/>
    <w:rsid w:val="006D7123"/>
    <w:rsid w:val="006E26D7"/>
    <w:rsid w:val="006E45A6"/>
    <w:rsid w:val="006E4A87"/>
    <w:rsid w:val="006E6D2F"/>
    <w:rsid w:val="006E7993"/>
    <w:rsid w:val="006F0003"/>
    <w:rsid w:val="006F1700"/>
    <w:rsid w:val="006F3FFD"/>
    <w:rsid w:val="006F4A56"/>
    <w:rsid w:val="006F63A5"/>
    <w:rsid w:val="006F70CF"/>
    <w:rsid w:val="00701116"/>
    <w:rsid w:val="007014AD"/>
    <w:rsid w:val="0070276E"/>
    <w:rsid w:val="00702CCE"/>
    <w:rsid w:val="00705452"/>
    <w:rsid w:val="00707400"/>
    <w:rsid w:val="00711697"/>
    <w:rsid w:val="00711A36"/>
    <w:rsid w:val="00711D73"/>
    <w:rsid w:val="007137E1"/>
    <w:rsid w:val="00715684"/>
    <w:rsid w:val="00715A17"/>
    <w:rsid w:val="00716C84"/>
    <w:rsid w:val="007172AD"/>
    <w:rsid w:val="00717556"/>
    <w:rsid w:val="0072064B"/>
    <w:rsid w:val="007216C8"/>
    <w:rsid w:val="007265FB"/>
    <w:rsid w:val="00735328"/>
    <w:rsid w:val="007366A9"/>
    <w:rsid w:val="0073685B"/>
    <w:rsid w:val="00736F93"/>
    <w:rsid w:val="00737B42"/>
    <w:rsid w:val="00740A93"/>
    <w:rsid w:val="00744772"/>
    <w:rsid w:val="007474AD"/>
    <w:rsid w:val="00750172"/>
    <w:rsid w:val="007517D3"/>
    <w:rsid w:val="00751A3E"/>
    <w:rsid w:val="00751E2A"/>
    <w:rsid w:val="00760C12"/>
    <w:rsid w:val="007615CC"/>
    <w:rsid w:val="00761792"/>
    <w:rsid w:val="00771DCD"/>
    <w:rsid w:val="00773EEC"/>
    <w:rsid w:val="0077686D"/>
    <w:rsid w:val="007817F2"/>
    <w:rsid w:val="007850BF"/>
    <w:rsid w:val="00786A9B"/>
    <w:rsid w:val="00797A71"/>
    <w:rsid w:val="007A1845"/>
    <w:rsid w:val="007A1E31"/>
    <w:rsid w:val="007A30D5"/>
    <w:rsid w:val="007A4FE8"/>
    <w:rsid w:val="007A5994"/>
    <w:rsid w:val="007A6D53"/>
    <w:rsid w:val="007A7007"/>
    <w:rsid w:val="007A72E5"/>
    <w:rsid w:val="007B10CB"/>
    <w:rsid w:val="007B14F9"/>
    <w:rsid w:val="007B19C7"/>
    <w:rsid w:val="007B251D"/>
    <w:rsid w:val="007B682B"/>
    <w:rsid w:val="007B77D1"/>
    <w:rsid w:val="007C139E"/>
    <w:rsid w:val="007C453E"/>
    <w:rsid w:val="007C5247"/>
    <w:rsid w:val="007C5444"/>
    <w:rsid w:val="007C710D"/>
    <w:rsid w:val="007D0AA3"/>
    <w:rsid w:val="007D0B38"/>
    <w:rsid w:val="007D2074"/>
    <w:rsid w:val="007D4627"/>
    <w:rsid w:val="007D4EA3"/>
    <w:rsid w:val="007D6311"/>
    <w:rsid w:val="007E0E85"/>
    <w:rsid w:val="007E0FBD"/>
    <w:rsid w:val="007E1215"/>
    <w:rsid w:val="007E175F"/>
    <w:rsid w:val="007E223E"/>
    <w:rsid w:val="007E30B4"/>
    <w:rsid w:val="007E34F8"/>
    <w:rsid w:val="007E3A0C"/>
    <w:rsid w:val="007E3B4F"/>
    <w:rsid w:val="007E535E"/>
    <w:rsid w:val="007E578B"/>
    <w:rsid w:val="007E583C"/>
    <w:rsid w:val="007F00EF"/>
    <w:rsid w:val="007F1017"/>
    <w:rsid w:val="007F4A3F"/>
    <w:rsid w:val="007F56DE"/>
    <w:rsid w:val="007F6A8B"/>
    <w:rsid w:val="007F6BE5"/>
    <w:rsid w:val="0080437F"/>
    <w:rsid w:val="00804E1A"/>
    <w:rsid w:val="00805142"/>
    <w:rsid w:val="008067DB"/>
    <w:rsid w:val="00807A8B"/>
    <w:rsid w:val="00812149"/>
    <w:rsid w:val="00815D0A"/>
    <w:rsid w:val="008166EF"/>
    <w:rsid w:val="008264EB"/>
    <w:rsid w:val="00826797"/>
    <w:rsid w:val="00826D82"/>
    <w:rsid w:val="00831FCC"/>
    <w:rsid w:val="00835742"/>
    <w:rsid w:val="00836259"/>
    <w:rsid w:val="00840CA2"/>
    <w:rsid w:val="00850372"/>
    <w:rsid w:val="00852D5D"/>
    <w:rsid w:val="008535F4"/>
    <w:rsid w:val="00854AF1"/>
    <w:rsid w:val="00855D96"/>
    <w:rsid w:val="00856D42"/>
    <w:rsid w:val="00856E9A"/>
    <w:rsid w:val="0086207E"/>
    <w:rsid w:val="00862116"/>
    <w:rsid w:val="0087120F"/>
    <w:rsid w:val="00875952"/>
    <w:rsid w:val="00875B39"/>
    <w:rsid w:val="0088047A"/>
    <w:rsid w:val="0088070B"/>
    <w:rsid w:val="00880B79"/>
    <w:rsid w:val="008818E1"/>
    <w:rsid w:val="00881A2E"/>
    <w:rsid w:val="00882874"/>
    <w:rsid w:val="00883787"/>
    <w:rsid w:val="00884759"/>
    <w:rsid w:val="00884780"/>
    <w:rsid w:val="00890795"/>
    <w:rsid w:val="00890DA9"/>
    <w:rsid w:val="008910FB"/>
    <w:rsid w:val="00892F59"/>
    <w:rsid w:val="008960AD"/>
    <w:rsid w:val="008963A5"/>
    <w:rsid w:val="008A03E9"/>
    <w:rsid w:val="008A126D"/>
    <w:rsid w:val="008A2449"/>
    <w:rsid w:val="008A2813"/>
    <w:rsid w:val="008A3C3E"/>
    <w:rsid w:val="008A3DC2"/>
    <w:rsid w:val="008A692F"/>
    <w:rsid w:val="008A69F9"/>
    <w:rsid w:val="008A79DE"/>
    <w:rsid w:val="008B5CB7"/>
    <w:rsid w:val="008B7D7E"/>
    <w:rsid w:val="008C3A72"/>
    <w:rsid w:val="008C4368"/>
    <w:rsid w:val="008C4BE9"/>
    <w:rsid w:val="008C4C95"/>
    <w:rsid w:val="008C4D45"/>
    <w:rsid w:val="008C5307"/>
    <w:rsid w:val="008C7B04"/>
    <w:rsid w:val="008C7ECB"/>
    <w:rsid w:val="008D00C5"/>
    <w:rsid w:val="008D037B"/>
    <w:rsid w:val="008D0815"/>
    <w:rsid w:val="008D0950"/>
    <w:rsid w:val="008D0CF9"/>
    <w:rsid w:val="008D2867"/>
    <w:rsid w:val="008D291A"/>
    <w:rsid w:val="008D4AB1"/>
    <w:rsid w:val="008D5E4B"/>
    <w:rsid w:val="008D7D89"/>
    <w:rsid w:val="008E1B9E"/>
    <w:rsid w:val="008E5E05"/>
    <w:rsid w:val="008E621D"/>
    <w:rsid w:val="008E6C61"/>
    <w:rsid w:val="008F0758"/>
    <w:rsid w:val="008F469C"/>
    <w:rsid w:val="008F48EB"/>
    <w:rsid w:val="008F4F0B"/>
    <w:rsid w:val="008F7923"/>
    <w:rsid w:val="008F7BD2"/>
    <w:rsid w:val="00906218"/>
    <w:rsid w:val="009062A5"/>
    <w:rsid w:val="00911272"/>
    <w:rsid w:val="00921E92"/>
    <w:rsid w:val="00923DC5"/>
    <w:rsid w:val="00925999"/>
    <w:rsid w:val="0092613A"/>
    <w:rsid w:val="009401F1"/>
    <w:rsid w:val="0094303B"/>
    <w:rsid w:val="00943AEF"/>
    <w:rsid w:val="009455FE"/>
    <w:rsid w:val="0094663D"/>
    <w:rsid w:val="00947E82"/>
    <w:rsid w:val="009512EA"/>
    <w:rsid w:val="009540B4"/>
    <w:rsid w:val="0095461D"/>
    <w:rsid w:val="009614CC"/>
    <w:rsid w:val="00961AF9"/>
    <w:rsid w:val="0096228E"/>
    <w:rsid w:val="00962CB9"/>
    <w:rsid w:val="00964312"/>
    <w:rsid w:val="00964816"/>
    <w:rsid w:val="00972AF9"/>
    <w:rsid w:val="00973663"/>
    <w:rsid w:val="0098002F"/>
    <w:rsid w:val="00983E57"/>
    <w:rsid w:val="00996B1A"/>
    <w:rsid w:val="009976D3"/>
    <w:rsid w:val="009B3E26"/>
    <w:rsid w:val="009B517E"/>
    <w:rsid w:val="009B557A"/>
    <w:rsid w:val="009B5A3F"/>
    <w:rsid w:val="009C0F65"/>
    <w:rsid w:val="009C1F62"/>
    <w:rsid w:val="009C4D36"/>
    <w:rsid w:val="009D0239"/>
    <w:rsid w:val="009D5B91"/>
    <w:rsid w:val="009D6DF4"/>
    <w:rsid w:val="009E16C4"/>
    <w:rsid w:val="009E187C"/>
    <w:rsid w:val="009E4C07"/>
    <w:rsid w:val="009E5261"/>
    <w:rsid w:val="009E7E37"/>
    <w:rsid w:val="009F7C6C"/>
    <w:rsid w:val="009F7FCD"/>
    <w:rsid w:val="00A03D43"/>
    <w:rsid w:val="00A0414A"/>
    <w:rsid w:val="00A04380"/>
    <w:rsid w:val="00A04883"/>
    <w:rsid w:val="00A06802"/>
    <w:rsid w:val="00A13948"/>
    <w:rsid w:val="00A14F97"/>
    <w:rsid w:val="00A15B23"/>
    <w:rsid w:val="00A211D6"/>
    <w:rsid w:val="00A25C38"/>
    <w:rsid w:val="00A27AEC"/>
    <w:rsid w:val="00A33099"/>
    <w:rsid w:val="00A33AC3"/>
    <w:rsid w:val="00A35080"/>
    <w:rsid w:val="00A35D16"/>
    <w:rsid w:val="00A36346"/>
    <w:rsid w:val="00A36BB2"/>
    <w:rsid w:val="00A41081"/>
    <w:rsid w:val="00A41588"/>
    <w:rsid w:val="00A4185D"/>
    <w:rsid w:val="00A43C59"/>
    <w:rsid w:val="00A447A8"/>
    <w:rsid w:val="00A46D5C"/>
    <w:rsid w:val="00A50ECD"/>
    <w:rsid w:val="00A52729"/>
    <w:rsid w:val="00A53675"/>
    <w:rsid w:val="00A54CEB"/>
    <w:rsid w:val="00A56B6A"/>
    <w:rsid w:val="00A578DC"/>
    <w:rsid w:val="00A602DD"/>
    <w:rsid w:val="00A6187E"/>
    <w:rsid w:val="00A618D2"/>
    <w:rsid w:val="00A6347D"/>
    <w:rsid w:val="00A639BB"/>
    <w:rsid w:val="00A648AB"/>
    <w:rsid w:val="00A64B4B"/>
    <w:rsid w:val="00A6707A"/>
    <w:rsid w:val="00A67100"/>
    <w:rsid w:val="00A6725B"/>
    <w:rsid w:val="00A704AA"/>
    <w:rsid w:val="00A706E5"/>
    <w:rsid w:val="00A74F67"/>
    <w:rsid w:val="00A775C4"/>
    <w:rsid w:val="00A81BF5"/>
    <w:rsid w:val="00A834E2"/>
    <w:rsid w:val="00A86E8B"/>
    <w:rsid w:val="00A925A7"/>
    <w:rsid w:val="00A93072"/>
    <w:rsid w:val="00A95CD5"/>
    <w:rsid w:val="00A96A0E"/>
    <w:rsid w:val="00AA0135"/>
    <w:rsid w:val="00AA090A"/>
    <w:rsid w:val="00AA0A07"/>
    <w:rsid w:val="00AA20A1"/>
    <w:rsid w:val="00AA232D"/>
    <w:rsid w:val="00AA74B9"/>
    <w:rsid w:val="00AB042A"/>
    <w:rsid w:val="00AB1CC2"/>
    <w:rsid w:val="00AB296B"/>
    <w:rsid w:val="00AB3430"/>
    <w:rsid w:val="00AB3DCF"/>
    <w:rsid w:val="00AB631E"/>
    <w:rsid w:val="00AB7CFA"/>
    <w:rsid w:val="00AC4339"/>
    <w:rsid w:val="00AC4BD9"/>
    <w:rsid w:val="00AC5387"/>
    <w:rsid w:val="00AC688A"/>
    <w:rsid w:val="00AC7C01"/>
    <w:rsid w:val="00AD08A7"/>
    <w:rsid w:val="00AD69E9"/>
    <w:rsid w:val="00AD6E87"/>
    <w:rsid w:val="00AE60EB"/>
    <w:rsid w:val="00AE7A6E"/>
    <w:rsid w:val="00AF1F0C"/>
    <w:rsid w:val="00AF2C8B"/>
    <w:rsid w:val="00AF3788"/>
    <w:rsid w:val="00AF3BBE"/>
    <w:rsid w:val="00AF4776"/>
    <w:rsid w:val="00AF6118"/>
    <w:rsid w:val="00AF7288"/>
    <w:rsid w:val="00B052CE"/>
    <w:rsid w:val="00B05583"/>
    <w:rsid w:val="00B072CB"/>
    <w:rsid w:val="00B0748B"/>
    <w:rsid w:val="00B125E9"/>
    <w:rsid w:val="00B1324A"/>
    <w:rsid w:val="00B13F11"/>
    <w:rsid w:val="00B22442"/>
    <w:rsid w:val="00B23D28"/>
    <w:rsid w:val="00B24FA7"/>
    <w:rsid w:val="00B25EF8"/>
    <w:rsid w:val="00B31973"/>
    <w:rsid w:val="00B35431"/>
    <w:rsid w:val="00B361E7"/>
    <w:rsid w:val="00B372C9"/>
    <w:rsid w:val="00B372D3"/>
    <w:rsid w:val="00B42851"/>
    <w:rsid w:val="00B43886"/>
    <w:rsid w:val="00B46A01"/>
    <w:rsid w:val="00B47032"/>
    <w:rsid w:val="00B4737C"/>
    <w:rsid w:val="00B50B22"/>
    <w:rsid w:val="00B51A3A"/>
    <w:rsid w:val="00B5218D"/>
    <w:rsid w:val="00B541FF"/>
    <w:rsid w:val="00B54B5B"/>
    <w:rsid w:val="00B5562E"/>
    <w:rsid w:val="00B57000"/>
    <w:rsid w:val="00B608CF"/>
    <w:rsid w:val="00B60939"/>
    <w:rsid w:val="00B60AFD"/>
    <w:rsid w:val="00B6113D"/>
    <w:rsid w:val="00B62715"/>
    <w:rsid w:val="00B62A44"/>
    <w:rsid w:val="00B6468E"/>
    <w:rsid w:val="00B71761"/>
    <w:rsid w:val="00B72D70"/>
    <w:rsid w:val="00B74309"/>
    <w:rsid w:val="00B74EED"/>
    <w:rsid w:val="00B77A3A"/>
    <w:rsid w:val="00B801DC"/>
    <w:rsid w:val="00B818A4"/>
    <w:rsid w:val="00B829A7"/>
    <w:rsid w:val="00B830AB"/>
    <w:rsid w:val="00B841E4"/>
    <w:rsid w:val="00B8649C"/>
    <w:rsid w:val="00B86778"/>
    <w:rsid w:val="00B90D54"/>
    <w:rsid w:val="00B91912"/>
    <w:rsid w:val="00B92D0B"/>
    <w:rsid w:val="00B934C8"/>
    <w:rsid w:val="00B94945"/>
    <w:rsid w:val="00B95B52"/>
    <w:rsid w:val="00B95E76"/>
    <w:rsid w:val="00B962C6"/>
    <w:rsid w:val="00B96C4C"/>
    <w:rsid w:val="00BA15DF"/>
    <w:rsid w:val="00BA2B9E"/>
    <w:rsid w:val="00BA31A5"/>
    <w:rsid w:val="00BA45D2"/>
    <w:rsid w:val="00BA6D7A"/>
    <w:rsid w:val="00BB3F0F"/>
    <w:rsid w:val="00BB48FA"/>
    <w:rsid w:val="00BB4A99"/>
    <w:rsid w:val="00BB4B40"/>
    <w:rsid w:val="00BB4EBB"/>
    <w:rsid w:val="00BB63A1"/>
    <w:rsid w:val="00BB72B0"/>
    <w:rsid w:val="00BC5783"/>
    <w:rsid w:val="00BC6294"/>
    <w:rsid w:val="00BC721A"/>
    <w:rsid w:val="00BD02C9"/>
    <w:rsid w:val="00BD2CAA"/>
    <w:rsid w:val="00BD4DF0"/>
    <w:rsid w:val="00BD53C2"/>
    <w:rsid w:val="00BD62E9"/>
    <w:rsid w:val="00BE1053"/>
    <w:rsid w:val="00BE2180"/>
    <w:rsid w:val="00BE2A77"/>
    <w:rsid w:val="00BE32F8"/>
    <w:rsid w:val="00BE3F7D"/>
    <w:rsid w:val="00BE4275"/>
    <w:rsid w:val="00BE5CFB"/>
    <w:rsid w:val="00BF0C6E"/>
    <w:rsid w:val="00BF23ED"/>
    <w:rsid w:val="00BF2433"/>
    <w:rsid w:val="00BF3072"/>
    <w:rsid w:val="00BF61C9"/>
    <w:rsid w:val="00BF7473"/>
    <w:rsid w:val="00BF7E43"/>
    <w:rsid w:val="00C04483"/>
    <w:rsid w:val="00C1385E"/>
    <w:rsid w:val="00C15720"/>
    <w:rsid w:val="00C165A8"/>
    <w:rsid w:val="00C16874"/>
    <w:rsid w:val="00C21643"/>
    <w:rsid w:val="00C2369B"/>
    <w:rsid w:val="00C25418"/>
    <w:rsid w:val="00C25D9C"/>
    <w:rsid w:val="00C26F63"/>
    <w:rsid w:val="00C311A5"/>
    <w:rsid w:val="00C31649"/>
    <w:rsid w:val="00C326EC"/>
    <w:rsid w:val="00C331BA"/>
    <w:rsid w:val="00C3587B"/>
    <w:rsid w:val="00C36B91"/>
    <w:rsid w:val="00C40385"/>
    <w:rsid w:val="00C42DB2"/>
    <w:rsid w:val="00C433AD"/>
    <w:rsid w:val="00C4413B"/>
    <w:rsid w:val="00C45A1A"/>
    <w:rsid w:val="00C46B80"/>
    <w:rsid w:val="00C46E66"/>
    <w:rsid w:val="00C520F0"/>
    <w:rsid w:val="00C5651E"/>
    <w:rsid w:val="00C567AB"/>
    <w:rsid w:val="00C56B43"/>
    <w:rsid w:val="00C622B5"/>
    <w:rsid w:val="00C63F5A"/>
    <w:rsid w:val="00C65399"/>
    <w:rsid w:val="00C65576"/>
    <w:rsid w:val="00C66165"/>
    <w:rsid w:val="00C7293D"/>
    <w:rsid w:val="00C75BA1"/>
    <w:rsid w:val="00C8213F"/>
    <w:rsid w:val="00C821EC"/>
    <w:rsid w:val="00C82D85"/>
    <w:rsid w:val="00C83A5B"/>
    <w:rsid w:val="00C860C3"/>
    <w:rsid w:val="00C8797A"/>
    <w:rsid w:val="00C901B9"/>
    <w:rsid w:val="00C90590"/>
    <w:rsid w:val="00C919B2"/>
    <w:rsid w:val="00C91EED"/>
    <w:rsid w:val="00C9250B"/>
    <w:rsid w:val="00C92543"/>
    <w:rsid w:val="00C938C0"/>
    <w:rsid w:val="00C938CF"/>
    <w:rsid w:val="00CA1BB1"/>
    <w:rsid w:val="00CA22A2"/>
    <w:rsid w:val="00CA2EC8"/>
    <w:rsid w:val="00CA5245"/>
    <w:rsid w:val="00CA7B09"/>
    <w:rsid w:val="00CB19B9"/>
    <w:rsid w:val="00CB4655"/>
    <w:rsid w:val="00CB5B1A"/>
    <w:rsid w:val="00CC238E"/>
    <w:rsid w:val="00CC4948"/>
    <w:rsid w:val="00CC4A01"/>
    <w:rsid w:val="00CC5081"/>
    <w:rsid w:val="00CC69E2"/>
    <w:rsid w:val="00CD33F2"/>
    <w:rsid w:val="00CD4B0B"/>
    <w:rsid w:val="00CD6ADC"/>
    <w:rsid w:val="00CD7E77"/>
    <w:rsid w:val="00CE0CB5"/>
    <w:rsid w:val="00CE2326"/>
    <w:rsid w:val="00CE2522"/>
    <w:rsid w:val="00CE5FFF"/>
    <w:rsid w:val="00CE6274"/>
    <w:rsid w:val="00CE75D1"/>
    <w:rsid w:val="00CF3B45"/>
    <w:rsid w:val="00CF456B"/>
    <w:rsid w:val="00CF4785"/>
    <w:rsid w:val="00CF5958"/>
    <w:rsid w:val="00CF5A22"/>
    <w:rsid w:val="00D01A14"/>
    <w:rsid w:val="00D0262E"/>
    <w:rsid w:val="00D03AA6"/>
    <w:rsid w:val="00D04C42"/>
    <w:rsid w:val="00D04C9E"/>
    <w:rsid w:val="00D06FD4"/>
    <w:rsid w:val="00D110BD"/>
    <w:rsid w:val="00D12174"/>
    <w:rsid w:val="00D12AF5"/>
    <w:rsid w:val="00D17807"/>
    <w:rsid w:val="00D17D6C"/>
    <w:rsid w:val="00D209D7"/>
    <w:rsid w:val="00D224C1"/>
    <w:rsid w:val="00D23837"/>
    <w:rsid w:val="00D2424D"/>
    <w:rsid w:val="00D32E81"/>
    <w:rsid w:val="00D402E9"/>
    <w:rsid w:val="00D40E12"/>
    <w:rsid w:val="00D41562"/>
    <w:rsid w:val="00D41BE1"/>
    <w:rsid w:val="00D42ECE"/>
    <w:rsid w:val="00D43B34"/>
    <w:rsid w:val="00D4652D"/>
    <w:rsid w:val="00D515F9"/>
    <w:rsid w:val="00D62091"/>
    <w:rsid w:val="00D62DCC"/>
    <w:rsid w:val="00D650CE"/>
    <w:rsid w:val="00D6695D"/>
    <w:rsid w:val="00D7180B"/>
    <w:rsid w:val="00D7239B"/>
    <w:rsid w:val="00D73AFB"/>
    <w:rsid w:val="00D74DFC"/>
    <w:rsid w:val="00D76A44"/>
    <w:rsid w:val="00D77A97"/>
    <w:rsid w:val="00D80EFC"/>
    <w:rsid w:val="00D82155"/>
    <w:rsid w:val="00D8792C"/>
    <w:rsid w:val="00D902EE"/>
    <w:rsid w:val="00D92104"/>
    <w:rsid w:val="00D921A1"/>
    <w:rsid w:val="00D93753"/>
    <w:rsid w:val="00D945FB"/>
    <w:rsid w:val="00DA2B56"/>
    <w:rsid w:val="00DA49E6"/>
    <w:rsid w:val="00DA77A5"/>
    <w:rsid w:val="00DB04B1"/>
    <w:rsid w:val="00DB4753"/>
    <w:rsid w:val="00DB6D2E"/>
    <w:rsid w:val="00DB7EEC"/>
    <w:rsid w:val="00DC0DF7"/>
    <w:rsid w:val="00DC1957"/>
    <w:rsid w:val="00DC2406"/>
    <w:rsid w:val="00DC2BF3"/>
    <w:rsid w:val="00DC47E9"/>
    <w:rsid w:val="00DC5501"/>
    <w:rsid w:val="00DC5879"/>
    <w:rsid w:val="00DC7216"/>
    <w:rsid w:val="00DD0E71"/>
    <w:rsid w:val="00DD2072"/>
    <w:rsid w:val="00DD2734"/>
    <w:rsid w:val="00DD3F28"/>
    <w:rsid w:val="00DD4537"/>
    <w:rsid w:val="00DD4E15"/>
    <w:rsid w:val="00DD5330"/>
    <w:rsid w:val="00DE1838"/>
    <w:rsid w:val="00DE3114"/>
    <w:rsid w:val="00DE427F"/>
    <w:rsid w:val="00DE4FCB"/>
    <w:rsid w:val="00DE6726"/>
    <w:rsid w:val="00DE72D7"/>
    <w:rsid w:val="00DF124F"/>
    <w:rsid w:val="00DF1E96"/>
    <w:rsid w:val="00DF7091"/>
    <w:rsid w:val="00E02D9B"/>
    <w:rsid w:val="00E06105"/>
    <w:rsid w:val="00E0705A"/>
    <w:rsid w:val="00E10149"/>
    <w:rsid w:val="00E142BB"/>
    <w:rsid w:val="00E16372"/>
    <w:rsid w:val="00E172B0"/>
    <w:rsid w:val="00E20ED6"/>
    <w:rsid w:val="00E21358"/>
    <w:rsid w:val="00E2249B"/>
    <w:rsid w:val="00E2421F"/>
    <w:rsid w:val="00E2429E"/>
    <w:rsid w:val="00E258EC"/>
    <w:rsid w:val="00E2771E"/>
    <w:rsid w:val="00E305A6"/>
    <w:rsid w:val="00E32C18"/>
    <w:rsid w:val="00E350D7"/>
    <w:rsid w:val="00E35F9A"/>
    <w:rsid w:val="00E37569"/>
    <w:rsid w:val="00E37EC3"/>
    <w:rsid w:val="00E40820"/>
    <w:rsid w:val="00E41209"/>
    <w:rsid w:val="00E41E30"/>
    <w:rsid w:val="00E43DB0"/>
    <w:rsid w:val="00E469F4"/>
    <w:rsid w:val="00E47B2C"/>
    <w:rsid w:val="00E51F74"/>
    <w:rsid w:val="00E5496D"/>
    <w:rsid w:val="00E55424"/>
    <w:rsid w:val="00E56FD4"/>
    <w:rsid w:val="00E600CC"/>
    <w:rsid w:val="00E603B9"/>
    <w:rsid w:val="00E62919"/>
    <w:rsid w:val="00E65384"/>
    <w:rsid w:val="00E65E79"/>
    <w:rsid w:val="00E66100"/>
    <w:rsid w:val="00E67416"/>
    <w:rsid w:val="00E70A63"/>
    <w:rsid w:val="00E70EF1"/>
    <w:rsid w:val="00E718B6"/>
    <w:rsid w:val="00E72D8E"/>
    <w:rsid w:val="00E73581"/>
    <w:rsid w:val="00E76C2D"/>
    <w:rsid w:val="00E779B0"/>
    <w:rsid w:val="00E82934"/>
    <w:rsid w:val="00E82C9F"/>
    <w:rsid w:val="00E83BDF"/>
    <w:rsid w:val="00E8524C"/>
    <w:rsid w:val="00E87210"/>
    <w:rsid w:val="00E877F9"/>
    <w:rsid w:val="00E91C1D"/>
    <w:rsid w:val="00E9426B"/>
    <w:rsid w:val="00EA340D"/>
    <w:rsid w:val="00EA3864"/>
    <w:rsid w:val="00EB0528"/>
    <w:rsid w:val="00EB23D8"/>
    <w:rsid w:val="00EB5C2E"/>
    <w:rsid w:val="00EB6524"/>
    <w:rsid w:val="00EB6A24"/>
    <w:rsid w:val="00EC00C9"/>
    <w:rsid w:val="00EC0E85"/>
    <w:rsid w:val="00EC2ED2"/>
    <w:rsid w:val="00EC65BF"/>
    <w:rsid w:val="00EC746B"/>
    <w:rsid w:val="00ED0021"/>
    <w:rsid w:val="00ED15EE"/>
    <w:rsid w:val="00ED24B7"/>
    <w:rsid w:val="00ED4FEA"/>
    <w:rsid w:val="00ED5D8A"/>
    <w:rsid w:val="00ED5E1A"/>
    <w:rsid w:val="00ED7535"/>
    <w:rsid w:val="00EE07D3"/>
    <w:rsid w:val="00EE48A5"/>
    <w:rsid w:val="00EE5D86"/>
    <w:rsid w:val="00EF0448"/>
    <w:rsid w:val="00EF27A6"/>
    <w:rsid w:val="00EF70F2"/>
    <w:rsid w:val="00F0057A"/>
    <w:rsid w:val="00F01C2D"/>
    <w:rsid w:val="00F02AF1"/>
    <w:rsid w:val="00F0537E"/>
    <w:rsid w:val="00F058C9"/>
    <w:rsid w:val="00F067A2"/>
    <w:rsid w:val="00F06CE3"/>
    <w:rsid w:val="00F10AAD"/>
    <w:rsid w:val="00F120C3"/>
    <w:rsid w:val="00F15762"/>
    <w:rsid w:val="00F15D71"/>
    <w:rsid w:val="00F1727C"/>
    <w:rsid w:val="00F20884"/>
    <w:rsid w:val="00F22419"/>
    <w:rsid w:val="00F24034"/>
    <w:rsid w:val="00F240DE"/>
    <w:rsid w:val="00F24837"/>
    <w:rsid w:val="00F2575F"/>
    <w:rsid w:val="00F262FF"/>
    <w:rsid w:val="00F273AE"/>
    <w:rsid w:val="00F27719"/>
    <w:rsid w:val="00F32DB1"/>
    <w:rsid w:val="00F33101"/>
    <w:rsid w:val="00F337DA"/>
    <w:rsid w:val="00F338FF"/>
    <w:rsid w:val="00F33DE9"/>
    <w:rsid w:val="00F34ABC"/>
    <w:rsid w:val="00F35105"/>
    <w:rsid w:val="00F3619A"/>
    <w:rsid w:val="00F37A75"/>
    <w:rsid w:val="00F4009C"/>
    <w:rsid w:val="00F40CC8"/>
    <w:rsid w:val="00F42C00"/>
    <w:rsid w:val="00F44BB4"/>
    <w:rsid w:val="00F460F5"/>
    <w:rsid w:val="00F46CB6"/>
    <w:rsid w:val="00F47899"/>
    <w:rsid w:val="00F53CAD"/>
    <w:rsid w:val="00F5503D"/>
    <w:rsid w:val="00F55E73"/>
    <w:rsid w:val="00F57446"/>
    <w:rsid w:val="00F625C6"/>
    <w:rsid w:val="00F62E21"/>
    <w:rsid w:val="00F636A5"/>
    <w:rsid w:val="00F63DC1"/>
    <w:rsid w:val="00F666C8"/>
    <w:rsid w:val="00F67A77"/>
    <w:rsid w:val="00F73EDF"/>
    <w:rsid w:val="00F7437A"/>
    <w:rsid w:val="00F80201"/>
    <w:rsid w:val="00F80E5D"/>
    <w:rsid w:val="00F81502"/>
    <w:rsid w:val="00F82551"/>
    <w:rsid w:val="00F83CA7"/>
    <w:rsid w:val="00F851CE"/>
    <w:rsid w:val="00F852FD"/>
    <w:rsid w:val="00F8559E"/>
    <w:rsid w:val="00F862A0"/>
    <w:rsid w:val="00F92E70"/>
    <w:rsid w:val="00F93285"/>
    <w:rsid w:val="00F97A78"/>
    <w:rsid w:val="00FA200C"/>
    <w:rsid w:val="00FA2229"/>
    <w:rsid w:val="00FB0F8B"/>
    <w:rsid w:val="00FB2FCB"/>
    <w:rsid w:val="00FB4462"/>
    <w:rsid w:val="00FB5339"/>
    <w:rsid w:val="00FB5798"/>
    <w:rsid w:val="00FB6340"/>
    <w:rsid w:val="00FC1074"/>
    <w:rsid w:val="00FC1396"/>
    <w:rsid w:val="00FC1884"/>
    <w:rsid w:val="00FC3934"/>
    <w:rsid w:val="00FC4A1E"/>
    <w:rsid w:val="00FC738F"/>
    <w:rsid w:val="00FD09AF"/>
    <w:rsid w:val="00FD2100"/>
    <w:rsid w:val="00FD286C"/>
    <w:rsid w:val="00FD30E3"/>
    <w:rsid w:val="00FD3759"/>
    <w:rsid w:val="00FD446D"/>
    <w:rsid w:val="00FD6482"/>
    <w:rsid w:val="00FD6B13"/>
    <w:rsid w:val="00FE25CE"/>
    <w:rsid w:val="00FE2F2D"/>
    <w:rsid w:val="00FE34C4"/>
    <w:rsid w:val="00FE39A5"/>
    <w:rsid w:val="00FE5DFE"/>
    <w:rsid w:val="00FE70B2"/>
    <w:rsid w:val="00FF145B"/>
    <w:rsid w:val="00FF3DCF"/>
    <w:rsid w:val="00FF43A1"/>
    <w:rsid w:val="00FF4F3C"/>
    <w:rsid w:val="00FF5AA3"/>
    <w:rsid w:val="00FF76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Document Map"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7738C"/>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958E3"/>
    <w:pPr>
      <w:widowControl/>
      <w:snapToGrid w:val="0"/>
      <w:outlineLvl w:val="1"/>
    </w:pPr>
    <w:rPr>
      <w:b/>
      <w:i/>
      <w:szCs w:val="22"/>
    </w:rPr>
  </w:style>
  <w:style w:type="paragraph" w:styleId="Heading3">
    <w:name w:val="heading 3"/>
    <w:aliases w:val="PBAC 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rsid w:val="004958E3"/>
    <w:rPr>
      <w:rFonts w:ascii="Arial" w:hAnsi="Arial" w:cs="Arial"/>
      <w:b/>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uiPriority w:val="99"/>
    <w:qFormat/>
    <w:rsid w:val="002025FE"/>
    <w:pPr>
      <w:numPr>
        <w:numId w:val="1"/>
      </w:numPr>
    </w:pPr>
    <w:rPr>
      <w:rFonts w:ascii="Arial" w:hAnsi="Arial" w:cs="Arial"/>
      <w:snapToGrid w:val="0"/>
      <w:sz w:val="22"/>
      <w:szCs w:val="22"/>
      <w:lang w:eastAsia="en-US"/>
    </w:rPr>
  </w:style>
  <w:style w:type="character" w:customStyle="1" w:styleId="SubtitleChar">
    <w:name w:val="Subtitle Char"/>
    <w:link w:val="Subtitle"/>
    <w:rsid w:val="00094458"/>
    <w:rPr>
      <w:lang w:eastAsia="en-US"/>
    </w:rPr>
  </w:style>
  <w:style w:type="paragraph" w:styleId="Subtitle">
    <w:name w:val="Subtitle"/>
    <w:basedOn w:val="Normal"/>
    <w:link w:val="SubtitleChar"/>
    <w:qFormat/>
    <w:rsid w:val="00094458"/>
    <w:pPr>
      <w:widowControl/>
    </w:pPr>
    <w:rPr>
      <w:rFonts w:ascii="Times New Roman" w:hAnsi="Times New Roman" w:cs="Times New Roman"/>
      <w:snapToGrid/>
      <w:sz w:val="20"/>
    </w:rPr>
  </w:style>
  <w:style w:type="character" w:customStyle="1" w:styleId="SubtitleChar1">
    <w:name w:val="Subtitle Char1"/>
    <w:basedOn w:val="DefaultParagraphFont"/>
    <w:rsid w:val="0009445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0">
    <w:name w:val="PBAC Heading 1"/>
    <w:qFormat/>
    <w:rsid w:val="00094458"/>
    <w:pPr>
      <w:ind w:left="720" w:hanging="720"/>
    </w:pPr>
    <w:rPr>
      <w:rFonts w:ascii="Arial" w:hAnsi="Arial" w:cs="Arial"/>
      <w:b/>
      <w:snapToGrid w:val="0"/>
      <w:sz w:val="22"/>
      <w:szCs w:val="22"/>
      <w:lang w:eastAsia="en-US"/>
    </w:rPr>
  </w:style>
  <w:style w:type="paragraph" w:customStyle="1" w:styleId="TableLetters">
    <w:name w:val="Table Letters"/>
    <w:basedOn w:val="Normal"/>
    <w:uiPriority w:val="3"/>
    <w:qFormat/>
    <w:rsid w:val="001642DA"/>
    <w:pPr>
      <w:widowControl/>
      <w:numPr>
        <w:numId w:val="3"/>
      </w:numPr>
      <w:jc w:val="left"/>
    </w:pPr>
    <w:rPr>
      <w:rFonts w:ascii="Candara" w:eastAsiaTheme="majorEastAsia" w:hAnsi="Candara" w:cstheme="majorBidi"/>
      <w:snapToGrid/>
      <w:sz w:val="20"/>
      <w:szCs w:val="22"/>
      <w:lang w:bidi="en-US"/>
    </w:rPr>
  </w:style>
  <w:style w:type="paragraph" w:styleId="FootnoteText">
    <w:name w:val="footnote text"/>
    <w:basedOn w:val="Normal"/>
    <w:link w:val="FootnoteTextChar"/>
    <w:uiPriority w:val="99"/>
    <w:unhideWhenUsed/>
    <w:rsid w:val="00062B77"/>
    <w:rPr>
      <w:sz w:val="24"/>
      <w:szCs w:val="24"/>
    </w:rPr>
  </w:style>
  <w:style w:type="character" w:customStyle="1" w:styleId="FootnoteTextChar">
    <w:name w:val="Footnote Text Char"/>
    <w:basedOn w:val="DefaultParagraphFont"/>
    <w:link w:val="FootnoteText"/>
    <w:uiPriority w:val="99"/>
    <w:rsid w:val="00062B77"/>
    <w:rPr>
      <w:rFonts w:ascii="Arial" w:hAnsi="Arial" w:cs="Arial"/>
      <w:snapToGrid w:val="0"/>
      <w:sz w:val="24"/>
      <w:szCs w:val="24"/>
      <w:lang w:eastAsia="en-US"/>
    </w:rPr>
  </w:style>
  <w:style w:type="character" w:styleId="FootnoteReference">
    <w:name w:val="footnote reference"/>
    <w:basedOn w:val="DefaultParagraphFont"/>
    <w:unhideWhenUsed/>
    <w:rsid w:val="00062B77"/>
    <w:rPr>
      <w:vertAlign w:val="superscript"/>
    </w:rPr>
  </w:style>
  <w:style w:type="paragraph" w:customStyle="1" w:styleId="EndNoteBibliographyTitle">
    <w:name w:val="EndNote Bibliography Title"/>
    <w:basedOn w:val="Normal"/>
    <w:uiPriority w:val="99"/>
    <w:rsid w:val="00062B77"/>
    <w:pPr>
      <w:jc w:val="center"/>
    </w:pPr>
    <w:rPr>
      <w:rFonts w:ascii="Arial Bold" w:hAnsi="Arial Bold" w:cs="Arial Bold"/>
      <w:lang w:val="en-US"/>
    </w:rPr>
  </w:style>
  <w:style w:type="paragraph" w:customStyle="1" w:styleId="EndNoteBibliography">
    <w:name w:val="EndNote Bibliography"/>
    <w:basedOn w:val="Normal"/>
    <w:uiPriority w:val="99"/>
    <w:rsid w:val="00062B77"/>
    <w:rPr>
      <w:rFonts w:ascii="Arial Bold" w:hAnsi="Arial Bold" w:cs="Arial Bold"/>
      <w:lang w:val="en-US"/>
    </w:rPr>
  </w:style>
  <w:style w:type="paragraph" w:styleId="EndnoteText">
    <w:name w:val="endnote text"/>
    <w:basedOn w:val="Normal"/>
    <w:link w:val="EndnoteTextChar"/>
    <w:uiPriority w:val="99"/>
    <w:semiHidden/>
    <w:unhideWhenUsed/>
    <w:rsid w:val="00C82D85"/>
    <w:rPr>
      <w:sz w:val="24"/>
      <w:szCs w:val="24"/>
    </w:rPr>
  </w:style>
  <w:style w:type="character" w:customStyle="1" w:styleId="EndnoteTextChar">
    <w:name w:val="Endnote Text Char"/>
    <w:basedOn w:val="DefaultParagraphFont"/>
    <w:link w:val="EndnoteText"/>
    <w:uiPriority w:val="99"/>
    <w:semiHidden/>
    <w:rsid w:val="00C82D85"/>
    <w:rPr>
      <w:rFonts w:ascii="Arial" w:hAnsi="Arial" w:cs="Arial"/>
      <w:snapToGrid w:val="0"/>
      <w:sz w:val="24"/>
      <w:szCs w:val="24"/>
      <w:lang w:eastAsia="en-US"/>
    </w:rPr>
  </w:style>
  <w:style w:type="character" w:styleId="EndnoteReference">
    <w:name w:val="endnote reference"/>
    <w:basedOn w:val="DefaultParagraphFont"/>
    <w:semiHidden/>
    <w:unhideWhenUsed/>
    <w:rsid w:val="00C82D85"/>
    <w:rPr>
      <w:vertAlign w:val="superscript"/>
    </w:rPr>
  </w:style>
  <w:style w:type="paragraph" w:styleId="Bibliography">
    <w:name w:val="Bibliography"/>
    <w:basedOn w:val="Normal"/>
    <w:next w:val="Normal"/>
    <w:uiPriority w:val="37"/>
    <w:unhideWhenUsed/>
    <w:rsid w:val="00FA2229"/>
    <w:pPr>
      <w:widowControl/>
      <w:spacing w:after="200" w:line="276" w:lineRule="auto"/>
      <w:jc w:val="left"/>
    </w:pPr>
    <w:rPr>
      <w:rFonts w:ascii="Candara" w:eastAsiaTheme="majorEastAsia" w:hAnsi="Candara" w:cstheme="majorBidi"/>
      <w:snapToGrid/>
      <w:sz w:val="24"/>
      <w:szCs w:val="22"/>
      <w:lang w:bidi="en-US"/>
    </w:rPr>
  </w:style>
  <w:style w:type="paragraph" w:customStyle="1" w:styleId="Table">
    <w:name w:val="Table"/>
    <w:basedOn w:val="Normal"/>
    <w:link w:val="TableChar"/>
    <w:qFormat/>
    <w:rsid w:val="00AF4776"/>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AF4776"/>
    <w:rPr>
      <w:rFonts w:ascii="Candara" w:eastAsiaTheme="majorEastAsia" w:hAnsi="Candara" w:cstheme="majorBidi"/>
      <w:szCs w:val="22"/>
      <w:lang w:eastAsia="en-US" w:bidi="en-US"/>
    </w:rPr>
  </w:style>
  <w:style w:type="paragraph" w:customStyle="1" w:styleId="TableCentre">
    <w:name w:val="Table Centre"/>
    <w:basedOn w:val="Table"/>
    <w:uiPriority w:val="99"/>
    <w:qFormat/>
    <w:rsid w:val="00AF4776"/>
    <w:pPr>
      <w:jc w:val="center"/>
    </w:pPr>
  </w:style>
  <w:style w:type="character" w:customStyle="1" w:styleId="SmallBold">
    <w:name w:val="Small Bold"/>
    <w:uiPriority w:val="4"/>
    <w:qFormat/>
    <w:rsid w:val="00653314"/>
    <w:rPr>
      <w:rFonts w:ascii="Candara" w:hAnsi="Candara"/>
      <w:b/>
      <w:sz w:val="20"/>
      <w:lang w:val="en-AU"/>
    </w:rPr>
  </w:style>
  <w:style w:type="table" w:customStyle="1" w:styleId="TableGrid1">
    <w:name w:val="Table Grid1"/>
    <w:basedOn w:val="TableNormal"/>
    <w:next w:val="TableGrid"/>
    <w:uiPriority w:val="59"/>
    <w:rsid w:val="00EF0448"/>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FollowedHyperlink">
    <w:name w:val="FollowedHyperlink"/>
    <w:basedOn w:val="DefaultParagraphFont"/>
    <w:semiHidden/>
    <w:unhideWhenUsed/>
    <w:rsid w:val="003F4B35"/>
    <w:rPr>
      <w:color w:val="800080" w:themeColor="followedHyperlink"/>
      <w:u w:val="single"/>
    </w:rPr>
  </w:style>
  <w:style w:type="paragraph" w:customStyle="1" w:styleId="NormalBulletList">
    <w:name w:val="Normal Bullet List"/>
    <w:basedOn w:val="Normal"/>
    <w:uiPriority w:val="3"/>
    <w:qFormat/>
    <w:rsid w:val="00E600CC"/>
    <w:pPr>
      <w:widowControl/>
      <w:numPr>
        <w:numId w:val="4"/>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customStyle="1" w:styleId="NormalBulletList2">
    <w:name w:val="Normal Bullet List 2"/>
    <w:basedOn w:val="NormalBulletList"/>
    <w:uiPriority w:val="99"/>
    <w:qFormat/>
    <w:rsid w:val="00E600CC"/>
    <w:pPr>
      <w:numPr>
        <w:ilvl w:val="1"/>
      </w:numPr>
      <w:spacing w:after="0"/>
      <w:ind w:left="709" w:hanging="357"/>
    </w:pPr>
  </w:style>
  <w:style w:type="paragraph" w:styleId="DocumentMap">
    <w:name w:val="Document Map"/>
    <w:basedOn w:val="Normal"/>
    <w:link w:val="DocumentMapChar"/>
    <w:uiPriority w:val="99"/>
    <w:semiHidden/>
    <w:unhideWhenUsed/>
    <w:rsid w:val="001268BF"/>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268BF"/>
    <w:rPr>
      <w:rFonts w:ascii="Lucida Grande" w:hAnsi="Lucida Grande" w:cs="Lucida Grande"/>
      <w:snapToGrid w:val="0"/>
      <w:sz w:val="24"/>
      <w:szCs w:val="24"/>
      <w:lang w:eastAsia="en-US"/>
    </w:rPr>
  </w:style>
  <w:style w:type="character" w:customStyle="1" w:styleId="Heading1Char">
    <w:name w:val="Heading 1 Char"/>
    <w:basedOn w:val="DefaultParagraphFont"/>
    <w:link w:val="Heading1"/>
    <w:rsid w:val="000110F3"/>
    <w:rPr>
      <w:rFonts w:ascii="Arial Bold" w:hAnsi="Arial Bold" w:cs="Arial"/>
      <w:b/>
      <w:caps/>
      <w:snapToGrid w:val="0"/>
      <w:sz w:val="22"/>
      <w:lang w:eastAsia="en-US"/>
    </w:rPr>
  </w:style>
  <w:style w:type="character" w:customStyle="1" w:styleId="Heading3Char">
    <w:name w:val="Heading 3 Char"/>
    <w:aliases w:val="PBAC Heading 3 Char"/>
    <w:basedOn w:val="DefaultParagraphFont"/>
    <w:link w:val="Heading3"/>
    <w:rsid w:val="000110F3"/>
    <w:rPr>
      <w:rFonts w:ascii="Arial" w:hAnsi="Arial" w:cs="Arial"/>
      <w:snapToGrid w:val="0"/>
      <w:sz w:val="22"/>
      <w:u w:val="single"/>
      <w:lang w:eastAsia="en-US"/>
    </w:rPr>
  </w:style>
  <w:style w:type="character" w:customStyle="1" w:styleId="Heading4Char">
    <w:name w:val="Heading 4 Char"/>
    <w:basedOn w:val="DefaultParagraphFont"/>
    <w:link w:val="Heading4"/>
    <w:rsid w:val="000110F3"/>
    <w:rPr>
      <w:rFonts w:ascii="Arial" w:hAnsi="Arial" w:cs="Arial"/>
      <w:b/>
      <w:bCs/>
      <w:i/>
      <w:snapToGrid w:val="0"/>
      <w:sz w:val="26"/>
      <w:szCs w:val="28"/>
      <w:lang w:eastAsia="en-US"/>
    </w:rPr>
  </w:style>
  <w:style w:type="character" w:customStyle="1" w:styleId="Heading5Char">
    <w:name w:val="Heading 5 Char"/>
    <w:basedOn w:val="DefaultParagraphFont"/>
    <w:link w:val="Heading5"/>
    <w:rsid w:val="000110F3"/>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0110F3"/>
    <w:rPr>
      <w:rFonts w:ascii="Arial" w:hAnsi="Arial" w:cs="Arial"/>
      <w:b/>
      <w:bCs/>
      <w:i/>
      <w:snapToGrid w:val="0"/>
      <w:sz w:val="22"/>
      <w:szCs w:val="22"/>
      <w:lang w:eastAsia="en-US"/>
    </w:rPr>
  </w:style>
  <w:style w:type="character" w:customStyle="1" w:styleId="HeaderChar1">
    <w:name w:val="Header Char1"/>
    <w:aliases w:val="Page Header Char1,Header title Char1,he=header Char1,cntr/bld Char1"/>
    <w:basedOn w:val="DefaultParagraphFont"/>
    <w:semiHidden/>
    <w:rsid w:val="000110F3"/>
    <w:rPr>
      <w:rFonts w:ascii="Arial" w:hAnsi="Arial" w:cs="Arial"/>
      <w:sz w:val="22"/>
      <w:lang w:eastAsia="en-US"/>
    </w:rPr>
  </w:style>
  <w:style w:type="character" w:customStyle="1" w:styleId="SmallUnderline">
    <w:name w:val="Small Underline"/>
    <w:basedOn w:val="DefaultParagraphFont"/>
    <w:uiPriority w:val="4"/>
    <w:qFormat/>
    <w:rsid w:val="000110F3"/>
    <w:rPr>
      <w:rFonts w:ascii="Candara" w:hAnsi="Candara" w:hint="default"/>
      <w:sz w:val="20"/>
      <w:u w:val="single"/>
    </w:rPr>
  </w:style>
  <w:style w:type="character" w:customStyle="1" w:styleId="SmallItalics">
    <w:name w:val="Small Italics"/>
    <w:basedOn w:val="DefaultParagraphFont"/>
    <w:uiPriority w:val="4"/>
    <w:qFormat/>
    <w:rsid w:val="000110F3"/>
    <w:rPr>
      <w:rFonts w:ascii="Candara" w:hAnsi="Candara" w:hint="default"/>
      <w:i/>
      <w:iCs w:val="0"/>
      <w:sz w:val="20"/>
    </w:rPr>
  </w:style>
  <w:style w:type="table" w:customStyle="1" w:styleId="Submissionstandard">
    <w:name w:val="Submission standard"/>
    <w:uiPriority w:val="99"/>
    <w:qFormat/>
    <w:rsid w:val="000110F3"/>
    <w:rPr>
      <w:rFonts w:ascii="Arial Narrow" w:hAnsi="Arial Narrow"/>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Albertus Medium" w:hAnsi="Albertus Medium" w:cs="Times New Roman" w:hint="default"/>
        <w:b/>
        <w:sz w:val="20"/>
        <w:szCs w:val="20"/>
      </w:rPr>
      <w:tblPr/>
      <w:tcPr>
        <w:shd w:val="clear" w:color="auto" w:fill="BFBFBF"/>
      </w:tcPr>
    </w:tblStylePr>
  </w:style>
  <w:style w:type="character" w:customStyle="1" w:styleId="apple-converted-space">
    <w:name w:val="apple-converted-space"/>
    <w:rsid w:val="00E51F74"/>
  </w:style>
  <w:style w:type="paragraph" w:customStyle="1" w:styleId="PBACTableText">
    <w:name w:val="PBAC Table Text"/>
    <w:basedOn w:val="Normal"/>
    <w:link w:val="PBACTableTextChar"/>
    <w:qFormat/>
    <w:rsid w:val="00B31973"/>
    <w:pPr>
      <w:widowControl/>
      <w:spacing w:before="40" w:after="40"/>
      <w:jc w:val="left"/>
    </w:pPr>
    <w:rPr>
      <w:rFonts w:ascii="News Gothic MT" w:eastAsia="SimSun" w:hAnsi="News Gothic MT" w:cs="Times New Roman"/>
      <w:snapToGrid/>
      <w:sz w:val="20"/>
      <w:lang w:val="en-US"/>
    </w:rPr>
  </w:style>
  <w:style w:type="character" w:customStyle="1" w:styleId="PBACTableTextChar">
    <w:name w:val="PBAC Table Text Char"/>
    <w:basedOn w:val="DefaultParagraphFont"/>
    <w:link w:val="PBACTableText"/>
    <w:rsid w:val="00B31973"/>
    <w:rPr>
      <w:rFonts w:ascii="News Gothic MT" w:eastAsia="SimSun" w:hAnsi="News Gothic MT"/>
      <w:lang w:val="en-US" w:eastAsia="en-US"/>
    </w:rPr>
  </w:style>
  <w:style w:type="paragraph" w:customStyle="1" w:styleId="PBACHeading4">
    <w:name w:val="PBAC Heading 4"/>
    <w:basedOn w:val="Normal"/>
    <w:next w:val="Normal"/>
    <w:qFormat/>
    <w:rsid w:val="00B31973"/>
    <w:pPr>
      <w:keepNext/>
      <w:widowControl/>
      <w:tabs>
        <w:tab w:val="num" w:pos="1418"/>
      </w:tabs>
      <w:spacing w:before="120" w:after="120"/>
      <w:ind w:left="1418" w:hanging="1418"/>
    </w:pPr>
    <w:rPr>
      <w:rFonts w:ascii="Sabon" w:eastAsia="SimSun" w:hAnsi="Sabon" w:cs="Times New Roman"/>
      <w:b/>
      <w:snapToGrid/>
      <w:szCs w:val="24"/>
    </w:rPr>
  </w:style>
  <w:style w:type="paragraph" w:customStyle="1" w:styleId="PBACTableTextBoldLeft">
    <w:name w:val="PBAC Table Text + Bold + Left"/>
    <w:basedOn w:val="PBACTableText"/>
    <w:qFormat/>
    <w:rsid w:val="00B31973"/>
    <w:pPr>
      <w:keepNext/>
    </w:pPr>
    <w:rPr>
      <w:b/>
      <w:bC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8637D"/>
    <w:pPr>
      <w:widowControl/>
      <w:spacing w:after="160" w:line="240" w:lineRule="exact"/>
      <w:jc w:val="left"/>
    </w:pPr>
    <w:rPr>
      <w:rFonts w:ascii="Verdana" w:eastAsia="MS Mincho" w:hAnsi="Verdana" w:cs="Verdana"/>
      <w:snapToGrid/>
      <w:sz w:val="20"/>
      <w:lang w:val="en-US"/>
    </w:rPr>
  </w:style>
  <w:style w:type="table" w:customStyle="1" w:styleId="TableGrid2">
    <w:name w:val="Table Grid2"/>
    <w:basedOn w:val="TableNormal"/>
    <w:next w:val="TableGrid"/>
    <w:uiPriority w:val="59"/>
    <w:rsid w:val="004143AF"/>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25E9"/>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72"/>
    <w:rsid w:val="007D4EA3"/>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Document Map"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7738C"/>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958E3"/>
    <w:pPr>
      <w:widowControl/>
      <w:snapToGrid w:val="0"/>
      <w:outlineLvl w:val="1"/>
    </w:pPr>
    <w:rPr>
      <w:b/>
      <w:i/>
      <w:szCs w:val="22"/>
    </w:rPr>
  </w:style>
  <w:style w:type="paragraph" w:styleId="Heading3">
    <w:name w:val="heading 3"/>
    <w:aliases w:val="PBAC 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rsid w:val="004958E3"/>
    <w:rPr>
      <w:rFonts w:ascii="Arial" w:hAnsi="Arial" w:cs="Arial"/>
      <w:b/>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uiPriority w:val="99"/>
    <w:qFormat/>
    <w:rsid w:val="002025FE"/>
    <w:pPr>
      <w:numPr>
        <w:numId w:val="1"/>
      </w:numPr>
    </w:pPr>
    <w:rPr>
      <w:rFonts w:ascii="Arial" w:hAnsi="Arial" w:cs="Arial"/>
      <w:snapToGrid w:val="0"/>
      <w:sz w:val="22"/>
      <w:szCs w:val="22"/>
      <w:lang w:eastAsia="en-US"/>
    </w:rPr>
  </w:style>
  <w:style w:type="character" w:customStyle="1" w:styleId="SubtitleChar">
    <w:name w:val="Subtitle Char"/>
    <w:link w:val="Subtitle"/>
    <w:rsid w:val="00094458"/>
    <w:rPr>
      <w:lang w:eastAsia="en-US"/>
    </w:rPr>
  </w:style>
  <w:style w:type="paragraph" w:styleId="Subtitle">
    <w:name w:val="Subtitle"/>
    <w:basedOn w:val="Normal"/>
    <w:link w:val="SubtitleChar"/>
    <w:qFormat/>
    <w:rsid w:val="00094458"/>
    <w:pPr>
      <w:widowControl/>
    </w:pPr>
    <w:rPr>
      <w:rFonts w:ascii="Times New Roman" w:hAnsi="Times New Roman" w:cs="Times New Roman"/>
      <w:snapToGrid/>
      <w:sz w:val="20"/>
    </w:rPr>
  </w:style>
  <w:style w:type="character" w:customStyle="1" w:styleId="SubtitleChar1">
    <w:name w:val="Subtitle Char1"/>
    <w:basedOn w:val="DefaultParagraphFont"/>
    <w:rsid w:val="0009445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0">
    <w:name w:val="PBAC Heading 1"/>
    <w:qFormat/>
    <w:rsid w:val="00094458"/>
    <w:pPr>
      <w:ind w:left="720" w:hanging="720"/>
    </w:pPr>
    <w:rPr>
      <w:rFonts w:ascii="Arial" w:hAnsi="Arial" w:cs="Arial"/>
      <w:b/>
      <w:snapToGrid w:val="0"/>
      <w:sz w:val="22"/>
      <w:szCs w:val="22"/>
      <w:lang w:eastAsia="en-US"/>
    </w:rPr>
  </w:style>
  <w:style w:type="paragraph" w:customStyle="1" w:styleId="TableLetters">
    <w:name w:val="Table Letters"/>
    <w:basedOn w:val="Normal"/>
    <w:uiPriority w:val="3"/>
    <w:qFormat/>
    <w:rsid w:val="001642DA"/>
    <w:pPr>
      <w:widowControl/>
      <w:numPr>
        <w:numId w:val="3"/>
      </w:numPr>
      <w:jc w:val="left"/>
    </w:pPr>
    <w:rPr>
      <w:rFonts w:ascii="Candara" w:eastAsiaTheme="majorEastAsia" w:hAnsi="Candara" w:cstheme="majorBidi"/>
      <w:snapToGrid/>
      <w:sz w:val="20"/>
      <w:szCs w:val="22"/>
      <w:lang w:bidi="en-US"/>
    </w:rPr>
  </w:style>
  <w:style w:type="paragraph" w:styleId="FootnoteText">
    <w:name w:val="footnote text"/>
    <w:basedOn w:val="Normal"/>
    <w:link w:val="FootnoteTextChar"/>
    <w:uiPriority w:val="99"/>
    <w:unhideWhenUsed/>
    <w:rsid w:val="00062B77"/>
    <w:rPr>
      <w:sz w:val="24"/>
      <w:szCs w:val="24"/>
    </w:rPr>
  </w:style>
  <w:style w:type="character" w:customStyle="1" w:styleId="FootnoteTextChar">
    <w:name w:val="Footnote Text Char"/>
    <w:basedOn w:val="DefaultParagraphFont"/>
    <w:link w:val="FootnoteText"/>
    <w:uiPriority w:val="99"/>
    <w:rsid w:val="00062B77"/>
    <w:rPr>
      <w:rFonts w:ascii="Arial" w:hAnsi="Arial" w:cs="Arial"/>
      <w:snapToGrid w:val="0"/>
      <w:sz w:val="24"/>
      <w:szCs w:val="24"/>
      <w:lang w:eastAsia="en-US"/>
    </w:rPr>
  </w:style>
  <w:style w:type="character" w:styleId="FootnoteReference">
    <w:name w:val="footnote reference"/>
    <w:basedOn w:val="DefaultParagraphFont"/>
    <w:unhideWhenUsed/>
    <w:rsid w:val="00062B77"/>
    <w:rPr>
      <w:vertAlign w:val="superscript"/>
    </w:rPr>
  </w:style>
  <w:style w:type="paragraph" w:customStyle="1" w:styleId="EndNoteBibliographyTitle">
    <w:name w:val="EndNote Bibliography Title"/>
    <w:basedOn w:val="Normal"/>
    <w:uiPriority w:val="99"/>
    <w:rsid w:val="00062B77"/>
    <w:pPr>
      <w:jc w:val="center"/>
    </w:pPr>
    <w:rPr>
      <w:rFonts w:ascii="Arial Bold" w:hAnsi="Arial Bold" w:cs="Arial Bold"/>
      <w:lang w:val="en-US"/>
    </w:rPr>
  </w:style>
  <w:style w:type="paragraph" w:customStyle="1" w:styleId="EndNoteBibliography">
    <w:name w:val="EndNote Bibliography"/>
    <w:basedOn w:val="Normal"/>
    <w:uiPriority w:val="99"/>
    <w:rsid w:val="00062B77"/>
    <w:rPr>
      <w:rFonts w:ascii="Arial Bold" w:hAnsi="Arial Bold" w:cs="Arial Bold"/>
      <w:lang w:val="en-US"/>
    </w:rPr>
  </w:style>
  <w:style w:type="paragraph" w:styleId="EndnoteText">
    <w:name w:val="endnote text"/>
    <w:basedOn w:val="Normal"/>
    <w:link w:val="EndnoteTextChar"/>
    <w:uiPriority w:val="99"/>
    <w:semiHidden/>
    <w:unhideWhenUsed/>
    <w:rsid w:val="00C82D85"/>
    <w:rPr>
      <w:sz w:val="24"/>
      <w:szCs w:val="24"/>
    </w:rPr>
  </w:style>
  <w:style w:type="character" w:customStyle="1" w:styleId="EndnoteTextChar">
    <w:name w:val="Endnote Text Char"/>
    <w:basedOn w:val="DefaultParagraphFont"/>
    <w:link w:val="EndnoteText"/>
    <w:uiPriority w:val="99"/>
    <w:semiHidden/>
    <w:rsid w:val="00C82D85"/>
    <w:rPr>
      <w:rFonts w:ascii="Arial" w:hAnsi="Arial" w:cs="Arial"/>
      <w:snapToGrid w:val="0"/>
      <w:sz w:val="24"/>
      <w:szCs w:val="24"/>
      <w:lang w:eastAsia="en-US"/>
    </w:rPr>
  </w:style>
  <w:style w:type="character" w:styleId="EndnoteReference">
    <w:name w:val="endnote reference"/>
    <w:basedOn w:val="DefaultParagraphFont"/>
    <w:semiHidden/>
    <w:unhideWhenUsed/>
    <w:rsid w:val="00C82D85"/>
    <w:rPr>
      <w:vertAlign w:val="superscript"/>
    </w:rPr>
  </w:style>
  <w:style w:type="paragraph" w:styleId="Bibliography">
    <w:name w:val="Bibliography"/>
    <w:basedOn w:val="Normal"/>
    <w:next w:val="Normal"/>
    <w:uiPriority w:val="37"/>
    <w:unhideWhenUsed/>
    <w:rsid w:val="00FA2229"/>
    <w:pPr>
      <w:widowControl/>
      <w:spacing w:after="200" w:line="276" w:lineRule="auto"/>
      <w:jc w:val="left"/>
    </w:pPr>
    <w:rPr>
      <w:rFonts w:ascii="Candara" w:eastAsiaTheme="majorEastAsia" w:hAnsi="Candara" w:cstheme="majorBidi"/>
      <w:snapToGrid/>
      <w:sz w:val="24"/>
      <w:szCs w:val="22"/>
      <w:lang w:bidi="en-US"/>
    </w:rPr>
  </w:style>
  <w:style w:type="paragraph" w:customStyle="1" w:styleId="Table">
    <w:name w:val="Table"/>
    <w:basedOn w:val="Normal"/>
    <w:link w:val="TableChar"/>
    <w:qFormat/>
    <w:rsid w:val="00AF4776"/>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AF4776"/>
    <w:rPr>
      <w:rFonts w:ascii="Candara" w:eastAsiaTheme="majorEastAsia" w:hAnsi="Candara" w:cstheme="majorBidi"/>
      <w:szCs w:val="22"/>
      <w:lang w:eastAsia="en-US" w:bidi="en-US"/>
    </w:rPr>
  </w:style>
  <w:style w:type="paragraph" w:customStyle="1" w:styleId="TableCentre">
    <w:name w:val="Table Centre"/>
    <w:basedOn w:val="Table"/>
    <w:uiPriority w:val="99"/>
    <w:qFormat/>
    <w:rsid w:val="00AF4776"/>
    <w:pPr>
      <w:jc w:val="center"/>
    </w:pPr>
  </w:style>
  <w:style w:type="character" w:customStyle="1" w:styleId="SmallBold">
    <w:name w:val="Small Bold"/>
    <w:uiPriority w:val="4"/>
    <w:qFormat/>
    <w:rsid w:val="00653314"/>
    <w:rPr>
      <w:rFonts w:ascii="Candara" w:hAnsi="Candara"/>
      <w:b/>
      <w:sz w:val="20"/>
      <w:lang w:val="en-AU"/>
    </w:rPr>
  </w:style>
  <w:style w:type="table" w:customStyle="1" w:styleId="TableGrid1">
    <w:name w:val="Table Grid1"/>
    <w:basedOn w:val="TableNormal"/>
    <w:next w:val="TableGrid"/>
    <w:uiPriority w:val="59"/>
    <w:rsid w:val="00EF0448"/>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FollowedHyperlink">
    <w:name w:val="FollowedHyperlink"/>
    <w:basedOn w:val="DefaultParagraphFont"/>
    <w:semiHidden/>
    <w:unhideWhenUsed/>
    <w:rsid w:val="003F4B35"/>
    <w:rPr>
      <w:color w:val="800080" w:themeColor="followedHyperlink"/>
      <w:u w:val="single"/>
    </w:rPr>
  </w:style>
  <w:style w:type="paragraph" w:customStyle="1" w:styleId="NormalBulletList">
    <w:name w:val="Normal Bullet List"/>
    <w:basedOn w:val="Normal"/>
    <w:uiPriority w:val="3"/>
    <w:qFormat/>
    <w:rsid w:val="00E600CC"/>
    <w:pPr>
      <w:widowControl/>
      <w:numPr>
        <w:numId w:val="4"/>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customStyle="1" w:styleId="NormalBulletList2">
    <w:name w:val="Normal Bullet List 2"/>
    <w:basedOn w:val="NormalBulletList"/>
    <w:uiPriority w:val="99"/>
    <w:qFormat/>
    <w:rsid w:val="00E600CC"/>
    <w:pPr>
      <w:numPr>
        <w:ilvl w:val="1"/>
      </w:numPr>
      <w:spacing w:after="0"/>
      <w:ind w:left="709" w:hanging="357"/>
    </w:pPr>
  </w:style>
  <w:style w:type="paragraph" w:styleId="DocumentMap">
    <w:name w:val="Document Map"/>
    <w:basedOn w:val="Normal"/>
    <w:link w:val="DocumentMapChar"/>
    <w:uiPriority w:val="99"/>
    <w:semiHidden/>
    <w:unhideWhenUsed/>
    <w:rsid w:val="001268BF"/>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268BF"/>
    <w:rPr>
      <w:rFonts w:ascii="Lucida Grande" w:hAnsi="Lucida Grande" w:cs="Lucida Grande"/>
      <w:snapToGrid w:val="0"/>
      <w:sz w:val="24"/>
      <w:szCs w:val="24"/>
      <w:lang w:eastAsia="en-US"/>
    </w:rPr>
  </w:style>
  <w:style w:type="character" w:customStyle="1" w:styleId="Heading1Char">
    <w:name w:val="Heading 1 Char"/>
    <w:basedOn w:val="DefaultParagraphFont"/>
    <w:link w:val="Heading1"/>
    <w:rsid w:val="000110F3"/>
    <w:rPr>
      <w:rFonts w:ascii="Arial Bold" w:hAnsi="Arial Bold" w:cs="Arial"/>
      <w:b/>
      <w:caps/>
      <w:snapToGrid w:val="0"/>
      <w:sz w:val="22"/>
      <w:lang w:eastAsia="en-US"/>
    </w:rPr>
  </w:style>
  <w:style w:type="character" w:customStyle="1" w:styleId="Heading3Char">
    <w:name w:val="Heading 3 Char"/>
    <w:aliases w:val="PBAC Heading 3 Char"/>
    <w:basedOn w:val="DefaultParagraphFont"/>
    <w:link w:val="Heading3"/>
    <w:rsid w:val="000110F3"/>
    <w:rPr>
      <w:rFonts w:ascii="Arial" w:hAnsi="Arial" w:cs="Arial"/>
      <w:snapToGrid w:val="0"/>
      <w:sz w:val="22"/>
      <w:u w:val="single"/>
      <w:lang w:eastAsia="en-US"/>
    </w:rPr>
  </w:style>
  <w:style w:type="character" w:customStyle="1" w:styleId="Heading4Char">
    <w:name w:val="Heading 4 Char"/>
    <w:basedOn w:val="DefaultParagraphFont"/>
    <w:link w:val="Heading4"/>
    <w:rsid w:val="000110F3"/>
    <w:rPr>
      <w:rFonts w:ascii="Arial" w:hAnsi="Arial" w:cs="Arial"/>
      <w:b/>
      <w:bCs/>
      <w:i/>
      <w:snapToGrid w:val="0"/>
      <w:sz w:val="26"/>
      <w:szCs w:val="28"/>
      <w:lang w:eastAsia="en-US"/>
    </w:rPr>
  </w:style>
  <w:style w:type="character" w:customStyle="1" w:styleId="Heading5Char">
    <w:name w:val="Heading 5 Char"/>
    <w:basedOn w:val="DefaultParagraphFont"/>
    <w:link w:val="Heading5"/>
    <w:rsid w:val="000110F3"/>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0110F3"/>
    <w:rPr>
      <w:rFonts w:ascii="Arial" w:hAnsi="Arial" w:cs="Arial"/>
      <w:b/>
      <w:bCs/>
      <w:i/>
      <w:snapToGrid w:val="0"/>
      <w:sz w:val="22"/>
      <w:szCs w:val="22"/>
      <w:lang w:eastAsia="en-US"/>
    </w:rPr>
  </w:style>
  <w:style w:type="character" w:customStyle="1" w:styleId="HeaderChar1">
    <w:name w:val="Header Char1"/>
    <w:aliases w:val="Page Header Char1,Header title Char1,he=header Char1,cntr/bld Char1"/>
    <w:basedOn w:val="DefaultParagraphFont"/>
    <w:semiHidden/>
    <w:rsid w:val="000110F3"/>
    <w:rPr>
      <w:rFonts w:ascii="Arial" w:hAnsi="Arial" w:cs="Arial"/>
      <w:sz w:val="22"/>
      <w:lang w:eastAsia="en-US"/>
    </w:rPr>
  </w:style>
  <w:style w:type="character" w:customStyle="1" w:styleId="SmallUnderline">
    <w:name w:val="Small Underline"/>
    <w:basedOn w:val="DefaultParagraphFont"/>
    <w:uiPriority w:val="4"/>
    <w:qFormat/>
    <w:rsid w:val="000110F3"/>
    <w:rPr>
      <w:rFonts w:ascii="Candara" w:hAnsi="Candara" w:hint="default"/>
      <w:sz w:val="20"/>
      <w:u w:val="single"/>
    </w:rPr>
  </w:style>
  <w:style w:type="character" w:customStyle="1" w:styleId="SmallItalics">
    <w:name w:val="Small Italics"/>
    <w:basedOn w:val="DefaultParagraphFont"/>
    <w:uiPriority w:val="4"/>
    <w:qFormat/>
    <w:rsid w:val="000110F3"/>
    <w:rPr>
      <w:rFonts w:ascii="Candara" w:hAnsi="Candara" w:hint="default"/>
      <w:i/>
      <w:iCs w:val="0"/>
      <w:sz w:val="20"/>
    </w:rPr>
  </w:style>
  <w:style w:type="table" w:customStyle="1" w:styleId="Submissionstandard">
    <w:name w:val="Submission standard"/>
    <w:uiPriority w:val="99"/>
    <w:qFormat/>
    <w:rsid w:val="000110F3"/>
    <w:rPr>
      <w:rFonts w:ascii="Arial Narrow" w:hAnsi="Arial Narrow"/>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Albertus Medium" w:hAnsi="Albertus Medium" w:cs="Times New Roman" w:hint="default"/>
        <w:b/>
        <w:sz w:val="20"/>
        <w:szCs w:val="20"/>
      </w:rPr>
      <w:tblPr/>
      <w:tcPr>
        <w:shd w:val="clear" w:color="auto" w:fill="BFBFBF"/>
      </w:tcPr>
    </w:tblStylePr>
  </w:style>
  <w:style w:type="character" w:customStyle="1" w:styleId="apple-converted-space">
    <w:name w:val="apple-converted-space"/>
    <w:rsid w:val="00E51F74"/>
  </w:style>
  <w:style w:type="paragraph" w:customStyle="1" w:styleId="PBACTableText">
    <w:name w:val="PBAC Table Text"/>
    <w:basedOn w:val="Normal"/>
    <w:link w:val="PBACTableTextChar"/>
    <w:qFormat/>
    <w:rsid w:val="00B31973"/>
    <w:pPr>
      <w:widowControl/>
      <w:spacing w:before="40" w:after="40"/>
      <w:jc w:val="left"/>
    </w:pPr>
    <w:rPr>
      <w:rFonts w:ascii="News Gothic MT" w:eastAsia="SimSun" w:hAnsi="News Gothic MT" w:cs="Times New Roman"/>
      <w:snapToGrid/>
      <w:sz w:val="20"/>
      <w:lang w:val="en-US"/>
    </w:rPr>
  </w:style>
  <w:style w:type="character" w:customStyle="1" w:styleId="PBACTableTextChar">
    <w:name w:val="PBAC Table Text Char"/>
    <w:basedOn w:val="DefaultParagraphFont"/>
    <w:link w:val="PBACTableText"/>
    <w:rsid w:val="00B31973"/>
    <w:rPr>
      <w:rFonts w:ascii="News Gothic MT" w:eastAsia="SimSun" w:hAnsi="News Gothic MT"/>
      <w:lang w:val="en-US" w:eastAsia="en-US"/>
    </w:rPr>
  </w:style>
  <w:style w:type="paragraph" w:customStyle="1" w:styleId="PBACHeading4">
    <w:name w:val="PBAC Heading 4"/>
    <w:basedOn w:val="Normal"/>
    <w:next w:val="Normal"/>
    <w:qFormat/>
    <w:rsid w:val="00B31973"/>
    <w:pPr>
      <w:keepNext/>
      <w:widowControl/>
      <w:tabs>
        <w:tab w:val="num" w:pos="1418"/>
      </w:tabs>
      <w:spacing w:before="120" w:after="120"/>
      <w:ind w:left="1418" w:hanging="1418"/>
    </w:pPr>
    <w:rPr>
      <w:rFonts w:ascii="Sabon" w:eastAsia="SimSun" w:hAnsi="Sabon" w:cs="Times New Roman"/>
      <w:b/>
      <w:snapToGrid/>
      <w:szCs w:val="24"/>
    </w:rPr>
  </w:style>
  <w:style w:type="paragraph" w:customStyle="1" w:styleId="PBACTableTextBoldLeft">
    <w:name w:val="PBAC Table Text + Bold + Left"/>
    <w:basedOn w:val="PBACTableText"/>
    <w:qFormat/>
    <w:rsid w:val="00B31973"/>
    <w:pPr>
      <w:keepNext/>
    </w:pPr>
    <w:rPr>
      <w:b/>
      <w:bC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8637D"/>
    <w:pPr>
      <w:widowControl/>
      <w:spacing w:after="160" w:line="240" w:lineRule="exact"/>
      <w:jc w:val="left"/>
    </w:pPr>
    <w:rPr>
      <w:rFonts w:ascii="Verdana" w:eastAsia="MS Mincho" w:hAnsi="Verdana" w:cs="Verdana"/>
      <w:snapToGrid/>
      <w:sz w:val="20"/>
      <w:lang w:val="en-US"/>
    </w:rPr>
  </w:style>
  <w:style w:type="table" w:customStyle="1" w:styleId="TableGrid2">
    <w:name w:val="Table Grid2"/>
    <w:basedOn w:val="TableNormal"/>
    <w:next w:val="TableGrid"/>
    <w:uiPriority w:val="59"/>
    <w:rsid w:val="004143AF"/>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25E9"/>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72"/>
    <w:rsid w:val="007D4EA3"/>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759">
      <w:bodyDiv w:val="1"/>
      <w:marLeft w:val="0"/>
      <w:marRight w:val="0"/>
      <w:marTop w:val="0"/>
      <w:marBottom w:val="0"/>
      <w:divBdr>
        <w:top w:val="none" w:sz="0" w:space="0" w:color="auto"/>
        <w:left w:val="none" w:sz="0" w:space="0" w:color="auto"/>
        <w:bottom w:val="none" w:sz="0" w:space="0" w:color="auto"/>
        <w:right w:val="none" w:sz="0" w:space="0" w:color="auto"/>
      </w:divBdr>
    </w:div>
    <w:div w:id="270355492">
      <w:bodyDiv w:val="1"/>
      <w:marLeft w:val="0"/>
      <w:marRight w:val="0"/>
      <w:marTop w:val="0"/>
      <w:marBottom w:val="0"/>
      <w:divBdr>
        <w:top w:val="none" w:sz="0" w:space="0" w:color="auto"/>
        <w:left w:val="none" w:sz="0" w:space="0" w:color="auto"/>
        <w:bottom w:val="none" w:sz="0" w:space="0" w:color="auto"/>
        <w:right w:val="none" w:sz="0" w:space="0" w:color="auto"/>
      </w:divBdr>
    </w:div>
    <w:div w:id="306399917">
      <w:bodyDiv w:val="1"/>
      <w:marLeft w:val="0"/>
      <w:marRight w:val="0"/>
      <w:marTop w:val="0"/>
      <w:marBottom w:val="0"/>
      <w:divBdr>
        <w:top w:val="none" w:sz="0" w:space="0" w:color="auto"/>
        <w:left w:val="none" w:sz="0" w:space="0" w:color="auto"/>
        <w:bottom w:val="none" w:sz="0" w:space="0" w:color="auto"/>
        <w:right w:val="none" w:sz="0" w:space="0" w:color="auto"/>
      </w:divBdr>
    </w:div>
    <w:div w:id="334185816">
      <w:bodyDiv w:val="1"/>
      <w:marLeft w:val="0"/>
      <w:marRight w:val="0"/>
      <w:marTop w:val="0"/>
      <w:marBottom w:val="0"/>
      <w:divBdr>
        <w:top w:val="none" w:sz="0" w:space="0" w:color="auto"/>
        <w:left w:val="none" w:sz="0" w:space="0" w:color="auto"/>
        <w:bottom w:val="none" w:sz="0" w:space="0" w:color="auto"/>
        <w:right w:val="none" w:sz="0" w:space="0" w:color="auto"/>
      </w:divBdr>
    </w:div>
    <w:div w:id="498429800">
      <w:bodyDiv w:val="1"/>
      <w:marLeft w:val="0"/>
      <w:marRight w:val="0"/>
      <w:marTop w:val="0"/>
      <w:marBottom w:val="0"/>
      <w:divBdr>
        <w:top w:val="none" w:sz="0" w:space="0" w:color="auto"/>
        <w:left w:val="none" w:sz="0" w:space="0" w:color="auto"/>
        <w:bottom w:val="none" w:sz="0" w:space="0" w:color="auto"/>
        <w:right w:val="none" w:sz="0" w:space="0" w:color="auto"/>
      </w:divBdr>
    </w:div>
    <w:div w:id="619998634">
      <w:bodyDiv w:val="1"/>
      <w:marLeft w:val="0"/>
      <w:marRight w:val="0"/>
      <w:marTop w:val="0"/>
      <w:marBottom w:val="0"/>
      <w:divBdr>
        <w:top w:val="none" w:sz="0" w:space="0" w:color="auto"/>
        <w:left w:val="none" w:sz="0" w:space="0" w:color="auto"/>
        <w:bottom w:val="none" w:sz="0" w:space="0" w:color="auto"/>
        <w:right w:val="none" w:sz="0" w:space="0" w:color="auto"/>
      </w:divBdr>
    </w:div>
    <w:div w:id="699432788">
      <w:bodyDiv w:val="1"/>
      <w:marLeft w:val="0"/>
      <w:marRight w:val="0"/>
      <w:marTop w:val="0"/>
      <w:marBottom w:val="0"/>
      <w:divBdr>
        <w:top w:val="none" w:sz="0" w:space="0" w:color="auto"/>
        <w:left w:val="none" w:sz="0" w:space="0" w:color="auto"/>
        <w:bottom w:val="none" w:sz="0" w:space="0" w:color="auto"/>
        <w:right w:val="none" w:sz="0" w:space="0" w:color="auto"/>
      </w:divBdr>
    </w:div>
    <w:div w:id="914629605">
      <w:bodyDiv w:val="1"/>
      <w:marLeft w:val="0"/>
      <w:marRight w:val="0"/>
      <w:marTop w:val="0"/>
      <w:marBottom w:val="0"/>
      <w:divBdr>
        <w:top w:val="none" w:sz="0" w:space="0" w:color="auto"/>
        <w:left w:val="none" w:sz="0" w:space="0" w:color="auto"/>
        <w:bottom w:val="none" w:sz="0" w:space="0" w:color="auto"/>
        <w:right w:val="none" w:sz="0" w:space="0" w:color="auto"/>
      </w:divBdr>
    </w:div>
    <w:div w:id="997659924">
      <w:bodyDiv w:val="1"/>
      <w:marLeft w:val="0"/>
      <w:marRight w:val="0"/>
      <w:marTop w:val="0"/>
      <w:marBottom w:val="0"/>
      <w:divBdr>
        <w:top w:val="none" w:sz="0" w:space="0" w:color="auto"/>
        <w:left w:val="none" w:sz="0" w:space="0" w:color="auto"/>
        <w:bottom w:val="none" w:sz="0" w:space="0" w:color="auto"/>
        <w:right w:val="none" w:sz="0" w:space="0" w:color="auto"/>
      </w:divBdr>
    </w:div>
    <w:div w:id="1006834261">
      <w:bodyDiv w:val="1"/>
      <w:marLeft w:val="0"/>
      <w:marRight w:val="0"/>
      <w:marTop w:val="0"/>
      <w:marBottom w:val="0"/>
      <w:divBdr>
        <w:top w:val="none" w:sz="0" w:space="0" w:color="auto"/>
        <w:left w:val="none" w:sz="0" w:space="0" w:color="auto"/>
        <w:bottom w:val="none" w:sz="0" w:space="0" w:color="auto"/>
        <w:right w:val="none" w:sz="0" w:space="0" w:color="auto"/>
      </w:divBdr>
    </w:div>
    <w:div w:id="1038774342">
      <w:bodyDiv w:val="1"/>
      <w:marLeft w:val="0"/>
      <w:marRight w:val="0"/>
      <w:marTop w:val="0"/>
      <w:marBottom w:val="0"/>
      <w:divBdr>
        <w:top w:val="none" w:sz="0" w:space="0" w:color="auto"/>
        <w:left w:val="none" w:sz="0" w:space="0" w:color="auto"/>
        <w:bottom w:val="none" w:sz="0" w:space="0" w:color="auto"/>
        <w:right w:val="none" w:sz="0" w:space="0" w:color="auto"/>
      </w:divBdr>
    </w:div>
    <w:div w:id="1145851309">
      <w:bodyDiv w:val="1"/>
      <w:marLeft w:val="0"/>
      <w:marRight w:val="0"/>
      <w:marTop w:val="0"/>
      <w:marBottom w:val="0"/>
      <w:divBdr>
        <w:top w:val="none" w:sz="0" w:space="0" w:color="auto"/>
        <w:left w:val="none" w:sz="0" w:space="0" w:color="auto"/>
        <w:bottom w:val="none" w:sz="0" w:space="0" w:color="auto"/>
        <w:right w:val="none" w:sz="0" w:space="0" w:color="auto"/>
      </w:divBdr>
    </w:div>
    <w:div w:id="1373505593">
      <w:bodyDiv w:val="1"/>
      <w:marLeft w:val="0"/>
      <w:marRight w:val="0"/>
      <w:marTop w:val="0"/>
      <w:marBottom w:val="0"/>
      <w:divBdr>
        <w:top w:val="none" w:sz="0" w:space="0" w:color="auto"/>
        <w:left w:val="none" w:sz="0" w:space="0" w:color="auto"/>
        <w:bottom w:val="none" w:sz="0" w:space="0" w:color="auto"/>
        <w:right w:val="none" w:sz="0" w:space="0" w:color="auto"/>
      </w:divBdr>
    </w:div>
    <w:div w:id="1514539031">
      <w:bodyDiv w:val="1"/>
      <w:marLeft w:val="0"/>
      <w:marRight w:val="0"/>
      <w:marTop w:val="0"/>
      <w:marBottom w:val="0"/>
      <w:divBdr>
        <w:top w:val="none" w:sz="0" w:space="0" w:color="auto"/>
        <w:left w:val="none" w:sz="0" w:space="0" w:color="auto"/>
        <w:bottom w:val="none" w:sz="0" w:space="0" w:color="auto"/>
        <w:right w:val="none" w:sz="0" w:space="0" w:color="auto"/>
      </w:divBdr>
    </w:div>
    <w:div w:id="1547447645">
      <w:bodyDiv w:val="1"/>
      <w:marLeft w:val="0"/>
      <w:marRight w:val="0"/>
      <w:marTop w:val="0"/>
      <w:marBottom w:val="0"/>
      <w:divBdr>
        <w:top w:val="none" w:sz="0" w:space="0" w:color="auto"/>
        <w:left w:val="none" w:sz="0" w:space="0" w:color="auto"/>
        <w:bottom w:val="none" w:sz="0" w:space="0" w:color="auto"/>
        <w:right w:val="none" w:sz="0" w:space="0" w:color="auto"/>
      </w:divBdr>
    </w:div>
    <w:div w:id="1699314136">
      <w:bodyDiv w:val="1"/>
      <w:marLeft w:val="0"/>
      <w:marRight w:val="0"/>
      <w:marTop w:val="0"/>
      <w:marBottom w:val="0"/>
      <w:divBdr>
        <w:top w:val="none" w:sz="0" w:space="0" w:color="auto"/>
        <w:left w:val="none" w:sz="0" w:space="0" w:color="auto"/>
        <w:bottom w:val="none" w:sz="0" w:space="0" w:color="auto"/>
        <w:right w:val="none" w:sz="0" w:space="0" w:color="auto"/>
      </w:divBdr>
    </w:div>
    <w:div w:id="1780299790">
      <w:bodyDiv w:val="1"/>
      <w:marLeft w:val="0"/>
      <w:marRight w:val="0"/>
      <w:marTop w:val="0"/>
      <w:marBottom w:val="0"/>
      <w:divBdr>
        <w:top w:val="none" w:sz="0" w:space="0" w:color="auto"/>
        <w:left w:val="none" w:sz="0" w:space="0" w:color="auto"/>
        <w:bottom w:val="none" w:sz="0" w:space="0" w:color="auto"/>
        <w:right w:val="none" w:sz="0" w:space="0" w:color="auto"/>
      </w:divBdr>
    </w:div>
    <w:div w:id="1921063604">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Cho11</b:Tag>
    <b:SourceType>JournalArticle</b:SourceType>
    <b:Guid>{2F14994D-3B8B-471A-ADA5-BC0F656EF0E5}</b:Guid>
    <b:Author>
      <b:Author>
        <b:NameList>
          <b:Person>
            <b:Last>Chohan</b:Last>
            <b:First>S</b:First>
          </b:Person>
        </b:NameList>
      </b:Author>
    </b:Author>
    <b:Title>Safety and efficacy of febuxostat treatment in subjects with gout and severe allopurinol adverse reactions</b:Title>
    <b:JournalName>J Rheumatol</b:JournalName>
    <b:Year>2011</b:Year>
    <b:Pages>38(9):1957-9</b:Pages>
    <b:RefOrder>2</b:RefOrder>
  </b:Source>
  <b:Source>
    <b:Tag>Rei091</b:Tag>
    <b:SourceType>JournalArticle</b:SourceType>
    <b:Guid>{A2EFD8D2-A1A0-41B7-8E3E-E5F06CA01A4A}</b:Guid>
    <b:Author>
      <b:Author>
        <b:NameList>
          <b:Person>
            <b:Last>Reinders</b:Last>
            <b:First>M</b:First>
          </b:Person>
          <b:Person>
            <b:Last>van Roon</b:Last>
            <b:First>E</b:First>
          </b:Person>
          <b:Person>
            <b:Last>Jansen</b:Last>
            <b:First>T</b:First>
          </b:Person>
          <b:Person>
            <b:Last>Delsing</b:Last>
            <b:First>J</b:First>
          </b:Person>
          <b:Person>
            <b:Last>Griep</b:Last>
            <b:First>E</b:First>
          </b:Person>
          <b:Person>
            <b:Last>Hoekstra</b:Last>
            <b:First>M</b:First>
          </b:Person>
          <b:Person>
            <b:Last>van de Laar</b:Last>
            <b:First>M</b:First>
          </b:Person>
          <b:Person>
            <b:Last>Brouwers</b:Last>
            <b:First>J</b:First>
          </b:Person>
        </b:NameList>
      </b:Author>
    </b:Author>
    <b:Title>Efficacy and tolerability of urate-lowering drugs in gout: a randomised controlled trial of benzbromarone versus probenecid after failure of allopurinol</b:Title>
    <b:JournalName>Ann Rheum Dis</b:JournalName>
    <b:Year>2009</b:Year>
    <b:Pages>68(1):51-6</b:Pages>
    <b:RefOrder>3</b:RefOrder>
  </b:Source>
  <b:Source>
    <b:Tag>Sco66</b:Tag>
    <b:SourceType>JournalArticle</b:SourceType>
    <b:Guid>{EF03E55E-143D-4FD9-9D50-7CB971ED1D98}</b:Guid>
    <b:Author>
      <b:Author>
        <b:NameList>
          <b:Person>
            <b:Last>Scott</b:Last>
            <b:First>J</b:First>
          </b:Person>
        </b:NameList>
      </b:Author>
    </b:Author>
    <b:Title>Comparison of allopurinol and probenecid</b:Title>
    <b:JournalName>Ann Rheum Dis</b:JournalName>
    <b:Year>1966</b:Year>
    <b:Pages>25:623</b:Pages>
    <b:RefOrder>1</b:RefOrder>
  </b:Source>
  <b:Source>
    <b:Tag>Pau74</b:Tag>
    <b:SourceType>JournalArticle</b:SourceType>
    <b:Guid>{952EAE37-D404-4CB5-85D1-5F8587F4B449}</b:Guid>
    <b:Author>
      <b:Author>
        <b:NameList>
          <b:Person>
            <b:Last>Paulus</b:Last>
            <b:First>HE</b:First>
          </b:Person>
          <b:Person>
            <b:Last>Schlosstein</b:Last>
            <b:First>LH</b:First>
          </b:Person>
          <b:Person>
            <b:Last>Godfrey</b:Last>
            <b:First>RG</b:First>
          </b:Person>
          <b:Person>
            <b:Last>Klinenberg</b:Last>
            <b:First>JR</b:First>
          </b:Person>
          <b:Person>
            <b:Last>Bluestone</b:Last>
            <b:First>R.</b:First>
          </b:Person>
        </b:NameList>
      </b:Author>
    </b:Author>
    <b:Title>Prophylactic colchicine therapy of intercritical gout. A placebo-controlled study of probenecid-treated patients.</b:Title>
    <b:JournalName>Arthritis &amp; Rheumatism. </b:JournalName>
    <b:Year>1974 </b:Year>
    <b:Pages>17(5):609-14</b:Pages>
    <b:RefOrder>4</b:RefOrder>
  </b:Source>
  <b:Source>
    <b:Tag>Pui13</b:Tag>
    <b:SourceType>JournalArticle</b:SourceType>
    <b:Guid>{90F47171-C623-4B0D-A035-3C8436EF1364}</b:Guid>
    <b:Author>
      <b:Author>
        <b:NameList>
          <b:Person>
            <b:Last>Pui</b:Last>
            <b:First>K</b:First>
          </b:Person>
          <b:Person>
            <b:Last>Gow</b:Last>
            <b:First>P</b:First>
          </b:Person>
          <b:Person>
            <b:Last>Dalbeth</b:Last>
            <b:First>N</b:First>
          </b:Person>
        </b:NameList>
      </b:Author>
    </b:Author>
    <b:Title>Efficacy and tolerability of probenecid as urate-lowering therapy in gout; clinical experience in high-prevalence population</b:Title>
    <b:JournalName>J Rheumatol</b:JournalName>
    <b:Year>2013</b:Year>
    <b:Pages>40(6):872-6</b:Pages>
    <b:RefOrder>5</b:RefOrder>
  </b:Source>
  <b:Source>
    <b:Tag>Rei07</b:Tag>
    <b:SourceType>JournalArticle</b:SourceType>
    <b:Guid>{DA5028D2-812A-45C6-8CEC-3A9526F6D1EC}</b:Guid>
    <b:Author>
      <b:Author>
        <b:NameList>
          <b:Person>
            <b:Last>Reinders</b:Last>
            <b:First>M</b:First>
          </b:Person>
          <b:Person>
            <b:Last>van Roon</b:Last>
            <b:First>E</b:First>
          </b:Person>
          <b:Person>
            <b:Last>Houtman</b:Last>
            <b:First>P</b:First>
          </b:Person>
          <b:Person>
            <b:Last>Brouwers</b:Last>
            <b:First>J</b:First>
          </b:Person>
          <b:Person>
            <b:Last>Jansen</b:Last>
            <b:First>T</b:First>
          </b:Person>
        </b:NameList>
      </b:Author>
    </b:Author>
    <b:Title>Biochemical effectiveness of allopurinol and allopurinol-probenecid in previously benzbromarone-treated gout patients</b:Title>
    <b:JournalName>Clin Rheumatol</b:JournalName>
    <b:Year>2007</b:Year>
    <b:Pages>26(9):1459-6</b:Pages>
    <b:RefOrder>6</b:RefOrder>
  </b:Source>
  <b:Source>
    <b:Tag>Sto11</b:Tag>
    <b:SourceType>JournalArticle</b:SourceType>
    <b:Guid>{03E19599-8259-437F-AE90-042B5C463C04}</b:Guid>
    <b:Author>
      <b:Author>
        <b:NameList>
          <b:Person>
            <b:Last>Stocker</b:Last>
            <b:First>S</b:First>
          </b:Person>
          <b:Person>
            <b:Last>Graham</b:Last>
            <b:First>G</b:First>
          </b:Person>
          <b:Person>
            <b:Last>McLachlan</b:Last>
            <b:First>A</b:First>
          </b:Person>
          <b:Person>
            <b:Last>Williams</b:Last>
            <b:First>K</b:First>
          </b:Person>
          <b:Person>
            <b:Last>Day</b:Last>
            <b:First>R</b:First>
          </b:Person>
        </b:NameList>
      </b:Author>
    </b:Author>
    <b:Title>Pharmacokinetic and pharmacodynamic interaction between allopurinol and probenecid in patients with gout</b:Title>
    <b:JournalName>J Rheumatol</b:JournalName>
    <b:Year>2011</b:Year>
    <b:Pages>38(5):904-10</b:Pages>
    <b:RefOrder>7</b:RefOrder>
  </b:Source>
  <b:Source>
    <b:Tag>Jen14</b:Tag>
    <b:SourceType>JournalArticle</b:SourceType>
    <b:Guid>{6050CD7A-27F5-4D93-84D8-33E7081A80C8}</b:Guid>
    <b:Author>
      <b:Author>
        <b:NameList>
          <b:Person>
            <b:Last>Jennings</b:Last>
            <b:First>C</b:First>
          </b:Person>
          <b:Person>
            <b:Last>Mackenzie</b:Last>
            <b:First>I</b:First>
          </b:Person>
          <b:Person>
            <b:Last>Flynn</b:Last>
            <b:First>R</b:First>
          </b:Person>
          <b:Person>
            <b:Last>Ford</b:Last>
            <b:First>I</b:First>
          </b:Person>
          <b:Person>
            <b:Last>Nuki</b:Last>
            <b:First>G</b:First>
          </b:Person>
          <b:Person>
            <b:Last>De Caterina</b:Last>
            <b:First>R</b:First>
          </b:Person>
          <b:Person>
            <b:Last>Riches</b:Last>
            <b:First>P</b:First>
          </b:Person>
          <b:Person>
            <b:Last>Ralston</b:Last>
            <b:First>S</b:First>
          </b:Person>
          <b:Person>
            <b:Last>MacDonald</b:Last>
            <b:First>T</b:First>
          </b:Person>
        </b:NameList>
      </b:Author>
    </b:Author>
    <b:Title>Up-titration of allopurinol in patients with gout</b:Title>
    <b:JournalName>Semin Arthritis Rheum</b:JournalName>
    <b:Year>2014</b:Year>
    <b:Pages>44(1):25-30</b:Pages>
    <b:RefOrder>8</b:RefOrder>
  </b:Source>
  <b:Source>
    <b:Tag>Mac14</b:Tag>
    <b:SourceType>JournalArticle</b:SourceType>
    <b:Guid>{ADF116AF-774D-4FBD-BCF5-9CC8EB690784}</b:Guid>
    <b:Author>
      <b:Author>
        <b:NameList>
          <b:Person>
            <b:Last>MacDonald</b:Last>
            <b:First>T.M.</b:First>
          </b:Person>
          <b:Person>
            <b:Last>Ford</b:Last>
            <b:First>I.</b:First>
          </b:Person>
          <b:Person>
            <b:Last>Nuki</b:Last>
            <b:First>G.</b:First>
          </b:Person>
          <b:Person>
            <b:Last>Mackenzie</b:Last>
            <b:First>I.S.</b:First>
          </b:Person>
          <b:Person>
            <b:Last>De Caterina</b:Last>
            <b:First>R.</b:First>
          </b:Person>
          <b:Person>
            <b:Last>Findlay</b:Last>
            <b:First>E.</b:First>
          </b:Person>
          <b:Person>
            <b:Last>Hallas</b:Last>
            <b:First>J.</b:First>
          </b:Person>
          <b:Person>
            <b:Last>Hawkey</b:Last>
            <b:First>C.J.</b:First>
          </b:Person>
          <b:Person>
            <b:Last>Ralston</b:Last>
            <b:First>S.</b:First>
          </b:Person>
          <b:Person>
            <b:Last>Walters</b:Last>
            <b:First>M.</b:First>
          </b:Person>
          <b:Person>
            <b:Last>Webster</b:Last>
            <b:First>J.</b:First>
          </b:Person>
          <b:Person>
            <b:Last>McMurray</b:Last>
            <b:First>J.</b:First>
          </b:Person>
          <b:Person>
            <b:Last>Ruiz</b:Last>
            <b:First>F.P.</b:First>
          </b:Person>
          <b:Person>
            <b:Last>Jennings</b:Last>
            <b:First>C.G.</b:First>
          </b:Person>
        </b:NameList>
      </b:Author>
    </b:Author>
    <b:Title>Protocol of the Febuxostat versus Allopurinol Streamlined Trial (FAST): A large prospective, randomised, open, blinded endpoint study comparing the cardiovascular safety of allopurinol and febuxostat in the management of symptomatic hyperuricaemia</b:Title>
    <b:JournalName>BMJ Open </b:JournalName>
    <b:Year>2014</b:Year>
    <b:Pages>4:7 Article Number: e005354. </b:Pages>
    <b:RefOrder>9</b:RefOrder>
  </b:Source>
  <b:Source>
    <b:Tag>Sta14</b:Tag>
    <b:SourceType>JournalArticle</b:SourceType>
    <b:Guid>{4A61E115-8E2A-4A2A-8FBB-F670699B1F83}</b:Guid>
    <b:Author>
      <b:Author>
        <b:NameList>
          <b:Person>
            <b:Last>Stamp</b:Last>
            <b:First>L</b:First>
          </b:Person>
          <b:Person>
            <b:Last>Merriman</b:Last>
            <b:First>T</b:First>
          </b:Person>
          <b:Person>
            <b:Last>Barclay</b:Last>
            <b:First>M</b:First>
          </b:Person>
          <b:Person>
            <b:Last>Singh</b:Last>
            <b:First>J</b:First>
          </b:Person>
          <b:Person>
            <b:Last>Roberts</b:Last>
            <b:First>R</b:First>
          </b:Person>
          <b:Person>
            <b:Last>Wright</b:Last>
            <b:First>D</b:First>
          </b:Person>
          <b:Person>
            <b:Last>Dalbeth</b:Last>
            <b:First>N</b:First>
          </b:Person>
        </b:NameList>
      </b:Author>
    </b:Author>
    <b:Title>Impaired response or insufficient dosage?-Examining the potential causes of "inadequate response" to allopurinol in the treatment of gout</b:Title>
    <b:JournalName>Semin Arthritis Rheum</b:JournalName>
    <b:Year>2014</b:Year>
    <b:Pages>epub ahead of print</b:Pages>
    <b:RefOrder>10</b:RefOrder>
  </b:Source>
  <b:Source>
    <b:Tag>Bau13</b:Tag>
    <b:SourceType>JournalArticle</b:SourceType>
    <b:Guid>{98E5BACB-62BE-4B99-B09D-4DA083A32CC6}</b:Guid>
    <b:Author>
      <b:Author>
        <b:NameList>
          <b:Person>
            <b:Last>Baumgartner</b:Last>
            <b:First>S.</b:First>
          </b:Person>
          <b:Person>
            <b:Last>Choi</b:Last>
            <b:First>H.</b:First>
          </b:Person>
          <b:Person>
            <b:Last>Dalbeth</b:Last>
            <b:First>N.</b:First>
          </b:Person>
          <b:Person>
            <b:Last>Fitz-Patrick</b:Last>
            <b:First>D.</b:First>
          </b:Person>
          <b:Person>
            <b:Last>Cravets</b:Last>
            <b:First>M.</b:First>
          </b:Person>
          <b:Person>
            <b:Last>Storgard</b:Last>
            <b:First>C.</b:First>
          </b:Person>
        </b:NameList>
      </b:Author>
    </b:Author>
    <b:Title>Allopurinol dose titration and efficacy: A large-scale, 6-month, multicenter, prospective study</b:Title>
    <b:JournalName>Arthritis and Rheumatism </b:JournalName>
    <b:Year>2013</b:Year>
    <b:Pages>65 SUPPL. 10 (S503-S504)</b:Pages>
    <b:RefOrder>11</b:RefOrder>
  </b:Source>
  <b:Source>
    <b:Tag>Gra13</b:Tag>
    <b:SourceType>JournalArticle</b:SourceType>
    <b:Guid>{23277C77-ED64-4430-8A9E-B2DFE88EAC1E}</b:Guid>
    <b:Author>
      <b:Author>
        <b:NameList>
          <b:Person>
            <b:Last>Graham</b:Last>
            <b:First>GG</b:First>
          </b:Person>
          <b:Person>
            <b:Last>Kannangara</b:Last>
            <b:First>DR</b:First>
          </b:Person>
          <b:Person>
            <b:Last>Stocker</b:Last>
            <b:First>SL</b:First>
          </b:Person>
          <b:Person>
            <b:Last>Portek</b:Last>
            <b:First>I</b:First>
          </b:Person>
          <b:Person>
            <b:Last>Pile</b:Last>
            <b:First>KD</b:First>
          </b:Person>
          <b:Person>
            <b:Last>Indraratna</b:Last>
            <b:First>PL.</b:First>
          </b:Person>
        </b:NameList>
      </b:Author>
    </b:Author>
    <b:Title>Understanding the dose-response relationship of allopurinol: predicting the optimal dosage.</b:Title>
    <b:JournalName>British Journal of Clinical Pharmacology. </b:JournalName>
    <b:Year>2013 </b:Year>
    <b:Pages>76(6):932-8</b:Pages>
    <b:RefOrder>12</b:RefOrder>
  </b:Source>
  <b:Source>
    <b:Tag>Bai14</b:Tag>
    <b:SourceType>JournalArticle</b:SourceType>
    <b:Guid>{1B48F69C-D241-4F47-ABD8-B0B9C20D13A0}</b:Guid>
    <b:Author>
      <b:Author>
        <b:NameList>
          <b:Person>
            <b:Last>Bailén</b:Last>
            <b:First>R</b:First>
          </b:Person>
          <b:Person>
            <b:Last>González Senac</b:Last>
            <b:First>N</b:First>
          </b:Person>
          <b:Person>
            <b:Last>López</b:Last>
            <b:First>M</b:First>
          </b:Person>
          <b:Person>
            <b:Last>Llena</b:Last>
            <b:First>M</b:First>
          </b:Person>
          <b:Person>
            <b:Last>Migoya</b:Last>
            <b:First>M</b:First>
          </b:Person>
          <b:Person>
            <b:Last>Rodríguez</b:Last>
            <b:First>M</b:First>
          </b:Person>
          <b:Person>
            <b:Last>de Miguel</b:Last>
            <b:First>E</b:First>
          </b:Person>
          <b:Person>
            <b:Last>Torres</b:Last>
            <b:First>R</b:First>
          </b:Person>
          <b:Person>
            <b:Last>Puig</b:Last>
            <b:First>J</b:First>
          </b:Person>
        </b:NameList>
      </b:Author>
    </b:Author>
    <b:Title>Efficacy and safety of a urate lowering regimen in primary gout</b:Title>
    <b:JournalName>Nucleosides Nucleotides Nucleic Acids</b:JournalName>
    <b:Year>2014</b:Year>
    <b:Pages>33(4-6):174-80</b:Pages>
    <b:RefOrder>13</b:RefOrder>
  </b:Source>
  <b:Source>
    <b:Tag>Per98</b:Tag>
    <b:SourceType>JournalArticle</b:SourceType>
    <b:Guid>{1E11E4CC-BA38-406B-B92E-877CF70A20D2}</b:Guid>
    <b:Author>
      <b:Author>
        <b:NameList>
          <b:Person>
            <b:Last>Perez-Ruiz</b:Last>
            <b:First>F</b:First>
          </b:Person>
          <b:Person>
            <b:Last>Alonso-Ruiz</b:Last>
            <b:First>A</b:First>
          </b:Person>
          <b:Person>
            <b:Last>Calabozo</b:Last>
            <b:First>M</b:First>
          </b:Person>
          <b:Person>
            <b:Last>Herrero-Beites</b:Last>
            <b:First>A</b:First>
          </b:Person>
          <b:Person>
            <b:Last>García-Erauskin</b:Last>
            <b:First>G</b:First>
          </b:Person>
          <b:Person>
            <b:Last>Ruiz-Lucea</b:Last>
            <b:First>E</b:First>
          </b:Person>
        </b:NameList>
      </b:Author>
    </b:Author>
    <b:Title>Efficacy of allopurinol and benzbromarone for the control of hyperuricaemia. A pathogenic approach to the treatment of primary chronic gout</b:Title>
    <b:JournalName>Ann Rheum Dis</b:JournalName>
    <b:Year>1998</b:Year>
    <b:Pages>57(9):545-9.</b:Pages>
    <b:RefOrder>14</b:RefOrder>
  </b:Source>
  <b:Source>
    <b:Tag>Rei09</b:Tag>
    <b:SourceType>JournalArticle</b:SourceType>
    <b:Guid>{152D315D-E72D-46D5-9010-13259D55F6B1}</b:Guid>
    <b:Author>
      <b:Author>
        <b:NameList>
          <b:Person>
            <b:Last>Reinders</b:Last>
            <b:First>M</b:First>
          </b:Person>
          <b:Person>
            <b:Last>Haagsma</b:Last>
            <b:First>C</b:First>
          </b:Person>
          <b:Person>
            <b:Last>Jansen</b:Last>
            <b:First>T</b:First>
          </b:Person>
          <b:Person>
            <b:Last>van Roon</b:Last>
            <b:First>E</b:First>
          </b:Person>
          <b:Person>
            <b:Last>Delsing</b:Last>
            <b:First>J</b:First>
          </b:Person>
          <b:Person>
            <b:Last>van de Laar</b:Last>
            <b:First>M</b:First>
          </b:Person>
          <b:Person>
            <b:Last>Brouwers</b:Last>
            <b:First>J</b:First>
          </b:Person>
        </b:NameList>
      </b:Author>
    </b:Author>
    <b:Title>A randomised controlled trial on the efficacy and tolerability with dose escalation of allopurinol 300-600 mg/day versus benzbromarone 100-200 mg/day in patients with gout</b:Title>
    <b:JournalName>Ann Rheum Dis</b:JournalName>
    <b:Year>2009</b:Year>
    <b:Pages>68(6):892-7</b:Pages>
    <b:RefOrder>15</b:RefOrder>
  </b:Source>
  <b:Source>
    <b:Tag>Wor05</b:Tag>
    <b:SourceType>JournalArticle</b:SourceType>
    <b:Guid>{6A611D1C-C6AA-4558-A1AC-7B3C6E33CD80}</b:Guid>
    <b:Author>
      <b:Author>
        <b:NameList>
          <b:Person>
            <b:Last>Wortmann</b:Last>
            <b:First>R</b:First>
          </b:Person>
        </b:NameList>
      </b:Author>
    </b:Author>
    <b:Title>Recent advances in the management of gout and hyperuricemia</b:Title>
    <b:JournalName>Curr Opin Rheumatol</b:JournalName>
    <b:Year>2005</b:Year>
    <b:Pages>17:319–24</b:Pages>
    <b:RefOrder>12</b:RefOrder>
  </b:Source>
</b:Sources>
</file>

<file path=customXml/itemProps1.xml><?xml version="1.0" encoding="utf-8"?>
<ds:datastoreItem xmlns:ds="http://schemas.openxmlformats.org/officeDocument/2006/customXml" ds:itemID="{A24CA513-AA2D-4FB8-A4D9-5AA2A393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6723</Words>
  <Characters>39055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7.01 febuxostat</vt:lpstr>
    </vt:vector>
  </TitlesOfParts>
  <LinksUpToDate>false</LinksUpToDate>
  <CharactersWithSpaces>45687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7.01 febuxostat</dc:title>
  <dc:creator/>
  <cp:lastModifiedBy/>
  <cp:revision>1</cp:revision>
  <dcterms:created xsi:type="dcterms:W3CDTF">2015-06-29T03:49:00Z</dcterms:created>
  <dcterms:modified xsi:type="dcterms:W3CDTF">2015-06-29T06:47:00Z</dcterms:modified>
</cp:coreProperties>
</file>