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D1" w:rsidRPr="009B39D1" w:rsidRDefault="00170594" w:rsidP="009B39D1">
      <w:pPr>
        <w:pStyle w:val="Title"/>
      </w:pPr>
      <w:bookmarkStart w:id="0" w:name="_Toc409513908"/>
      <w:r w:rsidRPr="009B39D1">
        <w:t>5.09</w:t>
      </w:r>
      <w:r w:rsidR="00BF707A" w:rsidRPr="009B39D1">
        <w:tab/>
        <w:t>EVOLOCUMAB</w:t>
      </w:r>
    </w:p>
    <w:p w:rsidR="009B39D1" w:rsidRDefault="00BF707A" w:rsidP="009B39D1">
      <w:pPr>
        <w:pStyle w:val="Heading1"/>
        <w:ind w:firstLine="0"/>
        <w:rPr>
          <w:caps w:val="0"/>
          <w:sz w:val="28"/>
        </w:rPr>
      </w:pPr>
      <w:r>
        <w:rPr>
          <w:caps w:val="0"/>
          <w:sz w:val="28"/>
        </w:rPr>
        <w:t>140</w:t>
      </w:r>
      <w:r w:rsidR="00592BD7">
        <w:rPr>
          <w:caps w:val="0"/>
          <w:sz w:val="28"/>
        </w:rPr>
        <w:t> </w:t>
      </w:r>
      <w:r>
        <w:rPr>
          <w:caps w:val="0"/>
          <w:sz w:val="28"/>
        </w:rPr>
        <w:t>mg pre-filled injection pen</w:t>
      </w:r>
      <w:r w:rsidR="009B39D1">
        <w:rPr>
          <w:caps w:val="0"/>
          <w:sz w:val="28"/>
        </w:rPr>
        <w:t>;</w:t>
      </w:r>
    </w:p>
    <w:p w:rsidR="00B60939" w:rsidRPr="00C43E7F" w:rsidRDefault="00C43E7F" w:rsidP="00C43E7F">
      <w:pPr>
        <w:pStyle w:val="Heading1"/>
        <w:ind w:firstLine="0"/>
        <w:rPr>
          <w:caps w:val="0"/>
          <w:sz w:val="28"/>
        </w:rPr>
      </w:pPr>
      <w:proofErr w:type="spellStart"/>
      <w:proofErr w:type="gramStart"/>
      <w:r w:rsidRPr="00C43E7F">
        <w:rPr>
          <w:caps w:val="0"/>
          <w:sz w:val="28"/>
        </w:rPr>
        <w:t>Repatha</w:t>
      </w:r>
      <w:bookmarkEnd w:id="0"/>
      <w:proofErr w:type="spellEnd"/>
      <w:r w:rsidR="0023624C">
        <w:rPr>
          <w:caps w:val="0"/>
          <w:sz w:val="28"/>
        </w:rPr>
        <w:t>®</w:t>
      </w:r>
      <w:r w:rsidRPr="00C43E7F">
        <w:rPr>
          <w:caps w:val="0"/>
          <w:sz w:val="28"/>
        </w:rPr>
        <w:t>, Amgen Pt</w:t>
      </w:r>
      <w:r>
        <w:rPr>
          <w:caps w:val="0"/>
          <w:sz w:val="28"/>
        </w:rPr>
        <w:t>y</w:t>
      </w:r>
      <w:r w:rsidRPr="00C43E7F">
        <w:rPr>
          <w:caps w:val="0"/>
          <w:sz w:val="28"/>
        </w:rPr>
        <w:t xml:space="preserve"> L</w:t>
      </w:r>
      <w:r>
        <w:rPr>
          <w:caps w:val="0"/>
          <w:sz w:val="28"/>
        </w:rPr>
        <w:t>td.</w:t>
      </w:r>
      <w:proofErr w:type="gramEnd"/>
    </w:p>
    <w:p w:rsidR="00433044" w:rsidRDefault="00433044" w:rsidP="00433044"/>
    <w:p w:rsidR="00B60939" w:rsidRDefault="00B60939" w:rsidP="00207D00"/>
    <w:p w:rsidR="00B50DB8" w:rsidRPr="00407F2D" w:rsidRDefault="00B50DB8" w:rsidP="00BD6CF3">
      <w:pPr>
        <w:pStyle w:val="PBACHeading1"/>
      </w:pPr>
      <w:bookmarkStart w:id="1" w:name="_Toc409513910"/>
      <w:r w:rsidRPr="00407F2D">
        <w:t>Purpose of Application</w:t>
      </w:r>
      <w:bookmarkEnd w:id="1"/>
    </w:p>
    <w:p w:rsidR="00B60939" w:rsidRPr="00882085" w:rsidRDefault="00B60939" w:rsidP="00B60939">
      <w:pPr>
        <w:rPr>
          <w:szCs w:val="22"/>
        </w:rPr>
      </w:pPr>
    </w:p>
    <w:p w:rsidR="00B60939" w:rsidRPr="00316E2E" w:rsidRDefault="006F233F" w:rsidP="004B1CB4">
      <w:pPr>
        <w:pStyle w:val="ListParagraph"/>
        <w:widowControl/>
        <w:numPr>
          <w:ilvl w:val="1"/>
          <w:numId w:val="12"/>
        </w:numPr>
        <w:rPr>
          <w:szCs w:val="22"/>
        </w:rPr>
      </w:pPr>
      <w:r>
        <w:t>The submission sought t</w:t>
      </w:r>
      <w:r w:rsidR="00316E2E">
        <w:t xml:space="preserve">o open a dialogue regarding the potential future listing of </w:t>
      </w:r>
      <w:proofErr w:type="spellStart"/>
      <w:r w:rsidR="00316E2E">
        <w:t>evolocumab</w:t>
      </w:r>
      <w:proofErr w:type="spellEnd"/>
      <w:r w:rsidR="00316E2E">
        <w:t xml:space="preserve"> on the PBS for the treatment of </w:t>
      </w:r>
      <w:proofErr w:type="spellStart"/>
      <w:r w:rsidR="0038790D">
        <w:t>hypercholesterolaemia</w:t>
      </w:r>
      <w:proofErr w:type="spellEnd"/>
      <w:r w:rsidR="00316E2E">
        <w:t>.</w:t>
      </w:r>
    </w:p>
    <w:p w:rsidR="004E43B2" w:rsidRDefault="004E43B2" w:rsidP="004B1CB4"/>
    <w:p w:rsidR="00200403" w:rsidRPr="00882085" w:rsidRDefault="00200403" w:rsidP="004B1CB4"/>
    <w:p w:rsidR="00B50DB8" w:rsidRPr="00407F2D" w:rsidRDefault="00B50DB8" w:rsidP="005F762C">
      <w:pPr>
        <w:pStyle w:val="PBACHeading1"/>
        <w:keepNext/>
        <w:keepLines/>
      </w:pPr>
      <w:bookmarkStart w:id="2" w:name="_Toc409513911"/>
      <w:r w:rsidRPr="00407F2D">
        <w:t>Requested listing</w:t>
      </w:r>
      <w:bookmarkEnd w:id="2"/>
    </w:p>
    <w:p w:rsidR="00B60939" w:rsidRPr="00882085" w:rsidRDefault="00B60939" w:rsidP="005F762C">
      <w:pPr>
        <w:keepNext/>
        <w:keepLines/>
      </w:pPr>
    </w:p>
    <w:p w:rsidR="00102F8F" w:rsidRPr="00991BD1" w:rsidRDefault="006F233F" w:rsidP="005F762C">
      <w:pPr>
        <w:pStyle w:val="ListParagraph"/>
        <w:keepNext/>
        <w:keepLines/>
        <w:widowControl/>
        <w:numPr>
          <w:ilvl w:val="1"/>
          <w:numId w:val="12"/>
        </w:numPr>
      </w:pPr>
      <w:r>
        <w:rPr>
          <w:iCs/>
        </w:rPr>
        <w:t xml:space="preserve">The requested listing is outlined below. </w:t>
      </w:r>
      <w:r w:rsidR="00102F8F" w:rsidRPr="00991BD1">
        <w:rPr>
          <w:iCs/>
        </w:rPr>
        <w:t>Suggestions and additions proposed by the Secretariat are added in italics and suggested deletions are crossed out with strikethrough</w:t>
      </w:r>
      <w:r w:rsidR="00102F8F" w:rsidRPr="00991BD1">
        <w:t>.</w:t>
      </w:r>
    </w:p>
    <w:p w:rsidR="00102F8F" w:rsidRPr="0082598E" w:rsidRDefault="00102F8F" w:rsidP="00102F8F">
      <w:pPr>
        <w:widowControl/>
        <w:rPr>
          <w:iCs/>
        </w:rPr>
      </w:pPr>
    </w:p>
    <w:tbl>
      <w:tblPr>
        <w:tblW w:w="8505" w:type="dxa"/>
        <w:tblInd w:w="817" w:type="dxa"/>
        <w:tblLayout w:type="fixed"/>
        <w:tblLook w:val="0000" w:firstRow="0" w:lastRow="0" w:firstColumn="0" w:lastColumn="0" w:noHBand="0" w:noVBand="0"/>
      </w:tblPr>
      <w:tblGrid>
        <w:gridCol w:w="1843"/>
        <w:gridCol w:w="1984"/>
        <w:gridCol w:w="567"/>
        <w:gridCol w:w="567"/>
        <w:gridCol w:w="1418"/>
        <w:gridCol w:w="992"/>
        <w:gridCol w:w="1134"/>
      </w:tblGrid>
      <w:tr w:rsidR="00102F8F" w:rsidRPr="00260CE3" w:rsidTr="0082598E">
        <w:trPr>
          <w:cantSplit/>
          <w:trHeight w:val="471"/>
        </w:trPr>
        <w:tc>
          <w:tcPr>
            <w:tcW w:w="3827" w:type="dxa"/>
            <w:gridSpan w:val="2"/>
            <w:tcBorders>
              <w:bottom w:val="single" w:sz="4" w:space="0" w:color="auto"/>
            </w:tcBorders>
          </w:tcPr>
          <w:p w:rsidR="00102F8F" w:rsidRPr="00260CE3" w:rsidRDefault="00102F8F" w:rsidP="00592BD7">
            <w:pPr>
              <w:keepNext/>
              <w:ind w:left="-108"/>
              <w:rPr>
                <w:rFonts w:ascii="Arial Narrow" w:hAnsi="Arial Narrow"/>
                <w:sz w:val="20"/>
              </w:rPr>
            </w:pPr>
            <w:r w:rsidRPr="00260CE3">
              <w:rPr>
                <w:rFonts w:ascii="Arial Narrow" w:hAnsi="Arial Narrow"/>
                <w:sz w:val="20"/>
              </w:rPr>
              <w:t>Name, Restriction,</w:t>
            </w:r>
          </w:p>
          <w:p w:rsidR="00102F8F" w:rsidRPr="00260CE3" w:rsidRDefault="00102F8F" w:rsidP="00592BD7">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02F8F" w:rsidRPr="00260CE3" w:rsidRDefault="00102F8F" w:rsidP="00592BD7">
            <w:pPr>
              <w:keepNext/>
              <w:ind w:left="-108"/>
              <w:rPr>
                <w:rFonts w:ascii="Arial Narrow" w:hAnsi="Arial Narrow"/>
                <w:sz w:val="20"/>
              </w:rPr>
            </w:pPr>
            <w:r w:rsidRPr="00260CE3">
              <w:rPr>
                <w:rFonts w:ascii="Arial Narrow" w:hAnsi="Arial Narrow"/>
                <w:sz w:val="20"/>
              </w:rPr>
              <w:t>Max.</w:t>
            </w:r>
          </w:p>
          <w:p w:rsidR="00102F8F" w:rsidRPr="00260CE3" w:rsidRDefault="00102F8F" w:rsidP="00592BD7">
            <w:pPr>
              <w:keepNext/>
              <w:ind w:left="-108"/>
              <w:rPr>
                <w:rFonts w:ascii="Arial Narrow" w:hAnsi="Arial Narrow"/>
                <w:sz w:val="20"/>
              </w:rPr>
            </w:pPr>
            <w:proofErr w:type="spellStart"/>
            <w:r w:rsidRPr="00260CE3">
              <w:rPr>
                <w:rFonts w:ascii="Arial Narrow" w:hAnsi="Arial Narrow"/>
                <w:sz w:val="20"/>
              </w:rPr>
              <w:t>Qty</w:t>
            </w:r>
            <w:proofErr w:type="spellEnd"/>
          </w:p>
        </w:tc>
        <w:tc>
          <w:tcPr>
            <w:tcW w:w="567" w:type="dxa"/>
            <w:tcBorders>
              <w:bottom w:val="single" w:sz="4" w:space="0" w:color="auto"/>
            </w:tcBorders>
          </w:tcPr>
          <w:p w:rsidR="00102F8F" w:rsidRPr="00260CE3" w:rsidRDefault="00102F8F" w:rsidP="00592BD7">
            <w:pPr>
              <w:keepNext/>
              <w:ind w:left="-108"/>
              <w:rPr>
                <w:rFonts w:ascii="Arial Narrow" w:hAnsi="Arial Narrow"/>
                <w:sz w:val="20"/>
              </w:rPr>
            </w:pPr>
            <w:r w:rsidRPr="00260CE3">
              <w:rPr>
                <w:rFonts w:ascii="Arial Narrow" w:hAnsi="Arial Narrow"/>
                <w:sz w:val="20"/>
              </w:rPr>
              <w:t>№.of</w:t>
            </w:r>
          </w:p>
          <w:p w:rsidR="00102F8F" w:rsidRPr="00260CE3" w:rsidRDefault="00102F8F" w:rsidP="00592BD7">
            <w:pPr>
              <w:keepNext/>
              <w:ind w:left="-108"/>
              <w:rPr>
                <w:rFonts w:ascii="Arial Narrow" w:hAnsi="Arial Narrow"/>
                <w:sz w:val="20"/>
              </w:rPr>
            </w:pPr>
            <w:r w:rsidRPr="00260CE3">
              <w:rPr>
                <w:rFonts w:ascii="Arial Narrow" w:hAnsi="Arial Narrow"/>
                <w:sz w:val="20"/>
              </w:rPr>
              <w:t>Rpts</w:t>
            </w:r>
          </w:p>
        </w:tc>
        <w:tc>
          <w:tcPr>
            <w:tcW w:w="1418" w:type="dxa"/>
            <w:tcBorders>
              <w:bottom w:val="single" w:sz="4" w:space="0" w:color="auto"/>
            </w:tcBorders>
          </w:tcPr>
          <w:p w:rsidR="00102F8F" w:rsidRPr="00260CE3" w:rsidRDefault="00102F8F" w:rsidP="003D57FC">
            <w:pPr>
              <w:keepNext/>
              <w:ind w:left="-108"/>
              <w:jc w:val="center"/>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2126" w:type="dxa"/>
            <w:gridSpan w:val="2"/>
            <w:tcBorders>
              <w:bottom w:val="single" w:sz="4" w:space="0" w:color="auto"/>
            </w:tcBorders>
          </w:tcPr>
          <w:p w:rsidR="00102F8F" w:rsidRPr="00260CE3" w:rsidRDefault="00102F8F" w:rsidP="003D57FC">
            <w:pPr>
              <w:keepNext/>
              <w:jc w:val="center"/>
              <w:rPr>
                <w:rFonts w:ascii="Arial Narrow" w:hAnsi="Arial Narrow"/>
                <w:sz w:val="20"/>
                <w:lang w:val="fr-FR"/>
              </w:rPr>
            </w:pPr>
            <w:r w:rsidRPr="00260CE3">
              <w:rPr>
                <w:rFonts w:ascii="Arial Narrow" w:hAnsi="Arial Narrow"/>
                <w:sz w:val="20"/>
              </w:rPr>
              <w:t>Proprietary Name and Manufacturer</w:t>
            </w:r>
          </w:p>
        </w:tc>
      </w:tr>
      <w:tr w:rsidR="00102F8F" w:rsidRPr="00260CE3" w:rsidTr="0082598E">
        <w:trPr>
          <w:cantSplit/>
          <w:trHeight w:val="577"/>
        </w:trPr>
        <w:tc>
          <w:tcPr>
            <w:tcW w:w="3827" w:type="dxa"/>
            <w:gridSpan w:val="2"/>
          </w:tcPr>
          <w:p w:rsidR="00102F8F" w:rsidRPr="00260CE3" w:rsidRDefault="00102F8F" w:rsidP="00592BD7">
            <w:pPr>
              <w:keepNext/>
              <w:ind w:left="-108"/>
              <w:rPr>
                <w:rFonts w:ascii="Arial Narrow" w:hAnsi="Arial Narrow"/>
                <w:sz w:val="20"/>
              </w:rPr>
            </w:pPr>
            <w:proofErr w:type="spellStart"/>
            <w:r>
              <w:rPr>
                <w:rFonts w:ascii="Arial Narrow" w:hAnsi="Arial Narrow"/>
                <w:smallCaps/>
                <w:sz w:val="20"/>
              </w:rPr>
              <w:t>evolocumab</w:t>
            </w:r>
            <w:proofErr w:type="spellEnd"/>
          </w:p>
          <w:p w:rsidR="00102F8F" w:rsidRDefault="0082598E" w:rsidP="00592BD7">
            <w:pPr>
              <w:keepNext/>
              <w:ind w:left="-108"/>
              <w:rPr>
                <w:rFonts w:ascii="Arial Narrow" w:hAnsi="Arial Narrow"/>
                <w:sz w:val="20"/>
              </w:rPr>
            </w:pPr>
            <w:r>
              <w:rPr>
                <w:rFonts w:ascii="Arial Narrow" w:hAnsi="Arial Narrow"/>
                <w:sz w:val="20"/>
              </w:rPr>
              <w:t>140 </w:t>
            </w:r>
            <w:r w:rsidR="00102F8F">
              <w:rPr>
                <w:rFonts w:ascii="Arial Narrow" w:hAnsi="Arial Narrow"/>
                <w:sz w:val="20"/>
              </w:rPr>
              <w:t>mg/mL inj</w:t>
            </w:r>
            <w:r>
              <w:rPr>
                <w:rFonts w:ascii="Arial Narrow" w:hAnsi="Arial Narrow"/>
                <w:sz w:val="20"/>
              </w:rPr>
              <w:t xml:space="preserve">ection, </w:t>
            </w:r>
            <w:proofErr w:type="spellStart"/>
            <w:r w:rsidR="00C477F7">
              <w:rPr>
                <w:rFonts w:ascii="Arial Narrow" w:hAnsi="Arial Narrow"/>
                <w:sz w:val="20"/>
              </w:rPr>
              <w:t>Sureclick</w:t>
            </w:r>
            <w:proofErr w:type="spellEnd"/>
            <w:r w:rsidR="00C477F7">
              <w:rPr>
                <w:rFonts w:ascii="Arial Narrow" w:hAnsi="Arial Narrow"/>
                <w:sz w:val="20"/>
              </w:rPr>
              <w:t xml:space="preserve"> </w:t>
            </w:r>
            <w:r>
              <w:rPr>
                <w:rFonts w:ascii="Arial Narrow" w:hAnsi="Arial Narrow"/>
                <w:sz w:val="20"/>
              </w:rPr>
              <w:t>refilled syringe, 1 x 1 </w:t>
            </w:r>
            <w:r w:rsidR="00102F8F">
              <w:rPr>
                <w:rFonts w:ascii="Arial Narrow" w:hAnsi="Arial Narrow"/>
                <w:sz w:val="20"/>
              </w:rPr>
              <w:t>mL</w:t>
            </w:r>
          </w:p>
          <w:p w:rsidR="00102F8F" w:rsidRDefault="0082598E" w:rsidP="00592BD7">
            <w:pPr>
              <w:keepNext/>
              <w:ind w:left="-108"/>
              <w:rPr>
                <w:rFonts w:ascii="Arial Narrow" w:hAnsi="Arial Narrow"/>
                <w:sz w:val="20"/>
              </w:rPr>
            </w:pPr>
            <w:r>
              <w:rPr>
                <w:rFonts w:ascii="Arial Narrow" w:hAnsi="Arial Narrow"/>
                <w:sz w:val="20"/>
              </w:rPr>
              <w:t>140 </w:t>
            </w:r>
            <w:r w:rsidR="00102F8F">
              <w:rPr>
                <w:rFonts w:ascii="Arial Narrow" w:hAnsi="Arial Narrow"/>
                <w:sz w:val="20"/>
              </w:rPr>
              <w:t>mg/mL inj</w:t>
            </w:r>
            <w:r>
              <w:rPr>
                <w:rFonts w:ascii="Arial Narrow" w:hAnsi="Arial Narrow"/>
                <w:sz w:val="20"/>
              </w:rPr>
              <w:t xml:space="preserve">ection, </w:t>
            </w:r>
            <w:proofErr w:type="spellStart"/>
            <w:r w:rsidR="00C477F7">
              <w:rPr>
                <w:rFonts w:ascii="Arial Narrow" w:hAnsi="Arial Narrow"/>
                <w:sz w:val="20"/>
              </w:rPr>
              <w:t>Sureclick</w:t>
            </w:r>
            <w:proofErr w:type="spellEnd"/>
            <w:r w:rsidR="00C477F7">
              <w:rPr>
                <w:rFonts w:ascii="Arial Narrow" w:hAnsi="Arial Narrow"/>
                <w:sz w:val="20"/>
              </w:rPr>
              <w:t xml:space="preserve"> </w:t>
            </w:r>
            <w:r>
              <w:rPr>
                <w:rFonts w:ascii="Arial Narrow" w:hAnsi="Arial Narrow"/>
                <w:sz w:val="20"/>
              </w:rPr>
              <w:t>refilled syringe, 1 x 1 </w:t>
            </w:r>
            <w:r w:rsidR="00102F8F">
              <w:rPr>
                <w:rFonts w:ascii="Arial Narrow" w:hAnsi="Arial Narrow"/>
                <w:sz w:val="20"/>
              </w:rPr>
              <w:t>mL</w:t>
            </w:r>
          </w:p>
          <w:p w:rsidR="00102F8F" w:rsidRPr="00260CE3" w:rsidRDefault="00102F8F" w:rsidP="00592BD7">
            <w:pPr>
              <w:keepNext/>
              <w:ind w:left="-108"/>
              <w:rPr>
                <w:rFonts w:ascii="Arial Narrow" w:hAnsi="Arial Narrow"/>
                <w:sz w:val="20"/>
              </w:rPr>
            </w:pPr>
          </w:p>
        </w:tc>
        <w:tc>
          <w:tcPr>
            <w:tcW w:w="567" w:type="dxa"/>
          </w:tcPr>
          <w:p w:rsidR="00102F8F" w:rsidRPr="00260CE3" w:rsidRDefault="00102F8F" w:rsidP="00592BD7">
            <w:pPr>
              <w:keepNext/>
              <w:ind w:left="-108"/>
              <w:rPr>
                <w:rFonts w:ascii="Arial Narrow" w:hAnsi="Arial Narrow"/>
                <w:sz w:val="20"/>
              </w:rPr>
            </w:pPr>
          </w:p>
          <w:p w:rsidR="00102F8F" w:rsidRDefault="00102F8F" w:rsidP="00592BD7">
            <w:pPr>
              <w:keepNext/>
              <w:ind w:left="-108"/>
              <w:rPr>
                <w:rFonts w:ascii="Arial Narrow" w:hAnsi="Arial Narrow"/>
                <w:sz w:val="20"/>
              </w:rPr>
            </w:pPr>
            <w:r>
              <w:rPr>
                <w:rFonts w:ascii="Arial Narrow" w:hAnsi="Arial Narrow"/>
                <w:sz w:val="20"/>
              </w:rPr>
              <w:t>2</w:t>
            </w:r>
          </w:p>
          <w:p w:rsidR="00C477F7" w:rsidRDefault="00C477F7" w:rsidP="00592BD7">
            <w:pPr>
              <w:keepNext/>
              <w:ind w:left="-108"/>
              <w:rPr>
                <w:rFonts w:ascii="Arial Narrow" w:hAnsi="Arial Narrow"/>
                <w:sz w:val="20"/>
              </w:rPr>
            </w:pPr>
          </w:p>
          <w:p w:rsidR="00102F8F" w:rsidRPr="00260CE3" w:rsidRDefault="00102F8F" w:rsidP="00592BD7">
            <w:pPr>
              <w:keepNext/>
              <w:ind w:left="-108"/>
              <w:rPr>
                <w:rFonts w:ascii="Arial Narrow" w:hAnsi="Arial Narrow"/>
                <w:sz w:val="20"/>
              </w:rPr>
            </w:pPr>
            <w:r>
              <w:rPr>
                <w:rFonts w:ascii="Arial Narrow" w:hAnsi="Arial Narrow"/>
                <w:sz w:val="20"/>
              </w:rPr>
              <w:t>3</w:t>
            </w:r>
          </w:p>
        </w:tc>
        <w:tc>
          <w:tcPr>
            <w:tcW w:w="567" w:type="dxa"/>
          </w:tcPr>
          <w:p w:rsidR="00102F8F" w:rsidRPr="00260CE3" w:rsidRDefault="00102F8F" w:rsidP="00592BD7">
            <w:pPr>
              <w:keepNext/>
              <w:ind w:left="-108"/>
              <w:rPr>
                <w:rFonts w:ascii="Arial Narrow" w:hAnsi="Arial Narrow"/>
                <w:sz w:val="20"/>
              </w:rPr>
            </w:pPr>
          </w:p>
          <w:p w:rsidR="00102F8F" w:rsidRDefault="00102F8F" w:rsidP="00592BD7">
            <w:pPr>
              <w:keepNext/>
              <w:ind w:left="-108"/>
              <w:rPr>
                <w:rFonts w:ascii="Arial Narrow" w:hAnsi="Arial Narrow"/>
                <w:sz w:val="20"/>
              </w:rPr>
            </w:pPr>
            <w:r>
              <w:rPr>
                <w:rFonts w:ascii="Arial Narrow" w:hAnsi="Arial Narrow"/>
                <w:sz w:val="20"/>
              </w:rPr>
              <w:t>5</w:t>
            </w:r>
          </w:p>
          <w:p w:rsidR="00C477F7" w:rsidRDefault="00C477F7" w:rsidP="00592BD7">
            <w:pPr>
              <w:keepNext/>
              <w:ind w:left="-108"/>
              <w:rPr>
                <w:rFonts w:ascii="Arial Narrow" w:hAnsi="Arial Narrow"/>
                <w:sz w:val="20"/>
              </w:rPr>
            </w:pPr>
          </w:p>
          <w:p w:rsidR="00102F8F" w:rsidRPr="00260CE3" w:rsidRDefault="00102F8F" w:rsidP="00592BD7">
            <w:pPr>
              <w:keepNext/>
              <w:ind w:left="-108"/>
              <w:rPr>
                <w:rFonts w:ascii="Arial Narrow" w:hAnsi="Arial Narrow"/>
                <w:sz w:val="20"/>
              </w:rPr>
            </w:pPr>
            <w:r>
              <w:rPr>
                <w:rFonts w:ascii="Arial Narrow" w:hAnsi="Arial Narrow"/>
                <w:sz w:val="20"/>
              </w:rPr>
              <w:t>5</w:t>
            </w:r>
          </w:p>
        </w:tc>
        <w:tc>
          <w:tcPr>
            <w:tcW w:w="1418" w:type="dxa"/>
          </w:tcPr>
          <w:p w:rsidR="00102F8F" w:rsidRPr="00260CE3" w:rsidRDefault="00102F8F" w:rsidP="0082598E">
            <w:pPr>
              <w:keepNext/>
              <w:ind w:left="-108"/>
              <w:jc w:val="center"/>
              <w:rPr>
                <w:rFonts w:ascii="Arial Narrow" w:hAnsi="Arial Narrow"/>
                <w:sz w:val="20"/>
              </w:rPr>
            </w:pPr>
          </w:p>
          <w:p w:rsidR="00102F8F" w:rsidRPr="00272D6F" w:rsidRDefault="00102F8F" w:rsidP="0082598E">
            <w:pPr>
              <w:keepNext/>
              <w:ind w:left="-108"/>
              <w:jc w:val="center"/>
              <w:rPr>
                <w:rFonts w:ascii="Arial Narrow" w:hAnsi="Arial Narrow"/>
                <w:sz w:val="20"/>
              </w:rPr>
            </w:pPr>
            <w:r>
              <w:rPr>
                <w:rFonts w:ascii="Arial Narrow" w:hAnsi="Arial Narrow"/>
                <w:sz w:val="20"/>
              </w:rPr>
              <w:t>$</w:t>
            </w:r>
            <w:r w:rsidR="00651444">
              <w:rPr>
                <w:rFonts w:ascii="Arial Narrow" w:hAnsi="Arial Narrow"/>
                <w:noProof/>
                <w:color w:val="000000"/>
                <w:sz w:val="20"/>
                <w:highlight w:val="black"/>
              </w:rPr>
              <w:t>'''''''''''''''''</w:t>
            </w:r>
          </w:p>
          <w:p w:rsidR="00C477F7" w:rsidRDefault="00C477F7" w:rsidP="0082598E">
            <w:pPr>
              <w:keepNext/>
              <w:ind w:left="-108"/>
              <w:jc w:val="center"/>
              <w:rPr>
                <w:rFonts w:ascii="Arial Narrow" w:hAnsi="Arial Narrow"/>
                <w:sz w:val="20"/>
              </w:rPr>
            </w:pPr>
          </w:p>
          <w:p w:rsidR="00102F8F" w:rsidRPr="00260CE3" w:rsidRDefault="00102F8F" w:rsidP="0082598E">
            <w:pPr>
              <w:keepNext/>
              <w:ind w:left="-108"/>
              <w:jc w:val="center"/>
              <w:rPr>
                <w:rFonts w:ascii="Arial Narrow" w:hAnsi="Arial Narrow"/>
                <w:sz w:val="20"/>
              </w:rPr>
            </w:pPr>
            <w:r w:rsidRPr="00272D6F">
              <w:rPr>
                <w:rFonts w:ascii="Arial Narrow" w:hAnsi="Arial Narrow"/>
                <w:sz w:val="20"/>
              </w:rPr>
              <w:t>$</w:t>
            </w:r>
            <w:r w:rsidR="00651444">
              <w:rPr>
                <w:rFonts w:ascii="Arial Narrow" w:hAnsi="Arial Narrow"/>
                <w:noProof/>
                <w:color w:val="000000"/>
                <w:sz w:val="20"/>
                <w:highlight w:val="black"/>
              </w:rPr>
              <w:t>'''''''''''''''''</w:t>
            </w:r>
          </w:p>
        </w:tc>
        <w:tc>
          <w:tcPr>
            <w:tcW w:w="992" w:type="dxa"/>
          </w:tcPr>
          <w:p w:rsidR="00102F8F" w:rsidRPr="00130F3D" w:rsidRDefault="00130F3D" w:rsidP="0023624C">
            <w:pPr>
              <w:keepNext/>
              <w:rPr>
                <w:rFonts w:ascii="Arial Narrow" w:hAnsi="Arial Narrow"/>
                <w:sz w:val="18"/>
                <w:szCs w:val="18"/>
              </w:rPr>
            </w:pPr>
            <w:proofErr w:type="spellStart"/>
            <w:r w:rsidRPr="00130F3D">
              <w:rPr>
                <w:rFonts w:ascii="Arial Narrow" w:hAnsi="Arial Narrow"/>
                <w:sz w:val="18"/>
                <w:szCs w:val="18"/>
              </w:rPr>
              <w:t>Rep</w:t>
            </w:r>
            <w:r>
              <w:rPr>
                <w:rFonts w:ascii="Arial Narrow" w:hAnsi="Arial Narrow"/>
                <w:sz w:val="18"/>
                <w:szCs w:val="18"/>
              </w:rPr>
              <w:t>a</w:t>
            </w:r>
            <w:r w:rsidRPr="00130F3D">
              <w:rPr>
                <w:rFonts w:ascii="Arial Narrow" w:hAnsi="Arial Narrow"/>
                <w:sz w:val="18"/>
                <w:szCs w:val="18"/>
              </w:rPr>
              <w:t>th</w:t>
            </w:r>
            <w:bookmarkStart w:id="3" w:name="_GoBack"/>
            <w:bookmarkEnd w:id="3"/>
            <w:r w:rsidRPr="00130F3D">
              <w:rPr>
                <w:rFonts w:ascii="Arial Narrow" w:hAnsi="Arial Narrow"/>
                <w:sz w:val="18"/>
                <w:szCs w:val="18"/>
              </w:rPr>
              <w:t>a</w:t>
            </w:r>
            <w:proofErr w:type="spellEnd"/>
            <w:r w:rsidR="0023624C">
              <w:rPr>
                <w:sz w:val="18"/>
                <w:szCs w:val="18"/>
              </w:rPr>
              <w:t>®</w:t>
            </w:r>
          </w:p>
        </w:tc>
        <w:tc>
          <w:tcPr>
            <w:tcW w:w="1134" w:type="dxa"/>
          </w:tcPr>
          <w:p w:rsidR="00102F8F" w:rsidRPr="00260CE3" w:rsidRDefault="00102F8F" w:rsidP="00592BD7">
            <w:pPr>
              <w:keepNext/>
              <w:rPr>
                <w:rFonts w:ascii="Arial Narrow" w:hAnsi="Arial Narrow"/>
                <w:sz w:val="20"/>
              </w:rPr>
            </w:pPr>
            <w:r>
              <w:rPr>
                <w:rFonts w:ascii="Arial Narrow" w:hAnsi="Arial Narrow"/>
                <w:sz w:val="20"/>
              </w:rPr>
              <w:t>Amgen</w:t>
            </w:r>
            <w:r w:rsidR="00130F3D">
              <w:rPr>
                <w:rFonts w:ascii="Arial Narrow" w:hAnsi="Arial Narrow"/>
                <w:sz w:val="20"/>
              </w:rPr>
              <w:t xml:space="preserve"> Pty Ltd</w:t>
            </w:r>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260CE3" w:rsidRDefault="00102F8F" w:rsidP="0082598E">
            <w:pPr>
              <w:rPr>
                <w:rFonts w:ascii="Arial Narrow" w:hAnsi="Arial Narrow"/>
                <w:b/>
                <w:sz w:val="20"/>
              </w:rPr>
            </w:pPr>
            <w:r w:rsidRPr="00260CE3">
              <w:rPr>
                <w:rFonts w:ascii="Arial Narrow" w:hAnsi="Arial Narrow"/>
                <w:b/>
                <w:sz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102F8F" w:rsidRPr="00260CE3" w:rsidRDefault="00102F8F" w:rsidP="0082598E">
            <w:pPr>
              <w:rPr>
                <w:rFonts w:ascii="Arial Narrow" w:hAnsi="Arial Narrow"/>
                <w:sz w:val="20"/>
              </w:rPr>
            </w:pPr>
            <w:r w:rsidRPr="00260CE3">
              <w:rPr>
                <w:rFonts w:ascii="Arial Narrow" w:hAnsi="Arial Narrow"/>
                <w:sz w:val="20"/>
              </w:rPr>
              <w:t>GENERAL – General Schedule (Code GE)</w:t>
            </w:r>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Default="00102F8F" w:rsidP="00592BD7">
            <w:pPr>
              <w:rPr>
                <w:rFonts w:ascii="Arial Narrow" w:hAnsi="Arial Narrow"/>
                <w:b/>
                <w:sz w:val="20"/>
              </w:rPr>
            </w:pPr>
            <w:r w:rsidRPr="00260CE3">
              <w:rPr>
                <w:rFonts w:ascii="Arial Narrow" w:hAnsi="Arial Narrow"/>
                <w:b/>
                <w:sz w:val="20"/>
              </w:rPr>
              <w:t>Prescriber type:</w:t>
            </w:r>
          </w:p>
          <w:p w:rsidR="00102F8F" w:rsidRPr="00260CE3" w:rsidRDefault="00102F8F" w:rsidP="00592BD7">
            <w:pPr>
              <w:rPr>
                <w:rFonts w:ascii="Arial Narrow" w:hAnsi="Arial Narrow"/>
                <w:b/>
                <w:sz w:val="20"/>
              </w:rPr>
            </w:pPr>
          </w:p>
        </w:tc>
        <w:tc>
          <w:tcPr>
            <w:tcW w:w="6662" w:type="dxa"/>
            <w:gridSpan w:val="6"/>
            <w:tcBorders>
              <w:top w:val="single" w:sz="4" w:space="0" w:color="auto"/>
              <w:left w:val="single" w:sz="4" w:space="0" w:color="auto"/>
              <w:bottom w:val="single" w:sz="4" w:space="0" w:color="auto"/>
              <w:right w:val="single" w:sz="4" w:space="0" w:color="auto"/>
            </w:tcBorders>
          </w:tcPr>
          <w:p w:rsidR="00102F8F" w:rsidRPr="00260CE3" w:rsidRDefault="00102F8F" w:rsidP="00592BD7">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02F8F" w:rsidRPr="00260CE3" w:rsidRDefault="00102F8F" w:rsidP="00592BD7">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260CE3" w:rsidRDefault="00102F8F" w:rsidP="00592BD7">
            <w:pPr>
              <w:rPr>
                <w:rFonts w:ascii="Arial Narrow" w:hAnsi="Arial Narrow"/>
                <w:b/>
                <w:sz w:val="20"/>
              </w:rPr>
            </w:pPr>
            <w:r w:rsidRPr="00260CE3">
              <w:rPr>
                <w:rFonts w:ascii="Arial Narrow" w:hAnsi="Arial Narrow"/>
                <w:b/>
                <w:sz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102F8F" w:rsidRPr="00260CE3" w:rsidRDefault="00102F8F" w:rsidP="00592BD7">
            <w:pPr>
              <w:rPr>
                <w:rFonts w:ascii="Arial Narrow" w:hAnsi="Arial Narrow"/>
                <w:sz w:val="20"/>
              </w:rPr>
            </w:pPr>
            <w:proofErr w:type="spellStart"/>
            <w:r w:rsidRPr="006B0C68">
              <w:rPr>
                <w:rFonts w:ascii="Arial Narrow" w:hAnsi="Arial Narrow"/>
                <w:sz w:val="20"/>
              </w:rPr>
              <w:t>Hypercholesterolaemia</w:t>
            </w:r>
            <w:proofErr w:type="spellEnd"/>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260CE3" w:rsidRDefault="00102F8F" w:rsidP="00592BD7">
            <w:pPr>
              <w:rPr>
                <w:rFonts w:ascii="Arial Narrow" w:hAnsi="Arial Narrow"/>
                <w:b/>
                <w:sz w:val="20"/>
              </w:rPr>
            </w:pPr>
            <w:r w:rsidRPr="00260CE3">
              <w:rPr>
                <w:rFonts w:ascii="Arial Narrow" w:hAnsi="Arial Narrow"/>
                <w:b/>
                <w:sz w:val="20"/>
              </w:rPr>
              <w:t>PBS Indication:</w:t>
            </w:r>
          </w:p>
        </w:tc>
        <w:tc>
          <w:tcPr>
            <w:tcW w:w="6662" w:type="dxa"/>
            <w:gridSpan w:val="6"/>
            <w:tcBorders>
              <w:top w:val="single" w:sz="4" w:space="0" w:color="auto"/>
              <w:left w:val="single" w:sz="4" w:space="0" w:color="auto"/>
              <w:bottom w:val="single" w:sz="4" w:space="0" w:color="auto"/>
              <w:right w:val="single" w:sz="4" w:space="0" w:color="auto"/>
            </w:tcBorders>
          </w:tcPr>
          <w:p w:rsidR="00102F8F" w:rsidRPr="00260CE3" w:rsidRDefault="00102F8F" w:rsidP="00592BD7">
            <w:pPr>
              <w:rPr>
                <w:rFonts w:ascii="Arial Narrow" w:hAnsi="Arial Narrow"/>
                <w:sz w:val="20"/>
              </w:rPr>
            </w:pPr>
            <w:proofErr w:type="spellStart"/>
            <w:r w:rsidRPr="006B0C68">
              <w:rPr>
                <w:rFonts w:ascii="Arial Narrow" w:hAnsi="Arial Narrow"/>
                <w:sz w:val="20"/>
              </w:rPr>
              <w:t>Hypercholesterolaemia</w:t>
            </w:r>
            <w:proofErr w:type="spellEnd"/>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940FC9" w:rsidRDefault="00102F8F" w:rsidP="00592BD7">
            <w:pPr>
              <w:jc w:val="left"/>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662" w:type="dxa"/>
            <w:gridSpan w:val="6"/>
            <w:tcBorders>
              <w:top w:val="single" w:sz="4" w:space="0" w:color="auto"/>
              <w:left w:val="single" w:sz="4" w:space="0" w:color="auto"/>
              <w:bottom w:val="single" w:sz="4" w:space="0" w:color="auto"/>
              <w:right w:val="single" w:sz="4" w:space="0" w:color="auto"/>
            </w:tcBorders>
          </w:tcPr>
          <w:p w:rsidR="00102F8F" w:rsidRPr="00106BCF" w:rsidRDefault="00102F8F" w:rsidP="00592BD7">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02F8F" w:rsidRPr="00106BCF" w:rsidRDefault="00102F8F" w:rsidP="00592BD7">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02F8F" w:rsidRPr="00106BCF" w:rsidRDefault="00102F8F" w:rsidP="00592BD7">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Authority Required - Telephone</w:t>
            </w:r>
          </w:p>
          <w:p w:rsidR="00102F8F" w:rsidRPr="00106BCF" w:rsidRDefault="00102F8F" w:rsidP="00592BD7">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02F8F" w:rsidRPr="00106BCF" w:rsidRDefault="00102F8F" w:rsidP="00592BD7">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bookmarkEnd w:id="5"/>
            <w:r w:rsidRPr="00106BCF">
              <w:rPr>
                <w:rFonts w:ascii="Arial Narrow" w:hAnsi="Arial Narrow"/>
                <w:sz w:val="20"/>
              </w:rPr>
              <w:t>Authority Required - Electronic</w:t>
            </w:r>
          </w:p>
          <w:p w:rsidR="00102F8F" w:rsidRPr="00260CE3" w:rsidRDefault="00102F8F" w:rsidP="00592BD7">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260CE3" w:rsidRDefault="00102F8F" w:rsidP="00200403">
            <w:pPr>
              <w:rPr>
                <w:rFonts w:ascii="Arial Narrow" w:hAnsi="Arial Narrow"/>
                <w:sz w:val="20"/>
              </w:rPr>
            </w:pPr>
            <w:r w:rsidRPr="00260CE3">
              <w:rPr>
                <w:rFonts w:ascii="Arial Narrow" w:hAnsi="Arial Narrow"/>
                <w:b/>
                <w:sz w:val="20"/>
              </w:rPr>
              <w:lastRenderedPageBreak/>
              <w:t>Clinical criteria:</w:t>
            </w:r>
          </w:p>
        </w:tc>
        <w:tc>
          <w:tcPr>
            <w:tcW w:w="6662" w:type="dxa"/>
            <w:gridSpan w:val="6"/>
            <w:tcBorders>
              <w:top w:val="single" w:sz="4" w:space="0" w:color="auto"/>
              <w:left w:val="single" w:sz="4" w:space="0" w:color="auto"/>
              <w:bottom w:val="single" w:sz="4" w:space="0" w:color="auto"/>
              <w:right w:val="single" w:sz="4" w:space="0" w:color="auto"/>
            </w:tcBorders>
          </w:tcPr>
          <w:p w:rsidR="00102F8F" w:rsidRDefault="00102F8F" w:rsidP="00592BD7">
            <w:pPr>
              <w:rPr>
                <w:rFonts w:ascii="Arial Narrow" w:hAnsi="Arial Narrow"/>
                <w:sz w:val="20"/>
              </w:rPr>
            </w:pPr>
            <w:r w:rsidRPr="006B0C68">
              <w:rPr>
                <w:rFonts w:ascii="Arial Narrow" w:hAnsi="Arial Narrow"/>
                <w:sz w:val="20"/>
              </w:rPr>
              <w:t>The treatment must be in conjunction with dietary therapy and exercise,</w:t>
            </w:r>
          </w:p>
          <w:p w:rsidR="00102F8F" w:rsidRDefault="00102F8F" w:rsidP="00592BD7">
            <w:pPr>
              <w:rPr>
                <w:rFonts w:ascii="Arial Narrow" w:hAnsi="Arial Narrow"/>
                <w:sz w:val="20"/>
              </w:rPr>
            </w:pPr>
          </w:p>
          <w:p w:rsidR="00102F8F" w:rsidRDefault="00102F8F" w:rsidP="00592BD7">
            <w:pPr>
              <w:rPr>
                <w:rFonts w:ascii="Arial Narrow" w:hAnsi="Arial Narrow"/>
                <w:sz w:val="20"/>
              </w:rPr>
            </w:pPr>
            <w:r>
              <w:rPr>
                <w:rFonts w:ascii="Arial Narrow" w:hAnsi="Arial Narrow"/>
                <w:sz w:val="20"/>
              </w:rPr>
              <w:t>AND</w:t>
            </w:r>
          </w:p>
          <w:p w:rsidR="00102F8F" w:rsidRDefault="00102F8F" w:rsidP="00592BD7">
            <w:pPr>
              <w:rPr>
                <w:rFonts w:ascii="Arial Narrow" w:hAnsi="Arial Narrow"/>
                <w:sz w:val="20"/>
              </w:rPr>
            </w:pPr>
          </w:p>
          <w:p w:rsidR="00102F8F" w:rsidRDefault="00102F8F" w:rsidP="0082598E">
            <w:pPr>
              <w:ind w:left="459"/>
              <w:rPr>
                <w:rFonts w:ascii="Arial Narrow" w:hAnsi="Arial Narrow"/>
                <w:sz w:val="20"/>
              </w:rPr>
            </w:pPr>
            <w:r w:rsidRPr="006B0C68">
              <w:rPr>
                <w:rFonts w:ascii="Arial Narrow" w:hAnsi="Arial Narrow"/>
                <w:sz w:val="20"/>
              </w:rPr>
              <w:t>Patient</w:t>
            </w:r>
            <w:r>
              <w:rPr>
                <w:rFonts w:ascii="Arial Narrow" w:hAnsi="Arial Narrow"/>
                <w:sz w:val="20"/>
              </w:rPr>
              <w:t xml:space="preserve"> must have c</w:t>
            </w:r>
            <w:r w:rsidRPr="006B0C68">
              <w:rPr>
                <w:rFonts w:ascii="Arial Narrow" w:hAnsi="Arial Narrow"/>
                <w:sz w:val="20"/>
              </w:rPr>
              <w:t>holesterol levels that are inadequately controlled with an HMG CoA r</w:t>
            </w:r>
            <w:r>
              <w:rPr>
                <w:rFonts w:ascii="Arial Narrow" w:hAnsi="Arial Narrow"/>
                <w:sz w:val="20"/>
              </w:rPr>
              <w:t>eductase inhibitor (statin); OR</w:t>
            </w:r>
          </w:p>
          <w:p w:rsidR="00102F8F" w:rsidRDefault="00102F8F" w:rsidP="0082598E">
            <w:pPr>
              <w:ind w:left="459"/>
              <w:rPr>
                <w:rFonts w:ascii="Arial Narrow" w:hAnsi="Arial Narrow"/>
                <w:sz w:val="20"/>
              </w:rPr>
            </w:pPr>
            <w:r w:rsidRPr="006B0C68">
              <w:rPr>
                <w:rFonts w:ascii="Arial Narrow" w:hAnsi="Arial Narrow"/>
                <w:sz w:val="20"/>
              </w:rPr>
              <w:t>Patient</w:t>
            </w:r>
            <w:r>
              <w:rPr>
                <w:rFonts w:ascii="Arial Narrow" w:hAnsi="Arial Narrow"/>
                <w:sz w:val="20"/>
              </w:rPr>
              <w:t xml:space="preserve"> must have </w:t>
            </w:r>
            <w:r w:rsidRPr="006B0C68">
              <w:rPr>
                <w:rFonts w:ascii="Arial Narrow" w:hAnsi="Arial Narrow"/>
                <w:sz w:val="20"/>
              </w:rPr>
              <w:t xml:space="preserve">developed a clinically important product-related adverse event during treatment with a statin necessitating a </w:t>
            </w:r>
            <w:r>
              <w:rPr>
                <w:rFonts w:ascii="Arial Narrow" w:hAnsi="Arial Narrow"/>
                <w:sz w:val="20"/>
              </w:rPr>
              <w:t>reduction in the statin dose; OR</w:t>
            </w:r>
          </w:p>
          <w:p w:rsidR="00102F8F" w:rsidRDefault="00102F8F" w:rsidP="0082598E">
            <w:pPr>
              <w:ind w:left="459"/>
              <w:rPr>
                <w:rFonts w:ascii="Arial Narrow" w:hAnsi="Arial Narrow"/>
                <w:sz w:val="20"/>
              </w:rPr>
            </w:pPr>
            <w:r w:rsidRPr="006B0C68">
              <w:rPr>
                <w:rFonts w:ascii="Arial Narrow" w:hAnsi="Arial Narrow"/>
                <w:sz w:val="20"/>
              </w:rPr>
              <w:t>Patient</w:t>
            </w:r>
            <w:r>
              <w:rPr>
                <w:rFonts w:ascii="Arial Narrow" w:hAnsi="Arial Narrow"/>
                <w:sz w:val="20"/>
              </w:rPr>
              <w:t xml:space="preserve"> must have </w:t>
            </w:r>
            <w:r w:rsidRPr="006B0C68">
              <w:rPr>
                <w:rFonts w:ascii="Arial Narrow" w:hAnsi="Arial Narrow"/>
                <w:sz w:val="20"/>
              </w:rPr>
              <w:t>a contraindica</w:t>
            </w:r>
            <w:r>
              <w:rPr>
                <w:rFonts w:ascii="Arial Narrow" w:hAnsi="Arial Narrow"/>
                <w:sz w:val="20"/>
              </w:rPr>
              <w:t>tion to treatment with a statin,</w:t>
            </w:r>
          </w:p>
          <w:p w:rsidR="00102F8F" w:rsidRDefault="00102F8F" w:rsidP="00592BD7">
            <w:pPr>
              <w:rPr>
                <w:rFonts w:ascii="Arial Narrow" w:hAnsi="Arial Narrow"/>
                <w:sz w:val="20"/>
              </w:rPr>
            </w:pPr>
          </w:p>
          <w:p w:rsidR="00102F8F" w:rsidRDefault="00102F8F" w:rsidP="00592BD7">
            <w:pPr>
              <w:rPr>
                <w:rFonts w:ascii="Arial Narrow" w:hAnsi="Arial Narrow"/>
                <w:sz w:val="20"/>
              </w:rPr>
            </w:pPr>
            <w:r>
              <w:rPr>
                <w:rFonts w:ascii="Arial Narrow" w:hAnsi="Arial Narrow"/>
                <w:sz w:val="20"/>
              </w:rPr>
              <w:t>AND</w:t>
            </w:r>
          </w:p>
          <w:p w:rsidR="00102F8F" w:rsidRDefault="00102F8F" w:rsidP="00592BD7">
            <w:pPr>
              <w:rPr>
                <w:rFonts w:ascii="Arial Narrow" w:hAnsi="Arial Narrow"/>
                <w:sz w:val="20"/>
              </w:rPr>
            </w:pPr>
          </w:p>
          <w:p w:rsidR="00102F8F"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 xml:space="preserve">coronary heart disease; </w:t>
            </w:r>
            <w:r>
              <w:rPr>
                <w:rFonts w:ascii="Arial Narrow" w:hAnsi="Arial Narrow"/>
                <w:sz w:val="20"/>
              </w:rPr>
              <w:t>OR</w:t>
            </w:r>
          </w:p>
          <w:p w:rsidR="00102F8F"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 xml:space="preserve">peripheral vascular disease; </w:t>
            </w:r>
            <w:r>
              <w:rPr>
                <w:rFonts w:ascii="Arial Narrow" w:hAnsi="Arial Narrow"/>
                <w:sz w:val="20"/>
              </w:rPr>
              <w:t>OR</w:t>
            </w:r>
          </w:p>
          <w:p w:rsidR="00102F8F" w:rsidRDefault="00102F8F" w:rsidP="0082598E">
            <w:pPr>
              <w:ind w:left="459"/>
              <w:rPr>
                <w:rFonts w:ascii="Arial Narrow" w:hAnsi="Arial Narrow"/>
                <w:sz w:val="20"/>
              </w:rPr>
            </w:pPr>
            <w:r w:rsidRPr="00960DF2">
              <w:rPr>
                <w:rFonts w:ascii="Arial Narrow" w:hAnsi="Arial Narrow"/>
                <w:sz w:val="20"/>
              </w:rPr>
              <w:t xml:space="preserve">Patient must </w:t>
            </w:r>
            <w:r>
              <w:rPr>
                <w:rFonts w:ascii="Arial Narrow" w:hAnsi="Arial Narrow"/>
                <w:sz w:val="20"/>
              </w:rPr>
              <w:t xml:space="preserve">have </w:t>
            </w:r>
            <w:r w:rsidRPr="00960DF2">
              <w:rPr>
                <w:rFonts w:ascii="Arial Narrow" w:hAnsi="Arial Narrow"/>
                <w:sz w:val="20"/>
              </w:rPr>
              <w:t xml:space="preserve">symptomatic cerebrovascular disease; </w:t>
            </w:r>
            <w:r>
              <w:rPr>
                <w:rFonts w:ascii="Arial Narrow" w:hAnsi="Arial Narrow"/>
                <w:sz w:val="20"/>
              </w:rPr>
              <w:t>OR</w:t>
            </w:r>
          </w:p>
          <w:p w:rsidR="00102F8F" w:rsidRPr="00960DF2"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 xml:space="preserve">heterozygous familial </w:t>
            </w:r>
            <w:proofErr w:type="spellStart"/>
            <w:r w:rsidRPr="00960DF2">
              <w:rPr>
                <w:rFonts w:ascii="Arial Narrow" w:hAnsi="Arial Narrow"/>
                <w:sz w:val="20"/>
              </w:rPr>
              <w:t>hypercholesterolaemia</w:t>
            </w:r>
            <w:proofErr w:type="spellEnd"/>
            <w:r w:rsidRPr="00960DF2">
              <w:rPr>
                <w:rFonts w:ascii="Arial Narrow" w:hAnsi="Arial Narrow"/>
                <w:sz w:val="20"/>
              </w:rPr>
              <w:t xml:space="preserve">; </w:t>
            </w:r>
            <w:r>
              <w:rPr>
                <w:rFonts w:ascii="Arial Narrow" w:hAnsi="Arial Narrow"/>
                <w:sz w:val="20"/>
              </w:rPr>
              <w:t>OR</w:t>
            </w:r>
          </w:p>
          <w:p w:rsidR="00102F8F" w:rsidRPr="00960DF2"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 xml:space="preserve">a family history of coronary heart disease; </w:t>
            </w:r>
            <w:r>
              <w:rPr>
                <w:rFonts w:ascii="Arial Narrow" w:hAnsi="Arial Narrow"/>
                <w:sz w:val="20"/>
              </w:rPr>
              <w:t>OR</w:t>
            </w:r>
          </w:p>
          <w:p w:rsidR="00102F8F" w:rsidRPr="00960DF2"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 xml:space="preserve">diabetes mellitus; </w:t>
            </w:r>
            <w:r>
              <w:rPr>
                <w:rFonts w:ascii="Arial Narrow" w:hAnsi="Arial Narrow"/>
                <w:sz w:val="20"/>
              </w:rPr>
              <w:t>OR</w:t>
            </w:r>
          </w:p>
          <w:p w:rsidR="00102F8F" w:rsidRPr="00960DF2" w:rsidRDefault="00102F8F" w:rsidP="0082598E">
            <w:pPr>
              <w:ind w:left="459"/>
              <w:rPr>
                <w:rFonts w:ascii="Arial Narrow" w:hAnsi="Arial Narrow"/>
                <w:sz w:val="20"/>
              </w:rPr>
            </w:pPr>
            <w:r w:rsidRPr="00960DF2">
              <w:rPr>
                <w:rFonts w:ascii="Arial Narrow" w:hAnsi="Arial Narrow"/>
                <w:sz w:val="20"/>
              </w:rPr>
              <w:t>Patient must have</w:t>
            </w:r>
            <w:r>
              <w:rPr>
                <w:rFonts w:ascii="Arial Narrow" w:hAnsi="Arial Narrow"/>
                <w:sz w:val="20"/>
              </w:rPr>
              <w:t xml:space="preserve"> </w:t>
            </w:r>
            <w:r w:rsidRPr="00960DF2">
              <w:rPr>
                <w:rFonts w:ascii="Arial Narrow" w:hAnsi="Arial Narrow"/>
                <w:sz w:val="20"/>
              </w:rPr>
              <w:t>hypertension</w:t>
            </w:r>
            <w:r>
              <w:rPr>
                <w:rFonts w:ascii="Arial Narrow" w:hAnsi="Arial Narrow"/>
                <w:sz w:val="20"/>
              </w:rPr>
              <w:t>.</w:t>
            </w:r>
          </w:p>
          <w:p w:rsidR="00102F8F" w:rsidRPr="00260CE3" w:rsidRDefault="00102F8F" w:rsidP="0082598E">
            <w:pPr>
              <w:ind w:left="459"/>
              <w:rPr>
                <w:rFonts w:ascii="Arial Narrow" w:hAnsi="Arial Narrow"/>
                <w:sz w:val="20"/>
              </w:rPr>
            </w:pPr>
            <w:proofErr w:type="gramStart"/>
            <w:r w:rsidRPr="00960DF2">
              <w:rPr>
                <w:rFonts w:ascii="Arial Narrow" w:hAnsi="Arial Narrow"/>
                <w:strike/>
                <w:sz w:val="20"/>
              </w:rPr>
              <w:t>an</w:t>
            </w:r>
            <w:proofErr w:type="gramEnd"/>
            <w:r w:rsidRPr="00960DF2">
              <w:rPr>
                <w:rFonts w:ascii="Arial Narrow" w:hAnsi="Arial Narrow"/>
                <w:strike/>
                <w:sz w:val="20"/>
              </w:rPr>
              <w:t xml:space="preserve"> Aboriginal or Torres Strait Islander person.</w:t>
            </w:r>
          </w:p>
        </w:tc>
      </w:tr>
      <w:tr w:rsidR="00102F8F" w:rsidRPr="00260CE3" w:rsidTr="0082598E">
        <w:trPr>
          <w:cantSplit/>
          <w:trHeight w:val="360"/>
        </w:trPr>
        <w:tc>
          <w:tcPr>
            <w:tcW w:w="1843" w:type="dxa"/>
            <w:tcBorders>
              <w:top w:val="single" w:sz="4" w:space="0" w:color="auto"/>
              <w:left w:val="single" w:sz="4" w:space="0" w:color="auto"/>
              <w:bottom w:val="single" w:sz="4" w:space="0" w:color="auto"/>
              <w:right w:val="single" w:sz="4" w:space="0" w:color="auto"/>
            </w:tcBorders>
          </w:tcPr>
          <w:p w:rsidR="00102F8F" w:rsidRPr="00260CE3" w:rsidRDefault="00102F8F" w:rsidP="00200403">
            <w:pPr>
              <w:rPr>
                <w:rFonts w:ascii="Arial Narrow" w:hAnsi="Arial Narrow"/>
                <w:sz w:val="20"/>
              </w:rPr>
            </w:pPr>
            <w:r w:rsidRPr="00260CE3">
              <w:rPr>
                <w:rFonts w:ascii="Arial Narrow" w:hAnsi="Arial Narrow"/>
                <w:b/>
                <w:sz w:val="20"/>
              </w:rPr>
              <w:t>Prescriber Instructions</w:t>
            </w:r>
          </w:p>
        </w:tc>
        <w:tc>
          <w:tcPr>
            <w:tcW w:w="6662" w:type="dxa"/>
            <w:gridSpan w:val="6"/>
            <w:tcBorders>
              <w:top w:val="single" w:sz="4" w:space="0" w:color="auto"/>
              <w:left w:val="single" w:sz="4" w:space="0" w:color="auto"/>
              <w:bottom w:val="single" w:sz="4" w:space="0" w:color="auto"/>
              <w:right w:val="single" w:sz="4" w:space="0" w:color="auto"/>
            </w:tcBorders>
          </w:tcPr>
          <w:p w:rsidR="00102F8F" w:rsidRPr="00960DF2" w:rsidRDefault="00102F8F" w:rsidP="00592BD7">
            <w:pPr>
              <w:rPr>
                <w:rFonts w:ascii="Arial Narrow" w:hAnsi="Arial Narrow"/>
                <w:sz w:val="20"/>
              </w:rPr>
            </w:pPr>
            <w:r w:rsidRPr="00960DF2">
              <w:rPr>
                <w:rFonts w:ascii="Arial Narrow" w:hAnsi="Arial Narrow"/>
                <w:sz w:val="20"/>
              </w:rPr>
              <w:t>Inadequate control with a statin is defined as follows:</w:t>
            </w:r>
          </w:p>
          <w:p w:rsidR="00102F8F" w:rsidRPr="00B85C2C" w:rsidRDefault="00102F8F" w:rsidP="00592BD7">
            <w:pPr>
              <w:rPr>
                <w:rFonts w:ascii="Arial Narrow" w:hAnsi="Arial Narrow"/>
                <w:sz w:val="20"/>
              </w:rPr>
            </w:pPr>
            <w:r w:rsidRPr="00B85C2C">
              <w:rPr>
                <w:rFonts w:ascii="Arial Narrow" w:hAnsi="Arial Narrow"/>
                <w:sz w:val="20"/>
              </w:rPr>
              <w:t>(1) where the patient falls into a category for which the </w:t>
            </w:r>
            <w:r w:rsidRPr="00651444">
              <w:rPr>
                <w:rFonts w:ascii="Arial Narrow" w:hAnsi="Arial Narrow"/>
                <w:sz w:val="20"/>
              </w:rPr>
              <w:t>General Statement for Lipid-Lowering Drugs</w:t>
            </w:r>
            <w:r w:rsidRPr="00B85C2C">
              <w:rPr>
                <w:rFonts w:ascii="Arial Narrow" w:hAnsi="Arial Narrow"/>
                <w:sz w:val="20"/>
              </w:rPr>
              <w:t xml:space="preserve">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B85C2C">
              <w:rPr>
                <w:rFonts w:ascii="Arial Narrow" w:hAnsi="Arial Narrow"/>
                <w:sz w:val="20"/>
              </w:rPr>
              <w:t>evolocumab</w:t>
            </w:r>
            <w:proofErr w:type="spellEnd"/>
            <w:r w:rsidRPr="00B85C2C">
              <w:rPr>
                <w:rFonts w:ascii="Arial Narrow" w:hAnsi="Arial Narrow"/>
                <w:sz w:val="20"/>
              </w:rPr>
              <w:t xml:space="preserve"> is initiated. The cholesterol level which shows inadequate control must be no more than 2 months old when </w:t>
            </w:r>
            <w:proofErr w:type="spellStart"/>
            <w:r w:rsidRPr="00B85C2C">
              <w:rPr>
                <w:rFonts w:ascii="Arial Narrow" w:hAnsi="Arial Narrow"/>
                <w:sz w:val="20"/>
              </w:rPr>
              <w:t>evolocumab</w:t>
            </w:r>
            <w:proofErr w:type="spellEnd"/>
            <w:r w:rsidRPr="00B85C2C">
              <w:rPr>
                <w:rFonts w:ascii="Arial Narrow" w:hAnsi="Arial Narrow"/>
                <w:sz w:val="20"/>
              </w:rPr>
              <w:t xml:space="preserve"> is initiated; or</w:t>
            </w:r>
          </w:p>
          <w:p w:rsidR="00102F8F" w:rsidRPr="00960DF2" w:rsidRDefault="00102F8F" w:rsidP="00592BD7">
            <w:pPr>
              <w:rPr>
                <w:rFonts w:ascii="Arial Narrow" w:hAnsi="Arial Narrow"/>
                <w:sz w:val="20"/>
              </w:rPr>
            </w:pPr>
            <w:r w:rsidRPr="00B85C2C">
              <w:rPr>
                <w:rFonts w:ascii="Arial Narrow" w:hAnsi="Arial Narrow"/>
                <w:sz w:val="20"/>
              </w:rPr>
              <w:t>(2) where the patient falls into a category for which the </w:t>
            </w:r>
            <w:r w:rsidRPr="00651444">
              <w:rPr>
                <w:rFonts w:ascii="Arial Narrow" w:hAnsi="Arial Narrow"/>
                <w:sz w:val="20"/>
              </w:rPr>
              <w:t>General Statement for Lipid-Lowering Drugs</w:t>
            </w:r>
            <w:r w:rsidRPr="00B85C2C">
              <w:rPr>
                <w:rFonts w:ascii="Arial Narrow" w:hAnsi="Arial Narrow"/>
                <w:sz w:val="20"/>
              </w:rPr>
              <w:t> allows PBS-subsidised treatment with a statin at any cholesterol level (i.e. a very high risk category patient), a cholesterol level in excess of 4</w:t>
            </w:r>
            <w:r w:rsidR="000A3B2C">
              <w:rPr>
                <w:rFonts w:ascii="Arial Narrow" w:hAnsi="Arial Narrow"/>
                <w:sz w:val="20"/>
              </w:rPr>
              <w:t> </w:t>
            </w:r>
            <w:proofErr w:type="spellStart"/>
            <w:r w:rsidRPr="00B85C2C">
              <w:rPr>
                <w:rFonts w:ascii="Arial Narrow" w:hAnsi="Arial Narrow"/>
                <w:sz w:val="20"/>
              </w:rPr>
              <w:t>mmol</w:t>
            </w:r>
            <w:proofErr w:type="spellEnd"/>
            <w:r w:rsidRPr="00B85C2C">
              <w:rPr>
                <w:rFonts w:ascii="Arial Narrow" w:hAnsi="Arial Narrow"/>
                <w:sz w:val="20"/>
              </w:rPr>
              <w:t xml:space="preserve"> per L after at least 3 months of treatment at a maximum tolerated </w:t>
            </w:r>
            <w:r w:rsidRPr="00960DF2">
              <w:rPr>
                <w:rFonts w:ascii="Arial Narrow" w:hAnsi="Arial Narrow"/>
                <w:sz w:val="20"/>
              </w:rPr>
              <w:t xml:space="preserve">dose of a statin, in conjunction with dietary therapy and exercise. The dose and duration of statin treatment and the cholesterol level which shows inadequate control must be documented in the patient's medical records when </w:t>
            </w:r>
            <w:proofErr w:type="spellStart"/>
            <w:r w:rsidRPr="00960DF2">
              <w:rPr>
                <w:rFonts w:ascii="Arial Narrow" w:hAnsi="Arial Narrow"/>
                <w:sz w:val="20"/>
              </w:rPr>
              <w:t>evolocumab</w:t>
            </w:r>
            <w:proofErr w:type="spellEnd"/>
            <w:r w:rsidRPr="00960DF2">
              <w:rPr>
                <w:rFonts w:ascii="Arial Narrow" w:hAnsi="Arial Narrow"/>
                <w:sz w:val="20"/>
              </w:rPr>
              <w:t xml:space="preserve"> is initiated. The cholesterol level which shows inadequate control must be no more than 2 months old when </w:t>
            </w:r>
            <w:proofErr w:type="spellStart"/>
            <w:r w:rsidRPr="00960DF2">
              <w:rPr>
                <w:rFonts w:ascii="Arial Narrow" w:hAnsi="Arial Narrow"/>
                <w:sz w:val="20"/>
              </w:rPr>
              <w:t>evolocumab</w:t>
            </w:r>
            <w:proofErr w:type="spellEnd"/>
            <w:r w:rsidRPr="00960DF2">
              <w:rPr>
                <w:rFonts w:ascii="Arial Narrow" w:hAnsi="Arial Narrow"/>
                <w:sz w:val="20"/>
              </w:rPr>
              <w:t xml:space="preserve"> is initiated.</w:t>
            </w:r>
          </w:p>
          <w:p w:rsidR="00102F8F" w:rsidRPr="00960DF2" w:rsidRDefault="00102F8F" w:rsidP="00592BD7">
            <w:pPr>
              <w:rPr>
                <w:rFonts w:ascii="Arial Narrow" w:hAnsi="Arial Narrow"/>
                <w:sz w:val="20"/>
              </w:rPr>
            </w:pPr>
          </w:p>
          <w:p w:rsidR="00102F8F" w:rsidRPr="00960DF2" w:rsidRDefault="00102F8F" w:rsidP="00592BD7">
            <w:pPr>
              <w:rPr>
                <w:rFonts w:ascii="Arial Narrow" w:hAnsi="Arial Narrow"/>
                <w:sz w:val="20"/>
              </w:rPr>
            </w:pPr>
            <w:r w:rsidRPr="00960DF2">
              <w:rPr>
                <w:rFonts w:ascii="Arial Narrow" w:hAnsi="Arial Narrow"/>
                <w:sz w:val="20"/>
              </w:rPr>
              <w:t>A clinically important product-related adverse event is defined as follows:</w:t>
            </w:r>
          </w:p>
          <w:p w:rsidR="00102F8F" w:rsidRPr="00960DF2" w:rsidRDefault="00102F8F" w:rsidP="00592BD7">
            <w:pPr>
              <w:widowControl/>
              <w:numPr>
                <w:ilvl w:val="0"/>
                <w:numId w:val="32"/>
              </w:numPr>
              <w:jc w:val="left"/>
              <w:rPr>
                <w:rFonts w:ascii="Arial Narrow" w:hAnsi="Arial Narrow"/>
                <w:sz w:val="20"/>
              </w:rPr>
            </w:pPr>
            <w:r w:rsidRPr="00960DF2">
              <w:rPr>
                <w:rFonts w:ascii="Arial Narrow" w:hAnsi="Arial Narrow"/>
                <w:sz w:val="20"/>
              </w:rPr>
              <w:t xml:space="preserve">Severe myalgia (muscle symptoms without </w:t>
            </w:r>
            <w:proofErr w:type="spellStart"/>
            <w:r w:rsidRPr="00960DF2">
              <w:rPr>
                <w:rFonts w:ascii="Arial Narrow" w:hAnsi="Arial Narrow"/>
                <w:sz w:val="20"/>
              </w:rPr>
              <w:t>creatine</w:t>
            </w:r>
            <w:proofErr w:type="spellEnd"/>
            <w:r w:rsidRPr="00960DF2">
              <w:rPr>
                <w:rFonts w:ascii="Arial Narrow" w:hAnsi="Arial Narrow"/>
                <w:sz w:val="20"/>
              </w:rPr>
              <w:t xml:space="preserve"> kinase elevation) which is proven to be temporally associated with statin treatment; or</w:t>
            </w:r>
          </w:p>
          <w:p w:rsidR="00102F8F" w:rsidRPr="00960DF2" w:rsidRDefault="00102F8F" w:rsidP="00592BD7">
            <w:pPr>
              <w:widowControl/>
              <w:numPr>
                <w:ilvl w:val="0"/>
                <w:numId w:val="32"/>
              </w:numPr>
              <w:jc w:val="left"/>
              <w:rPr>
                <w:rFonts w:ascii="Arial Narrow" w:hAnsi="Arial Narrow"/>
                <w:sz w:val="20"/>
              </w:rPr>
            </w:pPr>
            <w:r w:rsidRPr="00960DF2">
              <w:rPr>
                <w:rFonts w:ascii="Arial Narrow" w:hAnsi="Arial Narrow"/>
                <w:sz w:val="20"/>
              </w:rPr>
              <w:t xml:space="preserve">Myositis (clinically important </w:t>
            </w:r>
            <w:proofErr w:type="spellStart"/>
            <w:r w:rsidRPr="00960DF2">
              <w:rPr>
                <w:rFonts w:ascii="Arial Narrow" w:hAnsi="Arial Narrow"/>
                <w:sz w:val="20"/>
              </w:rPr>
              <w:t>creatine</w:t>
            </w:r>
            <w:proofErr w:type="spellEnd"/>
            <w:r w:rsidRPr="00960DF2">
              <w:rPr>
                <w:rFonts w:ascii="Arial Narrow" w:hAnsi="Arial Narrow"/>
                <w:sz w:val="20"/>
              </w:rPr>
              <w:t xml:space="preserve"> kinase elevation, with or without muscle symptoms) demonstrated by results twice the upper limit of normal on a single reading or a rising pattern on consecutive measurements and which is unexplained by other causes; or</w:t>
            </w:r>
          </w:p>
          <w:p w:rsidR="00102F8F" w:rsidRPr="00260CE3" w:rsidRDefault="00102F8F" w:rsidP="0082598E">
            <w:pPr>
              <w:widowControl/>
              <w:numPr>
                <w:ilvl w:val="0"/>
                <w:numId w:val="32"/>
              </w:numPr>
              <w:jc w:val="left"/>
              <w:rPr>
                <w:rFonts w:ascii="Arial Narrow" w:hAnsi="Arial Narrow"/>
                <w:sz w:val="20"/>
              </w:rPr>
            </w:pPr>
            <w:r w:rsidRPr="00940FC9">
              <w:rPr>
                <w:rFonts w:ascii="Arial Narrow" w:hAnsi="Arial Narrow"/>
                <w:sz w:val="20"/>
              </w:rPr>
              <w:t>Unexplained, persistence elevations of serum transaminases (greater than 3 times the upper limit of normal) during treatment with a statin.</w:t>
            </w:r>
          </w:p>
        </w:tc>
      </w:tr>
    </w:tbl>
    <w:p w:rsidR="00102F8F" w:rsidRPr="00200403" w:rsidRDefault="00102F8F" w:rsidP="00102F8F">
      <w:pPr>
        <w:rPr>
          <w:szCs w:val="22"/>
        </w:rPr>
      </w:pPr>
    </w:p>
    <w:tbl>
      <w:tblPr>
        <w:tblW w:w="8505" w:type="dxa"/>
        <w:tblInd w:w="817" w:type="dxa"/>
        <w:tblLayout w:type="fixed"/>
        <w:tblLook w:val="0000" w:firstRow="0" w:lastRow="0" w:firstColumn="0" w:lastColumn="0" w:noHBand="0" w:noVBand="0"/>
      </w:tblPr>
      <w:tblGrid>
        <w:gridCol w:w="1985"/>
        <w:gridCol w:w="6520"/>
      </w:tblGrid>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b/>
                <w:sz w:val="20"/>
              </w:rPr>
            </w:pPr>
            <w:r w:rsidRPr="00260CE3">
              <w:rPr>
                <w:rFonts w:ascii="Arial Narrow" w:hAnsi="Arial Narrow"/>
                <w:b/>
                <w:sz w:val="20"/>
              </w:rPr>
              <w:lastRenderedPageBreak/>
              <w:t>Category / Program</w:t>
            </w:r>
          </w:p>
        </w:tc>
        <w:tc>
          <w:tcPr>
            <w:tcW w:w="6520"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sz w:val="20"/>
              </w:rPr>
            </w:pPr>
            <w:r w:rsidRPr="00260CE3">
              <w:rPr>
                <w:rFonts w:ascii="Arial Narrow" w:hAnsi="Arial Narrow"/>
                <w:sz w:val="20"/>
              </w:rPr>
              <w:t>GENERAL – General Schedule (Code GE)</w:t>
            </w:r>
          </w:p>
        </w:tc>
      </w:tr>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b/>
                <w:sz w:val="20"/>
              </w:rPr>
            </w:pPr>
            <w:r w:rsidRPr="00260CE3">
              <w:rPr>
                <w:rFonts w:ascii="Arial Narrow" w:hAnsi="Arial Narrow"/>
                <w:b/>
                <w:sz w:val="20"/>
              </w:rPr>
              <w:t>Prescriber type:</w:t>
            </w:r>
          </w:p>
        </w:tc>
        <w:tc>
          <w:tcPr>
            <w:tcW w:w="6520"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02F8F" w:rsidRPr="00260CE3" w:rsidRDefault="00102F8F" w:rsidP="0068651E">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b/>
                <w:sz w:val="20"/>
              </w:rPr>
            </w:pPr>
            <w:r w:rsidRPr="00260CE3">
              <w:rPr>
                <w:rFonts w:ascii="Arial Narrow" w:hAnsi="Arial Narrow"/>
                <w:b/>
                <w:sz w:val="20"/>
              </w:rPr>
              <w:t>Condition:</w:t>
            </w:r>
          </w:p>
        </w:tc>
        <w:tc>
          <w:tcPr>
            <w:tcW w:w="6520"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sz w:val="20"/>
              </w:rPr>
            </w:pPr>
            <w:proofErr w:type="spellStart"/>
            <w:r w:rsidRPr="006B0C68">
              <w:rPr>
                <w:rFonts w:ascii="Arial Narrow" w:hAnsi="Arial Narrow"/>
                <w:sz w:val="20"/>
              </w:rPr>
              <w:t>Hypercholesterolaemia</w:t>
            </w:r>
            <w:proofErr w:type="spellEnd"/>
          </w:p>
        </w:tc>
      </w:tr>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b/>
                <w:sz w:val="20"/>
              </w:rPr>
            </w:pPr>
            <w:r w:rsidRPr="00260CE3">
              <w:rPr>
                <w:rFonts w:ascii="Arial Narrow" w:hAnsi="Arial Narrow"/>
                <w:b/>
                <w:sz w:val="20"/>
              </w:rPr>
              <w:t>PBS Indication:</w:t>
            </w:r>
          </w:p>
        </w:tc>
        <w:tc>
          <w:tcPr>
            <w:tcW w:w="6520"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sz w:val="20"/>
              </w:rPr>
            </w:pPr>
            <w:proofErr w:type="spellStart"/>
            <w:r w:rsidRPr="006B0C68">
              <w:rPr>
                <w:rFonts w:ascii="Arial Narrow" w:hAnsi="Arial Narrow"/>
                <w:sz w:val="20"/>
              </w:rPr>
              <w:t>Hypercholesterolaemia</w:t>
            </w:r>
            <w:proofErr w:type="spellEnd"/>
          </w:p>
        </w:tc>
      </w:tr>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940FC9" w:rsidRDefault="00102F8F" w:rsidP="0068651E">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520" w:type="dxa"/>
            <w:tcBorders>
              <w:top w:val="single" w:sz="4" w:space="0" w:color="auto"/>
              <w:left w:val="single" w:sz="4" w:space="0" w:color="auto"/>
              <w:bottom w:val="single" w:sz="4" w:space="0" w:color="auto"/>
              <w:right w:val="single" w:sz="4" w:space="0" w:color="auto"/>
            </w:tcBorders>
          </w:tcPr>
          <w:p w:rsidR="00102F8F" w:rsidRPr="00106BCF" w:rsidRDefault="00102F8F" w:rsidP="0068651E">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02F8F" w:rsidRPr="00106BCF" w:rsidRDefault="00102F8F" w:rsidP="0068651E">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02F8F" w:rsidRPr="00106BCF" w:rsidRDefault="00102F8F" w:rsidP="0068651E">
            <w:pPr>
              <w:keepNext/>
              <w:keepLines/>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02F8F" w:rsidRPr="00106BCF" w:rsidRDefault="00102F8F" w:rsidP="0068651E">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02F8F" w:rsidRPr="00106BCF" w:rsidRDefault="00102F8F" w:rsidP="0068651E">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02F8F" w:rsidRPr="00260CE3" w:rsidRDefault="00102F8F" w:rsidP="0068651E">
            <w:pPr>
              <w:keepNext/>
              <w:keepLines/>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EE5800">
              <w:rPr>
                <w:rFonts w:ascii="Arial Narrow" w:hAnsi="Arial Narrow"/>
                <w:sz w:val="20"/>
              </w:rPr>
            </w:r>
            <w:r w:rsidR="00EE580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02F8F" w:rsidRPr="00260CE3" w:rsidTr="003D57F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02F8F" w:rsidRPr="00260CE3" w:rsidRDefault="00102F8F" w:rsidP="0068651E">
            <w:pPr>
              <w:keepNext/>
              <w:keepLines/>
              <w:rPr>
                <w:rFonts w:ascii="Arial Narrow" w:hAnsi="Arial Narrow"/>
                <w:sz w:val="20"/>
              </w:rPr>
            </w:pPr>
            <w:r w:rsidRPr="00260CE3">
              <w:rPr>
                <w:rFonts w:ascii="Arial Narrow" w:hAnsi="Arial Narrow"/>
                <w:b/>
                <w:sz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102F8F" w:rsidRDefault="00102F8F" w:rsidP="0068651E">
            <w:pPr>
              <w:keepNext/>
              <w:keepLines/>
              <w:rPr>
                <w:rFonts w:ascii="Arial Narrow" w:hAnsi="Arial Narrow"/>
                <w:sz w:val="20"/>
              </w:rPr>
            </w:pPr>
            <w:r>
              <w:rPr>
                <w:rFonts w:ascii="Arial Narrow" w:hAnsi="Arial Narrow"/>
                <w:sz w:val="20"/>
              </w:rPr>
              <w:t xml:space="preserve">Patient must have homozygous familial </w:t>
            </w:r>
            <w:proofErr w:type="spellStart"/>
            <w:r>
              <w:rPr>
                <w:rFonts w:ascii="Arial Narrow" w:hAnsi="Arial Narrow"/>
                <w:sz w:val="20"/>
              </w:rPr>
              <w:t>hypercholesterolaemia</w:t>
            </w:r>
            <w:proofErr w:type="spellEnd"/>
            <w:r w:rsidRPr="006B0C68">
              <w:rPr>
                <w:rFonts w:ascii="Arial Narrow" w:hAnsi="Arial Narrow"/>
                <w:sz w:val="20"/>
              </w:rPr>
              <w:t>,</w:t>
            </w:r>
          </w:p>
          <w:p w:rsidR="00102F8F" w:rsidRDefault="00102F8F" w:rsidP="0068651E">
            <w:pPr>
              <w:keepNext/>
              <w:keepLines/>
              <w:rPr>
                <w:rFonts w:ascii="Arial Narrow" w:hAnsi="Arial Narrow"/>
                <w:sz w:val="20"/>
              </w:rPr>
            </w:pPr>
          </w:p>
          <w:p w:rsidR="00102F8F" w:rsidRDefault="00102F8F" w:rsidP="0068651E">
            <w:pPr>
              <w:keepNext/>
              <w:keepLines/>
              <w:rPr>
                <w:rFonts w:ascii="Arial Narrow" w:hAnsi="Arial Narrow"/>
                <w:sz w:val="20"/>
              </w:rPr>
            </w:pPr>
            <w:r>
              <w:rPr>
                <w:rFonts w:ascii="Arial Narrow" w:hAnsi="Arial Narrow"/>
                <w:sz w:val="20"/>
              </w:rPr>
              <w:t>AND</w:t>
            </w:r>
          </w:p>
          <w:p w:rsidR="00102F8F" w:rsidRDefault="00102F8F" w:rsidP="0068651E">
            <w:pPr>
              <w:keepNext/>
              <w:keepLines/>
              <w:rPr>
                <w:rFonts w:ascii="Arial Narrow" w:hAnsi="Arial Narrow"/>
                <w:sz w:val="20"/>
              </w:rPr>
            </w:pPr>
          </w:p>
          <w:p w:rsidR="00102F8F" w:rsidRPr="00260CE3" w:rsidRDefault="00102F8F" w:rsidP="0068651E">
            <w:pPr>
              <w:keepNext/>
              <w:keepLines/>
              <w:rPr>
                <w:rFonts w:ascii="Arial Narrow" w:hAnsi="Arial Narrow"/>
                <w:sz w:val="20"/>
              </w:rPr>
            </w:pPr>
            <w:r w:rsidRPr="00940FC9">
              <w:rPr>
                <w:rFonts w:ascii="Arial Narrow" w:hAnsi="Arial Narrow"/>
                <w:sz w:val="20"/>
              </w:rPr>
              <w:t>Patient must be eligible for PBS-subsidised lipid-lowering medication (according to the criteria set out in the General Statement for Lipid-Lowering Drugs).</w:t>
            </w:r>
          </w:p>
        </w:tc>
      </w:tr>
    </w:tbl>
    <w:p w:rsidR="00E9212E" w:rsidRPr="00200403" w:rsidRDefault="00E9212E" w:rsidP="00200403">
      <w:pPr>
        <w:widowControl/>
        <w:rPr>
          <w:szCs w:val="22"/>
        </w:rPr>
      </w:pPr>
    </w:p>
    <w:p w:rsidR="00ED4CD0" w:rsidRDefault="00ED4CD0" w:rsidP="005F762C">
      <w:pPr>
        <w:pStyle w:val="ListParagraph"/>
        <w:keepNext/>
        <w:keepLines/>
        <w:numPr>
          <w:ilvl w:val="1"/>
          <w:numId w:val="12"/>
        </w:numPr>
        <w:rPr>
          <w:szCs w:val="22"/>
        </w:rPr>
      </w:pPr>
      <w:r>
        <w:rPr>
          <w:szCs w:val="22"/>
        </w:rPr>
        <w:t xml:space="preserve">Listing </w:t>
      </w:r>
      <w:r w:rsidR="00E2365C">
        <w:rPr>
          <w:szCs w:val="22"/>
        </w:rPr>
        <w:t>was</w:t>
      </w:r>
      <w:r w:rsidRPr="00ED4CD0">
        <w:rPr>
          <w:szCs w:val="22"/>
        </w:rPr>
        <w:t xml:space="preserve"> </w:t>
      </w:r>
      <w:r>
        <w:rPr>
          <w:szCs w:val="22"/>
        </w:rPr>
        <w:t xml:space="preserve">requested on a cost-effectiveness basis compared to </w:t>
      </w:r>
      <w:proofErr w:type="spellStart"/>
      <w:r>
        <w:rPr>
          <w:szCs w:val="22"/>
        </w:rPr>
        <w:t>ezetimibe</w:t>
      </w:r>
      <w:proofErr w:type="spellEnd"/>
      <w:r>
        <w:rPr>
          <w:szCs w:val="22"/>
        </w:rPr>
        <w:t xml:space="preserve"> and placebo</w:t>
      </w:r>
      <w:r w:rsidRPr="00ED4CD0">
        <w:rPr>
          <w:szCs w:val="22"/>
        </w:rPr>
        <w:t>.</w:t>
      </w:r>
    </w:p>
    <w:p w:rsidR="00ED4CD0" w:rsidRPr="00200403" w:rsidRDefault="00ED4CD0" w:rsidP="00ED4CD0">
      <w:pPr>
        <w:rPr>
          <w:szCs w:val="22"/>
        </w:rPr>
      </w:pPr>
    </w:p>
    <w:p w:rsidR="00ED4CD0" w:rsidRPr="00583430" w:rsidRDefault="00C60AA3" w:rsidP="00C60AA3">
      <w:pPr>
        <w:pStyle w:val="ListParagraph"/>
        <w:numPr>
          <w:ilvl w:val="1"/>
          <w:numId w:val="12"/>
        </w:numPr>
        <w:rPr>
          <w:i/>
          <w:szCs w:val="22"/>
        </w:rPr>
      </w:pPr>
      <w:r w:rsidRPr="00C60AA3">
        <w:rPr>
          <w:szCs w:val="22"/>
        </w:rPr>
        <w:t>The submission propose</w:t>
      </w:r>
      <w:r w:rsidR="00E2365C">
        <w:rPr>
          <w:szCs w:val="22"/>
        </w:rPr>
        <w:t>d</w:t>
      </w:r>
      <w:r w:rsidRPr="00C60AA3">
        <w:rPr>
          <w:szCs w:val="22"/>
        </w:rPr>
        <w:t xml:space="preserve"> that patients with familial </w:t>
      </w:r>
      <w:proofErr w:type="spellStart"/>
      <w:r w:rsidR="0038790D">
        <w:rPr>
          <w:szCs w:val="22"/>
        </w:rPr>
        <w:t>hypercholesterolaemia</w:t>
      </w:r>
      <w:proofErr w:type="spellEnd"/>
      <w:r w:rsidRPr="00C60AA3">
        <w:rPr>
          <w:szCs w:val="22"/>
        </w:rPr>
        <w:t xml:space="preserve"> (both heterozygous and homozygous) should be re-classified as very-high cardiovascular risk under the PBS general statement for lipid-lowering drugs therefore auto-qualifying for statin therapy and requiring a less stringent target for subsequent line therapy with </w:t>
      </w:r>
      <w:proofErr w:type="spellStart"/>
      <w:r w:rsidRPr="00C60AA3">
        <w:rPr>
          <w:szCs w:val="22"/>
        </w:rPr>
        <w:t>evolocumab</w:t>
      </w:r>
      <w:proofErr w:type="spellEnd"/>
      <w:r w:rsidRPr="00C60AA3">
        <w:rPr>
          <w:szCs w:val="22"/>
        </w:rPr>
        <w:t xml:space="preserve"> and/or </w:t>
      </w:r>
      <w:proofErr w:type="spellStart"/>
      <w:r w:rsidRPr="00C60AA3">
        <w:rPr>
          <w:szCs w:val="22"/>
        </w:rPr>
        <w:t>ezetimibe</w:t>
      </w:r>
      <w:proofErr w:type="spellEnd"/>
      <w:r w:rsidRPr="00C60AA3">
        <w:rPr>
          <w:szCs w:val="22"/>
        </w:rPr>
        <w:t>.</w:t>
      </w:r>
      <w:r>
        <w:rPr>
          <w:szCs w:val="22"/>
        </w:rPr>
        <w:t xml:space="preserve"> </w:t>
      </w:r>
      <w:r w:rsidR="0082598E">
        <w:rPr>
          <w:szCs w:val="22"/>
        </w:rPr>
        <w:t xml:space="preserve"> </w:t>
      </w:r>
      <w:r w:rsidR="00583430" w:rsidRPr="00872D40">
        <w:rPr>
          <w:szCs w:val="22"/>
        </w:rPr>
        <w:t xml:space="preserve">No clinical data </w:t>
      </w:r>
      <w:r w:rsidR="00E2365C" w:rsidRPr="00872D40">
        <w:rPr>
          <w:szCs w:val="22"/>
        </w:rPr>
        <w:t>we</w:t>
      </w:r>
      <w:r w:rsidR="00583430" w:rsidRPr="00872D40">
        <w:rPr>
          <w:szCs w:val="22"/>
        </w:rPr>
        <w:t>re provided to support the requested change.</w:t>
      </w:r>
    </w:p>
    <w:p w:rsidR="00583430" w:rsidRPr="00200403" w:rsidRDefault="00583430" w:rsidP="00583430">
      <w:pPr>
        <w:rPr>
          <w:szCs w:val="22"/>
        </w:rPr>
      </w:pPr>
    </w:p>
    <w:p w:rsidR="00583430" w:rsidRPr="00E51BEB" w:rsidRDefault="00583430" w:rsidP="00C60AA3">
      <w:pPr>
        <w:pStyle w:val="ListParagraph"/>
        <w:numPr>
          <w:ilvl w:val="1"/>
          <w:numId w:val="12"/>
        </w:numPr>
        <w:rPr>
          <w:szCs w:val="22"/>
        </w:rPr>
      </w:pPr>
      <w:r w:rsidRPr="00E51BEB">
        <w:rPr>
          <w:szCs w:val="22"/>
        </w:rPr>
        <w:t>The submission propose</w:t>
      </w:r>
      <w:r w:rsidR="00E2365C" w:rsidRPr="00E51BEB">
        <w:rPr>
          <w:szCs w:val="22"/>
        </w:rPr>
        <w:t>d</w:t>
      </w:r>
      <w:r w:rsidRPr="00E51BEB">
        <w:rPr>
          <w:szCs w:val="22"/>
        </w:rPr>
        <w:t xml:space="preserve"> a more restrictive listing for </w:t>
      </w:r>
      <w:proofErr w:type="spellStart"/>
      <w:r w:rsidRPr="00E51BEB">
        <w:rPr>
          <w:szCs w:val="22"/>
        </w:rPr>
        <w:t>evolocumab</w:t>
      </w:r>
      <w:proofErr w:type="spellEnd"/>
      <w:r w:rsidRPr="00E51BEB">
        <w:rPr>
          <w:szCs w:val="22"/>
        </w:rPr>
        <w:t xml:space="preserve"> compared to </w:t>
      </w:r>
      <w:proofErr w:type="spellStart"/>
      <w:r w:rsidRPr="00E51BEB">
        <w:rPr>
          <w:szCs w:val="22"/>
        </w:rPr>
        <w:t>ezetimibe</w:t>
      </w:r>
      <w:proofErr w:type="spellEnd"/>
      <w:r w:rsidR="0038790D" w:rsidRPr="00E51BEB">
        <w:rPr>
          <w:szCs w:val="22"/>
        </w:rPr>
        <w:t>,</w:t>
      </w:r>
      <w:r w:rsidRPr="00E51BEB">
        <w:rPr>
          <w:szCs w:val="22"/>
        </w:rPr>
        <w:t xml:space="preserve"> which </w:t>
      </w:r>
      <w:r w:rsidR="00E2365C" w:rsidRPr="00E51BEB">
        <w:rPr>
          <w:szCs w:val="22"/>
        </w:rPr>
        <w:t>wa</w:t>
      </w:r>
      <w:r w:rsidRPr="00E51BEB">
        <w:rPr>
          <w:szCs w:val="22"/>
        </w:rPr>
        <w:t>s poorly justified and may be difficult to administer in clinical practice.</w:t>
      </w:r>
    </w:p>
    <w:p w:rsidR="00583430" w:rsidRPr="00200403" w:rsidRDefault="00583430" w:rsidP="00583430">
      <w:pPr>
        <w:rPr>
          <w:szCs w:val="22"/>
        </w:rPr>
      </w:pPr>
    </w:p>
    <w:p w:rsidR="00583430" w:rsidRPr="00E51BEB" w:rsidRDefault="00583430" w:rsidP="00583430">
      <w:pPr>
        <w:pStyle w:val="ListParagraph"/>
        <w:numPr>
          <w:ilvl w:val="1"/>
          <w:numId w:val="12"/>
        </w:numPr>
        <w:rPr>
          <w:szCs w:val="22"/>
        </w:rPr>
      </w:pPr>
      <w:r w:rsidRPr="00E51BEB">
        <w:rPr>
          <w:szCs w:val="22"/>
        </w:rPr>
        <w:t>The appropriateness of a streamline</w:t>
      </w:r>
      <w:r w:rsidR="009C67B9" w:rsidRPr="00E51BEB">
        <w:rPr>
          <w:szCs w:val="22"/>
        </w:rPr>
        <w:t>d</w:t>
      </w:r>
      <w:r w:rsidRPr="00E51BEB">
        <w:rPr>
          <w:szCs w:val="22"/>
        </w:rPr>
        <w:t xml:space="preserve"> authority listing is unclear given that </w:t>
      </w:r>
      <w:proofErr w:type="spellStart"/>
      <w:r w:rsidRPr="00E51BEB">
        <w:rPr>
          <w:szCs w:val="22"/>
        </w:rPr>
        <w:t>evolocumab</w:t>
      </w:r>
      <w:proofErr w:type="spellEnd"/>
      <w:r w:rsidRPr="00E51BEB">
        <w:rPr>
          <w:szCs w:val="22"/>
        </w:rPr>
        <w:t xml:space="preserve"> is a first-in-class medication with substantial drug costs and potential for use outside the requested restriction.</w:t>
      </w:r>
    </w:p>
    <w:p w:rsidR="004E43B2" w:rsidRDefault="004E43B2" w:rsidP="004B1CB4"/>
    <w:p w:rsidR="00200403" w:rsidRPr="00583430" w:rsidRDefault="00200403" w:rsidP="004B1CB4"/>
    <w:p w:rsidR="00E51BEB" w:rsidRPr="00407F2D" w:rsidRDefault="00B50DB8" w:rsidP="00E51BEB">
      <w:pPr>
        <w:pStyle w:val="PBACHeading1"/>
      </w:pPr>
      <w:bookmarkStart w:id="6" w:name="_Toc409513912"/>
      <w:r w:rsidRPr="00407F2D">
        <w:t>Background</w:t>
      </w:r>
      <w:bookmarkEnd w:id="6"/>
    </w:p>
    <w:p w:rsidR="00E51BEB" w:rsidRPr="00200403" w:rsidRDefault="00E51BEB" w:rsidP="00E51BEB">
      <w:pPr>
        <w:widowControl/>
        <w:rPr>
          <w:szCs w:val="22"/>
          <w:highlight w:val="yellow"/>
        </w:rPr>
      </w:pPr>
    </w:p>
    <w:p w:rsidR="00466DF4" w:rsidRDefault="00466DF4" w:rsidP="00466DF4">
      <w:pPr>
        <w:pStyle w:val="ListParagraph"/>
        <w:widowControl/>
        <w:numPr>
          <w:ilvl w:val="1"/>
          <w:numId w:val="12"/>
        </w:numPr>
        <w:rPr>
          <w:szCs w:val="22"/>
        </w:rPr>
      </w:pPr>
      <w:proofErr w:type="spellStart"/>
      <w:r>
        <w:rPr>
          <w:szCs w:val="22"/>
        </w:rPr>
        <w:t>Evolocumab</w:t>
      </w:r>
      <w:proofErr w:type="spellEnd"/>
      <w:r>
        <w:rPr>
          <w:szCs w:val="22"/>
        </w:rPr>
        <w:t xml:space="preserve"> </w:t>
      </w:r>
      <w:r w:rsidR="00DD3DBC">
        <w:rPr>
          <w:szCs w:val="22"/>
        </w:rPr>
        <w:t xml:space="preserve">was lodged under the </w:t>
      </w:r>
      <w:r w:rsidR="00BA08F2">
        <w:rPr>
          <w:szCs w:val="22"/>
        </w:rPr>
        <w:t>TGA-</w:t>
      </w:r>
      <w:r w:rsidRPr="00466DF4">
        <w:rPr>
          <w:szCs w:val="22"/>
        </w:rPr>
        <w:t>PBAC parallel process</w:t>
      </w:r>
      <w:r w:rsidR="00544C55">
        <w:rPr>
          <w:szCs w:val="22"/>
        </w:rPr>
        <w:t xml:space="preserve"> (regulatory decision due in late 2015)</w:t>
      </w:r>
      <w:r w:rsidRPr="00466DF4">
        <w:rPr>
          <w:szCs w:val="22"/>
        </w:rPr>
        <w:t xml:space="preserve">. </w:t>
      </w:r>
      <w:r w:rsidR="0082598E">
        <w:rPr>
          <w:szCs w:val="22"/>
        </w:rPr>
        <w:t xml:space="preserve"> </w:t>
      </w:r>
      <w:r w:rsidRPr="00466DF4">
        <w:rPr>
          <w:szCs w:val="22"/>
        </w:rPr>
        <w:t>No TGA documentation was availab</w:t>
      </w:r>
      <w:r>
        <w:rPr>
          <w:szCs w:val="22"/>
        </w:rPr>
        <w:t>le during the evaluation</w:t>
      </w:r>
      <w:r w:rsidR="00DD3DBC">
        <w:rPr>
          <w:szCs w:val="22"/>
        </w:rPr>
        <w:t xml:space="preserve"> </w:t>
      </w:r>
      <w:r w:rsidR="0082598E">
        <w:rPr>
          <w:szCs w:val="22"/>
        </w:rPr>
        <w:t xml:space="preserve">or </w:t>
      </w:r>
      <w:r w:rsidR="00DD3DBC">
        <w:rPr>
          <w:szCs w:val="22"/>
        </w:rPr>
        <w:t>at the time of PBAC consideration</w:t>
      </w:r>
      <w:r w:rsidRPr="00466DF4">
        <w:rPr>
          <w:szCs w:val="22"/>
        </w:rPr>
        <w:t>.</w:t>
      </w:r>
    </w:p>
    <w:p w:rsidR="00B60939" w:rsidRPr="00200403" w:rsidRDefault="00B60939" w:rsidP="00B60939">
      <w:pPr>
        <w:rPr>
          <w:szCs w:val="22"/>
        </w:rPr>
      </w:pPr>
    </w:p>
    <w:p w:rsidR="00B60939" w:rsidRPr="00544C55" w:rsidRDefault="00466DF4" w:rsidP="004B1CB4">
      <w:pPr>
        <w:pStyle w:val="ListParagraph"/>
        <w:widowControl/>
        <w:numPr>
          <w:ilvl w:val="1"/>
          <w:numId w:val="12"/>
        </w:numPr>
        <w:rPr>
          <w:szCs w:val="22"/>
        </w:rPr>
      </w:pPr>
      <w:r w:rsidRPr="00466DF4">
        <w:rPr>
          <w:szCs w:val="22"/>
        </w:rPr>
        <w:t>The PBAC h</w:t>
      </w:r>
      <w:r>
        <w:rPr>
          <w:szCs w:val="22"/>
        </w:rPr>
        <w:t xml:space="preserve">as not previously considered </w:t>
      </w:r>
      <w:proofErr w:type="spellStart"/>
      <w:r>
        <w:rPr>
          <w:szCs w:val="22"/>
        </w:rPr>
        <w:t>evolocumab</w:t>
      </w:r>
      <w:proofErr w:type="spellEnd"/>
      <w:r w:rsidR="00E2365C">
        <w:rPr>
          <w:szCs w:val="22"/>
        </w:rPr>
        <w:t>.</w:t>
      </w:r>
    </w:p>
    <w:p w:rsidR="00E55BB5" w:rsidRDefault="00E55BB5" w:rsidP="004B1CB4"/>
    <w:p w:rsidR="00200403" w:rsidRPr="00882085" w:rsidRDefault="00200403" w:rsidP="004B1CB4"/>
    <w:p w:rsidR="00B50DB8" w:rsidRPr="00407F2D" w:rsidRDefault="00B50DB8" w:rsidP="0068651E">
      <w:pPr>
        <w:pStyle w:val="PBACHeading1"/>
        <w:keepNext/>
        <w:keepLines/>
      </w:pPr>
      <w:bookmarkStart w:id="7" w:name="_Toc409513913"/>
      <w:r w:rsidRPr="00407F2D">
        <w:lastRenderedPageBreak/>
        <w:t>Clinical place for the proposed therapy</w:t>
      </w:r>
      <w:bookmarkEnd w:id="7"/>
    </w:p>
    <w:p w:rsidR="00B60939" w:rsidRPr="00882085" w:rsidRDefault="00B60939" w:rsidP="0068651E">
      <w:pPr>
        <w:keepNext/>
        <w:keepLines/>
        <w:rPr>
          <w:szCs w:val="22"/>
        </w:rPr>
      </w:pPr>
    </w:p>
    <w:p w:rsidR="00B60939" w:rsidRPr="00B50DB8" w:rsidRDefault="0038790D" w:rsidP="0068651E">
      <w:pPr>
        <w:pStyle w:val="ListParagraph"/>
        <w:keepNext/>
        <w:keepLines/>
        <w:widowControl/>
        <w:numPr>
          <w:ilvl w:val="1"/>
          <w:numId w:val="12"/>
        </w:numPr>
        <w:rPr>
          <w:szCs w:val="22"/>
        </w:rPr>
      </w:pPr>
      <w:proofErr w:type="spellStart"/>
      <w:r>
        <w:rPr>
          <w:szCs w:val="22"/>
        </w:rPr>
        <w:t>Hypercholesterolaemia</w:t>
      </w:r>
      <w:proofErr w:type="spellEnd"/>
      <w:r w:rsidR="00466DF4" w:rsidRPr="00466DF4">
        <w:rPr>
          <w:szCs w:val="22"/>
        </w:rPr>
        <w:t xml:space="preserve"> is a condition characterised by elevated serum cholesterol levels and is associated with the development of atherosclerosis and an increased incidence of angina, myocardial infarction, stroke, coronary artery disease and peripheral vascular disease.</w:t>
      </w:r>
    </w:p>
    <w:p w:rsidR="00894489" w:rsidRPr="002C2775" w:rsidRDefault="00894489" w:rsidP="00894489">
      <w:pPr>
        <w:widowControl/>
        <w:rPr>
          <w:szCs w:val="22"/>
        </w:rPr>
      </w:pPr>
    </w:p>
    <w:p w:rsidR="002C2775" w:rsidRDefault="00466DF4" w:rsidP="00B22132">
      <w:pPr>
        <w:pStyle w:val="ListParagraph"/>
        <w:widowControl/>
        <w:numPr>
          <w:ilvl w:val="1"/>
          <w:numId w:val="12"/>
        </w:numPr>
        <w:rPr>
          <w:szCs w:val="22"/>
        </w:rPr>
      </w:pPr>
      <w:r>
        <w:rPr>
          <w:szCs w:val="22"/>
        </w:rPr>
        <w:t>The submission</w:t>
      </w:r>
      <w:r w:rsidRPr="00466DF4">
        <w:rPr>
          <w:szCs w:val="22"/>
        </w:rPr>
        <w:t xml:space="preserve"> posit</w:t>
      </w:r>
      <w:r>
        <w:rPr>
          <w:szCs w:val="22"/>
        </w:rPr>
        <w:t>ion</w:t>
      </w:r>
      <w:r w:rsidR="00E2365C">
        <w:rPr>
          <w:szCs w:val="22"/>
        </w:rPr>
        <w:t>ed</w:t>
      </w:r>
      <w:r>
        <w:rPr>
          <w:szCs w:val="22"/>
        </w:rPr>
        <w:t xml:space="preserve"> </w:t>
      </w:r>
      <w:proofErr w:type="spellStart"/>
      <w:r>
        <w:rPr>
          <w:szCs w:val="22"/>
        </w:rPr>
        <w:t>evolocumab</w:t>
      </w:r>
      <w:proofErr w:type="spellEnd"/>
      <w:r>
        <w:rPr>
          <w:szCs w:val="22"/>
        </w:rPr>
        <w:t xml:space="preserve"> as a</w:t>
      </w:r>
      <w:r w:rsidR="00E2365C">
        <w:rPr>
          <w:szCs w:val="22"/>
        </w:rPr>
        <w:t>n</w:t>
      </w:r>
      <w:r w:rsidRPr="00466DF4">
        <w:rPr>
          <w:szCs w:val="22"/>
        </w:rPr>
        <w:t xml:space="preserve"> alternative to </w:t>
      </w:r>
      <w:proofErr w:type="spellStart"/>
      <w:r w:rsidRPr="00466DF4">
        <w:rPr>
          <w:szCs w:val="22"/>
        </w:rPr>
        <w:t>ezetimibe</w:t>
      </w:r>
      <w:proofErr w:type="spellEnd"/>
      <w:r w:rsidRPr="00466DF4">
        <w:rPr>
          <w:szCs w:val="22"/>
        </w:rPr>
        <w:t xml:space="preserve"> in patients contraindicated/intolerant to statins and patients failing to achieve target lipid levels with statins alone. </w:t>
      </w:r>
      <w:r w:rsidR="0082598E">
        <w:rPr>
          <w:szCs w:val="22"/>
        </w:rPr>
        <w:t xml:space="preserve"> </w:t>
      </w:r>
      <w:r>
        <w:rPr>
          <w:szCs w:val="22"/>
        </w:rPr>
        <w:t>The submission also</w:t>
      </w:r>
      <w:r w:rsidRPr="00466DF4">
        <w:rPr>
          <w:szCs w:val="22"/>
        </w:rPr>
        <w:t xml:space="preserve"> propose</w:t>
      </w:r>
      <w:r w:rsidR="00E2365C">
        <w:rPr>
          <w:szCs w:val="22"/>
        </w:rPr>
        <w:t>d</w:t>
      </w:r>
      <w:r w:rsidRPr="00466DF4">
        <w:rPr>
          <w:szCs w:val="22"/>
        </w:rPr>
        <w:t xml:space="preserve"> that </w:t>
      </w:r>
      <w:proofErr w:type="spellStart"/>
      <w:r w:rsidRPr="00466DF4">
        <w:rPr>
          <w:szCs w:val="22"/>
        </w:rPr>
        <w:t>evolocumab</w:t>
      </w:r>
      <w:proofErr w:type="spellEnd"/>
      <w:r w:rsidRPr="00466DF4">
        <w:rPr>
          <w:szCs w:val="22"/>
        </w:rPr>
        <w:t xml:space="preserve"> may be used in addition to statins and </w:t>
      </w:r>
      <w:proofErr w:type="spellStart"/>
      <w:r w:rsidRPr="00466DF4">
        <w:rPr>
          <w:szCs w:val="22"/>
        </w:rPr>
        <w:t>ezetimibe</w:t>
      </w:r>
      <w:proofErr w:type="spellEnd"/>
      <w:r w:rsidRPr="00466DF4">
        <w:rPr>
          <w:szCs w:val="22"/>
        </w:rPr>
        <w:t xml:space="preserve"> for patients with familial </w:t>
      </w:r>
      <w:proofErr w:type="spellStart"/>
      <w:r w:rsidR="0038790D">
        <w:rPr>
          <w:szCs w:val="22"/>
        </w:rPr>
        <w:t>hypercholesterolaemia</w:t>
      </w:r>
      <w:proofErr w:type="spellEnd"/>
      <w:r w:rsidRPr="00466DF4">
        <w:rPr>
          <w:szCs w:val="22"/>
        </w:rPr>
        <w:t xml:space="preserve"> (both heterozygous and homozygous).</w:t>
      </w:r>
      <w:r w:rsidR="00B22132">
        <w:rPr>
          <w:szCs w:val="22"/>
        </w:rPr>
        <w:t xml:space="preserve"> </w:t>
      </w:r>
      <w:r w:rsidR="0082598E">
        <w:rPr>
          <w:szCs w:val="22"/>
        </w:rPr>
        <w:t xml:space="preserve"> </w:t>
      </w:r>
      <w:r w:rsidR="00B22132" w:rsidRPr="00E51BEB">
        <w:rPr>
          <w:szCs w:val="22"/>
        </w:rPr>
        <w:t>The submission d</w:t>
      </w:r>
      <w:r w:rsidR="00E2365C" w:rsidRPr="00E51BEB">
        <w:rPr>
          <w:szCs w:val="22"/>
        </w:rPr>
        <w:t>id</w:t>
      </w:r>
      <w:r w:rsidR="00B22132" w:rsidRPr="00E51BEB">
        <w:rPr>
          <w:szCs w:val="22"/>
        </w:rPr>
        <w:t xml:space="preserve"> not address the potential for </w:t>
      </w:r>
      <w:proofErr w:type="spellStart"/>
      <w:r w:rsidR="00B22132" w:rsidRPr="00E51BEB">
        <w:rPr>
          <w:szCs w:val="22"/>
        </w:rPr>
        <w:t>evolocumab</w:t>
      </w:r>
      <w:proofErr w:type="spellEnd"/>
      <w:r w:rsidR="00B22132" w:rsidRPr="00E51BEB">
        <w:rPr>
          <w:szCs w:val="22"/>
        </w:rPr>
        <w:t xml:space="preserve"> to be used as an add-on therapy for non-familial </w:t>
      </w:r>
      <w:proofErr w:type="spellStart"/>
      <w:r w:rsidR="0038790D" w:rsidRPr="00E51BEB">
        <w:rPr>
          <w:szCs w:val="22"/>
        </w:rPr>
        <w:t>hypercholesterolaemia</w:t>
      </w:r>
      <w:proofErr w:type="spellEnd"/>
      <w:r w:rsidR="00B22132" w:rsidRPr="00E51BEB">
        <w:rPr>
          <w:szCs w:val="22"/>
        </w:rPr>
        <w:t>.</w:t>
      </w:r>
      <w:r w:rsidR="00872D40">
        <w:rPr>
          <w:szCs w:val="22"/>
        </w:rPr>
        <w:t xml:space="preserve"> </w:t>
      </w:r>
      <w:r w:rsidR="0082598E">
        <w:rPr>
          <w:szCs w:val="22"/>
        </w:rPr>
        <w:t xml:space="preserve"> </w:t>
      </w:r>
      <w:r w:rsidR="00872D40" w:rsidRPr="00991BD1">
        <w:rPr>
          <w:szCs w:val="22"/>
        </w:rPr>
        <w:t xml:space="preserve">The ESC considered that it was too early to make a judgement on the clinical place in therapy given that </w:t>
      </w:r>
      <w:r w:rsidR="00200403" w:rsidRPr="00991BD1">
        <w:rPr>
          <w:szCs w:val="22"/>
        </w:rPr>
        <w:t xml:space="preserve">relevant </w:t>
      </w:r>
      <w:r w:rsidR="008B7159" w:rsidRPr="00991BD1">
        <w:rPr>
          <w:szCs w:val="22"/>
        </w:rPr>
        <w:t xml:space="preserve">TGA documents were not available. </w:t>
      </w:r>
      <w:r w:rsidR="0082598E">
        <w:rPr>
          <w:szCs w:val="22"/>
        </w:rPr>
        <w:t xml:space="preserve"> </w:t>
      </w:r>
      <w:r w:rsidR="008B7159" w:rsidRPr="00991BD1">
        <w:rPr>
          <w:szCs w:val="22"/>
        </w:rPr>
        <w:t xml:space="preserve">The ESC stated that it </w:t>
      </w:r>
      <w:r w:rsidR="00200403" w:rsidRPr="00991BD1">
        <w:rPr>
          <w:szCs w:val="22"/>
        </w:rPr>
        <w:t>wa</w:t>
      </w:r>
      <w:r w:rsidR="008B7159" w:rsidRPr="00991BD1">
        <w:rPr>
          <w:szCs w:val="22"/>
        </w:rPr>
        <w:t xml:space="preserve">s unclear at this stage on how </w:t>
      </w:r>
      <w:proofErr w:type="spellStart"/>
      <w:r w:rsidR="008B7159" w:rsidRPr="00991BD1">
        <w:rPr>
          <w:szCs w:val="22"/>
        </w:rPr>
        <w:t>evolocumab</w:t>
      </w:r>
      <w:proofErr w:type="spellEnd"/>
      <w:r w:rsidR="008B7159" w:rsidRPr="00991BD1">
        <w:rPr>
          <w:szCs w:val="22"/>
        </w:rPr>
        <w:t xml:space="preserve"> w</w:t>
      </w:r>
      <w:r w:rsidR="00200403" w:rsidRPr="00991BD1">
        <w:rPr>
          <w:szCs w:val="22"/>
        </w:rPr>
        <w:t>ould</w:t>
      </w:r>
      <w:r w:rsidR="008B7159" w:rsidRPr="00991BD1">
        <w:rPr>
          <w:szCs w:val="22"/>
        </w:rPr>
        <w:t xml:space="preserve"> actually be used in practice.</w:t>
      </w:r>
    </w:p>
    <w:p w:rsidR="00991BD1" w:rsidRPr="0082598E" w:rsidRDefault="00991BD1" w:rsidP="00991BD1">
      <w:pPr>
        <w:rPr>
          <w:szCs w:val="22"/>
        </w:rPr>
      </w:pPr>
    </w:p>
    <w:p w:rsidR="00991BD1" w:rsidRPr="00991BD1" w:rsidRDefault="00991BD1" w:rsidP="00991BD1">
      <w:pPr>
        <w:ind w:firstLine="720"/>
      </w:pPr>
      <w:r>
        <w:rPr>
          <w:i/>
          <w:szCs w:val="22"/>
        </w:rPr>
        <w:t>For more detail on PBAC’s view, see section 7 “PBAC outcome”</w:t>
      </w:r>
    </w:p>
    <w:p w:rsidR="00200403" w:rsidRDefault="00200403" w:rsidP="00B60939">
      <w:pPr>
        <w:pStyle w:val="Header"/>
        <w:rPr>
          <w:szCs w:val="22"/>
        </w:rPr>
      </w:pPr>
    </w:p>
    <w:p w:rsidR="00BC6277" w:rsidRPr="00882085" w:rsidRDefault="00BC6277" w:rsidP="00B60939">
      <w:pPr>
        <w:pStyle w:val="Header"/>
        <w:rPr>
          <w:szCs w:val="22"/>
        </w:rPr>
      </w:pPr>
    </w:p>
    <w:p w:rsidR="00B50DB8" w:rsidRPr="00407F2D" w:rsidRDefault="00B50DB8" w:rsidP="00387820">
      <w:pPr>
        <w:pStyle w:val="Header"/>
        <w:widowControl/>
        <w:numPr>
          <w:ilvl w:val="0"/>
          <w:numId w:val="12"/>
        </w:numPr>
        <w:tabs>
          <w:tab w:val="clear" w:pos="4513"/>
          <w:tab w:val="clear" w:pos="9026"/>
        </w:tabs>
        <w:rPr>
          <w:b/>
          <w:szCs w:val="22"/>
        </w:rPr>
      </w:pPr>
      <w:r w:rsidRPr="00407F2D">
        <w:rPr>
          <w:b/>
          <w:szCs w:val="22"/>
        </w:rPr>
        <w:t>Comparator</w:t>
      </w:r>
    </w:p>
    <w:p w:rsidR="00B60939" w:rsidRPr="00882085" w:rsidRDefault="00B60939" w:rsidP="004B1CB4"/>
    <w:p w:rsidR="002C2775" w:rsidRPr="00E51BEB" w:rsidRDefault="001A460D" w:rsidP="00387820">
      <w:pPr>
        <w:pStyle w:val="ListParagraph"/>
        <w:widowControl/>
        <w:numPr>
          <w:ilvl w:val="1"/>
          <w:numId w:val="12"/>
        </w:numPr>
        <w:rPr>
          <w:szCs w:val="22"/>
        </w:rPr>
      </w:pPr>
      <w:proofErr w:type="spellStart"/>
      <w:r w:rsidRPr="001A460D">
        <w:t>Ezetimibe</w:t>
      </w:r>
      <w:proofErr w:type="spellEnd"/>
      <w:r w:rsidRPr="001A460D">
        <w:t xml:space="preserve"> and placebo.</w:t>
      </w:r>
      <w:r w:rsidR="0082598E">
        <w:t xml:space="preserve"> </w:t>
      </w:r>
      <w:r w:rsidRPr="001A460D">
        <w:t xml:space="preserve"> </w:t>
      </w:r>
      <w:r w:rsidR="00DD3DBC">
        <w:t>The evaluation noted that t</w:t>
      </w:r>
      <w:r w:rsidRPr="00E51BEB">
        <w:t xml:space="preserve">hese </w:t>
      </w:r>
      <w:r w:rsidR="0082598E">
        <w:t>we</w:t>
      </w:r>
      <w:r w:rsidRPr="00E51BEB">
        <w:t>re appropriate comparators.</w:t>
      </w:r>
    </w:p>
    <w:p w:rsidR="00B60939" w:rsidRDefault="00B60939" w:rsidP="00DF5D2B">
      <w:pPr>
        <w:rPr>
          <w:szCs w:val="22"/>
        </w:rPr>
      </w:pPr>
    </w:p>
    <w:p w:rsidR="00200403" w:rsidRPr="00DF5D2B" w:rsidRDefault="00200403" w:rsidP="00DF5D2B">
      <w:pPr>
        <w:rPr>
          <w:szCs w:val="22"/>
        </w:rPr>
      </w:pPr>
    </w:p>
    <w:p w:rsidR="00B50DB8" w:rsidRPr="00407F2D" w:rsidRDefault="00BD6CF3" w:rsidP="00BD6CF3">
      <w:pPr>
        <w:pStyle w:val="PBACHeading1"/>
      </w:pPr>
      <w:bookmarkStart w:id="8" w:name="_Toc409513914"/>
      <w:r>
        <w:t>C</w:t>
      </w:r>
      <w:r w:rsidR="00B50DB8" w:rsidRPr="00407F2D">
        <w:t>onsideration of the evidence</w:t>
      </w:r>
      <w:bookmarkEnd w:id="8"/>
    </w:p>
    <w:p w:rsidR="00B60939" w:rsidRPr="00882085" w:rsidRDefault="00B60939" w:rsidP="004B1CB4"/>
    <w:p w:rsidR="00991BD1" w:rsidRPr="00FB4B8D" w:rsidRDefault="00991BD1" w:rsidP="009B39D1">
      <w:pPr>
        <w:pStyle w:val="Heading2"/>
      </w:pPr>
      <w:bookmarkStart w:id="9" w:name="_Toc409513915"/>
      <w:r w:rsidRPr="00FB4B8D">
        <w:t>Sponsor hearing</w:t>
      </w:r>
    </w:p>
    <w:p w:rsidR="00991BD1" w:rsidRPr="0082598E" w:rsidRDefault="00991BD1" w:rsidP="0082598E">
      <w:pPr>
        <w:rPr>
          <w:szCs w:val="22"/>
        </w:rPr>
      </w:pPr>
    </w:p>
    <w:p w:rsidR="00991BD1" w:rsidRDefault="00991BD1" w:rsidP="00991BD1">
      <w:pPr>
        <w:pStyle w:val="ListParagraph"/>
        <w:widowControl/>
        <w:numPr>
          <w:ilvl w:val="1"/>
          <w:numId w:val="12"/>
        </w:numPr>
        <w:rPr>
          <w:szCs w:val="22"/>
        </w:rPr>
      </w:pPr>
      <w:r>
        <w:rPr>
          <w:szCs w:val="22"/>
        </w:rPr>
        <w:t>There was no hearing for this item.</w:t>
      </w:r>
    </w:p>
    <w:p w:rsidR="00991BD1" w:rsidRPr="0082598E" w:rsidRDefault="00991BD1" w:rsidP="0082598E">
      <w:pPr>
        <w:rPr>
          <w:szCs w:val="22"/>
        </w:rPr>
      </w:pPr>
    </w:p>
    <w:p w:rsidR="00991BD1" w:rsidRPr="00FB4B8D" w:rsidRDefault="00991BD1" w:rsidP="009B39D1">
      <w:pPr>
        <w:pStyle w:val="Heading2"/>
      </w:pPr>
      <w:r w:rsidRPr="00FB4B8D">
        <w:t>Consumer comments</w:t>
      </w:r>
    </w:p>
    <w:p w:rsidR="00991BD1" w:rsidRPr="0082598E" w:rsidRDefault="00991BD1" w:rsidP="0082598E">
      <w:pPr>
        <w:rPr>
          <w:szCs w:val="22"/>
        </w:rPr>
      </w:pPr>
    </w:p>
    <w:p w:rsidR="00991BD1" w:rsidRPr="00AD0694" w:rsidRDefault="00991BD1" w:rsidP="00991BD1">
      <w:pPr>
        <w:pStyle w:val="ListParagraph"/>
        <w:widowControl/>
        <w:numPr>
          <w:ilvl w:val="1"/>
          <w:numId w:val="12"/>
        </w:numPr>
        <w:rPr>
          <w:szCs w:val="22"/>
        </w:rPr>
      </w:pPr>
      <w:r w:rsidRPr="00AD0694">
        <w:rPr>
          <w:szCs w:val="22"/>
        </w:rPr>
        <w:t>The PBAC noted and welcomed the inp</w:t>
      </w:r>
      <w:r w:rsidR="00EC4CBF" w:rsidRPr="00AD0694">
        <w:rPr>
          <w:szCs w:val="22"/>
        </w:rPr>
        <w:t>ut from individuals (15</w:t>
      </w:r>
      <w:r w:rsidRPr="00AD0694">
        <w:rPr>
          <w:szCs w:val="22"/>
        </w:rPr>
        <w:t>), health care professionals (</w:t>
      </w:r>
      <w:r w:rsidR="00EC4CBF" w:rsidRPr="00AD0694">
        <w:rPr>
          <w:szCs w:val="22"/>
        </w:rPr>
        <w:t>2</w:t>
      </w:r>
      <w:r w:rsidRPr="00AD0694">
        <w:rPr>
          <w:szCs w:val="22"/>
        </w:rPr>
        <w:t>)</w:t>
      </w:r>
      <w:r w:rsidR="00AD0694">
        <w:rPr>
          <w:szCs w:val="22"/>
        </w:rPr>
        <w:t>,</w:t>
      </w:r>
      <w:r w:rsidRPr="00AD0694">
        <w:rPr>
          <w:szCs w:val="22"/>
        </w:rPr>
        <w:t xml:space="preserve"> and organisations (1) via the Consumer Comments facility on the PBS website.  The comments described a range of benefits of treatment </w:t>
      </w:r>
      <w:r w:rsidR="00AD0694">
        <w:rPr>
          <w:szCs w:val="22"/>
        </w:rPr>
        <w:t xml:space="preserve">with </w:t>
      </w:r>
      <w:proofErr w:type="spellStart"/>
      <w:r w:rsidR="00EC4CBF" w:rsidRPr="00AD0694">
        <w:rPr>
          <w:szCs w:val="22"/>
        </w:rPr>
        <w:t>evolocumab</w:t>
      </w:r>
      <w:proofErr w:type="spellEnd"/>
      <w:r w:rsidRPr="00AD0694">
        <w:rPr>
          <w:szCs w:val="22"/>
        </w:rPr>
        <w:t xml:space="preserve"> including </w:t>
      </w:r>
      <w:r w:rsidR="00EC4CBF" w:rsidRPr="00AD0694">
        <w:rPr>
          <w:szCs w:val="22"/>
        </w:rPr>
        <w:t>improvement in quality of life, high effectiveness of lowering LDL cholesterol, and reducing the ri</w:t>
      </w:r>
      <w:r w:rsidR="0082598E" w:rsidRPr="00AD0694">
        <w:rPr>
          <w:szCs w:val="22"/>
        </w:rPr>
        <w:t>sk of heart disease and stroke.</w:t>
      </w:r>
    </w:p>
    <w:p w:rsidR="00991BD1" w:rsidRPr="00AD0694" w:rsidRDefault="00991BD1" w:rsidP="0082598E">
      <w:pPr>
        <w:rPr>
          <w:szCs w:val="22"/>
        </w:rPr>
      </w:pPr>
    </w:p>
    <w:p w:rsidR="00300F01" w:rsidRPr="00667747" w:rsidRDefault="00991BD1" w:rsidP="00300F01">
      <w:pPr>
        <w:pStyle w:val="ListParagraph"/>
        <w:widowControl/>
        <w:numPr>
          <w:ilvl w:val="1"/>
          <w:numId w:val="12"/>
        </w:numPr>
      </w:pPr>
      <w:r w:rsidRPr="00667747">
        <w:rPr>
          <w:szCs w:val="22"/>
        </w:rPr>
        <w:t>The PBAC noted the advice received from</w:t>
      </w:r>
      <w:r w:rsidR="003715F1" w:rsidRPr="00667747">
        <w:rPr>
          <w:szCs w:val="22"/>
        </w:rPr>
        <w:t xml:space="preserve"> FH Family Support Group of Western Australia</w:t>
      </w:r>
      <w:r w:rsidRPr="00667747">
        <w:rPr>
          <w:szCs w:val="22"/>
        </w:rPr>
        <w:t xml:space="preserve"> clarifying the likely use of </w:t>
      </w:r>
      <w:proofErr w:type="spellStart"/>
      <w:r w:rsidR="00EC4CBF" w:rsidRPr="00667747">
        <w:rPr>
          <w:szCs w:val="22"/>
        </w:rPr>
        <w:t>evolocumab</w:t>
      </w:r>
      <w:proofErr w:type="spellEnd"/>
      <w:r w:rsidR="00EC4CBF" w:rsidRPr="00667747">
        <w:rPr>
          <w:szCs w:val="22"/>
        </w:rPr>
        <w:t xml:space="preserve"> </w:t>
      </w:r>
      <w:r w:rsidRPr="00667747">
        <w:rPr>
          <w:szCs w:val="22"/>
        </w:rPr>
        <w:t>in clinical practice.</w:t>
      </w:r>
      <w:r w:rsidR="00BD2591">
        <w:rPr>
          <w:szCs w:val="22"/>
        </w:rPr>
        <w:t xml:space="preserve"> </w:t>
      </w:r>
    </w:p>
    <w:p w:rsidR="00667747" w:rsidRPr="00300F01" w:rsidRDefault="00667747" w:rsidP="00667747">
      <w:pPr>
        <w:widowControl/>
      </w:pPr>
    </w:p>
    <w:p w:rsidR="00B60939" w:rsidRPr="009B39D1" w:rsidRDefault="00B60939" w:rsidP="009B39D1">
      <w:pPr>
        <w:pStyle w:val="Heading2"/>
      </w:pPr>
      <w:r w:rsidRPr="009B39D1">
        <w:t>Clinical trials</w:t>
      </w:r>
      <w:bookmarkEnd w:id="9"/>
    </w:p>
    <w:p w:rsidR="00B60939" w:rsidRPr="00882085" w:rsidRDefault="00B60939" w:rsidP="00B60939">
      <w:pPr>
        <w:rPr>
          <w:szCs w:val="22"/>
        </w:rPr>
      </w:pPr>
    </w:p>
    <w:p w:rsidR="007F1017" w:rsidRPr="00B50DB8" w:rsidRDefault="00DD3B95" w:rsidP="00DD3B95">
      <w:pPr>
        <w:pStyle w:val="ListParagraph"/>
        <w:widowControl/>
        <w:numPr>
          <w:ilvl w:val="1"/>
          <w:numId w:val="12"/>
        </w:numPr>
        <w:rPr>
          <w:szCs w:val="22"/>
        </w:rPr>
      </w:pPr>
      <w:r w:rsidRPr="00DD3B95">
        <w:rPr>
          <w:szCs w:val="22"/>
        </w:rPr>
        <w:t xml:space="preserve">The submission </w:t>
      </w:r>
      <w:r w:rsidR="00E2365C">
        <w:rPr>
          <w:szCs w:val="22"/>
        </w:rPr>
        <w:t>wa</w:t>
      </w:r>
      <w:r w:rsidRPr="00DD3B95">
        <w:rPr>
          <w:szCs w:val="22"/>
        </w:rPr>
        <w:t xml:space="preserve">s based on a series of head-to-head comparisons between </w:t>
      </w:r>
      <w:proofErr w:type="spellStart"/>
      <w:r w:rsidRPr="00DD3B95">
        <w:rPr>
          <w:szCs w:val="22"/>
        </w:rPr>
        <w:t>evolocumab</w:t>
      </w:r>
      <w:proofErr w:type="spellEnd"/>
      <w:r w:rsidRPr="00DD3B95">
        <w:rPr>
          <w:szCs w:val="22"/>
        </w:rPr>
        <w:t xml:space="preserve"> and </w:t>
      </w:r>
      <w:r w:rsidR="00AD0694">
        <w:rPr>
          <w:szCs w:val="22"/>
        </w:rPr>
        <w:t xml:space="preserve">the </w:t>
      </w:r>
      <w:r w:rsidRPr="00DD3B95">
        <w:rPr>
          <w:szCs w:val="22"/>
        </w:rPr>
        <w:t>nominated comparators</w:t>
      </w:r>
      <w:r w:rsidR="00355696">
        <w:rPr>
          <w:szCs w:val="22"/>
        </w:rPr>
        <w:t xml:space="preserve"> with additional long-term supportive studies</w:t>
      </w:r>
      <w:r>
        <w:rPr>
          <w:szCs w:val="22"/>
        </w:rPr>
        <w:t>.</w:t>
      </w:r>
    </w:p>
    <w:p w:rsidR="00862502" w:rsidRPr="00862502" w:rsidRDefault="00862502" w:rsidP="00862502">
      <w:pPr>
        <w:widowControl/>
        <w:rPr>
          <w:szCs w:val="22"/>
        </w:rPr>
      </w:pPr>
    </w:p>
    <w:p w:rsidR="00862502" w:rsidRDefault="00862502" w:rsidP="00862502">
      <w:pPr>
        <w:pStyle w:val="ListParagraph"/>
        <w:widowControl/>
        <w:numPr>
          <w:ilvl w:val="1"/>
          <w:numId w:val="12"/>
        </w:numPr>
        <w:rPr>
          <w:szCs w:val="22"/>
        </w:rPr>
      </w:pPr>
      <w:r w:rsidRPr="00DD3B95">
        <w:rPr>
          <w:szCs w:val="22"/>
        </w:rPr>
        <w:t>Details of the trials presented in the submission are prov</w:t>
      </w:r>
      <w:r w:rsidR="00200403">
        <w:rPr>
          <w:szCs w:val="22"/>
        </w:rPr>
        <w:t>ided in the table below.</w:t>
      </w:r>
    </w:p>
    <w:p w:rsidR="00DD3B95" w:rsidRDefault="00DD3B95" w:rsidP="00DD3B95">
      <w:pPr>
        <w:widowControl/>
        <w:rPr>
          <w:szCs w:val="22"/>
        </w:rPr>
      </w:pPr>
    </w:p>
    <w:p w:rsidR="00355696" w:rsidRPr="00E161DB" w:rsidRDefault="00355696" w:rsidP="00355696">
      <w:pPr>
        <w:ind w:firstLine="720"/>
        <w:rPr>
          <w:rFonts w:ascii="Arial Narrow" w:hAnsi="Arial Narrow"/>
          <w:b/>
          <w:sz w:val="20"/>
        </w:rPr>
      </w:pPr>
      <w:r w:rsidRPr="00E161DB">
        <w:rPr>
          <w:rFonts w:ascii="Arial Narrow" w:hAnsi="Arial Narrow"/>
          <w:b/>
          <w:sz w:val="20"/>
        </w:rPr>
        <w:t xml:space="preserve">Trials </w:t>
      </w:r>
      <w:r>
        <w:rPr>
          <w:rFonts w:ascii="Arial Narrow" w:hAnsi="Arial Narrow"/>
          <w:b/>
          <w:sz w:val="20"/>
        </w:rPr>
        <w:t>and associated reports presented</w:t>
      </w:r>
      <w:r w:rsidRPr="00E161DB">
        <w:rPr>
          <w:rFonts w:ascii="Arial Narrow" w:hAnsi="Arial Narrow"/>
          <w:b/>
          <w:sz w:val="20"/>
        </w:rPr>
        <w:t xml:space="preserve"> in the submission</w:t>
      </w:r>
    </w:p>
    <w:tbl>
      <w:tblPr>
        <w:tblStyle w:val="TableGrid"/>
        <w:tblW w:w="0" w:type="auto"/>
        <w:tblInd w:w="822" w:type="dxa"/>
        <w:tblLook w:val="04A0" w:firstRow="1" w:lastRow="0" w:firstColumn="1" w:lastColumn="0" w:noHBand="0" w:noVBand="1"/>
        <w:tblCaption w:val="Intentionally blank"/>
      </w:tblPr>
      <w:tblGrid>
        <w:gridCol w:w="1736"/>
        <w:gridCol w:w="4521"/>
        <w:gridCol w:w="2086"/>
      </w:tblGrid>
      <w:tr w:rsidR="00355696" w:rsidRPr="002858F4" w:rsidTr="00B2418E">
        <w:trPr>
          <w:tblHeader/>
        </w:trPr>
        <w:tc>
          <w:tcPr>
            <w:tcW w:w="1736" w:type="dxa"/>
            <w:vAlign w:val="center"/>
          </w:tcPr>
          <w:p w:rsidR="00355696" w:rsidRPr="002858F4" w:rsidRDefault="00355696" w:rsidP="001A4B0E">
            <w:pPr>
              <w:rPr>
                <w:rFonts w:ascii="Arial Narrow" w:hAnsi="Arial Narrow"/>
                <w:b/>
                <w:sz w:val="20"/>
              </w:rPr>
            </w:pPr>
            <w:r w:rsidRPr="002858F4">
              <w:rPr>
                <w:rFonts w:ascii="Arial Narrow" w:hAnsi="Arial Narrow"/>
                <w:b/>
                <w:sz w:val="20"/>
              </w:rPr>
              <w:t>Trial ID</w:t>
            </w:r>
          </w:p>
        </w:tc>
        <w:tc>
          <w:tcPr>
            <w:tcW w:w="4521" w:type="dxa"/>
            <w:vAlign w:val="center"/>
          </w:tcPr>
          <w:p w:rsidR="00355696" w:rsidRPr="002858F4" w:rsidRDefault="00355696" w:rsidP="001A4B0E">
            <w:pPr>
              <w:jc w:val="center"/>
              <w:rPr>
                <w:rFonts w:ascii="Arial Narrow" w:hAnsi="Arial Narrow"/>
                <w:b/>
                <w:sz w:val="20"/>
              </w:rPr>
            </w:pPr>
            <w:r w:rsidRPr="002858F4">
              <w:rPr>
                <w:rFonts w:ascii="Arial Narrow" w:hAnsi="Arial Narrow"/>
                <w:b/>
                <w:sz w:val="20"/>
              </w:rPr>
              <w:t>Protocol title/ Publication title</w:t>
            </w:r>
          </w:p>
        </w:tc>
        <w:tc>
          <w:tcPr>
            <w:tcW w:w="2086" w:type="dxa"/>
            <w:vAlign w:val="center"/>
          </w:tcPr>
          <w:p w:rsidR="00355696" w:rsidRPr="002858F4" w:rsidRDefault="00355696" w:rsidP="001A4B0E">
            <w:pPr>
              <w:jc w:val="center"/>
              <w:rPr>
                <w:rFonts w:ascii="Arial Narrow" w:hAnsi="Arial Narrow"/>
                <w:b/>
                <w:sz w:val="20"/>
              </w:rPr>
            </w:pPr>
            <w:r w:rsidRPr="002858F4">
              <w:rPr>
                <w:rFonts w:ascii="Arial Narrow" w:hAnsi="Arial Narrow"/>
                <w:b/>
                <w:sz w:val="20"/>
              </w:rPr>
              <w:t>Publication citation</w:t>
            </w:r>
          </w:p>
        </w:tc>
      </w:tr>
      <w:tr w:rsidR="00355696" w:rsidRPr="002858F4" w:rsidTr="001A4B0E">
        <w:tc>
          <w:tcPr>
            <w:tcW w:w="8343" w:type="dxa"/>
            <w:gridSpan w:val="3"/>
            <w:vAlign w:val="center"/>
          </w:tcPr>
          <w:p w:rsidR="00355696" w:rsidRPr="00355696" w:rsidRDefault="00355696" w:rsidP="001A4B0E">
            <w:pPr>
              <w:jc w:val="left"/>
              <w:rPr>
                <w:rFonts w:ascii="Arial Narrow" w:hAnsi="Arial Narrow"/>
                <w:b/>
                <w:sz w:val="20"/>
              </w:rPr>
            </w:pPr>
            <w:r w:rsidRPr="00355696">
              <w:rPr>
                <w:rFonts w:ascii="Arial Narrow" w:hAnsi="Arial Narrow"/>
                <w:b/>
                <w:sz w:val="20"/>
              </w:rPr>
              <w:t>Direct randomised trials</w:t>
            </w:r>
          </w:p>
        </w:tc>
      </w:tr>
      <w:tr w:rsidR="00355696" w:rsidRPr="002858F4" w:rsidTr="008C47F3">
        <w:tc>
          <w:tcPr>
            <w:tcW w:w="1736" w:type="dxa"/>
            <w:vMerge w:val="restart"/>
            <w:vAlign w:val="center"/>
          </w:tcPr>
          <w:p w:rsidR="00355696" w:rsidRDefault="00355696" w:rsidP="001A4B0E">
            <w:pPr>
              <w:jc w:val="left"/>
              <w:rPr>
                <w:rFonts w:ascii="Arial Narrow" w:hAnsi="Arial Narrow"/>
                <w:sz w:val="20"/>
              </w:rPr>
            </w:pPr>
            <w:r w:rsidRPr="00C21C9C">
              <w:rPr>
                <w:rFonts w:ascii="Arial Narrow" w:hAnsi="Arial Narrow"/>
                <w:sz w:val="20"/>
              </w:rPr>
              <w:t>20110114</w:t>
            </w:r>
          </w:p>
          <w:p w:rsidR="00355696" w:rsidRPr="00D16999" w:rsidRDefault="00355696" w:rsidP="00200403">
            <w:pPr>
              <w:jc w:val="left"/>
              <w:rPr>
                <w:rFonts w:ascii="Arial Narrow" w:hAnsi="Arial Narrow"/>
                <w:sz w:val="20"/>
              </w:rPr>
            </w:pPr>
            <w:r>
              <w:rPr>
                <w:rFonts w:ascii="Arial Narrow" w:hAnsi="Arial Narrow"/>
                <w:sz w:val="20"/>
              </w:rPr>
              <w:t>(MENDEL-2)</w:t>
            </w:r>
          </w:p>
        </w:tc>
        <w:tc>
          <w:tcPr>
            <w:tcW w:w="4521" w:type="dxa"/>
            <w:vAlign w:val="center"/>
          </w:tcPr>
          <w:p w:rsidR="00355696" w:rsidRDefault="00355696" w:rsidP="001A4B0E">
            <w:pPr>
              <w:rPr>
                <w:rFonts w:ascii="Arial Narrow" w:hAnsi="Arial Narrow"/>
                <w:sz w:val="20"/>
              </w:rPr>
            </w:pPr>
            <w:r>
              <w:rPr>
                <w:rFonts w:ascii="Arial Narrow" w:hAnsi="Arial Narrow"/>
                <w:sz w:val="20"/>
              </w:rPr>
              <w:t xml:space="preserve">Amgen Clinical Study Report (2014). </w:t>
            </w:r>
            <w:r w:rsidRPr="00C21C9C">
              <w:rPr>
                <w:rFonts w:ascii="Arial Narrow" w:hAnsi="Arial Narrow"/>
                <w:sz w:val="20"/>
              </w:rPr>
              <w:t xml:space="preserve">A Double-blind, Randomised, Placebo and </w:t>
            </w:r>
            <w:proofErr w:type="spellStart"/>
            <w:r w:rsidRPr="00C21C9C">
              <w:rPr>
                <w:rFonts w:ascii="Arial Narrow" w:hAnsi="Arial Narrow"/>
                <w:sz w:val="20"/>
              </w:rPr>
              <w:t>Ezetimibe</w:t>
            </w:r>
            <w:proofErr w:type="spellEnd"/>
            <w:r w:rsidRPr="00C21C9C">
              <w:rPr>
                <w:rFonts w:ascii="Arial Narrow" w:hAnsi="Arial Narrow"/>
                <w:sz w:val="20"/>
              </w:rPr>
              <w:t xml:space="preserve">-controlled, </w:t>
            </w:r>
            <w:proofErr w:type="spellStart"/>
            <w:r w:rsidRPr="00C21C9C">
              <w:rPr>
                <w:rFonts w:ascii="Arial Narrow" w:hAnsi="Arial Narrow"/>
                <w:sz w:val="20"/>
              </w:rPr>
              <w:t>Multicenter</w:t>
            </w:r>
            <w:proofErr w:type="spellEnd"/>
            <w:r w:rsidRPr="00C21C9C">
              <w:rPr>
                <w:rFonts w:ascii="Arial Narrow" w:hAnsi="Arial Narrow"/>
                <w:sz w:val="20"/>
              </w:rPr>
              <w:t xml:space="preserve"> Study to Evaluate Safety and Efficacy of Lipid Lowering Monotherapy With AMG 145 in Subjects With a 10-Year Framingham Risk Score of 10% or Less</w:t>
            </w:r>
          </w:p>
        </w:tc>
        <w:tc>
          <w:tcPr>
            <w:tcW w:w="2086" w:type="dxa"/>
            <w:vAlign w:val="center"/>
          </w:tcPr>
          <w:p w:rsidR="00355696" w:rsidRDefault="00355696" w:rsidP="001A4B0E">
            <w:pPr>
              <w:jc w:val="left"/>
              <w:rPr>
                <w:rFonts w:ascii="Arial Narrow" w:hAnsi="Arial Narrow"/>
                <w:sz w:val="20"/>
              </w:rPr>
            </w:pPr>
            <w:r>
              <w:rPr>
                <w:rFonts w:ascii="Arial Narrow" w:hAnsi="Arial Narrow"/>
                <w:sz w:val="20"/>
              </w:rPr>
              <w:t>Internal study report</w:t>
            </w:r>
          </w:p>
        </w:tc>
      </w:tr>
      <w:tr w:rsidR="00355696" w:rsidRPr="002858F4" w:rsidTr="008C47F3">
        <w:tc>
          <w:tcPr>
            <w:tcW w:w="1736" w:type="dxa"/>
            <w:vMerge/>
            <w:vAlign w:val="center"/>
          </w:tcPr>
          <w:p w:rsidR="00355696" w:rsidRPr="00D16999" w:rsidRDefault="00355696" w:rsidP="001A4B0E">
            <w:pPr>
              <w:rPr>
                <w:rFonts w:ascii="Arial Narrow" w:hAnsi="Arial Narrow"/>
                <w:sz w:val="20"/>
              </w:rPr>
            </w:pPr>
          </w:p>
        </w:tc>
        <w:tc>
          <w:tcPr>
            <w:tcW w:w="4521" w:type="dxa"/>
            <w:vAlign w:val="center"/>
          </w:tcPr>
          <w:p w:rsidR="00355696" w:rsidRDefault="00355696" w:rsidP="001A4B0E">
            <w:pPr>
              <w:rPr>
                <w:rFonts w:ascii="Arial Narrow" w:hAnsi="Arial Narrow"/>
                <w:sz w:val="20"/>
              </w:rPr>
            </w:pPr>
            <w:proofErr w:type="spellStart"/>
            <w:r>
              <w:rPr>
                <w:rFonts w:ascii="Arial Narrow" w:hAnsi="Arial Narrow"/>
                <w:sz w:val="20"/>
              </w:rPr>
              <w:t>Koren</w:t>
            </w:r>
            <w:proofErr w:type="spellEnd"/>
            <w:r>
              <w:rPr>
                <w:rFonts w:ascii="Arial Narrow" w:hAnsi="Arial Narrow"/>
                <w:sz w:val="20"/>
              </w:rPr>
              <w:t xml:space="preserve"> MJ et al (2014). </w:t>
            </w:r>
            <w:r w:rsidRPr="006A1ECB">
              <w:rPr>
                <w:rFonts w:ascii="Arial Narrow" w:hAnsi="Arial Narrow"/>
                <w:sz w:val="20"/>
              </w:rPr>
              <w:t xml:space="preserve">Anti-PCSK9 monotherapy for hypercholesterolemia: The MENDEL-2 randomized, controlled phase III clinical trial of </w:t>
            </w:r>
            <w:proofErr w:type="spellStart"/>
            <w:r w:rsidRPr="006A1ECB">
              <w:rPr>
                <w:rFonts w:ascii="Arial Narrow" w:hAnsi="Arial Narrow"/>
                <w:sz w:val="20"/>
              </w:rPr>
              <w:t>evolocumab</w:t>
            </w:r>
            <w:proofErr w:type="spellEnd"/>
          </w:p>
        </w:tc>
        <w:tc>
          <w:tcPr>
            <w:tcW w:w="2086" w:type="dxa"/>
            <w:vAlign w:val="center"/>
          </w:tcPr>
          <w:p w:rsidR="00355696" w:rsidRDefault="00355696" w:rsidP="001A4B0E">
            <w:pPr>
              <w:jc w:val="left"/>
              <w:rPr>
                <w:rFonts w:ascii="Arial Narrow" w:hAnsi="Arial Narrow"/>
                <w:sz w:val="20"/>
              </w:rPr>
            </w:pPr>
            <w:r w:rsidRPr="006A1ECB">
              <w:rPr>
                <w:rFonts w:ascii="Arial Narrow" w:hAnsi="Arial Narrow"/>
                <w:sz w:val="20"/>
              </w:rPr>
              <w:t>Journal of the Ame</w:t>
            </w:r>
            <w:r>
              <w:rPr>
                <w:rFonts w:ascii="Arial Narrow" w:hAnsi="Arial Narrow"/>
                <w:sz w:val="20"/>
              </w:rPr>
              <w:t>rican College of Cardiology 63: 2531</w:t>
            </w:r>
            <w:r w:rsidRPr="00CF74C2">
              <w:rPr>
                <w:rFonts w:ascii="Arial Narrow" w:hAnsi="Arial Narrow"/>
                <w:sz w:val="20"/>
              </w:rPr>
              <w:t>–</w:t>
            </w:r>
            <w:r w:rsidRPr="006A1ECB">
              <w:rPr>
                <w:rFonts w:ascii="Arial Narrow" w:hAnsi="Arial Narrow"/>
                <w:sz w:val="20"/>
              </w:rPr>
              <w:t>2540</w:t>
            </w:r>
          </w:p>
        </w:tc>
      </w:tr>
      <w:tr w:rsidR="008C47F3" w:rsidRPr="002858F4" w:rsidTr="008C47F3">
        <w:tc>
          <w:tcPr>
            <w:tcW w:w="1736" w:type="dxa"/>
            <w:vMerge w:val="restart"/>
            <w:vAlign w:val="center"/>
          </w:tcPr>
          <w:p w:rsidR="008C47F3" w:rsidRDefault="008C47F3" w:rsidP="001A4B0E">
            <w:pPr>
              <w:rPr>
                <w:rFonts w:ascii="Arial Narrow" w:hAnsi="Arial Narrow"/>
                <w:sz w:val="20"/>
              </w:rPr>
            </w:pPr>
            <w:r w:rsidRPr="00E804CA">
              <w:rPr>
                <w:rFonts w:ascii="Arial Narrow" w:hAnsi="Arial Narrow"/>
                <w:sz w:val="20"/>
              </w:rPr>
              <w:t>20110115</w:t>
            </w:r>
          </w:p>
          <w:p w:rsidR="008C47F3" w:rsidRPr="00D16999" w:rsidRDefault="008C47F3" w:rsidP="001A4B0E">
            <w:pPr>
              <w:rPr>
                <w:rFonts w:ascii="Arial Narrow" w:hAnsi="Arial Narrow"/>
                <w:sz w:val="20"/>
              </w:rPr>
            </w:pPr>
            <w:r>
              <w:rPr>
                <w:rFonts w:ascii="Arial Narrow" w:hAnsi="Arial Narrow"/>
                <w:sz w:val="20"/>
              </w:rPr>
              <w:t>(LAPLACE-2)</w:t>
            </w: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Amgen Clinical Study Report (2014). </w:t>
            </w:r>
            <w:r w:rsidRPr="00E804CA">
              <w:rPr>
                <w:rFonts w:ascii="Arial Narrow" w:hAnsi="Arial Narrow"/>
                <w:sz w:val="20"/>
              </w:rPr>
              <w:t xml:space="preserve">A Double-blind, Randomised, Placebo and </w:t>
            </w:r>
            <w:proofErr w:type="spellStart"/>
            <w:r w:rsidRPr="00E804CA">
              <w:rPr>
                <w:rFonts w:ascii="Arial Narrow" w:hAnsi="Arial Narrow"/>
                <w:sz w:val="20"/>
              </w:rPr>
              <w:t>Ezetimibe</w:t>
            </w:r>
            <w:proofErr w:type="spellEnd"/>
            <w:r w:rsidRPr="00E804CA">
              <w:rPr>
                <w:rFonts w:ascii="Arial Narrow" w:hAnsi="Arial Narrow"/>
                <w:sz w:val="20"/>
              </w:rPr>
              <w:t xml:space="preserve"> Controlled, Multicentre Study to Evaluate Safety, Tolerability and Efficacy of AMG 145 on LDL-C in Combination with Statin Therapy in Subjects with Primary Hypercholesterolemia and Mixed </w:t>
            </w:r>
            <w:proofErr w:type="spellStart"/>
            <w:r w:rsidRPr="00E804CA">
              <w:rPr>
                <w:rFonts w:ascii="Arial Narrow" w:hAnsi="Arial Narrow"/>
                <w:sz w:val="20"/>
              </w:rPr>
              <w:t>Dyslipidemia</w:t>
            </w:r>
            <w:proofErr w:type="spellEnd"/>
            <w:r w:rsidRPr="00E804CA">
              <w:rPr>
                <w:rFonts w:ascii="Arial Narrow" w:hAnsi="Arial Narrow"/>
                <w:sz w:val="20"/>
              </w:rPr>
              <w:t>.</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Internal study report</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Robinson JG et al (2014). </w:t>
            </w:r>
            <w:r w:rsidRPr="00E804CA">
              <w:rPr>
                <w:rFonts w:ascii="Arial Narrow" w:hAnsi="Arial Narrow"/>
                <w:sz w:val="20"/>
              </w:rPr>
              <w:t xml:space="preserve">Effect of </w:t>
            </w:r>
            <w:proofErr w:type="spellStart"/>
            <w:r w:rsidRPr="00E804CA">
              <w:rPr>
                <w:rFonts w:ascii="Arial Narrow" w:hAnsi="Arial Narrow"/>
                <w:sz w:val="20"/>
              </w:rPr>
              <w:t>evolocumab</w:t>
            </w:r>
            <w:proofErr w:type="spellEnd"/>
            <w:r w:rsidRPr="00E804CA">
              <w:rPr>
                <w:rFonts w:ascii="Arial Narrow" w:hAnsi="Arial Narrow"/>
                <w:sz w:val="20"/>
              </w:rPr>
              <w:t xml:space="preserve"> or </w:t>
            </w:r>
            <w:proofErr w:type="spellStart"/>
            <w:r w:rsidRPr="00E804CA">
              <w:rPr>
                <w:rFonts w:ascii="Arial Narrow" w:hAnsi="Arial Narrow"/>
                <w:sz w:val="20"/>
              </w:rPr>
              <w:t>ezetimibe</w:t>
            </w:r>
            <w:proofErr w:type="spellEnd"/>
            <w:r w:rsidRPr="00E804CA">
              <w:rPr>
                <w:rFonts w:ascii="Arial Narrow" w:hAnsi="Arial Narrow"/>
                <w:sz w:val="20"/>
              </w:rPr>
              <w:t xml:space="preserve"> added to moderate- Or high-intensity statin therapy on LDL-C lowering in patients with hypercholesterolemia: The LAPLACE-2 randomized clinical trial</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JAMA 311: 1870</w:t>
            </w:r>
            <w:r w:rsidRPr="00CF74C2">
              <w:rPr>
                <w:rFonts w:ascii="Arial Narrow" w:hAnsi="Arial Narrow"/>
                <w:sz w:val="20"/>
              </w:rPr>
              <w:t>–</w:t>
            </w:r>
            <w:r w:rsidRPr="00E804CA">
              <w:rPr>
                <w:rFonts w:ascii="Arial Narrow" w:hAnsi="Arial Narrow"/>
                <w:sz w:val="20"/>
              </w:rPr>
              <w:t>1882</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Robinson JG et al (2014). </w:t>
            </w:r>
            <w:r w:rsidRPr="009A0484">
              <w:rPr>
                <w:rFonts w:ascii="Arial Narrow" w:hAnsi="Arial Narrow"/>
                <w:sz w:val="20"/>
              </w:rPr>
              <w:t xml:space="preserve">Rationale and design of LAPLACE-2: A phase 3, randomized, double-blind, placebo- and </w:t>
            </w:r>
            <w:proofErr w:type="spellStart"/>
            <w:r w:rsidRPr="009A0484">
              <w:rPr>
                <w:rFonts w:ascii="Arial Narrow" w:hAnsi="Arial Narrow"/>
                <w:sz w:val="20"/>
              </w:rPr>
              <w:t>ezetimibe</w:t>
            </w:r>
            <w:proofErr w:type="spellEnd"/>
            <w:r w:rsidRPr="009A0484">
              <w:rPr>
                <w:rFonts w:ascii="Arial Narrow" w:hAnsi="Arial Narrow"/>
                <w:sz w:val="20"/>
              </w:rPr>
              <w:t xml:space="preserve">-controlled trial evaluating the efficacy and safety of </w:t>
            </w:r>
            <w:proofErr w:type="spellStart"/>
            <w:r w:rsidRPr="009A0484">
              <w:rPr>
                <w:rFonts w:ascii="Arial Narrow" w:hAnsi="Arial Narrow"/>
                <w:sz w:val="20"/>
              </w:rPr>
              <w:t>evolocumab</w:t>
            </w:r>
            <w:proofErr w:type="spellEnd"/>
            <w:r w:rsidRPr="009A0484">
              <w:rPr>
                <w:rFonts w:ascii="Arial Narrow" w:hAnsi="Arial Narrow"/>
                <w:sz w:val="20"/>
              </w:rPr>
              <w:t xml:space="preserve"> in subjects with hypercholesterolemia on background statin therapy</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Clinical Cardiology 37: 195</w:t>
            </w:r>
            <w:r w:rsidRPr="00CF74C2">
              <w:rPr>
                <w:rFonts w:ascii="Arial Narrow" w:hAnsi="Arial Narrow"/>
                <w:sz w:val="20"/>
              </w:rPr>
              <w:t>–</w:t>
            </w:r>
            <w:r w:rsidRPr="009A0484">
              <w:rPr>
                <w:rFonts w:ascii="Arial Narrow" w:hAnsi="Arial Narrow"/>
                <w:sz w:val="20"/>
              </w:rPr>
              <w:t>203</w:t>
            </w:r>
          </w:p>
        </w:tc>
      </w:tr>
      <w:tr w:rsidR="008C47F3" w:rsidRPr="002858F4" w:rsidTr="008C47F3">
        <w:tc>
          <w:tcPr>
            <w:tcW w:w="1736" w:type="dxa"/>
            <w:vMerge w:val="restart"/>
            <w:vAlign w:val="center"/>
          </w:tcPr>
          <w:p w:rsidR="008C47F3" w:rsidRDefault="008C47F3" w:rsidP="001A4B0E">
            <w:pPr>
              <w:rPr>
                <w:rFonts w:ascii="Arial Narrow" w:hAnsi="Arial Narrow"/>
                <w:sz w:val="20"/>
              </w:rPr>
            </w:pPr>
            <w:r w:rsidRPr="00800476">
              <w:rPr>
                <w:rFonts w:ascii="Arial Narrow" w:hAnsi="Arial Narrow"/>
                <w:sz w:val="20"/>
              </w:rPr>
              <w:t>20110116</w:t>
            </w:r>
          </w:p>
          <w:p w:rsidR="008C47F3" w:rsidRPr="00D16999" w:rsidRDefault="008C47F3" w:rsidP="001A4B0E">
            <w:pPr>
              <w:rPr>
                <w:rFonts w:ascii="Arial Narrow" w:hAnsi="Arial Narrow"/>
                <w:sz w:val="20"/>
              </w:rPr>
            </w:pPr>
            <w:r>
              <w:rPr>
                <w:rFonts w:ascii="Arial Narrow" w:hAnsi="Arial Narrow"/>
                <w:sz w:val="20"/>
              </w:rPr>
              <w:t>(GAUSS-2)</w:t>
            </w: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Amgen Clinical Study Report (2014). </w:t>
            </w:r>
            <w:r w:rsidRPr="00800476">
              <w:rPr>
                <w:rFonts w:ascii="Arial Narrow" w:hAnsi="Arial Narrow"/>
                <w:sz w:val="20"/>
              </w:rPr>
              <w:t xml:space="preserve">A Double-blind, Randomised, </w:t>
            </w:r>
            <w:proofErr w:type="spellStart"/>
            <w:r w:rsidRPr="00800476">
              <w:rPr>
                <w:rFonts w:ascii="Arial Narrow" w:hAnsi="Arial Narrow"/>
                <w:sz w:val="20"/>
              </w:rPr>
              <w:t>Multicenter</w:t>
            </w:r>
            <w:proofErr w:type="spellEnd"/>
            <w:r w:rsidRPr="00800476">
              <w:rPr>
                <w:rFonts w:ascii="Arial Narrow" w:hAnsi="Arial Narrow"/>
                <w:sz w:val="20"/>
              </w:rPr>
              <w:t xml:space="preserve"> Study to Evaluate Safety and Efficacy of AMG 145, Compared With </w:t>
            </w:r>
            <w:proofErr w:type="spellStart"/>
            <w:r w:rsidRPr="00800476">
              <w:rPr>
                <w:rFonts w:ascii="Arial Narrow" w:hAnsi="Arial Narrow"/>
                <w:sz w:val="20"/>
              </w:rPr>
              <w:t>Ezetimibe</w:t>
            </w:r>
            <w:proofErr w:type="spellEnd"/>
            <w:r w:rsidRPr="00800476">
              <w:rPr>
                <w:rFonts w:ascii="Arial Narrow" w:hAnsi="Arial Narrow"/>
                <w:sz w:val="20"/>
              </w:rPr>
              <w:t xml:space="preserve">, in </w:t>
            </w:r>
            <w:proofErr w:type="spellStart"/>
            <w:r w:rsidRPr="00800476">
              <w:rPr>
                <w:rFonts w:ascii="Arial Narrow" w:hAnsi="Arial Narrow"/>
                <w:sz w:val="20"/>
              </w:rPr>
              <w:t>Hypercholesterolemic</w:t>
            </w:r>
            <w:proofErr w:type="spellEnd"/>
            <w:r w:rsidRPr="00800476">
              <w:rPr>
                <w:rFonts w:ascii="Arial Narrow" w:hAnsi="Arial Narrow"/>
                <w:sz w:val="20"/>
              </w:rPr>
              <w:t xml:space="preserve"> Subjects Unable to Tolerate an Effective Dose of a HMG-CoA Reductase Inhibitor</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Internal study report</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Cho L et al (2014). </w:t>
            </w:r>
            <w:r w:rsidRPr="00800476">
              <w:rPr>
                <w:rFonts w:ascii="Arial Narrow" w:hAnsi="Arial Narrow"/>
                <w:sz w:val="20"/>
              </w:rPr>
              <w:t xml:space="preserve">Design and rationale of the gauss-2 study trial: A double-blind, </w:t>
            </w:r>
            <w:proofErr w:type="spellStart"/>
            <w:r w:rsidRPr="00800476">
              <w:rPr>
                <w:rFonts w:ascii="Arial Narrow" w:hAnsi="Arial Narrow"/>
                <w:sz w:val="20"/>
              </w:rPr>
              <w:t>ezetimibe</w:t>
            </w:r>
            <w:proofErr w:type="spellEnd"/>
            <w:r w:rsidRPr="00800476">
              <w:rPr>
                <w:rFonts w:ascii="Arial Narrow" w:hAnsi="Arial Narrow"/>
                <w:sz w:val="20"/>
              </w:rPr>
              <w:t xml:space="preserve">-controlled phase 3 study of the efficacy and tolerability of </w:t>
            </w:r>
            <w:proofErr w:type="spellStart"/>
            <w:r w:rsidRPr="00800476">
              <w:rPr>
                <w:rFonts w:ascii="Arial Narrow" w:hAnsi="Arial Narrow"/>
                <w:sz w:val="20"/>
              </w:rPr>
              <w:t>evolocumab</w:t>
            </w:r>
            <w:proofErr w:type="spellEnd"/>
            <w:r w:rsidRPr="00800476">
              <w:rPr>
                <w:rFonts w:ascii="Arial Narrow" w:hAnsi="Arial Narrow"/>
                <w:sz w:val="20"/>
              </w:rPr>
              <w:t xml:space="preserve"> (</w:t>
            </w:r>
            <w:proofErr w:type="spellStart"/>
            <w:r w:rsidRPr="00800476">
              <w:rPr>
                <w:rFonts w:ascii="Arial Narrow" w:hAnsi="Arial Narrow"/>
                <w:sz w:val="20"/>
              </w:rPr>
              <w:t>amg</w:t>
            </w:r>
            <w:proofErr w:type="spellEnd"/>
            <w:r w:rsidRPr="00800476">
              <w:rPr>
                <w:rFonts w:ascii="Arial Narrow" w:hAnsi="Arial Narrow"/>
                <w:sz w:val="20"/>
              </w:rPr>
              <w:t xml:space="preserve"> 145) in subjects with hypercholesterolemia who are intolerant of statin therapy</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Clinical Cardiology 37</w:t>
            </w:r>
            <w:r w:rsidRPr="00800476">
              <w:rPr>
                <w:rFonts w:ascii="Arial Narrow" w:hAnsi="Arial Narrow"/>
                <w:sz w:val="20"/>
              </w:rPr>
              <w:t>: 13</w:t>
            </w:r>
            <w:r>
              <w:rPr>
                <w:rFonts w:ascii="Arial Narrow" w:hAnsi="Arial Narrow"/>
                <w:sz w:val="20"/>
              </w:rPr>
              <w:t>1</w:t>
            </w:r>
            <w:r w:rsidRPr="00CF74C2">
              <w:rPr>
                <w:rFonts w:ascii="Arial Narrow" w:hAnsi="Arial Narrow"/>
                <w:sz w:val="20"/>
              </w:rPr>
              <w:t>–</w:t>
            </w:r>
            <w:r w:rsidRPr="00800476">
              <w:rPr>
                <w:rFonts w:ascii="Arial Narrow" w:hAnsi="Arial Narrow"/>
                <w:sz w:val="20"/>
              </w:rPr>
              <w:t>139</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proofErr w:type="spellStart"/>
            <w:r>
              <w:rPr>
                <w:rFonts w:ascii="Arial Narrow" w:hAnsi="Arial Narrow"/>
                <w:sz w:val="20"/>
              </w:rPr>
              <w:t>Stroes</w:t>
            </w:r>
            <w:proofErr w:type="spellEnd"/>
            <w:r>
              <w:rPr>
                <w:rFonts w:ascii="Arial Narrow" w:hAnsi="Arial Narrow"/>
                <w:sz w:val="20"/>
              </w:rPr>
              <w:t xml:space="preserve"> E et al (2014). </w:t>
            </w:r>
            <w:r w:rsidRPr="00800476">
              <w:rPr>
                <w:rFonts w:ascii="Arial Narrow" w:hAnsi="Arial Narrow"/>
                <w:sz w:val="20"/>
              </w:rPr>
              <w:t xml:space="preserve">Anti-PCSK9 antibody effectively lowers cholesterol in patients with statin intolerance: The GAUSS-2 randomized, placebo-controlled phase 3 clinical trial of </w:t>
            </w:r>
            <w:proofErr w:type="spellStart"/>
            <w:r w:rsidRPr="00800476">
              <w:rPr>
                <w:rFonts w:ascii="Arial Narrow" w:hAnsi="Arial Narrow"/>
                <w:sz w:val="20"/>
              </w:rPr>
              <w:t>evolocumab</w:t>
            </w:r>
            <w:proofErr w:type="spellEnd"/>
          </w:p>
        </w:tc>
        <w:tc>
          <w:tcPr>
            <w:tcW w:w="2086" w:type="dxa"/>
            <w:vAlign w:val="center"/>
          </w:tcPr>
          <w:p w:rsidR="008C47F3" w:rsidRDefault="008C47F3" w:rsidP="001A4B0E">
            <w:pPr>
              <w:jc w:val="left"/>
              <w:rPr>
                <w:rFonts w:ascii="Arial Narrow" w:hAnsi="Arial Narrow"/>
                <w:sz w:val="20"/>
              </w:rPr>
            </w:pPr>
            <w:r w:rsidRPr="00800476">
              <w:rPr>
                <w:rFonts w:ascii="Arial Narrow" w:hAnsi="Arial Narrow"/>
                <w:sz w:val="20"/>
              </w:rPr>
              <w:t>Journal of the Ame</w:t>
            </w:r>
            <w:r>
              <w:rPr>
                <w:rFonts w:ascii="Arial Narrow" w:hAnsi="Arial Narrow"/>
                <w:sz w:val="20"/>
              </w:rPr>
              <w:t>rican College of Cardiology 63: 2541</w:t>
            </w:r>
            <w:r w:rsidRPr="00CF74C2">
              <w:rPr>
                <w:rFonts w:ascii="Arial Narrow" w:hAnsi="Arial Narrow"/>
                <w:sz w:val="20"/>
              </w:rPr>
              <w:t>–</w:t>
            </w:r>
            <w:r w:rsidRPr="00800476">
              <w:rPr>
                <w:rFonts w:ascii="Arial Narrow" w:hAnsi="Arial Narrow"/>
                <w:sz w:val="20"/>
              </w:rPr>
              <w:t>2548</w:t>
            </w:r>
          </w:p>
        </w:tc>
      </w:tr>
      <w:tr w:rsidR="008C47F3" w:rsidRPr="002858F4" w:rsidTr="008C47F3">
        <w:tc>
          <w:tcPr>
            <w:tcW w:w="1736" w:type="dxa"/>
            <w:vMerge w:val="restart"/>
            <w:vAlign w:val="center"/>
          </w:tcPr>
          <w:p w:rsidR="008C47F3" w:rsidRDefault="008C47F3" w:rsidP="001A4B0E">
            <w:pPr>
              <w:rPr>
                <w:rFonts w:ascii="Arial Narrow" w:hAnsi="Arial Narrow"/>
                <w:sz w:val="20"/>
              </w:rPr>
            </w:pPr>
            <w:r w:rsidRPr="007753DA">
              <w:rPr>
                <w:rFonts w:ascii="Arial Narrow" w:hAnsi="Arial Narrow"/>
                <w:sz w:val="20"/>
              </w:rPr>
              <w:t>20110117</w:t>
            </w:r>
          </w:p>
          <w:p w:rsidR="008C47F3" w:rsidRPr="00D16999" w:rsidRDefault="008C47F3" w:rsidP="00200403">
            <w:pPr>
              <w:rPr>
                <w:rFonts w:ascii="Arial Narrow" w:hAnsi="Arial Narrow"/>
                <w:sz w:val="20"/>
              </w:rPr>
            </w:pPr>
            <w:r>
              <w:rPr>
                <w:rFonts w:ascii="Arial Narrow" w:hAnsi="Arial Narrow"/>
                <w:sz w:val="20"/>
              </w:rPr>
              <w:t>(RUTHERFORD-2)</w:t>
            </w: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Amgen Clinical Study Report (2014). </w:t>
            </w:r>
            <w:r w:rsidRPr="007753DA">
              <w:rPr>
                <w:rFonts w:ascii="Arial Narrow" w:hAnsi="Arial Narrow"/>
                <w:sz w:val="20"/>
              </w:rPr>
              <w:t>A double-blind, randomised, placebo-controlled, multicentre study to evaluate safety, tolerability and efficacy of AMG 145 on LDL-C in subjects with heterozygous familial hypercholesterolemia.</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Internal study report</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proofErr w:type="spellStart"/>
            <w:r w:rsidRPr="00D9109D">
              <w:rPr>
                <w:rFonts w:ascii="Arial Narrow" w:hAnsi="Arial Narrow"/>
                <w:sz w:val="20"/>
              </w:rPr>
              <w:t>Ral</w:t>
            </w:r>
            <w:proofErr w:type="spellEnd"/>
            <w:r w:rsidRPr="00D9109D">
              <w:rPr>
                <w:rFonts w:ascii="Arial Narrow" w:hAnsi="Arial Narrow"/>
                <w:sz w:val="20"/>
              </w:rPr>
              <w:t xml:space="preserve"> F et al</w:t>
            </w:r>
            <w:r>
              <w:rPr>
                <w:rFonts w:ascii="Arial Narrow" w:hAnsi="Arial Narrow"/>
                <w:sz w:val="20"/>
              </w:rPr>
              <w:t xml:space="preserve"> (2014)</w:t>
            </w:r>
            <w:r w:rsidRPr="00D9109D">
              <w:rPr>
                <w:rFonts w:ascii="Arial Narrow" w:hAnsi="Arial Narrow"/>
                <w:sz w:val="20"/>
              </w:rPr>
              <w:t xml:space="preserve">. PCSK9 inhibition with </w:t>
            </w:r>
            <w:proofErr w:type="spellStart"/>
            <w:r w:rsidRPr="00D9109D">
              <w:rPr>
                <w:rFonts w:ascii="Arial Narrow" w:hAnsi="Arial Narrow"/>
                <w:sz w:val="20"/>
              </w:rPr>
              <w:t>evolocumab</w:t>
            </w:r>
            <w:proofErr w:type="spellEnd"/>
            <w:r w:rsidRPr="00D9109D">
              <w:rPr>
                <w:rFonts w:ascii="Arial Narrow" w:hAnsi="Arial Narrow"/>
                <w:sz w:val="20"/>
              </w:rPr>
              <w:t xml:space="preserve"> (AMG 145) in heterozygous familial </w:t>
            </w:r>
            <w:proofErr w:type="spellStart"/>
            <w:r w:rsidRPr="00D9109D">
              <w:rPr>
                <w:rFonts w:ascii="Arial Narrow" w:hAnsi="Arial Narrow"/>
                <w:sz w:val="20"/>
              </w:rPr>
              <w:t>hypercholesterolaemia</w:t>
            </w:r>
            <w:proofErr w:type="spellEnd"/>
            <w:r w:rsidRPr="00D9109D">
              <w:rPr>
                <w:rFonts w:ascii="Arial Narrow" w:hAnsi="Arial Narrow"/>
                <w:sz w:val="20"/>
              </w:rPr>
              <w:t xml:space="preserve"> (RUTHERFORD-2): a randomised, double-blind, placebo-controlled trial.</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Lancet (early online publication) doi:</w:t>
            </w:r>
            <w:r w:rsidRPr="00D9109D">
              <w:rPr>
                <w:rFonts w:ascii="Arial Narrow" w:hAnsi="Arial Narrow"/>
                <w:sz w:val="20"/>
              </w:rPr>
              <w:t>10.1016/S0140-6736(14)61399-4</w:t>
            </w:r>
          </w:p>
        </w:tc>
      </w:tr>
      <w:tr w:rsidR="008C47F3" w:rsidRPr="002858F4" w:rsidTr="008C47F3">
        <w:tc>
          <w:tcPr>
            <w:tcW w:w="1736" w:type="dxa"/>
            <w:vMerge w:val="restart"/>
            <w:vAlign w:val="center"/>
          </w:tcPr>
          <w:p w:rsidR="008C47F3" w:rsidRDefault="008C47F3" w:rsidP="001A4B0E">
            <w:pPr>
              <w:rPr>
                <w:rFonts w:ascii="Arial Narrow" w:hAnsi="Arial Narrow"/>
                <w:sz w:val="20"/>
              </w:rPr>
            </w:pPr>
            <w:r w:rsidRPr="00C83177">
              <w:rPr>
                <w:rFonts w:ascii="Arial Narrow" w:hAnsi="Arial Narrow"/>
                <w:sz w:val="20"/>
              </w:rPr>
              <w:t>20110233</w:t>
            </w:r>
          </w:p>
          <w:p w:rsidR="008C47F3" w:rsidRPr="00D16999" w:rsidRDefault="008C47F3" w:rsidP="001A4B0E">
            <w:pPr>
              <w:rPr>
                <w:rFonts w:ascii="Arial Narrow" w:hAnsi="Arial Narrow"/>
                <w:sz w:val="20"/>
              </w:rPr>
            </w:pPr>
            <w:r>
              <w:rPr>
                <w:rFonts w:ascii="Arial Narrow" w:hAnsi="Arial Narrow"/>
                <w:sz w:val="20"/>
              </w:rPr>
              <w:t>(TESLA)</w:t>
            </w: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Amgen Clinical Study Report (2014). </w:t>
            </w:r>
            <w:r w:rsidRPr="00C83177">
              <w:rPr>
                <w:rFonts w:ascii="Arial Narrow" w:hAnsi="Arial Narrow"/>
                <w:sz w:val="20"/>
              </w:rPr>
              <w:t xml:space="preserve">A 2-part, Phase 2/3 Study to Assess the Safety, Tolerability and Efficacy of AMG 145 in Subjects With Homozygous Familial Hypercholesterolemia. Part A – Open-label, Single-arm, </w:t>
            </w:r>
            <w:proofErr w:type="spellStart"/>
            <w:proofErr w:type="gramStart"/>
            <w:r w:rsidRPr="00C83177">
              <w:rPr>
                <w:rFonts w:ascii="Arial Narrow" w:hAnsi="Arial Narrow"/>
                <w:sz w:val="20"/>
              </w:rPr>
              <w:lastRenderedPageBreak/>
              <w:t>Multicenter</w:t>
            </w:r>
            <w:proofErr w:type="spellEnd"/>
            <w:proofErr w:type="gramEnd"/>
            <w:r w:rsidRPr="00C83177">
              <w:rPr>
                <w:rFonts w:ascii="Arial Narrow" w:hAnsi="Arial Narrow"/>
                <w:sz w:val="20"/>
              </w:rPr>
              <w:t xml:space="preserve"> Pilot Study to Evaluate Safety, Tolerability and Efficacy of AMG 145 in Subjects With Homozygous Familial Hypercholesterolemia. Part B – Double-blind, Randomised, Placebo-controlled, </w:t>
            </w:r>
            <w:proofErr w:type="spellStart"/>
            <w:r w:rsidRPr="00C83177">
              <w:rPr>
                <w:rFonts w:ascii="Arial Narrow" w:hAnsi="Arial Narrow"/>
                <w:sz w:val="20"/>
              </w:rPr>
              <w:t>Multicenter</w:t>
            </w:r>
            <w:proofErr w:type="spellEnd"/>
            <w:r w:rsidRPr="00C83177">
              <w:rPr>
                <w:rFonts w:ascii="Arial Narrow" w:hAnsi="Arial Narrow"/>
                <w:sz w:val="20"/>
              </w:rPr>
              <w:t xml:space="preserve"> Study to Evaluate Safety, Tolerability and Efficacy of AMG 145 in Subjects With Homozygous Familial Hypercholesterolemia</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lastRenderedPageBreak/>
              <w:t>Internal study report</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proofErr w:type="spellStart"/>
            <w:r w:rsidRPr="00DB48A2">
              <w:rPr>
                <w:rFonts w:ascii="Arial Narrow" w:hAnsi="Arial Narrow"/>
                <w:sz w:val="20"/>
              </w:rPr>
              <w:t>Raal</w:t>
            </w:r>
            <w:proofErr w:type="spellEnd"/>
            <w:r w:rsidRPr="00DB48A2">
              <w:rPr>
                <w:rFonts w:ascii="Arial Narrow" w:hAnsi="Arial Narrow"/>
                <w:sz w:val="20"/>
              </w:rPr>
              <w:t xml:space="preserve"> F et al</w:t>
            </w:r>
            <w:r>
              <w:rPr>
                <w:rFonts w:ascii="Arial Narrow" w:hAnsi="Arial Narrow"/>
                <w:sz w:val="20"/>
              </w:rPr>
              <w:t xml:space="preserve"> (2014)</w:t>
            </w:r>
            <w:r w:rsidRPr="00DB48A2">
              <w:rPr>
                <w:rFonts w:ascii="Arial Narrow" w:hAnsi="Arial Narrow"/>
                <w:sz w:val="20"/>
              </w:rPr>
              <w:t xml:space="preserve">. Inhibition of PCSK9 with </w:t>
            </w:r>
            <w:proofErr w:type="spellStart"/>
            <w:r w:rsidRPr="00DB48A2">
              <w:rPr>
                <w:rFonts w:ascii="Arial Narrow" w:hAnsi="Arial Narrow"/>
                <w:sz w:val="20"/>
              </w:rPr>
              <w:t>evolocumab</w:t>
            </w:r>
            <w:proofErr w:type="spellEnd"/>
            <w:r w:rsidRPr="00DB48A2">
              <w:rPr>
                <w:rFonts w:ascii="Arial Narrow" w:hAnsi="Arial Narrow"/>
                <w:sz w:val="20"/>
              </w:rPr>
              <w:t xml:space="preserve"> in homozygous familial </w:t>
            </w:r>
            <w:proofErr w:type="spellStart"/>
            <w:r w:rsidRPr="00DB48A2">
              <w:rPr>
                <w:rFonts w:ascii="Arial Narrow" w:hAnsi="Arial Narrow"/>
                <w:sz w:val="20"/>
              </w:rPr>
              <w:t>hypercholesterolaemia</w:t>
            </w:r>
            <w:proofErr w:type="spellEnd"/>
            <w:r w:rsidRPr="00DB48A2">
              <w:rPr>
                <w:rFonts w:ascii="Arial Narrow" w:hAnsi="Arial Narrow"/>
                <w:sz w:val="20"/>
              </w:rPr>
              <w:t xml:space="preserve"> (TESLA Part B): a randomised, double-blind, placebo-controlled trial.</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 xml:space="preserve">Lancet (early online publication) </w:t>
            </w:r>
            <w:r w:rsidRPr="00DB48A2">
              <w:rPr>
                <w:rFonts w:ascii="Arial Narrow" w:hAnsi="Arial Narrow"/>
                <w:sz w:val="20"/>
              </w:rPr>
              <w:t>doi:10.1016/S0140-6736(14)61374-X</w:t>
            </w:r>
          </w:p>
        </w:tc>
      </w:tr>
      <w:tr w:rsidR="008C47F3" w:rsidRPr="002858F4" w:rsidTr="008C47F3">
        <w:tc>
          <w:tcPr>
            <w:tcW w:w="1736" w:type="dxa"/>
            <w:vMerge/>
            <w:vAlign w:val="center"/>
          </w:tcPr>
          <w:p w:rsidR="008C47F3" w:rsidRPr="00D16999" w:rsidRDefault="008C47F3" w:rsidP="001A4B0E">
            <w:pPr>
              <w:rPr>
                <w:rFonts w:ascii="Arial Narrow" w:hAnsi="Arial Narrow"/>
                <w:sz w:val="20"/>
              </w:rPr>
            </w:pPr>
          </w:p>
        </w:tc>
        <w:tc>
          <w:tcPr>
            <w:tcW w:w="4521" w:type="dxa"/>
            <w:vAlign w:val="center"/>
          </w:tcPr>
          <w:p w:rsidR="008C47F3" w:rsidRDefault="008C47F3" w:rsidP="001A4B0E">
            <w:pPr>
              <w:rPr>
                <w:rFonts w:ascii="Arial Narrow" w:hAnsi="Arial Narrow"/>
                <w:sz w:val="20"/>
              </w:rPr>
            </w:pPr>
            <w:r>
              <w:rPr>
                <w:rFonts w:ascii="Arial Narrow" w:hAnsi="Arial Narrow"/>
                <w:sz w:val="20"/>
              </w:rPr>
              <w:t xml:space="preserve">Stein EA et al (2013). </w:t>
            </w:r>
            <w:r w:rsidRPr="00C83177">
              <w:rPr>
                <w:rFonts w:ascii="Arial Narrow" w:hAnsi="Arial Narrow"/>
                <w:sz w:val="20"/>
              </w:rPr>
              <w:t xml:space="preserve">Effect of the </w:t>
            </w:r>
            <w:proofErr w:type="spellStart"/>
            <w:r w:rsidRPr="00C83177">
              <w:rPr>
                <w:rFonts w:ascii="Arial Narrow" w:hAnsi="Arial Narrow"/>
                <w:sz w:val="20"/>
              </w:rPr>
              <w:t>proprotein</w:t>
            </w:r>
            <w:proofErr w:type="spellEnd"/>
            <w:r w:rsidRPr="00C83177">
              <w:rPr>
                <w:rFonts w:ascii="Arial Narrow" w:hAnsi="Arial Narrow"/>
                <w:sz w:val="20"/>
              </w:rPr>
              <w:t xml:space="preserve"> convertase </w:t>
            </w:r>
            <w:proofErr w:type="spellStart"/>
            <w:r w:rsidRPr="00C83177">
              <w:rPr>
                <w:rFonts w:ascii="Arial Narrow" w:hAnsi="Arial Narrow"/>
                <w:sz w:val="20"/>
              </w:rPr>
              <w:t>subtilisin</w:t>
            </w:r>
            <w:proofErr w:type="spellEnd"/>
            <w:r w:rsidRPr="00C83177">
              <w:rPr>
                <w:rFonts w:ascii="Arial Narrow" w:hAnsi="Arial Narrow"/>
                <w:sz w:val="20"/>
              </w:rPr>
              <w:t>/</w:t>
            </w:r>
            <w:proofErr w:type="spellStart"/>
            <w:r w:rsidRPr="00C83177">
              <w:rPr>
                <w:rFonts w:ascii="Arial Narrow" w:hAnsi="Arial Narrow"/>
                <w:sz w:val="20"/>
              </w:rPr>
              <w:t>kexin</w:t>
            </w:r>
            <w:proofErr w:type="spellEnd"/>
            <w:r w:rsidRPr="00C83177">
              <w:rPr>
                <w:rFonts w:ascii="Arial Narrow" w:hAnsi="Arial Narrow"/>
                <w:sz w:val="20"/>
              </w:rPr>
              <w:t xml:space="preserve"> 9 monoclonal antibody, AMG 145, in homozygous familial hypercholesterolemia</w:t>
            </w:r>
          </w:p>
        </w:tc>
        <w:tc>
          <w:tcPr>
            <w:tcW w:w="2086" w:type="dxa"/>
            <w:vAlign w:val="center"/>
          </w:tcPr>
          <w:p w:rsidR="008C47F3" w:rsidRDefault="008C47F3" w:rsidP="001A4B0E">
            <w:pPr>
              <w:jc w:val="left"/>
              <w:rPr>
                <w:rFonts w:ascii="Arial Narrow" w:hAnsi="Arial Narrow"/>
                <w:sz w:val="20"/>
              </w:rPr>
            </w:pPr>
            <w:r>
              <w:rPr>
                <w:rFonts w:ascii="Arial Narrow" w:hAnsi="Arial Narrow"/>
                <w:sz w:val="20"/>
              </w:rPr>
              <w:t>Circulation 128: 2113</w:t>
            </w:r>
            <w:r w:rsidRPr="00CF74C2">
              <w:rPr>
                <w:rFonts w:ascii="Arial Narrow" w:hAnsi="Arial Narrow"/>
                <w:sz w:val="20"/>
              </w:rPr>
              <w:t>–</w:t>
            </w:r>
            <w:r w:rsidRPr="00C83177">
              <w:rPr>
                <w:rFonts w:ascii="Arial Narrow" w:hAnsi="Arial Narrow"/>
                <w:sz w:val="20"/>
              </w:rPr>
              <w:t>2120</w:t>
            </w:r>
          </w:p>
        </w:tc>
      </w:tr>
      <w:tr w:rsidR="00080466" w:rsidRPr="002858F4" w:rsidTr="008C47F3">
        <w:tc>
          <w:tcPr>
            <w:tcW w:w="1736" w:type="dxa"/>
            <w:vMerge w:val="restart"/>
            <w:vAlign w:val="center"/>
          </w:tcPr>
          <w:p w:rsidR="00080466" w:rsidRPr="00D16999" w:rsidRDefault="00080466" w:rsidP="001A4B0E">
            <w:pPr>
              <w:rPr>
                <w:rFonts w:ascii="Arial Narrow" w:hAnsi="Arial Narrow"/>
                <w:sz w:val="20"/>
              </w:rPr>
            </w:pPr>
            <w:r>
              <w:rPr>
                <w:rFonts w:ascii="Arial Narrow" w:hAnsi="Arial Narrow"/>
                <w:sz w:val="20"/>
              </w:rPr>
              <w:t>DESCARTES</w:t>
            </w:r>
          </w:p>
        </w:tc>
        <w:tc>
          <w:tcPr>
            <w:tcW w:w="4521" w:type="dxa"/>
            <w:vAlign w:val="center"/>
          </w:tcPr>
          <w:p w:rsidR="00080466" w:rsidRDefault="00080466" w:rsidP="001A4B0E">
            <w:pPr>
              <w:rPr>
                <w:rFonts w:ascii="Arial Narrow" w:hAnsi="Arial Narrow"/>
                <w:sz w:val="20"/>
              </w:rPr>
            </w:pPr>
            <w:r>
              <w:rPr>
                <w:rFonts w:ascii="Arial Narrow" w:hAnsi="Arial Narrow"/>
                <w:sz w:val="20"/>
              </w:rPr>
              <w:t xml:space="preserve">Amgen Clinical Study Report (2014). </w:t>
            </w:r>
            <w:r w:rsidRPr="00EB28A7">
              <w:rPr>
                <w:rFonts w:ascii="Arial Narrow" w:hAnsi="Arial Narrow"/>
                <w:sz w:val="20"/>
              </w:rPr>
              <w:t xml:space="preserve">A Double-blind, Randomised, Placebo-controlled, </w:t>
            </w:r>
            <w:proofErr w:type="spellStart"/>
            <w:r w:rsidRPr="00EB28A7">
              <w:rPr>
                <w:rFonts w:ascii="Arial Narrow" w:hAnsi="Arial Narrow"/>
                <w:sz w:val="20"/>
              </w:rPr>
              <w:t>Multicenter</w:t>
            </w:r>
            <w:proofErr w:type="spellEnd"/>
            <w:r w:rsidRPr="00EB28A7">
              <w:rPr>
                <w:rFonts w:ascii="Arial Narrow" w:hAnsi="Arial Narrow"/>
                <w:sz w:val="20"/>
              </w:rPr>
              <w:t xml:space="preserve"> Study to Evaluate Long-term Tolerability and Durable Efficacy of AMG 145 on LDL-C in </w:t>
            </w:r>
            <w:proofErr w:type="spellStart"/>
            <w:r w:rsidRPr="00EB28A7">
              <w:rPr>
                <w:rFonts w:ascii="Arial Narrow" w:hAnsi="Arial Narrow"/>
                <w:sz w:val="20"/>
              </w:rPr>
              <w:t>Hyperlipidemic</w:t>
            </w:r>
            <w:proofErr w:type="spellEnd"/>
            <w:r w:rsidRPr="00EB28A7">
              <w:rPr>
                <w:rFonts w:ascii="Arial Narrow" w:hAnsi="Arial Narrow"/>
                <w:sz w:val="20"/>
              </w:rPr>
              <w:t xml:space="preserve"> Subjects</w:t>
            </w:r>
          </w:p>
        </w:tc>
        <w:tc>
          <w:tcPr>
            <w:tcW w:w="2086" w:type="dxa"/>
            <w:vAlign w:val="center"/>
          </w:tcPr>
          <w:p w:rsidR="00080466" w:rsidRDefault="00080466" w:rsidP="001A4B0E">
            <w:pPr>
              <w:jc w:val="left"/>
              <w:rPr>
                <w:rFonts w:ascii="Arial Narrow" w:hAnsi="Arial Narrow"/>
                <w:sz w:val="20"/>
              </w:rPr>
            </w:pPr>
            <w:r>
              <w:rPr>
                <w:rFonts w:ascii="Arial Narrow" w:hAnsi="Arial Narrow"/>
                <w:sz w:val="20"/>
              </w:rPr>
              <w:t>Internal study report</w:t>
            </w:r>
          </w:p>
        </w:tc>
      </w:tr>
      <w:tr w:rsidR="00080466" w:rsidRPr="002858F4" w:rsidTr="008C47F3">
        <w:tc>
          <w:tcPr>
            <w:tcW w:w="1736" w:type="dxa"/>
            <w:vMerge/>
            <w:vAlign w:val="center"/>
          </w:tcPr>
          <w:p w:rsidR="00080466" w:rsidRDefault="00080466" w:rsidP="001A4B0E">
            <w:pPr>
              <w:rPr>
                <w:rFonts w:ascii="Arial Narrow" w:hAnsi="Arial Narrow"/>
                <w:sz w:val="20"/>
              </w:rPr>
            </w:pPr>
          </w:p>
        </w:tc>
        <w:tc>
          <w:tcPr>
            <w:tcW w:w="4521" w:type="dxa"/>
            <w:vAlign w:val="center"/>
          </w:tcPr>
          <w:p w:rsidR="00080466" w:rsidRDefault="00080466" w:rsidP="001A4B0E">
            <w:pPr>
              <w:rPr>
                <w:rFonts w:ascii="Arial Narrow" w:hAnsi="Arial Narrow"/>
                <w:sz w:val="20"/>
              </w:rPr>
            </w:pPr>
            <w:proofErr w:type="spellStart"/>
            <w:r w:rsidRPr="00EB28A7">
              <w:rPr>
                <w:rFonts w:ascii="Arial Narrow" w:hAnsi="Arial Narrow"/>
                <w:sz w:val="20"/>
              </w:rPr>
              <w:t>Blom</w:t>
            </w:r>
            <w:proofErr w:type="spellEnd"/>
            <w:r w:rsidRPr="00EB28A7">
              <w:rPr>
                <w:rFonts w:ascii="Arial Narrow" w:hAnsi="Arial Narrow"/>
                <w:sz w:val="20"/>
              </w:rPr>
              <w:t xml:space="preserve"> D et al</w:t>
            </w:r>
            <w:r>
              <w:rPr>
                <w:rFonts w:ascii="Arial Narrow" w:hAnsi="Arial Narrow"/>
                <w:sz w:val="20"/>
              </w:rPr>
              <w:t xml:space="preserve"> (2014)</w:t>
            </w:r>
            <w:r w:rsidRPr="00EB28A7">
              <w:rPr>
                <w:rFonts w:ascii="Arial Narrow" w:hAnsi="Arial Narrow"/>
                <w:sz w:val="20"/>
              </w:rPr>
              <w:t xml:space="preserve">.  A 52-week placebo-controlled trial of </w:t>
            </w:r>
            <w:proofErr w:type="spellStart"/>
            <w:r w:rsidRPr="00EB28A7">
              <w:rPr>
                <w:rFonts w:ascii="Arial Narrow" w:hAnsi="Arial Narrow"/>
                <w:sz w:val="20"/>
              </w:rPr>
              <w:t>evolocumab</w:t>
            </w:r>
            <w:proofErr w:type="spellEnd"/>
            <w:r w:rsidRPr="00EB28A7">
              <w:rPr>
                <w:rFonts w:ascii="Arial Narrow" w:hAnsi="Arial Narrow"/>
                <w:sz w:val="20"/>
              </w:rPr>
              <w:t xml:space="preserve"> in </w:t>
            </w:r>
            <w:proofErr w:type="spellStart"/>
            <w:r w:rsidRPr="00EB28A7">
              <w:rPr>
                <w:rFonts w:ascii="Arial Narrow" w:hAnsi="Arial Narrow"/>
                <w:sz w:val="20"/>
              </w:rPr>
              <w:t>hyperlipidemia</w:t>
            </w:r>
            <w:proofErr w:type="spellEnd"/>
            <w:r w:rsidRPr="00EB28A7">
              <w:rPr>
                <w:rFonts w:ascii="Arial Narrow" w:hAnsi="Arial Narrow"/>
                <w:sz w:val="20"/>
              </w:rPr>
              <w:t xml:space="preserve">. </w:t>
            </w:r>
          </w:p>
        </w:tc>
        <w:tc>
          <w:tcPr>
            <w:tcW w:w="2086" w:type="dxa"/>
            <w:vAlign w:val="center"/>
          </w:tcPr>
          <w:p w:rsidR="00080466" w:rsidRDefault="00080466" w:rsidP="001A4B0E">
            <w:pPr>
              <w:jc w:val="left"/>
              <w:rPr>
                <w:rFonts w:ascii="Arial Narrow" w:hAnsi="Arial Narrow"/>
                <w:sz w:val="20"/>
              </w:rPr>
            </w:pPr>
            <w:r w:rsidRPr="00EB28A7">
              <w:rPr>
                <w:rFonts w:ascii="Arial Narrow" w:hAnsi="Arial Narrow"/>
                <w:sz w:val="20"/>
              </w:rPr>
              <w:t>N</w:t>
            </w:r>
            <w:r>
              <w:rPr>
                <w:rFonts w:ascii="Arial Narrow" w:hAnsi="Arial Narrow"/>
                <w:sz w:val="20"/>
              </w:rPr>
              <w:t>ew</w:t>
            </w:r>
            <w:r w:rsidRPr="00EB28A7">
              <w:rPr>
                <w:rFonts w:ascii="Arial Narrow" w:hAnsi="Arial Narrow"/>
                <w:sz w:val="20"/>
              </w:rPr>
              <w:t xml:space="preserve"> Engl</w:t>
            </w:r>
            <w:r>
              <w:rPr>
                <w:rFonts w:ascii="Arial Narrow" w:hAnsi="Arial Narrow"/>
                <w:sz w:val="20"/>
              </w:rPr>
              <w:t>and</w:t>
            </w:r>
            <w:r w:rsidRPr="00EB28A7">
              <w:rPr>
                <w:rFonts w:ascii="Arial Narrow" w:hAnsi="Arial Narrow"/>
                <w:sz w:val="20"/>
              </w:rPr>
              <w:t xml:space="preserve"> J</w:t>
            </w:r>
            <w:r>
              <w:rPr>
                <w:rFonts w:ascii="Arial Narrow" w:hAnsi="Arial Narrow"/>
                <w:sz w:val="20"/>
              </w:rPr>
              <w:t>ournal of</w:t>
            </w:r>
            <w:r w:rsidRPr="00EB28A7">
              <w:rPr>
                <w:rFonts w:ascii="Arial Narrow" w:hAnsi="Arial Narrow"/>
                <w:sz w:val="20"/>
              </w:rPr>
              <w:t xml:space="preserve"> Med</w:t>
            </w:r>
            <w:r>
              <w:rPr>
                <w:rFonts w:ascii="Arial Narrow" w:hAnsi="Arial Narrow"/>
                <w:sz w:val="20"/>
              </w:rPr>
              <w:t>icine</w:t>
            </w:r>
            <w:r w:rsidRPr="00EB28A7">
              <w:rPr>
                <w:rFonts w:ascii="Arial Narrow" w:hAnsi="Arial Narrow"/>
                <w:sz w:val="20"/>
              </w:rPr>
              <w:t xml:space="preserve"> 370:1809-19.</w:t>
            </w:r>
          </w:p>
        </w:tc>
      </w:tr>
      <w:tr w:rsidR="00080466" w:rsidRPr="002858F4" w:rsidTr="001A4B0E">
        <w:tc>
          <w:tcPr>
            <w:tcW w:w="8343" w:type="dxa"/>
            <w:gridSpan w:val="3"/>
            <w:vAlign w:val="center"/>
          </w:tcPr>
          <w:p w:rsidR="00080466" w:rsidRPr="008C47F3" w:rsidRDefault="00080466" w:rsidP="001A4B0E">
            <w:pPr>
              <w:jc w:val="left"/>
              <w:rPr>
                <w:rFonts w:ascii="Arial Narrow" w:hAnsi="Arial Narrow"/>
                <w:b/>
                <w:sz w:val="20"/>
              </w:rPr>
            </w:pPr>
            <w:r w:rsidRPr="008C47F3">
              <w:rPr>
                <w:rFonts w:ascii="Arial Narrow" w:hAnsi="Arial Narrow"/>
                <w:b/>
                <w:sz w:val="20"/>
              </w:rPr>
              <w:t>Supportive studies</w:t>
            </w:r>
          </w:p>
        </w:tc>
      </w:tr>
      <w:tr w:rsidR="00080466" w:rsidRPr="002858F4" w:rsidTr="008C47F3">
        <w:tc>
          <w:tcPr>
            <w:tcW w:w="1736" w:type="dxa"/>
            <w:vMerge w:val="restart"/>
            <w:vAlign w:val="center"/>
          </w:tcPr>
          <w:p w:rsidR="00080466" w:rsidRDefault="00080466" w:rsidP="001A4B0E">
            <w:pPr>
              <w:rPr>
                <w:rFonts w:ascii="Arial Narrow" w:hAnsi="Arial Narrow"/>
                <w:sz w:val="20"/>
              </w:rPr>
            </w:pPr>
            <w:r w:rsidRPr="00D16999">
              <w:rPr>
                <w:rFonts w:ascii="Arial Narrow" w:hAnsi="Arial Narrow"/>
                <w:sz w:val="20"/>
              </w:rPr>
              <w:t>20110110</w:t>
            </w:r>
          </w:p>
          <w:p w:rsidR="00080466" w:rsidRPr="00D25538" w:rsidRDefault="00080466" w:rsidP="001A4B0E">
            <w:pPr>
              <w:rPr>
                <w:rFonts w:ascii="Arial Narrow" w:hAnsi="Arial Narrow"/>
                <w:sz w:val="20"/>
              </w:rPr>
            </w:pPr>
            <w:r>
              <w:rPr>
                <w:rFonts w:ascii="Arial Narrow" w:hAnsi="Arial Narrow"/>
                <w:sz w:val="20"/>
              </w:rPr>
              <w:t>(OSLER-1)</w:t>
            </w:r>
          </w:p>
        </w:tc>
        <w:tc>
          <w:tcPr>
            <w:tcW w:w="4521" w:type="dxa"/>
            <w:vAlign w:val="center"/>
          </w:tcPr>
          <w:p w:rsidR="00080466" w:rsidRDefault="00080466" w:rsidP="001A4B0E">
            <w:pPr>
              <w:rPr>
                <w:rFonts w:ascii="Arial Narrow" w:hAnsi="Arial Narrow"/>
                <w:sz w:val="20"/>
              </w:rPr>
            </w:pPr>
            <w:r>
              <w:rPr>
                <w:rFonts w:ascii="Arial Narrow" w:hAnsi="Arial Narrow"/>
                <w:sz w:val="20"/>
              </w:rPr>
              <w:t xml:space="preserve">Amgen Clinical Study Report (2014). </w:t>
            </w:r>
            <w:r w:rsidRPr="00D16999">
              <w:rPr>
                <w:rFonts w:ascii="Arial Narrow" w:hAnsi="Arial Narrow"/>
                <w:sz w:val="20"/>
              </w:rPr>
              <w:t xml:space="preserve">A </w:t>
            </w:r>
            <w:proofErr w:type="spellStart"/>
            <w:r w:rsidRPr="00D16999">
              <w:rPr>
                <w:rFonts w:ascii="Arial Narrow" w:hAnsi="Arial Narrow"/>
                <w:sz w:val="20"/>
              </w:rPr>
              <w:t>Multicenter</w:t>
            </w:r>
            <w:proofErr w:type="spellEnd"/>
            <w:r w:rsidRPr="00D16999">
              <w:rPr>
                <w:rFonts w:ascii="Arial Narrow" w:hAnsi="Arial Narrow"/>
                <w:sz w:val="20"/>
              </w:rPr>
              <w:t xml:space="preserve">, Controlled, Open-label Extension Study to Assess the Long-term Safety and Efficacy of </w:t>
            </w:r>
            <w:proofErr w:type="spellStart"/>
            <w:r w:rsidRPr="00D16999">
              <w:rPr>
                <w:rFonts w:ascii="Arial Narrow" w:hAnsi="Arial Narrow"/>
                <w:sz w:val="20"/>
              </w:rPr>
              <w:t>Evolocumab</w:t>
            </w:r>
            <w:proofErr w:type="spellEnd"/>
            <w:r w:rsidRPr="00D16999">
              <w:rPr>
                <w:rFonts w:ascii="Arial Narrow" w:hAnsi="Arial Narrow"/>
                <w:sz w:val="20"/>
              </w:rPr>
              <w:t>.</w:t>
            </w:r>
          </w:p>
        </w:tc>
        <w:tc>
          <w:tcPr>
            <w:tcW w:w="2086" w:type="dxa"/>
            <w:vAlign w:val="center"/>
          </w:tcPr>
          <w:p w:rsidR="00080466" w:rsidRDefault="00080466" w:rsidP="001A4B0E">
            <w:pPr>
              <w:jc w:val="left"/>
              <w:rPr>
                <w:rFonts w:ascii="Arial Narrow" w:hAnsi="Arial Narrow"/>
                <w:sz w:val="20"/>
              </w:rPr>
            </w:pPr>
            <w:r>
              <w:rPr>
                <w:rFonts w:ascii="Arial Narrow" w:hAnsi="Arial Narrow"/>
                <w:sz w:val="20"/>
              </w:rPr>
              <w:t>Internal study report</w:t>
            </w:r>
          </w:p>
          <w:p w:rsidR="00080466" w:rsidRDefault="00080466" w:rsidP="001A4B0E">
            <w:pPr>
              <w:jc w:val="left"/>
              <w:rPr>
                <w:rFonts w:ascii="Arial Narrow" w:hAnsi="Arial Narrow"/>
                <w:sz w:val="20"/>
              </w:rPr>
            </w:pPr>
            <w:r>
              <w:rPr>
                <w:rFonts w:ascii="Arial Narrow" w:hAnsi="Arial Narrow"/>
                <w:sz w:val="20"/>
              </w:rPr>
              <w:t>[Interim July 2014]</w:t>
            </w:r>
          </w:p>
        </w:tc>
      </w:tr>
      <w:tr w:rsidR="00080466" w:rsidRPr="002858F4" w:rsidTr="008C47F3">
        <w:tc>
          <w:tcPr>
            <w:tcW w:w="1736" w:type="dxa"/>
            <w:vMerge/>
            <w:vAlign w:val="center"/>
          </w:tcPr>
          <w:p w:rsidR="00080466" w:rsidRPr="00D16999" w:rsidRDefault="00080466" w:rsidP="001A4B0E">
            <w:pPr>
              <w:rPr>
                <w:rFonts w:ascii="Arial Narrow" w:hAnsi="Arial Narrow"/>
                <w:sz w:val="20"/>
              </w:rPr>
            </w:pPr>
          </w:p>
        </w:tc>
        <w:tc>
          <w:tcPr>
            <w:tcW w:w="4521" w:type="dxa"/>
            <w:vAlign w:val="center"/>
          </w:tcPr>
          <w:p w:rsidR="00080466" w:rsidRDefault="00080466" w:rsidP="001A4B0E">
            <w:pPr>
              <w:rPr>
                <w:rFonts w:ascii="Arial Narrow" w:hAnsi="Arial Narrow"/>
                <w:sz w:val="20"/>
              </w:rPr>
            </w:pPr>
            <w:proofErr w:type="spellStart"/>
            <w:r>
              <w:rPr>
                <w:rFonts w:ascii="Arial Narrow" w:hAnsi="Arial Narrow"/>
                <w:sz w:val="20"/>
              </w:rPr>
              <w:t>Koren</w:t>
            </w:r>
            <w:proofErr w:type="spellEnd"/>
            <w:r>
              <w:rPr>
                <w:rFonts w:ascii="Arial Narrow" w:hAnsi="Arial Narrow"/>
                <w:sz w:val="20"/>
              </w:rPr>
              <w:t xml:space="preserve"> M et al (2014). </w:t>
            </w:r>
            <w:r w:rsidRPr="00D16999">
              <w:rPr>
                <w:rFonts w:ascii="Arial Narrow" w:hAnsi="Arial Narrow"/>
                <w:sz w:val="20"/>
              </w:rPr>
              <w:t xml:space="preserve">Efficacy and safety of longer-term administration of </w:t>
            </w:r>
            <w:proofErr w:type="spellStart"/>
            <w:r w:rsidRPr="00D16999">
              <w:rPr>
                <w:rFonts w:ascii="Arial Narrow" w:hAnsi="Arial Narrow"/>
                <w:sz w:val="20"/>
              </w:rPr>
              <w:t>evolocumab</w:t>
            </w:r>
            <w:proofErr w:type="spellEnd"/>
            <w:r w:rsidRPr="00D16999">
              <w:rPr>
                <w:rFonts w:ascii="Arial Narrow" w:hAnsi="Arial Narrow"/>
                <w:sz w:val="20"/>
              </w:rPr>
              <w:t xml:space="preserve"> (AMG 145) in patients with hypercholesterolemia: 52-week results from the open-label study of long-term evaluation against LDL-C (OSLER) randomized trial</w:t>
            </w:r>
          </w:p>
        </w:tc>
        <w:tc>
          <w:tcPr>
            <w:tcW w:w="2086" w:type="dxa"/>
            <w:vAlign w:val="center"/>
          </w:tcPr>
          <w:p w:rsidR="00080466" w:rsidRDefault="00080466" w:rsidP="001A4B0E">
            <w:pPr>
              <w:jc w:val="left"/>
              <w:rPr>
                <w:rFonts w:ascii="Arial Narrow" w:hAnsi="Arial Narrow"/>
                <w:sz w:val="20"/>
              </w:rPr>
            </w:pPr>
            <w:r>
              <w:rPr>
                <w:rFonts w:ascii="Arial Narrow" w:hAnsi="Arial Narrow"/>
                <w:sz w:val="20"/>
              </w:rPr>
              <w:t>Circulation 129: 234</w:t>
            </w:r>
            <w:r w:rsidRPr="00CF74C2">
              <w:rPr>
                <w:rFonts w:ascii="Arial Narrow" w:hAnsi="Arial Narrow"/>
                <w:sz w:val="20"/>
              </w:rPr>
              <w:t>–</w:t>
            </w:r>
            <w:r w:rsidRPr="00D16999">
              <w:rPr>
                <w:rFonts w:ascii="Arial Narrow" w:hAnsi="Arial Narrow"/>
                <w:sz w:val="20"/>
              </w:rPr>
              <w:t>243</w:t>
            </w:r>
          </w:p>
        </w:tc>
      </w:tr>
      <w:tr w:rsidR="00080466" w:rsidRPr="002858F4" w:rsidTr="008C47F3">
        <w:tc>
          <w:tcPr>
            <w:tcW w:w="1736" w:type="dxa"/>
            <w:vAlign w:val="center"/>
          </w:tcPr>
          <w:p w:rsidR="00080466" w:rsidRDefault="00080466" w:rsidP="001A4B0E">
            <w:pPr>
              <w:rPr>
                <w:rFonts w:ascii="Arial Narrow" w:hAnsi="Arial Narrow"/>
                <w:sz w:val="20"/>
              </w:rPr>
            </w:pPr>
            <w:r w:rsidRPr="004E3B1E">
              <w:rPr>
                <w:rFonts w:ascii="Arial Narrow" w:hAnsi="Arial Narrow"/>
                <w:sz w:val="20"/>
              </w:rPr>
              <w:t>20110271</w:t>
            </w:r>
          </w:p>
          <w:p w:rsidR="00080466" w:rsidRPr="00C83177" w:rsidRDefault="00080466" w:rsidP="001A4B0E">
            <w:pPr>
              <w:rPr>
                <w:rFonts w:ascii="Arial Narrow" w:hAnsi="Arial Narrow"/>
                <w:sz w:val="20"/>
              </w:rPr>
            </w:pPr>
            <w:r>
              <w:rPr>
                <w:rFonts w:ascii="Arial Narrow" w:hAnsi="Arial Narrow"/>
                <w:sz w:val="20"/>
              </w:rPr>
              <w:t>(TAUSSIG)</w:t>
            </w:r>
          </w:p>
        </w:tc>
        <w:tc>
          <w:tcPr>
            <w:tcW w:w="4521" w:type="dxa"/>
            <w:vAlign w:val="center"/>
          </w:tcPr>
          <w:p w:rsidR="00080466" w:rsidRDefault="00080466" w:rsidP="001A4B0E">
            <w:pPr>
              <w:rPr>
                <w:rFonts w:ascii="Arial Narrow" w:hAnsi="Arial Narrow"/>
                <w:sz w:val="20"/>
              </w:rPr>
            </w:pPr>
            <w:r>
              <w:rPr>
                <w:rFonts w:ascii="Arial Narrow" w:hAnsi="Arial Narrow"/>
                <w:sz w:val="20"/>
              </w:rPr>
              <w:t xml:space="preserve">Amgen Clinical Study Report (2014). </w:t>
            </w:r>
            <w:r w:rsidRPr="004E3B1E">
              <w:rPr>
                <w:rFonts w:ascii="Arial Narrow" w:hAnsi="Arial Narrow"/>
                <w:sz w:val="20"/>
              </w:rPr>
              <w:t xml:space="preserve">A </w:t>
            </w:r>
            <w:proofErr w:type="spellStart"/>
            <w:r w:rsidRPr="004E3B1E">
              <w:rPr>
                <w:rFonts w:ascii="Arial Narrow" w:hAnsi="Arial Narrow"/>
                <w:sz w:val="20"/>
              </w:rPr>
              <w:t>Multicenter</w:t>
            </w:r>
            <w:proofErr w:type="spellEnd"/>
            <w:r w:rsidRPr="004E3B1E">
              <w:rPr>
                <w:rFonts w:ascii="Arial Narrow" w:hAnsi="Arial Narrow"/>
                <w:sz w:val="20"/>
              </w:rPr>
              <w:t>, Open-label Study to Assess the Long-term Safety, Tolerability, and Efficacy of AMG 145 on LDL-C in Subjects With Severe Familial Hypercholesterolemia</w:t>
            </w:r>
          </w:p>
        </w:tc>
        <w:tc>
          <w:tcPr>
            <w:tcW w:w="2086" w:type="dxa"/>
            <w:vAlign w:val="center"/>
          </w:tcPr>
          <w:p w:rsidR="00080466" w:rsidRDefault="00080466" w:rsidP="001A4B0E">
            <w:pPr>
              <w:jc w:val="left"/>
              <w:rPr>
                <w:rFonts w:ascii="Arial Narrow" w:hAnsi="Arial Narrow"/>
                <w:sz w:val="20"/>
              </w:rPr>
            </w:pPr>
            <w:r>
              <w:rPr>
                <w:rFonts w:ascii="Arial Narrow" w:hAnsi="Arial Narrow"/>
                <w:sz w:val="20"/>
              </w:rPr>
              <w:t>Internal study report</w:t>
            </w:r>
          </w:p>
          <w:p w:rsidR="00080466" w:rsidRDefault="00080466" w:rsidP="001A4B0E">
            <w:pPr>
              <w:jc w:val="left"/>
              <w:rPr>
                <w:rFonts w:ascii="Arial Narrow" w:hAnsi="Arial Narrow"/>
                <w:sz w:val="20"/>
              </w:rPr>
            </w:pPr>
            <w:r>
              <w:rPr>
                <w:rFonts w:ascii="Arial Narrow" w:hAnsi="Arial Narrow"/>
                <w:sz w:val="20"/>
              </w:rPr>
              <w:t>[Interim July 2014]</w:t>
            </w:r>
          </w:p>
        </w:tc>
      </w:tr>
      <w:tr w:rsidR="00080466" w:rsidRPr="002858F4" w:rsidTr="008C47F3">
        <w:tc>
          <w:tcPr>
            <w:tcW w:w="1736" w:type="dxa"/>
            <w:vAlign w:val="center"/>
          </w:tcPr>
          <w:p w:rsidR="00080466" w:rsidRDefault="00080466" w:rsidP="00B75B9C">
            <w:pPr>
              <w:rPr>
                <w:rFonts w:ascii="Arial Narrow" w:hAnsi="Arial Narrow"/>
                <w:sz w:val="20"/>
              </w:rPr>
            </w:pPr>
            <w:r w:rsidRPr="00841237">
              <w:rPr>
                <w:rFonts w:ascii="Arial Narrow" w:hAnsi="Arial Narrow"/>
                <w:sz w:val="20"/>
              </w:rPr>
              <w:t>20120138</w:t>
            </w:r>
          </w:p>
          <w:p w:rsidR="00080466" w:rsidRPr="004E3B1E" w:rsidRDefault="00080466" w:rsidP="001A4B0E">
            <w:pPr>
              <w:rPr>
                <w:rFonts w:ascii="Arial Narrow" w:hAnsi="Arial Narrow"/>
                <w:sz w:val="20"/>
              </w:rPr>
            </w:pPr>
            <w:r>
              <w:rPr>
                <w:rFonts w:ascii="Arial Narrow" w:hAnsi="Arial Narrow"/>
                <w:sz w:val="20"/>
              </w:rPr>
              <w:t>(OSLER-2)</w:t>
            </w:r>
          </w:p>
        </w:tc>
        <w:tc>
          <w:tcPr>
            <w:tcW w:w="4521" w:type="dxa"/>
            <w:vAlign w:val="center"/>
          </w:tcPr>
          <w:p w:rsidR="00080466" w:rsidRDefault="00080466" w:rsidP="001A4B0E">
            <w:pPr>
              <w:rPr>
                <w:rFonts w:ascii="Arial Narrow" w:hAnsi="Arial Narrow"/>
                <w:sz w:val="20"/>
              </w:rPr>
            </w:pPr>
            <w:r>
              <w:rPr>
                <w:rFonts w:ascii="Arial Narrow" w:hAnsi="Arial Narrow"/>
                <w:sz w:val="20"/>
              </w:rPr>
              <w:t xml:space="preserve">Amgen Clinical Study Report (2014). </w:t>
            </w:r>
            <w:r w:rsidRPr="00841237">
              <w:rPr>
                <w:rFonts w:ascii="Arial Narrow" w:hAnsi="Arial Narrow"/>
                <w:sz w:val="20"/>
              </w:rPr>
              <w:t xml:space="preserve">A </w:t>
            </w:r>
            <w:proofErr w:type="spellStart"/>
            <w:r w:rsidRPr="00841237">
              <w:rPr>
                <w:rFonts w:ascii="Arial Narrow" w:hAnsi="Arial Narrow"/>
                <w:sz w:val="20"/>
              </w:rPr>
              <w:t>Multicenter</w:t>
            </w:r>
            <w:proofErr w:type="spellEnd"/>
            <w:r w:rsidRPr="00841237">
              <w:rPr>
                <w:rFonts w:ascii="Arial Narrow" w:hAnsi="Arial Narrow"/>
                <w:sz w:val="20"/>
              </w:rPr>
              <w:t>, Controlled, Open-label Extension (OLE) Study to Assess the Long-term Safety and Efficacy of AMG 145 (Interim Clinical Study Report) - OSLER-2</w:t>
            </w:r>
          </w:p>
        </w:tc>
        <w:tc>
          <w:tcPr>
            <w:tcW w:w="2086" w:type="dxa"/>
            <w:vAlign w:val="center"/>
          </w:tcPr>
          <w:p w:rsidR="00080466" w:rsidRDefault="00080466" w:rsidP="00B75B9C">
            <w:pPr>
              <w:jc w:val="left"/>
              <w:rPr>
                <w:rFonts w:ascii="Arial Narrow" w:hAnsi="Arial Narrow"/>
                <w:sz w:val="20"/>
              </w:rPr>
            </w:pPr>
            <w:r>
              <w:rPr>
                <w:rFonts w:ascii="Arial Narrow" w:hAnsi="Arial Narrow"/>
                <w:sz w:val="20"/>
              </w:rPr>
              <w:t>Internal study report</w:t>
            </w:r>
          </w:p>
          <w:p w:rsidR="00080466" w:rsidRDefault="00080466" w:rsidP="001A4B0E">
            <w:pPr>
              <w:jc w:val="left"/>
              <w:rPr>
                <w:rFonts w:ascii="Arial Narrow" w:hAnsi="Arial Narrow"/>
                <w:sz w:val="20"/>
              </w:rPr>
            </w:pPr>
            <w:r>
              <w:rPr>
                <w:rFonts w:ascii="Arial Narrow" w:hAnsi="Arial Narrow"/>
                <w:sz w:val="20"/>
              </w:rPr>
              <w:t>[Interim July 2014]</w:t>
            </w:r>
          </w:p>
        </w:tc>
      </w:tr>
    </w:tbl>
    <w:p w:rsidR="00862502" w:rsidRDefault="00862502" w:rsidP="008F120A">
      <w:pPr>
        <w:widowControl/>
        <w:rPr>
          <w:szCs w:val="22"/>
        </w:rPr>
      </w:pPr>
    </w:p>
    <w:p w:rsidR="008C7FA2" w:rsidRPr="00E51BEB" w:rsidRDefault="008C7FA2" w:rsidP="008C7FA2">
      <w:pPr>
        <w:ind w:left="720"/>
      </w:pPr>
      <w:r w:rsidRPr="00E51BEB">
        <w:t xml:space="preserve">A clinical outcomes study comparing </w:t>
      </w:r>
      <w:proofErr w:type="spellStart"/>
      <w:r w:rsidRPr="00E51BEB">
        <w:t>evolocumab</w:t>
      </w:r>
      <w:proofErr w:type="spellEnd"/>
      <w:r w:rsidRPr="00E51BEB">
        <w:t xml:space="preserve"> </w:t>
      </w:r>
      <w:r w:rsidR="00AD0694">
        <w:t>with</w:t>
      </w:r>
      <w:r w:rsidRPr="00E51BEB">
        <w:t xml:space="preserve"> placebo as an adjunct to standard care in patients with cardiovascular disease and primary hyperlipidaemia or mixed dyslipidaemia is due to report in 2018 (FOURIER).</w:t>
      </w:r>
    </w:p>
    <w:p w:rsidR="008C7FA2" w:rsidRPr="008F120A" w:rsidRDefault="008C7FA2" w:rsidP="008F120A">
      <w:pPr>
        <w:widowControl/>
        <w:rPr>
          <w:szCs w:val="22"/>
        </w:rPr>
      </w:pPr>
    </w:p>
    <w:p w:rsidR="00862502" w:rsidRPr="00B50DB8" w:rsidRDefault="008F120A" w:rsidP="00387820">
      <w:pPr>
        <w:pStyle w:val="ListParagraph"/>
        <w:widowControl/>
        <w:numPr>
          <w:ilvl w:val="1"/>
          <w:numId w:val="12"/>
        </w:numPr>
        <w:rPr>
          <w:szCs w:val="22"/>
        </w:rPr>
      </w:pPr>
      <w:r w:rsidRPr="00B50DB8">
        <w:rPr>
          <w:szCs w:val="22"/>
        </w:rPr>
        <w:t>The key features</w:t>
      </w:r>
      <w:r w:rsidR="00B42EBC">
        <w:rPr>
          <w:szCs w:val="22"/>
        </w:rPr>
        <w:t xml:space="preserve"> of the direct randomised trials</w:t>
      </w:r>
      <w:r w:rsidRPr="00B50DB8">
        <w:rPr>
          <w:szCs w:val="22"/>
        </w:rPr>
        <w:t xml:space="preserve"> are </w:t>
      </w:r>
      <w:r w:rsidR="00200403">
        <w:rPr>
          <w:szCs w:val="22"/>
        </w:rPr>
        <w:t>summarised in the table below.</w:t>
      </w:r>
    </w:p>
    <w:p w:rsidR="007F1017" w:rsidRDefault="007F1017" w:rsidP="007F1017">
      <w:pPr>
        <w:widowControl/>
        <w:rPr>
          <w:szCs w:val="22"/>
        </w:rPr>
      </w:pPr>
    </w:p>
    <w:p w:rsidR="007F1017" w:rsidRPr="00E2771E" w:rsidRDefault="007F1017" w:rsidP="005F762C">
      <w:pPr>
        <w:keepNext/>
        <w:keepLines/>
        <w:ind w:firstLine="720"/>
        <w:rPr>
          <w:rStyle w:val="CommentReference"/>
        </w:rPr>
      </w:pPr>
      <w:r w:rsidRPr="00E2771E">
        <w:rPr>
          <w:rStyle w:val="CommentReference"/>
        </w:rPr>
        <w:lastRenderedPageBreak/>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9"/>
        <w:gridCol w:w="673"/>
        <w:gridCol w:w="1934"/>
        <w:gridCol w:w="686"/>
        <w:gridCol w:w="1552"/>
        <w:gridCol w:w="943"/>
        <w:gridCol w:w="1098"/>
      </w:tblGrid>
      <w:tr w:rsidR="00EB7C51" w:rsidRPr="00E2771E" w:rsidTr="00D70B9A">
        <w:tc>
          <w:tcPr>
            <w:tcW w:w="874" w:type="pct"/>
            <w:shd w:val="clear" w:color="auto" w:fill="auto"/>
            <w:vAlign w:val="center"/>
          </w:tcPr>
          <w:p w:rsidR="007F1017" w:rsidRPr="00E2771E" w:rsidRDefault="007F1017" w:rsidP="005F762C">
            <w:pPr>
              <w:keepNext/>
              <w:keepLines/>
              <w:jc w:val="left"/>
              <w:rPr>
                <w:rFonts w:ascii="Arial Narrow" w:hAnsi="Arial Narrow"/>
                <w:b/>
                <w:sz w:val="20"/>
                <w:lang w:val="en-US"/>
              </w:rPr>
            </w:pPr>
            <w:r w:rsidRPr="00E2771E">
              <w:rPr>
                <w:rFonts w:ascii="Arial Narrow" w:hAnsi="Arial Narrow"/>
                <w:b/>
                <w:sz w:val="20"/>
                <w:lang w:val="en-US"/>
              </w:rPr>
              <w:t>Trial</w:t>
            </w:r>
          </w:p>
        </w:tc>
        <w:tc>
          <w:tcPr>
            <w:tcW w:w="403" w:type="pct"/>
            <w:shd w:val="clear" w:color="auto" w:fill="auto"/>
            <w:vAlign w:val="center"/>
          </w:tcPr>
          <w:p w:rsidR="007F1017" w:rsidRPr="00E2771E" w:rsidRDefault="007F1017" w:rsidP="005F762C">
            <w:pPr>
              <w:keepNext/>
              <w:keepLines/>
              <w:jc w:val="center"/>
              <w:rPr>
                <w:rFonts w:ascii="Arial Narrow" w:hAnsi="Arial Narrow"/>
                <w:b/>
                <w:sz w:val="20"/>
                <w:lang w:val="en-US"/>
              </w:rPr>
            </w:pPr>
            <w:r w:rsidRPr="00E2771E">
              <w:rPr>
                <w:rFonts w:ascii="Arial Narrow" w:hAnsi="Arial Narrow"/>
                <w:b/>
                <w:sz w:val="20"/>
                <w:lang w:val="en-US"/>
              </w:rPr>
              <w:t>N</w:t>
            </w:r>
          </w:p>
        </w:tc>
        <w:tc>
          <w:tcPr>
            <w:tcW w:w="1159" w:type="pct"/>
            <w:shd w:val="clear" w:color="auto" w:fill="auto"/>
            <w:vAlign w:val="center"/>
          </w:tcPr>
          <w:p w:rsidR="007F1017" w:rsidRPr="00E2771E" w:rsidRDefault="007F1017" w:rsidP="005F762C">
            <w:pPr>
              <w:keepNext/>
              <w:keepLines/>
              <w:jc w:val="center"/>
              <w:rPr>
                <w:rFonts w:ascii="Arial Narrow" w:hAnsi="Arial Narrow"/>
                <w:b/>
                <w:sz w:val="20"/>
                <w:lang w:val="en-US"/>
              </w:rPr>
            </w:pPr>
            <w:r w:rsidRPr="00E2771E">
              <w:rPr>
                <w:rFonts w:ascii="Arial Narrow" w:hAnsi="Arial Narrow"/>
                <w:b/>
                <w:sz w:val="20"/>
                <w:lang w:val="en-US"/>
              </w:rPr>
              <w:t>Design/ duration</w:t>
            </w:r>
          </w:p>
        </w:tc>
        <w:tc>
          <w:tcPr>
            <w:tcW w:w="411" w:type="pct"/>
            <w:shd w:val="clear" w:color="auto" w:fill="auto"/>
            <w:vAlign w:val="center"/>
          </w:tcPr>
          <w:p w:rsidR="007F1017" w:rsidRPr="00E2771E" w:rsidRDefault="007F1017" w:rsidP="005F762C">
            <w:pPr>
              <w:keepNext/>
              <w:keepLines/>
              <w:jc w:val="center"/>
              <w:rPr>
                <w:rFonts w:ascii="Arial Narrow" w:hAnsi="Arial Narrow"/>
                <w:b/>
                <w:sz w:val="20"/>
                <w:lang w:val="en-US"/>
              </w:rPr>
            </w:pPr>
            <w:r w:rsidRPr="00E2771E">
              <w:rPr>
                <w:rFonts w:ascii="Arial Narrow" w:hAnsi="Arial Narrow"/>
                <w:b/>
                <w:sz w:val="20"/>
                <w:lang w:val="en-US"/>
              </w:rPr>
              <w:t>Risk of bias</w:t>
            </w:r>
          </w:p>
        </w:tc>
        <w:tc>
          <w:tcPr>
            <w:tcW w:w="930" w:type="pct"/>
            <w:shd w:val="clear" w:color="auto" w:fill="auto"/>
            <w:vAlign w:val="center"/>
          </w:tcPr>
          <w:p w:rsidR="007F1017" w:rsidRPr="00E2771E" w:rsidRDefault="007F1017" w:rsidP="005F762C">
            <w:pPr>
              <w:keepNext/>
              <w:keepLines/>
              <w:jc w:val="center"/>
              <w:rPr>
                <w:rFonts w:ascii="Arial Narrow" w:hAnsi="Arial Narrow"/>
                <w:b/>
                <w:sz w:val="20"/>
                <w:lang w:val="en-US"/>
              </w:rPr>
            </w:pPr>
            <w:r w:rsidRPr="00E2771E">
              <w:rPr>
                <w:rFonts w:ascii="Arial Narrow" w:hAnsi="Arial Narrow"/>
                <w:b/>
                <w:sz w:val="20"/>
                <w:lang w:val="en-US"/>
              </w:rPr>
              <w:t>Patient population</w:t>
            </w:r>
          </w:p>
        </w:tc>
        <w:tc>
          <w:tcPr>
            <w:tcW w:w="565" w:type="pct"/>
            <w:shd w:val="clear" w:color="auto" w:fill="auto"/>
            <w:vAlign w:val="center"/>
          </w:tcPr>
          <w:p w:rsidR="007F1017" w:rsidRPr="00E2771E" w:rsidRDefault="00EB7C51" w:rsidP="005F762C">
            <w:pPr>
              <w:keepNext/>
              <w:keepLines/>
              <w:jc w:val="center"/>
              <w:rPr>
                <w:rFonts w:ascii="Arial Narrow" w:hAnsi="Arial Narrow"/>
                <w:b/>
                <w:sz w:val="20"/>
                <w:lang w:val="en-US"/>
              </w:rPr>
            </w:pPr>
            <w:r>
              <w:rPr>
                <w:rFonts w:ascii="Arial Narrow" w:hAnsi="Arial Narrow"/>
                <w:b/>
                <w:sz w:val="20"/>
                <w:lang w:val="en-US"/>
              </w:rPr>
              <w:t>Outcome</w:t>
            </w:r>
          </w:p>
        </w:tc>
        <w:tc>
          <w:tcPr>
            <w:tcW w:w="658" w:type="pct"/>
            <w:shd w:val="clear" w:color="auto" w:fill="auto"/>
            <w:vAlign w:val="center"/>
          </w:tcPr>
          <w:p w:rsidR="007F1017" w:rsidRPr="00E2771E" w:rsidRDefault="007F1017" w:rsidP="005F762C">
            <w:pPr>
              <w:keepNext/>
              <w:keepLines/>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B42EBC" w:rsidP="005F762C">
            <w:pPr>
              <w:keepNext/>
              <w:keepLines/>
              <w:jc w:val="left"/>
              <w:rPr>
                <w:rFonts w:ascii="Arial Narrow" w:hAnsi="Arial Narrow"/>
                <w:b/>
                <w:sz w:val="20"/>
                <w:lang w:val="en-US"/>
              </w:rPr>
            </w:pPr>
            <w:proofErr w:type="spellStart"/>
            <w:r>
              <w:rPr>
                <w:rFonts w:ascii="Arial Narrow" w:hAnsi="Arial Narrow"/>
                <w:b/>
                <w:sz w:val="20"/>
                <w:lang w:val="en-US"/>
              </w:rPr>
              <w:t>Evolocumab</w:t>
            </w:r>
            <w:proofErr w:type="spellEnd"/>
            <w:r>
              <w:rPr>
                <w:rFonts w:ascii="Arial Narrow" w:hAnsi="Arial Narrow"/>
                <w:b/>
                <w:sz w:val="20"/>
                <w:lang w:val="en-US"/>
              </w:rPr>
              <w:t xml:space="preserve"> vs </w:t>
            </w:r>
            <w:proofErr w:type="spellStart"/>
            <w:r>
              <w:rPr>
                <w:rFonts w:ascii="Arial Narrow" w:hAnsi="Arial Narrow"/>
                <w:b/>
                <w:sz w:val="20"/>
                <w:lang w:val="en-US"/>
              </w:rPr>
              <w:t>ezetimibe</w:t>
            </w:r>
            <w:proofErr w:type="spellEnd"/>
            <w:r>
              <w:rPr>
                <w:rFonts w:ascii="Arial Narrow" w:hAnsi="Arial Narrow"/>
                <w:b/>
                <w:sz w:val="20"/>
                <w:lang w:val="en-US"/>
              </w:rPr>
              <w:t xml:space="preserve"> or placebo</w:t>
            </w:r>
          </w:p>
        </w:tc>
      </w:tr>
      <w:tr w:rsidR="00EB7C51" w:rsidRPr="00E2771E" w:rsidTr="00D70B9A">
        <w:tc>
          <w:tcPr>
            <w:tcW w:w="874" w:type="pct"/>
            <w:shd w:val="clear" w:color="auto" w:fill="auto"/>
            <w:vAlign w:val="center"/>
          </w:tcPr>
          <w:p w:rsidR="007F1017" w:rsidRPr="00E2771E" w:rsidRDefault="00B42EBC" w:rsidP="005F762C">
            <w:pPr>
              <w:keepNext/>
              <w:keepLines/>
              <w:jc w:val="left"/>
              <w:rPr>
                <w:rFonts w:ascii="Arial Narrow" w:hAnsi="Arial Narrow"/>
                <w:sz w:val="20"/>
                <w:lang w:val="en-US"/>
              </w:rPr>
            </w:pPr>
            <w:r>
              <w:rPr>
                <w:rFonts w:ascii="Arial Narrow" w:hAnsi="Arial Narrow"/>
                <w:sz w:val="20"/>
                <w:lang w:val="en-US"/>
              </w:rPr>
              <w:t>GAUSS-2</w:t>
            </w:r>
          </w:p>
        </w:tc>
        <w:tc>
          <w:tcPr>
            <w:tcW w:w="403" w:type="pct"/>
            <w:shd w:val="clear" w:color="auto" w:fill="auto"/>
            <w:vAlign w:val="center"/>
          </w:tcPr>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307</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7F1017" w:rsidRPr="00E2771E">
              <w:rPr>
                <w:rFonts w:ascii="Arial Narrow" w:hAnsi="Arial Narrow"/>
                <w:sz w:val="20"/>
                <w:lang w:val="en-US"/>
              </w:rPr>
              <w:t>R, DB</w:t>
            </w:r>
            <w:r w:rsidR="00B42EBC">
              <w:rPr>
                <w:rFonts w:ascii="Arial Narrow" w:hAnsi="Arial Narrow"/>
                <w:sz w:val="20"/>
                <w:lang w:val="en-US"/>
              </w:rPr>
              <w:t>, PG,</w:t>
            </w:r>
            <w:r>
              <w:rPr>
                <w:rFonts w:ascii="Arial Narrow" w:hAnsi="Arial Narrow"/>
                <w:sz w:val="20"/>
                <w:lang w:val="en-US"/>
              </w:rPr>
              <w:t xml:space="preserve"> AC</w:t>
            </w:r>
          </w:p>
          <w:p w:rsidR="007F1017" w:rsidRPr="00E2771E" w:rsidRDefault="00D70B9A" w:rsidP="005F762C">
            <w:pPr>
              <w:keepNext/>
              <w:keepLines/>
              <w:jc w:val="center"/>
              <w:rPr>
                <w:rFonts w:ascii="Arial Narrow" w:hAnsi="Arial Narrow"/>
                <w:sz w:val="20"/>
                <w:lang w:val="en-US"/>
              </w:rPr>
            </w:pPr>
            <w:r>
              <w:rPr>
                <w:rFonts w:ascii="Arial Narrow" w:hAnsi="Arial Narrow"/>
                <w:sz w:val="20"/>
                <w:lang w:val="en-US"/>
              </w:rPr>
              <w:t xml:space="preserve">4 treatment </w:t>
            </w:r>
            <w:r w:rsidR="00B42EBC">
              <w:rPr>
                <w:rFonts w:ascii="Arial Narrow" w:hAnsi="Arial Narrow"/>
                <w:sz w:val="20"/>
                <w:lang w:val="en-US"/>
              </w:rPr>
              <w:t>arms</w:t>
            </w:r>
          </w:p>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12 weeks</w:t>
            </w:r>
          </w:p>
        </w:tc>
        <w:tc>
          <w:tcPr>
            <w:tcW w:w="411" w:type="pct"/>
            <w:shd w:val="clear" w:color="auto" w:fill="auto"/>
            <w:vAlign w:val="center"/>
          </w:tcPr>
          <w:p w:rsidR="007F1017" w:rsidRPr="00E2771E" w:rsidRDefault="007F1017" w:rsidP="005F762C">
            <w:pPr>
              <w:keepNext/>
              <w:keepLines/>
              <w:jc w:val="center"/>
              <w:rPr>
                <w:rFonts w:ascii="Arial Narrow" w:hAnsi="Arial Narrow"/>
                <w:sz w:val="20"/>
                <w:lang w:val="en-US"/>
              </w:rPr>
            </w:pPr>
            <w:r w:rsidRPr="00E2771E">
              <w:rPr>
                <w:rFonts w:ascii="Arial Narrow" w:hAnsi="Arial Narrow"/>
                <w:sz w:val="20"/>
                <w:lang w:val="en-US"/>
              </w:rPr>
              <w:t>Low</w:t>
            </w:r>
          </w:p>
        </w:tc>
        <w:tc>
          <w:tcPr>
            <w:tcW w:w="930" w:type="pct"/>
            <w:shd w:val="clear" w:color="auto" w:fill="auto"/>
            <w:vAlign w:val="center"/>
          </w:tcPr>
          <w:p w:rsidR="007F1017" w:rsidRPr="00E2771E" w:rsidRDefault="00EB7C51" w:rsidP="005F762C">
            <w:pPr>
              <w:keepNext/>
              <w:keepLines/>
              <w:jc w:val="center"/>
              <w:rPr>
                <w:rFonts w:ascii="Arial Narrow" w:hAnsi="Arial Narrow"/>
                <w:sz w:val="20"/>
                <w:lang w:val="en-US"/>
              </w:rPr>
            </w:pPr>
            <w:proofErr w:type="spellStart"/>
            <w:r>
              <w:rPr>
                <w:rFonts w:ascii="Arial Narrow" w:hAnsi="Arial Narrow"/>
                <w:sz w:val="20"/>
                <w:lang w:val="en-US"/>
              </w:rPr>
              <w:t>Patients</w:t>
            </w:r>
            <w:r w:rsidR="00D70B9A">
              <w:rPr>
                <w:rFonts w:ascii="Arial Narrow" w:hAnsi="Arial Narrow"/>
                <w:sz w:val="20"/>
                <w:vertAlign w:val="superscript"/>
                <w:lang w:val="en-US"/>
              </w:rPr>
              <w:t>a</w:t>
            </w:r>
            <w:proofErr w:type="spellEnd"/>
            <w:r>
              <w:rPr>
                <w:rFonts w:ascii="Arial Narrow" w:hAnsi="Arial Narrow"/>
                <w:sz w:val="20"/>
                <w:lang w:val="en-US"/>
              </w:rPr>
              <w:t xml:space="preserve"> who are statin intolerant</w:t>
            </w:r>
          </w:p>
        </w:tc>
        <w:tc>
          <w:tcPr>
            <w:tcW w:w="565"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Baseline risk, LDL levels</w:t>
            </w:r>
          </w:p>
        </w:tc>
      </w:tr>
      <w:tr w:rsidR="00EB7C51" w:rsidRPr="00E2771E" w:rsidTr="00D70B9A">
        <w:tc>
          <w:tcPr>
            <w:tcW w:w="874" w:type="pct"/>
            <w:shd w:val="clear" w:color="auto" w:fill="auto"/>
            <w:vAlign w:val="center"/>
          </w:tcPr>
          <w:p w:rsidR="007F1017" w:rsidRPr="00E2771E" w:rsidRDefault="00B42EBC" w:rsidP="005F762C">
            <w:pPr>
              <w:keepNext/>
              <w:keepLines/>
              <w:jc w:val="left"/>
              <w:rPr>
                <w:rFonts w:ascii="Arial Narrow" w:hAnsi="Arial Narrow"/>
                <w:sz w:val="20"/>
                <w:lang w:val="en-US"/>
              </w:rPr>
            </w:pPr>
            <w:r>
              <w:rPr>
                <w:rFonts w:ascii="Arial Narrow" w:hAnsi="Arial Narrow"/>
                <w:sz w:val="20"/>
                <w:lang w:val="en-US"/>
              </w:rPr>
              <w:t>LAPLACE-2</w:t>
            </w:r>
          </w:p>
        </w:tc>
        <w:tc>
          <w:tcPr>
            <w:tcW w:w="403" w:type="pct"/>
            <w:shd w:val="clear" w:color="auto" w:fill="auto"/>
            <w:vAlign w:val="center"/>
          </w:tcPr>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2,067</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B42EBC">
              <w:rPr>
                <w:rFonts w:ascii="Arial Narrow" w:hAnsi="Arial Narrow"/>
                <w:sz w:val="20"/>
                <w:lang w:val="en-US"/>
              </w:rPr>
              <w:t xml:space="preserve">R, DB, PG, </w:t>
            </w:r>
            <w:r>
              <w:rPr>
                <w:rFonts w:ascii="Arial Narrow" w:hAnsi="Arial Narrow"/>
                <w:sz w:val="20"/>
                <w:lang w:val="en-US"/>
              </w:rPr>
              <w:t>AC, PC</w:t>
            </w:r>
          </w:p>
          <w:p w:rsidR="007F1017" w:rsidRPr="00E2771E" w:rsidRDefault="00D70B9A" w:rsidP="005F762C">
            <w:pPr>
              <w:keepNext/>
              <w:keepLines/>
              <w:jc w:val="center"/>
              <w:rPr>
                <w:rFonts w:ascii="Arial Narrow" w:hAnsi="Arial Narrow"/>
                <w:sz w:val="20"/>
                <w:lang w:val="en-US"/>
              </w:rPr>
            </w:pPr>
            <w:r>
              <w:rPr>
                <w:rFonts w:ascii="Arial Narrow" w:hAnsi="Arial Narrow"/>
                <w:sz w:val="20"/>
                <w:lang w:val="en-US"/>
              </w:rPr>
              <w:t xml:space="preserve">24 treatment </w:t>
            </w:r>
            <w:r w:rsidR="00B42EBC">
              <w:rPr>
                <w:rFonts w:ascii="Arial Narrow" w:hAnsi="Arial Narrow"/>
                <w:sz w:val="20"/>
                <w:lang w:val="en-US"/>
              </w:rPr>
              <w:t>arms</w:t>
            </w:r>
          </w:p>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12 weeks</w:t>
            </w:r>
          </w:p>
        </w:tc>
        <w:tc>
          <w:tcPr>
            <w:tcW w:w="411" w:type="pct"/>
            <w:shd w:val="clear" w:color="auto" w:fill="auto"/>
            <w:vAlign w:val="center"/>
          </w:tcPr>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Low</w:t>
            </w:r>
          </w:p>
        </w:tc>
        <w:tc>
          <w:tcPr>
            <w:tcW w:w="930" w:type="pct"/>
            <w:shd w:val="clear" w:color="auto" w:fill="auto"/>
            <w:vAlign w:val="center"/>
          </w:tcPr>
          <w:p w:rsidR="007F1017" w:rsidRPr="00E2771E" w:rsidRDefault="00EB7C51" w:rsidP="005F762C">
            <w:pPr>
              <w:keepNext/>
              <w:keepLines/>
              <w:jc w:val="center"/>
              <w:rPr>
                <w:rFonts w:ascii="Arial Narrow" w:hAnsi="Arial Narrow"/>
                <w:sz w:val="20"/>
                <w:lang w:val="en-US"/>
              </w:rPr>
            </w:pPr>
            <w:proofErr w:type="spellStart"/>
            <w:r>
              <w:rPr>
                <w:rFonts w:ascii="Arial Narrow" w:hAnsi="Arial Narrow"/>
                <w:sz w:val="20"/>
                <w:lang w:val="en-US"/>
              </w:rPr>
              <w:t>Patients</w:t>
            </w:r>
            <w:r w:rsidR="00D70B9A">
              <w:rPr>
                <w:rFonts w:ascii="Arial Narrow" w:hAnsi="Arial Narrow"/>
                <w:sz w:val="20"/>
                <w:vertAlign w:val="superscript"/>
                <w:lang w:val="en-US"/>
              </w:rPr>
              <w:t>a</w:t>
            </w:r>
            <w:proofErr w:type="spellEnd"/>
            <w:r>
              <w:rPr>
                <w:rFonts w:ascii="Arial Narrow" w:hAnsi="Arial Narrow"/>
                <w:sz w:val="20"/>
                <w:lang w:val="en-US"/>
              </w:rPr>
              <w:t xml:space="preserve"> requiring combination with statin</w:t>
            </w:r>
          </w:p>
        </w:tc>
        <w:tc>
          <w:tcPr>
            <w:tcW w:w="565"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Baseline risk, LDL levels</w:t>
            </w:r>
          </w:p>
        </w:tc>
      </w:tr>
      <w:tr w:rsidR="00EB7C51" w:rsidRPr="00E2771E" w:rsidTr="00D70B9A">
        <w:tc>
          <w:tcPr>
            <w:tcW w:w="874" w:type="pct"/>
            <w:shd w:val="clear" w:color="auto" w:fill="auto"/>
            <w:vAlign w:val="center"/>
          </w:tcPr>
          <w:p w:rsidR="007F1017" w:rsidRPr="00E2771E" w:rsidRDefault="00B42EBC" w:rsidP="005F762C">
            <w:pPr>
              <w:keepNext/>
              <w:keepLines/>
              <w:jc w:val="left"/>
              <w:rPr>
                <w:rFonts w:ascii="Arial Narrow" w:hAnsi="Arial Narrow"/>
                <w:sz w:val="20"/>
                <w:lang w:val="en-US"/>
              </w:rPr>
            </w:pPr>
            <w:r>
              <w:rPr>
                <w:rFonts w:ascii="Arial Narrow" w:hAnsi="Arial Narrow"/>
                <w:sz w:val="20"/>
                <w:lang w:val="en-US"/>
              </w:rPr>
              <w:t>MENDEL-2</w:t>
            </w:r>
          </w:p>
        </w:tc>
        <w:tc>
          <w:tcPr>
            <w:tcW w:w="403" w:type="pct"/>
            <w:shd w:val="clear" w:color="auto" w:fill="auto"/>
            <w:vAlign w:val="center"/>
          </w:tcPr>
          <w:p w:rsidR="007F1017" w:rsidRPr="00E2771E" w:rsidRDefault="00B42EBC" w:rsidP="005F762C">
            <w:pPr>
              <w:keepNext/>
              <w:keepLines/>
              <w:jc w:val="center"/>
              <w:rPr>
                <w:rFonts w:ascii="Arial Narrow" w:hAnsi="Arial Narrow"/>
                <w:sz w:val="20"/>
                <w:lang w:val="en-US"/>
              </w:rPr>
            </w:pPr>
            <w:r>
              <w:rPr>
                <w:rFonts w:ascii="Arial Narrow" w:hAnsi="Arial Narrow"/>
                <w:sz w:val="20"/>
                <w:lang w:val="en-US"/>
              </w:rPr>
              <w:t>615</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7F1017" w:rsidRPr="00E2771E">
              <w:rPr>
                <w:rFonts w:ascii="Arial Narrow" w:hAnsi="Arial Narrow"/>
                <w:sz w:val="20"/>
                <w:lang w:val="en-US"/>
              </w:rPr>
              <w:t>R, DB</w:t>
            </w:r>
            <w:r w:rsidR="00FC545B">
              <w:rPr>
                <w:rFonts w:ascii="Arial Narrow" w:hAnsi="Arial Narrow"/>
                <w:sz w:val="20"/>
                <w:lang w:val="en-US"/>
              </w:rPr>
              <w:t xml:space="preserve">, PG, </w:t>
            </w:r>
            <w:r>
              <w:rPr>
                <w:rFonts w:ascii="Arial Narrow" w:hAnsi="Arial Narrow"/>
                <w:sz w:val="20"/>
                <w:lang w:val="en-US"/>
              </w:rPr>
              <w:t>AC, PC</w:t>
            </w:r>
          </w:p>
          <w:p w:rsidR="007F1017" w:rsidRPr="00E2771E" w:rsidRDefault="00D70B9A" w:rsidP="005F762C">
            <w:pPr>
              <w:keepNext/>
              <w:keepLines/>
              <w:jc w:val="center"/>
              <w:rPr>
                <w:rFonts w:ascii="Arial Narrow" w:hAnsi="Arial Narrow"/>
                <w:sz w:val="20"/>
                <w:lang w:val="en-US"/>
              </w:rPr>
            </w:pPr>
            <w:r>
              <w:rPr>
                <w:rFonts w:ascii="Arial Narrow" w:hAnsi="Arial Narrow"/>
                <w:sz w:val="20"/>
                <w:lang w:val="en-US"/>
              </w:rPr>
              <w:t>6 treatments arms</w:t>
            </w:r>
          </w:p>
          <w:p w:rsidR="007F1017" w:rsidRPr="00E2771E" w:rsidRDefault="00FC545B" w:rsidP="005F762C">
            <w:pPr>
              <w:keepNext/>
              <w:keepLines/>
              <w:jc w:val="center"/>
              <w:rPr>
                <w:rFonts w:ascii="Arial Narrow" w:hAnsi="Arial Narrow"/>
                <w:sz w:val="20"/>
                <w:lang w:val="en-US"/>
              </w:rPr>
            </w:pPr>
            <w:r>
              <w:rPr>
                <w:rFonts w:ascii="Arial Narrow" w:hAnsi="Arial Narrow"/>
                <w:sz w:val="20"/>
                <w:lang w:val="en-US"/>
              </w:rPr>
              <w:t>12 weeks</w:t>
            </w:r>
          </w:p>
        </w:tc>
        <w:tc>
          <w:tcPr>
            <w:tcW w:w="411" w:type="pct"/>
            <w:shd w:val="clear" w:color="auto" w:fill="auto"/>
            <w:vAlign w:val="center"/>
          </w:tcPr>
          <w:p w:rsidR="007F1017" w:rsidRPr="00E2771E" w:rsidRDefault="007F1017" w:rsidP="005F762C">
            <w:pPr>
              <w:keepNext/>
              <w:keepLines/>
              <w:jc w:val="center"/>
              <w:rPr>
                <w:rFonts w:ascii="Arial Narrow" w:hAnsi="Arial Narrow"/>
                <w:sz w:val="20"/>
                <w:lang w:val="en-US"/>
              </w:rPr>
            </w:pPr>
            <w:r w:rsidRPr="00E2771E">
              <w:rPr>
                <w:rFonts w:ascii="Arial Narrow" w:hAnsi="Arial Narrow"/>
                <w:sz w:val="20"/>
                <w:lang w:val="en-US"/>
              </w:rPr>
              <w:t>Low</w:t>
            </w:r>
          </w:p>
        </w:tc>
        <w:tc>
          <w:tcPr>
            <w:tcW w:w="930"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 xml:space="preserve">Low-risk </w:t>
            </w:r>
            <w:proofErr w:type="spellStart"/>
            <w:r>
              <w:rPr>
                <w:rFonts w:ascii="Arial Narrow" w:hAnsi="Arial Narrow"/>
                <w:sz w:val="20"/>
                <w:lang w:val="en-US"/>
              </w:rPr>
              <w:t>patients</w:t>
            </w:r>
            <w:r w:rsidR="00D70B9A">
              <w:rPr>
                <w:rFonts w:ascii="Arial Narrow" w:hAnsi="Arial Narrow"/>
                <w:sz w:val="20"/>
                <w:vertAlign w:val="superscript"/>
                <w:lang w:val="en-US"/>
              </w:rPr>
              <w:t>a</w:t>
            </w:r>
            <w:proofErr w:type="spellEnd"/>
            <w:r>
              <w:rPr>
                <w:rFonts w:ascii="Arial Narrow" w:hAnsi="Arial Narrow"/>
                <w:sz w:val="20"/>
                <w:lang w:val="en-US"/>
              </w:rPr>
              <w:t xml:space="preserve"> requiring monotherapy</w:t>
            </w:r>
          </w:p>
        </w:tc>
        <w:tc>
          <w:tcPr>
            <w:tcW w:w="565" w:type="pct"/>
            <w:shd w:val="clear" w:color="auto" w:fill="auto"/>
            <w:vAlign w:val="center"/>
          </w:tcPr>
          <w:p w:rsidR="007F1017"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7F1017" w:rsidRPr="00E2771E" w:rsidRDefault="007F1017" w:rsidP="005F762C">
            <w:pPr>
              <w:keepNext/>
              <w:keepLines/>
              <w:jc w:val="center"/>
              <w:rPr>
                <w:rFonts w:ascii="Arial Narrow" w:hAnsi="Arial Narrow"/>
                <w:sz w:val="20"/>
                <w:lang w:val="en-US"/>
              </w:rPr>
            </w:pPr>
            <w:r w:rsidRPr="00E2771E">
              <w:rPr>
                <w:rFonts w:ascii="Arial Narrow" w:hAnsi="Arial Narrow"/>
                <w:sz w:val="20"/>
                <w:lang w:val="en-US"/>
              </w:rPr>
              <w:t>Not used</w:t>
            </w:r>
          </w:p>
        </w:tc>
      </w:tr>
      <w:tr w:rsidR="00EB7C51" w:rsidRPr="00E2771E" w:rsidTr="00D70B9A">
        <w:tc>
          <w:tcPr>
            <w:tcW w:w="874" w:type="pct"/>
            <w:shd w:val="clear" w:color="auto" w:fill="auto"/>
            <w:vAlign w:val="center"/>
          </w:tcPr>
          <w:p w:rsidR="00B42EBC" w:rsidRDefault="00B42EBC" w:rsidP="005F762C">
            <w:pPr>
              <w:keepNext/>
              <w:keepLines/>
              <w:jc w:val="left"/>
              <w:rPr>
                <w:rFonts w:ascii="Arial Narrow" w:hAnsi="Arial Narrow"/>
                <w:sz w:val="20"/>
                <w:lang w:val="en-US"/>
              </w:rPr>
            </w:pPr>
            <w:r>
              <w:rPr>
                <w:rFonts w:ascii="Arial Narrow" w:hAnsi="Arial Narrow"/>
                <w:sz w:val="20"/>
                <w:lang w:val="en-US"/>
              </w:rPr>
              <w:t>RUTHERFORD-2</w:t>
            </w:r>
          </w:p>
        </w:tc>
        <w:tc>
          <w:tcPr>
            <w:tcW w:w="403" w:type="pct"/>
            <w:shd w:val="clear" w:color="auto" w:fill="auto"/>
            <w:vAlign w:val="center"/>
          </w:tcPr>
          <w:p w:rsidR="00B42EBC" w:rsidRPr="00E2771E" w:rsidRDefault="00B42EBC" w:rsidP="005F762C">
            <w:pPr>
              <w:keepNext/>
              <w:keepLines/>
              <w:jc w:val="center"/>
              <w:rPr>
                <w:rFonts w:ascii="Arial Narrow" w:hAnsi="Arial Narrow"/>
                <w:sz w:val="20"/>
                <w:lang w:val="en-US"/>
              </w:rPr>
            </w:pPr>
            <w:r>
              <w:rPr>
                <w:rFonts w:ascii="Arial Narrow" w:hAnsi="Arial Narrow"/>
                <w:sz w:val="20"/>
                <w:lang w:val="en-US"/>
              </w:rPr>
              <w:t>331</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FC545B" w:rsidRPr="00E2771E">
              <w:rPr>
                <w:rFonts w:ascii="Arial Narrow" w:hAnsi="Arial Narrow"/>
                <w:sz w:val="20"/>
                <w:lang w:val="en-US"/>
              </w:rPr>
              <w:t>R, DB</w:t>
            </w:r>
            <w:r w:rsidR="00FC545B">
              <w:rPr>
                <w:rFonts w:ascii="Arial Narrow" w:hAnsi="Arial Narrow"/>
                <w:sz w:val="20"/>
                <w:lang w:val="en-US"/>
              </w:rPr>
              <w:t xml:space="preserve">, PG, </w:t>
            </w:r>
            <w:r>
              <w:rPr>
                <w:rFonts w:ascii="Arial Narrow" w:hAnsi="Arial Narrow"/>
                <w:sz w:val="20"/>
                <w:lang w:val="en-US"/>
              </w:rPr>
              <w:t>PC</w:t>
            </w:r>
          </w:p>
          <w:p w:rsidR="00FC545B" w:rsidRPr="00E2771E" w:rsidRDefault="00D70B9A" w:rsidP="005F762C">
            <w:pPr>
              <w:keepNext/>
              <w:keepLines/>
              <w:jc w:val="center"/>
              <w:rPr>
                <w:rFonts w:ascii="Arial Narrow" w:hAnsi="Arial Narrow"/>
                <w:sz w:val="20"/>
                <w:lang w:val="en-US"/>
              </w:rPr>
            </w:pPr>
            <w:r>
              <w:rPr>
                <w:rFonts w:ascii="Arial Narrow" w:hAnsi="Arial Narrow"/>
                <w:sz w:val="20"/>
                <w:lang w:val="en-US"/>
              </w:rPr>
              <w:t>4 treatment arms</w:t>
            </w:r>
          </w:p>
          <w:p w:rsidR="00B42EBC" w:rsidRPr="00E2771E" w:rsidRDefault="00FC545B" w:rsidP="005F762C">
            <w:pPr>
              <w:keepNext/>
              <w:keepLines/>
              <w:jc w:val="center"/>
              <w:rPr>
                <w:rFonts w:ascii="Arial Narrow" w:hAnsi="Arial Narrow"/>
                <w:sz w:val="20"/>
                <w:lang w:val="en-US"/>
              </w:rPr>
            </w:pPr>
            <w:r>
              <w:rPr>
                <w:rFonts w:ascii="Arial Narrow" w:hAnsi="Arial Narrow"/>
                <w:sz w:val="20"/>
                <w:lang w:val="en-US"/>
              </w:rPr>
              <w:t>12 weeks</w:t>
            </w:r>
          </w:p>
        </w:tc>
        <w:tc>
          <w:tcPr>
            <w:tcW w:w="411" w:type="pct"/>
            <w:shd w:val="clear" w:color="auto" w:fill="auto"/>
            <w:vAlign w:val="center"/>
          </w:tcPr>
          <w:p w:rsidR="00B42EBC" w:rsidRPr="00E2771E" w:rsidRDefault="00B42EBC" w:rsidP="005F762C">
            <w:pPr>
              <w:keepNext/>
              <w:keepLines/>
              <w:jc w:val="center"/>
              <w:rPr>
                <w:rFonts w:ascii="Arial Narrow" w:hAnsi="Arial Narrow"/>
                <w:sz w:val="20"/>
                <w:lang w:val="en-US"/>
              </w:rPr>
            </w:pPr>
            <w:r>
              <w:rPr>
                <w:rFonts w:ascii="Arial Narrow" w:hAnsi="Arial Narrow"/>
                <w:sz w:val="20"/>
                <w:lang w:val="en-US"/>
              </w:rPr>
              <w:t>Low</w:t>
            </w:r>
          </w:p>
        </w:tc>
        <w:tc>
          <w:tcPr>
            <w:tcW w:w="930" w:type="pct"/>
            <w:shd w:val="clear" w:color="auto" w:fill="auto"/>
            <w:vAlign w:val="center"/>
          </w:tcPr>
          <w:p w:rsidR="00B42EBC" w:rsidRPr="00E2771E" w:rsidRDefault="00EB7C51" w:rsidP="005F762C">
            <w:pPr>
              <w:keepNext/>
              <w:keepLines/>
              <w:jc w:val="center"/>
              <w:rPr>
                <w:rFonts w:ascii="Arial Narrow" w:hAnsi="Arial Narrow"/>
                <w:sz w:val="20"/>
                <w:lang w:val="en-US"/>
              </w:rPr>
            </w:pPr>
            <w:proofErr w:type="spellStart"/>
            <w:r>
              <w:rPr>
                <w:rFonts w:ascii="Arial Narrow" w:hAnsi="Arial Narrow"/>
                <w:sz w:val="20"/>
                <w:lang w:val="en-US"/>
              </w:rPr>
              <w:t>HeFH</w:t>
            </w:r>
            <w:proofErr w:type="spellEnd"/>
          </w:p>
        </w:tc>
        <w:tc>
          <w:tcPr>
            <w:tcW w:w="565" w:type="pct"/>
            <w:shd w:val="clear" w:color="auto" w:fill="auto"/>
            <w:vAlign w:val="center"/>
          </w:tcPr>
          <w:p w:rsidR="00B42EBC"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B42EBC" w:rsidRPr="00E2771E" w:rsidRDefault="00EB7C51" w:rsidP="005F762C">
            <w:pPr>
              <w:keepNext/>
              <w:keepLines/>
              <w:jc w:val="center"/>
              <w:rPr>
                <w:rFonts w:ascii="Arial Narrow" w:hAnsi="Arial Narrow"/>
                <w:sz w:val="20"/>
                <w:lang w:val="en-US"/>
              </w:rPr>
            </w:pPr>
            <w:r>
              <w:rPr>
                <w:rFonts w:ascii="Arial Narrow" w:hAnsi="Arial Narrow"/>
                <w:sz w:val="20"/>
                <w:lang w:val="en-US"/>
              </w:rPr>
              <w:t>Baseline risk, LDL levels</w:t>
            </w:r>
          </w:p>
        </w:tc>
      </w:tr>
      <w:tr w:rsidR="00EB7C51" w:rsidRPr="00E2771E" w:rsidTr="00D70B9A">
        <w:tc>
          <w:tcPr>
            <w:tcW w:w="874" w:type="pct"/>
            <w:shd w:val="clear" w:color="auto" w:fill="auto"/>
            <w:vAlign w:val="center"/>
          </w:tcPr>
          <w:p w:rsidR="00EB7C51" w:rsidRDefault="00EB7C51" w:rsidP="005F762C">
            <w:pPr>
              <w:keepNext/>
              <w:keepLines/>
              <w:jc w:val="left"/>
              <w:rPr>
                <w:rFonts w:ascii="Arial Narrow" w:hAnsi="Arial Narrow"/>
                <w:sz w:val="20"/>
                <w:lang w:val="en-US"/>
              </w:rPr>
            </w:pPr>
            <w:r>
              <w:rPr>
                <w:rFonts w:ascii="Arial Narrow" w:hAnsi="Arial Narrow"/>
                <w:sz w:val="20"/>
                <w:lang w:val="en-US"/>
              </w:rPr>
              <w:t>TESLA</w:t>
            </w:r>
          </w:p>
        </w:tc>
        <w:tc>
          <w:tcPr>
            <w:tcW w:w="403"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50</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EB7C51" w:rsidRPr="00E2771E">
              <w:rPr>
                <w:rFonts w:ascii="Arial Narrow" w:hAnsi="Arial Narrow"/>
                <w:sz w:val="20"/>
                <w:lang w:val="en-US"/>
              </w:rPr>
              <w:t>R, DB</w:t>
            </w:r>
            <w:r w:rsidR="00EB7C51">
              <w:rPr>
                <w:rFonts w:ascii="Arial Narrow" w:hAnsi="Arial Narrow"/>
                <w:sz w:val="20"/>
                <w:lang w:val="en-US"/>
              </w:rPr>
              <w:t xml:space="preserve">, PG, </w:t>
            </w:r>
            <w:r>
              <w:rPr>
                <w:rFonts w:ascii="Arial Narrow" w:hAnsi="Arial Narrow"/>
                <w:sz w:val="20"/>
                <w:lang w:val="en-US"/>
              </w:rPr>
              <w:t>PC</w:t>
            </w:r>
          </w:p>
          <w:p w:rsidR="00EB7C51" w:rsidRPr="00E2771E" w:rsidRDefault="00D70B9A" w:rsidP="005F762C">
            <w:pPr>
              <w:keepNext/>
              <w:keepLines/>
              <w:jc w:val="center"/>
              <w:rPr>
                <w:rFonts w:ascii="Arial Narrow" w:hAnsi="Arial Narrow"/>
                <w:sz w:val="20"/>
                <w:lang w:val="en-US"/>
              </w:rPr>
            </w:pPr>
            <w:r>
              <w:rPr>
                <w:rFonts w:ascii="Arial Narrow" w:hAnsi="Arial Narrow"/>
                <w:sz w:val="20"/>
                <w:lang w:val="en-US"/>
              </w:rPr>
              <w:t xml:space="preserve">4 treatment </w:t>
            </w:r>
            <w:r w:rsidR="00EB7C51">
              <w:rPr>
                <w:rFonts w:ascii="Arial Narrow" w:hAnsi="Arial Narrow"/>
                <w:sz w:val="20"/>
                <w:lang w:val="en-US"/>
              </w:rPr>
              <w:t>arms</w:t>
            </w:r>
          </w:p>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12 weeks</w:t>
            </w:r>
          </w:p>
        </w:tc>
        <w:tc>
          <w:tcPr>
            <w:tcW w:w="411"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Low</w:t>
            </w:r>
          </w:p>
        </w:tc>
        <w:tc>
          <w:tcPr>
            <w:tcW w:w="930" w:type="pct"/>
            <w:shd w:val="clear" w:color="auto" w:fill="auto"/>
            <w:vAlign w:val="center"/>
          </w:tcPr>
          <w:p w:rsidR="00EB7C51" w:rsidRPr="00E2771E" w:rsidRDefault="00EB7C51" w:rsidP="005F762C">
            <w:pPr>
              <w:keepNext/>
              <w:keepLines/>
              <w:jc w:val="center"/>
              <w:rPr>
                <w:rFonts w:ascii="Arial Narrow" w:hAnsi="Arial Narrow"/>
                <w:sz w:val="20"/>
                <w:lang w:val="en-US"/>
              </w:rPr>
            </w:pPr>
            <w:proofErr w:type="spellStart"/>
            <w:r>
              <w:rPr>
                <w:rFonts w:ascii="Arial Narrow" w:hAnsi="Arial Narrow"/>
                <w:sz w:val="20"/>
                <w:lang w:val="en-US"/>
              </w:rPr>
              <w:t>HoFH</w:t>
            </w:r>
            <w:proofErr w:type="spellEnd"/>
          </w:p>
        </w:tc>
        <w:tc>
          <w:tcPr>
            <w:tcW w:w="565"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EB7C51" w:rsidRPr="00E2771E" w:rsidRDefault="00EB7C51" w:rsidP="005F762C">
            <w:pPr>
              <w:keepNext/>
              <w:keepLines/>
              <w:jc w:val="center"/>
              <w:rPr>
                <w:rFonts w:ascii="Arial Narrow" w:hAnsi="Arial Narrow"/>
                <w:sz w:val="20"/>
                <w:lang w:val="en-US"/>
              </w:rPr>
            </w:pPr>
            <w:r w:rsidRPr="00E2771E">
              <w:rPr>
                <w:rFonts w:ascii="Arial Narrow" w:hAnsi="Arial Narrow"/>
                <w:sz w:val="20"/>
                <w:lang w:val="en-US"/>
              </w:rPr>
              <w:t>Not used</w:t>
            </w:r>
          </w:p>
        </w:tc>
      </w:tr>
      <w:tr w:rsidR="00EB7C51" w:rsidRPr="00E2771E" w:rsidTr="00D70B9A">
        <w:tc>
          <w:tcPr>
            <w:tcW w:w="874" w:type="pct"/>
            <w:shd w:val="clear" w:color="auto" w:fill="auto"/>
            <w:vAlign w:val="center"/>
          </w:tcPr>
          <w:p w:rsidR="00EB7C51" w:rsidRDefault="00EB7C51" w:rsidP="005F762C">
            <w:pPr>
              <w:keepNext/>
              <w:keepLines/>
              <w:jc w:val="left"/>
              <w:rPr>
                <w:rFonts w:ascii="Arial Narrow" w:hAnsi="Arial Narrow"/>
                <w:sz w:val="20"/>
                <w:lang w:val="en-US"/>
              </w:rPr>
            </w:pPr>
            <w:r>
              <w:rPr>
                <w:rFonts w:ascii="Arial Narrow" w:hAnsi="Arial Narrow"/>
                <w:sz w:val="20"/>
                <w:lang w:val="en-US"/>
              </w:rPr>
              <w:t>DESCARTES</w:t>
            </w:r>
          </w:p>
        </w:tc>
        <w:tc>
          <w:tcPr>
            <w:tcW w:w="403"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905</w:t>
            </w:r>
          </w:p>
        </w:tc>
        <w:tc>
          <w:tcPr>
            <w:tcW w:w="1159" w:type="pct"/>
            <w:shd w:val="clear" w:color="auto" w:fill="auto"/>
            <w:vAlign w:val="center"/>
          </w:tcPr>
          <w:p w:rsidR="00D70B9A" w:rsidRDefault="00D70B9A" w:rsidP="005F762C">
            <w:pPr>
              <w:keepNext/>
              <w:keepLines/>
              <w:jc w:val="center"/>
              <w:rPr>
                <w:rFonts w:ascii="Arial Narrow" w:hAnsi="Arial Narrow"/>
                <w:sz w:val="20"/>
                <w:lang w:val="en-US"/>
              </w:rPr>
            </w:pPr>
            <w:r>
              <w:rPr>
                <w:rFonts w:ascii="Arial Narrow" w:hAnsi="Arial Narrow"/>
                <w:sz w:val="20"/>
                <w:lang w:val="en-US"/>
              </w:rPr>
              <w:t xml:space="preserve">MC, </w:t>
            </w:r>
            <w:r w:rsidR="00EB7C51" w:rsidRPr="00E2771E">
              <w:rPr>
                <w:rFonts w:ascii="Arial Narrow" w:hAnsi="Arial Narrow"/>
                <w:sz w:val="20"/>
                <w:lang w:val="en-US"/>
              </w:rPr>
              <w:t>R, DB</w:t>
            </w:r>
            <w:r w:rsidR="00EB7C51">
              <w:rPr>
                <w:rFonts w:ascii="Arial Narrow" w:hAnsi="Arial Narrow"/>
                <w:sz w:val="20"/>
                <w:lang w:val="en-US"/>
              </w:rPr>
              <w:t xml:space="preserve">, PG, </w:t>
            </w:r>
            <w:r>
              <w:rPr>
                <w:rFonts w:ascii="Arial Narrow" w:hAnsi="Arial Narrow"/>
                <w:sz w:val="20"/>
                <w:lang w:val="en-US"/>
              </w:rPr>
              <w:t>PC</w:t>
            </w:r>
          </w:p>
          <w:p w:rsidR="00EB7C51" w:rsidRPr="00E2771E" w:rsidRDefault="00D70B9A" w:rsidP="005F762C">
            <w:pPr>
              <w:keepNext/>
              <w:keepLines/>
              <w:jc w:val="center"/>
              <w:rPr>
                <w:rFonts w:ascii="Arial Narrow" w:hAnsi="Arial Narrow"/>
                <w:sz w:val="20"/>
                <w:lang w:val="en-US"/>
              </w:rPr>
            </w:pPr>
            <w:r>
              <w:rPr>
                <w:rFonts w:ascii="Arial Narrow" w:hAnsi="Arial Narrow"/>
                <w:sz w:val="20"/>
                <w:lang w:val="en-US"/>
              </w:rPr>
              <w:t>4 treatment arms</w:t>
            </w:r>
          </w:p>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52 weeks</w:t>
            </w:r>
          </w:p>
        </w:tc>
        <w:tc>
          <w:tcPr>
            <w:tcW w:w="411"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Low</w:t>
            </w:r>
          </w:p>
        </w:tc>
        <w:tc>
          <w:tcPr>
            <w:tcW w:w="930" w:type="pct"/>
            <w:shd w:val="clear" w:color="auto" w:fill="auto"/>
            <w:vAlign w:val="center"/>
          </w:tcPr>
          <w:p w:rsidR="00EB7C51" w:rsidRPr="00E2771E" w:rsidRDefault="00EB7C51" w:rsidP="005F762C">
            <w:pPr>
              <w:keepNext/>
              <w:keepLines/>
              <w:jc w:val="center"/>
              <w:rPr>
                <w:rFonts w:ascii="Arial Narrow" w:hAnsi="Arial Narrow"/>
                <w:sz w:val="20"/>
                <w:lang w:val="en-US"/>
              </w:rPr>
            </w:pPr>
            <w:proofErr w:type="spellStart"/>
            <w:r>
              <w:rPr>
                <w:rFonts w:ascii="Arial Narrow" w:hAnsi="Arial Narrow"/>
                <w:sz w:val="20"/>
                <w:lang w:val="en-US"/>
              </w:rPr>
              <w:t>Patients</w:t>
            </w:r>
            <w:r w:rsidR="00D70B9A">
              <w:rPr>
                <w:rFonts w:ascii="Arial Narrow" w:hAnsi="Arial Narrow"/>
                <w:sz w:val="20"/>
                <w:vertAlign w:val="superscript"/>
                <w:lang w:val="en-US"/>
              </w:rPr>
              <w:t>a</w:t>
            </w:r>
            <w:proofErr w:type="spellEnd"/>
            <w:r>
              <w:rPr>
                <w:rFonts w:ascii="Arial Narrow" w:hAnsi="Arial Narrow"/>
                <w:sz w:val="20"/>
                <w:lang w:val="en-US"/>
              </w:rPr>
              <w:t xml:space="preserve"> failing current therapies</w:t>
            </w:r>
          </w:p>
        </w:tc>
        <w:tc>
          <w:tcPr>
            <w:tcW w:w="565" w:type="pct"/>
            <w:shd w:val="clear" w:color="auto" w:fill="auto"/>
            <w:vAlign w:val="center"/>
          </w:tcPr>
          <w:p w:rsidR="00EB7C51" w:rsidRPr="00E2771E" w:rsidRDefault="00EB7C51" w:rsidP="005F762C">
            <w:pPr>
              <w:keepNext/>
              <w:keepLines/>
              <w:jc w:val="center"/>
              <w:rPr>
                <w:rFonts w:ascii="Arial Narrow" w:hAnsi="Arial Narrow"/>
                <w:sz w:val="20"/>
                <w:lang w:val="en-US"/>
              </w:rPr>
            </w:pPr>
            <w:r>
              <w:rPr>
                <w:rFonts w:ascii="Arial Narrow" w:hAnsi="Arial Narrow"/>
                <w:sz w:val="20"/>
                <w:lang w:val="en-US"/>
              </w:rPr>
              <w:t>Change in LDL levels</w:t>
            </w:r>
          </w:p>
        </w:tc>
        <w:tc>
          <w:tcPr>
            <w:tcW w:w="658" w:type="pct"/>
            <w:shd w:val="clear" w:color="auto" w:fill="auto"/>
            <w:vAlign w:val="center"/>
          </w:tcPr>
          <w:p w:rsidR="00EB7C51" w:rsidRPr="00E2771E" w:rsidRDefault="00EB7C51" w:rsidP="005F762C">
            <w:pPr>
              <w:keepNext/>
              <w:keepLines/>
              <w:jc w:val="center"/>
              <w:rPr>
                <w:rFonts w:ascii="Arial Narrow" w:hAnsi="Arial Narrow"/>
                <w:sz w:val="20"/>
                <w:lang w:val="en-US"/>
              </w:rPr>
            </w:pPr>
            <w:r w:rsidRPr="00E2771E">
              <w:rPr>
                <w:rFonts w:ascii="Arial Narrow" w:hAnsi="Arial Narrow"/>
                <w:sz w:val="20"/>
                <w:lang w:val="en-US"/>
              </w:rPr>
              <w:t>Not used</w:t>
            </w:r>
          </w:p>
        </w:tc>
      </w:tr>
    </w:tbl>
    <w:p w:rsidR="007F1017" w:rsidRPr="0072416F" w:rsidRDefault="00D70B9A" w:rsidP="005F762C">
      <w:pPr>
        <w:pStyle w:val="TableFooter"/>
        <w:keepNext/>
        <w:keepLines/>
        <w:ind w:left="720"/>
      </w:pPr>
      <w:r>
        <w:t xml:space="preserve">Abbreviations: </w:t>
      </w:r>
      <w:r w:rsidR="00D50726">
        <w:t xml:space="preserve">AC, active-control; </w:t>
      </w:r>
      <w:r>
        <w:t xml:space="preserve">DB, </w:t>
      </w:r>
      <w:r w:rsidR="007F1017" w:rsidRPr="0072416F">
        <w:t>double blind;</w:t>
      </w:r>
      <w:r>
        <w:t xml:space="preserve"> </w:t>
      </w:r>
      <w:proofErr w:type="spellStart"/>
      <w:r>
        <w:t>HeFH</w:t>
      </w:r>
      <w:proofErr w:type="spellEnd"/>
      <w:r>
        <w:t xml:space="preserve">, heterozygous familial </w:t>
      </w:r>
      <w:proofErr w:type="spellStart"/>
      <w:r w:rsidR="0038790D">
        <w:t>hypercholesterolaemia</w:t>
      </w:r>
      <w:proofErr w:type="spellEnd"/>
      <w:r>
        <w:t xml:space="preserve">; </w:t>
      </w:r>
      <w:proofErr w:type="spellStart"/>
      <w:r>
        <w:t>HoFH</w:t>
      </w:r>
      <w:proofErr w:type="spellEnd"/>
      <w:r>
        <w:t xml:space="preserve">, homozygous familial </w:t>
      </w:r>
      <w:proofErr w:type="spellStart"/>
      <w:r w:rsidR="0038790D">
        <w:t>hypercholesterolaemia</w:t>
      </w:r>
      <w:proofErr w:type="spellEnd"/>
      <w:r>
        <w:t>;  LDL, low-density lipoprotein; MC, multicentre;</w:t>
      </w:r>
      <w:r w:rsidR="00D50726">
        <w:t xml:space="preserve"> PC, placebo-control;</w:t>
      </w:r>
      <w:r>
        <w:t xml:space="preserve"> PG, parallel-group; R, </w:t>
      </w:r>
      <w:r w:rsidR="007F1017" w:rsidRPr="0072416F">
        <w:t>randomised.</w:t>
      </w:r>
    </w:p>
    <w:p w:rsidR="007F1017" w:rsidRDefault="00D70B9A" w:rsidP="005F762C">
      <w:pPr>
        <w:pStyle w:val="TableFooter"/>
        <w:keepNext/>
        <w:keepLines/>
        <w:ind w:firstLine="720"/>
      </w:pPr>
      <w:r>
        <w:t>Source: Constructed</w:t>
      </w:r>
      <w:r w:rsidR="007F1017" w:rsidRPr="0072416F">
        <w:t xml:space="preserve"> during the evaluation</w:t>
      </w:r>
    </w:p>
    <w:p w:rsidR="00D70B9A" w:rsidRPr="00D70B9A" w:rsidRDefault="00D70B9A" w:rsidP="005F762C">
      <w:pPr>
        <w:pStyle w:val="TableFooter"/>
        <w:keepNext/>
        <w:keepLines/>
        <w:ind w:firstLine="720"/>
      </w:pPr>
      <w:proofErr w:type="gramStart"/>
      <w:r>
        <w:rPr>
          <w:vertAlign w:val="superscript"/>
        </w:rPr>
        <w:t>a</w:t>
      </w:r>
      <w:proofErr w:type="gramEnd"/>
      <w:r>
        <w:t xml:space="preserve"> Patients with primary hyperlipidaemia (non-familial and heterozygous familial </w:t>
      </w:r>
      <w:proofErr w:type="spellStart"/>
      <w:r w:rsidR="0038790D">
        <w:t>hypercholesterolaemia</w:t>
      </w:r>
      <w:proofErr w:type="spellEnd"/>
      <w:r>
        <w:t>) or mixed dyslipidaemia</w:t>
      </w:r>
    </w:p>
    <w:p w:rsidR="007F1017" w:rsidRDefault="007F1017" w:rsidP="007F1017"/>
    <w:p w:rsidR="00EB7C51" w:rsidRPr="00E51BEB" w:rsidRDefault="00EB7C51" w:rsidP="00EB7C51">
      <w:pPr>
        <w:ind w:left="720"/>
      </w:pPr>
      <w:r w:rsidRPr="00E51BEB">
        <w:t>The included trials appear to have limited applicability to the requested PBS population in terms of baseline risk.</w:t>
      </w:r>
    </w:p>
    <w:p w:rsidR="00B60939" w:rsidRPr="00882085" w:rsidRDefault="00B60939" w:rsidP="00B60939">
      <w:pPr>
        <w:rPr>
          <w:szCs w:val="22"/>
        </w:rPr>
      </w:pPr>
    </w:p>
    <w:p w:rsidR="00B60939" w:rsidRPr="009B39D1" w:rsidRDefault="00B60939" w:rsidP="009B39D1">
      <w:pPr>
        <w:pStyle w:val="Heading2"/>
      </w:pPr>
      <w:bookmarkStart w:id="10" w:name="_Toc409513916"/>
      <w:r w:rsidRPr="009B39D1">
        <w:t>Comparative effectiveness</w:t>
      </w:r>
      <w:bookmarkEnd w:id="10"/>
    </w:p>
    <w:p w:rsidR="00B60939" w:rsidRPr="00882085" w:rsidRDefault="00B60939" w:rsidP="00B60939">
      <w:pPr>
        <w:rPr>
          <w:szCs w:val="22"/>
        </w:rPr>
      </w:pPr>
    </w:p>
    <w:p w:rsidR="007F1017" w:rsidRDefault="00E505F6" w:rsidP="007F1017">
      <w:pPr>
        <w:pStyle w:val="ListParagraph"/>
        <w:widowControl/>
        <w:numPr>
          <w:ilvl w:val="1"/>
          <w:numId w:val="12"/>
        </w:numPr>
        <w:rPr>
          <w:szCs w:val="22"/>
        </w:rPr>
      </w:pPr>
      <w:r w:rsidRPr="00E505F6">
        <w:rPr>
          <w:szCs w:val="22"/>
        </w:rPr>
        <w:t xml:space="preserve">The main outcome of the submission was mean change in LDL levels from baseline with </w:t>
      </w:r>
      <w:proofErr w:type="spellStart"/>
      <w:r w:rsidRPr="00E505F6">
        <w:rPr>
          <w:szCs w:val="22"/>
        </w:rPr>
        <w:t>evolocumab</w:t>
      </w:r>
      <w:proofErr w:type="spellEnd"/>
      <w:r w:rsidRPr="00E505F6">
        <w:rPr>
          <w:szCs w:val="22"/>
        </w:rPr>
        <w:t xml:space="preserve">, </w:t>
      </w:r>
      <w:proofErr w:type="spellStart"/>
      <w:r w:rsidRPr="00E505F6">
        <w:rPr>
          <w:szCs w:val="22"/>
        </w:rPr>
        <w:t>ezetimibe</w:t>
      </w:r>
      <w:proofErr w:type="spellEnd"/>
      <w:r w:rsidRPr="00E505F6">
        <w:rPr>
          <w:szCs w:val="22"/>
        </w:rPr>
        <w:t xml:space="preserve"> and placebo</w:t>
      </w:r>
      <w:r>
        <w:rPr>
          <w:szCs w:val="22"/>
        </w:rPr>
        <w:t>.</w:t>
      </w:r>
      <w:r w:rsidRPr="00E505F6">
        <w:rPr>
          <w:szCs w:val="22"/>
        </w:rPr>
        <w:t xml:space="preserve"> </w:t>
      </w:r>
      <w:r w:rsidR="00AD0694">
        <w:rPr>
          <w:szCs w:val="22"/>
        </w:rPr>
        <w:t xml:space="preserve"> </w:t>
      </w:r>
      <w:r w:rsidR="00AE2E2A" w:rsidRPr="00991BD1">
        <w:rPr>
          <w:szCs w:val="22"/>
        </w:rPr>
        <w:t>The</w:t>
      </w:r>
      <w:r w:rsidR="000151CA" w:rsidRPr="00991BD1">
        <w:rPr>
          <w:szCs w:val="22"/>
        </w:rPr>
        <w:t xml:space="preserve"> ESC noted the </w:t>
      </w:r>
      <w:r w:rsidR="00200403" w:rsidRPr="00991BD1">
        <w:rPr>
          <w:szCs w:val="22"/>
        </w:rPr>
        <w:t xml:space="preserve">submission’s reliance on </w:t>
      </w:r>
      <w:r w:rsidR="000151CA" w:rsidRPr="00991BD1">
        <w:rPr>
          <w:szCs w:val="22"/>
        </w:rPr>
        <w:t>surrogate</w:t>
      </w:r>
      <w:r w:rsidR="00200403" w:rsidRPr="00991BD1">
        <w:rPr>
          <w:szCs w:val="22"/>
        </w:rPr>
        <w:t>s to predict extent of change in</w:t>
      </w:r>
      <w:r w:rsidR="000151CA" w:rsidRPr="00991BD1">
        <w:rPr>
          <w:szCs w:val="22"/>
        </w:rPr>
        <w:t xml:space="preserve"> final outcomes and </w:t>
      </w:r>
      <w:r w:rsidR="001B35EA" w:rsidRPr="00991BD1">
        <w:rPr>
          <w:szCs w:val="22"/>
        </w:rPr>
        <w:t>raised concerns on</w:t>
      </w:r>
      <w:r w:rsidR="00AE2E2A" w:rsidRPr="00991BD1">
        <w:rPr>
          <w:szCs w:val="22"/>
        </w:rPr>
        <w:t xml:space="preserve"> the use of LDL levels as surrogate measures.</w:t>
      </w:r>
      <w:r w:rsidR="00AD0694">
        <w:rPr>
          <w:szCs w:val="22"/>
        </w:rPr>
        <w:t xml:space="preserve"> </w:t>
      </w:r>
      <w:r w:rsidR="00AE2E2A" w:rsidRPr="00991BD1">
        <w:rPr>
          <w:szCs w:val="22"/>
        </w:rPr>
        <w:t xml:space="preserve"> </w:t>
      </w:r>
      <w:r w:rsidR="00BB1966" w:rsidRPr="00991BD1">
        <w:rPr>
          <w:szCs w:val="22"/>
        </w:rPr>
        <w:t xml:space="preserve">Further, the submission presented its claim of </w:t>
      </w:r>
      <w:r w:rsidR="00200403" w:rsidRPr="00991BD1">
        <w:rPr>
          <w:szCs w:val="22"/>
        </w:rPr>
        <w:t xml:space="preserve">comparative </w:t>
      </w:r>
      <w:r w:rsidR="00BB1966" w:rsidRPr="00991BD1">
        <w:rPr>
          <w:szCs w:val="22"/>
        </w:rPr>
        <w:t>effectiveness</w:t>
      </w:r>
      <w:r w:rsidR="00AE2E2A" w:rsidRPr="00991BD1">
        <w:rPr>
          <w:szCs w:val="22"/>
        </w:rPr>
        <w:t xml:space="preserve"> under the </w:t>
      </w:r>
      <w:r w:rsidR="00BB1966" w:rsidRPr="00991BD1">
        <w:rPr>
          <w:szCs w:val="22"/>
        </w:rPr>
        <w:t>assumption</w:t>
      </w:r>
      <w:r w:rsidR="00AE2E2A" w:rsidRPr="00991BD1">
        <w:rPr>
          <w:szCs w:val="22"/>
        </w:rPr>
        <w:t xml:space="preserve"> that the lower the LDL level, the more effective </w:t>
      </w:r>
      <w:proofErr w:type="spellStart"/>
      <w:r w:rsidR="00200403" w:rsidRPr="00991BD1">
        <w:rPr>
          <w:szCs w:val="22"/>
        </w:rPr>
        <w:t>evolocumab</w:t>
      </w:r>
      <w:proofErr w:type="spellEnd"/>
      <w:r w:rsidR="00AE2E2A" w:rsidRPr="00991BD1">
        <w:rPr>
          <w:szCs w:val="22"/>
        </w:rPr>
        <w:t xml:space="preserve"> is in treatment</w:t>
      </w:r>
      <w:r w:rsidR="00BB1966" w:rsidRPr="00991BD1">
        <w:rPr>
          <w:szCs w:val="22"/>
        </w:rPr>
        <w:t xml:space="preserve">. </w:t>
      </w:r>
      <w:r w:rsidR="00AD0694">
        <w:rPr>
          <w:szCs w:val="22"/>
        </w:rPr>
        <w:t xml:space="preserve"> </w:t>
      </w:r>
      <w:r w:rsidR="00BB1966" w:rsidRPr="00991BD1">
        <w:rPr>
          <w:szCs w:val="22"/>
        </w:rPr>
        <w:t>H</w:t>
      </w:r>
      <w:r w:rsidR="00AE2E2A" w:rsidRPr="00991BD1">
        <w:rPr>
          <w:szCs w:val="22"/>
        </w:rPr>
        <w:t>owever</w:t>
      </w:r>
      <w:r w:rsidR="00BB1966" w:rsidRPr="00991BD1">
        <w:rPr>
          <w:szCs w:val="22"/>
        </w:rPr>
        <w:t xml:space="preserve">, given that </w:t>
      </w:r>
      <w:proofErr w:type="spellStart"/>
      <w:r w:rsidR="00BB1966" w:rsidRPr="00991BD1">
        <w:rPr>
          <w:szCs w:val="22"/>
        </w:rPr>
        <w:t>evolocumab</w:t>
      </w:r>
      <w:proofErr w:type="spellEnd"/>
      <w:r w:rsidR="00BB1966" w:rsidRPr="00991BD1">
        <w:rPr>
          <w:szCs w:val="22"/>
        </w:rPr>
        <w:t xml:space="preserve"> acts on receptors which will continue to reduce LDL levels, the</w:t>
      </w:r>
      <w:r w:rsidR="00AE2E2A" w:rsidRPr="00991BD1">
        <w:rPr>
          <w:szCs w:val="22"/>
        </w:rPr>
        <w:t xml:space="preserve"> ESC </w:t>
      </w:r>
      <w:r w:rsidR="00BB1966" w:rsidRPr="00991BD1">
        <w:rPr>
          <w:szCs w:val="22"/>
        </w:rPr>
        <w:t xml:space="preserve">raised concerns on </w:t>
      </w:r>
      <w:r w:rsidR="00AE2E2A" w:rsidRPr="00991BD1">
        <w:rPr>
          <w:szCs w:val="22"/>
        </w:rPr>
        <w:t>whether an essential</w:t>
      </w:r>
      <w:r w:rsidR="00BB1966" w:rsidRPr="00991BD1">
        <w:rPr>
          <w:szCs w:val="22"/>
        </w:rPr>
        <w:t xml:space="preserve"> </w:t>
      </w:r>
      <w:r w:rsidR="00AE2E2A" w:rsidRPr="00991BD1">
        <w:rPr>
          <w:szCs w:val="22"/>
        </w:rPr>
        <w:t>level o</w:t>
      </w:r>
      <w:r w:rsidR="00EA39A3" w:rsidRPr="00991BD1">
        <w:rPr>
          <w:szCs w:val="22"/>
        </w:rPr>
        <w:t>f</w:t>
      </w:r>
      <w:r w:rsidR="00AE2E2A" w:rsidRPr="00991BD1">
        <w:rPr>
          <w:szCs w:val="22"/>
        </w:rPr>
        <w:t xml:space="preserve"> LDL is required in the human body.</w:t>
      </w:r>
    </w:p>
    <w:p w:rsidR="00E505F6" w:rsidRPr="00200403" w:rsidRDefault="00E505F6" w:rsidP="00E505F6">
      <w:pPr>
        <w:widowControl/>
        <w:rPr>
          <w:szCs w:val="22"/>
        </w:rPr>
      </w:pPr>
    </w:p>
    <w:p w:rsidR="00E505F6" w:rsidRPr="00567EEF" w:rsidRDefault="00E505F6" w:rsidP="005F762C">
      <w:pPr>
        <w:keepNext/>
        <w:keepLines/>
        <w:ind w:left="720"/>
        <w:rPr>
          <w:rFonts w:ascii="Arial Narrow" w:hAnsi="Arial Narrow"/>
          <w:b/>
          <w:sz w:val="20"/>
        </w:rPr>
      </w:pPr>
      <w:r>
        <w:rPr>
          <w:rFonts w:ascii="Arial Narrow" w:hAnsi="Arial Narrow"/>
          <w:b/>
          <w:sz w:val="20"/>
        </w:rPr>
        <w:lastRenderedPageBreak/>
        <w:t xml:space="preserve">Mean percent change in calculated LDL levels </w:t>
      </w:r>
      <w:r w:rsidRPr="00B96F0E">
        <w:rPr>
          <w:rFonts w:ascii="Arial Narrow" w:hAnsi="Arial Narrow"/>
          <w:b/>
          <w:sz w:val="20"/>
        </w:rPr>
        <w:t>in patients with primary hyperlipidaemia and mixed dyslipidaemia</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1245"/>
        <w:gridCol w:w="1245"/>
        <w:gridCol w:w="1245"/>
        <w:gridCol w:w="2831"/>
      </w:tblGrid>
      <w:tr w:rsidR="00E505F6" w:rsidRPr="00567EEF" w:rsidTr="00E505F6">
        <w:trPr>
          <w:cantSplit/>
          <w:trHeight w:val="167"/>
          <w:tblHeader/>
        </w:trPr>
        <w:tc>
          <w:tcPr>
            <w:tcW w:w="1066" w:type="pct"/>
            <w:tcBorders>
              <w:right w:val="single" w:sz="4" w:space="0" w:color="auto"/>
            </w:tcBorders>
            <w:shd w:val="clear" w:color="auto" w:fill="auto"/>
            <w:vAlign w:val="center"/>
          </w:tcPr>
          <w:p w:rsidR="00E505F6" w:rsidRPr="00567EEF" w:rsidRDefault="00E505F6" w:rsidP="005F762C">
            <w:pPr>
              <w:keepNext/>
              <w:keepLines/>
              <w:jc w:val="center"/>
              <w:rPr>
                <w:rFonts w:ascii="Arial Narrow" w:hAnsi="Arial Narrow"/>
                <w:b/>
                <w:sz w:val="20"/>
              </w:rPr>
            </w:pPr>
            <w:r>
              <w:rPr>
                <w:rFonts w:ascii="Arial Narrow" w:hAnsi="Arial Narrow"/>
                <w:b/>
                <w:sz w:val="20"/>
              </w:rPr>
              <w:t>Trial</w:t>
            </w:r>
          </w:p>
        </w:tc>
        <w:tc>
          <w:tcPr>
            <w:tcW w:w="746" w:type="pct"/>
            <w:tcBorders>
              <w:left w:val="single" w:sz="4" w:space="0" w:color="auto"/>
              <w:right w:val="single" w:sz="4" w:space="0" w:color="auto"/>
            </w:tcBorders>
            <w:shd w:val="clear" w:color="auto" w:fill="auto"/>
            <w:vAlign w:val="center"/>
          </w:tcPr>
          <w:p w:rsidR="00E505F6" w:rsidRDefault="00E505F6" w:rsidP="005F762C">
            <w:pPr>
              <w:keepNext/>
              <w:keepLines/>
              <w:jc w:val="center"/>
              <w:rPr>
                <w:rFonts w:ascii="Arial Narrow" w:hAnsi="Arial Narrow"/>
                <w:b/>
                <w:sz w:val="20"/>
              </w:rPr>
            </w:pPr>
            <w:proofErr w:type="spellStart"/>
            <w:r>
              <w:rPr>
                <w:rFonts w:ascii="Arial Narrow" w:hAnsi="Arial Narrow"/>
                <w:b/>
                <w:sz w:val="20"/>
              </w:rPr>
              <w:t>Evolocumab</w:t>
            </w:r>
            <w:proofErr w:type="spellEnd"/>
            <w:r>
              <w:rPr>
                <w:rFonts w:ascii="Arial Narrow" w:hAnsi="Arial Narrow"/>
                <w:b/>
                <w:sz w:val="20"/>
              </w:rPr>
              <w:t>,</w:t>
            </w:r>
          </w:p>
          <w:p w:rsidR="00E505F6" w:rsidRDefault="00E505F6" w:rsidP="005F762C">
            <w:pPr>
              <w:keepNext/>
              <w:keepLines/>
              <w:jc w:val="center"/>
              <w:rPr>
                <w:rFonts w:ascii="Arial Narrow" w:hAnsi="Arial Narrow"/>
                <w:b/>
                <w:sz w:val="20"/>
              </w:rPr>
            </w:pPr>
            <w:r>
              <w:rPr>
                <w:rFonts w:ascii="Arial Narrow" w:hAnsi="Arial Narrow"/>
                <w:b/>
                <w:sz w:val="20"/>
              </w:rPr>
              <w:t xml:space="preserve">Mean </w:t>
            </w:r>
          </w:p>
          <w:p w:rsidR="00E505F6" w:rsidRDefault="00E505F6" w:rsidP="005F762C">
            <w:pPr>
              <w:keepNext/>
              <w:keepLines/>
              <w:jc w:val="center"/>
              <w:rPr>
                <w:rFonts w:ascii="Arial Narrow" w:hAnsi="Arial Narrow"/>
                <w:b/>
                <w:sz w:val="20"/>
              </w:rPr>
            </w:pPr>
            <w:r>
              <w:rPr>
                <w:rFonts w:ascii="Arial Narrow" w:hAnsi="Arial Narrow"/>
                <w:b/>
                <w:sz w:val="20"/>
              </w:rPr>
              <w:t>(95% CI)</w:t>
            </w:r>
          </w:p>
        </w:tc>
        <w:tc>
          <w:tcPr>
            <w:tcW w:w="746" w:type="pct"/>
            <w:tcBorders>
              <w:left w:val="single" w:sz="4" w:space="0" w:color="auto"/>
              <w:right w:val="single" w:sz="4" w:space="0" w:color="auto"/>
            </w:tcBorders>
            <w:shd w:val="clear" w:color="auto" w:fill="auto"/>
            <w:vAlign w:val="center"/>
          </w:tcPr>
          <w:p w:rsidR="00E505F6" w:rsidRDefault="00E505F6" w:rsidP="005F762C">
            <w:pPr>
              <w:keepNext/>
              <w:keepLines/>
              <w:jc w:val="center"/>
              <w:rPr>
                <w:rFonts w:ascii="Arial Narrow" w:hAnsi="Arial Narrow"/>
                <w:b/>
                <w:sz w:val="20"/>
              </w:rPr>
            </w:pPr>
            <w:proofErr w:type="spellStart"/>
            <w:r>
              <w:rPr>
                <w:rFonts w:ascii="Arial Narrow" w:hAnsi="Arial Narrow"/>
                <w:b/>
                <w:sz w:val="20"/>
              </w:rPr>
              <w:t>Ezetimibe</w:t>
            </w:r>
            <w:proofErr w:type="spellEnd"/>
            <w:r>
              <w:rPr>
                <w:rFonts w:ascii="Arial Narrow" w:hAnsi="Arial Narrow"/>
                <w:b/>
                <w:sz w:val="20"/>
              </w:rPr>
              <w:t>,</w:t>
            </w:r>
          </w:p>
          <w:p w:rsidR="00E505F6" w:rsidRDefault="00E505F6" w:rsidP="005F762C">
            <w:pPr>
              <w:keepNext/>
              <w:keepLines/>
              <w:jc w:val="center"/>
              <w:rPr>
                <w:rFonts w:ascii="Arial Narrow" w:hAnsi="Arial Narrow"/>
                <w:b/>
                <w:sz w:val="20"/>
              </w:rPr>
            </w:pPr>
            <w:r>
              <w:rPr>
                <w:rFonts w:ascii="Arial Narrow" w:hAnsi="Arial Narrow"/>
                <w:b/>
                <w:sz w:val="20"/>
              </w:rPr>
              <w:t xml:space="preserve">Mean </w:t>
            </w:r>
          </w:p>
          <w:p w:rsidR="00E505F6" w:rsidRDefault="00E505F6" w:rsidP="005F762C">
            <w:pPr>
              <w:keepNext/>
              <w:keepLines/>
              <w:jc w:val="center"/>
              <w:rPr>
                <w:rFonts w:ascii="Arial Narrow" w:hAnsi="Arial Narrow"/>
                <w:b/>
                <w:sz w:val="20"/>
              </w:rPr>
            </w:pPr>
            <w:r>
              <w:rPr>
                <w:rFonts w:ascii="Arial Narrow" w:hAnsi="Arial Narrow"/>
                <w:b/>
                <w:sz w:val="20"/>
              </w:rPr>
              <w:t>(95% CI)</w:t>
            </w:r>
          </w:p>
        </w:tc>
        <w:tc>
          <w:tcPr>
            <w:tcW w:w="746" w:type="pct"/>
            <w:tcBorders>
              <w:left w:val="single" w:sz="4" w:space="0" w:color="auto"/>
              <w:right w:val="single" w:sz="4" w:space="0" w:color="auto"/>
            </w:tcBorders>
            <w:shd w:val="clear" w:color="auto" w:fill="auto"/>
            <w:vAlign w:val="center"/>
          </w:tcPr>
          <w:p w:rsidR="00E505F6" w:rsidRDefault="00E505F6" w:rsidP="005F762C">
            <w:pPr>
              <w:keepNext/>
              <w:keepLines/>
              <w:jc w:val="center"/>
              <w:rPr>
                <w:rFonts w:ascii="Arial Narrow" w:hAnsi="Arial Narrow"/>
                <w:b/>
                <w:sz w:val="20"/>
              </w:rPr>
            </w:pPr>
            <w:r>
              <w:rPr>
                <w:rFonts w:ascii="Arial Narrow" w:hAnsi="Arial Narrow"/>
                <w:b/>
                <w:sz w:val="20"/>
              </w:rPr>
              <w:t>Placebo,</w:t>
            </w:r>
          </w:p>
          <w:p w:rsidR="00E505F6" w:rsidRDefault="00E505F6" w:rsidP="005F762C">
            <w:pPr>
              <w:keepNext/>
              <w:keepLines/>
              <w:jc w:val="center"/>
              <w:rPr>
                <w:rFonts w:ascii="Arial Narrow" w:hAnsi="Arial Narrow"/>
                <w:b/>
                <w:sz w:val="20"/>
              </w:rPr>
            </w:pPr>
            <w:r>
              <w:rPr>
                <w:rFonts w:ascii="Arial Narrow" w:hAnsi="Arial Narrow"/>
                <w:b/>
                <w:sz w:val="20"/>
              </w:rPr>
              <w:t xml:space="preserve">Mean </w:t>
            </w:r>
          </w:p>
          <w:p w:rsidR="00E505F6" w:rsidRDefault="00E505F6" w:rsidP="005F762C">
            <w:pPr>
              <w:keepNext/>
              <w:keepLines/>
              <w:jc w:val="center"/>
              <w:rPr>
                <w:rFonts w:ascii="Arial Narrow" w:hAnsi="Arial Narrow"/>
                <w:b/>
                <w:sz w:val="20"/>
              </w:rPr>
            </w:pPr>
            <w:r>
              <w:rPr>
                <w:rFonts w:ascii="Arial Narrow" w:hAnsi="Arial Narrow"/>
                <w:b/>
                <w:sz w:val="20"/>
              </w:rPr>
              <w:t>(95% CI)</w:t>
            </w:r>
          </w:p>
        </w:tc>
        <w:tc>
          <w:tcPr>
            <w:tcW w:w="1696" w:type="pct"/>
            <w:tcBorders>
              <w:left w:val="single" w:sz="4" w:space="0" w:color="auto"/>
            </w:tcBorders>
            <w:shd w:val="clear" w:color="auto" w:fill="auto"/>
            <w:vAlign w:val="center"/>
          </w:tcPr>
          <w:p w:rsidR="00E505F6" w:rsidRDefault="00E505F6" w:rsidP="005F762C">
            <w:pPr>
              <w:keepNext/>
              <w:keepLines/>
              <w:jc w:val="center"/>
              <w:rPr>
                <w:rFonts w:ascii="Arial Narrow" w:hAnsi="Arial Narrow"/>
                <w:b/>
                <w:sz w:val="20"/>
              </w:rPr>
            </w:pPr>
            <w:r>
              <w:rPr>
                <w:rFonts w:ascii="Arial Narrow" w:hAnsi="Arial Narrow"/>
                <w:b/>
                <w:sz w:val="20"/>
              </w:rPr>
              <w:t xml:space="preserve">Treatment difference, </w:t>
            </w:r>
          </w:p>
          <w:p w:rsidR="00E505F6" w:rsidRPr="00567EEF" w:rsidRDefault="00E505F6" w:rsidP="005F762C">
            <w:pPr>
              <w:keepNext/>
              <w:keepLines/>
              <w:jc w:val="center"/>
              <w:rPr>
                <w:rFonts w:ascii="Arial Narrow" w:hAnsi="Arial Narrow"/>
                <w:b/>
                <w:sz w:val="20"/>
              </w:rPr>
            </w:pPr>
            <w:r>
              <w:rPr>
                <w:rFonts w:ascii="Arial Narrow" w:hAnsi="Arial Narrow"/>
                <w:b/>
                <w:sz w:val="20"/>
              </w:rPr>
              <w:t>Mean (95% CI)</w:t>
            </w:r>
          </w:p>
        </w:tc>
      </w:tr>
      <w:tr w:rsidR="00E505F6" w:rsidRPr="00567EEF" w:rsidTr="00E505F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05F6" w:rsidRPr="001D6C6F" w:rsidRDefault="00E505F6" w:rsidP="005F762C">
            <w:pPr>
              <w:keepNext/>
              <w:keepLines/>
              <w:jc w:val="left"/>
              <w:rPr>
                <w:rFonts w:ascii="Arial Narrow" w:hAnsi="Arial Narrow"/>
                <w:b/>
                <w:sz w:val="20"/>
              </w:rPr>
            </w:pPr>
            <w:r>
              <w:rPr>
                <w:rFonts w:ascii="Arial Narrow" w:hAnsi="Arial Narrow"/>
                <w:b/>
                <w:sz w:val="20"/>
              </w:rPr>
              <w:t>Fortnightly dosing, Baseline to Week 10/12</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 xml:space="preserve">GAUSS-2 </w:t>
            </w:r>
          </w:p>
          <w:p w:rsidR="00E505F6" w:rsidRDefault="00E505F6" w:rsidP="005F762C">
            <w:pPr>
              <w:keepNext/>
              <w:keepLines/>
              <w:jc w:val="left"/>
              <w:rPr>
                <w:rFonts w:ascii="Arial Narrow" w:hAnsi="Arial Narrow"/>
                <w:sz w:val="20"/>
              </w:rPr>
            </w:pPr>
            <w:r>
              <w:rPr>
                <w:rFonts w:ascii="Arial Narrow" w:hAnsi="Arial Narrow"/>
                <w:sz w:val="20"/>
              </w:rPr>
              <w:t>(intolerant to statins)</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B3429">
              <w:rPr>
                <w:rFonts w:ascii="Arial Narrow" w:hAnsi="Arial Narrow"/>
                <w:sz w:val="20"/>
              </w:rPr>
              <w:t>-57.1</w:t>
            </w:r>
            <w:r>
              <w:rPr>
                <w:rFonts w:ascii="Arial Narrow" w:hAnsi="Arial Narrow"/>
                <w:sz w:val="20"/>
              </w:rPr>
              <w:t xml:space="preserve">% </w:t>
            </w:r>
          </w:p>
          <w:p w:rsidR="00E505F6" w:rsidRPr="00481114" w:rsidRDefault="00E505F6" w:rsidP="005F762C">
            <w:pPr>
              <w:keepNext/>
              <w:keepLines/>
              <w:jc w:val="center"/>
              <w:rPr>
                <w:rFonts w:ascii="Arial Narrow" w:hAnsi="Arial Narrow"/>
                <w:sz w:val="20"/>
              </w:rPr>
            </w:pPr>
            <w:r w:rsidRPr="00CB3429">
              <w:rPr>
                <w:rFonts w:ascii="Arial Narrow" w:hAnsi="Arial Narrow"/>
                <w:sz w:val="20"/>
              </w:rPr>
              <w:t>(-60.8, -53.4)</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B3429">
              <w:rPr>
                <w:rFonts w:ascii="Arial Narrow" w:hAnsi="Arial Narrow"/>
                <w:sz w:val="20"/>
              </w:rPr>
              <w:t>-19.0</w:t>
            </w:r>
            <w:r>
              <w:rPr>
                <w:rFonts w:ascii="Arial Narrow" w:hAnsi="Arial Narrow"/>
                <w:sz w:val="20"/>
              </w:rPr>
              <w:t xml:space="preserve">% </w:t>
            </w:r>
          </w:p>
          <w:p w:rsidR="00E505F6" w:rsidRPr="00481114" w:rsidRDefault="00E505F6" w:rsidP="005F762C">
            <w:pPr>
              <w:keepNext/>
              <w:keepLines/>
              <w:jc w:val="center"/>
              <w:rPr>
                <w:rFonts w:ascii="Arial Narrow" w:hAnsi="Arial Narrow"/>
                <w:sz w:val="20"/>
              </w:rPr>
            </w:pPr>
            <w:r w:rsidRPr="00CB3429">
              <w:rPr>
                <w:rFonts w:ascii="Arial Narrow" w:hAnsi="Arial Narrow"/>
                <w:sz w:val="20"/>
              </w:rPr>
              <w:t>(-23.9, -14.1)</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9D7B70">
              <w:rPr>
                <w:rFonts w:ascii="Arial Narrow" w:hAnsi="Arial Narrow"/>
                <w:sz w:val="20"/>
              </w:rPr>
              <w:t>-38.1% (-43.6, -32.6)</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LAPLACE-2</w:t>
            </w:r>
          </w:p>
          <w:p w:rsidR="00E505F6" w:rsidRDefault="00E505F6" w:rsidP="005F762C">
            <w:pPr>
              <w:keepNext/>
              <w:keepLines/>
              <w:jc w:val="left"/>
              <w:rPr>
                <w:rFonts w:ascii="Arial Narrow" w:hAnsi="Arial Narrow"/>
                <w:sz w:val="20"/>
              </w:rPr>
            </w:pPr>
            <w:r>
              <w:rPr>
                <w:rFonts w:ascii="Arial Narrow" w:hAnsi="Arial Narrow"/>
                <w:sz w:val="20"/>
              </w:rPr>
              <w:t>(low dose statin)</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-64.1% </w:t>
            </w:r>
          </w:p>
          <w:p w:rsidR="00E505F6" w:rsidRPr="00481114" w:rsidRDefault="00E505F6" w:rsidP="005F762C">
            <w:pPr>
              <w:keepNext/>
              <w:keepLines/>
              <w:jc w:val="center"/>
              <w:rPr>
                <w:rFonts w:ascii="Arial Narrow" w:hAnsi="Arial Narrow"/>
                <w:sz w:val="20"/>
              </w:rPr>
            </w:pPr>
            <w:r w:rsidRPr="004E3443">
              <w:rPr>
                <w:rFonts w:ascii="Arial Narrow" w:hAnsi="Arial Narrow"/>
                <w:sz w:val="20"/>
              </w:rPr>
              <w:t>(-67.5, -60.8)</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-23.4% </w:t>
            </w:r>
          </w:p>
          <w:p w:rsidR="00E505F6" w:rsidRPr="00481114" w:rsidRDefault="00E505F6" w:rsidP="005F762C">
            <w:pPr>
              <w:keepNext/>
              <w:keepLines/>
              <w:jc w:val="center"/>
              <w:rPr>
                <w:rFonts w:ascii="Arial Narrow" w:hAnsi="Arial Narrow"/>
                <w:sz w:val="20"/>
              </w:rPr>
            </w:pPr>
            <w:r w:rsidRPr="004E3443">
              <w:rPr>
                <w:rFonts w:ascii="Arial Narrow" w:hAnsi="Arial Narrow"/>
                <w:sz w:val="20"/>
              </w:rPr>
              <w:t>(-28.3, -18.5)</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8.5% </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(3.9, </w:t>
            </w:r>
            <w:r w:rsidRPr="004E3443">
              <w:rPr>
                <w:rFonts w:ascii="Arial Narrow" w:hAnsi="Arial Narrow"/>
                <w:sz w:val="20"/>
              </w:rPr>
              <w:t>13.2)</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w:t>
            </w:r>
            <w:r w:rsidRPr="004E3443">
              <w:rPr>
                <w:rFonts w:ascii="Arial Narrow" w:hAnsi="Arial Narrow"/>
                <w:sz w:val="20"/>
              </w:rPr>
              <w:t>40.8% (-46.6, -34.9)</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4E3443">
              <w:rPr>
                <w:rFonts w:ascii="Arial Narrow" w:hAnsi="Arial Narrow"/>
                <w:sz w:val="20"/>
              </w:rPr>
              <w:t>-72.7% (-78.4, -66.9)</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LAPLACE-2</w:t>
            </w:r>
          </w:p>
          <w:p w:rsidR="00E505F6" w:rsidRDefault="00E505F6" w:rsidP="005F762C">
            <w:pPr>
              <w:keepNext/>
              <w:keepLines/>
              <w:jc w:val="left"/>
              <w:rPr>
                <w:rFonts w:ascii="Arial Narrow" w:hAnsi="Arial Narrow"/>
                <w:sz w:val="20"/>
              </w:rPr>
            </w:pPr>
            <w:r>
              <w:rPr>
                <w:rFonts w:ascii="Arial Narrow" w:hAnsi="Arial Narrow"/>
                <w:sz w:val="20"/>
              </w:rPr>
              <w:t>(high dose statin)</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-65.3% </w:t>
            </w:r>
          </w:p>
          <w:p w:rsidR="00E505F6" w:rsidRPr="00481114" w:rsidRDefault="00E505F6" w:rsidP="005F762C">
            <w:pPr>
              <w:keepNext/>
              <w:keepLines/>
              <w:jc w:val="center"/>
              <w:rPr>
                <w:rFonts w:ascii="Arial Narrow" w:hAnsi="Arial Narrow"/>
                <w:sz w:val="20"/>
              </w:rPr>
            </w:pPr>
            <w:r w:rsidRPr="004E3443">
              <w:rPr>
                <w:rFonts w:ascii="Arial Narrow" w:hAnsi="Arial Narrow"/>
                <w:sz w:val="20"/>
              </w:rPr>
              <w:t>(-71.0, -59.5)</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-17.3% </w:t>
            </w:r>
          </w:p>
          <w:p w:rsidR="00E505F6" w:rsidRPr="00481114" w:rsidRDefault="00E505F6" w:rsidP="005F762C">
            <w:pPr>
              <w:keepNext/>
              <w:keepLines/>
              <w:jc w:val="center"/>
              <w:rPr>
                <w:rFonts w:ascii="Arial Narrow" w:hAnsi="Arial Narrow"/>
                <w:sz w:val="20"/>
              </w:rPr>
            </w:pPr>
            <w:r w:rsidRPr="004E3443">
              <w:rPr>
                <w:rFonts w:ascii="Arial Narrow" w:hAnsi="Arial Narrow"/>
                <w:sz w:val="20"/>
              </w:rPr>
              <w:t>(-25.3, -9.3)</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4E3443">
              <w:rPr>
                <w:rFonts w:ascii="Arial Narrow" w:hAnsi="Arial Narrow"/>
                <w:sz w:val="20"/>
              </w:rPr>
              <w:t xml:space="preserve">12.8% </w:t>
            </w:r>
          </w:p>
          <w:p w:rsidR="00E505F6" w:rsidRPr="00481114" w:rsidRDefault="00E505F6" w:rsidP="005F762C">
            <w:pPr>
              <w:keepNext/>
              <w:keepLines/>
              <w:jc w:val="center"/>
              <w:rPr>
                <w:rFonts w:ascii="Arial Narrow" w:hAnsi="Arial Narrow"/>
                <w:sz w:val="20"/>
              </w:rPr>
            </w:pPr>
            <w:r w:rsidRPr="004E3443">
              <w:rPr>
                <w:rFonts w:ascii="Arial Narrow" w:hAnsi="Arial Narrow"/>
                <w:sz w:val="20"/>
              </w:rPr>
              <w:t>(4.5, 21.1)</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4E3443">
              <w:rPr>
                <w:rFonts w:ascii="Arial Narrow" w:hAnsi="Arial Narrow"/>
                <w:sz w:val="20"/>
              </w:rPr>
              <w:t>-48.0% (-57.8, -38.1)</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4E3443">
              <w:rPr>
                <w:rFonts w:ascii="Arial Narrow" w:hAnsi="Arial Narrow"/>
                <w:sz w:val="20"/>
              </w:rPr>
              <w:t>-78.1% (-88.1, -68.0)</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MENDEL-2</w:t>
            </w:r>
          </w:p>
          <w:p w:rsidR="00E505F6" w:rsidRDefault="00E505F6" w:rsidP="005F762C">
            <w:pPr>
              <w:keepNext/>
              <w:keepLines/>
              <w:jc w:val="left"/>
              <w:rPr>
                <w:rFonts w:ascii="Arial Narrow" w:hAnsi="Arial Narrow"/>
                <w:sz w:val="20"/>
              </w:rPr>
            </w:pPr>
            <w:r>
              <w:rPr>
                <w:rFonts w:ascii="Arial Narrow" w:hAnsi="Arial Narrow"/>
                <w:sz w:val="20"/>
              </w:rPr>
              <w:t>(monotherapy, low risk)</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-57.8</w:t>
            </w:r>
            <w:r>
              <w:rPr>
                <w:rFonts w:ascii="Arial Narrow" w:hAnsi="Arial Narrow"/>
                <w:sz w:val="20"/>
              </w:rPr>
              <w:t>%</w:t>
            </w:r>
            <w:r w:rsidRPr="00783C1E">
              <w:rPr>
                <w:rFonts w:ascii="Arial Narrow" w:hAnsi="Arial Narrow"/>
                <w:sz w:val="20"/>
              </w:rPr>
              <w:t xml:space="preserve">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(-59.9, -55.6)</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 xml:space="preserve">-17.6%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(-20.5, -14.6)</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 xml:space="preserve">-0.3%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(-3.3, 2.6)</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783C1E">
              <w:rPr>
                <w:rFonts w:ascii="Arial Narrow" w:hAnsi="Arial Narrow"/>
                <w:sz w:val="20"/>
              </w:rPr>
              <w:t>-40.2% (-43.8, -36.6)</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783C1E">
              <w:rPr>
                <w:rFonts w:ascii="Arial Narrow" w:hAnsi="Arial Narrow"/>
                <w:sz w:val="20"/>
              </w:rPr>
              <w:t>-57.4% (-61.0, -53.9)</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RUTHERFORD-2</w:t>
            </w:r>
          </w:p>
          <w:p w:rsidR="00E505F6" w:rsidRDefault="00E505F6" w:rsidP="005F762C">
            <w:pPr>
              <w:keepNext/>
              <w:keepLines/>
              <w:jc w:val="left"/>
              <w:rPr>
                <w:rFonts w:ascii="Arial Narrow" w:hAnsi="Arial Narrow"/>
                <w:sz w:val="20"/>
              </w:rPr>
            </w:pPr>
            <w:r>
              <w:rPr>
                <w:rFonts w:ascii="Arial Narrow" w:hAnsi="Arial Narrow"/>
                <w:sz w:val="20"/>
              </w:rPr>
              <w:t>(</w:t>
            </w:r>
            <w:proofErr w:type="spellStart"/>
            <w:r>
              <w:rPr>
                <w:rFonts w:ascii="Arial Narrow" w:hAnsi="Arial Narrow"/>
                <w:sz w:val="20"/>
              </w:rPr>
              <w:t>HeFH</w:t>
            </w:r>
            <w:proofErr w:type="spellEnd"/>
            <w:r>
              <w:rPr>
                <w:rFonts w:ascii="Arial Narrow" w:hAnsi="Arial Narrow"/>
                <w:sz w:val="20"/>
              </w:rPr>
              <w:t>)</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E2C98">
              <w:rPr>
                <w:rFonts w:ascii="Arial Narrow" w:hAnsi="Arial Narrow"/>
                <w:sz w:val="20"/>
              </w:rPr>
              <w:t xml:space="preserve">-62.7% </w:t>
            </w:r>
          </w:p>
          <w:p w:rsidR="00E505F6" w:rsidRPr="00481114" w:rsidRDefault="00E505F6" w:rsidP="005F762C">
            <w:pPr>
              <w:keepNext/>
              <w:keepLines/>
              <w:jc w:val="center"/>
              <w:rPr>
                <w:rFonts w:ascii="Arial Narrow" w:hAnsi="Arial Narrow"/>
                <w:sz w:val="20"/>
              </w:rPr>
            </w:pPr>
            <w:r w:rsidRPr="00CE2C98">
              <w:rPr>
                <w:rFonts w:ascii="Arial Narrow" w:hAnsi="Arial Narrow"/>
                <w:sz w:val="20"/>
              </w:rPr>
              <w:t>(-66.2, -59.2)</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E2C98">
              <w:rPr>
                <w:rFonts w:ascii="Arial Narrow" w:hAnsi="Arial Narrow"/>
                <w:sz w:val="20"/>
              </w:rPr>
              <w:t xml:space="preserve">-1.4% </w:t>
            </w:r>
          </w:p>
          <w:p w:rsidR="00E505F6" w:rsidRPr="00481114" w:rsidRDefault="00E505F6" w:rsidP="005F762C">
            <w:pPr>
              <w:keepNext/>
              <w:keepLines/>
              <w:jc w:val="center"/>
              <w:rPr>
                <w:rFonts w:ascii="Arial Narrow" w:hAnsi="Arial Narrow"/>
                <w:sz w:val="20"/>
              </w:rPr>
            </w:pPr>
            <w:r w:rsidRPr="00CE2C98">
              <w:rPr>
                <w:rFonts w:ascii="Arial Narrow" w:hAnsi="Arial Narrow"/>
                <w:sz w:val="20"/>
              </w:rPr>
              <w:t>(-6.3, 3.6)</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CE2C98">
              <w:rPr>
                <w:rFonts w:ascii="Arial Narrow" w:hAnsi="Arial Narrow"/>
                <w:sz w:val="20"/>
              </w:rPr>
              <w:t>-61.3% (-67.2, -55.4)</w:t>
            </w:r>
          </w:p>
        </w:tc>
      </w:tr>
      <w:tr w:rsidR="00E505F6" w:rsidRPr="00567EEF" w:rsidTr="00E505F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05F6" w:rsidRPr="001D6C6F" w:rsidRDefault="00E505F6" w:rsidP="005F762C">
            <w:pPr>
              <w:keepNext/>
              <w:keepLines/>
              <w:rPr>
                <w:rFonts w:ascii="Arial Narrow" w:hAnsi="Arial Narrow"/>
                <w:b/>
                <w:sz w:val="20"/>
              </w:rPr>
            </w:pPr>
            <w:r>
              <w:rPr>
                <w:rFonts w:ascii="Arial Narrow" w:hAnsi="Arial Narrow"/>
                <w:b/>
                <w:sz w:val="20"/>
              </w:rPr>
              <w:t>Monthly dosing, Baseline to Week 10/12</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 xml:space="preserve">GAUSS-2 </w:t>
            </w:r>
          </w:p>
          <w:p w:rsidR="00E505F6" w:rsidRDefault="00E505F6" w:rsidP="005F762C">
            <w:pPr>
              <w:keepNext/>
              <w:keepLines/>
              <w:jc w:val="left"/>
              <w:rPr>
                <w:rFonts w:ascii="Arial Narrow" w:hAnsi="Arial Narrow"/>
                <w:sz w:val="20"/>
              </w:rPr>
            </w:pPr>
            <w:r>
              <w:rPr>
                <w:rFonts w:ascii="Arial Narrow" w:hAnsi="Arial Narrow"/>
                <w:sz w:val="20"/>
              </w:rPr>
              <w:t>(intolerant to statins)</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E341A2">
              <w:rPr>
                <w:rFonts w:ascii="Arial Narrow" w:hAnsi="Arial Narrow"/>
                <w:sz w:val="20"/>
              </w:rPr>
              <w:t xml:space="preserve">-55.8% </w:t>
            </w:r>
          </w:p>
          <w:p w:rsidR="00E505F6" w:rsidRPr="00481114" w:rsidRDefault="00E505F6" w:rsidP="005F762C">
            <w:pPr>
              <w:keepNext/>
              <w:keepLines/>
              <w:jc w:val="center"/>
              <w:rPr>
                <w:rFonts w:ascii="Arial Narrow" w:hAnsi="Arial Narrow"/>
                <w:sz w:val="20"/>
              </w:rPr>
            </w:pPr>
            <w:r w:rsidRPr="00E341A2">
              <w:rPr>
                <w:rFonts w:ascii="Arial Narrow" w:hAnsi="Arial Narrow"/>
                <w:sz w:val="20"/>
              </w:rPr>
              <w:t>(-58.9, -52.8)</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E341A2">
              <w:rPr>
                <w:rFonts w:ascii="Arial Narrow" w:hAnsi="Arial Narrow"/>
                <w:sz w:val="20"/>
              </w:rPr>
              <w:t xml:space="preserve">-16.6% </w:t>
            </w:r>
          </w:p>
          <w:p w:rsidR="00E505F6" w:rsidRPr="00481114" w:rsidRDefault="00E505F6" w:rsidP="005F762C">
            <w:pPr>
              <w:keepNext/>
              <w:keepLines/>
              <w:jc w:val="center"/>
              <w:rPr>
                <w:rFonts w:ascii="Arial Narrow" w:hAnsi="Arial Narrow"/>
                <w:sz w:val="20"/>
              </w:rPr>
            </w:pPr>
            <w:r w:rsidRPr="00E341A2">
              <w:rPr>
                <w:rFonts w:ascii="Arial Narrow" w:hAnsi="Arial Narrow"/>
                <w:sz w:val="20"/>
              </w:rPr>
              <w:t>(-20.7, -12.5)</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E341A2">
              <w:rPr>
                <w:rFonts w:ascii="Arial Narrow" w:hAnsi="Arial Narrow"/>
                <w:sz w:val="20"/>
              </w:rPr>
              <w:t>-39.2% (-43.7, -34.8)</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LAPLACE-2</w:t>
            </w:r>
          </w:p>
          <w:p w:rsidR="00E505F6" w:rsidRDefault="00E505F6" w:rsidP="005F762C">
            <w:pPr>
              <w:keepNext/>
              <w:keepLines/>
              <w:jc w:val="left"/>
              <w:rPr>
                <w:rFonts w:ascii="Arial Narrow" w:hAnsi="Arial Narrow"/>
                <w:sz w:val="20"/>
              </w:rPr>
            </w:pPr>
            <w:r>
              <w:rPr>
                <w:rFonts w:ascii="Arial Narrow" w:hAnsi="Arial Narrow"/>
                <w:sz w:val="20"/>
              </w:rPr>
              <w:t>(low dose statin)</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-64.1%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(-67.7, -60.4)</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-18.8%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(-24.0, -13.6)</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0.4%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(-4.8, 5.7)</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B96804">
              <w:rPr>
                <w:rFonts w:ascii="Arial Narrow" w:hAnsi="Arial Narrow"/>
                <w:sz w:val="20"/>
              </w:rPr>
              <w:t>-43.2% (-51.6, -38.9)</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B96804">
              <w:rPr>
                <w:rFonts w:ascii="Arial Narrow" w:hAnsi="Arial Narrow"/>
                <w:sz w:val="20"/>
              </w:rPr>
              <w:t>-64.5% (-70.9, -58.1)</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LAPLACE-2</w:t>
            </w:r>
          </w:p>
          <w:p w:rsidR="00E505F6" w:rsidRDefault="00E505F6" w:rsidP="005F762C">
            <w:pPr>
              <w:keepNext/>
              <w:keepLines/>
              <w:jc w:val="left"/>
              <w:rPr>
                <w:rFonts w:ascii="Arial Narrow" w:hAnsi="Arial Narrow"/>
                <w:sz w:val="20"/>
              </w:rPr>
            </w:pPr>
            <w:r>
              <w:rPr>
                <w:rFonts w:ascii="Arial Narrow" w:hAnsi="Arial Narrow"/>
                <w:sz w:val="20"/>
              </w:rPr>
              <w:t>(high dose statin)</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-68.1%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(-72.9, -63.2)</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-22.1%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(-29.0, -15.2)</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B96804">
              <w:rPr>
                <w:rFonts w:ascii="Arial Narrow" w:hAnsi="Arial Narrow"/>
                <w:sz w:val="20"/>
              </w:rPr>
              <w:t xml:space="preserve">9.9% </w:t>
            </w:r>
          </w:p>
          <w:p w:rsidR="00E505F6" w:rsidRPr="00481114" w:rsidRDefault="00E505F6" w:rsidP="005F762C">
            <w:pPr>
              <w:keepNext/>
              <w:keepLines/>
              <w:jc w:val="center"/>
              <w:rPr>
                <w:rFonts w:ascii="Arial Narrow" w:hAnsi="Arial Narrow"/>
                <w:sz w:val="20"/>
              </w:rPr>
            </w:pPr>
            <w:r w:rsidRPr="00B96804">
              <w:rPr>
                <w:rFonts w:ascii="Arial Narrow" w:hAnsi="Arial Narrow"/>
                <w:sz w:val="20"/>
              </w:rPr>
              <w:t>(3.1, 16.7)</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B96804">
              <w:rPr>
                <w:rFonts w:ascii="Arial Narrow" w:hAnsi="Arial Narrow"/>
                <w:sz w:val="20"/>
              </w:rPr>
              <w:t>-46.0% (-54.4, -37.5)</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B96804">
              <w:rPr>
                <w:rFonts w:ascii="Arial Narrow" w:hAnsi="Arial Narrow"/>
                <w:sz w:val="20"/>
              </w:rPr>
              <w:t>-78.0% (-86.3, -69.6)</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MENDEL-2</w:t>
            </w:r>
          </w:p>
          <w:p w:rsidR="00E505F6" w:rsidRDefault="00E505F6" w:rsidP="005F762C">
            <w:pPr>
              <w:keepNext/>
              <w:keepLines/>
              <w:jc w:val="left"/>
              <w:rPr>
                <w:rFonts w:ascii="Arial Narrow" w:hAnsi="Arial Narrow"/>
                <w:sz w:val="20"/>
              </w:rPr>
            </w:pPr>
            <w:r>
              <w:rPr>
                <w:rFonts w:ascii="Arial Narrow" w:hAnsi="Arial Narrow"/>
                <w:sz w:val="20"/>
              </w:rPr>
              <w:t>(monotherapy, low risk)</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 xml:space="preserve">-59.8%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(-61.9, -57.7)</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 xml:space="preserve">-19.1%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(-22.0, -16.2)</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783C1E">
              <w:rPr>
                <w:rFonts w:ascii="Arial Narrow" w:hAnsi="Arial Narrow"/>
                <w:sz w:val="20"/>
              </w:rPr>
              <w:t xml:space="preserve">-0.1% </w:t>
            </w:r>
          </w:p>
          <w:p w:rsidR="00E505F6" w:rsidRPr="00481114" w:rsidRDefault="00E505F6" w:rsidP="005F762C">
            <w:pPr>
              <w:keepNext/>
              <w:keepLines/>
              <w:jc w:val="center"/>
              <w:rPr>
                <w:rFonts w:ascii="Arial Narrow" w:hAnsi="Arial Narrow"/>
                <w:sz w:val="20"/>
              </w:rPr>
            </w:pPr>
            <w:r w:rsidRPr="00783C1E">
              <w:rPr>
                <w:rFonts w:ascii="Arial Narrow" w:hAnsi="Arial Narrow"/>
                <w:sz w:val="20"/>
              </w:rPr>
              <w:t>(-3.0, 2.8)</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vs. </w:t>
            </w:r>
            <w:proofErr w:type="spellStart"/>
            <w:r>
              <w:rPr>
                <w:rFonts w:ascii="Arial Narrow" w:hAnsi="Arial Narrow"/>
                <w:sz w:val="20"/>
              </w:rPr>
              <w:t>ezetimibe</w:t>
            </w:r>
            <w:proofErr w:type="spellEnd"/>
            <w:r>
              <w:rPr>
                <w:rFonts w:ascii="Arial Narrow" w:hAnsi="Arial Narrow"/>
                <w:sz w:val="20"/>
              </w:rPr>
              <w:t xml:space="preserve">: </w:t>
            </w:r>
            <w:r w:rsidRPr="00783C1E">
              <w:rPr>
                <w:rFonts w:ascii="Arial Narrow" w:hAnsi="Arial Narrow"/>
                <w:sz w:val="20"/>
              </w:rPr>
              <w:t>-40.7% (-44.1, -37.3)</w:t>
            </w:r>
          </w:p>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783C1E">
              <w:rPr>
                <w:rFonts w:ascii="Arial Narrow" w:hAnsi="Arial Narrow"/>
                <w:sz w:val="20"/>
              </w:rPr>
              <w:t>-59.7% (-63.1, -56.2)</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RUTHERFORD-2</w:t>
            </w:r>
          </w:p>
          <w:p w:rsidR="00E505F6" w:rsidRDefault="00E505F6" w:rsidP="005F762C">
            <w:pPr>
              <w:keepNext/>
              <w:keepLines/>
              <w:jc w:val="left"/>
              <w:rPr>
                <w:rFonts w:ascii="Arial Narrow" w:hAnsi="Arial Narrow"/>
                <w:sz w:val="20"/>
              </w:rPr>
            </w:pPr>
            <w:r>
              <w:rPr>
                <w:rFonts w:ascii="Arial Narrow" w:hAnsi="Arial Narrow"/>
                <w:sz w:val="20"/>
              </w:rPr>
              <w:t>(</w:t>
            </w:r>
            <w:proofErr w:type="spellStart"/>
            <w:r>
              <w:rPr>
                <w:rFonts w:ascii="Arial Narrow" w:hAnsi="Arial Narrow"/>
                <w:sz w:val="20"/>
              </w:rPr>
              <w:t>HeFH</w:t>
            </w:r>
            <w:proofErr w:type="spellEnd"/>
            <w:r>
              <w:rPr>
                <w:rFonts w:ascii="Arial Narrow" w:hAnsi="Arial Narrow"/>
                <w:sz w:val="20"/>
              </w:rPr>
              <w:t>)</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E2C98">
              <w:rPr>
                <w:rFonts w:ascii="Arial Narrow" w:hAnsi="Arial Narrow"/>
                <w:sz w:val="20"/>
              </w:rPr>
              <w:t xml:space="preserve">-64.7% </w:t>
            </w:r>
          </w:p>
          <w:p w:rsidR="00E505F6" w:rsidRPr="00481114" w:rsidRDefault="00E505F6" w:rsidP="005F762C">
            <w:pPr>
              <w:keepNext/>
              <w:keepLines/>
              <w:jc w:val="center"/>
              <w:rPr>
                <w:rFonts w:ascii="Arial Narrow" w:hAnsi="Arial Narrow"/>
                <w:sz w:val="20"/>
              </w:rPr>
            </w:pPr>
            <w:r w:rsidRPr="00CE2C98">
              <w:rPr>
                <w:rFonts w:ascii="Arial Narrow" w:hAnsi="Arial Narrow"/>
                <w:sz w:val="20"/>
              </w:rPr>
              <w:t>(-68.1, -61.4)</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sidRPr="00CE2C98">
              <w:rPr>
                <w:rFonts w:ascii="Arial Narrow" w:hAnsi="Arial Narrow"/>
                <w:sz w:val="20"/>
              </w:rPr>
              <w:t xml:space="preserve">1.5% </w:t>
            </w:r>
          </w:p>
          <w:p w:rsidR="00E505F6" w:rsidRPr="00481114" w:rsidRDefault="00E505F6" w:rsidP="005F762C">
            <w:pPr>
              <w:keepNext/>
              <w:keepLines/>
              <w:jc w:val="center"/>
              <w:rPr>
                <w:rFonts w:ascii="Arial Narrow" w:hAnsi="Arial Narrow"/>
                <w:sz w:val="20"/>
              </w:rPr>
            </w:pPr>
            <w:r w:rsidRPr="00CE2C98">
              <w:rPr>
                <w:rFonts w:ascii="Arial Narrow" w:hAnsi="Arial Narrow"/>
                <w:sz w:val="20"/>
              </w:rPr>
              <w:t>(-3.2, 6.2)</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 xml:space="preserve">vs. placebo: </w:t>
            </w:r>
            <w:r w:rsidRPr="00CE2C98">
              <w:rPr>
                <w:rFonts w:ascii="Arial Narrow" w:hAnsi="Arial Narrow"/>
                <w:sz w:val="20"/>
              </w:rPr>
              <w:t>-66.2% (-71.9, -60.6)</w:t>
            </w:r>
          </w:p>
        </w:tc>
      </w:tr>
      <w:tr w:rsidR="00E505F6" w:rsidRPr="00567EEF" w:rsidTr="00E505F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05F6" w:rsidRPr="00690470" w:rsidRDefault="00E505F6" w:rsidP="005F762C">
            <w:pPr>
              <w:keepNext/>
              <w:keepLines/>
              <w:jc w:val="left"/>
              <w:rPr>
                <w:rFonts w:ascii="Arial Narrow" w:hAnsi="Arial Narrow"/>
                <w:b/>
                <w:sz w:val="20"/>
              </w:rPr>
            </w:pPr>
            <w:r>
              <w:rPr>
                <w:rFonts w:ascii="Arial Narrow" w:hAnsi="Arial Narrow"/>
                <w:b/>
                <w:sz w:val="20"/>
              </w:rPr>
              <w:t>M</w:t>
            </w:r>
            <w:r w:rsidRPr="00690470">
              <w:rPr>
                <w:rFonts w:ascii="Arial Narrow" w:hAnsi="Arial Narrow"/>
                <w:b/>
                <w:sz w:val="20"/>
              </w:rPr>
              <w:t>onthly dosing, Baseline to Week 52</w:t>
            </w:r>
          </w:p>
        </w:tc>
      </w:tr>
      <w:tr w:rsidR="00E505F6" w:rsidRPr="00567EEF" w:rsidTr="00E505F6">
        <w:trPr>
          <w:cantSplit/>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E505F6" w:rsidRDefault="00E505F6" w:rsidP="005F762C">
            <w:pPr>
              <w:keepNext/>
              <w:keepLines/>
              <w:jc w:val="left"/>
              <w:rPr>
                <w:rFonts w:ascii="Arial Narrow" w:hAnsi="Arial Narrow"/>
                <w:sz w:val="20"/>
              </w:rPr>
            </w:pPr>
            <w:r>
              <w:rPr>
                <w:rFonts w:ascii="Arial Narrow" w:hAnsi="Arial Narrow"/>
                <w:sz w:val="20"/>
              </w:rPr>
              <w:t xml:space="preserve">DESCARTES </w:t>
            </w:r>
          </w:p>
          <w:p w:rsidR="00E505F6" w:rsidRPr="00624DAE" w:rsidRDefault="00E505F6" w:rsidP="005F762C">
            <w:pPr>
              <w:keepNext/>
              <w:keepLines/>
              <w:jc w:val="left"/>
              <w:rPr>
                <w:rFonts w:ascii="Arial Narrow" w:hAnsi="Arial Narrow"/>
                <w:sz w:val="20"/>
                <w:vertAlign w:val="superscript"/>
              </w:rPr>
            </w:pPr>
            <w:r>
              <w:rPr>
                <w:rFonts w:ascii="Arial Narrow" w:hAnsi="Arial Narrow"/>
                <w:sz w:val="20"/>
              </w:rPr>
              <w:t>(various background therapies)</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-50.6% </w:t>
            </w:r>
          </w:p>
          <w:p w:rsidR="00E505F6" w:rsidRPr="00481114" w:rsidRDefault="00E505F6" w:rsidP="005F762C">
            <w:pPr>
              <w:keepNext/>
              <w:keepLines/>
              <w:jc w:val="center"/>
              <w:rPr>
                <w:rFonts w:ascii="Arial Narrow" w:hAnsi="Arial Narrow"/>
                <w:sz w:val="20"/>
              </w:rPr>
            </w:pPr>
            <w:r>
              <w:rPr>
                <w:rFonts w:ascii="Arial Narrow" w:hAnsi="Arial Narrow"/>
                <w:sz w:val="20"/>
              </w:rPr>
              <w:t>(-53.2, -48.0)</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w:t>
            </w:r>
          </w:p>
        </w:tc>
        <w:tc>
          <w:tcPr>
            <w:tcW w:w="746" w:type="pct"/>
            <w:tcBorders>
              <w:top w:val="single" w:sz="4" w:space="0" w:color="auto"/>
              <w:left w:val="single" w:sz="4" w:space="0" w:color="auto"/>
              <w:bottom w:val="single" w:sz="4" w:space="0" w:color="auto"/>
              <w:right w:val="single" w:sz="4" w:space="0" w:color="auto"/>
            </w:tcBorders>
            <w:vAlign w:val="center"/>
          </w:tcPr>
          <w:p w:rsidR="00E505F6" w:rsidRDefault="00E505F6" w:rsidP="005F762C">
            <w:pPr>
              <w:keepNext/>
              <w:keepLines/>
              <w:jc w:val="center"/>
              <w:rPr>
                <w:rFonts w:ascii="Arial Narrow" w:hAnsi="Arial Narrow"/>
                <w:sz w:val="20"/>
              </w:rPr>
            </w:pPr>
            <w:r>
              <w:rPr>
                <w:rFonts w:ascii="Arial Narrow" w:hAnsi="Arial Narrow"/>
                <w:sz w:val="20"/>
              </w:rPr>
              <w:t xml:space="preserve">8.7% </w:t>
            </w:r>
          </w:p>
          <w:p w:rsidR="00E505F6" w:rsidRPr="00481114" w:rsidRDefault="00E505F6" w:rsidP="005F762C">
            <w:pPr>
              <w:keepNext/>
              <w:keepLines/>
              <w:jc w:val="center"/>
              <w:rPr>
                <w:rFonts w:ascii="Arial Narrow" w:hAnsi="Arial Narrow"/>
                <w:sz w:val="20"/>
              </w:rPr>
            </w:pPr>
            <w:r>
              <w:rPr>
                <w:rFonts w:ascii="Arial Narrow" w:hAnsi="Arial Narrow"/>
                <w:sz w:val="20"/>
              </w:rPr>
              <w:t>(5.1, 12.4)</w:t>
            </w:r>
          </w:p>
        </w:tc>
        <w:tc>
          <w:tcPr>
            <w:tcW w:w="1696" w:type="pct"/>
            <w:tcBorders>
              <w:top w:val="single" w:sz="4" w:space="0" w:color="auto"/>
              <w:left w:val="single" w:sz="4" w:space="0" w:color="auto"/>
              <w:bottom w:val="single" w:sz="4" w:space="0" w:color="auto"/>
              <w:right w:val="single" w:sz="4" w:space="0" w:color="auto"/>
            </w:tcBorders>
            <w:vAlign w:val="center"/>
          </w:tcPr>
          <w:p w:rsidR="00E505F6" w:rsidRPr="00481114" w:rsidRDefault="00E505F6" w:rsidP="005F762C">
            <w:pPr>
              <w:keepNext/>
              <w:keepLines/>
              <w:jc w:val="center"/>
              <w:rPr>
                <w:rFonts w:ascii="Arial Narrow" w:hAnsi="Arial Narrow"/>
                <w:sz w:val="20"/>
              </w:rPr>
            </w:pPr>
            <w:r>
              <w:rPr>
                <w:rFonts w:ascii="Arial Narrow" w:hAnsi="Arial Narrow"/>
                <w:sz w:val="20"/>
              </w:rPr>
              <w:t>vs placebo: -59.3% (-63.8, -54.9)</w:t>
            </w:r>
          </w:p>
        </w:tc>
      </w:tr>
    </w:tbl>
    <w:p w:rsidR="00E505F6" w:rsidRPr="00567EEF" w:rsidRDefault="00E505F6" w:rsidP="005F762C">
      <w:pPr>
        <w:keepNext/>
        <w:keepLines/>
        <w:ind w:left="720"/>
        <w:rPr>
          <w:rFonts w:ascii="Arial Narrow" w:hAnsi="Arial Narrow"/>
          <w:sz w:val="18"/>
          <w:szCs w:val="18"/>
        </w:rPr>
      </w:pPr>
      <w:r w:rsidRPr="00567EEF">
        <w:rPr>
          <w:rFonts w:ascii="Arial Narrow" w:hAnsi="Arial Narrow"/>
          <w:sz w:val="18"/>
          <w:szCs w:val="18"/>
        </w:rPr>
        <w:t>Abbrevia</w:t>
      </w:r>
      <w:r>
        <w:rPr>
          <w:rFonts w:ascii="Arial Narrow" w:hAnsi="Arial Narrow"/>
          <w:sz w:val="18"/>
          <w:szCs w:val="18"/>
        </w:rPr>
        <w:t xml:space="preserve">tions: CI, confidence interval; </w:t>
      </w:r>
      <w:proofErr w:type="spellStart"/>
      <w:r>
        <w:rPr>
          <w:rFonts w:ascii="Arial Narrow" w:hAnsi="Arial Narrow"/>
          <w:sz w:val="18"/>
          <w:szCs w:val="18"/>
        </w:rPr>
        <w:t>HeFH</w:t>
      </w:r>
      <w:proofErr w:type="spellEnd"/>
      <w:r>
        <w:rPr>
          <w:rFonts w:ascii="Arial Narrow" w:hAnsi="Arial Narrow"/>
          <w:sz w:val="18"/>
          <w:szCs w:val="18"/>
        </w:rPr>
        <w:t xml:space="preserve">, heterozygous familial </w:t>
      </w:r>
      <w:proofErr w:type="spellStart"/>
      <w:r w:rsidR="0038790D">
        <w:rPr>
          <w:rFonts w:ascii="Arial Narrow" w:hAnsi="Arial Narrow"/>
          <w:sz w:val="18"/>
          <w:szCs w:val="18"/>
        </w:rPr>
        <w:t>hypercholesterolaemia</w:t>
      </w:r>
      <w:proofErr w:type="spellEnd"/>
      <w:r>
        <w:rPr>
          <w:rFonts w:ascii="Arial Narrow" w:hAnsi="Arial Narrow"/>
          <w:sz w:val="18"/>
          <w:szCs w:val="18"/>
        </w:rPr>
        <w:t>; LDL, low-density lipoprotein; SD, standard deviation</w:t>
      </w:r>
    </w:p>
    <w:p w:rsidR="00E505F6" w:rsidRPr="00F554A9" w:rsidRDefault="00E505F6" w:rsidP="00F554A9">
      <w:pPr>
        <w:widowControl/>
        <w:rPr>
          <w:szCs w:val="22"/>
        </w:rPr>
      </w:pPr>
    </w:p>
    <w:p w:rsidR="00022621" w:rsidRDefault="00022621" w:rsidP="00022621">
      <w:pPr>
        <w:ind w:left="720"/>
      </w:pPr>
      <w:r w:rsidRPr="00682B85">
        <w:t xml:space="preserve">Treatment with </w:t>
      </w:r>
      <w:proofErr w:type="spellStart"/>
      <w:r w:rsidRPr="00682B85">
        <w:t>evolocumab</w:t>
      </w:r>
      <w:proofErr w:type="spellEnd"/>
      <w:r w:rsidRPr="00682B85">
        <w:t xml:space="preserve"> (fortnightly and monthly dosing) was associated with statistically significant decreases in </w:t>
      </w:r>
      <w:r>
        <w:t xml:space="preserve">calculated </w:t>
      </w:r>
      <w:r w:rsidRPr="00682B85">
        <w:t xml:space="preserve">LDL levels compared to </w:t>
      </w:r>
      <w:proofErr w:type="spellStart"/>
      <w:r w:rsidRPr="00682B85">
        <w:t>ezetimibe</w:t>
      </w:r>
      <w:proofErr w:type="spellEnd"/>
      <w:r w:rsidRPr="00682B85">
        <w:t xml:space="preserve"> (approximately 40% reduction) and placebo (approximately 60-70% reduction) in </w:t>
      </w:r>
      <w:r w:rsidR="00717197">
        <w:t>patients with primary hyperlipidaemia and mixed dyslipidaemia</w:t>
      </w:r>
      <w:r w:rsidRPr="00682B85">
        <w:t xml:space="preserve">. </w:t>
      </w:r>
      <w:r w:rsidR="00AD0694">
        <w:t xml:space="preserve"> </w:t>
      </w:r>
      <w:r>
        <w:t>Subgroup/sensitivity analyses indicate</w:t>
      </w:r>
      <w:r w:rsidR="00E2365C">
        <w:t>d</w:t>
      </w:r>
      <w:r>
        <w:t xml:space="preserve"> that results were broadly consistent using </w:t>
      </w:r>
      <w:r w:rsidRPr="00A0452C">
        <w:t>different LDL assessment methods, different background therapies, different administration protocols and across different patient subgroups</w:t>
      </w:r>
      <w:r w:rsidRPr="00682B85">
        <w:t>.</w:t>
      </w:r>
    </w:p>
    <w:p w:rsidR="0092771B" w:rsidRDefault="0092771B" w:rsidP="00F554A9"/>
    <w:p w:rsidR="0092771B" w:rsidRPr="00567EEF" w:rsidRDefault="0092771B" w:rsidP="00B2418E">
      <w:pPr>
        <w:keepNext/>
        <w:keepLines/>
        <w:ind w:left="720"/>
        <w:rPr>
          <w:rFonts w:ascii="Arial Narrow" w:hAnsi="Arial Narrow"/>
          <w:b/>
          <w:sz w:val="20"/>
        </w:rPr>
      </w:pPr>
      <w:r>
        <w:rPr>
          <w:rFonts w:ascii="Arial Narrow" w:hAnsi="Arial Narrow"/>
          <w:b/>
          <w:sz w:val="20"/>
        </w:rPr>
        <w:lastRenderedPageBreak/>
        <w:t xml:space="preserve">Mean percent change in calculated LDL levels </w:t>
      </w:r>
      <w:r w:rsidRPr="00B96F0E">
        <w:rPr>
          <w:rFonts w:ascii="Arial Narrow" w:hAnsi="Arial Narrow"/>
          <w:b/>
          <w:sz w:val="20"/>
        </w:rPr>
        <w:t>in patients with</w:t>
      </w:r>
      <w:r>
        <w:rPr>
          <w:rFonts w:ascii="Arial Narrow" w:hAnsi="Arial Narrow"/>
          <w:b/>
          <w:sz w:val="20"/>
        </w:rPr>
        <w:t xml:space="preserve"> homozygous familial </w:t>
      </w:r>
      <w:proofErr w:type="spellStart"/>
      <w:r w:rsidR="0038790D">
        <w:rPr>
          <w:rFonts w:ascii="Arial Narrow" w:hAnsi="Arial Narrow"/>
          <w:b/>
          <w:sz w:val="20"/>
        </w:rPr>
        <w:t>hypercholesterolaemia</w:t>
      </w:r>
      <w:proofErr w:type="spellEnd"/>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49"/>
        <w:gridCol w:w="1452"/>
        <w:gridCol w:w="2836"/>
      </w:tblGrid>
      <w:tr w:rsidR="0092771B" w:rsidRPr="00567EEF" w:rsidTr="0092771B">
        <w:trPr>
          <w:cantSplit/>
          <w:trHeight w:val="167"/>
          <w:tblHeader/>
        </w:trPr>
        <w:tc>
          <w:tcPr>
            <w:tcW w:w="1563" w:type="pct"/>
            <w:tcBorders>
              <w:right w:val="single" w:sz="4" w:space="0" w:color="auto"/>
            </w:tcBorders>
            <w:shd w:val="clear" w:color="auto" w:fill="auto"/>
            <w:vAlign w:val="center"/>
          </w:tcPr>
          <w:p w:rsidR="0092771B" w:rsidRPr="00567EEF" w:rsidRDefault="0092771B" w:rsidP="00B2418E">
            <w:pPr>
              <w:keepNext/>
              <w:keepLines/>
              <w:jc w:val="center"/>
              <w:rPr>
                <w:rFonts w:ascii="Arial Narrow" w:hAnsi="Arial Narrow"/>
                <w:b/>
                <w:sz w:val="20"/>
              </w:rPr>
            </w:pPr>
            <w:r>
              <w:rPr>
                <w:rFonts w:ascii="Arial Narrow" w:hAnsi="Arial Narrow"/>
                <w:b/>
                <w:sz w:val="20"/>
              </w:rPr>
              <w:t>Trial</w:t>
            </w:r>
          </w:p>
        </w:tc>
        <w:tc>
          <w:tcPr>
            <w:tcW w:w="868" w:type="pct"/>
            <w:tcBorders>
              <w:left w:val="single" w:sz="4" w:space="0" w:color="auto"/>
              <w:right w:val="single" w:sz="4" w:space="0" w:color="auto"/>
            </w:tcBorders>
            <w:shd w:val="clear" w:color="auto" w:fill="auto"/>
            <w:vAlign w:val="center"/>
          </w:tcPr>
          <w:p w:rsidR="0092771B" w:rsidRDefault="0092771B" w:rsidP="00B2418E">
            <w:pPr>
              <w:keepNext/>
              <w:keepLines/>
              <w:jc w:val="center"/>
              <w:rPr>
                <w:rFonts w:ascii="Arial Narrow" w:hAnsi="Arial Narrow"/>
                <w:b/>
                <w:sz w:val="20"/>
              </w:rPr>
            </w:pPr>
            <w:proofErr w:type="spellStart"/>
            <w:r>
              <w:rPr>
                <w:rFonts w:ascii="Arial Narrow" w:hAnsi="Arial Narrow"/>
                <w:b/>
                <w:sz w:val="20"/>
              </w:rPr>
              <w:t>Evolocumab</w:t>
            </w:r>
            <w:proofErr w:type="spellEnd"/>
            <w:r>
              <w:rPr>
                <w:rFonts w:ascii="Arial Narrow" w:hAnsi="Arial Narrow"/>
                <w:b/>
                <w:sz w:val="20"/>
              </w:rPr>
              <w:t>,</w:t>
            </w:r>
          </w:p>
          <w:p w:rsidR="0092771B" w:rsidRDefault="0092771B" w:rsidP="00B2418E">
            <w:pPr>
              <w:keepNext/>
              <w:keepLines/>
              <w:jc w:val="center"/>
              <w:rPr>
                <w:rFonts w:ascii="Arial Narrow" w:hAnsi="Arial Narrow"/>
                <w:b/>
                <w:sz w:val="20"/>
              </w:rPr>
            </w:pPr>
            <w:r>
              <w:rPr>
                <w:rFonts w:ascii="Arial Narrow" w:hAnsi="Arial Narrow"/>
                <w:b/>
                <w:sz w:val="20"/>
              </w:rPr>
              <w:t>Mean (95% CI)</w:t>
            </w:r>
          </w:p>
        </w:tc>
        <w:tc>
          <w:tcPr>
            <w:tcW w:w="870" w:type="pct"/>
            <w:tcBorders>
              <w:left w:val="single" w:sz="4" w:space="0" w:color="auto"/>
              <w:right w:val="single" w:sz="4" w:space="0" w:color="auto"/>
            </w:tcBorders>
            <w:shd w:val="clear" w:color="auto" w:fill="auto"/>
            <w:vAlign w:val="center"/>
          </w:tcPr>
          <w:p w:rsidR="0092771B" w:rsidRDefault="0092771B" w:rsidP="00B2418E">
            <w:pPr>
              <w:keepNext/>
              <w:keepLines/>
              <w:jc w:val="center"/>
              <w:rPr>
                <w:rFonts w:ascii="Arial Narrow" w:hAnsi="Arial Narrow"/>
                <w:b/>
                <w:sz w:val="20"/>
              </w:rPr>
            </w:pPr>
            <w:r>
              <w:rPr>
                <w:rFonts w:ascii="Arial Narrow" w:hAnsi="Arial Narrow"/>
                <w:b/>
                <w:sz w:val="20"/>
              </w:rPr>
              <w:t>Placebo,</w:t>
            </w:r>
          </w:p>
          <w:p w:rsidR="0092771B" w:rsidRDefault="0092771B" w:rsidP="00B2418E">
            <w:pPr>
              <w:keepNext/>
              <w:keepLines/>
              <w:jc w:val="center"/>
              <w:rPr>
                <w:rFonts w:ascii="Arial Narrow" w:hAnsi="Arial Narrow"/>
                <w:b/>
                <w:sz w:val="20"/>
              </w:rPr>
            </w:pPr>
            <w:r>
              <w:rPr>
                <w:rFonts w:ascii="Arial Narrow" w:hAnsi="Arial Narrow"/>
                <w:b/>
                <w:sz w:val="20"/>
              </w:rPr>
              <w:t xml:space="preserve"> Mean (95% CI)</w:t>
            </w:r>
          </w:p>
        </w:tc>
        <w:tc>
          <w:tcPr>
            <w:tcW w:w="1699" w:type="pct"/>
            <w:tcBorders>
              <w:left w:val="single" w:sz="4" w:space="0" w:color="auto"/>
            </w:tcBorders>
            <w:shd w:val="clear" w:color="auto" w:fill="auto"/>
            <w:vAlign w:val="center"/>
          </w:tcPr>
          <w:p w:rsidR="0092771B" w:rsidRDefault="0092771B" w:rsidP="00B2418E">
            <w:pPr>
              <w:keepNext/>
              <w:keepLines/>
              <w:jc w:val="center"/>
              <w:rPr>
                <w:rFonts w:ascii="Arial Narrow" w:hAnsi="Arial Narrow"/>
                <w:b/>
                <w:sz w:val="20"/>
              </w:rPr>
            </w:pPr>
            <w:r>
              <w:rPr>
                <w:rFonts w:ascii="Arial Narrow" w:hAnsi="Arial Narrow"/>
                <w:b/>
                <w:sz w:val="20"/>
              </w:rPr>
              <w:t xml:space="preserve">Treatment difference, </w:t>
            </w:r>
          </w:p>
          <w:p w:rsidR="0092771B" w:rsidRPr="00567EEF" w:rsidRDefault="0092771B" w:rsidP="00B2418E">
            <w:pPr>
              <w:keepNext/>
              <w:keepLines/>
              <w:jc w:val="center"/>
              <w:rPr>
                <w:rFonts w:ascii="Arial Narrow" w:hAnsi="Arial Narrow"/>
                <w:b/>
                <w:sz w:val="20"/>
              </w:rPr>
            </w:pPr>
            <w:r>
              <w:rPr>
                <w:rFonts w:ascii="Arial Narrow" w:hAnsi="Arial Narrow"/>
                <w:b/>
                <w:sz w:val="20"/>
              </w:rPr>
              <w:t>Mean (95% CI)</w:t>
            </w:r>
          </w:p>
        </w:tc>
      </w:tr>
      <w:tr w:rsidR="0092771B" w:rsidRPr="00567EEF" w:rsidTr="0092771B">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2771B" w:rsidRPr="001D6C6F" w:rsidRDefault="0092771B" w:rsidP="00B2418E">
            <w:pPr>
              <w:keepNext/>
              <w:keepLines/>
              <w:jc w:val="left"/>
              <w:rPr>
                <w:rFonts w:ascii="Arial Narrow" w:hAnsi="Arial Narrow"/>
                <w:b/>
                <w:sz w:val="20"/>
              </w:rPr>
            </w:pPr>
            <w:r>
              <w:rPr>
                <w:rFonts w:ascii="Arial Narrow" w:hAnsi="Arial Narrow"/>
                <w:b/>
                <w:sz w:val="20"/>
              </w:rPr>
              <w:t>Monthly dosing, Baseline to Week 12</w:t>
            </w:r>
          </w:p>
        </w:tc>
      </w:tr>
      <w:tr w:rsidR="0092771B" w:rsidRPr="00567EEF" w:rsidTr="0092771B">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92771B" w:rsidRDefault="0092771B" w:rsidP="00B2418E">
            <w:pPr>
              <w:keepNext/>
              <w:keepLines/>
              <w:jc w:val="left"/>
              <w:rPr>
                <w:rFonts w:ascii="Arial Narrow" w:hAnsi="Arial Narrow"/>
                <w:sz w:val="20"/>
              </w:rPr>
            </w:pPr>
            <w:r>
              <w:rPr>
                <w:rFonts w:ascii="Arial Narrow" w:hAnsi="Arial Narrow"/>
                <w:sz w:val="20"/>
              </w:rPr>
              <w:t>TESLA (</w:t>
            </w:r>
            <w:proofErr w:type="spellStart"/>
            <w:r>
              <w:rPr>
                <w:rFonts w:ascii="Arial Narrow" w:hAnsi="Arial Narrow"/>
                <w:sz w:val="20"/>
              </w:rPr>
              <w:t>HoFH</w:t>
            </w:r>
            <w:proofErr w:type="spellEnd"/>
            <w:r>
              <w:rPr>
                <w:rFonts w:ascii="Arial Narrow" w:hAnsi="Arial Narrow"/>
                <w:sz w:val="20"/>
              </w:rPr>
              <w:t>)</w:t>
            </w:r>
          </w:p>
        </w:tc>
        <w:tc>
          <w:tcPr>
            <w:tcW w:w="868"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Pr>
                <w:rFonts w:ascii="Arial Narrow" w:hAnsi="Arial Narrow"/>
                <w:sz w:val="20"/>
              </w:rPr>
              <w:t xml:space="preserve">-23.1% </w:t>
            </w:r>
          </w:p>
          <w:p w:rsidR="0092771B" w:rsidRPr="00481114" w:rsidRDefault="0092771B" w:rsidP="00B2418E">
            <w:pPr>
              <w:keepNext/>
              <w:keepLines/>
              <w:jc w:val="center"/>
              <w:rPr>
                <w:rFonts w:ascii="Arial Narrow" w:hAnsi="Arial Narrow"/>
                <w:sz w:val="20"/>
              </w:rPr>
            </w:pPr>
            <w:r>
              <w:rPr>
                <w:rFonts w:ascii="Arial Narrow" w:hAnsi="Arial Narrow"/>
                <w:sz w:val="20"/>
              </w:rPr>
              <w:t>(-30.8, -15.4)</w:t>
            </w:r>
          </w:p>
        </w:tc>
        <w:tc>
          <w:tcPr>
            <w:tcW w:w="870"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Pr>
                <w:rFonts w:ascii="Arial Narrow" w:hAnsi="Arial Narrow"/>
                <w:sz w:val="20"/>
              </w:rPr>
              <w:t xml:space="preserve">9.0% </w:t>
            </w:r>
          </w:p>
          <w:p w:rsidR="0092771B" w:rsidRPr="00481114" w:rsidRDefault="0092771B" w:rsidP="00B2418E">
            <w:pPr>
              <w:keepNext/>
              <w:keepLines/>
              <w:jc w:val="center"/>
              <w:rPr>
                <w:rFonts w:ascii="Arial Narrow" w:hAnsi="Arial Narrow"/>
                <w:sz w:val="20"/>
              </w:rPr>
            </w:pPr>
            <w:r>
              <w:rPr>
                <w:rFonts w:ascii="Arial Narrow" w:hAnsi="Arial Narrow"/>
                <w:sz w:val="20"/>
              </w:rPr>
              <w:t>(-1.5, 19.6)</w:t>
            </w:r>
          </w:p>
        </w:tc>
        <w:tc>
          <w:tcPr>
            <w:tcW w:w="1699" w:type="pct"/>
            <w:tcBorders>
              <w:top w:val="single" w:sz="4" w:space="0" w:color="auto"/>
              <w:left w:val="single" w:sz="4" w:space="0" w:color="auto"/>
              <w:bottom w:val="single" w:sz="4" w:space="0" w:color="auto"/>
              <w:right w:val="single" w:sz="4" w:space="0" w:color="auto"/>
            </w:tcBorders>
            <w:vAlign w:val="center"/>
          </w:tcPr>
          <w:p w:rsidR="0092771B" w:rsidRPr="00481114" w:rsidRDefault="0092771B" w:rsidP="00B2418E">
            <w:pPr>
              <w:keepNext/>
              <w:keepLines/>
              <w:jc w:val="center"/>
              <w:rPr>
                <w:rFonts w:ascii="Arial Narrow" w:hAnsi="Arial Narrow"/>
                <w:sz w:val="20"/>
              </w:rPr>
            </w:pPr>
            <w:r>
              <w:rPr>
                <w:rFonts w:ascii="Arial Narrow" w:hAnsi="Arial Narrow"/>
                <w:sz w:val="20"/>
              </w:rPr>
              <w:t xml:space="preserve">vs. placebo: </w:t>
            </w:r>
            <w:r w:rsidRPr="00571A98">
              <w:rPr>
                <w:rFonts w:ascii="Arial Narrow" w:hAnsi="Arial Narrow"/>
                <w:sz w:val="20"/>
              </w:rPr>
              <w:t>-32.1</w:t>
            </w:r>
            <w:r>
              <w:rPr>
                <w:rFonts w:ascii="Arial Narrow" w:hAnsi="Arial Narrow"/>
                <w:sz w:val="20"/>
              </w:rPr>
              <w:t>%</w:t>
            </w:r>
            <w:r w:rsidRPr="00571A98">
              <w:rPr>
                <w:rFonts w:ascii="Arial Narrow" w:hAnsi="Arial Narrow"/>
                <w:sz w:val="20"/>
              </w:rPr>
              <w:t xml:space="preserve"> (-45.1, -19.2)</w:t>
            </w:r>
          </w:p>
        </w:tc>
      </w:tr>
      <w:tr w:rsidR="0092771B" w:rsidRPr="00567EEF" w:rsidTr="0092771B">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92771B" w:rsidRDefault="0092771B" w:rsidP="00B2418E">
            <w:pPr>
              <w:keepNext/>
              <w:keepLines/>
              <w:jc w:val="left"/>
              <w:rPr>
                <w:rFonts w:ascii="Arial Narrow" w:hAnsi="Arial Narrow"/>
                <w:sz w:val="20"/>
              </w:rPr>
            </w:pPr>
            <w:r>
              <w:rPr>
                <w:rFonts w:ascii="Arial Narrow" w:hAnsi="Arial Narrow"/>
                <w:sz w:val="20"/>
              </w:rPr>
              <w:t>- LDLR defective subgroup</w:t>
            </w:r>
          </w:p>
        </w:tc>
        <w:tc>
          <w:tcPr>
            <w:tcW w:w="868"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Pr>
                <w:rFonts w:ascii="Arial Narrow" w:hAnsi="Arial Narrow"/>
                <w:sz w:val="20"/>
              </w:rPr>
              <w:t xml:space="preserve">-29.3% </w:t>
            </w:r>
          </w:p>
          <w:p w:rsidR="0092771B" w:rsidRPr="00481114" w:rsidRDefault="0092771B" w:rsidP="00B2418E">
            <w:pPr>
              <w:keepNext/>
              <w:keepLines/>
              <w:jc w:val="center"/>
              <w:rPr>
                <w:rFonts w:ascii="Arial Narrow" w:hAnsi="Arial Narrow"/>
                <w:sz w:val="20"/>
              </w:rPr>
            </w:pPr>
            <w:r>
              <w:rPr>
                <w:rFonts w:ascii="Arial Narrow" w:hAnsi="Arial Narrow"/>
                <w:sz w:val="20"/>
              </w:rPr>
              <w:t>(-36.2, -22.4)</w:t>
            </w:r>
          </w:p>
        </w:tc>
        <w:tc>
          <w:tcPr>
            <w:tcW w:w="870"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Pr>
                <w:rFonts w:ascii="Arial Narrow" w:hAnsi="Arial Narrow"/>
                <w:sz w:val="20"/>
              </w:rPr>
              <w:t xml:space="preserve">12.0% </w:t>
            </w:r>
          </w:p>
          <w:p w:rsidR="0092771B" w:rsidRDefault="0092771B" w:rsidP="00B2418E">
            <w:pPr>
              <w:keepNext/>
              <w:keepLines/>
              <w:jc w:val="center"/>
              <w:rPr>
                <w:rFonts w:ascii="Arial Narrow" w:hAnsi="Arial Narrow"/>
                <w:sz w:val="20"/>
              </w:rPr>
            </w:pPr>
            <w:r>
              <w:rPr>
                <w:rFonts w:ascii="Arial Narrow" w:hAnsi="Arial Narrow"/>
                <w:sz w:val="20"/>
              </w:rPr>
              <w:t>(1.5, 22.4)</w:t>
            </w:r>
          </w:p>
        </w:tc>
        <w:tc>
          <w:tcPr>
            <w:tcW w:w="1699" w:type="pct"/>
            <w:tcBorders>
              <w:top w:val="single" w:sz="4" w:space="0" w:color="auto"/>
              <w:left w:val="single" w:sz="4" w:space="0" w:color="auto"/>
              <w:bottom w:val="single" w:sz="4" w:space="0" w:color="auto"/>
              <w:right w:val="single" w:sz="4" w:space="0" w:color="auto"/>
            </w:tcBorders>
            <w:vAlign w:val="center"/>
          </w:tcPr>
          <w:p w:rsidR="0092771B" w:rsidRPr="00481114" w:rsidRDefault="0092771B" w:rsidP="00B2418E">
            <w:pPr>
              <w:keepNext/>
              <w:keepLines/>
              <w:jc w:val="center"/>
              <w:rPr>
                <w:rFonts w:ascii="Arial Narrow" w:hAnsi="Arial Narrow"/>
                <w:sz w:val="20"/>
              </w:rPr>
            </w:pPr>
            <w:r>
              <w:rPr>
                <w:rFonts w:ascii="Arial Narrow" w:hAnsi="Arial Narrow"/>
                <w:sz w:val="20"/>
              </w:rPr>
              <w:t>vs. placebo: -41.3% (-53.8, -28.7)</w:t>
            </w:r>
          </w:p>
        </w:tc>
      </w:tr>
      <w:tr w:rsidR="0092771B" w:rsidRPr="00567EEF" w:rsidTr="0092771B">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92771B" w:rsidRDefault="0092771B" w:rsidP="00B2418E">
            <w:pPr>
              <w:keepNext/>
              <w:keepLines/>
              <w:jc w:val="left"/>
              <w:rPr>
                <w:rFonts w:ascii="Arial Narrow" w:hAnsi="Arial Narrow"/>
                <w:sz w:val="20"/>
              </w:rPr>
            </w:pPr>
            <w:r>
              <w:rPr>
                <w:rFonts w:ascii="Arial Narrow" w:hAnsi="Arial Narrow"/>
                <w:sz w:val="20"/>
              </w:rPr>
              <w:t>- LDLR non-defective subgroup</w:t>
            </w:r>
          </w:p>
        </w:tc>
        <w:tc>
          <w:tcPr>
            <w:tcW w:w="868"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sidRPr="00225835">
              <w:rPr>
                <w:rFonts w:ascii="Arial Narrow" w:hAnsi="Arial Narrow"/>
                <w:sz w:val="20"/>
              </w:rPr>
              <w:t xml:space="preserve">-12.5% </w:t>
            </w:r>
          </w:p>
          <w:p w:rsidR="0092771B" w:rsidRPr="00481114" w:rsidRDefault="0092771B" w:rsidP="00B2418E">
            <w:pPr>
              <w:keepNext/>
              <w:keepLines/>
              <w:jc w:val="center"/>
              <w:rPr>
                <w:rFonts w:ascii="Arial Narrow" w:hAnsi="Arial Narrow"/>
                <w:sz w:val="20"/>
              </w:rPr>
            </w:pPr>
            <w:r w:rsidRPr="00225835">
              <w:rPr>
                <w:rFonts w:ascii="Arial Narrow" w:hAnsi="Arial Narrow"/>
                <w:sz w:val="20"/>
              </w:rPr>
              <w:t>(-29.5, 4.5)</w:t>
            </w:r>
          </w:p>
        </w:tc>
        <w:tc>
          <w:tcPr>
            <w:tcW w:w="870" w:type="pct"/>
            <w:tcBorders>
              <w:top w:val="single" w:sz="4" w:space="0" w:color="auto"/>
              <w:left w:val="single" w:sz="4" w:space="0" w:color="auto"/>
              <w:bottom w:val="single" w:sz="4" w:space="0" w:color="auto"/>
              <w:right w:val="single" w:sz="4" w:space="0" w:color="auto"/>
            </w:tcBorders>
            <w:vAlign w:val="center"/>
          </w:tcPr>
          <w:p w:rsidR="0092771B" w:rsidRDefault="0092771B" w:rsidP="00B2418E">
            <w:pPr>
              <w:keepNext/>
              <w:keepLines/>
              <w:jc w:val="center"/>
              <w:rPr>
                <w:rFonts w:ascii="Arial Narrow" w:hAnsi="Arial Narrow"/>
                <w:sz w:val="20"/>
              </w:rPr>
            </w:pPr>
            <w:r w:rsidRPr="00225835">
              <w:rPr>
                <w:rFonts w:ascii="Arial Narrow" w:hAnsi="Arial Narrow"/>
                <w:sz w:val="20"/>
              </w:rPr>
              <w:t xml:space="preserve">7.0% </w:t>
            </w:r>
          </w:p>
          <w:p w:rsidR="0092771B" w:rsidRDefault="0092771B" w:rsidP="00B2418E">
            <w:pPr>
              <w:keepNext/>
              <w:keepLines/>
              <w:jc w:val="center"/>
              <w:rPr>
                <w:rFonts w:ascii="Arial Narrow" w:hAnsi="Arial Narrow"/>
                <w:sz w:val="20"/>
              </w:rPr>
            </w:pPr>
            <w:r w:rsidRPr="00225835">
              <w:rPr>
                <w:rFonts w:ascii="Arial Narrow" w:hAnsi="Arial Narrow"/>
                <w:sz w:val="20"/>
              </w:rPr>
              <w:t>(-13.8, 27.7)</w:t>
            </w:r>
          </w:p>
        </w:tc>
        <w:tc>
          <w:tcPr>
            <w:tcW w:w="1699" w:type="pct"/>
            <w:tcBorders>
              <w:top w:val="single" w:sz="4" w:space="0" w:color="auto"/>
              <w:left w:val="single" w:sz="4" w:space="0" w:color="auto"/>
              <w:bottom w:val="single" w:sz="4" w:space="0" w:color="auto"/>
              <w:right w:val="single" w:sz="4" w:space="0" w:color="auto"/>
            </w:tcBorders>
            <w:vAlign w:val="center"/>
          </w:tcPr>
          <w:p w:rsidR="0092771B" w:rsidRPr="00481114" w:rsidRDefault="0092771B" w:rsidP="00B2418E">
            <w:pPr>
              <w:keepNext/>
              <w:keepLines/>
              <w:jc w:val="center"/>
              <w:rPr>
                <w:rFonts w:ascii="Arial Narrow" w:hAnsi="Arial Narrow"/>
                <w:sz w:val="20"/>
              </w:rPr>
            </w:pPr>
            <w:r>
              <w:rPr>
                <w:rFonts w:ascii="Arial Narrow" w:hAnsi="Arial Narrow"/>
                <w:sz w:val="20"/>
              </w:rPr>
              <w:t>vs. placebo: -19.5% (-45.4, 6.5)</w:t>
            </w:r>
          </w:p>
        </w:tc>
      </w:tr>
    </w:tbl>
    <w:p w:rsidR="0092771B" w:rsidRPr="00567EEF" w:rsidRDefault="0092771B" w:rsidP="00B2418E">
      <w:pPr>
        <w:keepNext/>
        <w:keepLines/>
        <w:ind w:left="720"/>
        <w:rPr>
          <w:rFonts w:ascii="Arial Narrow" w:hAnsi="Arial Narrow"/>
          <w:sz w:val="18"/>
          <w:szCs w:val="18"/>
        </w:rPr>
      </w:pPr>
      <w:r w:rsidRPr="00567EEF">
        <w:rPr>
          <w:rFonts w:ascii="Arial Narrow" w:hAnsi="Arial Narrow"/>
          <w:sz w:val="18"/>
          <w:szCs w:val="18"/>
        </w:rPr>
        <w:t>Abbrevia</w:t>
      </w:r>
      <w:r>
        <w:rPr>
          <w:rFonts w:ascii="Arial Narrow" w:hAnsi="Arial Narrow"/>
          <w:sz w:val="18"/>
          <w:szCs w:val="18"/>
        </w:rPr>
        <w:t xml:space="preserve">tions: CI, confidence interval; </w:t>
      </w:r>
      <w:proofErr w:type="spellStart"/>
      <w:r>
        <w:rPr>
          <w:rFonts w:ascii="Arial Narrow" w:hAnsi="Arial Narrow"/>
          <w:sz w:val="18"/>
          <w:szCs w:val="18"/>
        </w:rPr>
        <w:t>HoFH</w:t>
      </w:r>
      <w:proofErr w:type="spellEnd"/>
      <w:r>
        <w:rPr>
          <w:rFonts w:ascii="Arial Narrow" w:hAnsi="Arial Narrow"/>
          <w:sz w:val="18"/>
          <w:szCs w:val="18"/>
        </w:rPr>
        <w:t xml:space="preserve">, homozygous familial </w:t>
      </w:r>
      <w:proofErr w:type="spellStart"/>
      <w:r w:rsidR="0038790D">
        <w:rPr>
          <w:rFonts w:ascii="Arial Narrow" w:hAnsi="Arial Narrow"/>
          <w:sz w:val="18"/>
          <w:szCs w:val="18"/>
        </w:rPr>
        <w:t>hypercholesterolaemia</w:t>
      </w:r>
      <w:proofErr w:type="spellEnd"/>
      <w:r>
        <w:rPr>
          <w:rFonts w:ascii="Arial Narrow" w:hAnsi="Arial Narrow"/>
          <w:sz w:val="18"/>
          <w:szCs w:val="18"/>
        </w:rPr>
        <w:t>; LDL, low-density lipoprotein; LDLR, low density lipoprotein receptor; RCT, randomised controlled trial; SD, standard deviation</w:t>
      </w:r>
    </w:p>
    <w:p w:rsidR="0092771B" w:rsidRPr="00F554A9" w:rsidRDefault="0092771B" w:rsidP="0092771B">
      <w:pPr>
        <w:rPr>
          <w:szCs w:val="22"/>
        </w:rPr>
      </w:pPr>
    </w:p>
    <w:p w:rsidR="0092771B" w:rsidRDefault="0092771B" w:rsidP="0092771B">
      <w:pPr>
        <w:ind w:left="720"/>
      </w:pPr>
      <w:r w:rsidRPr="00682B85">
        <w:t xml:space="preserve">Treatment with </w:t>
      </w:r>
      <w:r>
        <w:t xml:space="preserve">monthly </w:t>
      </w:r>
      <w:proofErr w:type="spellStart"/>
      <w:r>
        <w:t>evolocumab</w:t>
      </w:r>
      <w:proofErr w:type="spellEnd"/>
      <w:r>
        <w:t xml:space="preserve"> </w:t>
      </w:r>
      <w:r w:rsidRPr="00682B85">
        <w:t xml:space="preserve">was associated with statistically significant decreases in </w:t>
      </w:r>
      <w:r>
        <w:t xml:space="preserve">calculated </w:t>
      </w:r>
      <w:r w:rsidRPr="00682B85">
        <w:t xml:space="preserve">LDL levels compared to </w:t>
      </w:r>
      <w:r>
        <w:t>placebo (approximately 30</w:t>
      </w:r>
      <w:r w:rsidRPr="00682B85">
        <w:t>% reduction) in</w:t>
      </w:r>
      <w:r>
        <w:t xml:space="preserve"> the overall trial population of homozygous familial </w:t>
      </w:r>
      <w:proofErr w:type="spellStart"/>
      <w:r w:rsidR="0038790D">
        <w:t>hypercholesterolaemia</w:t>
      </w:r>
      <w:proofErr w:type="spellEnd"/>
      <w:r>
        <w:t xml:space="preserve"> patients. </w:t>
      </w:r>
      <w:r w:rsidR="00AD0694">
        <w:t xml:space="preserve"> </w:t>
      </w:r>
      <w:r>
        <w:t>Subgroup analyses suggest</w:t>
      </w:r>
      <w:r w:rsidR="00E2365C">
        <w:t>ed</w:t>
      </w:r>
      <w:r>
        <w:t xml:space="preserve"> that </w:t>
      </w:r>
      <w:r w:rsidR="009C67B9">
        <w:t>low-density lipoprotein receptor (</w:t>
      </w:r>
      <w:r>
        <w:t>LDLR</w:t>
      </w:r>
      <w:r w:rsidR="009C67B9">
        <w:t>)</w:t>
      </w:r>
      <w:r>
        <w:t xml:space="preserve"> status may be a treatment effect modifier with </w:t>
      </w:r>
      <w:proofErr w:type="spellStart"/>
      <w:r>
        <w:t>evolocumab</w:t>
      </w:r>
      <w:proofErr w:type="spellEnd"/>
      <w:r>
        <w:t xml:space="preserve"> showing greater reduction in patients who are LDLR defective versus patients who are LDLR non-defective.</w:t>
      </w:r>
    </w:p>
    <w:p w:rsidR="00AD5D93" w:rsidRDefault="00AD5D93" w:rsidP="00F554A9"/>
    <w:p w:rsidR="000E32B5" w:rsidRPr="00E51BEB" w:rsidRDefault="00AD5D93" w:rsidP="000E32B5">
      <w:pPr>
        <w:pStyle w:val="ListParagraph"/>
      </w:pPr>
      <w:r w:rsidRPr="00E51BEB">
        <w:t>The current published literature supports the hypothesis that a reduction in LDL</w:t>
      </w:r>
      <w:r w:rsidRPr="00190AFD">
        <w:rPr>
          <w:i/>
        </w:rPr>
        <w:t xml:space="preserve"> </w:t>
      </w:r>
      <w:r w:rsidRPr="00E51BEB">
        <w:t xml:space="preserve">levels is associated with a reduction in cardiovascular risk. </w:t>
      </w:r>
      <w:r w:rsidR="00F40121">
        <w:t xml:space="preserve"> </w:t>
      </w:r>
      <w:r w:rsidRPr="00E51BEB">
        <w:t xml:space="preserve">Therefore the greater LDL reductions associated with </w:t>
      </w:r>
      <w:proofErr w:type="spellStart"/>
      <w:r w:rsidRPr="00E51BEB">
        <w:t>evolocumab</w:t>
      </w:r>
      <w:proofErr w:type="spellEnd"/>
      <w:r w:rsidRPr="00E51BEB">
        <w:t xml:space="preserve"> treatment compared to </w:t>
      </w:r>
      <w:proofErr w:type="spellStart"/>
      <w:r w:rsidRPr="00E51BEB">
        <w:t>ezetimibe</w:t>
      </w:r>
      <w:proofErr w:type="spellEnd"/>
      <w:r w:rsidRPr="00E51BEB">
        <w:t xml:space="preserve"> and placebo </w:t>
      </w:r>
      <w:r w:rsidR="002122DB">
        <w:t>may</w:t>
      </w:r>
      <w:r w:rsidRPr="00E51BEB">
        <w:t xml:space="preserve"> translate into meaningful reductions in cardiovascular events. </w:t>
      </w:r>
      <w:r w:rsidR="00F40121">
        <w:t xml:space="preserve"> </w:t>
      </w:r>
      <w:r w:rsidRPr="00E51BEB">
        <w:t>However, the magni</w:t>
      </w:r>
      <w:r w:rsidR="000E32B5" w:rsidRPr="00E51BEB">
        <w:t>tude of benefit remains unclear as there are specific issues with LDL hypothesis which may affect the application of these findings to</w:t>
      </w:r>
      <w:r w:rsidR="00F554A9">
        <w:t xml:space="preserve"> the </w:t>
      </w:r>
      <w:proofErr w:type="spellStart"/>
      <w:r w:rsidR="00F554A9">
        <w:t>evolocumab</w:t>
      </w:r>
      <w:proofErr w:type="spellEnd"/>
      <w:r w:rsidR="00F554A9">
        <w:t xml:space="preserve"> trial results:</w:t>
      </w:r>
    </w:p>
    <w:p w:rsidR="000E32B5" w:rsidRPr="007C7985" w:rsidRDefault="000E32B5" w:rsidP="00AD0694">
      <w:pPr>
        <w:pStyle w:val="ListParagraph"/>
        <w:numPr>
          <w:ilvl w:val="0"/>
          <w:numId w:val="24"/>
        </w:numPr>
        <w:ind w:left="1134"/>
      </w:pPr>
      <w:r w:rsidRPr="007C7985">
        <w:t>Whether it is reasonable to extrapolate further clinical benefit beyond the range of absolute changes reported in the C</w:t>
      </w:r>
      <w:r w:rsidR="000A3B2C">
        <w:t>TTC analysis (approximately 0-2 </w:t>
      </w:r>
      <w:proofErr w:type="spellStart"/>
      <w:r w:rsidRPr="007C7985">
        <w:t>mmol</w:t>
      </w:r>
      <w:proofErr w:type="spellEnd"/>
      <w:r w:rsidRPr="007C7985">
        <w:t xml:space="preserve">/L)? </w:t>
      </w:r>
      <w:r w:rsidR="00AD0694">
        <w:t xml:space="preserve"> </w:t>
      </w:r>
      <w:r w:rsidRPr="007C7985">
        <w:t>How much cardiovascular risk is actually modifiable th</w:t>
      </w:r>
      <w:r w:rsidR="00F554A9" w:rsidRPr="007C7985">
        <w:t>rough reductions in LDL levels?</w:t>
      </w:r>
    </w:p>
    <w:p w:rsidR="000E32B5" w:rsidRPr="007C7985" w:rsidRDefault="000E32B5" w:rsidP="00AD0694">
      <w:pPr>
        <w:pStyle w:val="ListParagraph"/>
        <w:numPr>
          <w:ilvl w:val="0"/>
          <w:numId w:val="24"/>
        </w:numPr>
        <w:ind w:left="1134"/>
      </w:pPr>
      <w:r w:rsidRPr="007C7985">
        <w:t>Whether it is reasonable to extrapolate further clinical benefits from achieving endpoint LDL levels lower than those reported in the CTT</w:t>
      </w:r>
      <w:r w:rsidR="00AD0694">
        <w:t>C analysis (approximately 1.5-3 </w:t>
      </w:r>
      <w:proofErr w:type="spellStart"/>
      <w:r w:rsidRPr="007C7985">
        <w:t>mmol</w:t>
      </w:r>
      <w:proofErr w:type="spellEnd"/>
      <w:r w:rsidRPr="007C7985">
        <w:t>/L) and IMPR</w:t>
      </w:r>
      <w:r w:rsidR="00AD0694">
        <w:t xml:space="preserve">OVE-IT trial </w:t>
      </w:r>
      <w:proofErr w:type="gramStart"/>
      <w:r w:rsidR="00AD0694">
        <w:t>(approximately 1.3 </w:t>
      </w:r>
      <w:proofErr w:type="spellStart"/>
      <w:r w:rsidRPr="007C7985">
        <w:t>mmol</w:t>
      </w:r>
      <w:proofErr w:type="spellEnd"/>
      <w:r w:rsidRPr="007C7985">
        <w:t>/L)</w:t>
      </w:r>
      <w:proofErr w:type="gramEnd"/>
      <w:r w:rsidRPr="007C7985">
        <w:t xml:space="preserve">? </w:t>
      </w:r>
      <w:r w:rsidR="00AD0694">
        <w:t xml:space="preserve"> </w:t>
      </w:r>
      <w:r w:rsidRPr="007C7985">
        <w:t>At what point does the reduction in LDL levels switch from ben</w:t>
      </w:r>
      <w:r w:rsidR="00F554A9" w:rsidRPr="007C7985">
        <w:t>eficial to being harmful?</w:t>
      </w:r>
    </w:p>
    <w:p w:rsidR="000E32B5" w:rsidRPr="007C7985" w:rsidRDefault="000E32B5" w:rsidP="00AD0694">
      <w:pPr>
        <w:pStyle w:val="ListParagraph"/>
        <w:numPr>
          <w:ilvl w:val="0"/>
          <w:numId w:val="24"/>
        </w:numPr>
        <w:ind w:left="1134"/>
      </w:pPr>
      <w:r w:rsidRPr="007C7985">
        <w:t>Is the quantitative relationship between LDL reduction and cardiovascular outcomes the same for all treatments or are there relevant differences due to other treatment effects?</w:t>
      </w:r>
    </w:p>
    <w:p w:rsidR="000E32B5" w:rsidRDefault="000E32B5" w:rsidP="00AD3FE8">
      <w:pPr>
        <w:pStyle w:val="ListParagraph"/>
        <w:numPr>
          <w:ilvl w:val="0"/>
          <w:numId w:val="24"/>
        </w:numPr>
        <w:ind w:left="1134"/>
      </w:pPr>
      <w:r w:rsidRPr="007C7985">
        <w:t>Is the quantitative relationship between LDL reduction and cardiovascular outcomes the same for all patient populations (particularly between non-familial, heterozygous familial and homozygous f</w:t>
      </w:r>
      <w:r w:rsidR="00F554A9" w:rsidRPr="007C7985">
        <w:t xml:space="preserve">amilial </w:t>
      </w:r>
      <w:proofErr w:type="spellStart"/>
      <w:r w:rsidR="00F554A9" w:rsidRPr="007C7985">
        <w:t>hypercholesterolaemia</w:t>
      </w:r>
      <w:proofErr w:type="spellEnd"/>
      <w:r w:rsidR="00F554A9" w:rsidRPr="007C7985">
        <w:t>)?</w:t>
      </w:r>
    </w:p>
    <w:p w:rsidR="0048651A" w:rsidRPr="00AD0694" w:rsidRDefault="0048651A" w:rsidP="00AD0694">
      <w:pPr>
        <w:rPr>
          <w:szCs w:val="22"/>
        </w:rPr>
      </w:pPr>
    </w:p>
    <w:p w:rsidR="00B60939" w:rsidRPr="009B39D1" w:rsidRDefault="00B60939" w:rsidP="009B39D1">
      <w:pPr>
        <w:pStyle w:val="Heading2"/>
      </w:pPr>
      <w:bookmarkStart w:id="11" w:name="_Toc409513917"/>
      <w:r w:rsidRPr="009B39D1">
        <w:t>Comparative harms</w:t>
      </w:r>
      <w:bookmarkEnd w:id="11"/>
    </w:p>
    <w:p w:rsidR="00B60939" w:rsidRPr="00882085" w:rsidRDefault="00B60939" w:rsidP="00B2418E">
      <w:pPr>
        <w:keepNext/>
        <w:keepLines/>
        <w:ind w:left="720" w:hanging="720"/>
        <w:rPr>
          <w:szCs w:val="22"/>
        </w:rPr>
      </w:pPr>
    </w:p>
    <w:p w:rsidR="00B60939" w:rsidRDefault="0092771B" w:rsidP="00B2418E">
      <w:pPr>
        <w:pStyle w:val="ListParagraph"/>
        <w:keepNext/>
        <w:keepLines/>
        <w:widowControl/>
        <w:numPr>
          <w:ilvl w:val="1"/>
          <w:numId w:val="12"/>
        </w:numPr>
        <w:rPr>
          <w:szCs w:val="22"/>
        </w:rPr>
      </w:pPr>
      <w:r w:rsidRPr="0092771B">
        <w:rPr>
          <w:szCs w:val="22"/>
        </w:rPr>
        <w:t>The incidence of adverse events was</w:t>
      </w:r>
      <w:r>
        <w:rPr>
          <w:szCs w:val="22"/>
        </w:rPr>
        <w:t xml:space="preserve"> highly variable between trials</w:t>
      </w:r>
      <w:r w:rsidRPr="0092771B">
        <w:rPr>
          <w:szCs w:val="22"/>
        </w:rPr>
        <w:t xml:space="preserve"> and did not consistently favour </w:t>
      </w:r>
      <w:proofErr w:type="spellStart"/>
      <w:r w:rsidRPr="0092771B">
        <w:rPr>
          <w:szCs w:val="22"/>
        </w:rPr>
        <w:t>evolocumab</w:t>
      </w:r>
      <w:proofErr w:type="spellEnd"/>
      <w:r w:rsidRPr="0092771B">
        <w:rPr>
          <w:szCs w:val="22"/>
        </w:rPr>
        <w:t xml:space="preserve">, </w:t>
      </w:r>
      <w:proofErr w:type="spellStart"/>
      <w:r w:rsidRPr="0092771B">
        <w:rPr>
          <w:szCs w:val="22"/>
        </w:rPr>
        <w:t>ezetimibe</w:t>
      </w:r>
      <w:proofErr w:type="spellEnd"/>
      <w:r w:rsidRPr="0092771B">
        <w:rPr>
          <w:szCs w:val="22"/>
        </w:rPr>
        <w:t xml:space="preserve"> or placebo. </w:t>
      </w:r>
      <w:r w:rsidR="003A08D1">
        <w:rPr>
          <w:szCs w:val="22"/>
        </w:rPr>
        <w:t xml:space="preserve"> </w:t>
      </w:r>
      <w:r w:rsidRPr="0092771B">
        <w:rPr>
          <w:szCs w:val="22"/>
        </w:rPr>
        <w:t xml:space="preserve">There was no apparent difference in the incidence of adverse events with either fortnightly or monthly dosing of </w:t>
      </w:r>
      <w:proofErr w:type="spellStart"/>
      <w:r w:rsidRPr="0092771B">
        <w:rPr>
          <w:szCs w:val="22"/>
        </w:rPr>
        <w:t>evolocumab</w:t>
      </w:r>
      <w:proofErr w:type="spellEnd"/>
      <w:r w:rsidRPr="0092771B">
        <w:rPr>
          <w:szCs w:val="22"/>
        </w:rPr>
        <w:t>.</w:t>
      </w:r>
    </w:p>
    <w:p w:rsidR="00AD5D93" w:rsidRPr="00F554A9" w:rsidRDefault="00AD5D93" w:rsidP="00AD5D93">
      <w:pPr>
        <w:widowControl/>
        <w:rPr>
          <w:szCs w:val="22"/>
        </w:rPr>
      </w:pPr>
    </w:p>
    <w:p w:rsidR="0092771B" w:rsidRDefault="0092771B" w:rsidP="0092771B">
      <w:pPr>
        <w:pStyle w:val="ListParagraph"/>
        <w:widowControl/>
        <w:numPr>
          <w:ilvl w:val="1"/>
          <w:numId w:val="12"/>
        </w:numPr>
        <w:rPr>
          <w:szCs w:val="22"/>
        </w:rPr>
      </w:pPr>
      <w:r w:rsidRPr="0092771B">
        <w:rPr>
          <w:szCs w:val="22"/>
        </w:rPr>
        <w:lastRenderedPageBreak/>
        <w:t xml:space="preserve">The most frequently reported adverse events were musculoskeletal disorders (myalgia, pain in extremity, muscle spasms, arthralgia, </w:t>
      </w:r>
      <w:proofErr w:type="gramStart"/>
      <w:r w:rsidRPr="0092771B">
        <w:rPr>
          <w:szCs w:val="22"/>
        </w:rPr>
        <w:t>back</w:t>
      </w:r>
      <w:proofErr w:type="gramEnd"/>
      <w:r w:rsidRPr="0092771B">
        <w:rPr>
          <w:szCs w:val="22"/>
        </w:rPr>
        <w:t xml:space="preserve"> pain), infections (</w:t>
      </w:r>
      <w:proofErr w:type="spellStart"/>
      <w:r w:rsidRPr="0092771B">
        <w:rPr>
          <w:szCs w:val="22"/>
        </w:rPr>
        <w:t>nasopharyngitis</w:t>
      </w:r>
      <w:proofErr w:type="spellEnd"/>
      <w:r w:rsidRPr="0092771B">
        <w:rPr>
          <w:szCs w:val="22"/>
        </w:rPr>
        <w:t>, upper respiratory tract infection, influenza), general disorders and administration site conditions (fatigue, injection site reactions), gastrointestinal disorders (diarrhoea, nausea, constipation) and nervous system disorders (headache).</w:t>
      </w:r>
    </w:p>
    <w:p w:rsidR="0092771B" w:rsidRPr="00F554A9" w:rsidRDefault="0092771B" w:rsidP="0092771B">
      <w:pPr>
        <w:widowControl/>
        <w:rPr>
          <w:szCs w:val="22"/>
        </w:rPr>
      </w:pPr>
    </w:p>
    <w:p w:rsidR="0092771B" w:rsidRPr="00991BD1" w:rsidRDefault="008C7FA2" w:rsidP="008C7FA2">
      <w:pPr>
        <w:pStyle w:val="ListParagraph"/>
        <w:numPr>
          <w:ilvl w:val="1"/>
          <w:numId w:val="12"/>
        </w:numPr>
        <w:rPr>
          <w:szCs w:val="22"/>
        </w:rPr>
      </w:pPr>
      <w:r w:rsidRPr="008B7159">
        <w:rPr>
          <w:szCs w:val="22"/>
        </w:rPr>
        <w:t xml:space="preserve">Regulatory bodies have not yet assessed the safety of </w:t>
      </w:r>
      <w:proofErr w:type="spellStart"/>
      <w:r w:rsidRPr="008B7159">
        <w:rPr>
          <w:szCs w:val="22"/>
        </w:rPr>
        <w:t>evolocumab</w:t>
      </w:r>
      <w:proofErr w:type="spellEnd"/>
      <w:r w:rsidRPr="008B7159">
        <w:rPr>
          <w:szCs w:val="22"/>
        </w:rPr>
        <w:t xml:space="preserve">. </w:t>
      </w:r>
      <w:r w:rsidR="003A08D1">
        <w:rPr>
          <w:szCs w:val="22"/>
        </w:rPr>
        <w:t xml:space="preserve"> </w:t>
      </w:r>
      <w:r w:rsidRPr="008B7159">
        <w:rPr>
          <w:szCs w:val="22"/>
        </w:rPr>
        <w:t xml:space="preserve">There is limited adverse event data (both in terms of number of patients treated and duration of therapy) available for </w:t>
      </w:r>
      <w:proofErr w:type="spellStart"/>
      <w:r w:rsidRPr="008B7159">
        <w:rPr>
          <w:szCs w:val="22"/>
        </w:rPr>
        <w:t>evolocumab</w:t>
      </w:r>
      <w:proofErr w:type="spellEnd"/>
      <w:r w:rsidRPr="008B7159">
        <w:rPr>
          <w:szCs w:val="22"/>
        </w:rPr>
        <w:t xml:space="preserve"> treatment. </w:t>
      </w:r>
      <w:r w:rsidR="003A08D1">
        <w:rPr>
          <w:szCs w:val="22"/>
        </w:rPr>
        <w:t xml:space="preserve"> </w:t>
      </w:r>
      <w:r w:rsidR="008B7159" w:rsidRPr="00991BD1">
        <w:rPr>
          <w:szCs w:val="22"/>
        </w:rPr>
        <w:t xml:space="preserve">The ESC </w:t>
      </w:r>
      <w:r w:rsidR="00EA39A3" w:rsidRPr="00991BD1">
        <w:rPr>
          <w:szCs w:val="22"/>
        </w:rPr>
        <w:t>raised concerns of the potential</w:t>
      </w:r>
      <w:r w:rsidR="008B7159" w:rsidRPr="00991BD1">
        <w:rPr>
          <w:szCs w:val="22"/>
        </w:rPr>
        <w:t xml:space="preserve"> </w:t>
      </w:r>
      <w:r w:rsidR="00F349B5" w:rsidRPr="00991BD1">
        <w:rPr>
          <w:szCs w:val="22"/>
        </w:rPr>
        <w:t xml:space="preserve">higher </w:t>
      </w:r>
      <w:r w:rsidR="008B7159" w:rsidRPr="00991BD1">
        <w:rPr>
          <w:szCs w:val="22"/>
        </w:rPr>
        <w:t xml:space="preserve">risk of </w:t>
      </w:r>
      <w:r w:rsidR="00F349B5" w:rsidRPr="00991BD1">
        <w:rPr>
          <w:szCs w:val="22"/>
        </w:rPr>
        <w:t>infections</w:t>
      </w:r>
      <w:r w:rsidR="00F554A9" w:rsidRPr="00991BD1">
        <w:rPr>
          <w:szCs w:val="22"/>
        </w:rPr>
        <w:t>, particularly</w:t>
      </w:r>
      <w:r w:rsidR="008B7159" w:rsidRPr="00991BD1">
        <w:rPr>
          <w:szCs w:val="22"/>
        </w:rPr>
        <w:t xml:space="preserve"> in </w:t>
      </w:r>
      <w:r w:rsidR="00EA39A3" w:rsidRPr="00991BD1">
        <w:rPr>
          <w:szCs w:val="22"/>
        </w:rPr>
        <w:t xml:space="preserve">a </w:t>
      </w:r>
      <w:r w:rsidR="00EC2479" w:rsidRPr="00991BD1">
        <w:rPr>
          <w:szCs w:val="22"/>
        </w:rPr>
        <w:t>sub</w:t>
      </w:r>
      <w:r w:rsidR="008B7159" w:rsidRPr="00991BD1">
        <w:rPr>
          <w:szCs w:val="22"/>
        </w:rPr>
        <w:t xml:space="preserve">population already </w:t>
      </w:r>
      <w:r w:rsidR="00F349B5" w:rsidRPr="00991BD1">
        <w:rPr>
          <w:szCs w:val="22"/>
        </w:rPr>
        <w:t>using</w:t>
      </w:r>
      <w:r w:rsidR="008B7159" w:rsidRPr="00991BD1">
        <w:rPr>
          <w:szCs w:val="22"/>
        </w:rPr>
        <w:t xml:space="preserve"> another monoclonal antibody for a different </w:t>
      </w:r>
      <w:r w:rsidR="00BB1966" w:rsidRPr="00991BD1">
        <w:rPr>
          <w:szCs w:val="22"/>
        </w:rPr>
        <w:t>disease.</w:t>
      </w:r>
      <w:r w:rsidR="003A08D1">
        <w:rPr>
          <w:szCs w:val="22"/>
        </w:rPr>
        <w:t xml:space="preserve"> </w:t>
      </w:r>
      <w:r w:rsidR="00BB1966" w:rsidRPr="00991BD1">
        <w:rPr>
          <w:szCs w:val="22"/>
        </w:rPr>
        <w:t xml:space="preserve"> </w:t>
      </w:r>
      <w:r w:rsidR="00F349B5" w:rsidRPr="00991BD1">
        <w:rPr>
          <w:szCs w:val="22"/>
        </w:rPr>
        <w:t>The co-administration of monoclonal antibodies has not been observed and the long</w:t>
      </w:r>
      <w:r w:rsidR="00F40121">
        <w:rPr>
          <w:szCs w:val="22"/>
        </w:rPr>
        <w:t>-</w:t>
      </w:r>
      <w:r w:rsidR="00F349B5" w:rsidRPr="00991BD1">
        <w:rPr>
          <w:szCs w:val="22"/>
        </w:rPr>
        <w:t xml:space="preserve">term adverse events </w:t>
      </w:r>
      <w:r w:rsidR="00EC2479" w:rsidRPr="00991BD1">
        <w:rPr>
          <w:szCs w:val="22"/>
        </w:rPr>
        <w:t>in the requested</w:t>
      </w:r>
      <w:r w:rsidR="00F349B5" w:rsidRPr="00991BD1">
        <w:rPr>
          <w:szCs w:val="22"/>
        </w:rPr>
        <w:t xml:space="preserve"> population are unknown.</w:t>
      </w:r>
    </w:p>
    <w:p w:rsidR="00A42A0E" w:rsidRPr="00F554A9" w:rsidRDefault="00A42A0E" w:rsidP="002C2775">
      <w:pPr>
        <w:pStyle w:val="Heading2"/>
        <w:rPr>
          <w:b w:val="0"/>
        </w:rPr>
      </w:pPr>
      <w:bookmarkStart w:id="12" w:name="_Toc409513918"/>
    </w:p>
    <w:p w:rsidR="007F1017" w:rsidRPr="009B39D1" w:rsidRDefault="007F1017" w:rsidP="009B39D1">
      <w:pPr>
        <w:pStyle w:val="Heading2"/>
      </w:pPr>
      <w:r w:rsidRPr="009B39D1">
        <w:t>Benefits/harms</w:t>
      </w:r>
      <w:bookmarkEnd w:id="12"/>
    </w:p>
    <w:p w:rsidR="00B60939" w:rsidRPr="00882085" w:rsidRDefault="00B60939" w:rsidP="004B1CB4"/>
    <w:p w:rsidR="00FC1884" w:rsidRPr="00EC2479" w:rsidRDefault="00AD5D93" w:rsidP="00DA538F">
      <w:pPr>
        <w:pStyle w:val="ListParagraph"/>
        <w:widowControl/>
        <w:numPr>
          <w:ilvl w:val="1"/>
          <w:numId w:val="12"/>
        </w:numPr>
      </w:pPr>
      <w:r>
        <w:rPr>
          <w:lang w:val="en-US"/>
        </w:rPr>
        <w:t>On the basis of direct</w:t>
      </w:r>
      <w:r w:rsidR="00FC1884" w:rsidRPr="00DA538F">
        <w:rPr>
          <w:lang w:val="en-US"/>
        </w:rPr>
        <w:t xml:space="preserve"> evidence presented by the submission, </w:t>
      </w:r>
      <w:r w:rsidR="0005350A">
        <w:rPr>
          <w:lang w:val="en-US"/>
        </w:rPr>
        <w:t xml:space="preserve">the comparison of </w:t>
      </w:r>
      <w:proofErr w:type="spellStart"/>
      <w:r w:rsidR="0005350A">
        <w:rPr>
          <w:lang w:val="en-US"/>
        </w:rPr>
        <w:t>evolocumab</w:t>
      </w:r>
      <w:proofErr w:type="spellEnd"/>
      <w:r w:rsidR="006B2880">
        <w:rPr>
          <w:lang w:val="en-US"/>
        </w:rPr>
        <w:t xml:space="preserve"> (fortnightly</w:t>
      </w:r>
      <w:r w:rsidR="0005350A">
        <w:rPr>
          <w:lang w:val="en-US"/>
        </w:rPr>
        <w:t xml:space="preserve">) and </w:t>
      </w:r>
      <w:proofErr w:type="spellStart"/>
      <w:r w:rsidR="0005350A">
        <w:rPr>
          <w:lang w:val="en-US"/>
        </w:rPr>
        <w:t>ezetimibe</w:t>
      </w:r>
      <w:proofErr w:type="spellEnd"/>
      <w:r w:rsidR="0005350A">
        <w:rPr>
          <w:lang w:val="en-US"/>
        </w:rPr>
        <w:t xml:space="preserve"> in patients with primary </w:t>
      </w:r>
      <w:proofErr w:type="spellStart"/>
      <w:r w:rsidR="0005350A">
        <w:rPr>
          <w:lang w:val="en-US"/>
        </w:rPr>
        <w:t>hyperlipid</w:t>
      </w:r>
      <w:r w:rsidR="0038790D">
        <w:rPr>
          <w:lang w:val="en-US"/>
        </w:rPr>
        <w:t>a</w:t>
      </w:r>
      <w:r w:rsidR="0005350A">
        <w:rPr>
          <w:lang w:val="en-US"/>
        </w:rPr>
        <w:t>emia</w:t>
      </w:r>
      <w:proofErr w:type="spellEnd"/>
      <w:r w:rsidR="0005350A">
        <w:rPr>
          <w:lang w:val="en-US"/>
        </w:rPr>
        <w:t xml:space="preserve"> and mixed </w:t>
      </w:r>
      <w:proofErr w:type="spellStart"/>
      <w:r w:rsidR="0005350A" w:rsidRPr="00EC2479">
        <w:rPr>
          <w:lang w:val="en-US"/>
        </w:rPr>
        <w:t>dyslipid</w:t>
      </w:r>
      <w:r w:rsidR="0038790D" w:rsidRPr="00EC2479">
        <w:rPr>
          <w:lang w:val="en-US"/>
        </w:rPr>
        <w:t>a</w:t>
      </w:r>
      <w:r w:rsidR="0005350A" w:rsidRPr="00EC2479">
        <w:rPr>
          <w:lang w:val="en-US"/>
        </w:rPr>
        <w:t>emia</w:t>
      </w:r>
      <w:proofErr w:type="spellEnd"/>
      <w:r w:rsidR="00FC1884" w:rsidRPr="00EC2479">
        <w:rPr>
          <w:lang w:val="en-US"/>
        </w:rPr>
        <w:t xml:space="preserve"> resulted in:</w:t>
      </w:r>
    </w:p>
    <w:p w:rsidR="00B60939" w:rsidRPr="00EC2479" w:rsidRDefault="003A08D1" w:rsidP="00AD3FE8">
      <w:pPr>
        <w:pStyle w:val="ListParagraph"/>
        <w:numPr>
          <w:ilvl w:val="0"/>
          <w:numId w:val="24"/>
        </w:numPr>
        <w:ind w:left="1134"/>
        <w:rPr>
          <w:szCs w:val="22"/>
        </w:rPr>
      </w:pPr>
      <w:r>
        <w:rPr>
          <w:lang w:val="en-US"/>
        </w:rPr>
        <w:t>a</w:t>
      </w:r>
      <w:r w:rsidR="0005350A" w:rsidRPr="00EC2479">
        <w:rPr>
          <w:lang w:val="en-US"/>
        </w:rPr>
        <w:t xml:space="preserve">pproximately a </w:t>
      </w:r>
      <w:r w:rsidR="0005350A" w:rsidRPr="00AD3FE8">
        <w:t>40</w:t>
      </w:r>
      <w:r w:rsidR="0005350A" w:rsidRPr="00EC2479">
        <w:rPr>
          <w:lang w:val="en-US"/>
        </w:rPr>
        <w:t>% relative</w:t>
      </w:r>
      <w:r w:rsidR="00FC1884" w:rsidRPr="00EC2479">
        <w:rPr>
          <w:lang w:val="en-US"/>
        </w:rPr>
        <w:t xml:space="preserve"> reduction</w:t>
      </w:r>
      <w:r w:rsidR="006B2880" w:rsidRPr="00EC2479">
        <w:rPr>
          <w:lang w:val="en-US"/>
        </w:rPr>
        <w:t xml:space="preserve"> in</w:t>
      </w:r>
      <w:r w:rsidR="00FC1884" w:rsidRPr="00EC2479">
        <w:rPr>
          <w:lang w:val="en-US"/>
        </w:rPr>
        <w:t xml:space="preserve"> </w:t>
      </w:r>
      <w:r w:rsidR="0005350A" w:rsidRPr="00EC2479">
        <w:rPr>
          <w:lang w:val="en-US"/>
        </w:rPr>
        <w:t xml:space="preserve">LDL levels </w:t>
      </w:r>
      <w:r w:rsidR="00FC1884" w:rsidRPr="00EC2479">
        <w:rPr>
          <w:lang w:val="en-US"/>
        </w:rPr>
        <w:t>over a</w:t>
      </w:r>
      <w:r w:rsidR="0005350A" w:rsidRPr="00EC2479">
        <w:rPr>
          <w:lang w:val="en-US"/>
        </w:rPr>
        <w:t xml:space="preserve"> 12-week treatment duration</w:t>
      </w:r>
    </w:p>
    <w:p w:rsidR="00DA538F" w:rsidRDefault="003A08D1" w:rsidP="00AD3FE8">
      <w:pPr>
        <w:pStyle w:val="ListParagraph"/>
        <w:numPr>
          <w:ilvl w:val="0"/>
          <w:numId w:val="24"/>
        </w:numPr>
        <w:ind w:left="1134"/>
      </w:pPr>
      <w:proofErr w:type="gramStart"/>
      <w:r>
        <w:t>n</w:t>
      </w:r>
      <w:r w:rsidR="0005350A" w:rsidRPr="00EC2479">
        <w:t>o</w:t>
      </w:r>
      <w:proofErr w:type="gramEnd"/>
      <w:r w:rsidR="0005350A" w:rsidRPr="00EC2479">
        <w:t xml:space="preserve"> apparent difference</w:t>
      </w:r>
      <w:r w:rsidR="0005350A">
        <w:t xml:space="preserve"> in adverse events over a 12-week treatment duration</w:t>
      </w:r>
      <w:r w:rsidR="0038790D">
        <w:t>.</w:t>
      </w:r>
    </w:p>
    <w:p w:rsidR="006B2880" w:rsidRDefault="006B2880" w:rsidP="006B2880">
      <w:pPr>
        <w:widowControl/>
      </w:pPr>
    </w:p>
    <w:p w:rsidR="006B2880" w:rsidRPr="00DA538F" w:rsidRDefault="006B2880" w:rsidP="006B2880">
      <w:pPr>
        <w:pStyle w:val="ListParagraph"/>
        <w:widowControl/>
        <w:numPr>
          <w:ilvl w:val="1"/>
          <w:numId w:val="12"/>
        </w:numPr>
      </w:pPr>
      <w:r>
        <w:rPr>
          <w:lang w:val="en-US"/>
        </w:rPr>
        <w:t>On the basis of direct</w:t>
      </w:r>
      <w:r w:rsidRPr="00DA538F">
        <w:rPr>
          <w:lang w:val="en-US"/>
        </w:rPr>
        <w:t xml:space="preserve"> evidence presented by the submission, </w:t>
      </w:r>
      <w:r>
        <w:rPr>
          <w:lang w:val="en-US"/>
        </w:rPr>
        <w:t xml:space="preserve">the comparison of </w:t>
      </w:r>
      <w:proofErr w:type="spellStart"/>
      <w:r>
        <w:rPr>
          <w:lang w:val="en-US"/>
        </w:rPr>
        <w:t>evolocumab</w:t>
      </w:r>
      <w:proofErr w:type="spellEnd"/>
      <w:r>
        <w:rPr>
          <w:lang w:val="en-US"/>
        </w:rPr>
        <w:t xml:space="preserve"> (fortnightly) and placebo in patients with primary </w:t>
      </w:r>
      <w:proofErr w:type="spellStart"/>
      <w:r>
        <w:rPr>
          <w:lang w:val="en-US"/>
        </w:rPr>
        <w:t>hyperlipid</w:t>
      </w:r>
      <w:r w:rsidR="0038790D">
        <w:rPr>
          <w:lang w:val="en-US"/>
        </w:rPr>
        <w:t>a</w:t>
      </w:r>
      <w:r>
        <w:rPr>
          <w:lang w:val="en-US"/>
        </w:rPr>
        <w:t>emia</w:t>
      </w:r>
      <w:proofErr w:type="spellEnd"/>
      <w:r>
        <w:rPr>
          <w:lang w:val="en-US"/>
        </w:rPr>
        <w:t xml:space="preserve"> and mixed </w:t>
      </w:r>
      <w:proofErr w:type="spellStart"/>
      <w:r>
        <w:rPr>
          <w:lang w:val="en-US"/>
        </w:rPr>
        <w:t>dyslipid</w:t>
      </w:r>
      <w:r w:rsidR="0038790D">
        <w:rPr>
          <w:lang w:val="en-US"/>
        </w:rPr>
        <w:t>a</w:t>
      </w:r>
      <w:r>
        <w:rPr>
          <w:lang w:val="en-US"/>
        </w:rPr>
        <w:t>emia</w:t>
      </w:r>
      <w:proofErr w:type="spellEnd"/>
      <w:r w:rsidRPr="00DA538F">
        <w:rPr>
          <w:lang w:val="en-US"/>
        </w:rPr>
        <w:t xml:space="preserve"> resulted in:</w:t>
      </w:r>
    </w:p>
    <w:p w:rsidR="006B2880" w:rsidRPr="00DA538F" w:rsidRDefault="003A08D1" w:rsidP="00AD3FE8">
      <w:pPr>
        <w:pStyle w:val="ListParagraph"/>
        <w:numPr>
          <w:ilvl w:val="0"/>
          <w:numId w:val="24"/>
        </w:numPr>
        <w:ind w:left="1134"/>
        <w:rPr>
          <w:szCs w:val="22"/>
        </w:rPr>
      </w:pPr>
      <w:r>
        <w:rPr>
          <w:lang w:val="en-US"/>
        </w:rPr>
        <w:t>a</w:t>
      </w:r>
      <w:r w:rsidR="006B2880">
        <w:rPr>
          <w:lang w:val="en-US"/>
        </w:rPr>
        <w:t>pproximately a 60-70% relative</w:t>
      </w:r>
      <w:r w:rsidR="006B2880" w:rsidRPr="00523C28">
        <w:rPr>
          <w:lang w:val="en-US"/>
        </w:rPr>
        <w:t xml:space="preserve"> reduction</w:t>
      </w:r>
      <w:r w:rsidR="006B2880">
        <w:rPr>
          <w:lang w:val="en-US"/>
        </w:rPr>
        <w:t xml:space="preserve"> in</w:t>
      </w:r>
      <w:r w:rsidR="006B2880" w:rsidRPr="00523C28">
        <w:rPr>
          <w:lang w:val="en-US"/>
        </w:rPr>
        <w:t xml:space="preserve"> </w:t>
      </w:r>
      <w:r w:rsidR="006B2880">
        <w:rPr>
          <w:lang w:val="en-US"/>
        </w:rPr>
        <w:t xml:space="preserve">LDL levels </w:t>
      </w:r>
      <w:r w:rsidR="006B2880" w:rsidRPr="00523C28">
        <w:rPr>
          <w:lang w:val="en-US"/>
        </w:rPr>
        <w:t>over a</w:t>
      </w:r>
      <w:r>
        <w:rPr>
          <w:lang w:val="en-US"/>
        </w:rPr>
        <w:t xml:space="preserve"> 12-week treatment duration</w:t>
      </w:r>
    </w:p>
    <w:p w:rsidR="006B2880" w:rsidRDefault="003A08D1" w:rsidP="00AD3FE8">
      <w:pPr>
        <w:pStyle w:val="ListParagraph"/>
        <w:numPr>
          <w:ilvl w:val="0"/>
          <w:numId w:val="24"/>
        </w:numPr>
        <w:ind w:left="1134"/>
      </w:pPr>
      <w:proofErr w:type="gramStart"/>
      <w:r>
        <w:t>n</w:t>
      </w:r>
      <w:r w:rsidR="006B2880">
        <w:t>o</w:t>
      </w:r>
      <w:proofErr w:type="gramEnd"/>
      <w:r w:rsidR="006B2880">
        <w:t xml:space="preserve"> apparent difference in adverse events over a 12-week treatment duration</w:t>
      </w:r>
      <w:r w:rsidR="0038790D">
        <w:t>.</w:t>
      </w:r>
    </w:p>
    <w:p w:rsidR="006B2880" w:rsidRDefault="006B2880" w:rsidP="006B2880">
      <w:pPr>
        <w:widowControl/>
      </w:pPr>
    </w:p>
    <w:p w:rsidR="006B2880" w:rsidRPr="00DA538F" w:rsidRDefault="006B2880" w:rsidP="006B2880">
      <w:pPr>
        <w:pStyle w:val="ListParagraph"/>
        <w:widowControl/>
        <w:numPr>
          <w:ilvl w:val="1"/>
          <w:numId w:val="12"/>
        </w:numPr>
      </w:pPr>
      <w:r>
        <w:rPr>
          <w:lang w:val="en-US"/>
        </w:rPr>
        <w:t>On the basis of direct</w:t>
      </w:r>
      <w:r w:rsidRPr="00DA538F">
        <w:rPr>
          <w:lang w:val="en-US"/>
        </w:rPr>
        <w:t xml:space="preserve"> evidence presented by the submission, </w:t>
      </w:r>
      <w:r>
        <w:rPr>
          <w:lang w:val="en-US"/>
        </w:rPr>
        <w:t xml:space="preserve">the comparison of </w:t>
      </w:r>
      <w:proofErr w:type="spellStart"/>
      <w:r>
        <w:rPr>
          <w:lang w:val="en-US"/>
        </w:rPr>
        <w:t>evolocumab</w:t>
      </w:r>
      <w:proofErr w:type="spellEnd"/>
      <w:r>
        <w:rPr>
          <w:lang w:val="en-US"/>
        </w:rPr>
        <w:t xml:space="preserve"> (monthly) and </w:t>
      </w:r>
      <w:proofErr w:type="spellStart"/>
      <w:r>
        <w:rPr>
          <w:lang w:val="en-US"/>
        </w:rPr>
        <w:t>ezetimibe</w:t>
      </w:r>
      <w:proofErr w:type="spellEnd"/>
      <w:r>
        <w:rPr>
          <w:lang w:val="en-US"/>
        </w:rPr>
        <w:t xml:space="preserve"> in patients with primary </w:t>
      </w:r>
      <w:proofErr w:type="spellStart"/>
      <w:r>
        <w:rPr>
          <w:lang w:val="en-US"/>
        </w:rPr>
        <w:t>hyperlipid</w:t>
      </w:r>
      <w:r w:rsidR="0038790D">
        <w:rPr>
          <w:lang w:val="en-US"/>
        </w:rPr>
        <w:t>a</w:t>
      </w:r>
      <w:r>
        <w:rPr>
          <w:lang w:val="en-US"/>
        </w:rPr>
        <w:t>emia</w:t>
      </w:r>
      <w:proofErr w:type="spellEnd"/>
      <w:r>
        <w:rPr>
          <w:lang w:val="en-US"/>
        </w:rPr>
        <w:t xml:space="preserve"> and mixed </w:t>
      </w:r>
      <w:proofErr w:type="spellStart"/>
      <w:r>
        <w:rPr>
          <w:lang w:val="en-US"/>
        </w:rPr>
        <w:t>dyslipid</w:t>
      </w:r>
      <w:r w:rsidR="0038790D">
        <w:rPr>
          <w:lang w:val="en-US"/>
        </w:rPr>
        <w:t>a</w:t>
      </w:r>
      <w:r>
        <w:rPr>
          <w:lang w:val="en-US"/>
        </w:rPr>
        <w:t>emia</w:t>
      </w:r>
      <w:proofErr w:type="spellEnd"/>
      <w:r w:rsidRPr="00DA538F">
        <w:rPr>
          <w:lang w:val="en-US"/>
        </w:rPr>
        <w:t xml:space="preserve"> resulted in:</w:t>
      </w:r>
    </w:p>
    <w:p w:rsidR="006B2880" w:rsidRPr="00DA538F" w:rsidRDefault="003A08D1" w:rsidP="00AD3FE8">
      <w:pPr>
        <w:pStyle w:val="ListParagraph"/>
        <w:numPr>
          <w:ilvl w:val="0"/>
          <w:numId w:val="24"/>
        </w:numPr>
        <w:ind w:left="1134"/>
        <w:rPr>
          <w:szCs w:val="22"/>
        </w:rPr>
      </w:pPr>
      <w:r>
        <w:rPr>
          <w:lang w:val="en-US"/>
        </w:rPr>
        <w:t>a</w:t>
      </w:r>
      <w:r w:rsidR="006B2880">
        <w:rPr>
          <w:lang w:val="en-US"/>
        </w:rPr>
        <w:t>pproximately a 40% relative</w:t>
      </w:r>
      <w:r w:rsidR="006B2880" w:rsidRPr="00523C28">
        <w:rPr>
          <w:lang w:val="en-US"/>
        </w:rPr>
        <w:t xml:space="preserve"> reduction</w:t>
      </w:r>
      <w:r w:rsidR="006B2880">
        <w:rPr>
          <w:lang w:val="en-US"/>
        </w:rPr>
        <w:t xml:space="preserve"> in</w:t>
      </w:r>
      <w:r w:rsidR="006B2880" w:rsidRPr="00523C28">
        <w:rPr>
          <w:lang w:val="en-US"/>
        </w:rPr>
        <w:t xml:space="preserve"> </w:t>
      </w:r>
      <w:r w:rsidR="006B2880">
        <w:rPr>
          <w:lang w:val="en-US"/>
        </w:rPr>
        <w:t xml:space="preserve">LDL levels </w:t>
      </w:r>
      <w:r w:rsidR="006B2880" w:rsidRPr="00523C28">
        <w:rPr>
          <w:lang w:val="en-US"/>
        </w:rPr>
        <w:t>over a</w:t>
      </w:r>
      <w:r>
        <w:rPr>
          <w:lang w:val="en-US"/>
        </w:rPr>
        <w:t xml:space="preserve"> 12-week treatment duration</w:t>
      </w:r>
    </w:p>
    <w:p w:rsidR="006B2880" w:rsidRPr="00CF6EE4" w:rsidRDefault="003A08D1" w:rsidP="00AD3FE8">
      <w:pPr>
        <w:pStyle w:val="ListParagraph"/>
        <w:numPr>
          <w:ilvl w:val="0"/>
          <w:numId w:val="24"/>
        </w:numPr>
        <w:ind w:left="1134"/>
      </w:pPr>
      <w:proofErr w:type="gramStart"/>
      <w:r>
        <w:t>n</w:t>
      </w:r>
      <w:r w:rsidR="006B2880">
        <w:t>o</w:t>
      </w:r>
      <w:proofErr w:type="gramEnd"/>
      <w:r w:rsidR="006B2880">
        <w:t xml:space="preserve"> apparent difference in adverse events over a 12-week treatment duration</w:t>
      </w:r>
      <w:r w:rsidR="0038790D">
        <w:t>.</w:t>
      </w:r>
    </w:p>
    <w:p w:rsidR="006B2880" w:rsidRDefault="006B2880" w:rsidP="006B2880">
      <w:pPr>
        <w:widowControl/>
      </w:pPr>
    </w:p>
    <w:p w:rsidR="006B2880" w:rsidRPr="00DA538F" w:rsidRDefault="006B2880" w:rsidP="006B2880">
      <w:pPr>
        <w:pStyle w:val="ListParagraph"/>
        <w:widowControl/>
        <w:numPr>
          <w:ilvl w:val="1"/>
          <w:numId w:val="12"/>
        </w:numPr>
      </w:pPr>
      <w:r>
        <w:rPr>
          <w:lang w:val="en-US"/>
        </w:rPr>
        <w:t>On the basis of direct</w:t>
      </w:r>
      <w:r w:rsidRPr="00DA538F">
        <w:rPr>
          <w:lang w:val="en-US"/>
        </w:rPr>
        <w:t xml:space="preserve"> evidence presented by the submission, </w:t>
      </w:r>
      <w:r>
        <w:rPr>
          <w:lang w:val="en-US"/>
        </w:rPr>
        <w:t xml:space="preserve">the comparison of </w:t>
      </w:r>
      <w:proofErr w:type="spellStart"/>
      <w:r>
        <w:rPr>
          <w:lang w:val="en-US"/>
        </w:rPr>
        <w:t>evolocumab</w:t>
      </w:r>
      <w:proofErr w:type="spellEnd"/>
      <w:r>
        <w:rPr>
          <w:lang w:val="en-US"/>
        </w:rPr>
        <w:t xml:space="preserve"> (monthly) and placebo in patients with primary </w:t>
      </w:r>
      <w:proofErr w:type="spellStart"/>
      <w:r>
        <w:rPr>
          <w:lang w:val="en-US"/>
        </w:rPr>
        <w:t>hyperlipid</w:t>
      </w:r>
      <w:r w:rsidR="0038790D">
        <w:rPr>
          <w:lang w:val="en-US"/>
        </w:rPr>
        <w:t>a</w:t>
      </w:r>
      <w:r>
        <w:rPr>
          <w:lang w:val="en-US"/>
        </w:rPr>
        <w:t>emia</w:t>
      </w:r>
      <w:proofErr w:type="spellEnd"/>
      <w:r>
        <w:rPr>
          <w:lang w:val="en-US"/>
        </w:rPr>
        <w:t xml:space="preserve"> and mixed </w:t>
      </w:r>
      <w:proofErr w:type="spellStart"/>
      <w:r>
        <w:rPr>
          <w:lang w:val="en-US"/>
        </w:rPr>
        <w:t>dyslipid</w:t>
      </w:r>
      <w:r w:rsidR="0038790D">
        <w:rPr>
          <w:lang w:val="en-US"/>
        </w:rPr>
        <w:t>a</w:t>
      </w:r>
      <w:r>
        <w:rPr>
          <w:lang w:val="en-US"/>
        </w:rPr>
        <w:t>emia</w:t>
      </w:r>
      <w:proofErr w:type="spellEnd"/>
      <w:r w:rsidRPr="00DA538F">
        <w:rPr>
          <w:lang w:val="en-US"/>
        </w:rPr>
        <w:t xml:space="preserve"> resulted in:</w:t>
      </w:r>
    </w:p>
    <w:p w:rsidR="006B2880" w:rsidRPr="00DA538F" w:rsidRDefault="003A08D1" w:rsidP="0068651E">
      <w:pPr>
        <w:pStyle w:val="ListParagraph"/>
        <w:keepNext/>
        <w:keepLines/>
        <w:numPr>
          <w:ilvl w:val="0"/>
          <w:numId w:val="24"/>
        </w:numPr>
        <w:ind w:left="1134" w:hanging="357"/>
        <w:rPr>
          <w:szCs w:val="22"/>
        </w:rPr>
      </w:pPr>
      <w:r>
        <w:rPr>
          <w:lang w:val="en-US"/>
        </w:rPr>
        <w:t>a</w:t>
      </w:r>
      <w:r w:rsidR="006B2880">
        <w:rPr>
          <w:lang w:val="en-US"/>
        </w:rPr>
        <w:t>pproximately a 60-70% relative</w:t>
      </w:r>
      <w:r w:rsidR="006B2880" w:rsidRPr="00523C28">
        <w:rPr>
          <w:lang w:val="en-US"/>
        </w:rPr>
        <w:t xml:space="preserve"> reduction</w:t>
      </w:r>
      <w:r w:rsidR="006B2880">
        <w:rPr>
          <w:lang w:val="en-US"/>
        </w:rPr>
        <w:t xml:space="preserve"> in</w:t>
      </w:r>
      <w:r w:rsidR="006B2880" w:rsidRPr="00523C28">
        <w:rPr>
          <w:lang w:val="en-US"/>
        </w:rPr>
        <w:t xml:space="preserve"> </w:t>
      </w:r>
      <w:r w:rsidR="006B2880">
        <w:rPr>
          <w:lang w:val="en-US"/>
        </w:rPr>
        <w:t xml:space="preserve">LDL levels </w:t>
      </w:r>
      <w:r w:rsidR="006B2880" w:rsidRPr="00523C28">
        <w:rPr>
          <w:lang w:val="en-US"/>
        </w:rPr>
        <w:t>over a</w:t>
      </w:r>
      <w:r w:rsidR="006B2880">
        <w:rPr>
          <w:lang w:val="en-US"/>
        </w:rPr>
        <w:t xml:space="preserve"> 12-52 week treatment </w:t>
      </w:r>
      <w:r w:rsidR="006B2880" w:rsidRPr="003A08D1">
        <w:t>duration</w:t>
      </w:r>
    </w:p>
    <w:p w:rsidR="006B2880" w:rsidRPr="00CF6EE4" w:rsidRDefault="003A08D1" w:rsidP="003A08D1">
      <w:pPr>
        <w:pStyle w:val="ListParagraph"/>
        <w:numPr>
          <w:ilvl w:val="0"/>
          <w:numId w:val="24"/>
        </w:numPr>
        <w:ind w:left="1134"/>
      </w:pPr>
      <w:proofErr w:type="gramStart"/>
      <w:r>
        <w:t>n</w:t>
      </w:r>
      <w:r w:rsidR="006B2880">
        <w:t>o</w:t>
      </w:r>
      <w:proofErr w:type="gramEnd"/>
      <w:r w:rsidR="006B2880">
        <w:t xml:space="preserve"> apparent difference in adverse events over a 12-52 week treatment duration</w:t>
      </w:r>
      <w:r w:rsidR="0038790D">
        <w:t>.</w:t>
      </w:r>
    </w:p>
    <w:p w:rsidR="006B2880" w:rsidRPr="00CF6EE4" w:rsidRDefault="006B2880" w:rsidP="006B2880">
      <w:pPr>
        <w:widowControl/>
      </w:pPr>
    </w:p>
    <w:p w:rsidR="006B2880" w:rsidRPr="00DA538F" w:rsidRDefault="006B2880" w:rsidP="006B2880">
      <w:pPr>
        <w:pStyle w:val="ListParagraph"/>
        <w:widowControl/>
        <w:numPr>
          <w:ilvl w:val="1"/>
          <w:numId w:val="12"/>
        </w:numPr>
      </w:pPr>
      <w:r>
        <w:rPr>
          <w:lang w:val="en-US"/>
        </w:rPr>
        <w:t>On the basis of direct</w:t>
      </w:r>
      <w:r w:rsidRPr="00DA538F">
        <w:rPr>
          <w:lang w:val="en-US"/>
        </w:rPr>
        <w:t xml:space="preserve"> evidence presented by the submission, </w:t>
      </w:r>
      <w:r>
        <w:rPr>
          <w:lang w:val="en-US"/>
        </w:rPr>
        <w:t xml:space="preserve">the comparison of </w:t>
      </w:r>
      <w:proofErr w:type="spellStart"/>
      <w:r>
        <w:rPr>
          <w:lang w:val="en-US"/>
        </w:rPr>
        <w:t>evolocumab</w:t>
      </w:r>
      <w:proofErr w:type="spellEnd"/>
      <w:r>
        <w:rPr>
          <w:lang w:val="en-US"/>
        </w:rPr>
        <w:t xml:space="preserve"> (monthly) and placebo in patients with homozygous familial </w:t>
      </w:r>
      <w:proofErr w:type="spellStart"/>
      <w:r w:rsidR="0038790D">
        <w:rPr>
          <w:lang w:val="en-US"/>
        </w:rPr>
        <w:t>hypercholesterolaemia</w:t>
      </w:r>
      <w:proofErr w:type="spellEnd"/>
      <w:r w:rsidRPr="00DA538F">
        <w:rPr>
          <w:lang w:val="en-US"/>
        </w:rPr>
        <w:t xml:space="preserve"> resulted in:</w:t>
      </w:r>
    </w:p>
    <w:p w:rsidR="006B2880" w:rsidRPr="00DA538F" w:rsidRDefault="003A08D1" w:rsidP="003A08D1">
      <w:pPr>
        <w:pStyle w:val="ListParagraph"/>
        <w:numPr>
          <w:ilvl w:val="0"/>
          <w:numId w:val="24"/>
        </w:numPr>
        <w:ind w:left="1134"/>
        <w:rPr>
          <w:szCs w:val="22"/>
        </w:rPr>
      </w:pPr>
      <w:proofErr w:type="gramStart"/>
      <w:r>
        <w:rPr>
          <w:lang w:val="en-US"/>
        </w:rPr>
        <w:t>a</w:t>
      </w:r>
      <w:r w:rsidR="006B2880">
        <w:rPr>
          <w:lang w:val="en-US"/>
        </w:rPr>
        <w:t>pproximately</w:t>
      </w:r>
      <w:proofErr w:type="gramEnd"/>
      <w:r w:rsidR="006B2880">
        <w:rPr>
          <w:lang w:val="en-US"/>
        </w:rPr>
        <w:t xml:space="preserve"> a 30% relative</w:t>
      </w:r>
      <w:r w:rsidR="006B2880" w:rsidRPr="00523C28">
        <w:rPr>
          <w:lang w:val="en-US"/>
        </w:rPr>
        <w:t xml:space="preserve"> reduction</w:t>
      </w:r>
      <w:r w:rsidR="006B2880">
        <w:rPr>
          <w:lang w:val="en-US"/>
        </w:rPr>
        <w:t xml:space="preserve"> in</w:t>
      </w:r>
      <w:r w:rsidR="006B2880" w:rsidRPr="00523C28">
        <w:rPr>
          <w:lang w:val="en-US"/>
        </w:rPr>
        <w:t xml:space="preserve"> </w:t>
      </w:r>
      <w:r w:rsidR="006B2880">
        <w:rPr>
          <w:lang w:val="en-US"/>
        </w:rPr>
        <w:t xml:space="preserve">LDL levels </w:t>
      </w:r>
      <w:r w:rsidR="006B2880" w:rsidRPr="00523C28">
        <w:rPr>
          <w:lang w:val="en-US"/>
        </w:rPr>
        <w:t>over a</w:t>
      </w:r>
      <w:r w:rsidR="006B2880">
        <w:rPr>
          <w:lang w:val="en-US"/>
        </w:rPr>
        <w:t xml:space="preserve"> 12-week treatment duration.</w:t>
      </w:r>
    </w:p>
    <w:p w:rsidR="006B2880" w:rsidRPr="00CF6EE4" w:rsidRDefault="003A08D1" w:rsidP="003A08D1">
      <w:pPr>
        <w:pStyle w:val="ListParagraph"/>
        <w:numPr>
          <w:ilvl w:val="0"/>
          <w:numId w:val="24"/>
        </w:numPr>
        <w:ind w:left="1134"/>
      </w:pPr>
      <w:proofErr w:type="gramStart"/>
      <w:r>
        <w:lastRenderedPageBreak/>
        <w:t>n</w:t>
      </w:r>
      <w:r w:rsidR="006B2880">
        <w:t>o</w:t>
      </w:r>
      <w:proofErr w:type="gramEnd"/>
      <w:r w:rsidR="006B2880">
        <w:t xml:space="preserve"> apparent difference in adverse events over a 12-week treatment duration</w:t>
      </w:r>
      <w:r w:rsidR="0038790D">
        <w:t>.</w:t>
      </w:r>
    </w:p>
    <w:p w:rsidR="00B60939" w:rsidRPr="00882085" w:rsidRDefault="00B60939" w:rsidP="00FC1884"/>
    <w:p w:rsidR="00B60939" w:rsidRPr="009B39D1" w:rsidRDefault="00B60939" w:rsidP="009B39D1">
      <w:pPr>
        <w:pStyle w:val="Heading2"/>
      </w:pPr>
      <w:bookmarkStart w:id="13" w:name="_Toc409513919"/>
      <w:r w:rsidRPr="009B39D1">
        <w:t>Clinical claim</w:t>
      </w:r>
      <w:bookmarkEnd w:id="13"/>
    </w:p>
    <w:p w:rsidR="00B60939" w:rsidRPr="00E641A3" w:rsidRDefault="00B60939" w:rsidP="00B60939">
      <w:pPr>
        <w:ind w:left="720" w:hanging="720"/>
        <w:rPr>
          <w:szCs w:val="22"/>
        </w:rPr>
      </w:pPr>
    </w:p>
    <w:p w:rsidR="00B60939" w:rsidRDefault="00950937" w:rsidP="00714D98">
      <w:pPr>
        <w:pStyle w:val="ListParagraph"/>
        <w:widowControl/>
        <w:numPr>
          <w:ilvl w:val="1"/>
          <w:numId w:val="12"/>
        </w:numPr>
        <w:rPr>
          <w:szCs w:val="22"/>
        </w:rPr>
      </w:pPr>
      <w:r w:rsidRPr="0048651A">
        <w:rPr>
          <w:szCs w:val="22"/>
        </w:rPr>
        <w:t>The submission describe</w:t>
      </w:r>
      <w:r w:rsidR="00E2365C" w:rsidRPr="0048651A">
        <w:rPr>
          <w:szCs w:val="22"/>
        </w:rPr>
        <w:t>d</w:t>
      </w:r>
      <w:r w:rsidRPr="0048651A">
        <w:rPr>
          <w:szCs w:val="22"/>
        </w:rPr>
        <w:t xml:space="preserve"> </w:t>
      </w:r>
      <w:proofErr w:type="spellStart"/>
      <w:r w:rsidRPr="0048651A">
        <w:rPr>
          <w:szCs w:val="22"/>
        </w:rPr>
        <w:t>evolocumab</w:t>
      </w:r>
      <w:proofErr w:type="spellEnd"/>
      <w:r w:rsidRPr="0048651A">
        <w:rPr>
          <w:szCs w:val="22"/>
        </w:rPr>
        <w:t xml:space="preserve"> as superior in terms of efficacy and similar in terms of safety compared to </w:t>
      </w:r>
      <w:proofErr w:type="spellStart"/>
      <w:r w:rsidRPr="0048651A">
        <w:rPr>
          <w:szCs w:val="22"/>
        </w:rPr>
        <w:t>ezetimibe</w:t>
      </w:r>
      <w:proofErr w:type="spellEnd"/>
      <w:r w:rsidRPr="0048651A">
        <w:rPr>
          <w:szCs w:val="22"/>
        </w:rPr>
        <w:t xml:space="preserve"> and placebo.</w:t>
      </w:r>
      <w:r w:rsidR="003A08D1">
        <w:rPr>
          <w:szCs w:val="22"/>
        </w:rPr>
        <w:t xml:space="preserve"> </w:t>
      </w:r>
      <w:r w:rsidRPr="0048651A">
        <w:rPr>
          <w:szCs w:val="22"/>
        </w:rPr>
        <w:t xml:space="preserve"> </w:t>
      </w:r>
      <w:r w:rsidR="00714D98" w:rsidRPr="0048651A">
        <w:rPr>
          <w:szCs w:val="22"/>
        </w:rPr>
        <w:t xml:space="preserve">The ESC noted that this claim is based on LDL levels as a surrogate measure. </w:t>
      </w:r>
      <w:r w:rsidR="003A08D1">
        <w:rPr>
          <w:szCs w:val="22"/>
        </w:rPr>
        <w:t xml:space="preserve"> </w:t>
      </w:r>
      <w:r w:rsidR="00714D98" w:rsidRPr="0048651A">
        <w:rPr>
          <w:szCs w:val="22"/>
        </w:rPr>
        <w:t xml:space="preserve">The ESC further noted that there was </w:t>
      </w:r>
      <w:r w:rsidR="004D2DA4" w:rsidRPr="0048651A">
        <w:rPr>
          <w:szCs w:val="22"/>
        </w:rPr>
        <w:t>limited</w:t>
      </w:r>
      <w:r w:rsidR="00714D98" w:rsidRPr="0048651A">
        <w:rPr>
          <w:szCs w:val="22"/>
        </w:rPr>
        <w:t xml:space="preserve"> information available with regards to safety of </w:t>
      </w:r>
      <w:proofErr w:type="spellStart"/>
      <w:r w:rsidR="00714D98" w:rsidRPr="0048651A">
        <w:rPr>
          <w:szCs w:val="22"/>
        </w:rPr>
        <w:t>evolocumab</w:t>
      </w:r>
      <w:proofErr w:type="spellEnd"/>
      <w:r w:rsidR="00714D98" w:rsidRPr="0048651A">
        <w:rPr>
          <w:szCs w:val="22"/>
        </w:rPr>
        <w:t xml:space="preserve"> and therefore considered that the clinical c</w:t>
      </w:r>
      <w:r w:rsidR="003A08D1">
        <w:rPr>
          <w:szCs w:val="22"/>
        </w:rPr>
        <w:t>laim is inadequately supported.</w:t>
      </w:r>
    </w:p>
    <w:p w:rsidR="002229D1" w:rsidRPr="003A08D1" w:rsidRDefault="002229D1" w:rsidP="002229D1">
      <w:pPr>
        <w:widowControl/>
        <w:rPr>
          <w:szCs w:val="22"/>
        </w:rPr>
      </w:pPr>
    </w:p>
    <w:p w:rsidR="002229D1" w:rsidRPr="0006768F" w:rsidRDefault="002229D1" w:rsidP="00714D98">
      <w:pPr>
        <w:pStyle w:val="ListParagraph"/>
        <w:widowControl/>
        <w:numPr>
          <w:ilvl w:val="1"/>
          <w:numId w:val="12"/>
        </w:numPr>
        <w:rPr>
          <w:szCs w:val="22"/>
        </w:rPr>
      </w:pPr>
      <w:r w:rsidRPr="0006768F">
        <w:rPr>
          <w:szCs w:val="22"/>
        </w:rPr>
        <w:t xml:space="preserve">The PBAC </w:t>
      </w:r>
      <w:r w:rsidR="003A08D1" w:rsidRPr="0006768F">
        <w:rPr>
          <w:szCs w:val="22"/>
        </w:rPr>
        <w:t>did not</w:t>
      </w:r>
      <w:r w:rsidRPr="0006768F">
        <w:rPr>
          <w:szCs w:val="22"/>
        </w:rPr>
        <w:t xml:space="preserve"> comment </w:t>
      </w:r>
      <w:r w:rsidR="00F40121" w:rsidRPr="0006768F">
        <w:rPr>
          <w:szCs w:val="22"/>
        </w:rPr>
        <w:t xml:space="preserve">further </w:t>
      </w:r>
      <w:r w:rsidRPr="0006768F">
        <w:rPr>
          <w:szCs w:val="22"/>
        </w:rPr>
        <w:t xml:space="preserve">on the clinical claim </w:t>
      </w:r>
      <w:r w:rsidR="003A08D1" w:rsidRPr="0006768F">
        <w:rPr>
          <w:szCs w:val="22"/>
        </w:rPr>
        <w:t>bec</w:t>
      </w:r>
      <w:r w:rsidRPr="0006768F">
        <w:rPr>
          <w:szCs w:val="22"/>
        </w:rPr>
        <w:t>a</w:t>
      </w:r>
      <w:r w:rsidR="003A08D1" w:rsidRPr="0006768F">
        <w:rPr>
          <w:szCs w:val="22"/>
        </w:rPr>
        <w:t>u</w:t>
      </w:r>
      <w:r w:rsidRPr="0006768F">
        <w:rPr>
          <w:szCs w:val="22"/>
        </w:rPr>
        <w:t>s</w:t>
      </w:r>
      <w:r w:rsidR="003A08D1" w:rsidRPr="0006768F">
        <w:rPr>
          <w:szCs w:val="22"/>
        </w:rPr>
        <w:t>e</w:t>
      </w:r>
      <w:r w:rsidRPr="0006768F">
        <w:rPr>
          <w:szCs w:val="22"/>
        </w:rPr>
        <w:t xml:space="preserve"> the efficacy and safety of </w:t>
      </w:r>
      <w:proofErr w:type="spellStart"/>
      <w:r w:rsidRPr="0006768F">
        <w:rPr>
          <w:szCs w:val="22"/>
        </w:rPr>
        <w:t>evolocumab</w:t>
      </w:r>
      <w:proofErr w:type="spellEnd"/>
      <w:r w:rsidRPr="0006768F">
        <w:rPr>
          <w:szCs w:val="22"/>
        </w:rPr>
        <w:t xml:space="preserve"> </w:t>
      </w:r>
      <w:r w:rsidR="003A08D1" w:rsidRPr="0006768F">
        <w:rPr>
          <w:szCs w:val="22"/>
        </w:rPr>
        <w:t>had</w:t>
      </w:r>
      <w:r w:rsidRPr="0006768F">
        <w:rPr>
          <w:szCs w:val="22"/>
        </w:rPr>
        <w:t xml:space="preserve"> not </w:t>
      </w:r>
      <w:r w:rsidR="003A08D1" w:rsidRPr="0006768F">
        <w:rPr>
          <w:szCs w:val="22"/>
        </w:rPr>
        <w:t xml:space="preserve">been </w:t>
      </w:r>
      <w:r w:rsidRPr="0006768F">
        <w:rPr>
          <w:szCs w:val="22"/>
        </w:rPr>
        <w:t xml:space="preserve">considered by </w:t>
      </w:r>
      <w:r w:rsidR="003A08D1" w:rsidRPr="0006768F">
        <w:rPr>
          <w:szCs w:val="22"/>
        </w:rPr>
        <w:t xml:space="preserve">the </w:t>
      </w:r>
      <w:r w:rsidRPr="0006768F">
        <w:rPr>
          <w:szCs w:val="22"/>
        </w:rPr>
        <w:t xml:space="preserve">TGA </w:t>
      </w:r>
      <w:r w:rsidR="003A08D1" w:rsidRPr="0006768F">
        <w:rPr>
          <w:szCs w:val="22"/>
        </w:rPr>
        <w:t>delegate before</w:t>
      </w:r>
      <w:r w:rsidRPr="0006768F">
        <w:rPr>
          <w:szCs w:val="22"/>
        </w:rPr>
        <w:t xml:space="preserve"> the time of PBAC consideration, </w:t>
      </w:r>
      <w:r w:rsidR="003A08D1" w:rsidRPr="0006768F">
        <w:rPr>
          <w:szCs w:val="22"/>
        </w:rPr>
        <w:t>and no</w:t>
      </w:r>
      <w:r w:rsidRPr="0006768F">
        <w:rPr>
          <w:szCs w:val="22"/>
        </w:rPr>
        <w:t xml:space="preserve"> </w:t>
      </w:r>
      <w:r w:rsidR="003A08D1" w:rsidRPr="0006768F">
        <w:rPr>
          <w:szCs w:val="22"/>
        </w:rPr>
        <w:t>evaluation documents from the TGA were available.</w:t>
      </w:r>
    </w:p>
    <w:p w:rsidR="0048651A" w:rsidRPr="003A08D1" w:rsidRDefault="0048651A" w:rsidP="003A08D1">
      <w:pPr>
        <w:rPr>
          <w:szCs w:val="22"/>
        </w:rPr>
      </w:pPr>
    </w:p>
    <w:p w:rsidR="0048651A" w:rsidRDefault="0048651A" w:rsidP="0048651A">
      <w:pPr>
        <w:ind w:firstLine="720"/>
      </w:pPr>
      <w:r>
        <w:rPr>
          <w:i/>
          <w:szCs w:val="22"/>
        </w:rPr>
        <w:t>For more detail on PBAC’s view, see section 7 “PBAC outcome”</w:t>
      </w:r>
    </w:p>
    <w:p w:rsidR="000A296B" w:rsidRPr="00BC6277" w:rsidRDefault="000A296B" w:rsidP="00BC6277">
      <w:pPr>
        <w:widowControl/>
        <w:rPr>
          <w:szCs w:val="22"/>
        </w:rPr>
      </w:pPr>
    </w:p>
    <w:p w:rsidR="00B60939" w:rsidRPr="009B39D1" w:rsidRDefault="00B60939" w:rsidP="009B39D1">
      <w:pPr>
        <w:pStyle w:val="Heading2"/>
      </w:pPr>
      <w:bookmarkStart w:id="14" w:name="_Toc409513920"/>
      <w:r w:rsidRPr="009B39D1">
        <w:t>Economic analysis</w:t>
      </w:r>
      <w:bookmarkEnd w:id="14"/>
    </w:p>
    <w:p w:rsidR="00B60939" w:rsidRPr="00882085" w:rsidRDefault="00B60939" w:rsidP="00B60939">
      <w:pPr>
        <w:ind w:left="720" w:hanging="720"/>
        <w:rPr>
          <w:szCs w:val="22"/>
        </w:rPr>
      </w:pPr>
    </w:p>
    <w:p w:rsidR="007D6A7F" w:rsidRPr="00991BD1" w:rsidRDefault="006B5794" w:rsidP="007D6A7F">
      <w:pPr>
        <w:pStyle w:val="ListParagraph"/>
        <w:widowControl/>
        <w:numPr>
          <w:ilvl w:val="1"/>
          <w:numId w:val="12"/>
        </w:numPr>
        <w:rPr>
          <w:szCs w:val="22"/>
        </w:rPr>
      </w:pPr>
      <w:r w:rsidRPr="006B5794">
        <w:t>The submission present</w:t>
      </w:r>
      <w:r w:rsidR="00E2365C">
        <w:t>ed</w:t>
      </w:r>
      <w:r w:rsidRPr="006B5794">
        <w:t xml:space="preserve"> a modelled economic analysis asse</w:t>
      </w:r>
      <w:r w:rsidR="008D2598">
        <w:t>ssing the cost-effectiveness of</w:t>
      </w:r>
      <w:r w:rsidRPr="006B5794">
        <w:t xml:space="preserve"> </w:t>
      </w:r>
      <w:r w:rsidR="008D2598">
        <w:t xml:space="preserve">fortnightly </w:t>
      </w:r>
      <w:proofErr w:type="spellStart"/>
      <w:r w:rsidRPr="006B5794">
        <w:t>evolocumab</w:t>
      </w:r>
      <w:proofErr w:type="spellEnd"/>
      <w:r w:rsidRPr="006B5794">
        <w:t xml:space="preserve"> when used as a replacement or as an add-on therapy (heterozygous familial </w:t>
      </w:r>
      <w:proofErr w:type="spellStart"/>
      <w:r w:rsidRPr="006B5794">
        <w:t>hypercholesterol</w:t>
      </w:r>
      <w:r w:rsidR="0038790D">
        <w:t>a</w:t>
      </w:r>
      <w:r w:rsidRPr="006B5794">
        <w:t>emia</w:t>
      </w:r>
      <w:proofErr w:type="spellEnd"/>
      <w:r w:rsidRPr="006B5794">
        <w:t xml:space="preserve"> only) to </w:t>
      </w:r>
      <w:proofErr w:type="spellStart"/>
      <w:r w:rsidRPr="006B5794">
        <w:t>ezetimibe</w:t>
      </w:r>
      <w:proofErr w:type="spellEnd"/>
      <w:r w:rsidRPr="006B5794">
        <w:t xml:space="preserve"> in patients with primary hyperlipidaemia and mixed dyslipidaemia</w:t>
      </w:r>
      <w:r w:rsidR="00E2365C">
        <w:t xml:space="preserve">. </w:t>
      </w:r>
      <w:r w:rsidR="003A08D1">
        <w:t xml:space="preserve"> </w:t>
      </w:r>
      <w:r w:rsidR="00E2365C">
        <w:t>No economic evaluation wa</w:t>
      </w:r>
      <w:r w:rsidR="006B2880">
        <w:t xml:space="preserve">s presented </w:t>
      </w:r>
      <w:r w:rsidR="002636AC">
        <w:t xml:space="preserve">for </w:t>
      </w:r>
      <w:r w:rsidR="006B2880">
        <w:t xml:space="preserve">monthly </w:t>
      </w:r>
      <w:proofErr w:type="spellStart"/>
      <w:r w:rsidR="006B2880">
        <w:t>evolocumab</w:t>
      </w:r>
      <w:proofErr w:type="spellEnd"/>
      <w:r w:rsidR="006B2880">
        <w:t xml:space="preserve"> as </w:t>
      </w:r>
      <w:r w:rsidR="008D2598">
        <w:t xml:space="preserve">the submission </w:t>
      </w:r>
      <w:r w:rsidR="006B2880">
        <w:t>d</w:t>
      </w:r>
      <w:r w:rsidR="00E2365C">
        <w:t>id</w:t>
      </w:r>
      <w:r w:rsidR="006B2880">
        <w:t xml:space="preserve"> not request listing of this dosing regimen for this patient population</w:t>
      </w:r>
      <w:r w:rsidRPr="0004200E">
        <w:t xml:space="preserve">. </w:t>
      </w:r>
      <w:r w:rsidR="003A08D1" w:rsidRPr="0004200E">
        <w:t xml:space="preserve"> </w:t>
      </w:r>
      <w:r w:rsidR="00C31AA2" w:rsidRPr="00991BD1">
        <w:t xml:space="preserve">The ESC noted that </w:t>
      </w:r>
      <w:r w:rsidR="00BB1966" w:rsidRPr="00991BD1">
        <w:t>one of the</w:t>
      </w:r>
      <w:r w:rsidR="00C31AA2" w:rsidRPr="00991BD1">
        <w:t xml:space="preserve"> main issue</w:t>
      </w:r>
      <w:r w:rsidR="00BB1966" w:rsidRPr="00991BD1">
        <w:t>s in the economic model</w:t>
      </w:r>
      <w:r w:rsidR="00C31AA2" w:rsidRPr="00991BD1">
        <w:t xml:space="preserve"> is determining the treatment population</w:t>
      </w:r>
      <w:r w:rsidR="0048651A">
        <w:t>.</w:t>
      </w:r>
    </w:p>
    <w:p w:rsidR="008D2598" w:rsidRPr="00F554A9" w:rsidRDefault="008D2598" w:rsidP="007D6A7F">
      <w:pPr>
        <w:widowControl/>
        <w:rPr>
          <w:szCs w:val="22"/>
        </w:rPr>
      </w:pPr>
    </w:p>
    <w:p w:rsidR="00275C5A" w:rsidRPr="00E51BEB" w:rsidRDefault="008D2598" w:rsidP="006B5794">
      <w:pPr>
        <w:pStyle w:val="ListParagraph"/>
        <w:widowControl/>
        <w:numPr>
          <w:ilvl w:val="1"/>
          <w:numId w:val="12"/>
        </w:numPr>
        <w:rPr>
          <w:szCs w:val="22"/>
        </w:rPr>
      </w:pPr>
      <w:r w:rsidRPr="00E51BEB">
        <w:t>N</w:t>
      </w:r>
      <w:r w:rsidR="009C6F29" w:rsidRPr="00E51BEB">
        <w:t xml:space="preserve">o economic evaluation </w:t>
      </w:r>
      <w:r w:rsidR="00E2365C" w:rsidRPr="00E51BEB">
        <w:t>wa</w:t>
      </w:r>
      <w:r w:rsidR="009C6F29" w:rsidRPr="00E51BEB">
        <w:t>s presented for</w:t>
      </w:r>
      <w:r w:rsidR="006B5794" w:rsidRPr="00E51BEB">
        <w:t xml:space="preserve"> the use of </w:t>
      </w:r>
      <w:proofErr w:type="spellStart"/>
      <w:r w:rsidR="006B5794" w:rsidRPr="00E51BEB">
        <w:t>evolocumab</w:t>
      </w:r>
      <w:proofErr w:type="spellEnd"/>
      <w:r w:rsidR="006B5794" w:rsidRPr="00E51BEB">
        <w:t xml:space="preserve"> in patients with homozygous familial </w:t>
      </w:r>
      <w:proofErr w:type="spellStart"/>
      <w:r w:rsidR="0038790D" w:rsidRPr="00E51BEB">
        <w:t>hypercholesterolaemia</w:t>
      </w:r>
      <w:proofErr w:type="spellEnd"/>
      <w:r w:rsidR="006B5794" w:rsidRPr="00E51BEB">
        <w:t xml:space="preserve"> or for the use of </w:t>
      </w:r>
      <w:proofErr w:type="spellStart"/>
      <w:r w:rsidR="006B5794" w:rsidRPr="00E51BEB">
        <w:t>evolocumab</w:t>
      </w:r>
      <w:proofErr w:type="spellEnd"/>
      <w:r w:rsidR="006B5794" w:rsidRPr="00E51BEB">
        <w:t xml:space="preserve"> as an add-on therapy in patients with non-familial </w:t>
      </w:r>
      <w:proofErr w:type="spellStart"/>
      <w:r w:rsidR="0038790D" w:rsidRPr="00E51BEB">
        <w:t>hypercholesterolaemia</w:t>
      </w:r>
      <w:proofErr w:type="spellEnd"/>
      <w:r w:rsidR="006B5794" w:rsidRPr="00E51BEB">
        <w:t>.</w:t>
      </w:r>
    </w:p>
    <w:p w:rsidR="006B5794" w:rsidRPr="006B5794" w:rsidRDefault="006B5794" w:rsidP="006B5794">
      <w:pPr>
        <w:widowControl/>
        <w:rPr>
          <w:szCs w:val="22"/>
        </w:rPr>
      </w:pPr>
    </w:p>
    <w:p w:rsidR="00275C5A" w:rsidRDefault="00275C5A" w:rsidP="0068651E">
      <w:pPr>
        <w:keepNext/>
        <w:keepLines/>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E2771E" w:rsidTr="005D044D">
        <w:trPr>
          <w:tblHeader/>
        </w:trPr>
        <w:tc>
          <w:tcPr>
            <w:tcW w:w="1529" w:type="pct"/>
            <w:shd w:val="clear" w:color="auto" w:fill="auto"/>
            <w:vAlign w:val="center"/>
          </w:tcPr>
          <w:p w:rsidR="00275C5A" w:rsidRPr="00E2771E" w:rsidRDefault="00275C5A" w:rsidP="0068651E">
            <w:pPr>
              <w:keepNext/>
              <w:keepLines/>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275C5A" w:rsidRPr="00E2771E" w:rsidRDefault="00275C5A" w:rsidP="0068651E">
            <w:pPr>
              <w:keepNext/>
              <w:keepLines/>
              <w:jc w:val="center"/>
              <w:rPr>
                <w:rFonts w:ascii="Arial Narrow" w:hAnsi="Arial Narrow"/>
                <w:b/>
                <w:sz w:val="20"/>
              </w:rPr>
            </w:pPr>
            <w:r w:rsidRPr="00E2771E">
              <w:rPr>
                <w:rFonts w:ascii="Arial Narrow" w:hAnsi="Arial Narrow"/>
                <w:b/>
                <w:sz w:val="20"/>
              </w:rPr>
              <w:t>Summary</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sidRPr="008448C2">
              <w:rPr>
                <w:rFonts w:ascii="Arial Narrow" w:hAnsi="Arial Narrow"/>
                <w:sz w:val="20"/>
              </w:rPr>
              <w:t>35 years i</w:t>
            </w:r>
            <w:r>
              <w:rPr>
                <w:rFonts w:ascii="Arial Narrow" w:hAnsi="Arial Narrow"/>
                <w:sz w:val="20"/>
              </w:rPr>
              <w:t xml:space="preserve">n the model base case versus </w:t>
            </w:r>
            <w:r w:rsidRPr="008448C2">
              <w:rPr>
                <w:rFonts w:ascii="Arial Narrow" w:hAnsi="Arial Narrow"/>
                <w:sz w:val="20"/>
              </w:rPr>
              <w:t>12 weeks in trials</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Pr>
                <w:rFonts w:ascii="Arial Narrow" w:hAnsi="Arial Narrow"/>
                <w:sz w:val="20"/>
              </w:rPr>
              <w:t>% reduction in LDL</w:t>
            </w:r>
            <w:r w:rsidRPr="008448C2">
              <w:rPr>
                <w:rFonts w:ascii="Arial Narrow" w:hAnsi="Arial Narrow"/>
                <w:sz w:val="20"/>
              </w:rPr>
              <w:t>;</w:t>
            </w:r>
            <w:r w:rsidR="0049334B">
              <w:rPr>
                <w:rFonts w:ascii="Arial Narrow" w:hAnsi="Arial Narrow"/>
                <w:sz w:val="20"/>
              </w:rPr>
              <w:t xml:space="preserve"> LYs;</w:t>
            </w:r>
            <w:r w:rsidRPr="008448C2">
              <w:rPr>
                <w:rFonts w:ascii="Arial Narrow" w:hAnsi="Arial Narrow"/>
                <w:sz w:val="20"/>
              </w:rPr>
              <w:t xml:space="preserve"> QALYs</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sidRPr="008448C2">
              <w:rPr>
                <w:rFonts w:ascii="Arial Narrow" w:hAnsi="Arial Narrow"/>
                <w:sz w:val="20"/>
              </w:rPr>
              <w:t>Markov cohort expected value analysis</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Pr>
                <w:rFonts w:ascii="Arial Narrow" w:hAnsi="Arial Narrow"/>
                <w:sz w:val="20"/>
              </w:rPr>
              <w:t>P</w:t>
            </w:r>
            <w:r w:rsidRPr="006B5794">
              <w:rPr>
                <w:rFonts w:ascii="Arial Narrow" w:hAnsi="Arial Narrow"/>
                <w:sz w:val="20"/>
              </w:rPr>
              <w:t>rimary prevention setting</w:t>
            </w:r>
            <w:r>
              <w:rPr>
                <w:rFonts w:ascii="Arial Narrow" w:hAnsi="Arial Narrow"/>
                <w:sz w:val="20"/>
              </w:rPr>
              <w:t xml:space="preserve"> (no CHD)</w:t>
            </w:r>
            <w:r w:rsidRPr="006B5794">
              <w:rPr>
                <w:rFonts w:ascii="Arial Narrow" w:hAnsi="Arial Narrow"/>
                <w:sz w:val="20"/>
              </w:rPr>
              <w:t>; secondary prevention following a non-fatal myocardial infarction; secondary prevention following a stroke; or dead</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sidRPr="008448C2">
              <w:rPr>
                <w:rFonts w:ascii="Arial Narrow" w:hAnsi="Arial Narrow"/>
                <w:sz w:val="20"/>
              </w:rPr>
              <w:t>Monthly</w:t>
            </w:r>
          </w:p>
        </w:tc>
      </w:tr>
      <w:tr w:rsidR="00275C5A" w:rsidRPr="00E2771E" w:rsidTr="005D044D">
        <w:tc>
          <w:tcPr>
            <w:tcW w:w="1529" w:type="pct"/>
            <w:shd w:val="clear" w:color="auto" w:fill="auto"/>
            <w:vAlign w:val="center"/>
          </w:tcPr>
          <w:p w:rsidR="00275C5A" w:rsidRPr="00E2771E" w:rsidRDefault="00275C5A" w:rsidP="0068651E">
            <w:pPr>
              <w:keepNext/>
              <w:keepLines/>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275C5A" w:rsidRPr="00E2771E" w:rsidRDefault="006B5794" w:rsidP="0068651E">
            <w:pPr>
              <w:keepNext/>
              <w:keepLines/>
              <w:jc w:val="left"/>
              <w:rPr>
                <w:rFonts w:ascii="Arial Narrow" w:hAnsi="Arial Narrow"/>
                <w:sz w:val="20"/>
              </w:rPr>
            </w:pPr>
            <w:r w:rsidRPr="008448C2">
              <w:rPr>
                <w:rFonts w:ascii="Arial Narrow" w:hAnsi="Arial Narrow"/>
                <w:sz w:val="20"/>
              </w:rPr>
              <w:t>Framingham risk equations; adjusted for treatment-rela</w:t>
            </w:r>
            <w:r w:rsidR="00056269">
              <w:rPr>
                <w:rFonts w:ascii="Arial Narrow" w:hAnsi="Arial Narrow"/>
                <w:sz w:val="20"/>
              </w:rPr>
              <w:t>ted reduction in LDL and</w:t>
            </w:r>
            <w:r>
              <w:rPr>
                <w:rFonts w:ascii="Arial Narrow" w:hAnsi="Arial Narrow"/>
                <w:sz w:val="20"/>
              </w:rPr>
              <w:t xml:space="preserve"> prior</w:t>
            </w:r>
            <w:r w:rsidRPr="008448C2">
              <w:rPr>
                <w:rFonts w:ascii="Arial Narrow" w:hAnsi="Arial Narrow"/>
                <w:sz w:val="20"/>
              </w:rPr>
              <w:t xml:space="preserve"> events</w:t>
            </w:r>
          </w:p>
        </w:tc>
      </w:tr>
      <w:tr w:rsidR="006B5794" w:rsidRPr="00E2771E" w:rsidTr="00B75B9C">
        <w:tc>
          <w:tcPr>
            <w:tcW w:w="1529" w:type="pct"/>
            <w:shd w:val="clear" w:color="auto" w:fill="auto"/>
          </w:tcPr>
          <w:p w:rsidR="006B5794" w:rsidRPr="00E2771E" w:rsidRDefault="006B5794" w:rsidP="0068651E">
            <w:pPr>
              <w:keepNext/>
              <w:keepLines/>
              <w:jc w:val="left"/>
              <w:rPr>
                <w:rFonts w:ascii="Arial Narrow" w:hAnsi="Arial Narrow"/>
                <w:sz w:val="20"/>
              </w:rPr>
            </w:pPr>
            <w:r w:rsidRPr="008448C2">
              <w:rPr>
                <w:rFonts w:ascii="Arial Narrow" w:hAnsi="Arial Narrow"/>
                <w:sz w:val="20"/>
              </w:rPr>
              <w:t>Discount rate</w:t>
            </w:r>
          </w:p>
        </w:tc>
        <w:tc>
          <w:tcPr>
            <w:tcW w:w="3471" w:type="pct"/>
            <w:shd w:val="clear" w:color="auto" w:fill="auto"/>
          </w:tcPr>
          <w:p w:rsidR="006B5794" w:rsidRPr="008448C2" w:rsidRDefault="006B5794" w:rsidP="0068651E">
            <w:pPr>
              <w:keepNext/>
              <w:keepLines/>
              <w:jc w:val="left"/>
              <w:rPr>
                <w:rFonts w:ascii="Arial Narrow" w:hAnsi="Arial Narrow"/>
                <w:sz w:val="20"/>
              </w:rPr>
            </w:pPr>
            <w:r w:rsidRPr="008448C2">
              <w:rPr>
                <w:rFonts w:ascii="Arial Narrow" w:hAnsi="Arial Narrow"/>
                <w:sz w:val="20"/>
              </w:rPr>
              <w:t>5% for costs and outcomes</w:t>
            </w:r>
          </w:p>
        </w:tc>
      </w:tr>
      <w:tr w:rsidR="006B5794" w:rsidRPr="00E2771E" w:rsidTr="00B75B9C">
        <w:tc>
          <w:tcPr>
            <w:tcW w:w="1529" w:type="pct"/>
            <w:shd w:val="clear" w:color="auto" w:fill="auto"/>
          </w:tcPr>
          <w:p w:rsidR="006B5794" w:rsidRPr="00E2771E" w:rsidRDefault="006B5794" w:rsidP="0068651E">
            <w:pPr>
              <w:keepNext/>
              <w:keepLines/>
              <w:jc w:val="left"/>
              <w:rPr>
                <w:rFonts w:ascii="Arial Narrow" w:hAnsi="Arial Narrow"/>
                <w:sz w:val="20"/>
              </w:rPr>
            </w:pPr>
            <w:r w:rsidRPr="008448C2">
              <w:rPr>
                <w:rFonts w:ascii="Arial Narrow" w:hAnsi="Arial Narrow"/>
                <w:sz w:val="20"/>
              </w:rPr>
              <w:t>Software package</w:t>
            </w:r>
          </w:p>
        </w:tc>
        <w:tc>
          <w:tcPr>
            <w:tcW w:w="3471" w:type="pct"/>
            <w:shd w:val="clear" w:color="auto" w:fill="auto"/>
          </w:tcPr>
          <w:p w:rsidR="006B5794" w:rsidRPr="008448C2" w:rsidRDefault="006B5794" w:rsidP="0068651E">
            <w:pPr>
              <w:keepNext/>
              <w:keepLines/>
              <w:jc w:val="left"/>
              <w:rPr>
                <w:rFonts w:ascii="Arial Narrow" w:hAnsi="Arial Narrow"/>
                <w:sz w:val="20"/>
              </w:rPr>
            </w:pPr>
            <w:r w:rsidRPr="008448C2">
              <w:rPr>
                <w:rFonts w:ascii="Arial Narrow" w:hAnsi="Arial Narrow"/>
                <w:sz w:val="20"/>
              </w:rPr>
              <w:t>Excel 2010</w:t>
            </w:r>
          </w:p>
        </w:tc>
      </w:tr>
    </w:tbl>
    <w:p w:rsidR="006B5794" w:rsidRDefault="006B5794" w:rsidP="0068651E">
      <w:pPr>
        <w:pStyle w:val="TableFooter"/>
        <w:keepNext/>
        <w:keepLines/>
        <w:ind w:firstLine="720"/>
      </w:pPr>
      <w:r>
        <w:t>Abbreviations: CHD, coronary heart disease; LDL</w:t>
      </w:r>
      <w:r w:rsidRPr="006B5794">
        <w:t>, low</w:t>
      </w:r>
      <w:r>
        <w:t>-density lipoprotein</w:t>
      </w:r>
      <w:r w:rsidRPr="006B5794">
        <w:t xml:space="preserve">; </w:t>
      </w:r>
      <w:r w:rsidR="00F466F6">
        <w:t xml:space="preserve">LYs, life years; </w:t>
      </w:r>
      <w:r w:rsidRPr="006B5794">
        <w:t>QALY, quality adjusted life year</w:t>
      </w:r>
    </w:p>
    <w:p w:rsidR="00275C5A" w:rsidRPr="00275C5A" w:rsidRDefault="006B5794" w:rsidP="0068651E">
      <w:pPr>
        <w:pStyle w:val="TableFooter"/>
        <w:keepNext/>
        <w:keepLines/>
        <w:ind w:firstLine="720"/>
      </w:pPr>
      <w:r>
        <w:t>Source: Constructed</w:t>
      </w:r>
      <w:r w:rsidR="00275C5A" w:rsidRPr="00275C5A">
        <w:t xml:space="preserve"> during the evaluation</w:t>
      </w:r>
    </w:p>
    <w:p w:rsidR="00275C5A" w:rsidRPr="00275C5A" w:rsidRDefault="00275C5A" w:rsidP="0068651E">
      <w:pPr>
        <w:keepNext/>
        <w:keepLines/>
        <w:widowControl/>
        <w:rPr>
          <w:szCs w:val="22"/>
        </w:rPr>
      </w:pPr>
    </w:p>
    <w:p w:rsidR="00275C5A" w:rsidRPr="00B50DB8" w:rsidRDefault="00BF707A" w:rsidP="006B5CFB">
      <w:pPr>
        <w:pStyle w:val="ListParagraph"/>
        <w:widowControl/>
        <w:numPr>
          <w:ilvl w:val="1"/>
          <w:numId w:val="12"/>
        </w:numPr>
        <w:rPr>
          <w:szCs w:val="22"/>
        </w:rPr>
      </w:pPr>
      <w:r>
        <w:rPr>
          <w:szCs w:val="22"/>
        </w:rPr>
        <w:t>Key issues with</w:t>
      </w:r>
      <w:r w:rsidR="006B5CFB" w:rsidRPr="006B5CFB">
        <w:rPr>
          <w:szCs w:val="22"/>
        </w:rPr>
        <w:t xml:space="preserve"> the economic model are summarised in the table below.</w:t>
      </w:r>
    </w:p>
    <w:p w:rsidR="007C37E7" w:rsidRPr="007C37E7" w:rsidRDefault="007C37E7" w:rsidP="007C37E7">
      <w:pPr>
        <w:widowControl/>
        <w:rPr>
          <w:szCs w:val="22"/>
        </w:rPr>
      </w:pPr>
    </w:p>
    <w:p w:rsidR="007C37E7" w:rsidRPr="00991BD1" w:rsidRDefault="007C37E7" w:rsidP="007C37E7">
      <w:pPr>
        <w:pStyle w:val="ListParagraph"/>
        <w:widowControl/>
        <w:numPr>
          <w:ilvl w:val="1"/>
          <w:numId w:val="12"/>
        </w:numPr>
        <w:rPr>
          <w:szCs w:val="22"/>
        </w:rPr>
      </w:pPr>
      <w:r w:rsidRPr="00991BD1">
        <w:rPr>
          <w:szCs w:val="22"/>
        </w:rPr>
        <w:t>Overall, the ESC noted that the model was driven by three main steps:</w:t>
      </w:r>
    </w:p>
    <w:p w:rsidR="007C37E7" w:rsidRPr="00991BD1" w:rsidRDefault="0004200E" w:rsidP="007C37E7">
      <w:pPr>
        <w:pStyle w:val="ListParagraph"/>
        <w:widowControl/>
        <w:numPr>
          <w:ilvl w:val="1"/>
          <w:numId w:val="35"/>
        </w:numPr>
        <w:rPr>
          <w:szCs w:val="22"/>
        </w:rPr>
      </w:pPr>
      <w:r>
        <w:rPr>
          <w:szCs w:val="22"/>
        </w:rPr>
        <w:t>e</w:t>
      </w:r>
      <w:r w:rsidR="007C37E7" w:rsidRPr="00991BD1">
        <w:rPr>
          <w:szCs w:val="22"/>
        </w:rPr>
        <w:t>stimate baseline CHD risks from the Framingham Risk Equations</w:t>
      </w:r>
    </w:p>
    <w:p w:rsidR="007C37E7" w:rsidRPr="00991BD1" w:rsidRDefault="0004200E" w:rsidP="007C37E7">
      <w:pPr>
        <w:pStyle w:val="ListParagraph"/>
        <w:widowControl/>
        <w:numPr>
          <w:ilvl w:val="1"/>
          <w:numId w:val="35"/>
        </w:numPr>
        <w:rPr>
          <w:szCs w:val="22"/>
        </w:rPr>
      </w:pPr>
      <w:proofErr w:type="gramStart"/>
      <w:r>
        <w:rPr>
          <w:szCs w:val="22"/>
        </w:rPr>
        <w:t>a</w:t>
      </w:r>
      <w:r w:rsidR="007C37E7" w:rsidRPr="00991BD1">
        <w:rPr>
          <w:szCs w:val="22"/>
        </w:rPr>
        <w:t>djust</w:t>
      </w:r>
      <w:proofErr w:type="gramEnd"/>
      <w:r w:rsidR="007C37E7" w:rsidRPr="00991BD1">
        <w:rPr>
          <w:szCs w:val="22"/>
        </w:rPr>
        <w:t xml:space="preserve"> baseline CHD risks by applying a risk </w:t>
      </w:r>
      <w:r w:rsidR="00442F82" w:rsidRPr="00991BD1">
        <w:rPr>
          <w:szCs w:val="22"/>
        </w:rPr>
        <w:t xml:space="preserve">(multiplicative) </w:t>
      </w:r>
      <w:r w:rsidR="007C37E7" w:rsidRPr="00991BD1">
        <w:rPr>
          <w:szCs w:val="22"/>
        </w:rPr>
        <w:t xml:space="preserve">multiplier for </w:t>
      </w:r>
      <w:r w:rsidR="007C37E7" w:rsidRPr="00991BD1">
        <w:t xml:space="preserve">familial </w:t>
      </w:r>
      <w:proofErr w:type="spellStart"/>
      <w:r w:rsidR="007C37E7" w:rsidRPr="00991BD1">
        <w:t>hypercholesterolaemia</w:t>
      </w:r>
      <w:proofErr w:type="spellEnd"/>
      <w:r w:rsidR="007C37E7" w:rsidRPr="00991BD1">
        <w:t xml:space="preserve"> to those patients with a family history of premature CHD, and a separate risk (multiplicative) multiplier for those patients with prior MI or </w:t>
      </w:r>
      <w:r w:rsidR="007C37E7" w:rsidRPr="00991BD1">
        <w:lastRenderedPageBreak/>
        <w:t>stroke before and during the model. No further adjustments were made to account for the fact that, by definition, some of the remaining subgro</w:t>
      </w:r>
      <w:r>
        <w:t>ups would have had a lower risk</w:t>
      </w:r>
    </w:p>
    <w:p w:rsidR="00275C5A" w:rsidRPr="0068651E" w:rsidRDefault="0004200E" w:rsidP="00275C5A">
      <w:pPr>
        <w:pStyle w:val="ListParagraph"/>
        <w:widowControl/>
        <w:numPr>
          <w:ilvl w:val="1"/>
          <w:numId w:val="35"/>
        </w:numPr>
        <w:rPr>
          <w:szCs w:val="22"/>
        </w:rPr>
      </w:pPr>
      <w:proofErr w:type="gramStart"/>
      <w:r>
        <w:t>a</w:t>
      </w:r>
      <w:r w:rsidR="007C37E7" w:rsidRPr="00991BD1">
        <w:t>pply</w:t>
      </w:r>
      <w:proofErr w:type="gramEnd"/>
      <w:r w:rsidR="007C37E7" w:rsidRPr="00991BD1">
        <w:t xml:space="preserve"> </w:t>
      </w:r>
      <w:r w:rsidR="00442F82" w:rsidRPr="00991BD1">
        <w:t xml:space="preserve">the </w:t>
      </w:r>
      <w:r w:rsidR="00D51578" w:rsidRPr="00991BD1">
        <w:t xml:space="preserve">derived </w:t>
      </w:r>
      <w:r w:rsidR="007C37E7" w:rsidRPr="00991BD1">
        <w:t xml:space="preserve">relative risk </w:t>
      </w:r>
      <w:r w:rsidR="002205B7" w:rsidRPr="00991BD1">
        <w:t xml:space="preserve">reduction </w:t>
      </w:r>
      <w:r w:rsidR="007C37E7" w:rsidRPr="00991BD1">
        <w:t xml:space="preserve">for </w:t>
      </w:r>
      <w:proofErr w:type="spellStart"/>
      <w:r w:rsidR="007C37E7" w:rsidRPr="00991BD1">
        <w:t>evolocumab</w:t>
      </w:r>
      <w:proofErr w:type="spellEnd"/>
      <w:r w:rsidR="007C37E7" w:rsidRPr="00991BD1">
        <w:t xml:space="preserve"> </w:t>
      </w:r>
      <w:r w:rsidR="002205B7" w:rsidRPr="00991BD1">
        <w:t xml:space="preserve">and </w:t>
      </w:r>
      <w:r w:rsidR="00AC6D4E" w:rsidRPr="00991BD1">
        <w:t xml:space="preserve">its comparators </w:t>
      </w:r>
      <w:r w:rsidR="007C37E7" w:rsidRPr="00991BD1">
        <w:t xml:space="preserve">to </w:t>
      </w:r>
      <w:r w:rsidR="008A0585" w:rsidRPr="00991BD1">
        <w:t xml:space="preserve">the </w:t>
      </w:r>
      <w:r w:rsidR="007C37E7" w:rsidRPr="00991BD1">
        <w:t>adjusted baseline CVD risks.</w:t>
      </w:r>
    </w:p>
    <w:p w:rsidR="000B2877" w:rsidRDefault="000B2877" w:rsidP="007B2725">
      <w:pPr>
        <w:keepNext/>
        <w:keepLines/>
        <w:ind w:firstLine="720"/>
        <w:rPr>
          <w:rStyle w:val="CommentReference"/>
        </w:rPr>
      </w:pPr>
    </w:p>
    <w:p w:rsidR="00D110BD" w:rsidRDefault="00BF707A" w:rsidP="007B2725">
      <w:pPr>
        <w:keepNext/>
        <w:keepLines/>
        <w:ind w:firstLine="720"/>
        <w:rPr>
          <w:rStyle w:val="CommentReference"/>
        </w:rPr>
      </w:pPr>
      <w:r>
        <w:rPr>
          <w:rStyle w:val="CommentReference"/>
        </w:rPr>
        <w:t>Key issues with</w:t>
      </w:r>
      <w:r w:rsidR="00D110BD" w:rsidRPr="00A56B6A">
        <w:rPr>
          <w:rStyle w:val="CommentReference"/>
        </w:rPr>
        <w:t xml:space="preserve">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6239"/>
        <w:gridCol w:w="829"/>
      </w:tblGrid>
      <w:tr w:rsidR="00D110BD" w:rsidRPr="00E2771E" w:rsidTr="0004200E">
        <w:trPr>
          <w:tblHeader/>
        </w:trPr>
        <w:tc>
          <w:tcPr>
            <w:tcW w:w="765" w:type="pct"/>
            <w:shd w:val="clear" w:color="auto" w:fill="auto"/>
            <w:vAlign w:val="center"/>
          </w:tcPr>
          <w:p w:rsidR="00D110BD" w:rsidRPr="00E2771E" w:rsidRDefault="00D110BD" w:rsidP="007B2725">
            <w:pPr>
              <w:keepNext/>
              <w:keepLines/>
              <w:jc w:val="left"/>
              <w:rPr>
                <w:rFonts w:ascii="Arial Narrow" w:hAnsi="Arial Narrow"/>
                <w:b/>
                <w:sz w:val="20"/>
                <w:lang w:val="en-US"/>
              </w:rPr>
            </w:pPr>
            <w:r w:rsidRPr="00E2771E">
              <w:rPr>
                <w:rFonts w:ascii="Arial Narrow" w:hAnsi="Arial Narrow"/>
                <w:b/>
                <w:sz w:val="20"/>
                <w:lang w:val="en-US"/>
              </w:rPr>
              <w:t>Description</w:t>
            </w:r>
          </w:p>
        </w:tc>
        <w:tc>
          <w:tcPr>
            <w:tcW w:w="3738" w:type="pct"/>
            <w:shd w:val="clear" w:color="auto" w:fill="auto"/>
            <w:vAlign w:val="center"/>
          </w:tcPr>
          <w:p w:rsidR="00D110BD" w:rsidRPr="00E2771E" w:rsidRDefault="00D110BD" w:rsidP="007B2725">
            <w:pPr>
              <w:keepNext/>
              <w:keepLines/>
              <w:jc w:val="center"/>
              <w:rPr>
                <w:rFonts w:ascii="Arial Narrow" w:hAnsi="Arial Narrow"/>
                <w:b/>
                <w:sz w:val="20"/>
                <w:lang w:val="en-US"/>
              </w:rPr>
            </w:pPr>
            <w:r w:rsidRPr="00E2771E">
              <w:rPr>
                <w:rFonts w:ascii="Arial Narrow" w:hAnsi="Arial Narrow"/>
                <w:b/>
                <w:sz w:val="20"/>
                <w:lang w:val="en-US"/>
              </w:rPr>
              <w:t>Method/Value</w:t>
            </w:r>
          </w:p>
        </w:tc>
        <w:tc>
          <w:tcPr>
            <w:tcW w:w="498" w:type="pct"/>
            <w:shd w:val="clear" w:color="auto" w:fill="auto"/>
            <w:vAlign w:val="center"/>
          </w:tcPr>
          <w:p w:rsidR="00D110BD" w:rsidRPr="00E2771E" w:rsidRDefault="00D110BD" w:rsidP="007B2725">
            <w:pPr>
              <w:keepNext/>
              <w:keepLines/>
              <w:jc w:val="center"/>
              <w:rPr>
                <w:rFonts w:ascii="Arial Narrow" w:hAnsi="Arial Narrow"/>
                <w:b/>
                <w:sz w:val="20"/>
                <w:lang w:val="en-US"/>
              </w:rPr>
            </w:pPr>
            <w:r w:rsidRPr="00E2771E">
              <w:rPr>
                <w:rFonts w:ascii="Arial Narrow" w:hAnsi="Arial Narrow"/>
                <w:b/>
                <w:sz w:val="20"/>
                <w:lang w:val="en-US"/>
              </w:rPr>
              <w:t>Impact</w:t>
            </w:r>
          </w:p>
        </w:tc>
      </w:tr>
      <w:tr w:rsidR="00D110BD" w:rsidRPr="00E2771E" w:rsidTr="0004200E">
        <w:tc>
          <w:tcPr>
            <w:tcW w:w="765" w:type="pct"/>
            <w:shd w:val="clear" w:color="auto" w:fill="auto"/>
            <w:vAlign w:val="center"/>
          </w:tcPr>
          <w:p w:rsidR="00D110BD" w:rsidRPr="00E2771E" w:rsidRDefault="00BF707A" w:rsidP="007B2725">
            <w:pPr>
              <w:keepNext/>
              <w:keepLines/>
              <w:jc w:val="left"/>
              <w:rPr>
                <w:rFonts w:ascii="Arial Narrow" w:hAnsi="Arial Narrow"/>
                <w:sz w:val="20"/>
                <w:lang w:val="en-US"/>
              </w:rPr>
            </w:pPr>
            <w:r>
              <w:rPr>
                <w:rFonts w:ascii="Arial Narrow" w:hAnsi="Arial Narrow"/>
                <w:sz w:val="20"/>
                <w:lang w:val="en-US"/>
              </w:rPr>
              <w:t>Baseline cardiovascular risk</w:t>
            </w:r>
          </w:p>
        </w:tc>
        <w:tc>
          <w:tcPr>
            <w:tcW w:w="3738" w:type="pct"/>
            <w:shd w:val="clear" w:color="auto" w:fill="auto"/>
            <w:vAlign w:val="center"/>
          </w:tcPr>
          <w:p w:rsidR="0049334B" w:rsidRPr="00991BD1" w:rsidRDefault="00536225" w:rsidP="007B2725">
            <w:pPr>
              <w:keepNext/>
              <w:keepLines/>
              <w:jc w:val="left"/>
              <w:rPr>
                <w:rFonts w:ascii="Arial Narrow" w:hAnsi="Arial Narrow"/>
                <w:sz w:val="20"/>
                <w:lang w:val="en-US"/>
              </w:rPr>
            </w:pPr>
            <w:r w:rsidRPr="00991BD1">
              <w:rPr>
                <w:rFonts w:ascii="Arial Narrow" w:hAnsi="Arial Narrow"/>
                <w:sz w:val="20"/>
                <w:lang w:val="en-US"/>
              </w:rPr>
              <w:t>P</w:t>
            </w:r>
            <w:r w:rsidR="0049334B" w:rsidRPr="00991BD1">
              <w:rPr>
                <w:rFonts w:ascii="Arial Narrow" w:hAnsi="Arial Narrow"/>
                <w:sz w:val="20"/>
                <w:lang w:val="en-US"/>
              </w:rPr>
              <w:t>atient characteristics of the trial populations (</w:t>
            </w:r>
            <w:r w:rsidR="008F2776" w:rsidRPr="00991BD1">
              <w:rPr>
                <w:rFonts w:ascii="Arial Narrow" w:hAnsi="Arial Narrow"/>
                <w:sz w:val="20"/>
                <w:lang w:val="en-US"/>
              </w:rPr>
              <w:t xml:space="preserve">with </w:t>
            </w:r>
            <w:r w:rsidR="0049334B" w:rsidRPr="00991BD1">
              <w:rPr>
                <w:rFonts w:ascii="Arial Narrow" w:hAnsi="Arial Narrow"/>
                <w:sz w:val="20"/>
                <w:lang w:val="en-US"/>
              </w:rPr>
              <w:t xml:space="preserve">limited applicability to </w:t>
            </w:r>
            <w:r w:rsidR="008D28A1" w:rsidRPr="00991BD1">
              <w:rPr>
                <w:rFonts w:ascii="Arial Narrow" w:hAnsi="Arial Narrow"/>
                <w:sz w:val="20"/>
                <w:lang w:val="en-US"/>
              </w:rPr>
              <w:t xml:space="preserve">the proposed </w:t>
            </w:r>
            <w:r w:rsidR="0049334B" w:rsidRPr="00991BD1">
              <w:rPr>
                <w:rFonts w:ascii="Arial Narrow" w:hAnsi="Arial Narrow"/>
                <w:sz w:val="20"/>
                <w:lang w:val="en-US"/>
              </w:rPr>
              <w:t>PBS population)</w:t>
            </w:r>
            <w:r w:rsidR="008F2776" w:rsidRPr="00991BD1">
              <w:rPr>
                <w:rFonts w:ascii="Arial Narrow" w:hAnsi="Arial Narrow"/>
                <w:sz w:val="20"/>
                <w:lang w:val="en-US"/>
              </w:rPr>
              <w:t xml:space="preserve"> were converted to cardiovascular risk using the Framingham risk equation (risk calculator was not applied to the data appropriately). P</w:t>
            </w:r>
            <w:r w:rsidR="0049334B" w:rsidRPr="00991BD1">
              <w:rPr>
                <w:rFonts w:ascii="Arial Narrow" w:hAnsi="Arial Narrow"/>
                <w:sz w:val="20"/>
                <w:lang w:val="en-US"/>
              </w:rPr>
              <w:t>ost-hoc subgroup analyses</w:t>
            </w:r>
            <w:r w:rsidR="008F2776" w:rsidRPr="00991BD1">
              <w:rPr>
                <w:rFonts w:ascii="Arial Narrow" w:hAnsi="Arial Narrow"/>
                <w:sz w:val="20"/>
                <w:lang w:val="en-US"/>
              </w:rPr>
              <w:t xml:space="preserve"> were</w:t>
            </w:r>
            <w:r w:rsidR="0049334B" w:rsidRPr="00991BD1">
              <w:rPr>
                <w:rFonts w:ascii="Arial Narrow" w:hAnsi="Arial Narrow"/>
                <w:sz w:val="20"/>
                <w:lang w:val="en-US"/>
              </w:rPr>
              <w:t xml:space="preserve"> based on </w:t>
            </w:r>
            <w:r w:rsidR="008F2776" w:rsidRPr="00991BD1">
              <w:rPr>
                <w:rFonts w:ascii="Arial Narrow" w:hAnsi="Arial Narrow"/>
                <w:sz w:val="20"/>
                <w:lang w:val="en-US"/>
              </w:rPr>
              <w:t xml:space="preserve">poorly justified threshold </w:t>
            </w:r>
            <w:r w:rsidR="0049334B" w:rsidRPr="00991BD1">
              <w:rPr>
                <w:rFonts w:ascii="Arial Narrow" w:hAnsi="Arial Narrow"/>
                <w:sz w:val="20"/>
                <w:lang w:val="en-US"/>
              </w:rPr>
              <w:t xml:space="preserve">cholesterol levels. Additional </w:t>
            </w:r>
            <w:r w:rsidR="003E5445" w:rsidRPr="00991BD1">
              <w:rPr>
                <w:rFonts w:ascii="Arial Narrow" w:hAnsi="Arial Narrow"/>
                <w:sz w:val="20"/>
                <w:lang w:val="en-US"/>
              </w:rPr>
              <w:t xml:space="preserve">analyses assumed </w:t>
            </w:r>
            <w:r w:rsidR="0049334B" w:rsidRPr="00991BD1">
              <w:rPr>
                <w:rFonts w:ascii="Arial Narrow" w:hAnsi="Arial Narrow"/>
                <w:sz w:val="20"/>
                <w:lang w:val="en-US"/>
              </w:rPr>
              <w:t xml:space="preserve">all patients </w:t>
            </w:r>
            <w:r w:rsidR="00F466F6" w:rsidRPr="00991BD1">
              <w:rPr>
                <w:rFonts w:ascii="Arial Narrow" w:hAnsi="Arial Narrow"/>
                <w:sz w:val="20"/>
                <w:lang w:val="en-US"/>
              </w:rPr>
              <w:t xml:space="preserve">had </w:t>
            </w:r>
            <w:r w:rsidR="0049334B" w:rsidRPr="00991BD1">
              <w:rPr>
                <w:rFonts w:ascii="Arial Narrow" w:hAnsi="Arial Narrow"/>
                <w:sz w:val="20"/>
                <w:lang w:val="en-US"/>
              </w:rPr>
              <w:t>coronary heart disease, diabetes or hypertension (</w:t>
            </w:r>
            <w:r w:rsidR="008D28A1" w:rsidRPr="00991BD1">
              <w:rPr>
                <w:rFonts w:ascii="Arial Narrow" w:hAnsi="Arial Narrow"/>
                <w:sz w:val="20"/>
                <w:lang w:val="en-US"/>
              </w:rPr>
              <w:t xml:space="preserve">which is </w:t>
            </w:r>
            <w:r w:rsidR="0049334B" w:rsidRPr="00991BD1">
              <w:rPr>
                <w:rFonts w:ascii="Arial Narrow" w:hAnsi="Arial Narrow"/>
                <w:sz w:val="20"/>
                <w:lang w:val="en-US"/>
              </w:rPr>
              <w:t>inappropriate as other baseline characteristics are not independent variables)</w:t>
            </w:r>
            <w:r w:rsidR="00FE0CF2" w:rsidRPr="00991BD1">
              <w:rPr>
                <w:rFonts w:ascii="Arial Narrow" w:hAnsi="Arial Narrow"/>
                <w:sz w:val="20"/>
                <w:lang w:val="en-US"/>
              </w:rPr>
              <w:t>.</w:t>
            </w:r>
          </w:p>
          <w:p w:rsidR="0049334B" w:rsidRPr="00991BD1" w:rsidRDefault="0049334B" w:rsidP="00534554">
            <w:pPr>
              <w:keepNext/>
              <w:keepLines/>
              <w:rPr>
                <w:rFonts w:ascii="Arial Narrow" w:hAnsi="Arial Narrow"/>
                <w:sz w:val="20"/>
                <w:lang w:val="en-US"/>
              </w:rPr>
            </w:pPr>
          </w:p>
          <w:p w:rsidR="00D110BD" w:rsidRPr="00991BD1" w:rsidRDefault="002636AC" w:rsidP="007B2725">
            <w:pPr>
              <w:keepNext/>
              <w:keepLines/>
              <w:jc w:val="left"/>
              <w:rPr>
                <w:rFonts w:ascii="Arial Narrow" w:hAnsi="Arial Narrow"/>
                <w:sz w:val="20"/>
                <w:lang w:val="en-US"/>
              </w:rPr>
            </w:pPr>
            <w:r w:rsidRPr="00991BD1">
              <w:rPr>
                <w:rFonts w:ascii="Arial Narrow" w:hAnsi="Arial Narrow"/>
                <w:sz w:val="20"/>
                <w:lang w:val="en-US"/>
              </w:rPr>
              <w:t xml:space="preserve">The risk multiplier for familial </w:t>
            </w:r>
            <w:proofErr w:type="spellStart"/>
            <w:r w:rsidRPr="00991BD1">
              <w:rPr>
                <w:rFonts w:ascii="Arial Narrow" w:hAnsi="Arial Narrow"/>
                <w:sz w:val="20"/>
                <w:lang w:val="en-US"/>
              </w:rPr>
              <w:t>hypercholesterolaemia</w:t>
            </w:r>
            <w:proofErr w:type="spellEnd"/>
            <w:r w:rsidRPr="00991BD1">
              <w:rPr>
                <w:rFonts w:ascii="Arial Narrow" w:hAnsi="Arial Narrow"/>
                <w:sz w:val="20"/>
                <w:lang w:val="en-US"/>
              </w:rPr>
              <w:t xml:space="preserve"> (RR=4) was applied to patients </w:t>
            </w:r>
            <w:r w:rsidR="003E5445" w:rsidRPr="00991BD1">
              <w:rPr>
                <w:rFonts w:ascii="Arial Narrow" w:hAnsi="Arial Narrow"/>
                <w:sz w:val="20"/>
                <w:lang w:val="en-US"/>
              </w:rPr>
              <w:t xml:space="preserve">with </w:t>
            </w:r>
            <w:r w:rsidRPr="00991BD1">
              <w:rPr>
                <w:rFonts w:ascii="Arial Narrow" w:hAnsi="Arial Narrow"/>
                <w:sz w:val="20"/>
                <w:lang w:val="en-US"/>
              </w:rPr>
              <w:t xml:space="preserve">a </w:t>
            </w:r>
            <w:r w:rsidR="003E5445" w:rsidRPr="00991BD1">
              <w:rPr>
                <w:rFonts w:ascii="Arial Narrow" w:hAnsi="Arial Narrow"/>
                <w:sz w:val="20"/>
                <w:lang w:val="en-US"/>
              </w:rPr>
              <w:t xml:space="preserve">family history of premature CHD </w:t>
            </w:r>
            <w:r w:rsidRPr="00991BD1">
              <w:rPr>
                <w:rFonts w:ascii="Arial Narrow" w:hAnsi="Arial Narrow"/>
                <w:sz w:val="20"/>
                <w:lang w:val="en-US"/>
              </w:rPr>
              <w:t xml:space="preserve">(in </w:t>
            </w:r>
            <w:r w:rsidR="004D4982" w:rsidRPr="00991BD1">
              <w:rPr>
                <w:rFonts w:ascii="Arial Narrow" w:hAnsi="Arial Narrow"/>
                <w:sz w:val="20"/>
                <w:lang w:val="en-US"/>
              </w:rPr>
              <w:t xml:space="preserve">some of </w:t>
            </w:r>
            <w:r w:rsidRPr="00991BD1">
              <w:rPr>
                <w:rFonts w:ascii="Arial Narrow" w:hAnsi="Arial Narrow"/>
                <w:sz w:val="20"/>
                <w:lang w:val="en-US"/>
              </w:rPr>
              <w:t>the base case</w:t>
            </w:r>
            <w:r w:rsidR="004D4982" w:rsidRPr="00991BD1">
              <w:rPr>
                <w:rFonts w:ascii="Arial Narrow" w:hAnsi="Arial Narrow"/>
                <w:sz w:val="20"/>
                <w:lang w:val="en-US"/>
              </w:rPr>
              <w:t>s</w:t>
            </w:r>
            <w:r w:rsidRPr="00991BD1">
              <w:rPr>
                <w:rFonts w:ascii="Arial Narrow" w:hAnsi="Arial Narrow"/>
                <w:sz w:val="20"/>
                <w:lang w:val="en-US"/>
              </w:rPr>
              <w:t xml:space="preserve">, all patients were assumed to </w:t>
            </w:r>
            <w:r w:rsidR="004D4982" w:rsidRPr="00991BD1">
              <w:rPr>
                <w:rFonts w:ascii="Arial Narrow" w:hAnsi="Arial Narrow"/>
                <w:sz w:val="20"/>
                <w:lang w:val="en-US"/>
              </w:rPr>
              <w:t xml:space="preserve">have </w:t>
            </w:r>
            <w:r w:rsidRPr="00991BD1">
              <w:rPr>
                <w:rFonts w:ascii="Arial Narrow" w:hAnsi="Arial Narrow"/>
                <w:sz w:val="20"/>
                <w:lang w:val="en-US"/>
              </w:rPr>
              <w:t>f</w:t>
            </w:r>
            <w:r w:rsidRPr="00991BD1">
              <w:rPr>
                <w:rFonts w:ascii="Arial Narrow" w:hAnsi="Arial Narrow"/>
                <w:snapToGrid/>
                <w:sz w:val="20"/>
                <w:lang w:val="en-US" w:eastAsia="en-AU"/>
              </w:rPr>
              <w:t xml:space="preserve">amilial </w:t>
            </w:r>
            <w:proofErr w:type="spellStart"/>
            <w:r w:rsidRPr="00991BD1">
              <w:rPr>
                <w:rFonts w:ascii="Arial Narrow" w:hAnsi="Arial Narrow"/>
                <w:snapToGrid/>
                <w:sz w:val="20"/>
                <w:lang w:val="en-US" w:eastAsia="en-AU"/>
              </w:rPr>
              <w:t>hypercholesterolaemia</w:t>
            </w:r>
            <w:proofErr w:type="spellEnd"/>
            <w:r w:rsidRPr="00991BD1">
              <w:rPr>
                <w:rFonts w:ascii="Arial Narrow" w:hAnsi="Arial Narrow"/>
                <w:snapToGrid/>
                <w:sz w:val="20"/>
                <w:lang w:val="en-US" w:eastAsia="en-AU"/>
              </w:rPr>
              <w:t xml:space="preserve"> or family history of premature CHD).</w:t>
            </w:r>
            <w:r w:rsidR="00536225" w:rsidRPr="00991BD1">
              <w:rPr>
                <w:rFonts w:ascii="Arial Narrow" w:hAnsi="Arial Narrow"/>
                <w:sz w:val="20"/>
                <w:lang w:val="en-US"/>
              </w:rPr>
              <w:t xml:space="preserve"> </w:t>
            </w:r>
            <w:r w:rsidRPr="00991BD1">
              <w:rPr>
                <w:rFonts w:ascii="Arial Narrow" w:hAnsi="Arial Narrow"/>
                <w:sz w:val="20"/>
                <w:lang w:val="en-US"/>
              </w:rPr>
              <w:t>T</w:t>
            </w:r>
            <w:r w:rsidR="003E5445" w:rsidRPr="00991BD1">
              <w:rPr>
                <w:rFonts w:ascii="Arial Narrow" w:hAnsi="Arial Narrow"/>
                <w:sz w:val="20"/>
                <w:lang w:val="en-US"/>
              </w:rPr>
              <w:t xml:space="preserve">he RR of 4 was derived from comparing the familial </w:t>
            </w:r>
            <w:proofErr w:type="spellStart"/>
            <w:r w:rsidR="003E5445" w:rsidRPr="00991BD1">
              <w:rPr>
                <w:rFonts w:ascii="Arial Narrow" w:hAnsi="Arial Narrow"/>
                <w:sz w:val="20"/>
                <w:lang w:val="en-US"/>
              </w:rPr>
              <w:t>hypercholesterolaemia</w:t>
            </w:r>
            <w:proofErr w:type="spellEnd"/>
            <w:r w:rsidR="003E5445" w:rsidRPr="00991BD1">
              <w:rPr>
                <w:rFonts w:ascii="Arial Narrow" w:hAnsi="Arial Narrow"/>
                <w:sz w:val="20"/>
                <w:lang w:val="en-US"/>
              </w:rPr>
              <w:t xml:space="preserve"> population with the general population, and </w:t>
            </w:r>
            <w:r w:rsidR="00536225" w:rsidRPr="00991BD1">
              <w:rPr>
                <w:rFonts w:ascii="Arial Narrow" w:hAnsi="Arial Narrow"/>
                <w:sz w:val="20"/>
                <w:lang w:val="en-US"/>
              </w:rPr>
              <w:t xml:space="preserve">was </w:t>
            </w:r>
            <w:r w:rsidR="00FF492E" w:rsidRPr="00991BD1">
              <w:rPr>
                <w:rFonts w:ascii="Arial Narrow" w:hAnsi="Arial Narrow"/>
                <w:sz w:val="20"/>
                <w:lang w:val="en-US"/>
              </w:rPr>
              <w:t>inappropriately applied to</w:t>
            </w:r>
            <w:r w:rsidR="003E5445" w:rsidRPr="00991BD1">
              <w:rPr>
                <w:rFonts w:ascii="Arial Narrow" w:hAnsi="Arial Narrow"/>
                <w:sz w:val="20"/>
                <w:lang w:val="en-US"/>
              </w:rPr>
              <w:t xml:space="preserve"> the</w:t>
            </w:r>
            <w:r w:rsidR="00FF492E" w:rsidRPr="00991BD1">
              <w:rPr>
                <w:rFonts w:ascii="Arial Narrow" w:hAnsi="Arial Narrow"/>
                <w:sz w:val="20"/>
                <w:lang w:val="en-US"/>
              </w:rPr>
              <w:t xml:space="preserve"> </w:t>
            </w:r>
            <w:r w:rsidR="00536225" w:rsidRPr="00991BD1">
              <w:rPr>
                <w:rFonts w:ascii="Arial Narrow" w:hAnsi="Arial Narrow"/>
                <w:sz w:val="20"/>
                <w:lang w:val="en-US"/>
              </w:rPr>
              <w:t>risk estimates for the trial</w:t>
            </w:r>
            <w:r w:rsidR="00FF492E" w:rsidRPr="00991BD1">
              <w:rPr>
                <w:rFonts w:ascii="Arial Narrow" w:hAnsi="Arial Narrow"/>
                <w:sz w:val="20"/>
                <w:lang w:val="en-US"/>
              </w:rPr>
              <w:t xml:space="preserve"> population</w:t>
            </w:r>
            <w:r w:rsidR="004D4982" w:rsidRPr="00991BD1">
              <w:rPr>
                <w:rFonts w:ascii="Arial Narrow" w:hAnsi="Arial Narrow"/>
                <w:sz w:val="20"/>
                <w:lang w:val="en-US"/>
              </w:rPr>
              <w:t>s</w:t>
            </w:r>
            <w:r w:rsidR="00FF492E" w:rsidRPr="00991BD1">
              <w:rPr>
                <w:rFonts w:ascii="Arial Narrow" w:hAnsi="Arial Narrow"/>
                <w:sz w:val="20"/>
                <w:lang w:val="en-US"/>
              </w:rPr>
              <w:t xml:space="preserve"> </w:t>
            </w:r>
            <w:r w:rsidR="003E5445" w:rsidRPr="00991BD1">
              <w:rPr>
                <w:rFonts w:ascii="Arial Narrow" w:hAnsi="Arial Narrow"/>
                <w:sz w:val="20"/>
                <w:lang w:val="en-US"/>
              </w:rPr>
              <w:t xml:space="preserve">of patients </w:t>
            </w:r>
            <w:r w:rsidR="00FF492E" w:rsidRPr="00991BD1">
              <w:rPr>
                <w:rFonts w:ascii="Arial Narrow" w:hAnsi="Arial Narrow"/>
                <w:sz w:val="20"/>
                <w:lang w:val="en-US"/>
              </w:rPr>
              <w:t xml:space="preserve">with </w:t>
            </w:r>
            <w:proofErr w:type="spellStart"/>
            <w:r w:rsidR="0038790D" w:rsidRPr="00991BD1">
              <w:rPr>
                <w:rFonts w:ascii="Arial Narrow" w:hAnsi="Arial Narrow"/>
                <w:sz w:val="20"/>
                <w:lang w:val="en-US"/>
              </w:rPr>
              <w:t>hypercholesterolaemia</w:t>
            </w:r>
            <w:proofErr w:type="spellEnd"/>
            <w:r w:rsidR="008D28A1" w:rsidRPr="00991BD1">
              <w:rPr>
                <w:rFonts w:ascii="Arial Narrow" w:hAnsi="Arial Narrow"/>
                <w:sz w:val="20"/>
                <w:lang w:val="en-US"/>
              </w:rPr>
              <w:t>, thus over-estimating the risk multiplier effect</w:t>
            </w:r>
            <w:r w:rsidR="00FE0CF2" w:rsidRPr="00991BD1">
              <w:rPr>
                <w:rFonts w:ascii="Arial Narrow" w:hAnsi="Arial Narrow"/>
                <w:sz w:val="20"/>
                <w:lang w:val="en-US"/>
              </w:rPr>
              <w:t>.</w:t>
            </w:r>
          </w:p>
          <w:p w:rsidR="00536225" w:rsidRPr="00991BD1" w:rsidRDefault="00536225" w:rsidP="007B2725">
            <w:pPr>
              <w:keepNext/>
              <w:keepLines/>
              <w:jc w:val="left"/>
              <w:rPr>
                <w:rFonts w:ascii="Arial Narrow" w:hAnsi="Arial Narrow"/>
                <w:sz w:val="20"/>
                <w:lang w:val="en-US"/>
              </w:rPr>
            </w:pPr>
          </w:p>
          <w:p w:rsidR="00536225" w:rsidRPr="00991BD1" w:rsidRDefault="00536225" w:rsidP="007B2725">
            <w:pPr>
              <w:keepNext/>
              <w:keepLines/>
              <w:jc w:val="left"/>
              <w:rPr>
                <w:rFonts w:ascii="Arial Narrow" w:hAnsi="Arial Narrow"/>
                <w:sz w:val="20"/>
                <w:lang w:val="en-US"/>
              </w:rPr>
            </w:pPr>
            <w:r w:rsidRPr="00991BD1">
              <w:rPr>
                <w:rFonts w:ascii="Arial Narrow" w:hAnsi="Arial Narrow"/>
                <w:sz w:val="20"/>
                <w:lang w:val="en-US"/>
              </w:rPr>
              <w:t xml:space="preserve">Additional risk multipliers for prior events were estimated using primary and secondary prevention risk calculations models (models were not applied to the data appropriately). A multiplicative effect with familial </w:t>
            </w:r>
            <w:proofErr w:type="spellStart"/>
            <w:r w:rsidRPr="00991BD1">
              <w:rPr>
                <w:rFonts w:ascii="Arial Narrow" w:hAnsi="Arial Narrow"/>
                <w:sz w:val="20"/>
                <w:lang w:val="en-US"/>
              </w:rPr>
              <w:t>hypercholesterolaemia</w:t>
            </w:r>
            <w:proofErr w:type="spellEnd"/>
            <w:r w:rsidRPr="00991BD1">
              <w:rPr>
                <w:rFonts w:ascii="Arial Narrow" w:hAnsi="Arial Narrow"/>
                <w:sz w:val="20"/>
                <w:lang w:val="en-US"/>
              </w:rPr>
              <w:t xml:space="preserve"> was assumed for patients with prior MI or stroke (RR=4x7=28).</w:t>
            </w:r>
          </w:p>
        </w:tc>
        <w:tc>
          <w:tcPr>
            <w:tcW w:w="498" w:type="pct"/>
            <w:shd w:val="clear" w:color="auto" w:fill="auto"/>
            <w:vAlign w:val="center"/>
          </w:tcPr>
          <w:p w:rsidR="00D110BD" w:rsidRPr="00E2771E" w:rsidRDefault="00D110BD" w:rsidP="007B2725">
            <w:pPr>
              <w:keepNext/>
              <w:keepLines/>
              <w:jc w:val="center"/>
              <w:rPr>
                <w:rFonts w:ascii="Arial Narrow" w:hAnsi="Arial Narrow"/>
                <w:sz w:val="20"/>
                <w:lang w:val="en-US"/>
              </w:rPr>
            </w:pPr>
            <w:r w:rsidRPr="00E2771E">
              <w:rPr>
                <w:rFonts w:ascii="Arial Narrow" w:hAnsi="Arial Narrow"/>
                <w:sz w:val="20"/>
                <w:lang w:val="en-US"/>
              </w:rPr>
              <w:t>High</w:t>
            </w:r>
          </w:p>
        </w:tc>
      </w:tr>
      <w:tr w:rsidR="00D110BD" w:rsidRPr="00E2771E" w:rsidTr="0004200E">
        <w:tc>
          <w:tcPr>
            <w:tcW w:w="765" w:type="pct"/>
            <w:shd w:val="clear" w:color="auto" w:fill="auto"/>
            <w:vAlign w:val="center"/>
          </w:tcPr>
          <w:p w:rsidR="00D110BD" w:rsidRPr="00E2771E" w:rsidRDefault="00BF707A" w:rsidP="007B2725">
            <w:pPr>
              <w:keepNext/>
              <w:keepLines/>
              <w:jc w:val="left"/>
              <w:rPr>
                <w:rFonts w:ascii="Arial Narrow" w:hAnsi="Arial Narrow"/>
                <w:sz w:val="20"/>
                <w:lang w:val="en-US"/>
              </w:rPr>
            </w:pPr>
            <w:r>
              <w:rPr>
                <w:rFonts w:ascii="Arial Narrow" w:hAnsi="Arial Narrow"/>
                <w:sz w:val="20"/>
                <w:lang w:val="en-US"/>
              </w:rPr>
              <w:t>Transformation of LDL outcomes to cardiovascular outcomes</w:t>
            </w:r>
          </w:p>
        </w:tc>
        <w:tc>
          <w:tcPr>
            <w:tcW w:w="3738" w:type="pct"/>
            <w:shd w:val="clear" w:color="auto" w:fill="auto"/>
            <w:vAlign w:val="center"/>
          </w:tcPr>
          <w:p w:rsidR="00D110BD" w:rsidRPr="00991BD1" w:rsidRDefault="002222DF" w:rsidP="007B2725">
            <w:pPr>
              <w:keepNext/>
              <w:keepLines/>
              <w:jc w:val="left"/>
              <w:rPr>
                <w:rFonts w:ascii="Arial Narrow" w:hAnsi="Arial Narrow"/>
                <w:sz w:val="20"/>
                <w:lang w:val="en-US"/>
              </w:rPr>
            </w:pPr>
            <w:r w:rsidRPr="00991BD1">
              <w:rPr>
                <w:rFonts w:ascii="Arial Narrow" w:hAnsi="Arial Narrow"/>
                <w:sz w:val="20"/>
                <w:lang w:val="en-US"/>
              </w:rPr>
              <w:t>The r</w:t>
            </w:r>
            <w:r w:rsidR="00F929E6" w:rsidRPr="00991BD1">
              <w:rPr>
                <w:rFonts w:ascii="Arial Narrow" w:hAnsi="Arial Narrow"/>
                <w:sz w:val="20"/>
                <w:lang w:val="en-US"/>
              </w:rPr>
              <w:t>elative</w:t>
            </w:r>
            <w:r w:rsidR="00FF492E" w:rsidRPr="00991BD1">
              <w:rPr>
                <w:rFonts w:ascii="Arial Narrow" w:hAnsi="Arial Narrow"/>
                <w:sz w:val="20"/>
                <w:lang w:val="en-US"/>
              </w:rPr>
              <w:t xml:space="preserve"> change in LDL leve</w:t>
            </w:r>
            <w:r w:rsidR="00F929E6" w:rsidRPr="00991BD1">
              <w:rPr>
                <w:rFonts w:ascii="Arial Narrow" w:hAnsi="Arial Narrow"/>
                <w:sz w:val="20"/>
                <w:lang w:val="en-US"/>
              </w:rPr>
              <w:t xml:space="preserve">l </w:t>
            </w:r>
            <w:r w:rsidRPr="00991BD1">
              <w:rPr>
                <w:rFonts w:ascii="Arial Narrow" w:hAnsi="Arial Narrow"/>
                <w:sz w:val="20"/>
                <w:lang w:val="en-US"/>
              </w:rPr>
              <w:t xml:space="preserve">for </w:t>
            </w:r>
            <w:proofErr w:type="spellStart"/>
            <w:r w:rsidRPr="00991BD1">
              <w:rPr>
                <w:rFonts w:ascii="Arial Narrow" w:hAnsi="Arial Narrow"/>
                <w:sz w:val="20"/>
                <w:lang w:val="en-US"/>
              </w:rPr>
              <w:t>evolocumab</w:t>
            </w:r>
            <w:proofErr w:type="spellEnd"/>
            <w:r w:rsidRPr="00991BD1">
              <w:rPr>
                <w:rFonts w:ascii="Arial Narrow" w:hAnsi="Arial Narrow"/>
                <w:sz w:val="20"/>
                <w:lang w:val="en-US"/>
              </w:rPr>
              <w:t xml:space="preserve"> and </w:t>
            </w:r>
            <w:r w:rsidR="008A0585" w:rsidRPr="00991BD1">
              <w:rPr>
                <w:rFonts w:ascii="Arial Narrow" w:hAnsi="Arial Narrow"/>
                <w:sz w:val="20"/>
                <w:lang w:val="en-US"/>
              </w:rPr>
              <w:t>each of its comparators</w:t>
            </w:r>
            <w:r w:rsidRPr="00991BD1">
              <w:rPr>
                <w:rFonts w:ascii="Arial Narrow" w:hAnsi="Arial Narrow"/>
                <w:sz w:val="20"/>
                <w:lang w:val="en-US"/>
              </w:rPr>
              <w:t xml:space="preserve"> was </w:t>
            </w:r>
            <w:r w:rsidR="00F929E6" w:rsidRPr="00991BD1">
              <w:rPr>
                <w:rFonts w:ascii="Arial Narrow" w:hAnsi="Arial Narrow"/>
                <w:sz w:val="20"/>
                <w:lang w:val="en-US"/>
              </w:rPr>
              <w:t xml:space="preserve">converted to </w:t>
            </w:r>
            <w:r w:rsidRPr="00991BD1">
              <w:rPr>
                <w:rFonts w:ascii="Arial Narrow" w:hAnsi="Arial Narrow"/>
                <w:sz w:val="20"/>
                <w:lang w:val="en-US"/>
              </w:rPr>
              <w:t xml:space="preserve">an </w:t>
            </w:r>
            <w:r w:rsidR="00F929E6" w:rsidRPr="00991BD1">
              <w:rPr>
                <w:rFonts w:ascii="Arial Narrow" w:hAnsi="Arial Narrow"/>
                <w:sz w:val="20"/>
                <w:lang w:val="en-US"/>
              </w:rPr>
              <w:t>absolute change</w:t>
            </w:r>
            <w:r w:rsidR="00FF492E" w:rsidRPr="00991BD1">
              <w:rPr>
                <w:rFonts w:ascii="Arial Narrow" w:hAnsi="Arial Narrow"/>
                <w:sz w:val="20"/>
                <w:lang w:val="en-US"/>
              </w:rPr>
              <w:t xml:space="preserve"> based on </w:t>
            </w:r>
            <w:r w:rsidRPr="00991BD1">
              <w:rPr>
                <w:rFonts w:ascii="Arial Narrow" w:hAnsi="Arial Narrow"/>
                <w:sz w:val="20"/>
                <w:lang w:val="en-US"/>
              </w:rPr>
              <w:t xml:space="preserve">the </w:t>
            </w:r>
            <w:r w:rsidR="00FF492E" w:rsidRPr="00991BD1">
              <w:rPr>
                <w:rFonts w:ascii="Arial Narrow" w:hAnsi="Arial Narrow"/>
                <w:sz w:val="20"/>
                <w:lang w:val="en-US"/>
              </w:rPr>
              <w:t>baseline value reported in the trial population</w:t>
            </w:r>
            <w:r w:rsidR="00DB0B27" w:rsidRPr="00991BD1">
              <w:rPr>
                <w:rFonts w:ascii="Arial Narrow" w:hAnsi="Arial Narrow"/>
                <w:sz w:val="20"/>
                <w:lang w:val="en-US"/>
              </w:rPr>
              <w:t xml:space="preserve"> (</w:t>
            </w:r>
            <w:r w:rsidRPr="00991BD1">
              <w:rPr>
                <w:rFonts w:ascii="Arial Narrow" w:hAnsi="Arial Narrow"/>
                <w:sz w:val="20"/>
                <w:lang w:val="en-US"/>
              </w:rPr>
              <w:t xml:space="preserve">with </w:t>
            </w:r>
            <w:r w:rsidR="00DB0B27" w:rsidRPr="00991BD1">
              <w:rPr>
                <w:rFonts w:ascii="Arial Narrow" w:hAnsi="Arial Narrow"/>
                <w:sz w:val="20"/>
                <w:lang w:val="en-US"/>
              </w:rPr>
              <w:t xml:space="preserve">limited applicability to </w:t>
            </w:r>
            <w:r w:rsidRPr="00991BD1">
              <w:rPr>
                <w:rFonts w:ascii="Arial Narrow" w:hAnsi="Arial Narrow"/>
                <w:sz w:val="20"/>
                <w:lang w:val="en-US"/>
              </w:rPr>
              <w:t xml:space="preserve">the proposed </w:t>
            </w:r>
            <w:r w:rsidR="00DB0B27" w:rsidRPr="00991BD1">
              <w:rPr>
                <w:rFonts w:ascii="Arial Narrow" w:hAnsi="Arial Narrow"/>
                <w:sz w:val="20"/>
                <w:lang w:val="en-US"/>
              </w:rPr>
              <w:t>PBS population)</w:t>
            </w:r>
            <w:r w:rsidRPr="00991BD1">
              <w:rPr>
                <w:rFonts w:ascii="Arial Narrow" w:hAnsi="Arial Narrow"/>
                <w:sz w:val="20"/>
                <w:lang w:val="en-US"/>
              </w:rPr>
              <w:t>,</w:t>
            </w:r>
            <w:r w:rsidR="00FF492E" w:rsidRPr="00991BD1">
              <w:rPr>
                <w:rFonts w:ascii="Arial Narrow" w:hAnsi="Arial Narrow"/>
                <w:sz w:val="20"/>
                <w:lang w:val="en-US"/>
              </w:rPr>
              <w:t xml:space="preserve"> with additional post-</w:t>
            </w:r>
            <w:r w:rsidR="00DB0B27" w:rsidRPr="00991BD1">
              <w:rPr>
                <w:rFonts w:ascii="Arial Narrow" w:hAnsi="Arial Narrow"/>
                <w:sz w:val="20"/>
                <w:lang w:val="en-US"/>
              </w:rPr>
              <w:t>hoc sub</w:t>
            </w:r>
            <w:r w:rsidR="00FF492E" w:rsidRPr="00991BD1">
              <w:rPr>
                <w:rFonts w:ascii="Arial Narrow" w:hAnsi="Arial Narrow"/>
                <w:sz w:val="20"/>
                <w:lang w:val="en-US"/>
              </w:rPr>
              <w:t xml:space="preserve">group analyses based on </w:t>
            </w:r>
            <w:r w:rsidR="00DB0B27" w:rsidRPr="00991BD1">
              <w:rPr>
                <w:rFonts w:ascii="Arial Narrow" w:hAnsi="Arial Narrow"/>
                <w:sz w:val="20"/>
                <w:lang w:val="en-US"/>
              </w:rPr>
              <w:t>poorly justified threshold</w:t>
            </w:r>
            <w:r w:rsidRPr="00991BD1">
              <w:rPr>
                <w:rFonts w:ascii="Arial Narrow" w:hAnsi="Arial Narrow"/>
                <w:sz w:val="20"/>
                <w:lang w:val="en-US"/>
              </w:rPr>
              <w:t xml:space="preserve"> cholesterol levels</w:t>
            </w:r>
            <w:r w:rsidR="00FE0CF2" w:rsidRPr="00991BD1">
              <w:rPr>
                <w:rFonts w:ascii="Arial Narrow" w:hAnsi="Arial Narrow"/>
                <w:sz w:val="20"/>
                <w:lang w:val="en-US"/>
              </w:rPr>
              <w:t>.</w:t>
            </w:r>
          </w:p>
          <w:p w:rsidR="00F929E6" w:rsidRPr="00991BD1" w:rsidRDefault="00F929E6" w:rsidP="00442F82">
            <w:pPr>
              <w:keepNext/>
              <w:keepLines/>
              <w:jc w:val="left"/>
              <w:rPr>
                <w:rFonts w:ascii="Arial Narrow" w:hAnsi="Arial Narrow"/>
                <w:sz w:val="20"/>
                <w:lang w:val="en-US"/>
              </w:rPr>
            </w:pPr>
          </w:p>
          <w:p w:rsidR="00F929E6" w:rsidRPr="00991BD1" w:rsidRDefault="008A0585" w:rsidP="002205B7">
            <w:pPr>
              <w:keepNext/>
              <w:keepLines/>
              <w:jc w:val="left"/>
              <w:rPr>
                <w:rFonts w:ascii="Arial Narrow" w:hAnsi="Arial Narrow"/>
                <w:sz w:val="20"/>
                <w:lang w:val="en-US"/>
              </w:rPr>
            </w:pPr>
            <w:r w:rsidRPr="00991BD1">
              <w:rPr>
                <w:rFonts w:ascii="Arial Narrow" w:hAnsi="Arial Narrow"/>
                <w:sz w:val="20"/>
                <w:lang w:val="en-US"/>
              </w:rPr>
              <w:t xml:space="preserve">The </w:t>
            </w:r>
            <w:r w:rsidR="002222DF" w:rsidRPr="00991BD1">
              <w:rPr>
                <w:rFonts w:ascii="Arial Narrow" w:hAnsi="Arial Narrow"/>
                <w:sz w:val="20"/>
                <w:lang w:val="en-US"/>
              </w:rPr>
              <w:t xml:space="preserve">absolute change in </w:t>
            </w:r>
            <w:r w:rsidR="00F929E6" w:rsidRPr="00991BD1">
              <w:rPr>
                <w:rFonts w:ascii="Arial Narrow" w:hAnsi="Arial Narrow"/>
                <w:sz w:val="20"/>
                <w:lang w:val="en-US"/>
              </w:rPr>
              <w:t xml:space="preserve">LDL </w:t>
            </w:r>
            <w:r w:rsidR="002222DF" w:rsidRPr="00991BD1">
              <w:rPr>
                <w:rFonts w:ascii="Arial Narrow" w:hAnsi="Arial Narrow"/>
                <w:sz w:val="20"/>
                <w:lang w:val="en-US"/>
              </w:rPr>
              <w:t>was</w:t>
            </w:r>
            <w:r w:rsidRPr="00991BD1">
              <w:rPr>
                <w:rFonts w:ascii="Arial Narrow" w:hAnsi="Arial Narrow"/>
                <w:sz w:val="20"/>
                <w:lang w:val="en-US"/>
              </w:rPr>
              <w:t xml:space="preserve"> then</w:t>
            </w:r>
            <w:r w:rsidR="00F929E6" w:rsidRPr="00991BD1">
              <w:rPr>
                <w:rFonts w:ascii="Arial Narrow" w:hAnsi="Arial Narrow"/>
                <w:sz w:val="20"/>
                <w:lang w:val="en-US"/>
              </w:rPr>
              <w:t xml:space="preserve"> converted to </w:t>
            </w:r>
            <w:r w:rsidR="002205B7" w:rsidRPr="00991BD1">
              <w:rPr>
                <w:rFonts w:ascii="Arial Narrow" w:hAnsi="Arial Narrow"/>
                <w:sz w:val="20"/>
                <w:lang w:val="en-US"/>
              </w:rPr>
              <w:t xml:space="preserve">a relative risk reduction in </w:t>
            </w:r>
            <w:r w:rsidR="00F929E6" w:rsidRPr="00991BD1">
              <w:rPr>
                <w:rFonts w:ascii="Arial Narrow" w:hAnsi="Arial Narrow"/>
                <w:sz w:val="20"/>
                <w:lang w:val="en-US"/>
              </w:rPr>
              <w:t xml:space="preserve">cardiovascular outcomes </w:t>
            </w:r>
            <w:r w:rsidR="002205B7" w:rsidRPr="00991BD1">
              <w:rPr>
                <w:rFonts w:ascii="Arial Narrow" w:hAnsi="Arial Narrow"/>
                <w:sz w:val="20"/>
                <w:lang w:val="en-US"/>
              </w:rPr>
              <w:t xml:space="preserve">for </w:t>
            </w:r>
            <w:proofErr w:type="spellStart"/>
            <w:r w:rsidR="002205B7" w:rsidRPr="00991BD1">
              <w:rPr>
                <w:rFonts w:ascii="Arial Narrow" w:hAnsi="Arial Narrow"/>
                <w:sz w:val="20"/>
                <w:lang w:val="en-US"/>
              </w:rPr>
              <w:t>evolocumab</w:t>
            </w:r>
            <w:proofErr w:type="spellEnd"/>
            <w:r w:rsidR="002205B7" w:rsidRPr="00991BD1">
              <w:rPr>
                <w:rFonts w:ascii="Arial Narrow" w:hAnsi="Arial Narrow"/>
                <w:sz w:val="20"/>
                <w:lang w:val="en-US"/>
              </w:rPr>
              <w:t xml:space="preserve"> or </w:t>
            </w:r>
            <w:proofErr w:type="spellStart"/>
            <w:r w:rsidR="002205B7" w:rsidRPr="00991BD1">
              <w:rPr>
                <w:rFonts w:ascii="Arial Narrow" w:hAnsi="Arial Narrow"/>
                <w:sz w:val="20"/>
                <w:lang w:val="en-US"/>
              </w:rPr>
              <w:t>ezetimibe</w:t>
            </w:r>
            <w:proofErr w:type="spellEnd"/>
            <w:r w:rsidR="002205B7" w:rsidRPr="00991BD1">
              <w:rPr>
                <w:rFonts w:ascii="Arial Narrow" w:hAnsi="Arial Narrow"/>
                <w:sz w:val="20"/>
                <w:lang w:val="en-US"/>
              </w:rPr>
              <w:t xml:space="preserve"> compared to placebo </w:t>
            </w:r>
            <w:r w:rsidR="00F929E6" w:rsidRPr="00991BD1">
              <w:rPr>
                <w:rFonts w:ascii="Arial Narrow" w:hAnsi="Arial Narrow"/>
                <w:sz w:val="20"/>
                <w:lang w:val="en-US"/>
              </w:rPr>
              <w:t>based on the results of the CTTC statin meta-analysis. This transformation require</w:t>
            </w:r>
            <w:r w:rsidR="00E2365C" w:rsidRPr="00991BD1">
              <w:rPr>
                <w:rFonts w:ascii="Arial Narrow" w:hAnsi="Arial Narrow"/>
                <w:sz w:val="20"/>
                <w:lang w:val="en-US"/>
              </w:rPr>
              <w:t>d</w:t>
            </w:r>
            <w:r w:rsidR="00F929E6" w:rsidRPr="00991BD1">
              <w:rPr>
                <w:rFonts w:ascii="Arial Narrow" w:hAnsi="Arial Narrow"/>
                <w:sz w:val="20"/>
                <w:lang w:val="en-US"/>
              </w:rPr>
              <w:t xml:space="preserve"> extrapolation of the CTTC analysis beyond the bounds of the published analyses (unclear whether this is reasonable)</w:t>
            </w:r>
            <w:r w:rsidR="00FE0CF2" w:rsidRPr="00991BD1">
              <w:rPr>
                <w:rFonts w:ascii="Arial Narrow" w:hAnsi="Arial Narrow"/>
                <w:sz w:val="20"/>
                <w:lang w:val="en-US"/>
              </w:rPr>
              <w:t>.</w:t>
            </w:r>
          </w:p>
        </w:tc>
        <w:tc>
          <w:tcPr>
            <w:tcW w:w="498" w:type="pct"/>
            <w:shd w:val="clear" w:color="auto" w:fill="auto"/>
            <w:vAlign w:val="center"/>
          </w:tcPr>
          <w:p w:rsidR="00D110BD" w:rsidRPr="00E2771E" w:rsidRDefault="00F929E6" w:rsidP="007B2725">
            <w:pPr>
              <w:keepNext/>
              <w:keepLines/>
              <w:jc w:val="center"/>
              <w:rPr>
                <w:rFonts w:ascii="Arial Narrow" w:hAnsi="Arial Narrow"/>
                <w:sz w:val="20"/>
                <w:lang w:val="en-US"/>
              </w:rPr>
            </w:pPr>
            <w:r>
              <w:rPr>
                <w:rFonts w:ascii="Arial Narrow" w:hAnsi="Arial Narrow"/>
                <w:sz w:val="20"/>
                <w:lang w:val="en-US"/>
              </w:rPr>
              <w:t>High</w:t>
            </w:r>
          </w:p>
        </w:tc>
      </w:tr>
      <w:tr w:rsidR="00D110BD" w:rsidRPr="00E2771E" w:rsidTr="0004200E">
        <w:tc>
          <w:tcPr>
            <w:tcW w:w="765" w:type="pct"/>
            <w:shd w:val="clear" w:color="auto" w:fill="auto"/>
            <w:vAlign w:val="center"/>
          </w:tcPr>
          <w:p w:rsidR="00D110BD" w:rsidRPr="00E2771E" w:rsidRDefault="00BF707A" w:rsidP="007B2725">
            <w:pPr>
              <w:keepNext/>
              <w:keepLines/>
              <w:jc w:val="left"/>
              <w:rPr>
                <w:rFonts w:ascii="Arial Narrow" w:hAnsi="Arial Narrow"/>
                <w:sz w:val="20"/>
                <w:lang w:val="en-US"/>
              </w:rPr>
            </w:pPr>
            <w:r>
              <w:rPr>
                <w:rFonts w:ascii="Arial Narrow" w:hAnsi="Arial Narrow"/>
                <w:sz w:val="20"/>
                <w:lang w:val="en-US"/>
              </w:rPr>
              <w:t>Treatment adherence</w:t>
            </w:r>
          </w:p>
        </w:tc>
        <w:tc>
          <w:tcPr>
            <w:tcW w:w="3738" w:type="pct"/>
            <w:shd w:val="clear" w:color="auto" w:fill="auto"/>
            <w:vAlign w:val="center"/>
          </w:tcPr>
          <w:p w:rsidR="00D110BD" w:rsidRPr="00991BD1" w:rsidRDefault="004C30AC" w:rsidP="003E5445">
            <w:pPr>
              <w:keepNext/>
              <w:keepLines/>
              <w:jc w:val="left"/>
              <w:rPr>
                <w:rFonts w:ascii="Arial Narrow" w:hAnsi="Arial Narrow"/>
                <w:sz w:val="20"/>
                <w:lang w:val="en-US"/>
              </w:rPr>
            </w:pPr>
            <w:r w:rsidRPr="00991BD1">
              <w:rPr>
                <w:rFonts w:ascii="Arial Narrow" w:hAnsi="Arial Narrow"/>
                <w:sz w:val="20"/>
                <w:lang w:val="en-US"/>
              </w:rPr>
              <w:t xml:space="preserve">The </w:t>
            </w:r>
            <w:r w:rsidR="003E5445" w:rsidRPr="00991BD1">
              <w:rPr>
                <w:rFonts w:ascii="Arial Narrow" w:hAnsi="Arial Narrow"/>
                <w:sz w:val="20"/>
                <w:lang w:val="en-US"/>
              </w:rPr>
              <w:t xml:space="preserve">35-year </w:t>
            </w:r>
            <w:r w:rsidRPr="00991BD1">
              <w:rPr>
                <w:rFonts w:ascii="Arial Narrow" w:hAnsi="Arial Narrow"/>
                <w:sz w:val="20"/>
                <w:lang w:val="en-US"/>
              </w:rPr>
              <w:t xml:space="preserve">model assumes all patients remain on treatment until death, with a constant and continuing treatment effect. The ongoing treatment effect is based on observed effect </w:t>
            </w:r>
            <w:r w:rsidRPr="00991BD1">
              <w:rPr>
                <w:rFonts w:ascii="Arial Narrow" w:hAnsi="Arial Narrow"/>
                <w:b/>
                <w:sz w:val="20"/>
                <w:lang w:val="en-US"/>
              </w:rPr>
              <w:t>over</w:t>
            </w:r>
            <w:r w:rsidR="003E5445" w:rsidRPr="00991BD1">
              <w:rPr>
                <w:rFonts w:ascii="Arial Narrow" w:hAnsi="Arial Narrow"/>
                <w:b/>
                <w:sz w:val="20"/>
                <w:lang w:val="en-US"/>
              </w:rPr>
              <w:t xml:space="preserve"> the</w:t>
            </w:r>
            <w:r w:rsidRPr="00991BD1">
              <w:rPr>
                <w:rFonts w:ascii="Arial Narrow" w:hAnsi="Arial Narrow"/>
                <w:b/>
                <w:sz w:val="20"/>
                <w:lang w:val="en-US"/>
              </w:rPr>
              <w:t xml:space="preserve"> duration </w:t>
            </w:r>
            <w:r w:rsidRPr="00991BD1">
              <w:rPr>
                <w:rFonts w:ascii="Arial Narrow" w:hAnsi="Arial Narrow"/>
                <w:sz w:val="20"/>
                <w:lang w:val="en-US"/>
              </w:rPr>
              <w:t>of 12 week trial;</w:t>
            </w:r>
            <w:r w:rsidR="003E5445" w:rsidRPr="00991BD1">
              <w:rPr>
                <w:rFonts w:ascii="Arial Narrow" w:hAnsi="Arial Narrow"/>
                <w:sz w:val="20"/>
                <w:lang w:val="en-US"/>
              </w:rPr>
              <w:t xml:space="preserve"> whereas the estimate of </w:t>
            </w:r>
            <w:r w:rsidRPr="00991BD1">
              <w:rPr>
                <w:rFonts w:ascii="Arial Narrow" w:hAnsi="Arial Narrow"/>
                <w:sz w:val="20"/>
                <w:lang w:val="en-US"/>
              </w:rPr>
              <w:t xml:space="preserve"> ongoing</w:t>
            </w:r>
            <w:r w:rsidR="003E5445" w:rsidRPr="00991BD1">
              <w:rPr>
                <w:rFonts w:ascii="Arial Narrow" w:hAnsi="Arial Narrow"/>
                <w:sz w:val="20"/>
                <w:lang w:val="en-US"/>
              </w:rPr>
              <w:t xml:space="preserve"> costs is based on the 95% </w:t>
            </w:r>
            <w:r w:rsidRPr="00991BD1">
              <w:rPr>
                <w:rFonts w:ascii="Arial Narrow" w:hAnsi="Arial Narrow"/>
                <w:sz w:val="20"/>
                <w:lang w:val="en-US"/>
              </w:rPr>
              <w:t xml:space="preserve"> of patients on treatment</w:t>
            </w:r>
            <w:r w:rsidR="003E5445" w:rsidRPr="00991BD1">
              <w:rPr>
                <w:rFonts w:ascii="Arial Narrow" w:hAnsi="Arial Narrow"/>
                <w:sz w:val="20"/>
                <w:lang w:val="en-US"/>
              </w:rPr>
              <w:t xml:space="preserve"> who remained adherent</w:t>
            </w:r>
            <w:r w:rsidRPr="00991BD1">
              <w:rPr>
                <w:rFonts w:ascii="Arial Narrow" w:hAnsi="Arial Narrow"/>
                <w:sz w:val="20"/>
                <w:lang w:val="en-US"/>
              </w:rPr>
              <w:t xml:space="preserve"> </w:t>
            </w:r>
            <w:r w:rsidRPr="00991BD1">
              <w:rPr>
                <w:rFonts w:ascii="Arial Narrow" w:hAnsi="Arial Narrow"/>
                <w:b/>
                <w:sz w:val="20"/>
                <w:lang w:val="en-US"/>
              </w:rPr>
              <w:t xml:space="preserve">at the end </w:t>
            </w:r>
            <w:r w:rsidRPr="00991BD1">
              <w:rPr>
                <w:rFonts w:ascii="Arial Narrow" w:hAnsi="Arial Narrow"/>
                <w:sz w:val="20"/>
                <w:lang w:val="en-US"/>
              </w:rPr>
              <w:t>of 12 week trial</w:t>
            </w:r>
          </w:p>
        </w:tc>
        <w:tc>
          <w:tcPr>
            <w:tcW w:w="498" w:type="pct"/>
            <w:shd w:val="clear" w:color="auto" w:fill="auto"/>
            <w:vAlign w:val="center"/>
          </w:tcPr>
          <w:p w:rsidR="00D110BD" w:rsidRPr="00E2771E" w:rsidRDefault="004F7FA1" w:rsidP="007B2725">
            <w:pPr>
              <w:keepNext/>
              <w:keepLines/>
              <w:jc w:val="center"/>
              <w:rPr>
                <w:rFonts w:ascii="Arial Narrow" w:hAnsi="Arial Narrow"/>
                <w:sz w:val="20"/>
                <w:lang w:val="en-US"/>
              </w:rPr>
            </w:pPr>
            <w:r>
              <w:rPr>
                <w:rFonts w:ascii="Arial Narrow" w:hAnsi="Arial Narrow"/>
                <w:sz w:val="20"/>
                <w:lang w:val="en-US"/>
              </w:rPr>
              <w:t>High</w:t>
            </w:r>
          </w:p>
        </w:tc>
      </w:tr>
    </w:tbl>
    <w:p w:rsidR="00D110BD" w:rsidRDefault="00BF707A" w:rsidP="007B2725">
      <w:pPr>
        <w:pStyle w:val="TableFooter"/>
        <w:keepNext/>
        <w:keepLines/>
        <w:ind w:firstLine="720"/>
      </w:pPr>
      <w:r>
        <w:t>Source: Constructed</w:t>
      </w:r>
      <w:r w:rsidR="00D110BD" w:rsidRPr="00D110BD">
        <w:t xml:space="preserve"> during the evaluation</w:t>
      </w:r>
    </w:p>
    <w:p w:rsidR="00D110BD" w:rsidRPr="00275C5A" w:rsidRDefault="00D110BD" w:rsidP="00275C5A">
      <w:pPr>
        <w:widowControl/>
        <w:rPr>
          <w:szCs w:val="22"/>
        </w:rPr>
      </w:pPr>
    </w:p>
    <w:p w:rsidR="00275C5A" w:rsidRPr="00B50DB8" w:rsidRDefault="00BF15FA" w:rsidP="00387820">
      <w:pPr>
        <w:pStyle w:val="ListParagraph"/>
        <w:widowControl/>
        <w:numPr>
          <w:ilvl w:val="1"/>
          <w:numId w:val="12"/>
        </w:numPr>
        <w:rPr>
          <w:szCs w:val="22"/>
        </w:rPr>
      </w:pPr>
      <w:r w:rsidRPr="00BF15FA">
        <w:t>The results of the economic model are summarised below.</w:t>
      </w:r>
    </w:p>
    <w:p w:rsidR="00D110BD" w:rsidRDefault="00D110BD" w:rsidP="00D110BD">
      <w:pPr>
        <w:widowControl/>
        <w:rPr>
          <w:szCs w:val="22"/>
        </w:rPr>
      </w:pPr>
    </w:p>
    <w:p w:rsidR="006D1D2D" w:rsidRDefault="006D1D2D" w:rsidP="007B2725">
      <w:pPr>
        <w:keepNext/>
        <w:keepLines/>
        <w:ind w:firstLine="720"/>
        <w:rPr>
          <w:rStyle w:val="CommentReference"/>
        </w:rPr>
      </w:pPr>
      <w:r>
        <w:rPr>
          <w:rStyle w:val="CommentReference"/>
        </w:rPr>
        <w:lastRenderedPageBreak/>
        <w:t>Results of the modelled economic evaluation</w:t>
      </w:r>
    </w:p>
    <w:tbl>
      <w:tblPr>
        <w:tblStyle w:val="TableGrid"/>
        <w:tblW w:w="4578" w:type="pct"/>
        <w:tblInd w:w="771" w:type="dxa"/>
        <w:tblLayout w:type="fixed"/>
        <w:tblCellMar>
          <w:left w:w="57" w:type="dxa"/>
          <w:right w:w="57" w:type="dxa"/>
        </w:tblCellMar>
        <w:tblLook w:val="04A0" w:firstRow="1" w:lastRow="0" w:firstColumn="1" w:lastColumn="0" w:noHBand="0" w:noVBand="1"/>
        <w:tblCaption w:val="Intentionally blank"/>
      </w:tblPr>
      <w:tblGrid>
        <w:gridCol w:w="2380"/>
        <w:gridCol w:w="1996"/>
        <w:gridCol w:w="1996"/>
        <w:gridCol w:w="1997"/>
      </w:tblGrid>
      <w:tr w:rsidR="00BF15FA" w:rsidTr="00BF15FA">
        <w:trPr>
          <w:trHeight w:val="469"/>
          <w:tblHeader/>
        </w:trPr>
        <w:tc>
          <w:tcPr>
            <w:tcW w:w="2380" w:type="dxa"/>
            <w:vAlign w:val="center"/>
          </w:tcPr>
          <w:p w:rsidR="00BF15FA" w:rsidRPr="003929D9" w:rsidRDefault="00BF15FA" w:rsidP="007B2725">
            <w:pPr>
              <w:keepNext/>
              <w:keepLines/>
              <w:rPr>
                <w:rStyle w:val="CommentReference"/>
              </w:rPr>
            </w:pPr>
            <w:r>
              <w:rPr>
                <w:rStyle w:val="CommentReference"/>
              </w:rPr>
              <w:t>Step/</w:t>
            </w:r>
            <w:r w:rsidRPr="003929D9">
              <w:rPr>
                <w:rStyle w:val="CommentReference"/>
              </w:rPr>
              <w:t>Analysis</w:t>
            </w:r>
          </w:p>
        </w:tc>
        <w:tc>
          <w:tcPr>
            <w:tcW w:w="1996" w:type="dxa"/>
            <w:vAlign w:val="center"/>
          </w:tcPr>
          <w:p w:rsidR="00BF15FA" w:rsidRDefault="00BF15FA" w:rsidP="007B2725">
            <w:pPr>
              <w:keepNext/>
              <w:keepLines/>
              <w:jc w:val="center"/>
              <w:rPr>
                <w:rStyle w:val="CommentReference"/>
              </w:rPr>
            </w:pPr>
            <w:r>
              <w:rPr>
                <w:rStyle w:val="CommentReference"/>
              </w:rPr>
              <w:t xml:space="preserve">Incremental cost </w:t>
            </w:r>
          </w:p>
          <w:p w:rsidR="00BF15FA" w:rsidRPr="00390940" w:rsidRDefault="00BF15FA" w:rsidP="007B2725">
            <w:pPr>
              <w:keepNext/>
              <w:keepLines/>
              <w:jc w:val="center"/>
              <w:rPr>
                <w:rStyle w:val="CommentReference"/>
              </w:rPr>
            </w:pPr>
            <w:r>
              <w:rPr>
                <w:rStyle w:val="CommentReference"/>
              </w:rPr>
              <w:t>vs. EZE/PBO</w:t>
            </w:r>
          </w:p>
        </w:tc>
        <w:tc>
          <w:tcPr>
            <w:tcW w:w="1996" w:type="dxa"/>
            <w:vAlign w:val="center"/>
          </w:tcPr>
          <w:p w:rsidR="00BF15FA" w:rsidRDefault="00BF15FA" w:rsidP="007B2725">
            <w:pPr>
              <w:keepNext/>
              <w:keepLines/>
              <w:jc w:val="center"/>
              <w:rPr>
                <w:rStyle w:val="CommentReference"/>
              </w:rPr>
            </w:pPr>
            <w:r>
              <w:rPr>
                <w:rStyle w:val="CommentReference"/>
              </w:rPr>
              <w:t xml:space="preserve">Increment QALYs </w:t>
            </w:r>
          </w:p>
          <w:p w:rsidR="00BF15FA" w:rsidRPr="00390940" w:rsidRDefault="00BF15FA" w:rsidP="007B2725">
            <w:pPr>
              <w:keepNext/>
              <w:keepLines/>
              <w:jc w:val="center"/>
              <w:rPr>
                <w:rStyle w:val="CommentReference"/>
              </w:rPr>
            </w:pPr>
            <w:r>
              <w:rPr>
                <w:rStyle w:val="CommentReference"/>
              </w:rPr>
              <w:t>vs. EZE/PBO</w:t>
            </w:r>
          </w:p>
        </w:tc>
        <w:tc>
          <w:tcPr>
            <w:tcW w:w="1997" w:type="dxa"/>
            <w:vAlign w:val="center"/>
          </w:tcPr>
          <w:p w:rsidR="00BF15FA" w:rsidRPr="00390940" w:rsidRDefault="00C96A5F" w:rsidP="007B2725">
            <w:pPr>
              <w:keepNext/>
              <w:keepLines/>
              <w:jc w:val="center"/>
              <w:rPr>
                <w:rStyle w:val="CommentReference"/>
              </w:rPr>
            </w:pPr>
            <w:r>
              <w:rPr>
                <w:rStyle w:val="CommentReference"/>
              </w:rPr>
              <w:t>Cost per QALY</w:t>
            </w:r>
          </w:p>
        </w:tc>
      </w:tr>
      <w:tr w:rsidR="006D1D2D" w:rsidTr="006D1D2D">
        <w:tc>
          <w:tcPr>
            <w:tcW w:w="8369" w:type="dxa"/>
            <w:gridSpan w:val="4"/>
            <w:vAlign w:val="center"/>
          </w:tcPr>
          <w:p w:rsidR="006D1D2D" w:rsidRDefault="006D1D2D" w:rsidP="007B2725">
            <w:pPr>
              <w:keepNext/>
              <w:keepLines/>
              <w:jc w:val="left"/>
              <w:rPr>
                <w:rStyle w:val="CommentReference"/>
                <w:b w:val="0"/>
              </w:rPr>
            </w:pPr>
            <w:r w:rsidRPr="00390940">
              <w:rPr>
                <w:rStyle w:val="CommentReference"/>
              </w:rPr>
              <w:t>Step 2</w:t>
            </w:r>
            <w:r>
              <w:rPr>
                <w:rStyle w:val="CommentReference"/>
              </w:rPr>
              <w:t xml:space="preserve"> (35 year time horizon)</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GAUSS-2</w:t>
            </w:r>
          </w:p>
        </w:tc>
        <w:tc>
          <w:tcPr>
            <w:tcW w:w="1996" w:type="dxa"/>
            <w:vAlign w:val="center"/>
          </w:tcPr>
          <w:p w:rsidR="006D1D2D" w:rsidRDefault="006D1D2D" w:rsidP="007B2725">
            <w:pPr>
              <w:keepNext/>
              <w:keepLines/>
              <w:jc w:val="center"/>
              <w:rPr>
                <w:rFonts w:ascii="Arial Narrow" w:hAnsi="Arial Narrow"/>
                <w:color w:val="000000"/>
                <w:sz w:val="20"/>
              </w:rPr>
            </w:pPr>
            <w:r>
              <w:rPr>
                <w:rFonts w:ascii="Arial Narrow" w:hAnsi="Arial Narrow" w:cs="Times New Roman"/>
                <w:snapToGrid/>
                <w:color w:val="000000"/>
                <w:sz w:val="20"/>
                <w:lang w:eastAsia="en-AU"/>
              </w:rPr>
              <w:t>$</w:t>
            </w:r>
            <w:r w:rsidR="00651444">
              <w:rPr>
                <w:rFonts w:ascii="Arial Narrow" w:hAnsi="Arial Narrow" w:cs="Times New Roman"/>
                <w:noProof/>
                <w:snapToGrid/>
                <w:color w:val="000000"/>
                <w:sz w:val="20"/>
                <w:highlight w:val="black"/>
                <w:lang w:eastAsia="en-AU"/>
              </w:rPr>
              <w:t>'''''''''''''''</w:t>
            </w:r>
          </w:p>
        </w:tc>
        <w:tc>
          <w:tcPr>
            <w:tcW w:w="1996" w:type="dxa"/>
            <w:vAlign w:val="center"/>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center"/>
          </w:tcPr>
          <w:p w:rsidR="006D1D2D" w:rsidRDefault="006D1D2D" w:rsidP="007B2725">
            <w:pPr>
              <w:keepNext/>
              <w:keepLines/>
              <w:jc w:val="center"/>
              <w:rPr>
                <w:rFonts w:ascii="Arial Narrow" w:hAnsi="Arial Narrow"/>
                <w:color w:val="000000"/>
                <w:sz w:val="20"/>
              </w:rPr>
            </w:pPr>
            <w:r>
              <w:rPr>
                <w:rFonts w:ascii="Arial Narrow" w:hAnsi="Arial Narrow" w:cs="Times New Roman"/>
                <w:snapToGrid/>
                <w:color w:val="000000"/>
                <w:sz w:val="20"/>
                <w:lang w:eastAsia="en-AU"/>
              </w:rPr>
              <w:t>$</w:t>
            </w:r>
            <w:r w:rsidR="00651444">
              <w:rPr>
                <w:rFonts w:ascii="Arial Narrow" w:hAnsi="Arial Narrow" w:cs="Times New Roman"/>
                <w:noProof/>
                <w:snapToGrid/>
                <w:color w:val="000000"/>
                <w:sz w:val="20"/>
                <w:highlight w:val="black"/>
                <w:lang w:eastAsia="en-AU"/>
              </w:rPr>
              <w:t>'''''''''''''''''</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LAPLACE-2</w:t>
            </w:r>
          </w:p>
        </w:tc>
        <w:tc>
          <w:tcPr>
            <w:tcW w:w="1996" w:type="dxa"/>
            <w:vAlign w:val="center"/>
          </w:tcPr>
          <w:p w:rsidR="006D1D2D" w:rsidRDefault="006D1D2D" w:rsidP="007B2725">
            <w:pPr>
              <w:keepNext/>
              <w:keepLines/>
              <w:jc w:val="center"/>
              <w:rPr>
                <w:rStyle w:val="CommentReference"/>
                <w:b w:val="0"/>
              </w:rPr>
            </w:pPr>
            <w:r w:rsidRPr="00D9138E">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center"/>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center"/>
          </w:tcPr>
          <w:p w:rsidR="006D1D2D" w:rsidRDefault="006D1D2D" w:rsidP="007B2725">
            <w:pPr>
              <w:keepNext/>
              <w:keepLines/>
              <w:jc w:val="center"/>
              <w:rPr>
                <w:rStyle w:val="CommentReference"/>
                <w:b w:val="0"/>
              </w:rPr>
            </w:pPr>
            <w:r w:rsidRPr="00D9138E">
              <w:rPr>
                <w:rFonts w:ascii="Arial Narrow" w:hAnsi="Arial Narrow"/>
                <w:color w:val="000000"/>
                <w:sz w:val="20"/>
              </w:rPr>
              <w:t>$</w:t>
            </w:r>
            <w:r w:rsidR="00651444">
              <w:rPr>
                <w:rFonts w:ascii="Arial Narrow" w:hAnsi="Arial Narrow"/>
                <w:noProof/>
                <w:color w:val="000000"/>
                <w:sz w:val="2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RUTHERFORD-2</w:t>
            </w:r>
          </w:p>
        </w:tc>
        <w:tc>
          <w:tcPr>
            <w:tcW w:w="1996" w:type="dxa"/>
            <w:vAlign w:val="center"/>
          </w:tcPr>
          <w:p w:rsidR="006D1D2D" w:rsidRDefault="006D1D2D" w:rsidP="007B2725">
            <w:pPr>
              <w:keepNext/>
              <w:keepLines/>
              <w:jc w:val="center"/>
              <w:rPr>
                <w:rStyle w:val="CommentReference"/>
                <w:b w:val="0"/>
              </w:rPr>
            </w:pPr>
            <w:r w:rsidRPr="00D9138E">
              <w:rPr>
                <w:rFonts w:ascii="Arial Narrow" w:hAnsi="Arial Narrow" w:cs="Times New Roman"/>
                <w:snapToGrid/>
                <w:color w:val="000000"/>
                <w:sz w:val="20"/>
                <w:lang w:eastAsia="en-AU"/>
              </w:rPr>
              <w:t>$</w:t>
            </w:r>
            <w:r w:rsidR="00651444">
              <w:rPr>
                <w:rFonts w:ascii="Arial Narrow" w:hAnsi="Arial Narrow" w:cs="Times New Roman"/>
                <w:noProof/>
                <w:snapToGrid/>
                <w:color w:val="000000"/>
                <w:sz w:val="20"/>
                <w:highlight w:val="black"/>
                <w:lang w:eastAsia="en-AU"/>
              </w:rPr>
              <w:t>'''''''''''''''''</w:t>
            </w:r>
          </w:p>
        </w:tc>
        <w:tc>
          <w:tcPr>
            <w:tcW w:w="1996" w:type="dxa"/>
            <w:vAlign w:val="center"/>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center"/>
          </w:tcPr>
          <w:p w:rsidR="006D1D2D" w:rsidRDefault="006D1D2D" w:rsidP="007B2725">
            <w:pPr>
              <w:keepNext/>
              <w:keepLines/>
              <w:jc w:val="center"/>
              <w:rPr>
                <w:rStyle w:val="CommentReference"/>
                <w:b w:val="0"/>
              </w:rPr>
            </w:pPr>
            <w:r>
              <w:rPr>
                <w:rFonts w:ascii="Arial Narrow" w:hAnsi="Arial Narrow" w:cs="Times New Roman"/>
                <w:snapToGrid/>
                <w:color w:val="000000"/>
                <w:sz w:val="20"/>
                <w:lang w:eastAsia="en-AU"/>
              </w:rPr>
              <w:t>$</w:t>
            </w:r>
            <w:r w:rsidR="00651444">
              <w:rPr>
                <w:rFonts w:ascii="Arial Narrow" w:hAnsi="Arial Narrow" w:cs="Times New Roman"/>
                <w:noProof/>
                <w:snapToGrid/>
                <w:color w:val="000000"/>
                <w:sz w:val="20"/>
                <w:highlight w:val="black"/>
                <w:lang w:eastAsia="en-AU"/>
              </w:rPr>
              <w:t>'''''''''''''''</w:t>
            </w:r>
          </w:p>
        </w:tc>
      </w:tr>
      <w:tr w:rsidR="006D1D2D" w:rsidTr="006D1D2D">
        <w:tc>
          <w:tcPr>
            <w:tcW w:w="8369" w:type="dxa"/>
            <w:gridSpan w:val="4"/>
            <w:vAlign w:val="center"/>
          </w:tcPr>
          <w:p w:rsidR="006D1D2D" w:rsidRDefault="006D1D2D" w:rsidP="007B2725">
            <w:pPr>
              <w:keepNext/>
              <w:keepLines/>
              <w:jc w:val="left"/>
              <w:rPr>
                <w:rStyle w:val="CommentReference"/>
                <w:b w:val="0"/>
              </w:rPr>
            </w:pPr>
            <w:r w:rsidRPr="00F60FF4">
              <w:rPr>
                <w:rFonts w:ascii="Arial Narrow" w:hAnsi="Arial Narrow"/>
                <w:b/>
                <w:sz w:val="20"/>
              </w:rPr>
              <w:t>Step 3</w:t>
            </w:r>
            <w:r>
              <w:rPr>
                <w:rFonts w:ascii="Arial Narrow" w:hAnsi="Arial Narrow"/>
                <w:b/>
                <w:sz w:val="20"/>
              </w:rPr>
              <w:t xml:space="preserve"> (higher-risk populations)</w:t>
            </w:r>
          </w:p>
        </w:tc>
      </w:tr>
      <w:tr w:rsidR="006D1D2D" w:rsidTr="006D1D2D">
        <w:tc>
          <w:tcPr>
            <w:tcW w:w="8369" w:type="dxa"/>
            <w:gridSpan w:val="4"/>
            <w:vAlign w:val="center"/>
          </w:tcPr>
          <w:p w:rsidR="006D1D2D" w:rsidRDefault="006D1D2D" w:rsidP="007B2725">
            <w:pPr>
              <w:keepNext/>
              <w:keepLines/>
              <w:jc w:val="left"/>
              <w:rPr>
                <w:rStyle w:val="CommentReference"/>
                <w:b w:val="0"/>
              </w:rPr>
            </w:pPr>
            <w:r>
              <w:rPr>
                <w:rFonts w:ascii="Arial Narrow" w:hAnsi="Arial Narrow"/>
                <w:b/>
                <w:smallCaps/>
                <w:sz w:val="20"/>
              </w:rPr>
              <w:t>GAUSS-2 populations</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G-3.3</w:t>
            </w:r>
          </w:p>
        </w:tc>
        <w:tc>
          <w:tcPr>
            <w:tcW w:w="1996" w:type="dxa"/>
            <w:vAlign w:val="bottom"/>
          </w:tcPr>
          <w:p w:rsidR="006D1D2D" w:rsidRDefault="006D1D2D" w:rsidP="007B2725">
            <w:pPr>
              <w:keepNext/>
              <w:keepLines/>
              <w:jc w:val="center"/>
              <w:rPr>
                <w:rFonts w:ascii="Arial Narrow" w:hAnsi="Arial Narrow"/>
                <w:color w:val="000000"/>
                <w:sz w:val="20"/>
              </w:rPr>
            </w:pPr>
            <w:r w:rsidRPr="002D13F3">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bottom"/>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bottom"/>
          </w:tcPr>
          <w:p w:rsidR="006D1D2D" w:rsidRDefault="006D1D2D" w:rsidP="007B2725">
            <w:pPr>
              <w:keepNext/>
              <w:keepLines/>
              <w:jc w:val="center"/>
              <w:rPr>
                <w:rFonts w:ascii="Arial Narrow" w:hAnsi="Arial Narrow"/>
                <w:color w:val="000000"/>
                <w:sz w:val="20"/>
              </w:rPr>
            </w:pPr>
            <w:r w:rsidRPr="002D13F3">
              <w:rPr>
                <w:rFonts w:ascii="Arial Narrow" w:hAnsi="Arial Narrow"/>
                <w:color w:val="000000"/>
                <w:sz w:val="20"/>
              </w:rPr>
              <w:t>$</w:t>
            </w:r>
            <w:r w:rsidR="00651444">
              <w:rPr>
                <w:rFonts w:ascii="Arial Narrow" w:hAnsi="Arial Narrow"/>
                <w:noProof/>
                <w:color w:val="000000"/>
                <w:sz w:val="2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Fonts w:ascii="Arial Narrow" w:hAnsi="Arial Narrow"/>
                <w:sz w:val="20"/>
              </w:rPr>
              <w:t>G-CHD-3.3</w:t>
            </w:r>
          </w:p>
        </w:tc>
        <w:tc>
          <w:tcPr>
            <w:tcW w:w="1996" w:type="dxa"/>
            <w:vAlign w:val="bottom"/>
          </w:tcPr>
          <w:p w:rsidR="006D1D2D" w:rsidRDefault="006D1D2D" w:rsidP="007B2725">
            <w:pPr>
              <w:keepNext/>
              <w:keepLines/>
              <w:jc w:val="center"/>
              <w:rPr>
                <w:rStyle w:val="CommentReference"/>
                <w:b w:val="0"/>
              </w:rPr>
            </w:pPr>
            <w:r w:rsidRPr="002D13F3">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2D13F3">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G-DM-3.3</w:t>
            </w:r>
          </w:p>
        </w:tc>
        <w:tc>
          <w:tcPr>
            <w:tcW w:w="1996" w:type="dxa"/>
            <w:vAlign w:val="bottom"/>
          </w:tcPr>
          <w:p w:rsidR="006D1D2D" w:rsidRDefault="006D1D2D" w:rsidP="007B2725">
            <w:pPr>
              <w:keepNext/>
              <w:keepLines/>
              <w:jc w:val="center"/>
              <w:rPr>
                <w:rFonts w:ascii="Arial Narrow" w:hAnsi="Arial Narrow"/>
                <w:color w:val="000000"/>
                <w:sz w:val="20"/>
              </w:rPr>
            </w:pPr>
            <w:r w:rsidRPr="002D13F3">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bottom"/>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bottom"/>
          </w:tcPr>
          <w:p w:rsidR="006D1D2D" w:rsidRDefault="006D1D2D" w:rsidP="007B2725">
            <w:pPr>
              <w:keepNext/>
              <w:keepLines/>
              <w:jc w:val="center"/>
              <w:rPr>
                <w:rFonts w:ascii="Arial Narrow" w:hAnsi="Arial Narrow"/>
                <w:color w:val="000000"/>
                <w:sz w:val="20"/>
              </w:rPr>
            </w:pPr>
            <w:r w:rsidRPr="002D13F3">
              <w:rPr>
                <w:rFonts w:ascii="Arial Narrow" w:hAnsi="Arial Narrow"/>
                <w:color w:val="000000"/>
                <w:sz w:val="20"/>
              </w:rPr>
              <w:t>$</w:t>
            </w:r>
            <w:r w:rsidR="00651444">
              <w:rPr>
                <w:rFonts w:ascii="Arial Narrow" w:hAnsi="Arial Narrow"/>
                <w:noProof/>
                <w:color w:val="000000"/>
                <w:sz w:val="2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G-5.5</w:t>
            </w:r>
          </w:p>
        </w:tc>
        <w:tc>
          <w:tcPr>
            <w:tcW w:w="1996" w:type="dxa"/>
            <w:vAlign w:val="bottom"/>
          </w:tcPr>
          <w:p w:rsidR="006D1D2D" w:rsidRDefault="006D1D2D" w:rsidP="007B2725">
            <w:pPr>
              <w:keepNext/>
              <w:keepLines/>
              <w:jc w:val="center"/>
              <w:rPr>
                <w:rStyle w:val="CommentReference"/>
                <w:b w:val="0"/>
              </w:rPr>
            </w:pPr>
            <w:r w:rsidRPr="00E046CF">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E046CF">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Fonts w:ascii="Arial Narrow" w:hAnsi="Arial Narrow"/>
                <w:sz w:val="20"/>
              </w:rPr>
              <w:t>G-DM-5.5</w:t>
            </w:r>
          </w:p>
        </w:tc>
        <w:tc>
          <w:tcPr>
            <w:tcW w:w="1996"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G-HC</w:t>
            </w:r>
          </w:p>
        </w:tc>
        <w:tc>
          <w:tcPr>
            <w:tcW w:w="1996"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Fonts w:ascii="Arial Narrow" w:hAnsi="Arial Narrow"/>
                <w:sz w:val="20"/>
              </w:rPr>
              <w:t>G-HT-HC</w:t>
            </w:r>
          </w:p>
        </w:tc>
        <w:tc>
          <w:tcPr>
            <w:tcW w:w="1996"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9C19B9">
              <w:rPr>
                <w:rStyle w:val="CommentReference"/>
                <w:b w:val="0"/>
              </w:rPr>
              <w:t>$</w:t>
            </w:r>
            <w:r w:rsidR="00651444">
              <w:rPr>
                <w:rStyle w:val="CommentReference"/>
                <w:b w:val="0"/>
                <w:noProof/>
                <w:color w:val="000000"/>
                <w:highlight w:val="black"/>
              </w:rPr>
              <w:t>''''''''''''''''</w:t>
            </w:r>
          </w:p>
        </w:tc>
      </w:tr>
      <w:tr w:rsidR="006D1D2D" w:rsidTr="006D1D2D">
        <w:tc>
          <w:tcPr>
            <w:tcW w:w="8369" w:type="dxa"/>
            <w:gridSpan w:val="4"/>
            <w:vAlign w:val="center"/>
          </w:tcPr>
          <w:p w:rsidR="006D1D2D" w:rsidRDefault="006D1D2D" w:rsidP="007B2725">
            <w:pPr>
              <w:keepNext/>
              <w:keepLines/>
              <w:jc w:val="left"/>
              <w:rPr>
                <w:rStyle w:val="CommentReference"/>
                <w:b w:val="0"/>
              </w:rPr>
            </w:pPr>
            <w:r>
              <w:rPr>
                <w:rFonts w:ascii="Arial Narrow" w:hAnsi="Arial Narrow"/>
                <w:b/>
                <w:smallCaps/>
                <w:sz w:val="20"/>
              </w:rPr>
              <w:t>LAPLACE-2 populations</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L-3.3</w:t>
            </w:r>
          </w:p>
        </w:tc>
        <w:tc>
          <w:tcPr>
            <w:tcW w:w="1996" w:type="dxa"/>
            <w:vAlign w:val="bottom"/>
          </w:tcPr>
          <w:p w:rsidR="006D1D2D" w:rsidRDefault="006D1D2D" w:rsidP="007B2725">
            <w:pPr>
              <w:keepNext/>
              <w:keepLines/>
              <w:jc w:val="center"/>
              <w:rPr>
                <w:rFonts w:ascii="Arial Narrow" w:hAnsi="Arial Narrow"/>
                <w:color w:val="000000"/>
                <w:sz w:val="20"/>
              </w:rPr>
            </w:pPr>
            <w:r w:rsidRPr="00251EEE">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bottom"/>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bottom"/>
          </w:tcPr>
          <w:p w:rsidR="006D1D2D" w:rsidRDefault="006D1D2D" w:rsidP="007B2725">
            <w:pPr>
              <w:keepNext/>
              <w:keepLines/>
              <w:jc w:val="center"/>
              <w:rPr>
                <w:rFonts w:ascii="Arial Narrow" w:hAnsi="Arial Narrow"/>
                <w:color w:val="000000"/>
                <w:sz w:val="20"/>
              </w:rPr>
            </w:pPr>
            <w:r w:rsidRPr="00251EEE">
              <w:rPr>
                <w:rFonts w:ascii="Arial Narrow" w:hAnsi="Arial Narrow"/>
                <w:color w:val="000000"/>
                <w:sz w:val="20"/>
              </w:rPr>
              <w:t>$</w:t>
            </w:r>
            <w:r w:rsidR="00651444">
              <w:rPr>
                <w:rFonts w:ascii="Arial Narrow" w:hAnsi="Arial Narrow"/>
                <w:noProof/>
                <w:color w:val="000000"/>
                <w:sz w:val="2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Fonts w:ascii="Arial Narrow" w:hAnsi="Arial Narrow"/>
                <w:sz w:val="20"/>
              </w:rPr>
              <w:t>L-CHD-3.3</w:t>
            </w:r>
          </w:p>
        </w:tc>
        <w:tc>
          <w:tcPr>
            <w:tcW w:w="1996" w:type="dxa"/>
            <w:vAlign w:val="bottom"/>
          </w:tcPr>
          <w:p w:rsidR="006D1D2D" w:rsidRDefault="006D1D2D" w:rsidP="007B2725">
            <w:pPr>
              <w:keepNext/>
              <w:keepLines/>
              <w:jc w:val="center"/>
              <w:rPr>
                <w:rStyle w:val="CommentReference"/>
                <w:b w:val="0"/>
              </w:rPr>
            </w:pPr>
            <w:r w:rsidRPr="00CA1581">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A1581">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Fonts w:ascii="Arial Narrow" w:hAnsi="Arial Narrow"/>
                <w:sz w:val="20"/>
              </w:rPr>
              <w:t>L-DM-3.3</w:t>
            </w:r>
          </w:p>
        </w:tc>
        <w:tc>
          <w:tcPr>
            <w:tcW w:w="1996" w:type="dxa"/>
            <w:vAlign w:val="bottom"/>
          </w:tcPr>
          <w:p w:rsidR="006D1D2D" w:rsidRDefault="006D1D2D" w:rsidP="007B2725">
            <w:pPr>
              <w:keepNext/>
              <w:keepLines/>
              <w:jc w:val="center"/>
              <w:rPr>
                <w:rStyle w:val="CommentReference"/>
                <w:b w:val="0"/>
              </w:rPr>
            </w:pPr>
            <w:r w:rsidRPr="00C84610">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84610">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Style w:val="CommentReference"/>
                <w:b w:val="0"/>
              </w:rPr>
            </w:pPr>
            <w:r>
              <w:rPr>
                <w:rStyle w:val="CommentReference"/>
                <w:b w:val="0"/>
              </w:rPr>
              <w:t>L-5.5</w:t>
            </w:r>
          </w:p>
        </w:tc>
        <w:tc>
          <w:tcPr>
            <w:tcW w:w="1996" w:type="dxa"/>
            <w:vAlign w:val="bottom"/>
          </w:tcPr>
          <w:p w:rsidR="006D1D2D" w:rsidRDefault="006D1D2D" w:rsidP="007B2725">
            <w:pPr>
              <w:keepNext/>
              <w:keepLines/>
              <w:jc w:val="center"/>
              <w:rPr>
                <w:rStyle w:val="CommentReference"/>
                <w:b w:val="0"/>
              </w:rPr>
            </w:pPr>
            <w:r w:rsidRPr="00822EC9">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7261AB">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L-DM-5.5</w:t>
            </w:r>
          </w:p>
        </w:tc>
        <w:tc>
          <w:tcPr>
            <w:tcW w:w="1996" w:type="dxa"/>
            <w:vAlign w:val="bottom"/>
          </w:tcPr>
          <w:p w:rsidR="006D1D2D" w:rsidRDefault="006D1D2D" w:rsidP="007B2725">
            <w:pPr>
              <w:keepNext/>
              <w:keepLines/>
              <w:jc w:val="center"/>
              <w:rPr>
                <w:rStyle w:val="CommentReference"/>
                <w:b w:val="0"/>
              </w:rPr>
            </w:pPr>
            <w:r w:rsidRPr="005261CF">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5261CF">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L-HC</w:t>
            </w:r>
          </w:p>
        </w:tc>
        <w:tc>
          <w:tcPr>
            <w:tcW w:w="1996" w:type="dxa"/>
            <w:vAlign w:val="bottom"/>
          </w:tcPr>
          <w:p w:rsidR="006D1D2D" w:rsidRDefault="006D1D2D" w:rsidP="007B2725">
            <w:pPr>
              <w:keepNext/>
              <w:keepLines/>
              <w:jc w:val="center"/>
              <w:rPr>
                <w:rFonts w:ascii="Arial Narrow" w:hAnsi="Arial Narrow"/>
                <w:color w:val="000000"/>
                <w:sz w:val="20"/>
              </w:rPr>
            </w:pPr>
            <w:r w:rsidRPr="005261CF">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bottom"/>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bottom"/>
          </w:tcPr>
          <w:p w:rsidR="006D1D2D" w:rsidRDefault="006D1D2D" w:rsidP="007B2725">
            <w:pPr>
              <w:keepNext/>
              <w:keepLines/>
              <w:jc w:val="center"/>
              <w:rPr>
                <w:rFonts w:ascii="Arial Narrow" w:hAnsi="Arial Narrow"/>
                <w:color w:val="000000"/>
                <w:sz w:val="20"/>
              </w:rPr>
            </w:pPr>
            <w:r w:rsidRPr="005261CF">
              <w:rPr>
                <w:rFonts w:ascii="Arial Narrow" w:hAnsi="Arial Narrow"/>
                <w:color w:val="000000"/>
                <w:sz w:val="20"/>
              </w:rPr>
              <w:t>$</w:t>
            </w:r>
            <w:r w:rsidR="00651444">
              <w:rPr>
                <w:rFonts w:ascii="Arial Narrow" w:hAnsi="Arial Narrow"/>
                <w:noProof/>
                <w:color w:val="000000"/>
                <w:sz w:val="2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L-HT-HC</w:t>
            </w:r>
          </w:p>
        </w:tc>
        <w:tc>
          <w:tcPr>
            <w:tcW w:w="1996" w:type="dxa"/>
            <w:vAlign w:val="bottom"/>
          </w:tcPr>
          <w:p w:rsidR="006D1D2D" w:rsidRDefault="006D1D2D" w:rsidP="007B2725">
            <w:pPr>
              <w:keepNext/>
              <w:keepLines/>
              <w:jc w:val="center"/>
              <w:rPr>
                <w:rFonts w:ascii="Arial Narrow" w:hAnsi="Arial Narrow"/>
                <w:color w:val="000000"/>
                <w:sz w:val="20"/>
              </w:rPr>
            </w:pPr>
            <w:r w:rsidRPr="005261CF">
              <w:rPr>
                <w:rFonts w:ascii="Arial Narrow" w:hAnsi="Arial Narrow"/>
                <w:color w:val="000000"/>
                <w:sz w:val="20"/>
              </w:rPr>
              <w:t>$</w:t>
            </w:r>
            <w:r w:rsidR="00651444">
              <w:rPr>
                <w:rFonts w:ascii="Arial Narrow" w:hAnsi="Arial Narrow"/>
                <w:noProof/>
                <w:color w:val="000000"/>
                <w:sz w:val="20"/>
                <w:highlight w:val="black"/>
              </w:rPr>
              <w:t>'''''''''''''''</w:t>
            </w:r>
          </w:p>
        </w:tc>
        <w:tc>
          <w:tcPr>
            <w:tcW w:w="1996" w:type="dxa"/>
            <w:vAlign w:val="bottom"/>
          </w:tcPr>
          <w:p w:rsidR="006D1D2D" w:rsidRPr="00651444" w:rsidRDefault="00651444" w:rsidP="007B2725">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1997" w:type="dxa"/>
            <w:vAlign w:val="bottom"/>
          </w:tcPr>
          <w:p w:rsidR="006D1D2D" w:rsidRDefault="006D1D2D" w:rsidP="007B2725">
            <w:pPr>
              <w:keepNext/>
              <w:keepLines/>
              <w:jc w:val="center"/>
              <w:rPr>
                <w:rFonts w:ascii="Arial Narrow" w:hAnsi="Arial Narrow"/>
                <w:color w:val="000000"/>
                <w:sz w:val="20"/>
              </w:rPr>
            </w:pPr>
            <w:r w:rsidRPr="005261CF">
              <w:rPr>
                <w:rFonts w:ascii="Arial Narrow" w:hAnsi="Arial Narrow"/>
                <w:color w:val="000000"/>
                <w:sz w:val="20"/>
              </w:rPr>
              <w:t>$</w:t>
            </w:r>
            <w:r w:rsidR="00651444">
              <w:rPr>
                <w:rFonts w:ascii="Arial Narrow" w:hAnsi="Arial Narrow"/>
                <w:noProof/>
                <w:color w:val="000000"/>
                <w:sz w:val="20"/>
                <w:highlight w:val="black"/>
              </w:rPr>
              <w:t>'''''''''''''''''</w:t>
            </w:r>
          </w:p>
        </w:tc>
      </w:tr>
      <w:tr w:rsidR="006D1D2D" w:rsidTr="006D1D2D">
        <w:tc>
          <w:tcPr>
            <w:tcW w:w="8369" w:type="dxa"/>
            <w:gridSpan w:val="4"/>
            <w:vAlign w:val="center"/>
          </w:tcPr>
          <w:p w:rsidR="006D1D2D" w:rsidRDefault="006D1D2D" w:rsidP="007B2725">
            <w:pPr>
              <w:keepNext/>
              <w:keepLines/>
              <w:jc w:val="left"/>
              <w:rPr>
                <w:rStyle w:val="CommentReference"/>
                <w:b w:val="0"/>
              </w:rPr>
            </w:pPr>
            <w:r>
              <w:rPr>
                <w:rFonts w:ascii="Arial Narrow" w:hAnsi="Arial Narrow"/>
                <w:b/>
                <w:smallCaps/>
                <w:sz w:val="20"/>
              </w:rPr>
              <w:t>RUTHERFORD-2 populations</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R-</w:t>
            </w:r>
            <w:proofErr w:type="spellStart"/>
            <w:r>
              <w:rPr>
                <w:rFonts w:ascii="Arial Narrow" w:hAnsi="Arial Narrow"/>
                <w:sz w:val="20"/>
              </w:rPr>
              <w:t>vsEze</w:t>
            </w:r>
            <w:proofErr w:type="spellEnd"/>
          </w:p>
        </w:tc>
        <w:tc>
          <w:tcPr>
            <w:tcW w:w="1996" w:type="dxa"/>
            <w:vAlign w:val="bottom"/>
          </w:tcPr>
          <w:p w:rsidR="006D1D2D" w:rsidRDefault="006D1D2D" w:rsidP="007B2725">
            <w:pPr>
              <w:keepNext/>
              <w:keepLines/>
              <w:jc w:val="center"/>
              <w:rPr>
                <w:rStyle w:val="CommentReference"/>
                <w:b w:val="0"/>
              </w:rPr>
            </w:pPr>
            <w:r w:rsidRPr="00B72757">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B72757">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Pr="007E7B52" w:rsidRDefault="006D1D2D" w:rsidP="007B2725">
            <w:pPr>
              <w:keepNext/>
              <w:keepLines/>
              <w:rPr>
                <w:rFonts w:ascii="Arial Narrow" w:hAnsi="Arial Narrow"/>
                <w:b/>
                <w:smallCaps/>
                <w:sz w:val="20"/>
              </w:rPr>
            </w:pPr>
            <w:r>
              <w:rPr>
                <w:rFonts w:ascii="Arial Narrow" w:hAnsi="Arial Narrow"/>
                <w:sz w:val="20"/>
              </w:rPr>
              <w:t>R-3.3-vsPla</w:t>
            </w:r>
          </w:p>
        </w:tc>
        <w:tc>
          <w:tcPr>
            <w:tcW w:w="1996"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R-3.3-vsEze</w:t>
            </w:r>
          </w:p>
        </w:tc>
        <w:tc>
          <w:tcPr>
            <w:tcW w:w="1996"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R-HC-</w:t>
            </w:r>
            <w:proofErr w:type="spellStart"/>
            <w:r>
              <w:rPr>
                <w:rFonts w:ascii="Arial Narrow" w:hAnsi="Arial Narrow"/>
                <w:sz w:val="20"/>
              </w:rPr>
              <w:t>vsPla</w:t>
            </w:r>
            <w:proofErr w:type="spellEnd"/>
          </w:p>
        </w:tc>
        <w:tc>
          <w:tcPr>
            <w:tcW w:w="1996"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r>
      <w:tr w:rsidR="006D1D2D" w:rsidTr="00BF15FA">
        <w:tc>
          <w:tcPr>
            <w:tcW w:w="2380" w:type="dxa"/>
            <w:vAlign w:val="center"/>
          </w:tcPr>
          <w:p w:rsidR="006D1D2D" w:rsidRDefault="006D1D2D" w:rsidP="007B2725">
            <w:pPr>
              <w:keepNext/>
              <w:keepLines/>
              <w:rPr>
                <w:rFonts w:ascii="Arial Narrow" w:hAnsi="Arial Narrow"/>
                <w:sz w:val="20"/>
              </w:rPr>
            </w:pPr>
            <w:r>
              <w:rPr>
                <w:rFonts w:ascii="Arial Narrow" w:hAnsi="Arial Narrow"/>
                <w:sz w:val="20"/>
              </w:rPr>
              <w:t>R-HC-</w:t>
            </w:r>
            <w:proofErr w:type="spellStart"/>
            <w:r>
              <w:rPr>
                <w:rFonts w:ascii="Arial Narrow" w:hAnsi="Arial Narrow"/>
                <w:sz w:val="20"/>
              </w:rPr>
              <w:t>vsEze</w:t>
            </w:r>
            <w:proofErr w:type="spellEnd"/>
          </w:p>
        </w:tc>
        <w:tc>
          <w:tcPr>
            <w:tcW w:w="1996"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c>
          <w:tcPr>
            <w:tcW w:w="1996" w:type="dxa"/>
            <w:vAlign w:val="bottom"/>
          </w:tcPr>
          <w:p w:rsidR="006D1D2D" w:rsidRPr="00651444" w:rsidRDefault="00651444" w:rsidP="007B2725">
            <w:pPr>
              <w:keepNext/>
              <w:keepLines/>
              <w:jc w:val="center"/>
              <w:rPr>
                <w:rStyle w:val="CommentReference"/>
                <w:b w:val="0"/>
                <w:highlight w:val="black"/>
              </w:rPr>
            </w:pPr>
            <w:r>
              <w:rPr>
                <w:rStyle w:val="CommentReference"/>
                <w:b w:val="0"/>
                <w:noProof/>
                <w:color w:val="000000"/>
                <w:highlight w:val="black"/>
              </w:rPr>
              <w:t>'''''''''''''</w:t>
            </w:r>
          </w:p>
        </w:tc>
        <w:tc>
          <w:tcPr>
            <w:tcW w:w="1997" w:type="dxa"/>
            <w:vAlign w:val="bottom"/>
          </w:tcPr>
          <w:p w:rsidR="006D1D2D" w:rsidRDefault="006D1D2D" w:rsidP="007B2725">
            <w:pPr>
              <w:keepNext/>
              <w:keepLines/>
              <w:jc w:val="center"/>
              <w:rPr>
                <w:rStyle w:val="CommentReference"/>
                <w:b w:val="0"/>
              </w:rPr>
            </w:pPr>
            <w:r w:rsidRPr="00CF6A8A">
              <w:rPr>
                <w:rStyle w:val="CommentReference"/>
                <w:b w:val="0"/>
              </w:rPr>
              <w:t>$</w:t>
            </w:r>
            <w:r w:rsidR="00651444">
              <w:rPr>
                <w:rStyle w:val="CommentReference"/>
                <w:b w:val="0"/>
                <w:noProof/>
                <w:color w:val="000000"/>
                <w:highlight w:val="black"/>
              </w:rPr>
              <w:t>'''''''''''''''</w:t>
            </w:r>
          </w:p>
        </w:tc>
      </w:tr>
    </w:tbl>
    <w:p w:rsidR="009C67B9" w:rsidRPr="009C67B9" w:rsidRDefault="009C67B9" w:rsidP="007B2725">
      <w:pPr>
        <w:pStyle w:val="TableFooter"/>
        <w:keepNext/>
        <w:keepLines/>
        <w:ind w:left="720"/>
      </w:pPr>
      <w:r>
        <w:t>Ab</w:t>
      </w:r>
      <w:r w:rsidRPr="009C67B9">
        <w:t xml:space="preserve">breviations: CHD, coronary heart disease; DM, diabetes </w:t>
      </w:r>
      <w:r w:rsidR="006841F4">
        <w:t>mellitu</w:t>
      </w:r>
      <w:r w:rsidRPr="009C67B9">
        <w:t xml:space="preserve">s; EVO, </w:t>
      </w:r>
      <w:proofErr w:type="spellStart"/>
      <w:r w:rsidRPr="009C67B9">
        <w:t>evolocumab</w:t>
      </w:r>
      <w:proofErr w:type="spellEnd"/>
      <w:r w:rsidRPr="009C67B9">
        <w:t xml:space="preserve">; EZE, </w:t>
      </w:r>
      <w:proofErr w:type="spellStart"/>
      <w:r w:rsidRPr="009C67B9">
        <w:t>ezetimibe</w:t>
      </w:r>
      <w:proofErr w:type="spellEnd"/>
      <w:r w:rsidRPr="009C67B9">
        <w:t>; HC,</w:t>
      </w:r>
      <w:r w:rsidR="006841F4">
        <w:t xml:space="preserve"> </w:t>
      </w:r>
      <w:r w:rsidRPr="009C67B9">
        <w:t>high cholesterol; HT, hypertension; LYs, life years; PBO, placebo; QALYs, quality-adjusted life years</w:t>
      </w:r>
    </w:p>
    <w:p w:rsidR="009C67B9" w:rsidRDefault="009C67B9" w:rsidP="007B2725">
      <w:pPr>
        <w:keepNext/>
        <w:keepLines/>
        <w:ind w:left="720"/>
        <w:rPr>
          <w:rFonts w:ascii="Arial Narrow" w:hAnsi="Arial Narrow"/>
          <w:sz w:val="18"/>
          <w:szCs w:val="18"/>
        </w:rPr>
      </w:pPr>
      <w:r w:rsidRPr="009C67B9">
        <w:rPr>
          <w:rFonts w:ascii="Arial Narrow" w:hAnsi="Arial Narrow"/>
          <w:sz w:val="18"/>
          <w:szCs w:val="18"/>
        </w:rPr>
        <w:t>No</w:t>
      </w:r>
      <w:r>
        <w:rPr>
          <w:rFonts w:ascii="Arial Narrow" w:hAnsi="Arial Narrow"/>
          <w:sz w:val="18"/>
          <w:szCs w:val="18"/>
        </w:rPr>
        <w:t xml:space="preserve">te: Nominated subgroup thresholds were: LDL </w:t>
      </w:r>
      <w:r w:rsidR="0004200E">
        <w:rPr>
          <w:rFonts w:ascii="Arial Narrow" w:hAnsi="Arial Narrow"/>
          <w:sz w:val="18"/>
          <w:szCs w:val="18"/>
        </w:rPr>
        <w:t>≥ </w:t>
      </w:r>
      <w:r>
        <w:rPr>
          <w:rFonts w:ascii="Arial Narrow" w:hAnsi="Arial Narrow"/>
          <w:sz w:val="18"/>
          <w:szCs w:val="18"/>
        </w:rPr>
        <w:t>3.3</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 xml:space="preserve">/L based on proposed threshold for very-high risk patients; TC </w:t>
      </w:r>
      <w:r w:rsidR="0004200E">
        <w:rPr>
          <w:rFonts w:ascii="Arial Narrow" w:hAnsi="Arial Narrow"/>
          <w:sz w:val="18"/>
          <w:szCs w:val="18"/>
        </w:rPr>
        <w:t>≥ 5</w:t>
      </w:r>
      <w:r>
        <w:rPr>
          <w:rFonts w:ascii="Arial Narrow" w:hAnsi="Arial Narrow"/>
          <w:sz w:val="18"/>
          <w:szCs w:val="18"/>
        </w:rPr>
        <w:t>.5</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/L based on current threshold for lower risk diabetes patients; LDL-C &gt;</w:t>
      </w:r>
      <w:r w:rsidR="0004200E">
        <w:rPr>
          <w:rFonts w:ascii="Arial Narrow" w:hAnsi="Arial Narrow"/>
          <w:sz w:val="18"/>
          <w:szCs w:val="18"/>
        </w:rPr>
        <w:t> </w:t>
      </w:r>
      <w:r>
        <w:rPr>
          <w:rFonts w:ascii="Arial Narrow" w:hAnsi="Arial Narrow"/>
          <w:sz w:val="18"/>
          <w:szCs w:val="18"/>
        </w:rPr>
        <w:t>5</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/L OR TC &gt;</w:t>
      </w:r>
      <w:r w:rsidR="0004200E">
        <w:rPr>
          <w:rFonts w:ascii="Arial Narrow" w:hAnsi="Arial Narrow"/>
          <w:sz w:val="18"/>
          <w:szCs w:val="18"/>
        </w:rPr>
        <w:t> </w:t>
      </w:r>
      <w:r>
        <w:rPr>
          <w:rFonts w:ascii="Arial Narrow" w:hAnsi="Arial Narrow"/>
          <w:sz w:val="18"/>
          <w:szCs w:val="18"/>
        </w:rPr>
        <w:t>6.5</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/L OR TC &gt;</w:t>
      </w:r>
      <w:r w:rsidR="0004200E">
        <w:rPr>
          <w:rFonts w:ascii="Arial Narrow" w:hAnsi="Arial Narrow"/>
          <w:sz w:val="18"/>
          <w:szCs w:val="18"/>
        </w:rPr>
        <w:t> </w:t>
      </w:r>
      <w:r>
        <w:rPr>
          <w:rFonts w:ascii="Arial Narrow" w:hAnsi="Arial Narrow"/>
          <w:sz w:val="18"/>
          <w:szCs w:val="18"/>
        </w:rPr>
        <w:t>5.5</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/L and HDL &lt;</w:t>
      </w:r>
      <w:r w:rsidR="0004200E">
        <w:rPr>
          <w:rFonts w:ascii="Arial Narrow" w:hAnsi="Arial Narrow"/>
          <w:sz w:val="18"/>
          <w:szCs w:val="18"/>
        </w:rPr>
        <w:t> </w:t>
      </w:r>
      <w:r>
        <w:rPr>
          <w:rFonts w:ascii="Arial Narrow" w:hAnsi="Arial Narrow"/>
          <w:sz w:val="18"/>
          <w:szCs w:val="18"/>
        </w:rPr>
        <w:t>1</w:t>
      </w:r>
      <w:r w:rsidR="0004200E">
        <w:rPr>
          <w:rFonts w:ascii="Arial Narrow" w:hAnsi="Arial Narrow"/>
          <w:sz w:val="18"/>
          <w:szCs w:val="18"/>
        </w:rPr>
        <w:t> </w:t>
      </w:r>
      <w:proofErr w:type="spellStart"/>
      <w:r>
        <w:rPr>
          <w:rFonts w:ascii="Arial Narrow" w:hAnsi="Arial Narrow"/>
          <w:sz w:val="18"/>
          <w:szCs w:val="18"/>
        </w:rPr>
        <w:t>mmol</w:t>
      </w:r>
      <w:proofErr w:type="spellEnd"/>
      <w:r>
        <w:rPr>
          <w:rFonts w:ascii="Arial Narrow" w:hAnsi="Arial Narrow"/>
          <w:sz w:val="18"/>
          <w:szCs w:val="18"/>
        </w:rPr>
        <w:t xml:space="preserve">/L based on current threshold for lower risk patients with familial </w:t>
      </w:r>
      <w:proofErr w:type="spellStart"/>
      <w:r>
        <w:rPr>
          <w:rFonts w:ascii="Arial Narrow" w:hAnsi="Arial Narrow"/>
          <w:sz w:val="18"/>
          <w:szCs w:val="18"/>
        </w:rPr>
        <w:t>hypercholesterolaemia</w:t>
      </w:r>
      <w:proofErr w:type="spellEnd"/>
      <w:r>
        <w:rPr>
          <w:rFonts w:ascii="Arial Narrow" w:hAnsi="Arial Narrow"/>
          <w:sz w:val="18"/>
          <w:szCs w:val="18"/>
        </w:rPr>
        <w:t xml:space="preserve">/family history of cardiovascular disease </w:t>
      </w:r>
    </w:p>
    <w:p w:rsidR="00D110BD" w:rsidRPr="00B671D0" w:rsidRDefault="00D110BD" w:rsidP="00BF15FA">
      <w:pPr>
        <w:rPr>
          <w:szCs w:val="22"/>
        </w:rPr>
      </w:pPr>
    </w:p>
    <w:p w:rsidR="00BF15FA" w:rsidRPr="00991BD1" w:rsidRDefault="00C96A5F" w:rsidP="000F1FF8">
      <w:pPr>
        <w:pStyle w:val="ListParagraph"/>
        <w:widowControl/>
        <w:numPr>
          <w:ilvl w:val="1"/>
          <w:numId w:val="12"/>
        </w:numPr>
        <w:rPr>
          <w:szCs w:val="22"/>
        </w:rPr>
      </w:pPr>
      <w:r w:rsidRPr="00C96A5F">
        <w:rPr>
          <w:szCs w:val="22"/>
        </w:rPr>
        <w:t xml:space="preserve">Based on the economic model, treatment with </w:t>
      </w:r>
      <w:proofErr w:type="spellStart"/>
      <w:r w:rsidRPr="00C96A5F">
        <w:rPr>
          <w:szCs w:val="22"/>
        </w:rPr>
        <w:t>evolocumab</w:t>
      </w:r>
      <w:proofErr w:type="spellEnd"/>
      <w:r w:rsidRPr="00C96A5F">
        <w:rPr>
          <w:szCs w:val="22"/>
        </w:rPr>
        <w:t xml:space="preserve"> </w:t>
      </w:r>
      <w:r w:rsidR="00E2365C">
        <w:rPr>
          <w:szCs w:val="22"/>
        </w:rPr>
        <w:t>wa</w:t>
      </w:r>
      <w:r w:rsidRPr="00C96A5F">
        <w:rPr>
          <w:szCs w:val="22"/>
        </w:rPr>
        <w:t xml:space="preserve">s associated with costs per QALY gained ranging from </w:t>
      </w:r>
      <w:r w:rsidR="00272D6F">
        <w:rPr>
          <w:szCs w:val="22"/>
        </w:rPr>
        <w:t xml:space="preserve">$45,000 - $75,000 to $105,000 - $200,000 </w:t>
      </w:r>
      <w:r w:rsidRPr="00C96A5F">
        <w:rPr>
          <w:szCs w:val="22"/>
        </w:rPr>
        <w:t xml:space="preserve">against </w:t>
      </w:r>
      <w:proofErr w:type="spellStart"/>
      <w:r w:rsidRPr="00C96A5F">
        <w:rPr>
          <w:szCs w:val="22"/>
        </w:rPr>
        <w:t>ezetimibe</w:t>
      </w:r>
      <w:proofErr w:type="spellEnd"/>
      <w:r w:rsidRPr="00C96A5F">
        <w:rPr>
          <w:szCs w:val="22"/>
        </w:rPr>
        <w:t xml:space="preserve"> and </w:t>
      </w:r>
      <w:r w:rsidR="000F1FF8" w:rsidRPr="000F1FF8">
        <w:rPr>
          <w:szCs w:val="22"/>
        </w:rPr>
        <w:t>$45,000/QALY – $75,000/QALY</w:t>
      </w:r>
      <w:r w:rsidR="000F1FF8">
        <w:rPr>
          <w:szCs w:val="22"/>
        </w:rPr>
        <w:t xml:space="preserve"> </w:t>
      </w:r>
      <w:r w:rsidR="00272D6F">
        <w:rPr>
          <w:szCs w:val="22"/>
        </w:rPr>
        <w:t xml:space="preserve">to </w:t>
      </w:r>
      <w:r w:rsidR="00272D6F" w:rsidRPr="000F1FF8">
        <w:rPr>
          <w:szCs w:val="22"/>
        </w:rPr>
        <w:t>$45,000/QALY – $75,000/QALY</w:t>
      </w:r>
      <w:r w:rsidR="00272D6F">
        <w:rPr>
          <w:szCs w:val="22"/>
        </w:rPr>
        <w:t xml:space="preserve"> </w:t>
      </w:r>
      <w:r w:rsidRPr="00C96A5F">
        <w:rPr>
          <w:szCs w:val="22"/>
        </w:rPr>
        <w:t xml:space="preserve">against placebo (when used as add-on therapy for patients with heterozygous familial </w:t>
      </w:r>
      <w:proofErr w:type="spellStart"/>
      <w:r w:rsidR="0038790D">
        <w:rPr>
          <w:szCs w:val="22"/>
        </w:rPr>
        <w:t>hypercholesterolaemia</w:t>
      </w:r>
      <w:proofErr w:type="spellEnd"/>
      <w:r w:rsidRPr="00C96A5F">
        <w:rPr>
          <w:szCs w:val="22"/>
        </w:rPr>
        <w:t xml:space="preserve">). </w:t>
      </w:r>
      <w:r w:rsidRPr="00991BD1">
        <w:rPr>
          <w:szCs w:val="22"/>
        </w:rPr>
        <w:t>The</w:t>
      </w:r>
      <w:r w:rsidR="00B671D0" w:rsidRPr="00991BD1">
        <w:rPr>
          <w:szCs w:val="22"/>
        </w:rPr>
        <w:t xml:space="preserve"> ESC advised that the</w:t>
      </w:r>
      <w:r w:rsidRPr="00991BD1">
        <w:rPr>
          <w:szCs w:val="22"/>
        </w:rPr>
        <w:t>se estimates should not be considered reliable given major concerns regarding the calculation of baseline risk, implementation of treatment adherence and the general uncertainty associated with the transformation of LDL levels to cardiovascular outcomes.</w:t>
      </w:r>
    </w:p>
    <w:p w:rsidR="00BF15FA" w:rsidRPr="00B671D0" w:rsidRDefault="00BF15FA" w:rsidP="00BF15FA">
      <w:pPr>
        <w:widowControl/>
        <w:rPr>
          <w:szCs w:val="22"/>
        </w:rPr>
      </w:pPr>
    </w:p>
    <w:p w:rsidR="00D110BD" w:rsidRPr="00E51BEB" w:rsidRDefault="00C20C93" w:rsidP="00FE7311">
      <w:pPr>
        <w:pStyle w:val="ListParagraph"/>
        <w:widowControl/>
        <w:numPr>
          <w:ilvl w:val="1"/>
          <w:numId w:val="12"/>
        </w:numPr>
        <w:rPr>
          <w:szCs w:val="22"/>
        </w:rPr>
      </w:pPr>
      <w:r w:rsidRPr="00E51BEB">
        <w:t xml:space="preserve">The results of the sensitivity analyses conducted during the evaluation indicate that </w:t>
      </w:r>
      <w:proofErr w:type="spellStart"/>
      <w:r w:rsidRPr="00E51BEB">
        <w:t>evolocumab</w:t>
      </w:r>
      <w:proofErr w:type="spellEnd"/>
      <w:r w:rsidRPr="00E51BEB">
        <w:t xml:space="preserve"> is unlikely to be considered cost-effective in patients with non-familial </w:t>
      </w:r>
      <w:proofErr w:type="spellStart"/>
      <w:r w:rsidRPr="00E51BEB">
        <w:t>hypercholesterolaemia</w:t>
      </w:r>
      <w:proofErr w:type="spellEnd"/>
      <w:r w:rsidRPr="00E51BEB">
        <w:t xml:space="preserve"> (cost per QALY gained ranging from </w:t>
      </w:r>
      <w:r w:rsidR="00FE7311" w:rsidRPr="00FE7311">
        <w:t>$75,000/QALY – $105,000/QALY, $105,000/QALY – $200,000/QALY or more than $200,000/QALY</w:t>
      </w:r>
      <w:r w:rsidR="00FE7311">
        <w:t xml:space="preserve"> </w:t>
      </w:r>
      <w:r w:rsidR="008D2165" w:rsidRPr="00E51BEB">
        <w:t xml:space="preserve">versus </w:t>
      </w:r>
      <w:proofErr w:type="spellStart"/>
      <w:r w:rsidR="008D2165" w:rsidRPr="00E51BEB">
        <w:t>ezetimibe</w:t>
      </w:r>
      <w:proofErr w:type="spellEnd"/>
      <w:r w:rsidRPr="00E51BEB">
        <w:t>).</w:t>
      </w:r>
      <w:r w:rsidR="0004200E">
        <w:t xml:space="preserve"> </w:t>
      </w:r>
      <w:r w:rsidRPr="00E51BEB">
        <w:t xml:space="preserve"> Based on utilisation estimates presented in the submission this population represents approximately 90% of requested PBS population.</w:t>
      </w:r>
    </w:p>
    <w:p w:rsidR="007B2725" w:rsidRPr="00B671D0" w:rsidRDefault="007B2725" w:rsidP="007B2725">
      <w:pPr>
        <w:rPr>
          <w:szCs w:val="22"/>
        </w:rPr>
      </w:pPr>
    </w:p>
    <w:p w:rsidR="008A567E" w:rsidRPr="00B671D0" w:rsidRDefault="008A567E" w:rsidP="008A567E"/>
    <w:p w:rsidR="008A567E" w:rsidRPr="00991BD1" w:rsidRDefault="008A567E" w:rsidP="008A567E">
      <w:pPr>
        <w:pStyle w:val="ListParagraph"/>
        <w:keepNext/>
        <w:keepLines/>
        <w:widowControl/>
        <w:numPr>
          <w:ilvl w:val="1"/>
          <w:numId w:val="12"/>
        </w:numPr>
        <w:rPr>
          <w:szCs w:val="22"/>
        </w:rPr>
      </w:pPr>
      <w:r w:rsidRPr="00991BD1">
        <w:t xml:space="preserve">The ESC noted several issues with the economic model and </w:t>
      </w:r>
      <w:r w:rsidR="00B228D5" w:rsidRPr="00991BD1">
        <w:t>suggest</w:t>
      </w:r>
      <w:r w:rsidR="000B51C6" w:rsidRPr="00991BD1">
        <w:t>ed changes which are</w:t>
      </w:r>
      <w:r w:rsidRPr="00991BD1">
        <w:t xml:space="preserve"> detailed in the table below</w:t>
      </w:r>
      <w:r w:rsidR="000B51C6" w:rsidRPr="00991BD1">
        <w:t>.</w:t>
      </w:r>
    </w:p>
    <w:p w:rsidR="008A567E" w:rsidRPr="00991BD1" w:rsidRDefault="008A567E" w:rsidP="008A567E">
      <w:pPr>
        <w:keepNext/>
        <w:keepLines/>
        <w:widowControl/>
        <w:rPr>
          <w:sz w:val="12"/>
          <w:szCs w:val="22"/>
        </w:rPr>
      </w:pPr>
    </w:p>
    <w:p w:rsidR="008A567E" w:rsidRPr="00991BD1" w:rsidRDefault="000B51C6" w:rsidP="008A567E">
      <w:pPr>
        <w:pStyle w:val="PBACHeading1"/>
        <w:numPr>
          <w:ilvl w:val="0"/>
          <w:numId w:val="0"/>
        </w:numPr>
        <w:ind w:left="720"/>
        <w:rPr>
          <w:rFonts w:ascii="Arial Narrow" w:hAnsi="Arial Narrow"/>
          <w:sz w:val="20"/>
        </w:rPr>
      </w:pPr>
      <w:r w:rsidRPr="00991BD1">
        <w:rPr>
          <w:rFonts w:ascii="Arial Narrow" w:hAnsi="Arial Narrow"/>
          <w:sz w:val="20"/>
        </w:rPr>
        <w:t xml:space="preserve">Changes </w:t>
      </w:r>
      <w:r w:rsidR="008A567E" w:rsidRPr="00991BD1">
        <w:rPr>
          <w:rFonts w:ascii="Arial Narrow" w:hAnsi="Arial Narrow"/>
          <w:sz w:val="20"/>
        </w:rPr>
        <w:t>to the submitted economic model</w:t>
      </w:r>
      <w:r w:rsidR="00B671D0" w:rsidRPr="00991BD1">
        <w:rPr>
          <w:rFonts w:ascii="Arial Narrow" w:hAnsi="Arial Narrow"/>
          <w:sz w:val="20"/>
        </w:rPr>
        <w:t xml:space="preserve"> suggested by the ESC</w:t>
      </w:r>
    </w:p>
    <w:tbl>
      <w:tblPr>
        <w:tblStyle w:val="TableGrid"/>
        <w:tblW w:w="8425" w:type="dxa"/>
        <w:jc w:val="right"/>
        <w:tblLook w:val="04A0" w:firstRow="1" w:lastRow="0" w:firstColumn="1" w:lastColumn="0" w:noHBand="0" w:noVBand="1"/>
        <w:tblCaption w:val="Intentionally blank"/>
      </w:tblPr>
      <w:tblGrid>
        <w:gridCol w:w="308"/>
        <w:gridCol w:w="4086"/>
        <w:gridCol w:w="4031"/>
      </w:tblGrid>
      <w:tr w:rsidR="008A567E" w:rsidRPr="00991BD1" w:rsidTr="00A05BC8">
        <w:trPr>
          <w:trHeight w:val="277"/>
          <w:tblHeader/>
          <w:jc w:val="right"/>
        </w:trPr>
        <w:tc>
          <w:tcPr>
            <w:tcW w:w="308" w:type="dxa"/>
          </w:tcPr>
          <w:p w:rsidR="008A567E" w:rsidRPr="00991BD1" w:rsidRDefault="008A567E" w:rsidP="00592BD7">
            <w:pPr>
              <w:rPr>
                <w:rFonts w:ascii="Arial Narrow" w:hAnsi="Arial Narrow"/>
                <w:b/>
                <w:sz w:val="20"/>
              </w:rPr>
            </w:pPr>
          </w:p>
        </w:tc>
        <w:tc>
          <w:tcPr>
            <w:tcW w:w="4086" w:type="dxa"/>
          </w:tcPr>
          <w:p w:rsidR="008A567E" w:rsidRPr="00991BD1" w:rsidRDefault="008A567E" w:rsidP="00592BD7">
            <w:pPr>
              <w:rPr>
                <w:rFonts w:ascii="Arial Narrow" w:hAnsi="Arial Narrow"/>
                <w:b/>
                <w:sz w:val="20"/>
              </w:rPr>
            </w:pPr>
            <w:r w:rsidRPr="00991BD1">
              <w:rPr>
                <w:rFonts w:ascii="Arial Narrow" w:hAnsi="Arial Narrow"/>
                <w:b/>
                <w:sz w:val="20"/>
              </w:rPr>
              <w:t>Issue</w:t>
            </w:r>
          </w:p>
        </w:tc>
        <w:tc>
          <w:tcPr>
            <w:tcW w:w="4031" w:type="dxa"/>
          </w:tcPr>
          <w:p w:rsidR="008A567E" w:rsidRPr="00991BD1" w:rsidRDefault="008A567E" w:rsidP="00592BD7">
            <w:pPr>
              <w:rPr>
                <w:rFonts w:ascii="Arial Narrow" w:hAnsi="Arial Narrow"/>
                <w:b/>
                <w:sz w:val="20"/>
              </w:rPr>
            </w:pPr>
            <w:r w:rsidRPr="00991BD1">
              <w:rPr>
                <w:rFonts w:ascii="Arial Narrow" w:hAnsi="Arial Narrow"/>
                <w:b/>
                <w:sz w:val="20"/>
              </w:rPr>
              <w:t>Action</w:t>
            </w:r>
          </w:p>
        </w:tc>
      </w:tr>
      <w:tr w:rsidR="008A567E" w:rsidRPr="00991BD1" w:rsidTr="00A05BC8">
        <w:trPr>
          <w:trHeight w:val="1401"/>
          <w:jc w:val="right"/>
        </w:trPr>
        <w:tc>
          <w:tcPr>
            <w:tcW w:w="308" w:type="dxa"/>
          </w:tcPr>
          <w:p w:rsidR="008A567E" w:rsidRPr="00991BD1" w:rsidRDefault="008A567E" w:rsidP="00592BD7">
            <w:pPr>
              <w:rPr>
                <w:rFonts w:ascii="Arial Narrow" w:hAnsi="Arial Narrow"/>
                <w:sz w:val="20"/>
              </w:rPr>
            </w:pPr>
            <w:r w:rsidRPr="00991BD1">
              <w:rPr>
                <w:rFonts w:ascii="Arial Narrow" w:hAnsi="Arial Narrow"/>
                <w:sz w:val="20"/>
              </w:rPr>
              <w:t>1</w:t>
            </w:r>
          </w:p>
        </w:tc>
        <w:tc>
          <w:tcPr>
            <w:tcW w:w="4086" w:type="dxa"/>
          </w:tcPr>
          <w:p w:rsidR="008A567E" w:rsidRPr="00991BD1" w:rsidRDefault="00FD2274" w:rsidP="00FD2274">
            <w:pPr>
              <w:rPr>
                <w:rFonts w:ascii="Arial Narrow" w:hAnsi="Arial Narrow"/>
                <w:sz w:val="20"/>
              </w:rPr>
            </w:pPr>
            <w:r w:rsidRPr="00991BD1">
              <w:rPr>
                <w:rFonts w:ascii="Arial Narrow" w:hAnsi="Arial Narrow"/>
                <w:sz w:val="20"/>
              </w:rPr>
              <w:t>D</w:t>
            </w:r>
            <w:r w:rsidR="008A567E" w:rsidRPr="00991BD1">
              <w:rPr>
                <w:rFonts w:ascii="Arial Narrow" w:hAnsi="Arial Narrow"/>
                <w:sz w:val="20"/>
              </w:rPr>
              <w:t xml:space="preserve">efine a representative </w:t>
            </w:r>
            <w:r w:rsidR="000119F0" w:rsidRPr="00991BD1">
              <w:rPr>
                <w:rFonts w:ascii="Arial Narrow" w:hAnsi="Arial Narrow"/>
                <w:sz w:val="20"/>
              </w:rPr>
              <w:t xml:space="preserve">PBS </w:t>
            </w:r>
            <w:r w:rsidR="008A567E" w:rsidRPr="00991BD1">
              <w:rPr>
                <w:rFonts w:ascii="Arial Narrow" w:hAnsi="Arial Narrow"/>
                <w:sz w:val="20"/>
              </w:rPr>
              <w:t>population.</w:t>
            </w:r>
          </w:p>
        </w:tc>
        <w:tc>
          <w:tcPr>
            <w:tcW w:w="4031" w:type="dxa"/>
          </w:tcPr>
          <w:p w:rsidR="008A567E" w:rsidRPr="00991BD1" w:rsidRDefault="000B51C6" w:rsidP="00592BD7">
            <w:pPr>
              <w:rPr>
                <w:rFonts w:ascii="Arial Narrow" w:hAnsi="Arial Narrow"/>
                <w:sz w:val="20"/>
              </w:rPr>
            </w:pPr>
            <w:r w:rsidRPr="00991BD1">
              <w:rPr>
                <w:rFonts w:ascii="Arial Narrow" w:hAnsi="Arial Narrow"/>
                <w:sz w:val="20"/>
              </w:rPr>
              <w:t>S</w:t>
            </w:r>
            <w:r w:rsidR="007D6A7F" w:rsidRPr="00991BD1">
              <w:rPr>
                <w:rFonts w:ascii="Arial Narrow" w:hAnsi="Arial Narrow"/>
                <w:sz w:val="20"/>
              </w:rPr>
              <w:t>ystolic blood pressure</w:t>
            </w:r>
            <w:r w:rsidR="008A567E" w:rsidRPr="00991BD1">
              <w:rPr>
                <w:rFonts w:ascii="Arial Narrow" w:hAnsi="Arial Narrow"/>
                <w:sz w:val="20"/>
              </w:rPr>
              <w:t>, total cholesterol, HDL</w:t>
            </w:r>
            <w:r w:rsidR="007D6A7F" w:rsidRPr="00991BD1">
              <w:rPr>
                <w:rFonts w:ascii="Arial Narrow" w:hAnsi="Arial Narrow"/>
                <w:sz w:val="20"/>
              </w:rPr>
              <w:t xml:space="preserve"> </w:t>
            </w:r>
            <w:r w:rsidR="008A567E" w:rsidRPr="00991BD1">
              <w:rPr>
                <w:rFonts w:ascii="Arial Narrow" w:hAnsi="Arial Narrow"/>
                <w:sz w:val="20"/>
              </w:rPr>
              <w:t>and smoking status c</w:t>
            </w:r>
            <w:r w:rsidRPr="00991BD1">
              <w:rPr>
                <w:rFonts w:ascii="Arial Narrow" w:hAnsi="Arial Narrow"/>
                <w:sz w:val="20"/>
              </w:rPr>
              <w:t>ould all</w:t>
            </w:r>
            <w:r w:rsidR="008A567E" w:rsidRPr="00991BD1">
              <w:rPr>
                <w:rFonts w:ascii="Arial Narrow" w:hAnsi="Arial Narrow"/>
                <w:sz w:val="20"/>
              </w:rPr>
              <w:t xml:space="preserve"> be derived from </w:t>
            </w:r>
            <w:r w:rsidR="007D6A7F" w:rsidRPr="00991BD1">
              <w:rPr>
                <w:rFonts w:ascii="Arial Narrow" w:hAnsi="Arial Narrow"/>
                <w:sz w:val="20"/>
              </w:rPr>
              <w:t>age</w:t>
            </w:r>
            <w:r w:rsidRPr="00991BD1">
              <w:rPr>
                <w:rFonts w:ascii="Arial Narrow" w:hAnsi="Arial Narrow"/>
                <w:sz w:val="20"/>
              </w:rPr>
              <w:t>-</w:t>
            </w:r>
            <w:r w:rsidR="008A567E" w:rsidRPr="00991BD1">
              <w:rPr>
                <w:rFonts w:ascii="Arial Narrow" w:hAnsi="Arial Narrow"/>
                <w:sz w:val="20"/>
              </w:rPr>
              <w:t xml:space="preserve"> and gender-stratified populations from the National Health Survey (NHS). </w:t>
            </w:r>
            <w:r w:rsidR="007D6A7F" w:rsidRPr="00991BD1">
              <w:rPr>
                <w:rFonts w:ascii="Arial Narrow" w:hAnsi="Arial Narrow"/>
                <w:sz w:val="20"/>
              </w:rPr>
              <w:t>The r</w:t>
            </w:r>
            <w:r w:rsidR="008A567E" w:rsidRPr="00991BD1">
              <w:rPr>
                <w:rFonts w:ascii="Arial Narrow" w:hAnsi="Arial Narrow"/>
                <w:sz w:val="20"/>
              </w:rPr>
              <w:t>isk factor combinations</w:t>
            </w:r>
            <w:r w:rsidR="007D6A7F" w:rsidRPr="00991BD1">
              <w:rPr>
                <w:rFonts w:ascii="Arial Narrow" w:hAnsi="Arial Narrow"/>
                <w:sz w:val="20"/>
              </w:rPr>
              <w:t xml:space="preserve"> c</w:t>
            </w:r>
            <w:r w:rsidRPr="00991BD1">
              <w:rPr>
                <w:rFonts w:ascii="Arial Narrow" w:hAnsi="Arial Narrow"/>
                <w:sz w:val="20"/>
              </w:rPr>
              <w:t>ould</w:t>
            </w:r>
            <w:r w:rsidR="007D6A7F" w:rsidRPr="00991BD1">
              <w:rPr>
                <w:rFonts w:ascii="Arial Narrow" w:hAnsi="Arial Narrow"/>
                <w:sz w:val="20"/>
              </w:rPr>
              <w:t xml:space="preserve"> be</w:t>
            </w:r>
            <w:r w:rsidR="008A567E" w:rsidRPr="00991BD1">
              <w:rPr>
                <w:rFonts w:ascii="Arial Narrow" w:hAnsi="Arial Narrow"/>
                <w:sz w:val="20"/>
              </w:rPr>
              <w:t xml:space="preserve"> based on NHS conditional prevalence data. </w:t>
            </w:r>
          </w:p>
          <w:p w:rsidR="008A567E" w:rsidRPr="00991BD1" w:rsidRDefault="000B51C6" w:rsidP="000B51C6">
            <w:pPr>
              <w:rPr>
                <w:rFonts w:ascii="Arial Narrow" w:hAnsi="Arial Narrow"/>
                <w:sz w:val="20"/>
              </w:rPr>
            </w:pPr>
            <w:r w:rsidRPr="00991BD1">
              <w:rPr>
                <w:rFonts w:ascii="Arial Narrow" w:hAnsi="Arial Narrow"/>
                <w:sz w:val="20"/>
              </w:rPr>
              <w:t>A</w:t>
            </w:r>
            <w:r w:rsidR="008A567E" w:rsidRPr="00991BD1">
              <w:rPr>
                <w:rFonts w:ascii="Arial Narrow" w:hAnsi="Arial Narrow"/>
                <w:sz w:val="20"/>
              </w:rPr>
              <w:t>djustment</w:t>
            </w:r>
            <w:r w:rsidRPr="00991BD1">
              <w:rPr>
                <w:rFonts w:ascii="Arial Narrow" w:hAnsi="Arial Narrow"/>
                <w:sz w:val="20"/>
              </w:rPr>
              <w:t>s</w:t>
            </w:r>
            <w:r w:rsidR="00236919" w:rsidRPr="00991BD1">
              <w:rPr>
                <w:rFonts w:ascii="Arial Narrow" w:hAnsi="Arial Narrow"/>
                <w:sz w:val="20"/>
              </w:rPr>
              <w:t xml:space="preserve"> </w:t>
            </w:r>
            <w:r w:rsidRPr="00991BD1">
              <w:rPr>
                <w:rFonts w:ascii="Arial Narrow" w:hAnsi="Arial Narrow"/>
                <w:sz w:val="20"/>
              </w:rPr>
              <w:t xml:space="preserve">also </w:t>
            </w:r>
            <w:r w:rsidR="00236919" w:rsidRPr="00991BD1">
              <w:rPr>
                <w:rFonts w:ascii="Arial Narrow" w:hAnsi="Arial Narrow"/>
                <w:sz w:val="20"/>
              </w:rPr>
              <w:t xml:space="preserve">may be </w:t>
            </w:r>
            <w:r w:rsidR="00FD2274" w:rsidRPr="00991BD1">
              <w:rPr>
                <w:rFonts w:ascii="Arial Narrow" w:hAnsi="Arial Narrow"/>
                <w:sz w:val="20"/>
              </w:rPr>
              <w:t>appropriate</w:t>
            </w:r>
            <w:r w:rsidR="008A567E" w:rsidRPr="00991BD1">
              <w:rPr>
                <w:rFonts w:ascii="Arial Narrow" w:hAnsi="Arial Narrow"/>
                <w:sz w:val="20"/>
              </w:rPr>
              <w:t xml:space="preserve"> for</w:t>
            </w:r>
            <w:r w:rsidR="00236919" w:rsidRPr="00991BD1">
              <w:rPr>
                <w:rFonts w:ascii="Arial Narrow" w:hAnsi="Arial Narrow"/>
                <w:sz w:val="20"/>
              </w:rPr>
              <w:t xml:space="preserve"> the</w:t>
            </w:r>
            <w:r w:rsidR="008A567E" w:rsidRPr="00991BD1">
              <w:rPr>
                <w:rFonts w:ascii="Arial Narrow" w:hAnsi="Arial Narrow"/>
                <w:sz w:val="20"/>
              </w:rPr>
              <w:t xml:space="preserve"> sub-population </w:t>
            </w:r>
            <w:r w:rsidRPr="00991BD1">
              <w:rPr>
                <w:rFonts w:ascii="Arial Narrow" w:hAnsi="Arial Narrow"/>
                <w:sz w:val="20"/>
              </w:rPr>
              <w:t xml:space="preserve">of patients </w:t>
            </w:r>
            <w:r w:rsidR="00236919" w:rsidRPr="00991BD1">
              <w:rPr>
                <w:rFonts w:ascii="Arial Narrow" w:hAnsi="Arial Narrow"/>
                <w:sz w:val="20"/>
              </w:rPr>
              <w:t>who are</w:t>
            </w:r>
            <w:r w:rsidR="008A567E" w:rsidRPr="00991BD1">
              <w:rPr>
                <w:rFonts w:ascii="Arial Narrow" w:hAnsi="Arial Narrow"/>
                <w:sz w:val="20"/>
              </w:rPr>
              <w:t xml:space="preserve"> </w:t>
            </w:r>
            <w:r w:rsidR="008A567E" w:rsidRPr="00991BD1">
              <w:rPr>
                <w:rFonts w:ascii="Arial Narrow" w:hAnsi="Arial Narrow"/>
                <w:sz w:val="20"/>
                <w:szCs w:val="22"/>
              </w:rPr>
              <w:t>contraindicated/</w:t>
            </w:r>
            <w:r w:rsidRPr="00991BD1">
              <w:rPr>
                <w:rFonts w:ascii="Arial Narrow" w:hAnsi="Arial Narrow"/>
                <w:sz w:val="20"/>
                <w:szCs w:val="22"/>
              </w:rPr>
              <w:t xml:space="preserve"> </w:t>
            </w:r>
            <w:r w:rsidR="008A567E" w:rsidRPr="00991BD1">
              <w:rPr>
                <w:rFonts w:ascii="Arial Narrow" w:hAnsi="Arial Narrow"/>
                <w:sz w:val="20"/>
                <w:szCs w:val="22"/>
              </w:rPr>
              <w:t xml:space="preserve">intolerant to statins and </w:t>
            </w:r>
            <w:r w:rsidR="00FD2274" w:rsidRPr="00991BD1">
              <w:rPr>
                <w:rFonts w:ascii="Arial Narrow" w:hAnsi="Arial Narrow"/>
                <w:sz w:val="20"/>
                <w:szCs w:val="22"/>
              </w:rPr>
              <w:t xml:space="preserve">the </w:t>
            </w:r>
            <w:r w:rsidRPr="00991BD1">
              <w:rPr>
                <w:rFonts w:ascii="Arial Narrow" w:hAnsi="Arial Narrow"/>
                <w:sz w:val="20"/>
                <w:szCs w:val="22"/>
              </w:rPr>
              <w:t>sub-</w:t>
            </w:r>
            <w:r w:rsidR="00FD2274" w:rsidRPr="00991BD1">
              <w:rPr>
                <w:rFonts w:ascii="Arial Narrow" w:hAnsi="Arial Narrow"/>
                <w:sz w:val="20"/>
                <w:szCs w:val="22"/>
              </w:rPr>
              <w:t xml:space="preserve">population </w:t>
            </w:r>
            <w:r w:rsidRPr="00991BD1">
              <w:rPr>
                <w:rFonts w:ascii="Arial Narrow" w:hAnsi="Arial Narrow"/>
                <w:sz w:val="20"/>
                <w:szCs w:val="22"/>
              </w:rPr>
              <w:t xml:space="preserve">of patients </w:t>
            </w:r>
            <w:r w:rsidR="00FD2274" w:rsidRPr="00991BD1">
              <w:rPr>
                <w:rFonts w:ascii="Arial Narrow" w:hAnsi="Arial Narrow"/>
                <w:sz w:val="20"/>
                <w:szCs w:val="22"/>
              </w:rPr>
              <w:t>who fail to</w:t>
            </w:r>
            <w:r w:rsidR="008A567E" w:rsidRPr="00991BD1">
              <w:rPr>
                <w:rFonts w:ascii="Arial Narrow" w:hAnsi="Arial Narrow"/>
                <w:sz w:val="20"/>
                <w:szCs w:val="22"/>
              </w:rPr>
              <w:t xml:space="preserve"> achieve target lipid levels with statins alone</w:t>
            </w:r>
            <w:r w:rsidR="00236919" w:rsidRPr="00991BD1">
              <w:rPr>
                <w:rFonts w:ascii="Arial Narrow" w:hAnsi="Arial Narrow"/>
                <w:sz w:val="20"/>
                <w:szCs w:val="22"/>
              </w:rPr>
              <w:t>.</w:t>
            </w:r>
          </w:p>
        </w:tc>
      </w:tr>
      <w:tr w:rsidR="008A567E" w:rsidRPr="00991BD1" w:rsidTr="00A05BC8">
        <w:trPr>
          <w:trHeight w:val="570"/>
          <w:jc w:val="right"/>
        </w:trPr>
        <w:tc>
          <w:tcPr>
            <w:tcW w:w="308" w:type="dxa"/>
          </w:tcPr>
          <w:p w:rsidR="008A567E" w:rsidRPr="00991BD1" w:rsidRDefault="008A567E" w:rsidP="00592BD7">
            <w:pPr>
              <w:rPr>
                <w:rFonts w:ascii="Arial Narrow" w:hAnsi="Arial Narrow"/>
                <w:sz w:val="20"/>
              </w:rPr>
            </w:pPr>
            <w:r w:rsidRPr="00991BD1">
              <w:rPr>
                <w:rFonts w:ascii="Arial Narrow" w:hAnsi="Arial Narrow"/>
                <w:sz w:val="20"/>
              </w:rPr>
              <w:t>2</w:t>
            </w:r>
          </w:p>
        </w:tc>
        <w:tc>
          <w:tcPr>
            <w:tcW w:w="4086" w:type="dxa"/>
          </w:tcPr>
          <w:p w:rsidR="008A567E" w:rsidRPr="00991BD1" w:rsidRDefault="008A567E" w:rsidP="00592BD7">
            <w:pPr>
              <w:rPr>
                <w:rFonts w:ascii="Arial Narrow" w:hAnsi="Arial Narrow"/>
                <w:sz w:val="20"/>
              </w:rPr>
            </w:pPr>
            <w:r w:rsidRPr="00991BD1">
              <w:rPr>
                <w:rFonts w:ascii="Arial Narrow" w:hAnsi="Arial Narrow"/>
                <w:sz w:val="20"/>
              </w:rPr>
              <w:t>Combined application of original, and primary and secondary Framingham risk equations.</w:t>
            </w:r>
          </w:p>
        </w:tc>
        <w:tc>
          <w:tcPr>
            <w:tcW w:w="4031" w:type="dxa"/>
          </w:tcPr>
          <w:p w:rsidR="008A567E" w:rsidRPr="00991BD1" w:rsidRDefault="000B51C6" w:rsidP="008A567E">
            <w:pPr>
              <w:rPr>
                <w:rFonts w:ascii="Arial Narrow" w:hAnsi="Arial Narrow"/>
                <w:sz w:val="20"/>
              </w:rPr>
            </w:pPr>
            <w:r w:rsidRPr="00991BD1">
              <w:rPr>
                <w:rFonts w:ascii="Arial Narrow" w:hAnsi="Arial Narrow"/>
                <w:sz w:val="20"/>
              </w:rPr>
              <w:t>P</w:t>
            </w:r>
            <w:r w:rsidR="008A567E" w:rsidRPr="00991BD1">
              <w:rPr>
                <w:rFonts w:ascii="Arial Narrow" w:hAnsi="Arial Narrow"/>
                <w:sz w:val="20"/>
              </w:rPr>
              <w:t xml:space="preserve">rimary and secondary Framingham risk equations </w:t>
            </w:r>
            <w:r w:rsidRPr="00991BD1">
              <w:rPr>
                <w:rFonts w:ascii="Arial Narrow" w:hAnsi="Arial Narrow"/>
                <w:sz w:val="20"/>
              </w:rPr>
              <w:t xml:space="preserve">could be used </w:t>
            </w:r>
            <w:r w:rsidR="008A567E" w:rsidRPr="00991BD1">
              <w:rPr>
                <w:rFonts w:ascii="Arial Narrow" w:hAnsi="Arial Narrow"/>
                <w:sz w:val="20"/>
              </w:rPr>
              <w:t>directly, rather than applying ratio</w:t>
            </w:r>
            <w:r w:rsidRPr="00991BD1">
              <w:rPr>
                <w:rFonts w:ascii="Arial Narrow" w:hAnsi="Arial Narrow"/>
                <w:sz w:val="20"/>
              </w:rPr>
              <w:t>s</w:t>
            </w:r>
            <w:r w:rsidR="008A567E" w:rsidRPr="00991BD1">
              <w:rPr>
                <w:rFonts w:ascii="Arial Narrow" w:hAnsi="Arial Narrow"/>
                <w:sz w:val="20"/>
              </w:rPr>
              <w:t xml:space="preserve"> derived from the primary and secondary equations to the original equation.</w:t>
            </w:r>
          </w:p>
        </w:tc>
      </w:tr>
      <w:tr w:rsidR="008A567E" w:rsidRPr="00991BD1" w:rsidTr="00A05BC8">
        <w:trPr>
          <w:trHeight w:val="848"/>
          <w:jc w:val="right"/>
        </w:trPr>
        <w:tc>
          <w:tcPr>
            <w:tcW w:w="308" w:type="dxa"/>
          </w:tcPr>
          <w:p w:rsidR="008A567E" w:rsidRPr="00991BD1" w:rsidRDefault="008A567E" w:rsidP="00592BD7">
            <w:pPr>
              <w:rPr>
                <w:rFonts w:ascii="Arial Narrow" w:hAnsi="Arial Narrow"/>
                <w:sz w:val="20"/>
              </w:rPr>
            </w:pPr>
            <w:r w:rsidRPr="00991BD1">
              <w:rPr>
                <w:rFonts w:ascii="Arial Narrow" w:hAnsi="Arial Narrow"/>
                <w:sz w:val="20"/>
              </w:rPr>
              <w:t>3</w:t>
            </w:r>
          </w:p>
        </w:tc>
        <w:tc>
          <w:tcPr>
            <w:tcW w:w="4086" w:type="dxa"/>
          </w:tcPr>
          <w:p w:rsidR="008A567E" w:rsidRPr="00991BD1" w:rsidRDefault="008A567E" w:rsidP="000119F0">
            <w:pPr>
              <w:rPr>
                <w:rFonts w:ascii="Arial Narrow" w:hAnsi="Arial Narrow"/>
                <w:sz w:val="20"/>
              </w:rPr>
            </w:pPr>
            <w:r w:rsidRPr="00991BD1">
              <w:rPr>
                <w:rFonts w:ascii="Arial Narrow" w:hAnsi="Arial Narrow"/>
                <w:sz w:val="20"/>
              </w:rPr>
              <w:t>Treatment effect on CHD informed by CTTC meta-ana</w:t>
            </w:r>
            <w:r w:rsidR="00FD2274" w:rsidRPr="00991BD1">
              <w:rPr>
                <w:rFonts w:ascii="Arial Narrow" w:hAnsi="Arial Narrow"/>
                <w:sz w:val="20"/>
              </w:rPr>
              <w:t xml:space="preserve">lysis </w:t>
            </w:r>
            <w:r w:rsidR="000119F0" w:rsidRPr="00991BD1">
              <w:rPr>
                <w:rFonts w:ascii="Arial Narrow" w:hAnsi="Arial Narrow"/>
                <w:sz w:val="20"/>
              </w:rPr>
              <w:t xml:space="preserve">estimating relative CHD </w:t>
            </w:r>
            <w:r w:rsidR="00FD2274" w:rsidRPr="00991BD1">
              <w:rPr>
                <w:rFonts w:ascii="Arial Narrow" w:hAnsi="Arial Narrow"/>
                <w:sz w:val="20"/>
              </w:rPr>
              <w:t xml:space="preserve">reductions </w:t>
            </w:r>
            <w:r w:rsidR="000119F0" w:rsidRPr="00991BD1">
              <w:rPr>
                <w:rFonts w:ascii="Arial Narrow" w:hAnsi="Arial Narrow"/>
                <w:sz w:val="20"/>
              </w:rPr>
              <w:t>according to a</w:t>
            </w:r>
            <w:r w:rsidRPr="00991BD1">
              <w:rPr>
                <w:rFonts w:ascii="Arial Narrow" w:hAnsi="Arial Narrow"/>
                <w:sz w:val="20"/>
              </w:rPr>
              <w:t xml:space="preserve">bsolute LDL </w:t>
            </w:r>
            <w:r w:rsidR="000119F0" w:rsidRPr="00991BD1">
              <w:rPr>
                <w:rFonts w:ascii="Arial Narrow" w:hAnsi="Arial Narrow"/>
                <w:sz w:val="20"/>
              </w:rPr>
              <w:t xml:space="preserve">reductions, including claiming </w:t>
            </w:r>
            <w:r w:rsidRPr="00991BD1">
              <w:rPr>
                <w:rFonts w:ascii="Arial Narrow" w:hAnsi="Arial Narrow"/>
                <w:sz w:val="20"/>
              </w:rPr>
              <w:t xml:space="preserve">effects beyond </w:t>
            </w:r>
            <w:r w:rsidR="000119F0" w:rsidRPr="00991BD1">
              <w:rPr>
                <w:rFonts w:ascii="Arial Narrow" w:hAnsi="Arial Narrow"/>
                <w:sz w:val="20"/>
              </w:rPr>
              <w:t xml:space="preserve">the </w:t>
            </w:r>
            <w:r w:rsidRPr="00991BD1">
              <w:rPr>
                <w:rFonts w:ascii="Arial Narrow" w:hAnsi="Arial Narrow"/>
                <w:sz w:val="20"/>
              </w:rPr>
              <w:t xml:space="preserve">range observed </w:t>
            </w:r>
            <w:r w:rsidR="000119F0" w:rsidRPr="00991BD1">
              <w:rPr>
                <w:rFonts w:ascii="Arial Narrow" w:hAnsi="Arial Narrow"/>
                <w:sz w:val="20"/>
              </w:rPr>
              <w:t>for the CTTC</w:t>
            </w:r>
            <w:r w:rsidRPr="00991BD1">
              <w:rPr>
                <w:rFonts w:ascii="Arial Narrow" w:hAnsi="Arial Narrow"/>
                <w:sz w:val="20"/>
              </w:rPr>
              <w:t xml:space="preserve"> meta-analysis, and </w:t>
            </w:r>
            <w:r w:rsidR="000119F0" w:rsidRPr="00991BD1">
              <w:rPr>
                <w:rFonts w:ascii="Arial Narrow" w:hAnsi="Arial Narrow"/>
                <w:sz w:val="20"/>
              </w:rPr>
              <w:t xml:space="preserve">including claiming these </w:t>
            </w:r>
            <w:r w:rsidRPr="00991BD1">
              <w:rPr>
                <w:rFonts w:ascii="Arial Narrow" w:hAnsi="Arial Narrow"/>
                <w:sz w:val="20"/>
              </w:rPr>
              <w:t>effects continue below normal LDL levels, for which benefits have not been observed.</w:t>
            </w:r>
          </w:p>
        </w:tc>
        <w:tc>
          <w:tcPr>
            <w:tcW w:w="4031" w:type="dxa"/>
          </w:tcPr>
          <w:p w:rsidR="008A567E" w:rsidRPr="00991BD1" w:rsidRDefault="000B51C6" w:rsidP="008A567E">
            <w:pPr>
              <w:rPr>
                <w:rFonts w:ascii="Arial Narrow" w:hAnsi="Arial Narrow"/>
                <w:sz w:val="20"/>
              </w:rPr>
            </w:pPr>
            <w:r w:rsidRPr="00991BD1">
              <w:rPr>
                <w:rFonts w:ascii="Arial Narrow" w:hAnsi="Arial Narrow"/>
                <w:sz w:val="20"/>
              </w:rPr>
              <w:t>O</w:t>
            </w:r>
            <w:r w:rsidR="008A567E" w:rsidRPr="00991BD1">
              <w:rPr>
                <w:rFonts w:ascii="Arial Narrow" w:hAnsi="Arial Narrow"/>
                <w:sz w:val="20"/>
              </w:rPr>
              <w:t xml:space="preserve">bserved reductions in LDL </w:t>
            </w:r>
            <w:r w:rsidRPr="00991BD1">
              <w:rPr>
                <w:rFonts w:ascii="Arial Narrow" w:hAnsi="Arial Narrow"/>
                <w:sz w:val="20"/>
              </w:rPr>
              <w:t xml:space="preserve">could be applied </w:t>
            </w:r>
            <w:r w:rsidR="008A567E" w:rsidRPr="00991BD1">
              <w:rPr>
                <w:rFonts w:ascii="Arial Narrow" w:hAnsi="Arial Narrow"/>
                <w:sz w:val="20"/>
              </w:rPr>
              <w:t>to the Framingham risk equations directly.</w:t>
            </w:r>
          </w:p>
        </w:tc>
      </w:tr>
      <w:tr w:rsidR="008A567E" w:rsidRPr="00991BD1" w:rsidTr="00A05BC8">
        <w:trPr>
          <w:trHeight w:val="832"/>
          <w:jc w:val="right"/>
        </w:trPr>
        <w:tc>
          <w:tcPr>
            <w:tcW w:w="308" w:type="dxa"/>
          </w:tcPr>
          <w:p w:rsidR="008A567E" w:rsidRPr="00991BD1" w:rsidRDefault="008A567E" w:rsidP="00592BD7">
            <w:pPr>
              <w:rPr>
                <w:rFonts w:ascii="Arial Narrow" w:hAnsi="Arial Narrow"/>
                <w:sz w:val="20"/>
              </w:rPr>
            </w:pPr>
            <w:r w:rsidRPr="00991BD1">
              <w:rPr>
                <w:rFonts w:ascii="Arial Narrow" w:hAnsi="Arial Narrow"/>
                <w:sz w:val="20"/>
              </w:rPr>
              <w:t>4</w:t>
            </w:r>
          </w:p>
        </w:tc>
        <w:tc>
          <w:tcPr>
            <w:tcW w:w="4086" w:type="dxa"/>
          </w:tcPr>
          <w:p w:rsidR="008A567E" w:rsidRPr="00991BD1" w:rsidRDefault="008A567E" w:rsidP="00592BD7">
            <w:pPr>
              <w:rPr>
                <w:rFonts w:ascii="Arial Narrow" w:hAnsi="Arial Narrow"/>
                <w:sz w:val="20"/>
              </w:rPr>
            </w:pPr>
            <w:r w:rsidRPr="00991BD1">
              <w:rPr>
                <w:rFonts w:ascii="Arial Narrow" w:hAnsi="Arial Narrow"/>
                <w:sz w:val="20"/>
              </w:rPr>
              <w:t xml:space="preserve">Familial </w:t>
            </w:r>
            <w:proofErr w:type="spellStart"/>
            <w:r w:rsidRPr="00991BD1">
              <w:rPr>
                <w:rFonts w:ascii="Arial Narrow" w:hAnsi="Arial Narrow"/>
                <w:sz w:val="20"/>
              </w:rPr>
              <w:t>hypercholesterolaemia</w:t>
            </w:r>
            <w:proofErr w:type="spellEnd"/>
            <w:r w:rsidRPr="00991BD1">
              <w:rPr>
                <w:rFonts w:ascii="Arial Narrow" w:hAnsi="Arial Narrow"/>
                <w:sz w:val="20"/>
              </w:rPr>
              <w:t xml:space="preserve"> risk multiplier estimated in comparison with the general population, but then applied to patients with </w:t>
            </w:r>
            <w:proofErr w:type="spellStart"/>
            <w:r w:rsidRPr="00991BD1">
              <w:rPr>
                <w:rFonts w:ascii="Arial Narrow" w:hAnsi="Arial Narrow"/>
                <w:sz w:val="20"/>
              </w:rPr>
              <w:t>hypercholesterolaemia</w:t>
            </w:r>
            <w:proofErr w:type="spellEnd"/>
            <w:r w:rsidRPr="00991BD1">
              <w:rPr>
                <w:rFonts w:ascii="Arial Narrow" w:hAnsi="Arial Narrow"/>
                <w:sz w:val="20"/>
              </w:rPr>
              <w:t xml:space="preserve"> and a family history</w:t>
            </w:r>
            <w:r w:rsidRPr="00991BD1" w:rsidDel="00000605">
              <w:rPr>
                <w:rFonts w:ascii="Arial Narrow" w:hAnsi="Arial Narrow"/>
                <w:sz w:val="20"/>
              </w:rPr>
              <w:t xml:space="preserve"> </w:t>
            </w:r>
            <w:r w:rsidRPr="00991BD1">
              <w:rPr>
                <w:rFonts w:ascii="Arial Narrow" w:hAnsi="Arial Narrow"/>
                <w:sz w:val="20"/>
              </w:rPr>
              <w:t>of premature CHD.</w:t>
            </w:r>
          </w:p>
        </w:tc>
        <w:tc>
          <w:tcPr>
            <w:tcW w:w="4031" w:type="dxa"/>
          </w:tcPr>
          <w:p w:rsidR="008A567E" w:rsidRPr="00991BD1" w:rsidRDefault="000B51C6" w:rsidP="000B51C6">
            <w:pPr>
              <w:rPr>
                <w:rFonts w:ascii="Arial Narrow" w:hAnsi="Arial Narrow"/>
                <w:sz w:val="20"/>
              </w:rPr>
            </w:pPr>
            <w:r w:rsidRPr="00991BD1">
              <w:rPr>
                <w:rFonts w:ascii="Arial Narrow" w:hAnsi="Arial Narrow"/>
                <w:sz w:val="20"/>
              </w:rPr>
              <w:t>A</w:t>
            </w:r>
            <w:r w:rsidR="008A567E" w:rsidRPr="00991BD1">
              <w:rPr>
                <w:rFonts w:ascii="Arial Narrow" w:hAnsi="Arial Narrow"/>
                <w:sz w:val="20"/>
              </w:rPr>
              <w:t xml:space="preserve">n appropriate familial </w:t>
            </w:r>
            <w:proofErr w:type="spellStart"/>
            <w:r w:rsidR="008A567E" w:rsidRPr="00991BD1">
              <w:rPr>
                <w:rFonts w:ascii="Arial Narrow" w:hAnsi="Arial Narrow"/>
                <w:sz w:val="20"/>
              </w:rPr>
              <w:t>hypercholesterolaemia</w:t>
            </w:r>
            <w:proofErr w:type="spellEnd"/>
            <w:r w:rsidR="008A567E" w:rsidRPr="00991BD1">
              <w:rPr>
                <w:rFonts w:ascii="Arial Narrow" w:hAnsi="Arial Narrow"/>
                <w:sz w:val="20"/>
              </w:rPr>
              <w:t xml:space="preserve"> risk multiplier </w:t>
            </w:r>
            <w:r w:rsidRPr="00991BD1">
              <w:rPr>
                <w:rFonts w:ascii="Arial Narrow" w:hAnsi="Arial Narrow"/>
                <w:sz w:val="20"/>
              </w:rPr>
              <w:t xml:space="preserve">should be applied correctly </w:t>
            </w:r>
            <w:r w:rsidR="008A567E" w:rsidRPr="00991BD1">
              <w:rPr>
                <w:rFonts w:ascii="Arial Narrow" w:hAnsi="Arial Narrow"/>
                <w:sz w:val="20"/>
              </w:rPr>
              <w:t xml:space="preserve">to the proportion of the overall eligible population </w:t>
            </w:r>
            <w:r w:rsidRPr="00991BD1">
              <w:rPr>
                <w:rFonts w:ascii="Arial Narrow" w:hAnsi="Arial Narrow"/>
                <w:sz w:val="20"/>
              </w:rPr>
              <w:t>who have</w:t>
            </w:r>
            <w:r w:rsidR="008A567E" w:rsidRPr="00991BD1">
              <w:rPr>
                <w:rFonts w:ascii="Arial Narrow" w:hAnsi="Arial Narrow"/>
                <w:sz w:val="20"/>
              </w:rPr>
              <w:t xml:space="preserve"> familial </w:t>
            </w:r>
            <w:proofErr w:type="spellStart"/>
            <w:r w:rsidR="008A567E" w:rsidRPr="00991BD1">
              <w:rPr>
                <w:rFonts w:ascii="Arial Narrow" w:hAnsi="Arial Narrow"/>
                <w:sz w:val="20"/>
              </w:rPr>
              <w:t>hypercholesterolaemia</w:t>
            </w:r>
            <w:proofErr w:type="spellEnd"/>
            <w:r w:rsidR="008A567E" w:rsidRPr="00991BD1">
              <w:rPr>
                <w:rFonts w:ascii="Arial Narrow" w:hAnsi="Arial Narrow"/>
                <w:sz w:val="20"/>
              </w:rPr>
              <w:t>.</w:t>
            </w:r>
          </w:p>
        </w:tc>
      </w:tr>
      <w:tr w:rsidR="008A567E" w:rsidRPr="00991BD1" w:rsidTr="00A05BC8">
        <w:trPr>
          <w:trHeight w:val="848"/>
          <w:jc w:val="right"/>
        </w:trPr>
        <w:tc>
          <w:tcPr>
            <w:tcW w:w="308" w:type="dxa"/>
          </w:tcPr>
          <w:p w:rsidR="008A567E" w:rsidRPr="00991BD1" w:rsidRDefault="000A296B" w:rsidP="00592BD7">
            <w:pPr>
              <w:rPr>
                <w:rFonts w:ascii="Arial Narrow" w:hAnsi="Arial Narrow"/>
                <w:sz w:val="20"/>
              </w:rPr>
            </w:pPr>
            <w:r w:rsidRPr="00991BD1">
              <w:rPr>
                <w:rFonts w:ascii="Arial Narrow" w:hAnsi="Arial Narrow"/>
                <w:sz w:val="20"/>
              </w:rPr>
              <w:t>5</w:t>
            </w:r>
          </w:p>
        </w:tc>
        <w:tc>
          <w:tcPr>
            <w:tcW w:w="4086" w:type="dxa"/>
          </w:tcPr>
          <w:p w:rsidR="008A567E" w:rsidRPr="00991BD1" w:rsidRDefault="008A567E" w:rsidP="000119F0">
            <w:pPr>
              <w:rPr>
                <w:rFonts w:ascii="Arial Narrow" w:hAnsi="Arial Narrow"/>
                <w:sz w:val="20"/>
              </w:rPr>
            </w:pPr>
            <w:r w:rsidRPr="00991BD1">
              <w:rPr>
                <w:rFonts w:ascii="Arial Narrow" w:hAnsi="Arial Narrow"/>
                <w:sz w:val="20"/>
              </w:rPr>
              <w:t xml:space="preserve">Long term treatment effect and adherence: The model based its </w:t>
            </w:r>
            <w:r w:rsidR="000119F0" w:rsidRPr="00991BD1">
              <w:rPr>
                <w:rFonts w:ascii="Arial Narrow" w:hAnsi="Arial Narrow"/>
                <w:sz w:val="20"/>
              </w:rPr>
              <w:t xml:space="preserve">estimate of </w:t>
            </w:r>
            <w:r w:rsidRPr="00991BD1">
              <w:rPr>
                <w:rFonts w:ascii="Arial Narrow" w:hAnsi="Arial Narrow"/>
                <w:sz w:val="20"/>
              </w:rPr>
              <w:t xml:space="preserve">ongoing </w:t>
            </w:r>
            <w:r w:rsidR="000119F0" w:rsidRPr="00991BD1">
              <w:rPr>
                <w:rFonts w:ascii="Arial Narrow" w:hAnsi="Arial Narrow"/>
                <w:sz w:val="20"/>
              </w:rPr>
              <w:t xml:space="preserve">LDL </w:t>
            </w:r>
            <w:r w:rsidRPr="00991BD1">
              <w:rPr>
                <w:rFonts w:ascii="Arial Narrow" w:hAnsi="Arial Narrow"/>
                <w:sz w:val="20"/>
              </w:rPr>
              <w:t xml:space="preserve">treatment effect on </w:t>
            </w:r>
            <w:r w:rsidR="000119F0" w:rsidRPr="00991BD1">
              <w:rPr>
                <w:rFonts w:ascii="Arial Narrow" w:hAnsi="Arial Narrow"/>
                <w:sz w:val="20"/>
              </w:rPr>
              <w:t xml:space="preserve">that </w:t>
            </w:r>
            <w:r w:rsidRPr="00991BD1">
              <w:rPr>
                <w:rFonts w:ascii="Arial Narrow" w:hAnsi="Arial Narrow"/>
                <w:sz w:val="20"/>
              </w:rPr>
              <w:t xml:space="preserve">observed over the duration of the </w:t>
            </w:r>
            <w:r w:rsidR="000119F0" w:rsidRPr="00991BD1">
              <w:rPr>
                <w:rFonts w:ascii="Arial Narrow" w:hAnsi="Arial Narrow"/>
                <w:sz w:val="20"/>
              </w:rPr>
              <w:t>12-</w:t>
            </w:r>
            <w:r w:rsidRPr="00991BD1">
              <w:rPr>
                <w:rFonts w:ascii="Arial Narrow" w:hAnsi="Arial Narrow"/>
                <w:sz w:val="20"/>
              </w:rPr>
              <w:t>week trial</w:t>
            </w:r>
            <w:r w:rsidR="000119F0" w:rsidRPr="00991BD1">
              <w:rPr>
                <w:rFonts w:ascii="Arial Narrow" w:hAnsi="Arial Narrow"/>
                <w:sz w:val="20"/>
              </w:rPr>
              <w:t>s; and based its estimate of</w:t>
            </w:r>
            <w:r w:rsidRPr="00991BD1">
              <w:rPr>
                <w:rFonts w:ascii="Arial Narrow" w:hAnsi="Arial Narrow"/>
                <w:sz w:val="20"/>
              </w:rPr>
              <w:t xml:space="preserve"> the proportion of </w:t>
            </w:r>
            <w:r w:rsidR="000119F0" w:rsidRPr="00991BD1">
              <w:rPr>
                <w:rFonts w:ascii="Arial Narrow" w:hAnsi="Arial Narrow"/>
                <w:sz w:val="20"/>
              </w:rPr>
              <w:t xml:space="preserve">patients continuing </w:t>
            </w:r>
            <w:r w:rsidRPr="00991BD1">
              <w:rPr>
                <w:rFonts w:ascii="Arial Narrow" w:hAnsi="Arial Narrow"/>
                <w:sz w:val="20"/>
              </w:rPr>
              <w:t xml:space="preserve">long term treatment on </w:t>
            </w:r>
            <w:r w:rsidR="000119F0" w:rsidRPr="00991BD1">
              <w:rPr>
                <w:rFonts w:ascii="Arial Narrow" w:hAnsi="Arial Narrow"/>
                <w:sz w:val="20"/>
              </w:rPr>
              <w:t xml:space="preserve">the </w:t>
            </w:r>
            <w:r w:rsidRPr="00991BD1">
              <w:rPr>
                <w:rFonts w:ascii="Arial Narrow" w:hAnsi="Arial Narrow"/>
                <w:sz w:val="20"/>
              </w:rPr>
              <w:t>adherence rate at the end of the 12</w:t>
            </w:r>
            <w:r w:rsidR="000119F0" w:rsidRPr="00991BD1">
              <w:rPr>
                <w:rFonts w:ascii="Arial Narrow" w:hAnsi="Arial Narrow"/>
                <w:sz w:val="20"/>
              </w:rPr>
              <w:t>-</w:t>
            </w:r>
            <w:r w:rsidRPr="00991BD1">
              <w:rPr>
                <w:rFonts w:ascii="Arial Narrow" w:hAnsi="Arial Narrow"/>
                <w:sz w:val="20"/>
              </w:rPr>
              <w:t>week trial.</w:t>
            </w:r>
          </w:p>
        </w:tc>
        <w:tc>
          <w:tcPr>
            <w:tcW w:w="4031" w:type="dxa"/>
          </w:tcPr>
          <w:p w:rsidR="008A567E" w:rsidRPr="00991BD1" w:rsidRDefault="008A567E" w:rsidP="009E085E">
            <w:pPr>
              <w:rPr>
                <w:rFonts w:ascii="Arial Narrow" w:hAnsi="Arial Narrow"/>
                <w:sz w:val="20"/>
              </w:rPr>
            </w:pPr>
            <w:r w:rsidRPr="00991BD1">
              <w:rPr>
                <w:rFonts w:ascii="Arial Narrow" w:hAnsi="Arial Narrow"/>
                <w:sz w:val="20"/>
              </w:rPr>
              <w:t>The mean adherence rate</w:t>
            </w:r>
            <w:r w:rsidR="009E085E" w:rsidRPr="00991BD1">
              <w:rPr>
                <w:rFonts w:ascii="Arial Narrow" w:hAnsi="Arial Narrow"/>
                <w:sz w:val="20"/>
              </w:rPr>
              <w:t>s</w:t>
            </w:r>
            <w:r w:rsidRPr="00991BD1">
              <w:rPr>
                <w:rFonts w:ascii="Arial Narrow" w:hAnsi="Arial Narrow"/>
                <w:sz w:val="20"/>
              </w:rPr>
              <w:t xml:space="preserve"> over the duration of the trial </w:t>
            </w:r>
            <w:r w:rsidR="009E085E" w:rsidRPr="00991BD1">
              <w:rPr>
                <w:rFonts w:ascii="Arial Narrow" w:hAnsi="Arial Narrow"/>
                <w:sz w:val="20"/>
              </w:rPr>
              <w:t xml:space="preserve">should be applied </w:t>
            </w:r>
            <w:r w:rsidRPr="00991BD1">
              <w:rPr>
                <w:rFonts w:ascii="Arial Narrow" w:hAnsi="Arial Narrow"/>
                <w:sz w:val="20"/>
              </w:rPr>
              <w:t xml:space="preserve">consistently to </w:t>
            </w:r>
            <w:r w:rsidR="009E085E" w:rsidRPr="00991BD1">
              <w:rPr>
                <w:rFonts w:ascii="Arial Narrow" w:hAnsi="Arial Narrow"/>
                <w:sz w:val="20"/>
              </w:rPr>
              <w:t xml:space="preserve">estimate </w:t>
            </w:r>
            <w:r w:rsidRPr="00991BD1">
              <w:rPr>
                <w:rFonts w:ascii="Arial Narrow" w:hAnsi="Arial Narrow"/>
                <w:sz w:val="20"/>
              </w:rPr>
              <w:t>treatment costs and treatment outcomes.</w:t>
            </w:r>
          </w:p>
        </w:tc>
      </w:tr>
      <w:tr w:rsidR="008A567E" w:rsidRPr="00991BD1" w:rsidTr="00A05BC8">
        <w:trPr>
          <w:trHeight w:val="848"/>
          <w:jc w:val="right"/>
        </w:trPr>
        <w:tc>
          <w:tcPr>
            <w:tcW w:w="308" w:type="dxa"/>
          </w:tcPr>
          <w:p w:rsidR="008A567E" w:rsidRPr="00991BD1" w:rsidRDefault="000A296B" w:rsidP="00592BD7">
            <w:pPr>
              <w:rPr>
                <w:rFonts w:ascii="Arial Narrow" w:hAnsi="Arial Narrow"/>
                <w:sz w:val="20"/>
              </w:rPr>
            </w:pPr>
            <w:r w:rsidRPr="00991BD1">
              <w:rPr>
                <w:rFonts w:ascii="Arial Narrow" w:hAnsi="Arial Narrow"/>
                <w:sz w:val="20"/>
              </w:rPr>
              <w:t>6</w:t>
            </w:r>
          </w:p>
        </w:tc>
        <w:tc>
          <w:tcPr>
            <w:tcW w:w="4086" w:type="dxa"/>
          </w:tcPr>
          <w:p w:rsidR="008A567E" w:rsidRPr="00991BD1" w:rsidRDefault="00264E32" w:rsidP="00264E32">
            <w:pPr>
              <w:rPr>
                <w:rFonts w:ascii="Arial Narrow" w:hAnsi="Arial Narrow"/>
                <w:sz w:val="20"/>
              </w:rPr>
            </w:pPr>
            <w:r w:rsidRPr="00991BD1">
              <w:rPr>
                <w:rFonts w:ascii="Arial Narrow" w:hAnsi="Arial Narrow"/>
                <w:sz w:val="20"/>
              </w:rPr>
              <w:t xml:space="preserve">Improve </w:t>
            </w:r>
            <w:r w:rsidRPr="00991BD1">
              <w:rPr>
                <w:rFonts w:ascii="Arial Narrow" w:hAnsi="Arial Narrow"/>
                <w:sz w:val="20"/>
                <w:u w:val="single"/>
              </w:rPr>
              <w:t xml:space="preserve">representation of </w:t>
            </w:r>
            <w:r w:rsidR="00FD2274" w:rsidRPr="00991BD1">
              <w:rPr>
                <w:rFonts w:ascii="Arial Narrow" w:hAnsi="Arial Narrow"/>
                <w:sz w:val="20"/>
                <w:u w:val="single"/>
              </w:rPr>
              <w:t>patient variability</w:t>
            </w:r>
            <w:r w:rsidR="009E085E" w:rsidRPr="00991BD1">
              <w:rPr>
                <w:rFonts w:ascii="Arial Narrow" w:hAnsi="Arial Narrow"/>
                <w:sz w:val="20"/>
              </w:rPr>
              <w:t>.</w:t>
            </w:r>
          </w:p>
        </w:tc>
        <w:tc>
          <w:tcPr>
            <w:tcW w:w="4031" w:type="dxa"/>
          </w:tcPr>
          <w:p w:rsidR="005A1B03" w:rsidRPr="00991BD1" w:rsidRDefault="005A1B03" w:rsidP="005A1B03">
            <w:pPr>
              <w:rPr>
                <w:rFonts w:ascii="Arial Narrow" w:hAnsi="Arial Narrow"/>
                <w:sz w:val="20"/>
              </w:rPr>
            </w:pPr>
            <w:r w:rsidRPr="00991BD1">
              <w:rPr>
                <w:rFonts w:ascii="Arial Narrow" w:hAnsi="Arial Narrow"/>
                <w:sz w:val="20"/>
              </w:rPr>
              <w:t xml:space="preserve">- </w:t>
            </w:r>
            <w:r w:rsidR="009F731D" w:rsidRPr="00991BD1">
              <w:rPr>
                <w:rFonts w:ascii="Arial Narrow" w:hAnsi="Arial Narrow"/>
                <w:sz w:val="20"/>
              </w:rPr>
              <w:t>R</w:t>
            </w:r>
            <w:r w:rsidR="008A567E" w:rsidRPr="00991BD1">
              <w:rPr>
                <w:rFonts w:ascii="Arial Narrow" w:hAnsi="Arial Narrow"/>
                <w:sz w:val="20"/>
              </w:rPr>
              <w:t xml:space="preserve">un the set of mutually exclusive and exhaustive cohorts (subgroups) through the </w:t>
            </w:r>
            <w:r w:rsidRPr="00991BD1">
              <w:rPr>
                <w:rFonts w:ascii="Arial Narrow" w:hAnsi="Arial Narrow"/>
                <w:sz w:val="20"/>
              </w:rPr>
              <w:t>model</w:t>
            </w:r>
          </w:p>
          <w:p w:rsidR="008A567E" w:rsidRPr="00991BD1" w:rsidRDefault="005A1B03" w:rsidP="009F731D">
            <w:pPr>
              <w:rPr>
                <w:rFonts w:ascii="Arial Narrow" w:hAnsi="Arial Narrow"/>
                <w:sz w:val="20"/>
              </w:rPr>
            </w:pPr>
            <w:r w:rsidRPr="00991BD1">
              <w:rPr>
                <w:rFonts w:ascii="Arial Narrow" w:hAnsi="Arial Narrow"/>
                <w:sz w:val="20"/>
              </w:rPr>
              <w:t>-</w:t>
            </w:r>
            <w:r w:rsidR="009E085E" w:rsidRPr="00991BD1">
              <w:rPr>
                <w:rFonts w:ascii="Arial Narrow" w:hAnsi="Arial Narrow"/>
                <w:sz w:val="20"/>
              </w:rPr>
              <w:t xml:space="preserve"> </w:t>
            </w:r>
            <w:r w:rsidR="009F731D" w:rsidRPr="00991BD1">
              <w:rPr>
                <w:rFonts w:ascii="Arial Narrow" w:hAnsi="Arial Narrow"/>
                <w:sz w:val="20"/>
              </w:rPr>
              <w:t>C</w:t>
            </w:r>
            <w:r w:rsidR="008A567E" w:rsidRPr="00991BD1">
              <w:rPr>
                <w:rFonts w:ascii="Arial Narrow" w:hAnsi="Arial Narrow"/>
                <w:sz w:val="20"/>
              </w:rPr>
              <w:t>ombine the weighted outputs of each cohort to generate aggregate outputs.</w:t>
            </w:r>
          </w:p>
        </w:tc>
      </w:tr>
      <w:tr w:rsidR="008A567E" w:rsidRPr="00991BD1" w:rsidTr="00A05BC8">
        <w:trPr>
          <w:trHeight w:val="570"/>
          <w:jc w:val="right"/>
        </w:trPr>
        <w:tc>
          <w:tcPr>
            <w:tcW w:w="308" w:type="dxa"/>
          </w:tcPr>
          <w:p w:rsidR="008A567E" w:rsidRPr="00991BD1" w:rsidRDefault="000A296B" w:rsidP="00592BD7">
            <w:pPr>
              <w:rPr>
                <w:rFonts w:ascii="Arial Narrow" w:hAnsi="Arial Narrow"/>
                <w:sz w:val="20"/>
              </w:rPr>
            </w:pPr>
            <w:r w:rsidRPr="00991BD1">
              <w:rPr>
                <w:rFonts w:ascii="Arial Narrow" w:hAnsi="Arial Narrow"/>
                <w:sz w:val="20"/>
              </w:rPr>
              <w:t>7</w:t>
            </w:r>
          </w:p>
        </w:tc>
        <w:tc>
          <w:tcPr>
            <w:tcW w:w="4086" w:type="dxa"/>
          </w:tcPr>
          <w:p w:rsidR="008A567E" w:rsidRPr="00991BD1" w:rsidRDefault="00264E32" w:rsidP="00E615CF">
            <w:pPr>
              <w:rPr>
                <w:rFonts w:ascii="Arial Narrow" w:hAnsi="Arial Narrow"/>
                <w:sz w:val="20"/>
              </w:rPr>
            </w:pPr>
            <w:r w:rsidRPr="00991BD1">
              <w:rPr>
                <w:rFonts w:ascii="Arial Narrow" w:hAnsi="Arial Narrow"/>
                <w:sz w:val="20"/>
              </w:rPr>
              <w:t>Improve</w:t>
            </w:r>
            <w:r w:rsidR="00FD2274" w:rsidRPr="00991BD1">
              <w:rPr>
                <w:rFonts w:ascii="Arial Narrow" w:hAnsi="Arial Narrow"/>
                <w:sz w:val="20"/>
              </w:rPr>
              <w:t xml:space="preserve"> </w:t>
            </w:r>
            <w:r w:rsidR="00FD2274" w:rsidRPr="00991BD1">
              <w:rPr>
                <w:rFonts w:ascii="Arial Narrow" w:hAnsi="Arial Narrow"/>
                <w:sz w:val="20"/>
                <w:u w:val="single"/>
              </w:rPr>
              <w:t>track</w:t>
            </w:r>
            <w:r w:rsidRPr="00991BD1">
              <w:rPr>
                <w:rFonts w:ascii="Arial Narrow" w:hAnsi="Arial Narrow"/>
                <w:sz w:val="20"/>
                <w:u w:val="single"/>
              </w:rPr>
              <w:t>ing of</w:t>
            </w:r>
            <w:r w:rsidR="00FD2274" w:rsidRPr="00991BD1">
              <w:rPr>
                <w:rFonts w:ascii="Arial Narrow" w:hAnsi="Arial Narrow"/>
                <w:sz w:val="20"/>
                <w:u w:val="single"/>
              </w:rPr>
              <w:t xml:space="preserve"> patient characteristics</w:t>
            </w:r>
            <w:r w:rsidR="005A1B03" w:rsidRPr="00991BD1">
              <w:rPr>
                <w:rFonts w:ascii="Arial Narrow" w:hAnsi="Arial Narrow"/>
                <w:sz w:val="20"/>
                <w:u w:val="single"/>
              </w:rPr>
              <w:t xml:space="preserve"> and disease</w:t>
            </w:r>
            <w:r w:rsidR="009E085E" w:rsidRPr="00991BD1">
              <w:rPr>
                <w:rFonts w:ascii="Arial Narrow" w:hAnsi="Arial Narrow"/>
                <w:sz w:val="20"/>
              </w:rPr>
              <w:t>.</w:t>
            </w:r>
          </w:p>
        </w:tc>
        <w:tc>
          <w:tcPr>
            <w:tcW w:w="4031" w:type="dxa"/>
          </w:tcPr>
          <w:p w:rsidR="008A567E" w:rsidRPr="00991BD1" w:rsidRDefault="008A567E" w:rsidP="00264E32">
            <w:pPr>
              <w:rPr>
                <w:rFonts w:ascii="Arial Narrow" w:hAnsi="Arial Narrow"/>
                <w:sz w:val="20"/>
              </w:rPr>
            </w:pPr>
            <w:r w:rsidRPr="00991BD1">
              <w:rPr>
                <w:rFonts w:ascii="Arial Narrow" w:hAnsi="Arial Narrow"/>
                <w:sz w:val="20"/>
              </w:rPr>
              <w:t>Calibrate</w:t>
            </w:r>
            <w:r w:rsidR="00264E32" w:rsidRPr="00991BD1">
              <w:rPr>
                <w:rFonts w:ascii="Arial Narrow" w:hAnsi="Arial Narrow"/>
                <w:sz w:val="20"/>
              </w:rPr>
              <w:t xml:space="preserve"> the</w:t>
            </w:r>
            <w:r w:rsidRPr="00991BD1">
              <w:rPr>
                <w:rFonts w:ascii="Arial Narrow" w:hAnsi="Arial Narrow"/>
                <w:sz w:val="20"/>
              </w:rPr>
              <w:t xml:space="preserve"> multiple cohort approach </w:t>
            </w:r>
            <w:r w:rsidR="000A296B" w:rsidRPr="00991BD1">
              <w:rPr>
                <w:rFonts w:ascii="Arial Narrow" w:hAnsi="Arial Narrow"/>
                <w:sz w:val="20"/>
              </w:rPr>
              <w:t>(as described in 6</w:t>
            </w:r>
            <w:r w:rsidR="00264E32" w:rsidRPr="00991BD1">
              <w:rPr>
                <w:rFonts w:ascii="Arial Narrow" w:hAnsi="Arial Narrow"/>
                <w:sz w:val="20"/>
              </w:rPr>
              <w:t xml:space="preserve">) </w:t>
            </w:r>
            <w:r w:rsidRPr="00991BD1">
              <w:rPr>
                <w:rFonts w:ascii="Arial Narrow" w:hAnsi="Arial Narrow"/>
                <w:sz w:val="20"/>
              </w:rPr>
              <w:t xml:space="preserve">to population-level changes </w:t>
            </w:r>
            <w:r w:rsidR="00264E32" w:rsidRPr="00991BD1">
              <w:rPr>
                <w:rFonts w:ascii="Arial Narrow" w:hAnsi="Arial Narrow"/>
                <w:sz w:val="20"/>
              </w:rPr>
              <w:t>in key disease markers</w:t>
            </w:r>
            <w:r w:rsidR="00E615CF" w:rsidRPr="00991BD1">
              <w:rPr>
                <w:rFonts w:ascii="Arial Narrow" w:hAnsi="Arial Narrow"/>
                <w:sz w:val="20"/>
              </w:rPr>
              <w:t>.</w:t>
            </w:r>
            <w:r w:rsidR="00264E32" w:rsidRPr="00991BD1">
              <w:rPr>
                <w:rFonts w:ascii="Arial Narrow" w:hAnsi="Arial Narrow"/>
                <w:sz w:val="20"/>
              </w:rPr>
              <w:t xml:space="preserve"> </w:t>
            </w:r>
          </w:p>
        </w:tc>
      </w:tr>
    </w:tbl>
    <w:p w:rsidR="00C25D9C" w:rsidRDefault="00C25D9C" w:rsidP="00C25D9C">
      <w:pPr>
        <w:widowControl/>
        <w:rPr>
          <w:szCs w:val="22"/>
        </w:rPr>
      </w:pPr>
    </w:p>
    <w:p w:rsidR="00C25D9C" w:rsidRPr="00FB4B8D" w:rsidRDefault="00632A1D" w:rsidP="002C2775">
      <w:pPr>
        <w:pStyle w:val="Heading2"/>
        <w:rPr>
          <w:szCs w:val="22"/>
        </w:rPr>
      </w:pPr>
      <w:bookmarkStart w:id="15" w:name="_Toc409513921"/>
      <w:r w:rsidRPr="00FB4B8D">
        <w:t>Drug cost/patient/year</w:t>
      </w:r>
      <w:bookmarkEnd w:id="15"/>
    </w:p>
    <w:p w:rsidR="00C25D9C" w:rsidRPr="00C25D9C" w:rsidRDefault="00C25D9C" w:rsidP="00C25D9C">
      <w:pPr>
        <w:widowControl/>
        <w:rPr>
          <w:szCs w:val="22"/>
        </w:rPr>
      </w:pPr>
    </w:p>
    <w:p w:rsidR="003F0E5D" w:rsidRPr="003F0E5D" w:rsidRDefault="003F0E5D" w:rsidP="003F0E5D">
      <w:pPr>
        <w:pStyle w:val="ListParagraph"/>
        <w:widowControl/>
        <w:numPr>
          <w:ilvl w:val="1"/>
          <w:numId w:val="12"/>
        </w:numPr>
        <w:rPr>
          <w:szCs w:val="22"/>
        </w:rPr>
      </w:pPr>
      <w:r w:rsidRPr="003F0E5D">
        <w:rPr>
          <w:szCs w:val="22"/>
        </w:rPr>
        <w:t xml:space="preserve">The annual costs using the published DPMQ for </w:t>
      </w:r>
      <w:proofErr w:type="spellStart"/>
      <w:r w:rsidRPr="003F0E5D">
        <w:rPr>
          <w:szCs w:val="22"/>
        </w:rPr>
        <w:t>evolocumab</w:t>
      </w:r>
      <w:proofErr w:type="spellEnd"/>
      <w:r w:rsidRPr="003F0E5D">
        <w:rPr>
          <w:szCs w:val="22"/>
        </w:rPr>
        <w:t xml:space="preserve"> are $</w:t>
      </w:r>
      <w:r w:rsidR="00651444">
        <w:rPr>
          <w:noProof/>
          <w:color w:val="000000"/>
          <w:szCs w:val="22"/>
          <w:highlight w:val="black"/>
        </w:rPr>
        <w:t>''''''''''''''''''''</w:t>
      </w:r>
      <w:r w:rsidRPr="003F0E5D">
        <w:rPr>
          <w:szCs w:val="22"/>
        </w:rPr>
        <w:t xml:space="preserve"> for the 140</w:t>
      </w:r>
      <w:r w:rsidR="0004200E">
        <w:rPr>
          <w:szCs w:val="22"/>
        </w:rPr>
        <w:t> </w:t>
      </w:r>
      <w:r w:rsidRPr="003F0E5D">
        <w:rPr>
          <w:szCs w:val="22"/>
        </w:rPr>
        <w:t>mg once fortnightly dose (13 scripts/year), $</w:t>
      </w:r>
      <w:r w:rsidR="00651444">
        <w:rPr>
          <w:noProof/>
          <w:color w:val="000000"/>
          <w:szCs w:val="22"/>
          <w:highlight w:val="black"/>
        </w:rPr>
        <w:t>''''''''''''''''''''''''</w:t>
      </w:r>
      <w:r w:rsidRPr="003F0E5D">
        <w:rPr>
          <w:szCs w:val="22"/>
        </w:rPr>
        <w:t xml:space="preserve"> for the 420</w:t>
      </w:r>
      <w:r w:rsidR="00A75D85">
        <w:rPr>
          <w:szCs w:val="22"/>
        </w:rPr>
        <w:t> </w:t>
      </w:r>
      <w:r w:rsidRPr="003F0E5D">
        <w:rPr>
          <w:szCs w:val="22"/>
        </w:rPr>
        <w:t>mg once monthly dose (12 scripts/year) and for $</w:t>
      </w:r>
      <w:r w:rsidR="00651444">
        <w:rPr>
          <w:noProof/>
          <w:color w:val="000000"/>
          <w:szCs w:val="22"/>
          <w:highlight w:val="black"/>
        </w:rPr>
        <w:t>''''''''''''''''''''''''''</w:t>
      </w:r>
      <w:r w:rsidR="00B7001C">
        <w:rPr>
          <w:szCs w:val="22"/>
        </w:rPr>
        <w:t xml:space="preserve"> for the 420</w:t>
      </w:r>
      <w:r w:rsidR="00A75D85">
        <w:rPr>
          <w:szCs w:val="22"/>
        </w:rPr>
        <w:t> </w:t>
      </w:r>
      <w:r w:rsidR="00B7001C">
        <w:rPr>
          <w:szCs w:val="22"/>
        </w:rPr>
        <w:t xml:space="preserve">mg once fortnightly dose </w:t>
      </w:r>
      <w:r w:rsidRPr="003F0E5D">
        <w:rPr>
          <w:szCs w:val="22"/>
        </w:rPr>
        <w:t>(13 scripts/year assum</w:t>
      </w:r>
      <w:r w:rsidR="009E085E">
        <w:rPr>
          <w:szCs w:val="22"/>
        </w:rPr>
        <w:t>ing maximum quantity increase).</w:t>
      </w:r>
    </w:p>
    <w:p w:rsidR="003F0E5D" w:rsidRPr="009E085E" w:rsidRDefault="003F0E5D" w:rsidP="003F0E5D">
      <w:pPr>
        <w:widowControl/>
        <w:rPr>
          <w:szCs w:val="22"/>
        </w:rPr>
      </w:pPr>
    </w:p>
    <w:p w:rsidR="003F0E5D" w:rsidRPr="003F0E5D" w:rsidRDefault="003F0E5D" w:rsidP="003F0E5D">
      <w:pPr>
        <w:pStyle w:val="ListParagraph"/>
        <w:widowControl/>
        <w:numPr>
          <w:ilvl w:val="1"/>
          <w:numId w:val="12"/>
        </w:numPr>
        <w:rPr>
          <w:szCs w:val="22"/>
        </w:rPr>
      </w:pPr>
      <w:r w:rsidRPr="003F0E5D">
        <w:rPr>
          <w:szCs w:val="22"/>
        </w:rPr>
        <w:lastRenderedPageBreak/>
        <w:t xml:space="preserve">Using the estimated patient co-payment of $14.98 per script as per the submission and applying the </w:t>
      </w:r>
      <w:r w:rsidR="00651444">
        <w:rPr>
          <w:noProof/>
          <w:color w:val="000000"/>
          <w:szCs w:val="22"/>
          <w:highlight w:val="black"/>
        </w:rPr>
        <w:t>''''''''''</w:t>
      </w:r>
      <w:r w:rsidRPr="003F0E5D">
        <w:rPr>
          <w:szCs w:val="22"/>
        </w:rPr>
        <w:t>% confidential rebate to estimate</w:t>
      </w:r>
      <w:r w:rsidR="009C67B9">
        <w:rPr>
          <w:szCs w:val="22"/>
        </w:rPr>
        <w:t>d</w:t>
      </w:r>
      <w:r w:rsidRPr="003F0E5D">
        <w:rPr>
          <w:szCs w:val="22"/>
        </w:rPr>
        <w:t xml:space="preserve"> cost to government, the estimated annual costs </w:t>
      </w:r>
      <w:r w:rsidRPr="007B342A">
        <w:rPr>
          <w:szCs w:val="22"/>
        </w:rPr>
        <w:t>using the effective DPMQ are $</w:t>
      </w:r>
      <w:r w:rsidR="00651444">
        <w:rPr>
          <w:noProof/>
          <w:color w:val="000000"/>
          <w:szCs w:val="22"/>
          <w:highlight w:val="black"/>
        </w:rPr>
        <w:t>'''''''''''''''''''''</w:t>
      </w:r>
      <w:r w:rsidRPr="007B342A">
        <w:rPr>
          <w:szCs w:val="22"/>
        </w:rPr>
        <w:t xml:space="preserve"> for the 140</w:t>
      </w:r>
      <w:r w:rsidR="0004200E" w:rsidRPr="007B342A">
        <w:rPr>
          <w:szCs w:val="22"/>
        </w:rPr>
        <w:t> </w:t>
      </w:r>
      <w:r w:rsidRPr="007B342A">
        <w:rPr>
          <w:szCs w:val="22"/>
        </w:rPr>
        <w:t>mg once fortnightly dose (13 scripts/year), $</w:t>
      </w:r>
      <w:r w:rsidR="00651444">
        <w:rPr>
          <w:noProof/>
          <w:color w:val="000000"/>
          <w:szCs w:val="22"/>
          <w:highlight w:val="black"/>
        </w:rPr>
        <w:t>''''''''''''''''''''</w:t>
      </w:r>
      <w:r w:rsidRPr="007B342A">
        <w:rPr>
          <w:szCs w:val="22"/>
        </w:rPr>
        <w:t xml:space="preserve"> for the 420</w:t>
      </w:r>
      <w:r w:rsidR="0004200E" w:rsidRPr="007B342A">
        <w:rPr>
          <w:szCs w:val="22"/>
        </w:rPr>
        <w:t> </w:t>
      </w:r>
      <w:r w:rsidRPr="007B342A">
        <w:rPr>
          <w:szCs w:val="22"/>
        </w:rPr>
        <w:t>mg once monthly dose (12 scripts/year) and for $</w:t>
      </w:r>
      <w:r w:rsidR="00651444">
        <w:rPr>
          <w:noProof/>
          <w:color w:val="000000"/>
          <w:szCs w:val="22"/>
          <w:highlight w:val="black"/>
        </w:rPr>
        <w:t>''''''''''''''''''''''''''</w:t>
      </w:r>
      <w:r w:rsidRPr="007B342A">
        <w:rPr>
          <w:szCs w:val="22"/>
        </w:rPr>
        <w:t xml:space="preserve"> </w:t>
      </w:r>
      <w:r w:rsidR="0004200E" w:rsidRPr="007B342A">
        <w:rPr>
          <w:szCs w:val="22"/>
        </w:rPr>
        <w:t>the 420 </w:t>
      </w:r>
      <w:r w:rsidR="00B7001C" w:rsidRPr="007B342A">
        <w:rPr>
          <w:szCs w:val="22"/>
        </w:rPr>
        <w:t>mg</w:t>
      </w:r>
      <w:r w:rsidR="00B7001C">
        <w:rPr>
          <w:szCs w:val="22"/>
        </w:rPr>
        <w:t xml:space="preserve"> once fortnightly dose </w:t>
      </w:r>
      <w:r w:rsidRPr="003F0E5D">
        <w:rPr>
          <w:szCs w:val="22"/>
        </w:rPr>
        <w:t>(13 scripts/year assum</w:t>
      </w:r>
      <w:r w:rsidR="009E085E">
        <w:rPr>
          <w:szCs w:val="22"/>
        </w:rPr>
        <w:t>ing maximum quantity increase).</w:t>
      </w:r>
    </w:p>
    <w:p w:rsidR="003F0E5D" w:rsidRPr="009E085E" w:rsidRDefault="003F0E5D" w:rsidP="003F0E5D">
      <w:pPr>
        <w:widowControl/>
        <w:rPr>
          <w:szCs w:val="22"/>
        </w:rPr>
      </w:pPr>
    </w:p>
    <w:p w:rsidR="00A86E8B" w:rsidRPr="003F0E5D" w:rsidRDefault="003F0E5D" w:rsidP="003F0E5D">
      <w:pPr>
        <w:pStyle w:val="ListParagraph"/>
        <w:widowControl/>
        <w:numPr>
          <w:ilvl w:val="1"/>
          <w:numId w:val="12"/>
        </w:numPr>
        <w:rPr>
          <w:szCs w:val="22"/>
        </w:rPr>
      </w:pPr>
      <w:r w:rsidRPr="003F0E5D">
        <w:rPr>
          <w:szCs w:val="22"/>
        </w:rPr>
        <w:t xml:space="preserve">The annual </w:t>
      </w:r>
      <w:proofErr w:type="spellStart"/>
      <w:r w:rsidRPr="003F0E5D">
        <w:rPr>
          <w:szCs w:val="22"/>
        </w:rPr>
        <w:t>evolocumab</w:t>
      </w:r>
      <w:proofErr w:type="spellEnd"/>
      <w:r w:rsidRPr="003F0E5D">
        <w:rPr>
          <w:szCs w:val="22"/>
        </w:rPr>
        <w:t xml:space="preserve"> costs, </w:t>
      </w:r>
      <w:r w:rsidRPr="007B342A">
        <w:rPr>
          <w:szCs w:val="22"/>
        </w:rPr>
        <w:t xml:space="preserve">regardless of dose, are substantially higher than the annual cost for </w:t>
      </w:r>
      <w:proofErr w:type="spellStart"/>
      <w:r w:rsidRPr="007B342A">
        <w:rPr>
          <w:szCs w:val="22"/>
        </w:rPr>
        <w:t>ezetimibe</w:t>
      </w:r>
      <w:proofErr w:type="spellEnd"/>
      <w:r w:rsidRPr="007B342A">
        <w:rPr>
          <w:szCs w:val="22"/>
        </w:rPr>
        <w:t xml:space="preserve"> of $</w:t>
      </w:r>
      <w:r w:rsidR="00651444">
        <w:rPr>
          <w:noProof/>
          <w:color w:val="000000"/>
          <w:szCs w:val="22"/>
          <w:highlight w:val="black"/>
        </w:rPr>
        <w:t>''''''''''''''''</w:t>
      </w:r>
      <w:r w:rsidRPr="007B342A">
        <w:rPr>
          <w:szCs w:val="22"/>
        </w:rPr>
        <w:t xml:space="preserve"> </w:t>
      </w:r>
      <w:proofErr w:type="gramStart"/>
      <w:r w:rsidRPr="007B342A">
        <w:rPr>
          <w:szCs w:val="22"/>
        </w:rPr>
        <w:t>(12</w:t>
      </w:r>
      <w:r w:rsidRPr="003F0E5D">
        <w:rPr>
          <w:szCs w:val="22"/>
        </w:rPr>
        <w:t xml:space="preserve"> scripts/year</w:t>
      </w:r>
      <w:r w:rsidR="00536ADD">
        <w:rPr>
          <w:szCs w:val="22"/>
        </w:rPr>
        <w:t xml:space="preserve"> inclusive of the patient co-payment</w:t>
      </w:r>
      <w:r w:rsidRPr="003F0E5D">
        <w:rPr>
          <w:szCs w:val="22"/>
        </w:rPr>
        <w:t>)</w:t>
      </w:r>
      <w:proofErr w:type="gramEnd"/>
      <w:r w:rsidRPr="003F0E5D">
        <w:rPr>
          <w:szCs w:val="22"/>
        </w:rPr>
        <w:t>.</w:t>
      </w:r>
      <w:r w:rsidR="000151CA">
        <w:rPr>
          <w:szCs w:val="22"/>
        </w:rPr>
        <w:t xml:space="preserve"> </w:t>
      </w:r>
      <w:r w:rsidR="0004200E">
        <w:rPr>
          <w:szCs w:val="22"/>
        </w:rPr>
        <w:t xml:space="preserve"> </w:t>
      </w:r>
      <w:r w:rsidR="000151CA" w:rsidRPr="00991BD1">
        <w:rPr>
          <w:szCs w:val="22"/>
        </w:rPr>
        <w:t>T</w:t>
      </w:r>
      <w:r w:rsidR="00F349B5" w:rsidRPr="00991BD1">
        <w:rPr>
          <w:szCs w:val="22"/>
        </w:rPr>
        <w:t>he ESC noted that</w:t>
      </w:r>
      <w:r w:rsidR="00536ADD" w:rsidRPr="00991BD1">
        <w:rPr>
          <w:szCs w:val="22"/>
        </w:rPr>
        <w:t>, based on these estimate</w:t>
      </w:r>
      <w:r w:rsidR="00AD3384" w:rsidRPr="00991BD1">
        <w:rPr>
          <w:szCs w:val="22"/>
        </w:rPr>
        <w:t>s</w:t>
      </w:r>
      <w:r w:rsidR="00536ADD" w:rsidRPr="00991BD1">
        <w:rPr>
          <w:szCs w:val="22"/>
        </w:rPr>
        <w:t>,</w:t>
      </w:r>
      <w:r w:rsidR="007D6A7F" w:rsidRPr="00991BD1">
        <w:rPr>
          <w:szCs w:val="22"/>
        </w:rPr>
        <w:t xml:space="preserve"> </w:t>
      </w:r>
      <w:proofErr w:type="spellStart"/>
      <w:r w:rsidR="007D6A7F" w:rsidRPr="00991BD1">
        <w:rPr>
          <w:szCs w:val="22"/>
        </w:rPr>
        <w:t>evolocumab</w:t>
      </w:r>
      <w:proofErr w:type="spellEnd"/>
      <w:r w:rsidR="007D6A7F" w:rsidRPr="00991BD1">
        <w:rPr>
          <w:szCs w:val="22"/>
        </w:rPr>
        <w:t xml:space="preserve"> is </w:t>
      </w:r>
      <w:r w:rsidR="00F349B5" w:rsidRPr="00991BD1">
        <w:rPr>
          <w:szCs w:val="22"/>
        </w:rPr>
        <w:t xml:space="preserve">greater than </w:t>
      </w:r>
      <w:r w:rsidR="00651444">
        <w:rPr>
          <w:noProof/>
          <w:color w:val="000000"/>
          <w:szCs w:val="22"/>
          <w:highlight w:val="black"/>
        </w:rPr>
        <w:t>'''''''</w:t>
      </w:r>
      <w:r w:rsidR="00AD3384" w:rsidRPr="00991BD1">
        <w:rPr>
          <w:szCs w:val="22"/>
        </w:rPr>
        <w:t xml:space="preserve"> to </w:t>
      </w:r>
      <w:r w:rsidR="00651444">
        <w:rPr>
          <w:noProof/>
          <w:color w:val="000000"/>
          <w:szCs w:val="22"/>
          <w:highlight w:val="black"/>
        </w:rPr>
        <w:t>'''''''''''</w:t>
      </w:r>
      <w:r w:rsidR="00AD3384" w:rsidRPr="00991BD1">
        <w:rPr>
          <w:szCs w:val="22"/>
        </w:rPr>
        <w:t xml:space="preserve"> times </w:t>
      </w:r>
      <w:r w:rsidR="00F349B5" w:rsidRPr="00991BD1">
        <w:rPr>
          <w:szCs w:val="22"/>
        </w:rPr>
        <w:t xml:space="preserve">the cost of </w:t>
      </w:r>
      <w:proofErr w:type="spellStart"/>
      <w:r w:rsidR="00F349B5" w:rsidRPr="00991BD1">
        <w:rPr>
          <w:szCs w:val="22"/>
        </w:rPr>
        <w:t>ezetimibe</w:t>
      </w:r>
      <w:proofErr w:type="spellEnd"/>
      <w:r w:rsidR="00F349B5" w:rsidRPr="00991BD1">
        <w:rPr>
          <w:szCs w:val="22"/>
        </w:rPr>
        <w:t>.</w:t>
      </w:r>
    </w:p>
    <w:p w:rsidR="00B60939" w:rsidRPr="001E2B1E" w:rsidRDefault="00B60939" w:rsidP="001456B0">
      <w:pPr>
        <w:rPr>
          <w:szCs w:val="22"/>
        </w:rPr>
      </w:pPr>
    </w:p>
    <w:p w:rsidR="00B60939" w:rsidRPr="00FB4B8D" w:rsidRDefault="00B60939" w:rsidP="002C2775">
      <w:pPr>
        <w:pStyle w:val="Heading2"/>
      </w:pPr>
      <w:bookmarkStart w:id="16" w:name="_Toc409513922"/>
      <w:r w:rsidRPr="00FB4B8D">
        <w:t>Estimated PBS usage &amp; financial implications</w:t>
      </w:r>
      <w:bookmarkEnd w:id="16"/>
    </w:p>
    <w:p w:rsidR="00B60939" w:rsidRPr="00640834" w:rsidRDefault="00B60939" w:rsidP="00B60939">
      <w:pPr>
        <w:ind w:left="720" w:hanging="720"/>
        <w:rPr>
          <w:szCs w:val="22"/>
        </w:rPr>
      </w:pPr>
    </w:p>
    <w:p w:rsidR="00632A1D" w:rsidRPr="003A08D1" w:rsidRDefault="00640834" w:rsidP="00387820">
      <w:pPr>
        <w:pStyle w:val="ListParagraph"/>
        <w:widowControl/>
        <w:numPr>
          <w:ilvl w:val="1"/>
          <w:numId w:val="12"/>
        </w:numPr>
        <w:rPr>
          <w:szCs w:val="22"/>
        </w:rPr>
      </w:pPr>
      <w:r>
        <w:t xml:space="preserve">The submission was considered by DUSC. </w:t>
      </w:r>
      <w:r w:rsidR="0004200E">
        <w:t xml:space="preserve"> </w:t>
      </w:r>
      <w:r>
        <w:t>The main</w:t>
      </w:r>
      <w:r w:rsidR="002229D1">
        <w:t xml:space="preserve"> issues</w:t>
      </w:r>
      <w:r>
        <w:t xml:space="preserve"> consid</w:t>
      </w:r>
      <w:r w:rsidR="003A08D1">
        <w:t>ered by DUSC were the following.</w:t>
      </w:r>
    </w:p>
    <w:p w:rsidR="00640834" w:rsidRPr="003A08D1" w:rsidRDefault="00640834" w:rsidP="003A08D1">
      <w:pPr>
        <w:pStyle w:val="ListParagraph"/>
        <w:numPr>
          <w:ilvl w:val="0"/>
          <w:numId w:val="24"/>
        </w:numPr>
        <w:ind w:left="1134"/>
      </w:pPr>
      <w:r w:rsidRPr="003A08D1">
        <w:t xml:space="preserve">The market share approach, based on </w:t>
      </w:r>
      <w:proofErr w:type="spellStart"/>
      <w:r w:rsidRPr="003A08D1">
        <w:t>ezeti</w:t>
      </w:r>
      <w:r w:rsidR="002229D1" w:rsidRPr="003A08D1">
        <w:t>mibe</w:t>
      </w:r>
      <w:proofErr w:type="spellEnd"/>
      <w:r w:rsidR="002229D1" w:rsidRPr="003A08D1">
        <w:t xml:space="preserve"> utilisation, underestimated</w:t>
      </w:r>
      <w:r w:rsidRPr="003A08D1">
        <w:t xml:space="preserve"> the population eligible for </w:t>
      </w:r>
      <w:proofErr w:type="spellStart"/>
      <w:r w:rsidRPr="003A08D1">
        <w:t>evolocumab</w:t>
      </w:r>
      <w:proofErr w:type="spellEnd"/>
      <w:r w:rsidRPr="003A08D1">
        <w:t>.</w:t>
      </w:r>
    </w:p>
    <w:p w:rsidR="00640834" w:rsidRPr="003A08D1" w:rsidRDefault="00640834" w:rsidP="003A08D1">
      <w:pPr>
        <w:pStyle w:val="ListParagraph"/>
        <w:numPr>
          <w:ilvl w:val="0"/>
          <w:numId w:val="24"/>
        </w:numPr>
        <w:ind w:left="1134"/>
      </w:pPr>
      <w:r w:rsidRPr="003A08D1">
        <w:t xml:space="preserve">Changing clinical practice, including increased assessment of cardiovascular risk or more widespread treatment to target cholesterol levels, could result in many more patients being treated with </w:t>
      </w:r>
      <w:proofErr w:type="spellStart"/>
      <w:r w:rsidRPr="003A08D1">
        <w:t>evolocumab</w:t>
      </w:r>
      <w:proofErr w:type="spellEnd"/>
      <w:r w:rsidRPr="003A08D1">
        <w:t xml:space="preserve">. </w:t>
      </w:r>
      <w:r w:rsidR="00A75D85">
        <w:t xml:space="preserve"> </w:t>
      </w:r>
      <w:r w:rsidRPr="003A08D1">
        <w:t xml:space="preserve">Given the high prevalence of dyslipidaemia and the proposed price of </w:t>
      </w:r>
      <w:proofErr w:type="spellStart"/>
      <w:r w:rsidRPr="003A08D1">
        <w:t>evolocumab</w:t>
      </w:r>
      <w:proofErr w:type="spellEnd"/>
      <w:r w:rsidRPr="003A08D1">
        <w:t>, small changes in practice co</w:t>
      </w:r>
      <w:r w:rsidR="003A08D1">
        <w:t>uld have a large budget impact.</w:t>
      </w:r>
    </w:p>
    <w:p w:rsidR="00640834" w:rsidRPr="003A08D1" w:rsidRDefault="00640834" w:rsidP="003A08D1">
      <w:pPr>
        <w:pStyle w:val="ListParagraph"/>
        <w:numPr>
          <w:ilvl w:val="0"/>
          <w:numId w:val="24"/>
        </w:numPr>
        <w:ind w:left="1134"/>
      </w:pPr>
      <w:r w:rsidRPr="003A08D1">
        <w:t>There is significant potential for use beyond the restriction by patients who are not achieving target cholesterol levels</w:t>
      </w:r>
      <w:r w:rsidR="00A75D85">
        <w:t>,</w:t>
      </w:r>
      <w:r w:rsidRPr="003A08D1">
        <w:t xml:space="preserve"> but who </w:t>
      </w:r>
      <w:r w:rsidR="00C2100E">
        <w:t>would</w:t>
      </w:r>
      <w:r w:rsidR="00C2100E" w:rsidRPr="003A08D1">
        <w:t xml:space="preserve"> </w:t>
      </w:r>
      <w:r w:rsidRPr="003A08D1">
        <w:t xml:space="preserve">not qualify for </w:t>
      </w:r>
      <w:proofErr w:type="spellStart"/>
      <w:r w:rsidRPr="003A08D1">
        <w:t>evolocumab</w:t>
      </w:r>
      <w:proofErr w:type="spellEnd"/>
      <w:r w:rsidRPr="003A08D1">
        <w:t xml:space="preserve"> treatment</w:t>
      </w:r>
      <w:r w:rsidR="00C2100E">
        <w:t xml:space="preserve"> under the proposed restriction</w:t>
      </w:r>
      <w:r w:rsidRPr="003A08D1">
        <w:t>.</w:t>
      </w:r>
    </w:p>
    <w:p w:rsidR="00640834" w:rsidRPr="003A08D1" w:rsidRDefault="00640834" w:rsidP="003A08D1">
      <w:pPr>
        <w:widowControl/>
        <w:rPr>
          <w:szCs w:val="22"/>
        </w:rPr>
      </w:pPr>
    </w:p>
    <w:p w:rsidR="00640834" w:rsidRPr="00A93C21" w:rsidRDefault="00640834" w:rsidP="00BC6277">
      <w:pPr>
        <w:keepNext/>
        <w:keepLines/>
        <w:ind w:firstLine="720"/>
        <w:rPr>
          <w:rFonts w:ascii="Arial Narrow" w:hAnsi="Arial Narrow"/>
          <w:b/>
          <w:sz w:val="20"/>
          <w:szCs w:val="16"/>
        </w:rPr>
      </w:pPr>
      <w:r w:rsidRPr="00A93C21">
        <w:rPr>
          <w:rFonts w:ascii="Arial Narrow" w:hAnsi="Arial Narrow"/>
          <w:b/>
          <w:sz w:val="20"/>
          <w:szCs w:val="16"/>
        </w:rPr>
        <w:t xml:space="preserve">Estimated use and financial implications of listing </w:t>
      </w:r>
      <w:proofErr w:type="spellStart"/>
      <w:r w:rsidRPr="00A93C21">
        <w:rPr>
          <w:rFonts w:ascii="Arial Narrow" w:hAnsi="Arial Narrow"/>
          <w:b/>
          <w:sz w:val="20"/>
          <w:szCs w:val="16"/>
        </w:rPr>
        <w:t>evolocumab</w:t>
      </w:r>
      <w:proofErr w:type="spellEnd"/>
    </w:p>
    <w:tbl>
      <w:tblPr>
        <w:tblW w:w="4575"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3"/>
        <w:gridCol w:w="1276"/>
        <w:gridCol w:w="1275"/>
        <w:gridCol w:w="1276"/>
        <w:gridCol w:w="1276"/>
        <w:gridCol w:w="1417"/>
      </w:tblGrid>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p>
        </w:tc>
        <w:tc>
          <w:tcPr>
            <w:tcW w:w="1276" w:type="dxa"/>
            <w:shd w:val="clear" w:color="auto" w:fill="auto"/>
            <w:noWrap/>
            <w:vAlign w:val="bottom"/>
          </w:tcPr>
          <w:p w:rsidR="00640834" w:rsidRPr="00A93C21" w:rsidRDefault="00640834" w:rsidP="003D57FC">
            <w:pPr>
              <w:keepNext/>
              <w:keepLines/>
              <w:jc w:val="center"/>
              <w:rPr>
                <w:rFonts w:ascii="Arial Narrow" w:hAnsi="Arial Narrow"/>
                <w:b/>
                <w:bCs/>
                <w:sz w:val="20"/>
                <w:lang w:eastAsia="en-AU"/>
              </w:rPr>
            </w:pPr>
            <w:r w:rsidRPr="00A93C21">
              <w:rPr>
                <w:rFonts w:ascii="Arial Narrow" w:hAnsi="Arial Narrow"/>
                <w:b/>
                <w:bCs/>
                <w:sz w:val="20"/>
                <w:lang w:eastAsia="en-AU"/>
              </w:rPr>
              <w:t>Year 1</w:t>
            </w:r>
          </w:p>
        </w:tc>
        <w:tc>
          <w:tcPr>
            <w:tcW w:w="1275" w:type="dxa"/>
            <w:shd w:val="clear" w:color="auto" w:fill="auto"/>
            <w:noWrap/>
            <w:vAlign w:val="bottom"/>
          </w:tcPr>
          <w:p w:rsidR="00640834" w:rsidRPr="00A93C21" w:rsidRDefault="00640834" w:rsidP="003D57FC">
            <w:pPr>
              <w:keepNext/>
              <w:keepLines/>
              <w:jc w:val="center"/>
              <w:rPr>
                <w:rFonts w:ascii="Arial Narrow" w:hAnsi="Arial Narrow"/>
                <w:b/>
                <w:bCs/>
                <w:sz w:val="20"/>
                <w:lang w:eastAsia="en-AU"/>
              </w:rPr>
            </w:pPr>
            <w:r w:rsidRPr="00A93C21">
              <w:rPr>
                <w:rFonts w:ascii="Arial Narrow" w:hAnsi="Arial Narrow"/>
                <w:b/>
                <w:bCs/>
                <w:sz w:val="20"/>
                <w:lang w:eastAsia="en-AU"/>
              </w:rPr>
              <w:t>Year 2</w:t>
            </w:r>
          </w:p>
        </w:tc>
        <w:tc>
          <w:tcPr>
            <w:tcW w:w="1276" w:type="dxa"/>
            <w:shd w:val="clear" w:color="auto" w:fill="auto"/>
            <w:noWrap/>
            <w:vAlign w:val="bottom"/>
          </w:tcPr>
          <w:p w:rsidR="00640834" w:rsidRPr="00A93C21" w:rsidRDefault="00640834" w:rsidP="003D57FC">
            <w:pPr>
              <w:keepNext/>
              <w:keepLines/>
              <w:jc w:val="center"/>
              <w:rPr>
                <w:rFonts w:ascii="Arial Narrow" w:hAnsi="Arial Narrow"/>
                <w:b/>
                <w:bCs/>
                <w:sz w:val="20"/>
                <w:lang w:eastAsia="en-AU"/>
              </w:rPr>
            </w:pPr>
            <w:r w:rsidRPr="00A93C21">
              <w:rPr>
                <w:rFonts w:ascii="Arial Narrow" w:hAnsi="Arial Narrow"/>
                <w:b/>
                <w:bCs/>
                <w:sz w:val="20"/>
                <w:lang w:eastAsia="en-AU"/>
              </w:rPr>
              <w:t>Year 3</w:t>
            </w:r>
          </w:p>
        </w:tc>
        <w:tc>
          <w:tcPr>
            <w:tcW w:w="1276" w:type="dxa"/>
            <w:shd w:val="clear" w:color="auto" w:fill="auto"/>
            <w:noWrap/>
            <w:vAlign w:val="bottom"/>
          </w:tcPr>
          <w:p w:rsidR="00640834" w:rsidRPr="00A93C21" w:rsidRDefault="00640834" w:rsidP="003D57FC">
            <w:pPr>
              <w:keepNext/>
              <w:keepLines/>
              <w:jc w:val="center"/>
              <w:rPr>
                <w:rFonts w:ascii="Arial Narrow" w:hAnsi="Arial Narrow"/>
                <w:b/>
                <w:bCs/>
                <w:sz w:val="20"/>
                <w:lang w:eastAsia="en-AU"/>
              </w:rPr>
            </w:pPr>
            <w:r w:rsidRPr="00A93C21">
              <w:rPr>
                <w:rFonts w:ascii="Arial Narrow" w:hAnsi="Arial Narrow"/>
                <w:b/>
                <w:bCs/>
                <w:sz w:val="20"/>
                <w:lang w:eastAsia="en-AU"/>
              </w:rPr>
              <w:t>Year 4</w:t>
            </w:r>
          </w:p>
        </w:tc>
        <w:tc>
          <w:tcPr>
            <w:tcW w:w="1417" w:type="dxa"/>
            <w:shd w:val="clear" w:color="auto" w:fill="auto"/>
            <w:noWrap/>
            <w:vAlign w:val="bottom"/>
          </w:tcPr>
          <w:p w:rsidR="00640834" w:rsidRPr="00A93C21" w:rsidRDefault="00640834" w:rsidP="003D57FC">
            <w:pPr>
              <w:keepNext/>
              <w:keepLines/>
              <w:jc w:val="center"/>
              <w:rPr>
                <w:rFonts w:ascii="Arial Narrow" w:hAnsi="Arial Narrow"/>
                <w:b/>
                <w:bCs/>
                <w:sz w:val="20"/>
                <w:lang w:eastAsia="en-AU"/>
              </w:rPr>
            </w:pPr>
            <w:r w:rsidRPr="00A93C21">
              <w:rPr>
                <w:rFonts w:ascii="Arial Narrow" w:hAnsi="Arial Narrow"/>
                <w:b/>
                <w:bCs/>
                <w:sz w:val="20"/>
                <w:lang w:eastAsia="en-AU"/>
              </w:rPr>
              <w:t>Year 5</w:t>
            </w:r>
          </w:p>
        </w:tc>
      </w:tr>
      <w:tr w:rsidR="00640834" w:rsidRPr="00A93C21" w:rsidTr="00A75D85">
        <w:tc>
          <w:tcPr>
            <w:tcW w:w="8363" w:type="dxa"/>
            <w:gridSpan w:val="6"/>
            <w:shd w:val="clear" w:color="auto" w:fill="auto"/>
            <w:noWrap/>
            <w:vAlign w:val="center"/>
          </w:tcPr>
          <w:p w:rsidR="00640834" w:rsidRPr="00A93C21" w:rsidRDefault="00640834" w:rsidP="003D57FC">
            <w:pPr>
              <w:keepNext/>
              <w:keepLines/>
              <w:jc w:val="left"/>
              <w:rPr>
                <w:rFonts w:ascii="Arial Narrow" w:hAnsi="Arial Narrow"/>
                <w:sz w:val="20"/>
              </w:rPr>
            </w:pPr>
            <w:r w:rsidRPr="00A93C21">
              <w:rPr>
                <w:rFonts w:ascii="Arial Narrow" w:hAnsi="Arial Narrow"/>
                <w:b/>
                <w:snapToGrid/>
                <w:sz w:val="20"/>
                <w:lang w:eastAsia="en-AU"/>
              </w:rPr>
              <w:t xml:space="preserve">Non-familial </w:t>
            </w:r>
            <w:proofErr w:type="spellStart"/>
            <w:r w:rsidRPr="00A93C21">
              <w:rPr>
                <w:rFonts w:ascii="Arial Narrow" w:hAnsi="Arial Narrow"/>
                <w:b/>
                <w:snapToGrid/>
                <w:sz w:val="20"/>
                <w:lang w:eastAsia="en-AU"/>
              </w:rPr>
              <w:t>hypercholesterolaemia</w:t>
            </w:r>
            <w:proofErr w:type="spellEnd"/>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Scripts</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Net cost to the PBS</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r>
      <w:tr w:rsidR="00640834" w:rsidRPr="00A93C21" w:rsidTr="00A75D85">
        <w:tc>
          <w:tcPr>
            <w:tcW w:w="8363" w:type="dxa"/>
            <w:gridSpan w:val="6"/>
            <w:shd w:val="clear" w:color="auto" w:fill="auto"/>
            <w:noWrap/>
            <w:vAlign w:val="center"/>
          </w:tcPr>
          <w:p w:rsidR="00640834" w:rsidRPr="00A93C21" w:rsidRDefault="00640834" w:rsidP="003D57FC">
            <w:pPr>
              <w:keepNext/>
              <w:keepLines/>
              <w:widowControl/>
              <w:jc w:val="left"/>
              <w:rPr>
                <w:rFonts w:ascii="Arial Narrow" w:hAnsi="Arial Narrow"/>
                <w:b/>
                <w:i/>
                <w:snapToGrid/>
                <w:sz w:val="20"/>
                <w:lang w:eastAsia="en-AU"/>
              </w:rPr>
            </w:pPr>
            <w:r w:rsidRPr="00A93C21">
              <w:rPr>
                <w:rFonts w:ascii="Arial Narrow" w:hAnsi="Arial Narrow"/>
                <w:b/>
                <w:snapToGrid/>
                <w:sz w:val="20"/>
                <w:lang w:eastAsia="en-AU"/>
              </w:rPr>
              <w:t xml:space="preserve">Heterozygous familial </w:t>
            </w:r>
            <w:proofErr w:type="spellStart"/>
            <w:r w:rsidRPr="00A93C21">
              <w:rPr>
                <w:rFonts w:ascii="Arial Narrow" w:hAnsi="Arial Narrow"/>
                <w:b/>
                <w:snapToGrid/>
                <w:sz w:val="20"/>
                <w:lang w:eastAsia="en-AU"/>
              </w:rPr>
              <w:t>hypercholesterolaemia</w:t>
            </w:r>
            <w:proofErr w:type="spellEnd"/>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Scripts</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Net cost to the PBS</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r>
      <w:tr w:rsidR="00640834" w:rsidRPr="00A93C21" w:rsidTr="00A75D85">
        <w:tc>
          <w:tcPr>
            <w:tcW w:w="8363" w:type="dxa"/>
            <w:gridSpan w:val="6"/>
            <w:shd w:val="clear" w:color="auto" w:fill="auto"/>
            <w:noWrap/>
            <w:vAlign w:val="center"/>
          </w:tcPr>
          <w:p w:rsidR="00640834" w:rsidRPr="00A93C21" w:rsidRDefault="00640834" w:rsidP="003D57FC">
            <w:pPr>
              <w:keepNext/>
              <w:keepLines/>
              <w:widowControl/>
              <w:jc w:val="left"/>
              <w:rPr>
                <w:rFonts w:ascii="Arial Narrow" w:hAnsi="Arial Narrow"/>
                <w:b/>
                <w:i/>
                <w:snapToGrid/>
                <w:sz w:val="20"/>
                <w:lang w:eastAsia="en-AU"/>
              </w:rPr>
            </w:pPr>
            <w:r w:rsidRPr="00A93C21">
              <w:rPr>
                <w:rFonts w:ascii="Arial Narrow" w:hAnsi="Arial Narrow"/>
                <w:b/>
                <w:snapToGrid/>
                <w:sz w:val="20"/>
                <w:lang w:eastAsia="en-AU"/>
              </w:rPr>
              <w:t xml:space="preserve">Homozygous familial </w:t>
            </w:r>
            <w:proofErr w:type="spellStart"/>
            <w:r w:rsidRPr="00A93C21">
              <w:rPr>
                <w:rFonts w:ascii="Arial Narrow" w:hAnsi="Arial Narrow"/>
                <w:b/>
                <w:snapToGrid/>
                <w:sz w:val="20"/>
                <w:lang w:eastAsia="en-AU"/>
              </w:rPr>
              <w:t>hypercholesterolaemia</w:t>
            </w:r>
            <w:proofErr w:type="spellEnd"/>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Scripts</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Net cost to the PBS</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204A13" w:rsidRDefault="00640834" w:rsidP="003D57FC">
            <w:pPr>
              <w:keepNext/>
              <w:keepLines/>
              <w:widowControl/>
              <w:jc w:val="right"/>
              <w:rPr>
                <w:rFonts w:ascii="Arial Narrow" w:hAnsi="Arial Narrow"/>
                <w:snapToGrid/>
                <w:sz w:val="20"/>
                <w:lang w:eastAsia="en-AU"/>
              </w:rPr>
            </w:pPr>
            <w:r w:rsidRPr="00204A13">
              <w:rPr>
                <w:rFonts w:ascii="Arial Narrow" w:hAnsi="Arial Narrow"/>
                <w:snapToGrid/>
                <w:sz w:val="20"/>
                <w:lang w:eastAsia="en-AU"/>
              </w:rPr>
              <w:t>$</w:t>
            </w:r>
            <w:r w:rsidR="00651444">
              <w:rPr>
                <w:rFonts w:ascii="Arial Narrow" w:hAnsi="Arial Narrow"/>
                <w:noProof/>
                <w:snapToGrid/>
                <w:color w:val="000000"/>
                <w:sz w:val="20"/>
                <w:highlight w:val="black"/>
                <w:lang w:eastAsia="en-AU"/>
              </w:rPr>
              <w:t>'''''''''''''''''''''''''</w:t>
            </w:r>
          </w:p>
        </w:tc>
      </w:tr>
      <w:tr w:rsidR="00640834" w:rsidRPr="00A93C21" w:rsidTr="00A75D85">
        <w:tc>
          <w:tcPr>
            <w:tcW w:w="8363" w:type="dxa"/>
            <w:gridSpan w:val="6"/>
            <w:shd w:val="clear" w:color="auto" w:fill="auto"/>
            <w:noWrap/>
            <w:vAlign w:val="center"/>
          </w:tcPr>
          <w:p w:rsidR="00640834" w:rsidRPr="00A93C21" w:rsidRDefault="00640834" w:rsidP="003D57FC">
            <w:pPr>
              <w:keepNext/>
              <w:keepLines/>
              <w:widowControl/>
              <w:jc w:val="left"/>
              <w:rPr>
                <w:rFonts w:ascii="Arial Narrow" w:hAnsi="Arial Narrow"/>
                <w:b/>
                <w:i/>
                <w:snapToGrid/>
                <w:sz w:val="20"/>
                <w:lang w:eastAsia="en-AU"/>
              </w:rPr>
            </w:pPr>
            <w:r w:rsidRPr="00A93C21">
              <w:rPr>
                <w:rFonts w:ascii="Arial Narrow" w:hAnsi="Arial Narrow"/>
                <w:b/>
                <w:snapToGrid/>
                <w:sz w:val="20"/>
                <w:lang w:eastAsia="en-AU"/>
              </w:rPr>
              <w:t>Total population</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Scripts</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276"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noWrap/>
            <w:vAlign w:val="bottom"/>
          </w:tcPr>
          <w:p w:rsidR="00640834" w:rsidRPr="00651444" w:rsidRDefault="00651444" w:rsidP="003D57FC">
            <w:pPr>
              <w:keepNext/>
              <w:keepLines/>
              <w:jc w:val="right"/>
              <w:rPr>
                <w:rFonts w:ascii="Arial Narrow" w:hAnsi="Arial Narrow"/>
                <w:sz w:val="20"/>
                <w:highlight w:val="black"/>
              </w:rPr>
            </w:pPr>
            <w:r>
              <w:rPr>
                <w:rFonts w:ascii="Arial Narrow" w:hAnsi="Arial Narrow"/>
                <w:noProof/>
                <w:color w:val="000000"/>
                <w:sz w:val="20"/>
                <w:highlight w:val="black"/>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Total cost (DPMQ)</w:t>
            </w:r>
          </w:p>
        </w:tc>
        <w:tc>
          <w:tcPr>
            <w:tcW w:w="1276" w:type="dxa"/>
            <w:shd w:val="clear" w:color="auto" w:fill="auto"/>
            <w:noWrap/>
            <w:vAlign w:val="bottom"/>
          </w:tcPr>
          <w:p w:rsidR="00640834" w:rsidRPr="00A93C21" w:rsidRDefault="00640834" w:rsidP="003D57FC">
            <w:pPr>
              <w:keepNext/>
              <w:keepLines/>
              <w:jc w:val="right"/>
              <w:rPr>
                <w:rFonts w:ascii="Arial Narrow" w:hAnsi="Arial Narrow"/>
                <w:sz w:val="20"/>
              </w:rPr>
            </w:pPr>
            <w:r w:rsidRPr="00A93C21">
              <w:rPr>
                <w:rFonts w:ascii="Arial Narrow" w:hAnsi="Arial Narrow"/>
                <w:sz w:val="20"/>
              </w:rPr>
              <w:t>$</w:t>
            </w:r>
            <w:r w:rsidR="00651444">
              <w:rPr>
                <w:rFonts w:ascii="Arial Narrow" w:hAnsi="Arial Narrow"/>
                <w:noProof/>
                <w:color w:val="000000"/>
                <w:sz w:val="20"/>
                <w:highlight w:val="black"/>
              </w:rPr>
              <w:t>'''''''''''''''''''''''''''</w:t>
            </w:r>
          </w:p>
        </w:tc>
        <w:tc>
          <w:tcPr>
            <w:tcW w:w="1275" w:type="dxa"/>
            <w:shd w:val="clear" w:color="auto" w:fill="auto"/>
            <w:noWrap/>
            <w:vAlign w:val="bottom"/>
          </w:tcPr>
          <w:p w:rsidR="00640834" w:rsidRPr="00A93C21" w:rsidRDefault="00640834" w:rsidP="003D57FC">
            <w:pPr>
              <w:keepNext/>
              <w:keepLines/>
              <w:jc w:val="right"/>
              <w:rPr>
                <w:rFonts w:ascii="Arial Narrow" w:hAnsi="Arial Narrow"/>
                <w:sz w:val="20"/>
              </w:rPr>
            </w:pPr>
            <w:r w:rsidRPr="00A93C21">
              <w:rPr>
                <w:rFonts w:ascii="Arial Narrow" w:hAnsi="Arial Narrow"/>
                <w:sz w:val="20"/>
              </w:rPr>
              <w:t>$</w:t>
            </w:r>
            <w:r w:rsidR="00651444">
              <w:rPr>
                <w:rFonts w:ascii="Arial Narrow" w:hAnsi="Arial Narrow"/>
                <w:noProof/>
                <w:color w:val="000000"/>
                <w:sz w:val="20"/>
                <w:highlight w:val="black"/>
              </w:rPr>
              <w:t>'''''''''''''''''''''''''''''''''</w:t>
            </w:r>
          </w:p>
        </w:tc>
        <w:tc>
          <w:tcPr>
            <w:tcW w:w="1276" w:type="dxa"/>
            <w:shd w:val="clear" w:color="auto" w:fill="auto"/>
            <w:noWrap/>
            <w:vAlign w:val="bottom"/>
          </w:tcPr>
          <w:p w:rsidR="00640834" w:rsidRPr="00A93C21" w:rsidRDefault="00640834" w:rsidP="003D57FC">
            <w:pPr>
              <w:keepNext/>
              <w:keepLines/>
              <w:jc w:val="right"/>
              <w:rPr>
                <w:rFonts w:ascii="Arial Narrow" w:hAnsi="Arial Narrow"/>
                <w:sz w:val="20"/>
              </w:rPr>
            </w:pPr>
            <w:r w:rsidRPr="00A93C21">
              <w:rPr>
                <w:rFonts w:ascii="Arial Narrow" w:hAnsi="Arial Narrow"/>
                <w:sz w:val="20"/>
              </w:rPr>
              <w:t>$</w:t>
            </w:r>
            <w:r w:rsidR="00651444">
              <w:rPr>
                <w:rFonts w:ascii="Arial Narrow" w:hAnsi="Arial Narrow"/>
                <w:noProof/>
                <w:color w:val="000000"/>
                <w:sz w:val="20"/>
                <w:highlight w:val="black"/>
              </w:rPr>
              <w:t>''''''''''''''''''''''''''''''''</w:t>
            </w:r>
          </w:p>
        </w:tc>
        <w:tc>
          <w:tcPr>
            <w:tcW w:w="1276" w:type="dxa"/>
            <w:shd w:val="clear" w:color="auto" w:fill="auto"/>
            <w:noWrap/>
            <w:vAlign w:val="bottom"/>
          </w:tcPr>
          <w:p w:rsidR="00640834" w:rsidRPr="00A93C21" w:rsidRDefault="00640834" w:rsidP="003D57FC">
            <w:pPr>
              <w:keepNext/>
              <w:keepLines/>
              <w:jc w:val="right"/>
              <w:rPr>
                <w:rFonts w:ascii="Arial Narrow" w:hAnsi="Arial Narrow"/>
                <w:sz w:val="20"/>
              </w:rPr>
            </w:pPr>
            <w:r w:rsidRPr="00A93C21">
              <w:rPr>
                <w:rFonts w:ascii="Arial Narrow" w:hAnsi="Arial Narrow"/>
                <w:sz w:val="20"/>
              </w:rPr>
              <w:t>$</w:t>
            </w:r>
            <w:r w:rsidR="00651444">
              <w:rPr>
                <w:rFonts w:ascii="Arial Narrow" w:hAnsi="Arial Narrow"/>
                <w:noProof/>
                <w:color w:val="000000"/>
                <w:sz w:val="20"/>
                <w:highlight w:val="black"/>
              </w:rPr>
              <w:t>''''''''''''''''''''''''''''</w:t>
            </w:r>
          </w:p>
        </w:tc>
        <w:tc>
          <w:tcPr>
            <w:tcW w:w="1417" w:type="dxa"/>
            <w:shd w:val="clear" w:color="auto" w:fill="auto"/>
            <w:noWrap/>
            <w:vAlign w:val="bottom"/>
          </w:tcPr>
          <w:p w:rsidR="00640834" w:rsidRPr="00A93C21" w:rsidRDefault="00640834" w:rsidP="003D57FC">
            <w:pPr>
              <w:keepNext/>
              <w:keepLines/>
              <w:jc w:val="right"/>
              <w:rPr>
                <w:rFonts w:ascii="Arial Narrow" w:hAnsi="Arial Narrow"/>
                <w:sz w:val="20"/>
              </w:rPr>
            </w:pPr>
            <w:r w:rsidRPr="00A93C21">
              <w:rPr>
                <w:rFonts w:ascii="Arial Narrow" w:hAnsi="Arial Narrow"/>
                <w:sz w:val="20"/>
              </w:rPr>
              <w:t>$</w:t>
            </w:r>
            <w:r w:rsidR="00651444">
              <w:rPr>
                <w:rFonts w:ascii="Arial Narrow" w:hAnsi="Arial Narrow"/>
                <w:noProof/>
                <w:color w:val="000000"/>
                <w:sz w:val="20"/>
                <w:highlight w:val="black"/>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 xml:space="preserve">Total </w:t>
            </w:r>
            <w:proofErr w:type="spellStart"/>
            <w:r w:rsidRPr="00A93C21">
              <w:rPr>
                <w:rFonts w:ascii="Arial Narrow" w:hAnsi="Arial Narrow"/>
                <w:snapToGrid/>
                <w:sz w:val="20"/>
                <w:lang w:eastAsia="en-AU"/>
              </w:rPr>
              <w:t>copayment</w:t>
            </w:r>
            <w:proofErr w:type="spellEnd"/>
          </w:p>
        </w:tc>
        <w:tc>
          <w:tcPr>
            <w:tcW w:w="1276" w:type="dxa"/>
            <w:shd w:val="clear" w:color="auto" w:fill="auto"/>
            <w:noWrap/>
            <w:vAlign w:val="bottom"/>
          </w:tcPr>
          <w:p w:rsidR="00640834" w:rsidRPr="00A93C21" w:rsidRDefault="00651444" w:rsidP="003D57FC">
            <w:pPr>
              <w:keepNext/>
              <w:keepLines/>
              <w:jc w:val="right"/>
              <w:rPr>
                <w:rFonts w:ascii="Arial Narrow" w:hAnsi="Arial Narrow"/>
                <w:sz w:val="20"/>
              </w:rPr>
            </w:pPr>
            <w:r>
              <w:rPr>
                <w:rFonts w:ascii="Arial Narrow" w:hAnsi="Arial Narrow"/>
                <w:noProof/>
                <w:color w:val="000000"/>
                <w:sz w:val="20"/>
                <w:highlight w:val="black"/>
              </w:rPr>
              <w:t>''</w:t>
            </w:r>
            <w:r w:rsidR="00640834" w:rsidRPr="00A93C21">
              <w:rPr>
                <w:rFonts w:ascii="Arial Narrow" w:hAnsi="Arial Narrow"/>
                <w:sz w:val="20"/>
              </w:rPr>
              <w:t>$</w:t>
            </w:r>
            <w:r>
              <w:rPr>
                <w:rFonts w:ascii="Arial Narrow" w:hAnsi="Arial Narrow"/>
                <w:noProof/>
                <w:color w:val="000000"/>
                <w:sz w:val="20"/>
                <w:highlight w:val="black"/>
              </w:rPr>
              <w:t>''''''''''''''''''''''''''</w:t>
            </w:r>
          </w:p>
        </w:tc>
        <w:tc>
          <w:tcPr>
            <w:tcW w:w="1275" w:type="dxa"/>
            <w:shd w:val="clear" w:color="auto" w:fill="auto"/>
            <w:noWrap/>
            <w:vAlign w:val="bottom"/>
          </w:tcPr>
          <w:p w:rsidR="00640834" w:rsidRPr="00A93C21" w:rsidRDefault="00651444" w:rsidP="003D57FC">
            <w:pPr>
              <w:keepNext/>
              <w:keepLines/>
              <w:jc w:val="right"/>
              <w:rPr>
                <w:rFonts w:ascii="Arial Narrow" w:hAnsi="Arial Narrow"/>
                <w:sz w:val="20"/>
              </w:rPr>
            </w:pPr>
            <w:r>
              <w:rPr>
                <w:rFonts w:ascii="Arial Narrow" w:hAnsi="Arial Narrow"/>
                <w:noProof/>
                <w:color w:val="000000"/>
                <w:sz w:val="20"/>
                <w:highlight w:val="black"/>
              </w:rPr>
              <w:t>''</w:t>
            </w:r>
            <w:r w:rsidR="00640834" w:rsidRPr="00A93C21">
              <w:rPr>
                <w:rFonts w:ascii="Arial Narrow" w:hAnsi="Arial Narrow"/>
                <w:sz w:val="20"/>
              </w:rPr>
              <w:t>$</w:t>
            </w:r>
            <w:r>
              <w:rPr>
                <w:rFonts w:ascii="Arial Narrow" w:hAnsi="Arial Narrow"/>
                <w:noProof/>
                <w:color w:val="000000"/>
                <w:sz w:val="20"/>
                <w:highlight w:val="black"/>
              </w:rPr>
              <w:t>'''''''''''''''''''''''''</w:t>
            </w:r>
          </w:p>
        </w:tc>
        <w:tc>
          <w:tcPr>
            <w:tcW w:w="1276" w:type="dxa"/>
            <w:shd w:val="clear" w:color="auto" w:fill="auto"/>
            <w:noWrap/>
            <w:vAlign w:val="bottom"/>
          </w:tcPr>
          <w:p w:rsidR="00640834" w:rsidRPr="00A93C21" w:rsidRDefault="00651444" w:rsidP="003D57FC">
            <w:pPr>
              <w:keepNext/>
              <w:keepLines/>
              <w:jc w:val="right"/>
              <w:rPr>
                <w:rFonts w:ascii="Arial Narrow" w:hAnsi="Arial Narrow"/>
                <w:sz w:val="20"/>
              </w:rPr>
            </w:pPr>
            <w:r>
              <w:rPr>
                <w:rFonts w:ascii="Arial Narrow" w:hAnsi="Arial Narrow"/>
                <w:noProof/>
                <w:color w:val="000000"/>
                <w:sz w:val="20"/>
                <w:highlight w:val="black"/>
              </w:rPr>
              <w:t>'''</w:t>
            </w:r>
            <w:r w:rsidR="00640834" w:rsidRPr="00A93C21">
              <w:rPr>
                <w:rFonts w:ascii="Arial Narrow" w:hAnsi="Arial Narrow"/>
                <w:sz w:val="20"/>
              </w:rPr>
              <w:t>$</w:t>
            </w:r>
            <w:r>
              <w:rPr>
                <w:rFonts w:ascii="Arial Narrow" w:hAnsi="Arial Narrow"/>
                <w:noProof/>
                <w:color w:val="000000"/>
                <w:sz w:val="20"/>
                <w:highlight w:val="black"/>
              </w:rPr>
              <w:t>''''''''''''''''''''''''''</w:t>
            </w:r>
          </w:p>
        </w:tc>
        <w:tc>
          <w:tcPr>
            <w:tcW w:w="1276" w:type="dxa"/>
            <w:shd w:val="clear" w:color="auto" w:fill="auto"/>
            <w:noWrap/>
            <w:vAlign w:val="bottom"/>
          </w:tcPr>
          <w:p w:rsidR="00640834" w:rsidRPr="00A93C21" w:rsidRDefault="00651444" w:rsidP="003D57FC">
            <w:pPr>
              <w:keepNext/>
              <w:keepLines/>
              <w:jc w:val="right"/>
              <w:rPr>
                <w:rFonts w:ascii="Arial Narrow" w:hAnsi="Arial Narrow"/>
                <w:sz w:val="20"/>
              </w:rPr>
            </w:pPr>
            <w:r>
              <w:rPr>
                <w:rFonts w:ascii="Arial Narrow" w:hAnsi="Arial Narrow"/>
                <w:noProof/>
                <w:color w:val="000000"/>
                <w:sz w:val="20"/>
                <w:highlight w:val="black"/>
              </w:rPr>
              <w:t>'''</w:t>
            </w:r>
            <w:r w:rsidR="00640834" w:rsidRPr="00A93C21">
              <w:rPr>
                <w:rFonts w:ascii="Arial Narrow" w:hAnsi="Arial Narrow"/>
                <w:sz w:val="20"/>
              </w:rPr>
              <w:t>$</w:t>
            </w:r>
            <w:r>
              <w:rPr>
                <w:rFonts w:ascii="Arial Narrow" w:hAnsi="Arial Narrow"/>
                <w:noProof/>
                <w:color w:val="000000"/>
                <w:sz w:val="20"/>
                <w:highlight w:val="black"/>
              </w:rPr>
              <w:t>''''''''''''''''''''''''</w:t>
            </w:r>
          </w:p>
        </w:tc>
        <w:tc>
          <w:tcPr>
            <w:tcW w:w="1417" w:type="dxa"/>
            <w:shd w:val="clear" w:color="auto" w:fill="auto"/>
            <w:noWrap/>
            <w:vAlign w:val="bottom"/>
          </w:tcPr>
          <w:p w:rsidR="00640834" w:rsidRPr="00A93C21" w:rsidRDefault="00651444" w:rsidP="003D57FC">
            <w:pPr>
              <w:keepNext/>
              <w:keepLines/>
              <w:jc w:val="right"/>
              <w:rPr>
                <w:rFonts w:ascii="Arial Narrow" w:hAnsi="Arial Narrow"/>
                <w:sz w:val="20"/>
              </w:rPr>
            </w:pPr>
            <w:r>
              <w:rPr>
                <w:rFonts w:ascii="Arial Narrow" w:hAnsi="Arial Narrow"/>
                <w:noProof/>
                <w:color w:val="000000"/>
                <w:sz w:val="20"/>
                <w:highlight w:val="black"/>
              </w:rPr>
              <w:t>'''</w:t>
            </w:r>
            <w:r w:rsidR="00640834" w:rsidRPr="00A93C21">
              <w:rPr>
                <w:rFonts w:ascii="Arial Narrow" w:hAnsi="Arial Narrow"/>
                <w:sz w:val="20"/>
              </w:rPr>
              <w:t>$</w:t>
            </w:r>
            <w:r>
              <w:rPr>
                <w:rFonts w:ascii="Arial Narrow" w:hAnsi="Arial Narrow"/>
                <w:noProof/>
                <w:color w:val="000000"/>
                <w:sz w:val="20"/>
                <w:highlight w:val="black"/>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Sponsor rebate</w:t>
            </w:r>
          </w:p>
        </w:tc>
        <w:tc>
          <w:tcPr>
            <w:tcW w:w="1276"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651444" w:rsidRDefault="00651444" w:rsidP="003D57FC">
            <w:pPr>
              <w:keepNext/>
              <w:keepLines/>
              <w:widowControl/>
              <w:jc w:val="right"/>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snapToGrid/>
                <w:sz w:val="20"/>
                <w:lang w:eastAsia="en-AU"/>
              </w:rPr>
            </w:pPr>
            <w:r w:rsidRPr="00A93C21">
              <w:rPr>
                <w:rFonts w:ascii="Arial Narrow" w:hAnsi="Arial Narrow"/>
                <w:snapToGrid/>
                <w:sz w:val="20"/>
                <w:lang w:eastAsia="en-AU"/>
              </w:rPr>
              <w:t>Changes in use of other therapies</w:t>
            </w:r>
          </w:p>
        </w:tc>
        <w:tc>
          <w:tcPr>
            <w:tcW w:w="1276"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275"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276"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c>
          <w:tcPr>
            <w:tcW w:w="1417" w:type="dxa"/>
            <w:shd w:val="clear" w:color="auto" w:fill="auto"/>
            <w:noWrap/>
            <w:vAlign w:val="center"/>
          </w:tcPr>
          <w:p w:rsidR="00640834" w:rsidRPr="00204A13" w:rsidRDefault="00651444" w:rsidP="003D57FC">
            <w:pPr>
              <w:keepNext/>
              <w:keepLines/>
              <w:widowControl/>
              <w:jc w:val="right"/>
              <w:rPr>
                <w:rFonts w:ascii="Arial Narrow" w:hAnsi="Arial Narrow"/>
                <w:snapToGrid/>
                <w:sz w:val="20"/>
                <w:lang w:eastAsia="en-AU"/>
              </w:rPr>
            </w:pPr>
            <w:r>
              <w:rPr>
                <w:rFonts w:ascii="Arial Narrow" w:hAnsi="Arial Narrow"/>
                <w:noProof/>
                <w:snapToGrid/>
                <w:color w:val="000000"/>
                <w:sz w:val="20"/>
                <w:highlight w:val="black"/>
                <w:lang w:eastAsia="en-AU"/>
              </w:rPr>
              <w:t>'''</w:t>
            </w:r>
            <w:r w:rsidR="00640834" w:rsidRPr="00204A13">
              <w:rPr>
                <w:rFonts w:ascii="Arial Narrow" w:hAnsi="Arial Narrow"/>
                <w:snapToGrid/>
                <w:sz w:val="20"/>
                <w:lang w:eastAsia="en-AU"/>
              </w:rPr>
              <w:t>$</w:t>
            </w:r>
            <w:r>
              <w:rPr>
                <w:rFonts w:ascii="Arial Narrow" w:hAnsi="Arial Narrow"/>
                <w:noProof/>
                <w:snapToGrid/>
                <w:color w:val="000000"/>
                <w:sz w:val="20"/>
                <w:highlight w:val="black"/>
                <w:lang w:eastAsia="en-AU"/>
              </w:rPr>
              <w:t>''''''''''''''''''''''''''</w:t>
            </w:r>
          </w:p>
        </w:tc>
      </w:tr>
      <w:tr w:rsidR="00640834" w:rsidRPr="00A93C21" w:rsidTr="00A75D85">
        <w:tc>
          <w:tcPr>
            <w:tcW w:w="1843" w:type="dxa"/>
            <w:shd w:val="clear" w:color="auto" w:fill="auto"/>
            <w:noWrap/>
            <w:vAlign w:val="center"/>
          </w:tcPr>
          <w:p w:rsidR="00640834" w:rsidRPr="00A93C21" w:rsidRDefault="00640834" w:rsidP="003D57FC">
            <w:pPr>
              <w:keepNext/>
              <w:keepLines/>
              <w:widowControl/>
              <w:jc w:val="left"/>
              <w:rPr>
                <w:rFonts w:ascii="Arial Narrow" w:hAnsi="Arial Narrow"/>
                <w:b/>
                <w:snapToGrid/>
                <w:sz w:val="20"/>
                <w:lang w:eastAsia="en-AU"/>
              </w:rPr>
            </w:pPr>
            <w:r w:rsidRPr="00A93C21">
              <w:rPr>
                <w:rFonts w:ascii="Arial Narrow" w:hAnsi="Arial Narrow"/>
                <w:b/>
                <w:snapToGrid/>
                <w:sz w:val="20"/>
                <w:lang w:eastAsia="en-AU"/>
              </w:rPr>
              <w:t>Net cost to the PBS</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b/>
                <w:snapToGrid/>
                <w:sz w:val="20"/>
                <w:lang w:eastAsia="en-AU"/>
              </w:rPr>
            </w:pPr>
            <w:r w:rsidRPr="00204A13">
              <w:rPr>
                <w:rFonts w:ascii="Arial Narrow" w:hAnsi="Arial Narrow"/>
                <w:b/>
                <w:snapToGrid/>
                <w:sz w:val="20"/>
                <w:lang w:eastAsia="en-AU"/>
              </w:rPr>
              <w:t>$</w:t>
            </w:r>
            <w:r w:rsidR="00651444">
              <w:rPr>
                <w:rFonts w:ascii="Arial Narrow" w:hAnsi="Arial Narrow"/>
                <w:b/>
                <w:noProof/>
                <w:snapToGrid/>
                <w:color w:val="000000"/>
                <w:sz w:val="20"/>
                <w:highlight w:val="black"/>
                <w:lang w:eastAsia="en-AU"/>
              </w:rPr>
              <w:t>'''''''''''''''''''''</w:t>
            </w:r>
          </w:p>
        </w:tc>
        <w:tc>
          <w:tcPr>
            <w:tcW w:w="1275" w:type="dxa"/>
            <w:shd w:val="clear" w:color="auto" w:fill="auto"/>
            <w:noWrap/>
            <w:vAlign w:val="center"/>
          </w:tcPr>
          <w:p w:rsidR="00640834" w:rsidRPr="00204A13" w:rsidRDefault="00640834" w:rsidP="003D57FC">
            <w:pPr>
              <w:keepNext/>
              <w:keepLines/>
              <w:widowControl/>
              <w:jc w:val="right"/>
              <w:rPr>
                <w:rFonts w:ascii="Arial Narrow" w:hAnsi="Arial Narrow"/>
                <w:b/>
                <w:snapToGrid/>
                <w:sz w:val="20"/>
                <w:lang w:eastAsia="en-AU"/>
              </w:rPr>
            </w:pPr>
            <w:r w:rsidRPr="00204A13">
              <w:rPr>
                <w:rFonts w:ascii="Arial Narrow" w:hAnsi="Arial Narrow"/>
                <w:b/>
                <w:snapToGrid/>
                <w:sz w:val="20"/>
                <w:lang w:eastAsia="en-AU"/>
              </w:rPr>
              <w:t>$</w:t>
            </w:r>
            <w:r w:rsidR="00651444">
              <w:rPr>
                <w:rFonts w:ascii="Arial Narrow" w:hAnsi="Arial Narrow"/>
                <w:b/>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b/>
                <w:snapToGrid/>
                <w:sz w:val="20"/>
                <w:lang w:eastAsia="en-AU"/>
              </w:rPr>
            </w:pPr>
            <w:r w:rsidRPr="00204A13">
              <w:rPr>
                <w:rFonts w:ascii="Arial Narrow" w:hAnsi="Arial Narrow"/>
                <w:b/>
                <w:snapToGrid/>
                <w:sz w:val="20"/>
                <w:lang w:eastAsia="en-AU"/>
              </w:rPr>
              <w:t>$</w:t>
            </w:r>
            <w:r w:rsidR="00651444">
              <w:rPr>
                <w:rFonts w:ascii="Arial Narrow" w:hAnsi="Arial Narrow"/>
                <w:b/>
                <w:noProof/>
                <w:snapToGrid/>
                <w:color w:val="000000"/>
                <w:sz w:val="20"/>
                <w:highlight w:val="black"/>
                <w:lang w:eastAsia="en-AU"/>
              </w:rPr>
              <w:t>''''''''''''''''''''''''</w:t>
            </w:r>
          </w:p>
        </w:tc>
        <w:tc>
          <w:tcPr>
            <w:tcW w:w="1276" w:type="dxa"/>
            <w:shd w:val="clear" w:color="auto" w:fill="auto"/>
            <w:noWrap/>
            <w:vAlign w:val="center"/>
          </w:tcPr>
          <w:p w:rsidR="00640834" w:rsidRPr="00204A13" w:rsidRDefault="00640834" w:rsidP="003D57FC">
            <w:pPr>
              <w:keepNext/>
              <w:keepLines/>
              <w:widowControl/>
              <w:jc w:val="right"/>
              <w:rPr>
                <w:rFonts w:ascii="Arial Narrow" w:hAnsi="Arial Narrow"/>
                <w:b/>
                <w:snapToGrid/>
                <w:sz w:val="20"/>
                <w:lang w:eastAsia="en-AU"/>
              </w:rPr>
            </w:pPr>
            <w:r w:rsidRPr="00204A13">
              <w:rPr>
                <w:rFonts w:ascii="Arial Narrow" w:hAnsi="Arial Narrow"/>
                <w:b/>
                <w:snapToGrid/>
                <w:sz w:val="20"/>
                <w:lang w:eastAsia="en-AU"/>
              </w:rPr>
              <w:t>$</w:t>
            </w:r>
            <w:r w:rsidR="00651444">
              <w:rPr>
                <w:rFonts w:ascii="Arial Narrow" w:hAnsi="Arial Narrow"/>
                <w:b/>
                <w:noProof/>
                <w:snapToGrid/>
                <w:color w:val="000000"/>
                <w:sz w:val="20"/>
                <w:highlight w:val="black"/>
                <w:lang w:eastAsia="en-AU"/>
              </w:rPr>
              <w:t>''''''''''''''''''''''''</w:t>
            </w:r>
          </w:p>
        </w:tc>
        <w:tc>
          <w:tcPr>
            <w:tcW w:w="1417" w:type="dxa"/>
            <w:shd w:val="clear" w:color="auto" w:fill="auto"/>
            <w:noWrap/>
            <w:vAlign w:val="center"/>
          </w:tcPr>
          <w:p w:rsidR="00640834" w:rsidRPr="00204A13" w:rsidRDefault="00640834" w:rsidP="003D57FC">
            <w:pPr>
              <w:keepNext/>
              <w:keepLines/>
              <w:widowControl/>
              <w:jc w:val="right"/>
              <w:rPr>
                <w:rFonts w:ascii="Arial Narrow" w:hAnsi="Arial Narrow"/>
                <w:b/>
                <w:snapToGrid/>
                <w:sz w:val="20"/>
                <w:lang w:eastAsia="en-AU"/>
              </w:rPr>
            </w:pPr>
            <w:r w:rsidRPr="00204A13">
              <w:rPr>
                <w:rFonts w:ascii="Arial Narrow" w:hAnsi="Arial Narrow"/>
                <w:b/>
                <w:snapToGrid/>
                <w:sz w:val="20"/>
                <w:lang w:eastAsia="en-AU"/>
              </w:rPr>
              <w:t>$</w:t>
            </w:r>
            <w:r w:rsidR="00651444">
              <w:rPr>
                <w:rFonts w:ascii="Arial Narrow" w:hAnsi="Arial Narrow"/>
                <w:b/>
                <w:noProof/>
                <w:snapToGrid/>
                <w:color w:val="000000"/>
                <w:sz w:val="20"/>
                <w:highlight w:val="black"/>
                <w:lang w:eastAsia="en-AU"/>
              </w:rPr>
              <w:t>''''''''''''''''''''''</w:t>
            </w:r>
          </w:p>
        </w:tc>
      </w:tr>
    </w:tbl>
    <w:p w:rsidR="00640834" w:rsidRPr="00A93C21" w:rsidRDefault="00640834" w:rsidP="0068651E">
      <w:pPr>
        <w:ind w:left="720"/>
        <w:contextualSpacing/>
        <w:rPr>
          <w:rFonts w:ascii="Arial Narrow" w:hAnsi="Arial Narrow"/>
          <w:sz w:val="18"/>
          <w:szCs w:val="18"/>
        </w:rPr>
      </w:pPr>
      <w:r w:rsidRPr="00A93C21">
        <w:rPr>
          <w:rFonts w:ascii="Arial Narrow" w:hAnsi="Arial Narrow"/>
          <w:sz w:val="18"/>
          <w:szCs w:val="18"/>
        </w:rPr>
        <w:t xml:space="preserve">Abbreviations: FH, familial </w:t>
      </w:r>
      <w:proofErr w:type="spellStart"/>
      <w:r w:rsidRPr="00A93C21">
        <w:rPr>
          <w:rFonts w:ascii="Arial Narrow" w:hAnsi="Arial Narrow"/>
          <w:sz w:val="18"/>
          <w:szCs w:val="18"/>
        </w:rPr>
        <w:t>hypercholesterolaemia</w:t>
      </w:r>
      <w:proofErr w:type="spellEnd"/>
      <w:r w:rsidRPr="00A93C21">
        <w:rPr>
          <w:rFonts w:ascii="Arial Narrow" w:hAnsi="Arial Narrow"/>
          <w:sz w:val="18"/>
          <w:szCs w:val="18"/>
        </w:rPr>
        <w:t xml:space="preserve">; </w:t>
      </w:r>
      <w:proofErr w:type="spellStart"/>
      <w:r w:rsidRPr="00A93C21">
        <w:rPr>
          <w:rFonts w:ascii="Arial Narrow" w:hAnsi="Arial Narrow"/>
          <w:sz w:val="18"/>
          <w:szCs w:val="18"/>
        </w:rPr>
        <w:t>HeFH</w:t>
      </w:r>
      <w:proofErr w:type="spellEnd"/>
      <w:r w:rsidRPr="00A93C21">
        <w:rPr>
          <w:rFonts w:ascii="Arial Narrow" w:hAnsi="Arial Narrow"/>
          <w:sz w:val="18"/>
          <w:szCs w:val="18"/>
        </w:rPr>
        <w:t xml:space="preserve">, heterozygous familial </w:t>
      </w:r>
      <w:proofErr w:type="spellStart"/>
      <w:r w:rsidRPr="00A93C21">
        <w:rPr>
          <w:rFonts w:ascii="Arial Narrow" w:hAnsi="Arial Narrow"/>
          <w:sz w:val="18"/>
          <w:szCs w:val="18"/>
        </w:rPr>
        <w:t>hypercholesterolaemia</w:t>
      </w:r>
      <w:proofErr w:type="spellEnd"/>
      <w:r w:rsidRPr="00A93C21">
        <w:rPr>
          <w:rFonts w:ascii="Arial Narrow" w:hAnsi="Arial Narrow"/>
          <w:sz w:val="18"/>
          <w:szCs w:val="18"/>
        </w:rPr>
        <w:t xml:space="preserve">; </w:t>
      </w:r>
      <w:proofErr w:type="spellStart"/>
      <w:r w:rsidRPr="00A93C21">
        <w:rPr>
          <w:rFonts w:ascii="Arial Narrow" w:hAnsi="Arial Narrow"/>
          <w:sz w:val="18"/>
          <w:szCs w:val="18"/>
        </w:rPr>
        <w:t>HoFH</w:t>
      </w:r>
      <w:proofErr w:type="spellEnd"/>
      <w:r w:rsidRPr="00A93C21">
        <w:rPr>
          <w:rFonts w:ascii="Arial Narrow" w:hAnsi="Arial Narrow"/>
          <w:sz w:val="18"/>
          <w:szCs w:val="18"/>
        </w:rPr>
        <w:t xml:space="preserve">, homozygous familial </w:t>
      </w:r>
      <w:proofErr w:type="spellStart"/>
      <w:r w:rsidRPr="00A93C21">
        <w:rPr>
          <w:rFonts w:ascii="Arial Narrow" w:hAnsi="Arial Narrow"/>
          <w:sz w:val="18"/>
          <w:szCs w:val="18"/>
        </w:rPr>
        <w:t>hypercholesterolaemia</w:t>
      </w:r>
      <w:proofErr w:type="spellEnd"/>
      <w:r w:rsidRPr="00A93C21">
        <w:rPr>
          <w:rFonts w:ascii="Arial Narrow" w:hAnsi="Arial Narrow"/>
          <w:sz w:val="18"/>
          <w:szCs w:val="18"/>
        </w:rPr>
        <w:t>.</w:t>
      </w:r>
    </w:p>
    <w:p w:rsidR="00640834" w:rsidRPr="00A93C21" w:rsidRDefault="00640834" w:rsidP="0068651E">
      <w:pPr>
        <w:ind w:firstLine="720"/>
        <w:rPr>
          <w:rFonts w:ascii="Arial Narrow" w:hAnsi="Arial Narrow"/>
          <w:sz w:val="18"/>
        </w:rPr>
      </w:pPr>
      <w:r w:rsidRPr="00A93C21">
        <w:rPr>
          <w:rFonts w:ascii="Arial Narrow" w:hAnsi="Arial Narrow"/>
          <w:sz w:val="18"/>
        </w:rPr>
        <w:t>Source: Compiled during the evaluation using ‘Section E.xls’ spreadsheet provided with the submission</w:t>
      </w:r>
    </w:p>
    <w:p w:rsidR="00640834" w:rsidRDefault="00640834" w:rsidP="0068651E">
      <w:pPr>
        <w:ind w:left="720"/>
        <w:rPr>
          <w:rFonts w:ascii="Arial Narrow" w:hAnsi="Arial Narrow"/>
          <w:sz w:val="18"/>
        </w:rPr>
      </w:pPr>
      <w:r w:rsidRPr="00A93C21">
        <w:rPr>
          <w:rFonts w:ascii="Arial Narrow" w:hAnsi="Arial Narrow"/>
          <w:sz w:val="18"/>
        </w:rPr>
        <w:t xml:space="preserve">Note: Corrections for: January 2015 patient co-payments; error in calculating statin </w:t>
      </w:r>
      <w:proofErr w:type="spellStart"/>
      <w:r w:rsidRPr="00A93C21">
        <w:rPr>
          <w:rFonts w:ascii="Arial Narrow" w:hAnsi="Arial Narrow"/>
          <w:sz w:val="18"/>
        </w:rPr>
        <w:t>copayment</w:t>
      </w:r>
      <w:proofErr w:type="spellEnd"/>
      <w:r w:rsidRPr="00A93C21">
        <w:rPr>
          <w:rFonts w:ascii="Arial Narrow" w:hAnsi="Arial Narrow"/>
          <w:sz w:val="18"/>
        </w:rPr>
        <w:t xml:space="preserve"> for general patients; error in proportion of substituted scripts</w:t>
      </w:r>
    </w:p>
    <w:p w:rsidR="00640834" w:rsidRPr="004525E9" w:rsidRDefault="00640834" w:rsidP="0068651E">
      <w:pPr>
        <w:rPr>
          <w:szCs w:val="22"/>
        </w:rPr>
      </w:pPr>
    </w:p>
    <w:p w:rsidR="00315EAB" w:rsidRDefault="00315EAB" w:rsidP="0050454F">
      <w:pPr>
        <w:pStyle w:val="ListParagraph"/>
        <w:widowControl/>
        <w:numPr>
          <w:ilvl w:val="1"/>
          <w:numId w:val="12"/>
        </w:numPr>
        <w:rPr>
          <w:szCs w:val="22"/>
        </w:rPr>
      </w:pPr>
      <w:r>
        <w:rPr>
          <w:szCs w:val="22"/>
        </w:rPr>
        <w:lastRenderedPageBreak/>
        <w:t xml:space="preserve">The redacted table above shows that the estimates of utilisation and financial impact in the non-familial and familial </w:t>
      </w:r>
      <w:proofErr w:type="spellStart"/>
      <w:r>
        <w:rPr>
          <w:szCs w:val="22"/>
        </w:rPr>
        <w:t>hypercholesterolaemia</w:t>
      </w:r>
      <w:proofErr w:type="spellEnd"/>
      <w:r>
        <w:rPr>
          <w:szCs w:val="22"/>
        </w:rPr>
        <w:t xml:space="preserve"> were derived.</w:t>
      </w:r>
    </w:p>
    <w:p w:rsidR="00315EAB" w:rsidRDefault="00315EAB" w:rsidP="00315EAB">
      <w:pPr>
        <w:pStyle w:val="ListParagraph"/>
        <w:widowControl/>
        <w:rPr>
          <w:szCs w:val="22"/>
        </w:rPr>
      </w:pPr>
    </w:p>
    <w:p w:rsidR="00640834" w:rsidRPr="004525E9" w:rsidRDefault="00640834" w:rsidP="0050454F">
      <w:pPr>
        <w:pStyle w:val="ListParagraph"/>
        <w:widowControl/>
        <w:numPr>
          <w:ilvl w:val="1"/>
          <w:numId w:val="12"/>
        </w:numPr>
        <w:rPr>
          <w:szCs w:val="22"/>
        </w:rPr>
      </w:pPr>
      <w:r w:rsidRPr="002229D1">
        <w:rPr>
          <w:szCs w:val="22"/>
        </w:rPr>
        <w:t xml:space="preserve">At year 5 of listing, </w:t>
      </w:r>
      <w:r w:rsidR="002229D1" w:rsidRPr="002229D1">
        <w:rPr>
          <w:szCs w:val="22"/>
        </w:rPr>
        <w:t>the estimated number of total scripts w</w:t>
      </w:r>
      <w:r w:rsidR="00A75D85">
        <w:rPr>
          <w:szCs w:val="22"/>
        </w:rPr>
        <w:t>ould be</w:t>
      </w:r>
      <w:r w:rsidR="002229D1" w:rsidRPr="002229D1">
        <w:rPr>
          <w:szCs w:val="22"/>
        </w:rPr>
        <w:t xml:space="preserve"> </w:t>
      </w:r>
      <w:r w:rsidR="007B342A" w:rsidRPr="007B342A">
        <w:rPr>
          <w:szCs w:val="22"/>
        </w:rPr>
        <w:t xml:space="preserve">over 200,000 </w:t>
      </w:r>
      <w:r w:rsidR="002229D1" w:rsidRPr="002229D1">
        <w:rPr>
          <w:szCs w:val="22"/>
        </w:rPr>
        <w:t>and the net cost to</w:t>
      </w:r>
      <w:r w:rsidR="0004200E">
        <w:rPr>
          <w:szCs w:val="22"/>
        </w:rPr>
        <w:t xml:space="preserve"> the PBS would be </w:t>
      </w:r>
      <w:r w:rsidR="00315EAB">
        <w:rPr>
          <w:szCs w:val="22"/>
        </w:rPr>
        <w:t xml:space="preserve">over $100 million. </w:t>
      </w:r>
    </w:p>
    <w:p w:rsidR="00632A1D" w:rsidRPr="00592BD7" w:rsidRDefault="00632A1D" w:rsidP="00632A1D">
      <w:pPr>
        <w:widowControl/>
        <w:rPr>
          <w:szCs w:val="22"/>
        </w:rPr>
      </w:pPr>
    </w:p>
    <w:p w:rsidR="00576972" w:rsidRPr="00FB4B8D" w:rsidRDefault="00576972" w:rsidP="007A7CE1">
      <w:pPr>
        <w:pStyle w:val="Heading2"/>
        <w:keepNext/>
        <w:keepLines/>
        <w:rPr>
          <w:szCs w:val="22"/>
        </w:rPr>
      </w:pPr>
      <w:bookmarkStart w:id="17" w:name="_Toc409513923"/>
      <w:r w:rsidRPr="00FB4B8D">
        <w:t>Financial Management – Risk Sharing Arrangements</w:t>
      </w:r>
      <w:bookmarkEnd w:id="17"/>
    </w:p>
    <w:p w:rsidR="00C25D9C" w:rsidRPr="00576972" w:rsidRDefault="00C25D9C" w:rsidP="007A7CE1">
      <w:pPr>
        <w:keepNext/>
        <w:keepLines/>
        <w:widowControl/>
        <w:rPr>
          <w:szCs w:val="22"/>
        </w:rPr>
      </w:pPr>
    </w:p>
    <w:p w:rsidR="00632A1D" w:rsidRPr="006257C2" w:rsidRDefault="007D6A7F" w:rsidP="007A7CE1">
      <w:pPr>
        <w:pStyle w:val="ListParagraph"/>
        <w:keepNext/>
        <w:keepLines/>
        <w:widowControl/>
        <w:numPr>
          <w:ilvl w:val="1"/>
          <w:numId w:val="12"/>
        </w:numPr>
        <w:rPr>
          <w:szCs w:val="22"/>
        </w:rPr>
      </w:pPr>
      <w:r>
        <w:rPr>
          <w:szCs w:val="22"/>
        </w:rPr>
        <w:t>The sponsor recognised</w:t>
      </w:r>
      <w:r w:rsidR="00632A1D" w:rsidRPr="006257C2">
        <w:rPr>
          <w:szCs w:val="22"/>
        </w:rPr>
        <w:t xml:space="preserve"> the need for an arrangement to address the financial uncertainty associated with the PBS listing of </w:t>
      </w:r>
      <w:proofErr w:type="spellStart"/>
      <w:r w:rsidR="00632A1D" w:rsidRPr="006257C2">
        <w:rPr>
          <w:szCs w:val="22"/>
        </w:rPr>
        <w:t>evolocumab</w:t>
      </w:r>
      <w:proofErr w:type="spellEnd"/>
      <w:r w:rsidR="00632A1D" w:rsidRPr="006257C2">
        <w:rPr>
          <w:szCs w:val="22"/>
        </w:rPr>
        <w:t xml:space="preserve"> and welcomes PBAC feedba</w:t>
      </w:r>
      <w:r w:rsidR="00592BD7">
        <w:rPr>
          <w:szCs w:val="22"/>
        </w:rPr>
        <w:t>ck on the arrangement required.</w:t>
      </w:r>
    </w:p>
    <w:p w:rsidR="00632A1D" w:rsidRPr="00592BD7" w:rsidRDefault="00632A1D" w:rsidP="00632A1D">
      <w:pPr>
        <w:widowControl/>
        <w:rPr>
          <w:szCs w:val="22"/>
        </w:rPr>
      </w:pPr>
    </w:p>
    <w:p w:rsidR="00576972" w:rsidRPr="00632A1D" w:rsidRDefault="007D6A7F" w:rsidP="00632A1D">
      <w:pPr>
        <w:pStyle w:val="ListParagraph"/>
        <w:widowControl/>
        <w:numPr>
          <w:ilvl w:val="1"/>
          <w:numId w:val="12"/>
        </w:numPr>
        <w:rPr>
          <w:szCs w:val="22"/>
        </w:rPr>
      </w:pPr>
      <w:r>
        <w:rPr>
          <w:szCs w:val="22"/>
        </w:rPr>
        <w:t>The sponsor requested</w:t>
      </w:r>
      <w:r w:rsidR="00632A1D" w:rsidRPr="006257C2">
        <w:rPr>
          <w:szCs w:val="22"/>
        </w:rPr>
        <w:t xml:space="preserve"> a special pricing arrangement, where the sponsor would provide a confidential </w:t>
      </w:r>
      <w:r w:rsidR="00651444">
        <w:rPr>
          <w:noProof/>
          <w:color w:val="000000"/>
          <w:szCs w:val="22"/>
          <w:highlight w:val="black"/>
        </w:rPr>
        <w:t>'''''''''''</w:t>
      </w:r>
      <w:r w:rsidR="00632A1D" w:rsidRPr="006257C2">
        <w:rPr>
          <w:szCs w:val="22"/>
        </w:rPr>
        <w:t>% rebate based on total Commonwealth expenditure.</w:t>
      </w:r>
    </w:p>
    <w:p w:rsidR="00E22A0D" w:rsidRDefault="00E22A0D" w:rsidP="00592BD7"/>
    <w:p w:rsidR="00593616" w:rsidRPr="00592BD7" w:rsidRDefault="00593616" w:rsidP="00592BD7"/>
    <w:p w:rsidR="00991BD1" w:rsidRPr="0025173A" w:rsidRDefault="004525E9" w:rsidP="00991BD1">
      <w:pPr>
        <w:pStyle w:val="PBACHeading1"/>
      </w:pPr>
      <w:r>
        <w:t>PBAC Outcome</w:t>
      </w:r>
    </w:p>
    <w:p w:rsidR="00991BD1" w:rsidRPr="004525E9" w:rsidRDefault="00991BD1" w:rsidP="00991BD1">
      <w:pPr>
        <w:widowControl/>
        <w:rPr>
          <w:rFonts w:cs="Times New Roman"/>
          <w:snapToGrid/>
          <w:szCs w:val="22"/>
          <w:lang w:eastAsia="en-AU"/>
        </w:rPr>
      </w:pPr>
    </w:p>
    <w:p w:rsidR="00991BD1" w:rsidRPr="006C6D69" w:rsidRDefault="006C6D69" w:rsidP="00C14AF1">
      <w:pPr>
        <w:pStyle w:val="ListParagraph"/>
        <w:widowControl/>
        <w:numPr>
          <w:ilvl w:val="1"/>
          <w:numId w:val="12"/>
        </w:numPr>
        <w:snapToGrid w:val="0"/>
        <w:rPr>
          <w:rFonts w:cs="Times New Roman"/>
          <w:snapToGrid/>
          <w:szCs w:val="22"/>
          <w:lang w:eastAsia="en-AU"/>
        </w:rPr>
      </w:pPr>
      <w:r>
        <w:rPr>
          <w:szCs w:val="22"/>
        </w:rPr>
        <w:t xml:space="preserve">The PBAC rejected the request to list </w:t>
      </w:r>
      <w:proofErr w:type="spellStart"/>
      <w:r>
        <w:rPr>
          <w:szCs w:val="22"/>
        </w:rPr>
        <w:t>evolocumab</w:t>
      </w:r>
      <w:proofErr w:type="spellEnd"/>
      <w:r>
        <w:rPr>
          <w:szCs w:val="22"/>
        </w:rPr>
        <w:t xml:space="preserve"> for the treatment of </w:t>
      </w:r>
      <w:proofErr w:type="spellStart"/>
      <w:r w:rsidR="00C14AF1">
        <w:t>hypercholesterolaemia</w:t>
      </w:r>
      <w:proofErr w:type="spellEnd"/>
      <w:r>
        <w:rPr>
          <w:szCs w:val="22"/>
        </w:rPr>
        <w:t xml:space="preserve"> on the basis </w:t>
      </w:r>
      <w:r w:rsidR="00593616">
        <w:rPr>
          <w:szCs w:val="22"/>
        </w:rPr>
        <w:t xml:space="preserve">of </w:t>
      </w:r>
      <w:r>
        <w:rPr>
          <w:szCs w:val="22"/>
        </w:rPr>
        <w:t xml:space="preserve">unestablished clinical place in therapy </w:t>
      </w:r>
      <w:r w:rsidR="00C14AF1" w:rsidRPr="00C14AF1">
        <w:rPr>
          <w:szCs w:val="22"/>
        </w:rPr>
        <w:t>and the uncertainty surrounding its use in clinical practice.</w:t>
      </w:r>
    </w:p>
    <w:p w:rsidR="006C6D69" w:rsidRPr="004525E9" w:rsidRDefault="006C6D69" w:rsidP="006C6D69">
      <w:pPr>
        <w:widowControl/>
        <w:snapToGrid w:val="0"/>
        <w:rPr>
          <w:rFonts w:cs="Times New Roman"/>
          <w:snapToGrid/>
          <w:szCs w:val="22"/>
          <w:lang w:eastAsia="en-AU"/>
        </w:rPr>
      </w:pPr>
    </w:p>
    <w:p w:rsidR="006C6D69" w:rsidRDefault="006C6D69" w:rsidP="006C6D69">
      <w:pPr>
        <w:pStyle w:val="ListParagraph"/>
        <w:widowControl/>
        <w:numPr>
          <w:ilvl w:val="1"/>
          <w:numId w:val="12"/>
        </w:numPr>
        <w:snapToGrid w:val="0"/>
        <w:rPr>
          <w:szCs w:val="22"/>
        </w:rPr>
      </w:pPr>
      <w:r>
        <w:rPr>
          <w:szCs w:val="22"/>
        </w:rPr>
        <w:t>The PBAC noted that the submission was made u</w:t>
      </w:r>
      <w:r w:rsidR="001536CE">
        <w:rPr>
          <w:szCs w:val="22"/>
        </w:rPr>
        <w:t>nder the TGA-</w:t>
      </w:r>
      <w:r>
        <w:rPr>
          <w:szCs w:val="22"/>
        </w:rPr>
        <w:t xml:space="preserve">PBAC </w:t>
      </w:r>
      <w:r w:rsidR="001536CE">
        <w:rPr>
          <w:szCs w:val="22"/>
        </w:rPr>
        <w:t>parallel p</w:t>
      </w:r>
      <w:r>
        <w:rPr>
          <w:szCs w:val="22"/>
        </w:rPr>
        <w:t xml:space="preserve">rocess with the </w:t>
      </w:r>
      <w:r w:rsidR="00A75D85">
        <w:rPr>
          <w:szCs w:val="22"/>
        </w:rPr>
        <w:t xml:space="preserve">TGA </w:t>
      </w:r>
      <w:r>
        <w:rPr>
          <w:szCs w:val="22"/>
        </w:rPr>
        <w:t>Delegate’s consideration expected</w:t>
      </w:r>
      <w:r w:rsidR="000A3B2C">
        <w:rPr>
          <w:szCs w:val="22"/>
        </w:rPr>
        <w:t xml:space="preserve"> in</w:t>
      </w:r>
      <w:r>
        <w:rPr>
          <w:szCs w:val="22"/>
        </w:rPr>
        <w:t xml:space="preserve"> late 2015. </w:t>
      </w:r>
      <w:r w:rsidR="00A75D85">
        <w:rPr>
          <w:szCs w:val="22"/>
        </w:rPr>
        <w:t xml:space="preserve"> </w:t>
      </w:r>
      <w:r>
        <w:rPr>
          <w:szCs w:val="22"/>
        </w:rPr>
        <w:t xml:space="preserve">Accordingly, the PBAC noted that there were no TGA </w:t>
      </w:r>
      <w:r w:rsidR="00824698">
        <w:rPr>
          <w:szCs w:val="22"/>
        </w:rPr>
        <w:t>documents</w:t>
      </w:r>
      <w:r>
        <w:rPr>
          <w:szCs w:val="22"/>
        </w:rPr>
        <w:t xml:space="preserve"> available during </w:t>
      </w:r>
      <w:r w:rsidR="00824698">
        <w:rPr>
          <w:szCs w:val="22"/>
        </w:rPr>
        <w:t>t</w:t>
      </w:r>
      <w:r>
        <w:rPr>
          <w:szCs w:val="22"/>
        </w:rPr>
        <w:t xml:space="preserve">he time of PBAC consideration to determine the indication of the drug and its clinical </w:t>
      </w:r>
      <w:r w:rsidR="00824698">
        <w:rPr>
          <w:szCs w:val="22"/>
        </w:rPr>
        <w:t>place</w:t>
      </w:r>
      <w:r>
        <w:rPr>
          <w:szCs w:val="22"/>
        </w:rPr>
        <w:t xml:space="preserve"> in therapy.</w:t>
      </w:r>
    </w:p>
    <w:p w:rsidR="006C6D69" w:rsidRPr="004525E9" w:rsidRDefault="006C6D69" w:rsidP="006C6D69">
      <w:pPr>
        <w:rPr>
          <w:szCs w:val="22"/>
        </w:rPr>
      </w:pPr>
    </w:p>
    <w:p w:rsidR="000E4440" w:rsidRDefault="00A75D85" w:rsidP="006C6D69">
      <w:pPr>
        <w:pStyle w:val="ListParagraph"/>
        <w:widowControl/>
        <w:numPr>
          <w:ilvl w:val="1"/>
          <w:numId w:val="12"/>
        </w:numPr>
        <w:snapToGrid w:val="0"/>
        <w:rPr>
          <w:szCs w:val="22"/>
        </w:rPr>
      </w:pPr>
      <w:r>
        <w:rPr>
          <w:szCs w:val="22"/>
        </w:rPr>
        <w:t>T</w:t>
      </w:r>
      <w:r w:rsidR="006C6D69">
        <w:rPr>
          <w:szCs w:val="22"/>
        </w:rPr>
        <w:t>he PBAC noted</w:t>
      </w:r>
      <w:r w:rsidR="00BA08F2">
        <w:rPr>
          <w:szCs w:val="22"/>
        </w:rPr>
        <w:t xml:space="preserve"> that, until the TGA Delegate’s initial consideration is complete,</w:t>
      </w:r>
      <w:r w:rsidR="006C6D69">
        <w:rPr>
          <w:szCs w:val="22"/>
        </w:rPr>
        <w:t xml:space="preserve"> the </w:t>
      </w:r>
      <w:r w:rsidR="00824698">
        <w:rPr>
          <w:szCs w:val="22"/>
        </w:rPr>
        <w:t>DUSC and ESC</w:t>
      </w:r>
      <w:r w:rsidR="006C6D69">
        <w:rPr>
          <w:szCs w:val="22"/>
        </w:rPr>
        <w:t xml:space="preserve"> Advices</w:t>
      </w:r>
      <w:r>
        <w:rPr>
          <w:szCs w:val="22"/>
        </w:rPr>
        <w:t xml:space="preserve"> </w:t>
      </w:r>
      <w:r w:rsidR="006C6D69">
        <w:rPr>
          <w:szCs w:val="22"/>
        </w:rPr>
        <w:t>provide</w:t>
      </w:r>
      <w:r>
        <w:rPr>
          <w:szCs w:val="22"/>
        </w:rPr>
        <w:t xml:space="preserve">d </w:t>
      </w:r>
      <w:r w:rsidR="000A3B2C">
        <w:rPr>
          <w:szCs w:val="22"/>
        </w:rPr>
        <w:t>su</w:t>
      </w:r>
      <w:r>
        <w:rPr>
          <w:szCs w:val="22"/>
        </w:rPr>
        <w:t>fficient comment</w:t>
      </w:r>
      <w:r w:rsidR="00593616">
        <w:rPr>
          <w:szCs w:val="22"/>
        </w:rPr>
        <w:t xml:space="preserve"> on the clinical claim, economic analysis and financial implications</w:t>
      </w:r>
      <w:r w:rsidR="00824698">
        <w:rPr>
          <w:szCs w:val="22"/>
        </w:rPr>
        <w:t>.</w:t>
      </w:r>
      <w:r>
        <w:rPr>
          <w:szCs w:val="22"/>
        </w:rPr>
        <w:t xml:space="preserve"> </w:t>
      </w:r>
      <w:r w:rsidR="00824698">
        <w:rPr>
          <w:szCs w:val="22"/>
        </w:rPr>
        <w:t xml:space="preserve"> The PBAC</w:t>
      </w:r>
      <w:r w:rsidR="000E4440">
        <w:rPr>
          <w:szCs w:val="22"/>
        </w:rPr>
        <w:t xml:space="preserve"> </w:t>
      </w:r>
      <w:r w:rsidR="005556B8">
        <w:rPr>
          <w:szCs w:val="22"/>
        </w:rPr>
        <w:t xml:space="preserve">also noted </w:t>
      </w:r>
      <w:r w:rsidR="00824698">
        <w:rPr>
          <w:szCs w:val="22"/>
        </w:rPr>
        <w:t>that</w:t>
      </w:r>
      <w:r w:rsidR="000E4440">
        <w:rPr>
          <w:szCs w:val="22"/>
        </w:rPr>
        <w:t xml:space="preserve"> the DUSC and ESC Advices </w:t>
      </w:r>
      <w:r w:rsidR="009F5D63">
        <w:rPr>
          <w:szCs w:val="22"/>
        </w:rPr>
        <w:t xml:space="preserve">may </w:t>
      </w:r>
      <w:r w:rsidR="000E4440">
        <w:rPr>
          <w:szCs w:val="22"/>
        </w:rPr>
        <w:t xml:space="preserve">need </w:t>
      </w:r>
      <w:r w:rsidR="0002510A">
        <w:rPr>
          <w:szCs w:val="22"/>
        </w:rPr>
        <w:t>amendment</w:t>
      </w:r>
      <w:r w:rsidR="000E4440">
        <w:rPr>
          <w:szCs w:val="22"/>
        </w:rPr>
        <w:t xml:space="preserve"> following </w:t>
      </w:r>
      <w:r>
        <w:rPr>
          <w:szCs w:val="22"/>
        </w:rPr>
        <w:t xml:space="preserve">this </w:t>
      </w:r>
      <w:r w:rsidR="000E4440">
        <w:rPr>
          <w:szCs w:val="22"/>
        </w:rPr>
        <w:t>T</w:t>
      </w:r>
      <w:r w:rsidR="004525E9">
        <w:rPr>
          <w:szCs w:val="22"/>
        </w:rPr>
        <w:t xml:space="preserve">GA consideration of </w:t>
      </w:r>
      <w:proofErr w:type="spellStart"/>
      <w:r w:rsidR="004525E9">
        <w:rPr>
          <w:szCs w:val="22"/>
        </w:rPr>
        <w:t>evolocumab</w:t>
      </w:r>
      <w:proofErr w:type="spellEnd"/>
      <w:r w:rsidR="004525E9">
        <w:rPr>
          <w:szCs w:val="22"/>
        </w:rPr>
        <w:t>.</w:t>
      </w:r>
    </w:p>
    <w:p w:rsidR="000E4440" w:rsidRPr="004525E9" w:rsidRDefault="000E4440" w:rsidP="000E4440">
      <w:pPr>
        <w:rPr>
          <w:szCs w:val="22"/>
        </w:rPr>
      </w:pPr>
    </w:p>
    <w:p w:rsidR="006C6D69" w:rsidRDefault="000E4440" w:rsidP="006C6D69">
      <w:pPr>
        <w:pStyle w:val="ListParagraph"/>
        <w:widowControl/>
        <w:numPr>
          <w:ilvl w:val="1"/>
          <w:numId w:val="12"/>
        </w:numPr>
        <w:snapToGrid w:val="0"/>
        <w:rPr>
          <w:szCs w:val="22"/>
        </w:rPr>
      </w:pPr>
      <w:r>
        <w:rPr>
          <w:szCs w:val="22"/>
        </w:rPr>
        <w:t xml:space="preserve">The PBAC noted that </w:t>
      </w:r>
      <w:r w:rsidR="00824698">
        <w:rPr>
          <w:szCs w:val="22"/>
        </w:rPr>
        <w:t xml:space="preserve">the sponsor </w:t>
      </w:r>
      <w:r>
        <w:rPr>
          <w:szCs w:val="22"/>
        </w:rPr>
        <w:t>anticipated a deferral or a rejection as</w:t>
      </w:r>
      <w:r w:rsidR="00B9739A">
        <w:rPr>
          <w:szCs w:val="22"/>
        </w:rPr>
        <w:t xml:space="preserve"> the</w:t>
      </w:r>
      <w:r w:rsidR="00824698">
        <w:rPr>
          <w:szCs w:val="22"/>
        </w:rPr>
        <w:t xml:space="preserve"> Pre-PBAC response </w:t>
      </w:r>
      <w:r w:rsidR="00753FFC">
        <w:rPr>
          <w:szCs w:val="22"/>
        </w:rPr>
        <w:t xml:space="preserve">stated </w:t>
      </w:r>
      <w:r>
        <w:rPr>
          <w:szCs w:val="22"/>
        </w:rPr>
        <w:t>that any advice from PBAC and its subcommittees w</w:t>
      </w:r>
      <w:r w:rsidR="00A75D85">
        <w:rPr>
          <w:szCs w:val="22"/>
        </w:rPr>
        <w:t>ould</w:t>
      </w:r>
      <w:r>
        <w:rPr>
          <w:szCs w:val="22"/>
        </w:rPr>
        <w:t xml:space="preserve"> be assimilated into a planned resubmission. </w:t>
      </w:r>
      <w:r w:rsidR="00A75D85">
        <w:rPr>
          <w:szCs w:val="22"/>
        </w:rPr>
        <w:t xml:space="preserve"> </w:t>
      </w:r>
      <w:r>
        <w:rPr>
          <w:szCs w:val="22"/>
        </w:rPr>
        <w:t xml:space="preserve">The PBAC </w:t>
      </w:r>
      <w:r w:rsidR="00A75D85">
        <w:rPr>
          <w:szCs w:val="22"/>
        </w:rPr>
        <w:t>noted</w:t>
      </w:r>
      <w:r>
        <w:rPr>
          <w:szCs w:val="22"/>
        </w:rPr>
        <w:t xml:space="preserve"> that the intent of the submission was to initiate </w:t>
      </w:r>
      <w:r w:rsidR="00A75D85">
        <w:rPr>
          <w:szCs w:val="22"/>
        </w:rPr>
        <w:t>a dialogue</w:t>
      </w:r>
      <w:r w:rsidR="001C3C70">
        <w:rPr>
          <w:szCs w:val="22"/>
        </w:rPr>
        <w:t xml:space="preserve"> rather</w:t>
      </w:r>
      <w:r w:rsidR="00A75D85">
        <w:rPr>
          <w:szCs w:val="22"/>
        </w:rPr>
        <w:t xml:space="preserve"> than to request </w:t>
      </w:r>
      <w:r w:rsidR="00124F38">
        <w:rPr>
          <w:szCs w:val="22"/>
        </w:rPr>
        <w:t xml:space="preserve">PBS </w:t>
      </w:r>
      <w:r w:rsidR="00A75D85">
        <w:rPr>
          <w:szCs w:val="22"/>
        </w:rPr>
        <w:t xml:space="preserve">listing.  </w:t>
      </w:r>
      <w:r>
        <w:rPr>
          <w:szCs w:val="22"/>
        </w:rPr>
        <w:t>The PBAC did not consider the</w:t>
      </w:r>
      <w:r w:rsidR="00D405A7">
        <w:rPr>
          <w:szCs w:val="22"/>
        </w:rPr>
        <w:t xml:space="preserve"> timing of the submission to be appropriate</w:t>
      </w:r>
      <w:r w:rsidR="00E70419">
        <w:rPr>
          <w:szCs w:val="22"/>
        </w:rPr>
        <w:t xml:space="preserve"> and stated that it was not an optimal use of time and </w:t>
      </w:r>
      <w:r w:rsidR="00A75D85">
        <w:rPr>
          <w:szCs w:val="22"/>
        </w:rPr>
        <w:t xml:space="preserve">scarce </w:t>
      </w:r>
      <w:r w:rsidR="00E70419">
        <w:rPr>
          <w:szCs w:val="22"/>
        </w:rPr>
        <w:t>resource</w:t>
      </w:r>
      <w:r w:rsidR="00A75D85">
        <w:rPr>
          <w:szCs w:val="22"/>
        </w:rPr>
        <w:t>s</w:t>
      </w:r>
      <w:r w:rsidR="00E70419">
        <w:rPr>
          <w:szCs w:val="22"/>
        </w:rPr>
        <w:t xml:space="preserve">. </w:t>
      </w:r>
      <w:r w:rsidR="00A75D85">
        <w:rPr>
          <w:szCs w:val="22"/>
        </w:rPr>
        <w:t xml:space="preserve"> </w:t>
      </w:r>
      <w:r w:rsidR="00E70419">
        <w:rPr>
          <w:szCs w:val="22"/>
        </w:rPr>
        <w:t>The PBAC therefore a</w:t>
      </w:r>
      <w:r w:rsidR="00D405A7">
        <w:rPr>
          <w:szCs w:val="22"/>
        </w:rPr>
        <w:t>dvised the Department</w:t>
      </w:r>
      <w:r w:rsidR="0002510A">
        <w:rPr>
          <w:szCs w:val="22"/>
        </w:rPr>
        <w:t xml:space="preserve"> </w:t>
      </w:r>
      <w:r w:rsidR="00D405A7">
        <w:rPr>
          <w:szCs w:val="22"/>
        </w:rPr>
        <w:t xml:space="preserve">to consider amending the guidelines for </w:t>
      </w:r>
      <w:r w:rsidR="00A75D85">
        <w:rPr>
          <w:szCs w:val="22"/>
        </w:rPr>
        <w:t xml:space="preserve">the TGA-PBAC </w:t>
      </w:r>
      <w:r w:rsidR="00D405A7">
        <w:rPr>
          <w:szCs w:val="22"/>
        </w:rPr>
        <w:t xml:space="preserve">parallel process to prevent </w:t>
      </w:r>
      <w:r w:rsidR="0002510A">
        <w:rPr>
          <w:szCs w:val="22"/>
        </w:rPr>
        <w:t xml:space="preserve">the consideration of </w:t>
      </w:r>
      <w:r w:rsidR="00A75D85">
        <w:rPr>
          <w:szCs w:val="22"/>
        </w:rPr>
        <w:t xml:space="preserve">such </w:t>
      </w:r>
      <w:r w:rsidR="009F5D63">
        <w:rPr>
          <w:szCs w:val="22"/>
        </w:rPr>
        <w:t>premature</w:t>
      </w:r>
      <w:r w:rsidR="00E70419">
        <w:rPr>
          <w:szCs w:val="22"/>
        </w:rPr>
        <w:t xml:space="preserve"> </w:t>
      </w:r>
      <w:r w:rsidR="004525E9">
        <w:rPr>
          <w:szCs w:val="22"/>
        </w:rPr>
        <w:t>submissions</w:t>
      </w:r>
      <w:r w:rsidR="00465699">
        <w:rPr>
          <w:szCs w:val="22"/>
        </w:rPr>
        <w:t xml:space="preserve"> in the future</w:t>
      </w:r>
      <w:r w:rsidR="004525E9">
        <w:rPr>
          <w:szCs w:val="22"/>
        </w:rPr>
        <w:t>.</w:t>
      </w:r>
    </w:p>
    <w:p w:rsidR="0002510A" w:rsidRPr="004525E9" w:rsidRDefault="0002510A" w:rsidP="0002510A">
      <w:pPr>
        <w:rPr>
          <w:szCs w:val="22"/>
        </w:rPr>
      </w:pPr>
    </w:p>
    <w:p w:rsidR="00277CB4" w:rsidRDefault="0002510A" w:rsidP="00277CB4">
      <w:pPr>
        <w:pStyle w:val="ListParagraph"/>
        <w:widowControl/>
        <w:snapToGrid w:val="0"/>
        <w:rPr>
          <w:szCs w:val="22"/>
        </w:rPr>
      </w:pPr>
      <w:r>
        <w:rPr>
          <w:szCs w:val="22"/>
        </w:rPr>
        <w:t>The PBAC stated that the Public Summary Document</w:t>
      </w:r>
      <w:r w:rsidR="00593616">
        <w:rPr>
          <w:szCs w:val="22"/>
        </w:rPr>
        <w:t xml:space="preserve"> (PSD)</w:t>
      </w:r>
      <w:r>
        <w:rPr>
          <w:szCs w:val="22"/>
        </w:rPr>
        <w:t xml:space="preserve"> for </w:t>
      </w:r>
      <w:proofErr w:type="spellStart"/>
      <w:r>
        <w:rPr>
          <w:szCs w:val="22"/>
        </w:rPr>
        <w:t>evolocumab</w:t>
      </w:r>
      <w:proofErr w:type="spellEnd"/>
      <w:r>
        <w:rPr>
          <w:szCs w:val="22"/>
        </w:rPr>
        <w:t xml:space="preserve"> should be published in accordance with normal timeframes of a ‘</w:t>
      </w:r>
      <w:r w:rsidR="00E70419">
        <w:rPr>
          <w:szCs w:val="22"/>
        </w:rPr>
        <w:t>rejection</w:t>
      </w:r>
      <w:r>
        <w:rPr>
          <w:szCs w:val="22"/>
        </w:rPr>
        <w:t>’</w:t>
      </w:r>
      <w:r w:rsidR="0048651A">
        <w:rPr>
          <w:szCs w:val="22"/>
        </w:rPr>
        <w:t xml:space="preserve"> agenda item</w:t>
      </w:r>
      <w:r w:rsidR="00E70419">
        <w:rPr>
          <w:szCs w:val="22"/>
        </w:rPr>
        <w:t>,</w:t>
      </w:r>
      <w:r w:rsidR="00593616">
        <w:rPr>
          <w:szCs w:val="22"/>
        </w:rPr>
        <w:t xml:space="preserve"> despite the fact that it w</w:t>
      </w:r>
      <w:r w:rsidR="00A75D85">
        <w:rPr>
          <w:szCs w:val="22"/>
        </w:rPr>
        <w:t xml:space="preserve">ould </w:t>
      </w:r>
      <w:r>
        <w:rPr>
          <w:szCs w:val="22"/>
        </w:rPr>
        <w:t xml:space="preserve">not </w:t>
      </w:r>
      <w:r w:rsidR="00A75D85">
        <w:rPr>
          <w:szCs w:val="22"/>
        </w:rPr>
        <w:t xml:space="preserve">have </w:t>
      </w:r>
      <w:r w:rsidR="00593616">
        <w:rPr>
          <w:szCs w:val="22"/>
        </w:rPr>
        <w:t>receive</w:t>
      </w:r>
      <w:r w:rsidR="00A75D85">
        <w:rPr>
          <w:szCs w:val="22"/>
        </w:rPr>
        <w:t>d</w:t>
      </w:r>
      <w:r>
        <w:rPr>
          <w:szCs w:val="22"/>
        </w:rPr>
        <w:t xml:space="preserve"> TGA </w:t>
      </w:r>
      <w:r w:rsidR="00E70419">
        <w:rPr>
          <w:szCs w:val="22"/>
        </w:rPr>
        <w:t>approval</w:t>
      </w:r>
      <w:r w:rsidR="00593616">
        <w:rPr>
          <w:szCs w:val="22"/>
        </w:rPr>
        <w:t xml:space="preserve"> </w:t>
      </w:r>
      <w:r w:rsidR="00A75D85">
        <w:rPr>
          <w:szCs w:val="22"/>
        </w:rPr>
        <w:t xml:space="preserve">by the </w:t>
      </w:r>
      <w:r w:rsidR="00593616">
        <w:rPr>
          <w:szCs w:val="22"/>
        </w:rPr>
        <w:t>time of PSD publication</w:t>
      </w:r>
      <w:r w:rsidR="00E70419">
        <w:rPr>
          <w:szCs w:val="22"/>
        </w:rPr>
        <w:t xml:space="preserve">. </w:t>
      </w:r>
      <w:r w:rsidR="00A75D85">
        <w:rPr>
          <w:szCs w:val="22"/>
        </w:rPr>
        <w:t xml:space="preserve"> </w:t>
      </w:r>
      <w:r w:rsidR="00E70419">
        <w:rPr>
          <w:szCs w:val="22"/>
        </w:rPr>
        <w:t>The PBAC considered that this would be appropriate for purposes of transparency</w:t>
      </w:r>
      <w:r w:rsidR="0048651A">
        <w:rPr>
          <w:szCs w:val="22"/>
        </w:rPr>
        <w:t xml:space="preserve"> and clarity in the process and also for </w:t>
      </w:r>
      <w:r w:rsidR="00BA08F2">
        <w:rPr>
          <w:szCs w:val="22"/>
        </w:rPr>
        <w:t xml:space="preserve">the </w:t>
      </w:r>
      <w:r w:rsidR="0048651A">
        <w:rPr>
          <w:szCs w:val="22"/>
        </w:rPr>
        <w:t>public</w:t>
      </w:r>
      <w:r w:rsidR="004525E9">
        <w:rPr>
          <w:szCs w:val="22"/>
        </w:rPr>
        <w:t xml:space="preserve"> interest.</w:t>
      </w:r>
    </w:p>
    <w:p w:rsidR="00277CB4" w:rsidRDefault="00277CB4" w:rsidP="00277CB4">
      <w:pPr>
        <w:pStyle w:val="ListParagraph"/>
        <w:widowControl/>
        <w:snapToGrid w:val="0"/>
        <w:rPr>
          <w:szCs w:val="22"/>
        </w:rPr>
      </w:pPr>
    </w:p>
    <w:p w:rsidR="00991BD1" w:rsidRPr="0025173A" w:rsidRDefault="00991BD1" w:rsidP="00277CB4">
      <w:pPr>
        <w:pStyle w:val="ListParagraph"/>
        <w:widowControl/>
        <w:numPr>
          <w:ilvl w:val="1"/>
          <w:numId w:val="12"/>
        </w:numPr>
        <w:snapToGrid w:val="0"/>
        <w:rPr>
          <w:snapToGrid/>
          <w:lang w:eastAsia="en-AU"/>
        </w:rPr>
      </w:pPr>
      <w:r w:rsidRPr="0025173A">
        <w:rPr>
          <w:snapToGrid/>
          <w:lang w:eastAsia="en-AU"/>
        </w:rPr>
        <w:t>The PBA</w:t>
      </w:r>
      <w:r w:rsidR="0002510A">
        <w:rPr>
          <w:snapToGrid/>
          <w:lang w:eastAsia="en-AU"/>
        </w:rPr>
        <w:t>C noted that this submission is</w:t>
      </w:r>
      <w:r w:rsidRPr="0025173A">
        <w:rPr>
          <w:snapToGrid/>
          <w:lang w:eastAsia="en-AU"/>
        </w:rPr>
        <w:t xml:space="preserve"> elig</w:t>
      </w:r>
      <w:r w:rsidR="004525E9">
        <w:rPr>
          <w:snapToGrid/>
          <w:lang w:eastAsia="en-AU"/>
        </w:rPr>
        <w:t>ible for an Independent Review.</w:t>
      </w:r>
    </w:p>
    <w:p w:rsidR="00991BD1" w:rsidRDefault="00991BD1" w:rsidP="00991BD1">
      <w:pPr>
        <w:widowControl/>
        <w:jc w:val="left"/>
        <w:rPr>
          <w:rFonts w:cs="Times New Roman"/>
          <w:snapToGrid/>
          <w:szCs w:val="22"/>
          <w:lang w:eastAsia="en-AU"/>
        </w:rPr>
      </w:pPr>
    </w:p>
    <w:p w:rsidR="009B39D1" w:rsidRPr="004525E9" w:rsidRDefault="009B39D1" w:rsidP="00991BD1">
      <w:pPr>
        <w:widowControl/>
        <w:jc w:val="left"/>
        <w:rPr>
          <w:rFonts w:cs="Times New Roman"/>
          <w:snapToGrid/>
          <w:szCs w:val="22"/>
          <w:lang w:eastAsia="en-AU"/>
        </w:rPr>
      </w:pPr>
    </w:p>
    <w:p w:rsidR="00C14AF1" w:rsidRPr="00C14AF1" w:rsidRDefault="00C14AF1" w:rsidP="00C14AF1">
      <w:pPr>
        <w:widowControl/>
        <w:rPr>
          <w:rFonts w:cs="Times New Roman"/>
          <w:b/>
          <w:snapToGrid/>
          <w:szCs w:val="22"/>
          <w:lang w:eastAsia="en-AU"/>
        </w:rPr>
      </w:pPr>
      <w:r w:rsidRPr="00C14AF1">
        <w:rPr>
          <w:rFonts w:cs="Times New Roman"/>
          <w:b/>
          <w:snapToGrid/>
          <w:szCs w:val="22"/>
          <w:lang w:eastAsia="en-AU"/>
        </w:rPr>
        <w:lastRenderedPageBreak/>
        <w:t>Outcome:</w:t>
      </w:r>
    </w:p>
    <w:p w:rsidR="00C14AF1" w:rsidRDefault="00C14AF1" w:rsidP="0068651E">
      <w:pPr>
        <w:widowControl/>
        <w:rPr>
          <w:rFonts w:cs="Times New Roman"/>
          <w:snapToGrid/>
          <w:szCs w:val="22"/>
          <w:lang w:eastAsia="en-AU"/>
        </w:rPr>
      </w:pPr>
      <w:r w:rsidRPr="00C14AF1">
        <w:rPr>
          <w:rFonts w:cs="Times New Roman"/>
          <w:snapToGrid/>
          <w:szCs w:val="22"/>
          <w:lang w:eastAsia="en-AU"/>
        </w:rPr>
        <w:t>Reject</w:t>
      </w:r>
    </w:p>
    <w:p w:rsidR="000F1FF8" w:rsidRDefault="000F1FF8" w:rsidP="0068651E">
      <w:pPr>
        <w:widowControl/>
        <w:rPr>
          <w:rFonts w:cs="Times New Roman"/>
          <w:snapToGrid/>
          <w:szCs w:val="22"/>
          <w:lang w:eastAsia="en-AU"/>
        </w:rPr>
      </w:pPr>
    </w:p>
    <w:p w:rsidR="000F1FF8" w:rsidRPr="000F1FF8" w:rsidRDefault="000F1FF8" w:rsidP="000F1FF8">
      <w:pPr>
        <w:widowControl/>
        <w:numPr>
          <w:ilvl w:val="0"/>
          <w:numId w:val="12"/>
        </w:numPr>
        <w:jc w:val="left"/>
        <w:rPr>
          <w:rFonts w:eastAsia="SimSun"/>
          <w:b/>
          <w:snapToGrid/>
          <w:szCs w:val="22"/>
        </w:rPr>
      </w:pPr>
      <w:r w:rsidRPr="000F1FF8">
        <w:rPr>
          <w:rFonts w:eastAsia="SimSun"/>
          <w:b/>
          <w:snapToGrid/>
          <w:szCs w:val="22"/>
        </w:rPr>
        <w:t>Context for Decision</w:t>
      </w:r>
    </w:p>
    <w:p w:rsidR="000F1FF8" w:rsidRPr="000F1FF8" w:rsidRDefault="000F1FF8" w:rsidP="000F1FF8">
      <w:pPr>
        <w:widowControl/>
        <w:ind w:left="720"/>
        <w:contextualSpacing/>
        <w:jc w:val="left"/>
        <w:rPr>
          <w:rFonts w:ascii="Times New Roman" w:hAnsi="Times New Roman" w:cs="Times New Roman"/>
          <w:b/>
          <w:snapToGrid/>
          <w:sz w:val="24"/>
          <w:szCs w:val="24"/>
          <w:lang w:eastAsia="en-AU"/>
        </w:rPr>
      </w:pPr>
    </w:p>
    <w:p w:rsidR="000F1FF8" w:rsidRPr="000F1FF8" w:rsidRDefault="000F1FF8" w:rsidP="000F1FF8">
      <w:pPr>
        <w:widowControl/>
        <w:ind w:left="720"/>
        <w:jc w:val="left"/>
        <w:rPr>
          <w:bCs/>
          <w:szCs w:val="22"/>
          <w:lang w:eastAsia="en-AU"/>
        </w:rPr>
      </w:pPr>
      <w:r w:rsidRPr="000F1FF8">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F1FF8" w:rsidRPr="000F1FF8" w:rsidRDefault="000F1FF8" w:rsidP="000F1FF8">
      <w:pPr>
        <w:widowControl/>
        <w:jc w:val="left"/>
        <w:rPr>
          <w:rFonts w:ascii="Times New Roman" w:hAnsi="Times New Roman" w:cs="Times New Roman"/>
          <w:snapToGrid/>
          <w:sz w:val="24"/>
          <w:szCs w:val="24"/>
          <w:lang w:eastAsia="en-AU"/>
        </w:rPr>
      </w:pPr>
    </w:p>
    <w:p w:rsidR="000F1FF8" w:rsidRPr="000F1FF8" w:rsidRDefault="000F1FF8" w:rsidP="000F1FF8">
      <w:pPr>
        <w:widowControl/>
        <w:numPr>
          <w:ilvl w:val="0"/>
          <w:numId w:val="12"/>
        </w:numPr>
        <w:jc w:val="left"/>
        <w:rPr>
          <w:rFonts w:eastAsia="SimSun"/>
          <w:b/>
          <w:snapToGrid/>
          <w:szCs w:val="22"/>
        </w:rPr>
      </w:pPr>
      <w:r w:rsidRPr="000F1FF8">
        <w:rPr>
          <w:rFonts w:eastAsia="SimSun"/>
          <w:b/>
          <w:snapToGrid/>
          <w:szCs w:val="22"/>
        </w:rPr>
        <w:t>Sponsor’s Comment</w:t>
      </w:r>
    </w:p>
    <w:p w:rsidR="000F1FF8" w:rsidRPr="000F1FF8" w:rsidRDefault="000F1FF8" w:rsidP="000F1FF8">
      <w:pPr>
        <w:widowControl/>
        <w:rPr>
          <w:rFonts w:cs="Times New Roman"/>
          <w:snapToGrid/>
          <w:szCs w:val="22"/>
          <w:lang w:eastAsia="en-AU"/>
        </w:rPr>
      </w:pPr>
    </w:p>
    <w:p w:rsidR="000F1FF8" w:rsidRPr="00C14AF1" w:rsidRDefault="00315EAB" w:rsidP="00BD2591">
      <w:pPr>
        <w:widowControl/>
        <w:ind w:left="720"/>
        <w:rPr>
          <w:rFonts w:cs="Times New Roman"/>
          <w:snapToGrid/>
          <w:szCs w:val="22"/>
          <w:lang w:eastAsia="en-AU"/>
        </w:rPr>
      </w:pPr>
      <w:r w:rsidRPr="00315EAB">
        <w:rPr>
          <w:rFonts w:cs="Times New Roman"/>
          <w:snapToGrid/>
          <w:szCs w:val="22"/>
          <w:lang w:eastAsia="en-AU"/>
        </w:rPr>
        <w:t xml:space="preserve">The intent of submitting this dossier through the </w:t>
      </w:r>
      <w:r w:rsidRPr="00315EAB">
        <w:rPr>
          <w:szCs w:val="22"/>
        </w:rPr>
        <w:t>TGA-PBAC parallel process</w:t>
      </w:r>
      <w:r w:rsidRPr="00315EAB">
        <w:rPr>
          <w:rFonts w:cs="Times New Roman"/>
          <w:snapToGrid/>
          <w:szCs w:val="22"/>
          <w:lang w:eastAsia="en-AU"/>
        </w:rPr>
        <w:t xml:space="preserve"> was to open a dialogue in good faith with the PBAC to work collaboratively and ensure the best interests of patients were served.  Amgen intends to continue to work constructively and collaboratively with the PBAC to secure PBS listing of </w:t>
      </w:r>
      <w:proofErr w:type="spellStart"/>
      <w:r w:rsidRPr="00315EAB">
        <w:rPr>
          <w:rFonts w:cs="Times New Roman"/>
          <w:snapToGrid/>
          <w:szCs w:val="22"/>
          <w:lang w:eastAsia="en-AU"/>
        </w:rPr>
        <w:t>evolocumab</w:t>
      </w:r>
      <w:proofErr w:type="spellEnd"/>
      <w:r w:rsidRPr="00315EAB">
        <w:rPr>
          <w:rFonts w:cs="Times New Roman"/>
          <w:snapToGrid/>
          <w:szCs w:val="22"/>
          <w:lang w:eastAsia="en-AU"/>
        </w:rPr>
        <w:t xml:space="preserve"> for Australian patients.  </w:t>
      </w:r>
    </w:p>
    <w:sectPr w:rsidR="000F1FF8" w:rsidRPr="00C14AF1" w:rsidSect="005F762C">
      <w:headerReference w:type="even" r:id="rId9"/>
      <w:headerReference w:type="default" r:id="rId10"/>
      <w:footerReference w:type="even" r:id="rId11"/>
      <w:footerReference w:type="default" r:id="rId12"/>
      <w:headerReference w:type="first" r:id="rId13"/>
      <w:footerReference w:type="first" r:id="rId14"/>
      <w:pgSz w:w="11906" w:h="16838"/>
      <w:pgMar w:top="824"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D9" w:rsidRDefault="006741D9" w:rsidP="00124A51">
      <w:r>
        <w:separator/>
      </w:r>
    </w:p>
  </w:endnote>
  <w:endnote w:type="continuationSeparator" w:id="0">
    <w:p w:rsidR="006741D9" w:rsidRDefault="006741D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BA3" w:rsidRDefault="00920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983095"/>
      <w:docPartObj>
        <w:docPartGallery w:val="Page Numbers (Bottom of Page)"/>
        <w:docPartUnique/>
      </w:docPartObj>
    </w:sdtPr>
    <w:sdtEndPr>
      <w:rPr>
        <w:noProof/>
      </w:rPr>
    </w:sdtEndPr>
    <w:sdtContent>
      <w:p w:rsidR="006741D9" w:rsidRDefault="006741D9">
        <w:pPr>
          <w:pStyle w:val="Footer"/>
          <w:jc w:val="center"/>
        </w:pPr>
        <w:r>
          <w:fldChar w:fldCharType="begin"/>
        </w:r>
        <w:r>
          <w:instrText xml:space="preserve"> PAGE   \* MERGEFORMAT </w:instrText>
        </w:r>
        <w:r>
          <w:fldChar w:fldCharType="separate"/>
        </w:r>
        <w:r w:rsidR="00EE5800">
          <w:rPr>
            <w:noProof/>
          </w:rPr>
          <w:t>15</w:t>
        </w:r>
        <w:r>
          <w:rPr>
            <w:noProof/>
          </w:rPr>
          <w:fldChar w:fldCharType="end"/>
        </w:r>
      </w:p>
    </w:sdtContent>
  </w:sdt>
  <w:p w:rsidR="006741D9" w:rsidRPr="00D13A3E" w:rsidRDefault="006741D9"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BA3" w:rsidRDefault="00920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D9" w:rsidRDefault="006741D9" w:rsidP="00124A51">
      <w:r>
        <w:separator/>
      </w:r>
    </w:p>
  </w:footnote>
  <w:footnote w:type="continuationSeparator" w:id="0">
    <w:p w:rsidR="006741D9" w:rsidRDefault="006741D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BA3" w:rsidRDefault="00920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D9" w:rsidRPr="007E3318" w:rsidRDefault="006741D9" w:rsidP="00991BD1">
    <w:pPr>
      <w:tabs>
        <w:tab w:val="center" w:pos="4513"/>
        <w:tab w:val="right" w:pos="9026"/>
      </w:tabs>
      <w:jc w:val="center"/>
      <w:rPr>
        <w:i/>
        <w:color w:val="808080"/>
      </w:rPr>
    </w:pPr>
    <w:r>
      <w:rPr>
        <w:i/>
        <w:color w:val="808080"/>
      </w:rPr>
      <w:t xml:space="preserve">Public Summary Document </w:t>
    </w:r>
    <w:r w:rsidRPr="007E3318">
      <w:rPr>
        <w:i/>
        <w:color w:val="808080"/>
      </w:rPr>
      <w:t>– March 2015 PBAC Meeting</w:t>
    </w:r>
  </w:p>
  <w:p w:rsidR="006741D9" w:rsidRPr="008C7ECB" w:rsidRDefault="006741D9" w:rsidP="005F762C">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BA3" w:rsidRDefault="00920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ABD"/>
    <w:multiLevelType w:val="hybridMultilevel"/>
    <w:tmpl w:val="B614C5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2">
    <w:nsid w:val="0C3E6551"/>
    <w:multiLevelType w:val="hybridMultilevel"/>
    <w:tmpl w:val="1EF62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8A3DEA"/>
    <w:multiLevelType w:val="hybridMultilevel"/>
    <w:tmpl w:val="DE7E0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1A647D"/>
    <w:multiLevelType w:val="hybridMultilevel"/>
    <w:tmpl w:val="D774F94A"/>
    <w:lvl w:ilvl="0" w:tplc="249A75F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635213"/>
    <w:multiLevelType w:val="hybridMultilevel"/>
    <w:tmpl w:val="EBE09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28443A"/>
    <w:multiLevelType w:val="hybridMultilevel"/>
    <w:tmpl w:val="C5AABAE4"/>
    <w:lvl w:ilvl="0" w:tplc="042A2FF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CC85534"/>
    <w:multiLevelType w:val="hybridMultilevel"/>
    <w:tmpl w:val="449EB368"/>
    <w:lvl w:ilvl="0" w:tplc="249A75F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DC414C3"/>
    <w:multiLevelType w:val="hybridMultilevel"/>
    <w:tmpl w:val="3E9AF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4">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F6F0303"/>
    <w:multiLevelType w:val="hybridMultilevel"/>
    <w:tmpl w:val="D16EE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372302"/>
    <w:multiLevelType w:val="hybridMultilevel"/>
    <w:tmpl w:val="DEFCF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1A7EC8"/>
    <w:multiLevelType w:val="hybridMultilevel"/>
    <w:tmpl w:val="C3788CEE"/>
    <w:lvl w:ilvl="0" w:tplc="308828A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1F4A4F"/>
    <w:multiLevelType w:val="hybridMultilevel"/>
    <w:tmpl w:val="0D84C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7C34E2"/>
    <w:multiLevelType w:val="hybridMultilevel"/>
    <w:tmpl w:val="508A3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EB6108"/>
    <w:multiLevelType w:val="hybridMultilevel"/>
    <w:tmpl w:val="9B72EB2E"/>
    <w:lvl w:ilvl="0" w:tplc="5394A55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40053462"/>
    <w:multiLevelType w:val="hybridMultilevel"/>
    <w:tmpl w:val="C33C4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6AB40B1"/>
    <w:multiLevelType w:val="hybridMultilevel"/>
    <w:tmpl w:val="CC10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9795AD3"/>
    <w:multiLevelType w:val="hybridMultilevel"/>
    <w:tmpl w:val="3C5E38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EABE1FCC">
      <w:start w:val="6"/>
      <w:numFmt w:val="bullet"/>
      <w:lvlText w:val="-"/>
      <w:lvlJc w:val="left"/>
      <w:pPr>
        <w:ind w:left="1980" w:hanging="360"/>
      </w:pPr>
      <w:rPr>
        <w:rFonts w:ascii="Arial Narrow" w:eastAsia="Times New Roman" w:hAnsi="Arial Narrow"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9A66A0"/>
    <w:multiLevelType w:val="hybridMultilevel"/>
    <w:tmpl w:val="C3F0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0934CF"/>
    <w:multiLevelType w:val="hybridMultilevel"/>
    <w:tmpl w:val="0C5214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263D1A"/>
    <w:multiLevelType w:val="hybridMultilevel"/>
    <w:tmpl w:val="B7D04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85D76AE"/>
    <w:multiLevelType w:val="hybridMultilevel"/>
    <w:tmpl w:val="5A48EE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931AE0"/>
    <w:multiLevelType w:val="hybridMultilevel"/>
    <w:tmpl w:val="3434F4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3A688F"/>
    <w:multiLevelType w:val="hybridMultilevel"/>
    <w:tmpl w:val="FCF007D0"/>
    <w:lvl w:ilvl="0" w:tplc="43EC46F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2C72E3"/>
    <w:multiLevelType w:val="hybridMultilevel"/>
    <w:tmpl w:val="60D2B2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6B2624B"/>
    <w:multiLevelType w:val="hybridMultilevel"/>
    <w:tmpl w:val="6708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D73732"/>
    <w:multiLevelType w:val="hybridMultilevel"/>
    <w:tmpl w:val="82AA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84D033C"/>
    <w:multiLevelType w:val="multilevel"/>
    <w:tmpl w:val="0600726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32"/>
  </w:num>
  <w:num w:numId="4">
    <w:abstractNumId w:val="21"/>
  </w:num>
  <w:num w:numId="5">
    <w:abstractNumId w:val="13"/>
  </w:num>
  <w:num w:numId="6">
    <w:abstractNumId w:val="5"/>
  </w:num>
  <w:num w:numId="7">
    <w:abstractNumId w:val="42"/>
  </w:num>
  <w:num w:numId="8">
    <w:abstractNumId w:val="28"/>
  </w:num>
  <w:num w:numId="9">
    <w:abstractNumId w:val="23"/>
  </w:num>
  <w:num w:numId="10">
    <w:abstractNumId w:val="19"/>
  </w:num>
  <w:num w:numId="11">
    <w:abstractNumId w:val="1"/>
  </w:num>
  <w:num w:numId="12">
    <w:abstractNumId w:val="40"/>
  </w:num>
  <w:num w:numId="13">
    <w:abstractNumId w:val="24"/>
  </w:num>
  <w:num w:numId="14">
    <w:abstractNumId w:val="34"/>
  </w:num>
  <w:num w:numId="15">
    <w:abstractNumId w:val="3"/>
  </w:num>
  <w:num w:numId="16">
    <w:abstractNumId w:val="33"/>
  </w:num>
  <w:num w:numId="17">
    <w:abstractNumId w:val="4"/>
  </w:num>
  <w:num w:numId="18">
    <w:abstractNumId w:val="10"/>
  </w:num>
  <w:num w:numId="19">
    <w:abstractNumId w:val="9"/>
  </w:num>
  <w:num w:numId="20">
    <w:abstractNumId w:val="20"/>
  </w:num>
  <w:num w:numId="21">
    <w:abstractNumId w:val="30"/>
  </w:num>
  <w:num w:numId="22">
    <w:abstractNumId w:val="39"/>
  </w:num>
  <w:num w:numId="23">
    <w:abstractNumId w:val="2"/>
  </w:num>
  <w:num w:numId="24">
    <w:abstractNumId w:val="36"/>
  </w:num>
  <w:num w:numId="25">
    <w:abstractNumId w:val="15"/>
  </w:num>
  <w:num w:numId="26">
    <w:abstractNumId w:val="38"/>
  </w:num>
  <w:num w:numId="27">
    <w:abstractNumId w:val="27"/>
  </w:num>
  <w:num w:numId="28">
    <w:abstractNumId w:val="0"/>
  </w:num>
  <w:num w:numId="29">
    <w:abstractNumId w:val="22"/>
  </w:num>
  <w:num w:numId="30">
    <w:abstractNumId w:val="18"/>
  </w:num>
  <w:num w:numId="31">
    <w:abstractNumId w:val="12"/>
  </w:num>
  <w:num w:numId="32">
    <w:abstractNumId w:val="8"/>
  </w:num>
  <w:num w:numId="33">
    <w:abstractNumId w:val="1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4"/>
  </w:num>
  <w:num w:numId="37">
    <w:abstractNumId w:val="16"/>
  </w:num>
  <w:num w:numId="38">
    <w:abstractNumId w:val="31"/>
  </w:num>
  <w:num w:numId="39">
    <w:abstractNumId w:val="29"/>
  </w:num>
  <w:num w:numId="40">
    <w:abstractNumId w:val="37"/>
  </w:num>
  <w:num w:numId="41">
    <w:abstractNumId w:val="41"/>
  </w:num>
  <w:num w:numId="42">
    <w:abstractNumId w:val="11"/>
  </w:num>
  <w:num w:numId="43">
    <w:abstractNumId w:val="7"/>
  </w:num>
  <w:num w:numId="44">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358"/>
    <w:rsid w:val="00003499"/>
    <w:rsid w:val="000034C2"/>
    <w:rsid w:val="00003533"/>
    <w:rsid w:val="000049EF"/>
    <w:rsid w:val="000050A2"/>
    <w:rsid w:val="000063FC"/>
    <w:rsid w:val="00006EB2"/>
    <w:rsid w:val="00007274"/>
    <w:rsid w:val="0000785F"/>
    <w:rsid w:val="00007BA7"/>
    <w:rsid w:val="000119F0"/>
    <w:rsid w:val="000119F5"/>
    <w:rsid w:val="000123AD"/>
    <w:rsid w:val="00012C02"/>
    <w:rsid w:val="00013247"/>
    <w:rsid w:val="00013C1D"/>
    <w:rsid w:val="000151CA"/>
    <w:rsid w:val="00015886"/>
    <w:rsid w:val="00015991"/>
    <w:rsid w:val="00015BE6"/>
    <w:rsid w:val="000162EF"/>
    <w:rsid w:val="000167C3"/>
    <w:rsid w:val="00020758"/>
    <w:rsid w:val="0002225F"/>
    <w:rsid w:val="0002234B"/>
    <w:rsid w:val="00022621"/>
    <w:rsid w:val="00022EB7"/>
    <w:rsid w:val="00023763"/>
    <w:rsid w:val="0002510A"/>
    <w:rsid w:val="00030946"/>
    <w:rsid w:val="00031E23"/>
    <w:rsid w:val="00032209"/>
    <w:rsid w:val="00033912"/>
    <w:rsid w:val="000356B5"/>
    <w:rsid w:val="000357DD"/>
    <w:rsid w:val="00035ADE"/>
    <w:rsid w:val="00040895"/>
    <w:rsid w:val="0004189E"/>
    <w:rsid w:val="0004200E"/>
    <w:rsid w:val="000437A8"/>
    <w:rsid w:val="00043C37"/>
    <w:rsid w:val="0004745F"/>
    <w:rsid w:val="00047B08"/>
    <w:rsid w:val="00050319"/>
    <w:rsid w:val="00051C46"/>
    <w:rsid w:val="000524BF"/>
    <w:rsid w:val="0005350A"/>
    <w:rsid w:val="00053AB2"/>
    <w:rsid w:val="000546D7"/>
    <w:rsid w:val="000551E6"/>
    <w:rsid w:val="00056269"/>
    <w:rsid w:val="000562D8"/>
    <w:rsid w:val="00057376"/>
    <w:rsid w:val="00057D24"/>
    <w:rsid w:val="00060751"/>
    <w:rsid w:val="0006095E"/>
    <w:rsid w:val="00061F9A"/>
    <w:rsid w:val="00062109"/>
    <w:rsid w:val="00062AC4"/>
    <w:rsid w:val="00065FA3"/>
    <w:rsid w:val="00066570"/>
    <w:rsid w:val="00066626"/>
    <w:rsid w:val="000666B8"/>
    <w:rsid w:val="0006686F"/>
    <w:rsid w:val="0006768F"/>
    <w:rsid w:val="00070E56"/>
    <w:rsid w:val="00071248"/>
    <w:rsid w:val="0007181B"/>
    <w:rsid w:val="000720B9"/>
    <w:rsid w:val="000732C0"/>
    <w:rsid w:val="0007542B"/>
    <w:rsid w:val="0007694E"/>
    <w:rsid w:val="00080466"/>
    <w:rsid w:val="000812CA"/>
    <w:rsid w:val="00081AEC"/>
    <w:rsid w:val="0008262D"/>
    <w:rsid w:val="00085390"/>
    <w:rsid w:val="000861F1"/>
    <w:rsid w:val="00087BFE"/>
    <w:rsid w:val="000907DB"/>
    <w:rsid w:val="00090C7E"/>
    <w:rsid w:val="000934A1"/>
    <w:rsid w:val="00093552"/>
    <w:rsid w:val="000935D4"/>
    <w:rsid w:val="00095DA8"/>
    <w:rsid w:val="000960F4"/>
    <w:rsid w:val="000975FE"/>
    <w:rsid w:val="00097AE0"/>
    <w:rsid w:val="000A0B46"/>
    <w:rsid w:val="000A0EF2"/>
    <w:rsid w:val="000A1125"/>
    <w:rsid w:val="000A16CE"/>
    <w:rsid w:val="000A27E4"/>
    <w:rsid w:val="000A296B"/>
    <w:rsid w:val="000A3B2C"/>
    <w:rsid w:val="000A4D54"/>
    <w:rsid w:val="000A5A97"/>
    <w:rsid w:val="000A6617"/>
    <w:rsid w:val="000B113E"/>
    <w:rsid w:val="000B2877"/>
    <w:rsid w:val="000B3E93"/>
    <w:rsid w:val="000B51C6"/>
    <w:rsid w:val="000B713F"/>
    <w:rsid w:val="000C19AB"/>
    <w:rsid w:val="000C3EC1"/>
    <w:rsid w:val="000C4CF6"/>
    <w:rsid w:val="000C5D60"/>
    <w:rsid w:val="000C5FE2"/>
    <w:rsid w:val="000C78E5"/>
    <w:rsid w:val="000D0889"/>
    <w:rsid w:val="000D0D65"/>
    <w:rsid w:val="000D1270"/>
    <w:rsid w:val="000D1446"/>
    <w:rsid w:val="000D1492"/>
    <w:rsid w:val="000D1888"/>
    <w:rsid w:val="000D18CB"/>
    <w:rsid w:val="000D1B7B"/>
    <w:rsid w:val="000D1BFC"/>
    <w:rsid w:val="000D278E"/>
    <w:rsid w:val="000D3CD4"/>
    <w:rsid w:val="000D47CC"/>
    <w:rsid w:val="000D4800"/>
    <w:rsid w:val="000D510A"/>
    <w:rsid w:val="000D7505"/>
    <w:rsid w:val="000E07B4"/>
    <w:rsid w:val="000E0F6F"/>
    <w:rsid w:val="000E32B5"/>
    <w:rsid w:val="000E3830"/>
    <w:rsid w:val="000E4440"/>
    <w:rsid w:val="000E6E75"/>
    <w:rsid w:val="000E72F0"/>
    <w:rsid w:val="000F1FF8"/>
    <w:rsid w:val="000F2008"/>
    <w:rsid w:val="000F21FD"/>
    <w:rsid w:val="000F3D07"/>
    <w:rsid w:val="000F3D26"/>
    <w:rsid w:val="000F4BB8"/>
    <w:rsid w:val="000F55E9"/>
    <w:rsid w:val="000F6273"/>
    <w:rsid w:val="000F6A77"/>
    <w:rsid w:val="000F7127"/>
    <w:rsid w:val="000F7907"/>
    <w:rsid w:val="000F7E28"/>
    <w:rsid w:val="0010040F"/>
    <w:rsid w:val="001005D2"/>
    <w:rsid w:val="00100B8C"/>
    <w:rsid w:val="00100F8A"/>
    <w:rsid w:val="001028C7"/>
    <w:rsid w:val="00102F8F"/>
    <w:rsid w:val="001040AF"/>
    <w:rsid w:val="001042E8"/>
    <w:rsid w:val="00104FD3"/>
    <w:rsid w:val="00106C84"/>
    <w:rsid w:val="001071EC"/>
    <w:rsid w:val="0010748C"/>
    <w:rsid w:val="00107542"/>
    <w:rsid w:val="0011032E"/>
    <w:rsid w:val="001105FF"/>
    <w:rsid w:val="00111667"/>
    <w:rsid w:val="001116BF"/>
    <w:rsid w:val="001123C3"/>
    <w:rsid w:val="0011348B"/>
    <w:rsid w:val="00113D78"/>
    <w:rsid w:val="00115318"/>
    <w:rsid w:val="00115D6F"/>
    <w:rsid w:val="00117DA7"/>
    <w:rsid w:val="001213A0"/>
    <w:rsid w:val="00121799"/>
    <w:rsid w:val="00121840"/>
    <w:rsid w:val="001218BC"/>
    <w:rsid w:val="001222FC"/>
    <w:rsid w:val="0012231F"/>
    <w:rsid w:val="00124155"/>
    <w:rsid w:val="0012421E"/>
    <w:rsid w:val="00124448"/>
    <w:rsid w:val="00124A51"/>
    <w:rsid w:val="00124E03"/>
    <w:rsid w:val="00124F38"/>
    <w:rsid w:val="00125CBF"/>
    <w:rsid w:val="00125FC6"/>
    <w:rsid w:val="00126621"/>
    <w:rsid w:val="001272EA"/>
    <w:rsid w:val="001301E9"/>
    <w:rsid w:val="00130F3D"/>
    <w:rsid w:val="001327F9"/>
    <w:rsid w:val="00132D44"/>
    <w:rsid w:val="001347E4"/>
    <w:rsid w:val="00135541"/>
    <w:rsid w:val="00135E38"/>
    <w:rsid w:val="0013681B"/>
    <w:rsid w:val="00136FF5"/>
    <w:rsid w:val="00137645"/>
    <w:rsid w:val="00137C27"/>
    <w:rsid w:val="0014015A"/>
    <w:rsid w:val="0014021A"/>
    <w:rsid w:val="00140E96"/>
    <w:rsid w:val="00140E99"/>
    <w:rsid w:val="001417BE"/>
    <w:rsid w:val="001417E1"/>
    <w:rsid w:val="00141A7F"/>
    <w:rsid w:val="00145540"/>
    <w:rsid w:val="001456B0"/>
    <w:rsid w:val="001465C1"/>
    <w:rsid w:val="001466A0"/>
    <w:rsid w:val="00150661"/>
    <w:rsid w:val="001506CE"/>
    <w:rsid w:val="001509FB"/>
    <w:rsid w:val="001516C1"/>
    <w:rsid w:val="00151897"/>
    <w:rsid w:val="001523DA"/>
    <w:rsid w:val="00152A61"/>
    <w:rsid w:val="001536CE"/>
    <w:rsid w:val="001549F5"/>
    <w:rsid w:val="00155F76"/>
    <w:rsid w:val="00156210"/>
    <w:rsid w:val="00157130"/>
    <w:rsid w:val="001572A0"/>
    <w:rsid w:val="0015740C"/>
    <w:rsid w:val="00160981"/>
    <w:rsid w:val="0016104A"/>
    <w:rsid w:val="00162913"/>
    <w:rsid w:val="00162BD8"/>
    <w:rsid w:val="00163605"/>
    <w:rsid w:val="00163EFF"/>
    <w:rsid w:val="00165113"/>
    <w:rsid w:val="001658EB"/>
    <w:rsid w:val="00165B14"/>
    <w:rsid w:val="00165C45"/>
    <w:rsid w:val="001661FB"/>
    <w:rsid w:val="00170594"/>
    <w:rsid w:val="0017088E"/>
    <w:rsid w:val="00170D9B"/>
    <w:rsid w:val="001730CC"/>
    <w:rsid w:val="001756FA"/>
    <w:rsid w:val="001758CE"/>
    <w:rsid w:val="0017721A"/>
    <w:rsid w:val="00177C38"/>
    <w:rsid w:val="00180758"/>
    <w:rsid w:val="00180B1C"/>
    <w:rsid w:val="00181337"/>
    <w:rsid w:val="00183E3E"/>
    <w:rsid w:val="001862E3"/>
    <w:rsid w:val="0018752F"/>
    <w:rsid w:val="00187CFE"/>
    <w:rsid w:val="00187DC3"/>
    <w:rsid w:val="001906D1"/>
    <w:rsid w:val="00190AFD"/>
    <w:rsid w:val="0019101D"/>
    <w:rsid w:val="0019223D"/>
    <w:rsid w:val="001928DA"/>
    <w:rsid w:val="00192B49"/>
    <w:rsid w:val="00193425"/>
    <w:rsid w:val="0019392E"/>
    <w:rsid w:val="001951F2"/>
    <w:rsid w:val="00195222"/>
    <w:rsid w:val="001968D0"/>
    <w:rsid w:val="00196BBB"/>
    <w:rsid w:val="001975D8"/>
    <w:rsid w:val="00197728"/>
    <w:rsid w:val="001A004D"/>
    <w:rsid w:val="001A081D"/>
    <w:rsid w:val="001A0C59"/>
    <w:rsid w:val="001A0FEB"/>
    <w:rsid w:val="001A22E0"/>
    <w:rsid w:val="001A22FF"/>
    <w:rsid w:val="001A3F92"/>
    <w:rsid w:val="001A460D"/>
    <w:rsid w:val="001A47F5"/>
    <w:rsid w:val="001A4B0E"/>
    <w:rsid w:val="001A4CC4"/>
    <w:rsid w:val="001A4EEC"/>
    <w:rsid w:val="001A6152"/>
    <w:rsid w:val="001B0795"/>
    <w:rsid w:val="001B26A7"/>
    <w:rsid w:val="001B3443"/>
    <w:rsid w:val="001B35EA"/>
    <w:rsid w:val="001C0FD3"/>
    <w:rsid w:val="001C1EF8"/>
    <w:rsid w:val="001C260B"/>
    <w:rsid w:val="001C37EF"/>
    <w:rsid w:val="001C3C70"/>
    <w:rsid w:val="001C3CC2"/>
    <w:rsid w:val="001C4F16"/>
    <w:rsid w:val="001C5F5F"/>
    <w:rsid w:val="001C6E0E"/>
    <w:rsid w:val="001C6E66"/>
    <w:rsid w:val="001D01A6"/>
    <w:rsid w:val="001D1B0C"/>
    <w:rsid w:val="001D1DA9"/>
    <w:rsid w:val="001D3CC3"/>
    <w:rsid w:val="001D40B2"/>
    <w:rsid w:val="001D44AA"/>
    <w:rsid w:val="001D6C6F"/>
    <w:rsid w:val="001D71BD"/>
    <w:rsid w:val="001D77C3"/>
    <w:rsid w:val="001E01D1"/>
    <w:rsid w:val="001E1999"/>
    <w:rsid w:val="001E238E"/>
    <w:rsid w:val="001E2B1E"/>
    <w:rsid w:val="001E52EB"/>
    <w:rsid w:val="001E5630"/>
    <w:rsid w:val="001E5995"/>
    <w:rsid w:val="001E740C"/>
    <w:rsid w:val="001E7571"/>
    <w:rsid w:val="001E7E64"/>
    <w:rsid w:val="001F02BC"/>
    <w:rsid w:val="001F066E"/>
    <w:rsid w:val="001F1235"/>
    <w:rsid w:val="001F1CB3"/>
    <w:rsid w:val="001F64CE"/>
    <w:rsid w:val="001F662B"/>
    <w:rsid w:val="001F7147"/>
    <w:rsid w:val="001F7361"/>
    <w:rsid w:val="001F7F78"/>
    <w:rsid w:val="0020033C"/>
    <w:rsid w:val="00200403"/>
    <w:rsid w:val="00201313"/>
    <w:rsid w:val="0020368A"/>
    <w:rsid w:val="0020385F"/>
    <w:rsid w:val="00204349"/>
    <w:rsid w:val="00204C5D"/>
    <w:rsid w:val="00205DE4"/>
    <w:rsid w:val="00207021"/>
    <w:rsid w:val="00207D00"/>
    <w:rsid w:val="002105C1"/>
    <w:rsid w:val="002122DB"/>
    <w:rsid w:val="00216DD0"/>
    <w:rsid w:val="002203CF"/>
    <w:rsid w:val="002205B7"/>
    <w:rsid w:val="00221775"/>
    <w:rsid w:val="002222DF"/>
    <w:rsid w:val="002229D1"/>
    <w:rsid w:val="00222BA6"/>
    <w:rsid w:val="00222D06"/>
    <w:rsid w:val="00222DFB"/>
    <w:rsid w:val="00223B49"/>
    <w:rsid w:val="00223C1B"/>
    <w:rsid w:val="00224DD4"/>
    <w:rsid w:val="00224F2B"/>
    <w:rsid w:val="002253FC"/>
    <w:rsid w:val="00225835"/>
    <w:rsid w:val="002309CC"/>
    <w:rsid w:val="00231018"/>
    <w:rsid w:val="00231220"/>
    <w:rsid w:val="002335E3"/>
    <w:rsid w:val="00234603"/>
    <w:rsid w:val="00234FC2"/>
    <w:rsid w:val="00235465"/>
    <w:rsid w:val="0023624C"/>
    <w:rsid w:val="002365A9"/>
    <w:rsid w:val="00236919"/>
    <w:rsid w:val="00240ABE"/>
    <w:rsid w:val="00240C5F"/>
    <w:rsid w:val="00242360"/>
    <w:rsid w:val="00242C08"/>
    <w:rsid w:val="00243EBE"/>
    <w:rsid w:val="0024535E"/>
    <w:rsid w:val="00246EDC"/>
    <w:rsid w:val="002512E3"/>
    <w:rsid w:val="00251EEE"/>
    <w:rsid w:val="002520FE"/>
    <w:rsid w:val="00253758"/>
    <w:rsid w:val="002539FB"/>
    <w:rsid w:val="00254A02"/>
    <w:rsid w:val="00254DCF"/>
    <w:rsid w:val="0025534B"/>
    <w:rsid w:val="00255BB7"/>
    <w:rsid w:val="00255FCD"/>
    <w:rsid w:val="00256295"/>
    <w:rsid w:val="0025735C"/>
    <w:rsid w:val="00260B3E"/>
    <w:rsid w:val="00261811"/>
    <w:rsid w:val="00262A87"/>
    <w:rsid w:val="00263287"/>
    <w:rsid w:val="002636AC"/>
    <w:rsid w:val="00264D9F"/>
    <w:rsid w:val="00264E32"/>
    <w:rsid w:val="0026576F"/>
    <w:rsid w:val="00265B60"/>
    <w:rsid w:val="00271617"/>
    <w:rsid w:val="00271758"/>
    <w:rsid w:val="00271B7C"/>
    <w:rsid w:val="00272016"/>
    <w:rsid w:val="00272D6F"/>
    <w:rsid w:val="00273D13"/>
    <w:rsid w:val="00274059"/>
    <w:rsid w:val="00274311"/>
    <w:rsid w:val="00275C5A"/>
    <w:rsid w:val="00277A80"/>
    <w:rsid w:val="00277CB4"/>
    <w:rsid w:val="00280E3B"/>
    <w:rsid w:val="00281014"/>
    <w:rsid w:val="00282A65"/>
    <w:rsid w:val="00283559"/>
    <w:rsid w:val="00283764"/>
    <w:rsid w:val="0028453E"/>
    <w:rsid w:val="0028457A"/>
    <w:rsid w:val="00286037"/>
    <w:rsid w:val="00287628"/>
    <w:rsid w:val="002906B1"/>
    <w:rsid w:val="00293F76"/>
    <w:rsid w:val="00294E93"/>
    <w:rsid w:val="002956B9"/>
    <w:rsid w:val="002A02AF"/>
    <w:rsid w:val="002A0BBF"/>
    <w:rsid w:val="002A0F15"/>
    <w:rsid w:val="002A14AB"/>
    <w:rsid w:val="002A1E98"/>
    <w:rsid w:val="002A2326"/>
    <w:rsid w:val="002A616D"/>
    <w:rsid w:val="002A630D"/>
    <w:rsid w:val="002A6579"/>
    <w:rsid w:val="002B0947"/>
    <w:rsid w:val="002B09AB"/>
    <w:rsid w:val="002B1C1F"/>
    <w:rsid w:val="002B432C"/>
    <w:rsid w:val="002B432F"/>
    <w:rsid w:val="002B5C84"/>
    <w:rsid w:val="002B6004"/>
    <w:rsid w:val="002B62E1"/>
    <w:rsid w:val="002B6CCE"/>
    <w:rsid w:val="002C20A8"/>
    <w:rsid w:val="002C2775"/>
    <w:rsid w:val="002C27C1"/>
    <w:rsid w:val="002C34FC"/>
    <w:rsid w:val="002C3621"/>
    <w:rsid w:val="002C369F"/>
    <w:rsid w:val="002C41ED"/>
    <w:rsid w:val="002C5F68"/>
    <w:rsid w:val="002C6664"/>
    <w:rsid w:val="002C6CBB"/>
    <w:rsid w:val="002D102D"/>
    <w:rsid w:val="002D13F3"/>
    <w:rsid w:val="002D202E"/>
    <w:rsid w:val="002D271F"/>
    <w:rsid w:val="002D3156"/>
    <w:rsid w:val="002D3568"/>
    <w:rsid w:val="002D3B0B"/>
    <w:rsid w:val="002D484C"/>
    <w:rsid w:val="002D6253"/>
    <w:rsid w:val="002D68D3"/>
    <w:rsid w:val="002E155D"/>
    <w:rsid w:val="002E165A"/>
    <w:rsid w:val="002E27F4"/>
    <w:rsid w:val="002E2AC4"/>
    <w:rsid w:val="002E35AD"/>
    <w:rsid w:val="002E3750"/>
    <w:rsid w:val="002E4577"/>
    <w:rsid w:val="002E5468"/>
    <w:rsid w:val="002E5847"/>
    <w:rsid w:val="002E5DC4"/>
    <w:rsid w:val="002E75BF"/>
    <w:rsid w:val="002E7FB1"/>
    <w:rsid w:val="002F0CC5"/>
    <w:rsid w:val="002F2529"/>
    <w:rsid w:val="002F3211"/>
    <w:rsid w:val="002F341A"/>
    <w:rsid w:val="002F4B8B"/>
    <w:rsid w:val="002F607E"/>
    <w:rsid w:val="002F68EB"/>
    <w:rsid w:val="002F7265"/>
    <w:rsid w:val="002F7322"/>
    <w:rsid w:val="00300727"/>
    <w:rsid w:val="00300F01"/>
    <w:rsid w:val="00301017"/>
    <w:rsid w:val="00302A80"/>
    <w:rsid w:val="0030786C"/>
    <w:rsid w:val="0031031A"/>
    <w:rsid w:val="00310873"/>
    <w:rsid w:val="00310981"/>
    <w:rsid w:val="00311E00"/>
    <w:rsid w:val="00313CEE"/>
    <w:rsid w:val="00314631"/>
    <w:rsid w:val="00314B37"/>
    <w:rsid w:val="0031522F"/>
    <w:rsid w:val="00315498"/>
    <w:rsid w:val="00315EAB"/>
    <w:rsid w:val="00316E2E"/>
    <w:rsid w:val="0031746A"/>
    <w:rsid w:val="00317925"/>
    <w:rsid w:val="003209DC"/>
    <w:rsid w:val="003213FD"/>
    <w:rsid w:val="00321440"/>
    <w:rsid w:val="00321499"/>
    <w:rsid w:val="003221DA"/>
    <w:rsid w:val="00322BD7"/>
    <w:rsid w:val="003259C1"/>
    <w:rsid w:val="003265AC"/>
    <w:rsid w:val="00326C6C"/>
    <w:rsid w:val="00330074"/>
    <w:rsid w:val="00331FE2"/>
    <w:rsid w:val="00335C73"/>
    <w:rsid w:val="003366C9"/>
    <w:rsid w:val="003369E7"/>
    <w:rsid w:val="003371B0"/>
    <w:rsid w:val="00340183"/>
    <w:rsid w:val="00340AB6"/>
    <w:rsid w:val="00342317"/>
    <w:rsid w:val="00342647"/>
    <w:rsid w:val="0034398E"/>
    <w:rsid w:val="003440B4"/>
    <w:rsid w:val="00344223"/>
    <w:rsid w:val="00345C72"/>
    <w:rsid w:val="0034625A"/>
    <w:rsid w:val="00346FD1"/>
    <w:rsid w:val="00347295"/>
    <w:rsid w:val="003507B8"/>
    <w:rsid w:val="00350879"/>
    <w:rsid w:val="0035264D"/>
    <w:rsid w:val="00352A17"/>
    <w:rsid w:val="00352FB0"/>
    <w:rsid w:val="00353B7C"/>
    <w:rsid w:val="003544C0"/>
    <w:rsid w:val="00355696"/>
    <w:rsid w:val="0035620E"/>
    <w:rsid w:val="00357178"/>
    <w:rsid w:val="00357C71"/>
    <w:rsid w:val="003609BF"/>
    <w:rsid w:val="0036163E"/>
    <w:rsid w:val="003616B9"/>
    <w:rsid w:val="00361E25"/>
    <w:rsid w:val="00362F84"/>
    <w:rsid w:val="00363F03"/>
    <w:rsid w:val="003649DD"/>
    <w:rsid w:val="003652DD"/>
    <w:rsid w:val="00366470"/>
    <w:rsid w:val="00366766"/>
    <w:rsid w:val="0036678E"/>
    <w:rsid w:val="00367037"/>
    <w:rsid w:val="00367689"/>
    <w:rsid w:val="00367E81"/>
    <w:rsid w:val="00371252"/>
    <w:rsid w:val="003715F1"/>
    <w:rsid w:val="00372027"/>
    <w:rsid w:val="00372069"/>
    <w:rsid w:val="00372267"/>
    <w:rsid w:val="0037465A"/>
    <w:rsid w:val="00374C9A"/>
    <w:rsid w:val="00375DC6"/>
    <w:rsid w:val="00376F6E"/>
    <w:rsid w:val="00380107"/>
    <w:rsid w:val="00380E18"/>
    <w:rsid w:val="00381BFB"/>
    <w:rsid w:val="0038365C"/>
    <w:rsid w:val="0038535E"/>
    <w:rsid w:val="00386728"/>
    <w:rsid w:val="0038681F"/>
    <w:rsid w:val="00387820"/>
    <w:rsid w:val="0038790D"/>
    <w:rsid w:val="0039181F"/>
    <w:rsid w:val="00391A68"/>
    <w:rsid w:val="003945DB"/>
    <w:rsid w:val="00394C8A"/>
    <w:rsid w:val="003951BB"/>
    <w:rsid w:val="00396FD0"/>
    <w:rsid w:val="00397A5F"/>
    <w:rsid w:val="00397A69"/>
    <w:rsid w:val="00397D43"/>
    <w:rsid w:val="003A08D1"/>
    <w:rsid w:val="003A1A7A"/>
    <w:rsid w:val="003A1ADE"/>
    <w:rsid w:val="003A2422"/>
    <w:rsid w:val="003A4489"/>
    <w:rsid w:val="003A4A58"/>
    <w:rsid w:val="003A4B4F"/>
    <w:rsid w:val="003A6269"/>
    <w:rsid w:val="003A70F8"/>
    <w:rsid w:val="003B4868"/>
    <w:rsid w:val="003B4BC6"/>
    <w:rsid w:val="003B5307"/>
    <w:rsid w:val="003B69DD"/>
    <w:rsid w:val="003C0795"/>
    <w:rsid w:val="003C3599"/>
    <w:rsid w:val="003C37EB"/>
    <w:rsid w:val="003C461C"/>
    <w:rsid w:val="003C6BA7"/>
    <w:rsid w:val="003C7BBE"/>
    <w:rsid w:val="003C7F55"/>
    <w:rsid w:val="003D0711"/>
    <w:rsid w:val="003D0BD9"/>
    <w:rsid w:val="003D0F88"/>
    <w:rsid w:val="003D1828"/>
    <w:rsid w:val="003D1A0A"/>
    <w:rsid w:val="003D1A1B"/>
    <w:rsid w:val="003D2422"/>
    <w:rsid w:val="003D47E3"/>
    <w:rsid w:val="003D48FD"/>
    <w:rsid w:val="003D4D60"/>
    <w:rsid w:val="003D5602"/>
    <w:rsid w:val="003D57FC"/>
    <w:rsid w:val="003D5B9F"/>
    <w:rsid w:val="003D6A5A"/>
    <w:rsid w:val="003D751F"/>
    <w:rsid w:val="003D75E5"/>
    <w:rsid w:val="003E2072"/>
    <w:rsid w:val="003E4108"/>
    <w:rsid w:val="003E46CF"/>
    <w:rsid w:val="003E5445"/>
    <w:rsid w:val="003E61A8"/>
    <w:rsid w:val="003E6670"/>
    <w:rsid w:val="003E700B"/>
    <w:rsid w:val="003E7069"/>
    <w:rsid w:val="003F094B"/>
    <w:rsid w:val="003F0E5D"/>
    <w:rsid w:val="003F1027"/>
    <w:rsid w:val="003F2167"/>
    <w:rsid w:val="003F27EA"/>
    <w:rsid w:val="003F283A"/>
    <w:rsid w:val="003F2F55"/>
    <w:rsid w:val="003F3103"/>
    <w:rsid w:val="003F3607"/>
    <w:rsid w:val="003F4095"/>
    <w:rsid w:val="003F4156"/>
    <w:rsid w:val="003F44EA"/>
    <w:rsid w:val="003F5B0D"/>
    <w:rsid w:val="003F676C"/>
    <w:rsid w:val="003F73CB"/>
    <w:rsid w:val="00401905"/>
    <w:rsid w:val="004026ED"/>
    <w:rsid w:val="00402913"/>
    <w:rsid w:val="00402ADC"/>
    <w:rsid w:val="00403844"/>
    <w:rsid w:val="00404EE8"/>
    <w:rsid w:val="00410708"/>
    <w:rsid w:val="00410EC7"/>
    <w:rsid w:val="00411480"/>
    <w:rsid w:val="004126C8"/>
    <w:rsid w:val="00412DD5"/>
    <w:rsid w:val="004133A1"/>
    <w:rsid w:val="00413720"/>
    <w:rsid w:val="00414398"/>
    <w:rsid w:val="0041444E"/>
    <w:rsid w:val="00414476"/>
    <w:rsid w:val="00417A0F"/>
    <w:rsid w:val="00420361"/>
    <w:rsid w:val="00420B9F"/>
    <w:rsid w:val="00420D64"/>
    <w:rsid w:val="00420F2E"/>
    <w:rsid w:val="00421761"/>
    <w:rsid w:val="00422803"/>
    <w:rsid w:val="00422B20"/>
    <w:rsid w:val="00425BB6"/>
    <w:rsid w:val="00427D3C"/>
    <w:rsid w:val="004307A2"/>
    <w:rsid w:val="004319F8"/>
    <w:rsid w:val="00433044"/>
    <w:rsid w:val="00433362"/>
    <w:rsid w:val="00433DD8"/>
    <w:rsid w:val="00434BF3"/>
    <w:rsid w:val="00435863"/>
    <w:rsid w:val="0043606B"/>
    <w:rsid w:val="004366C4"/>
    <w:rsid w:val="00436DC5"/>
    <w:rsid w:val="004376F6"/>
    <w:rsid w:val="00437B55"/>
    <w:rsid w:val="00442004"/>
    <w:rsid w:val="00442180"/>
    <w:rsid w:val="0044249E"/>
    <w:rsid w:val="00442977"/>
    <w:rsid w:val="00442F82"/>
    <w:rsid w:val="00443374"/>
    <w:rsid w:val="004439D3"/>
    <w:rsid w:val="004443A7"/>
    <w:rsid w:val="004451C9"/>
    <w:rsid w:val="0044566C"/>
    <w:rsid w:val="00446087"/>
    <w:rsid w:val="004464EB"/>
    <w:rsid w:val="0044666C"/>
    <w:rsid w:val="00446E34"/>
    <w:rsid w:val="004473DB"/>
    <w:rsid w:val="004474DA"/>
    <w:rsid w:val="004505DB"/>
    <w:rsid w:val="004512B8"/>
    <w:rsid w:val="004525E9"/>
    <w:rsid w:val="004538FD"/>
    <w:rsid w:val="00455D45"/>
    <w:rsid w:val="00456191"/>
    <w:rsid w:val="00456936"/>
    <w:rsid w:val="00456B9A"/>
    <w:rsid w:val="00457A8E"/>
    <w:rsid w:val="004610A2"/>
    <w:rsid w:val="00461972"/>
    <w:rsid w:val="00462130"/>
    <w:rsid w:val="0046329B"/>
    <w:rsid w:val="00463901"/>
    <w:rsid w:val="00464595"/>
    <w:rsid w:val="004645BE"/>
    <w:rsid w:val="00464CD1"/>
    <w:rsid w:val="00465699"/>
    <w:rsid w:val="00466DF4"/>
    <w:rsid w:val="004702EF"/>
    <w:rsid w:val="0047052F"/>
    <w:rsid w:val="004716DE"/>
    <w:rsid w:val="00471C60"/>
    <w:rsid w:val="00474818"/>
    <w:rsid w:val="00476540"/>
    <w:rsid w:val="00476A6A"/>
    <w:rsid w:val="0047704C"/>
    <w:rsid w:val="00480105"/>
    <w:rsid w:val="0048156A"/>
    <w:rsid w:val="00481916"/>
    <w:rsid w:val="0048275A"/>
    <w:rsid w:val="004834E4"/>
    <w:rsid w:val="0048651A"/>
    <w:rsid w:val="00486520"/>
    <w:rsid w:val="004867E2"/>
    <w:rsid w:val="00486B53"/>
    <w:rsid w:val="00486DD7"/>
    <w:rsid w:val="00487005"/>
    <w:rsid w:val="0049033F"/>
    <w:rsid w:val="0049114D"/>
    <w:rsid w:val="00491B3A"/>
    <w:rsid w:val="004927E7"/>
    <w:rsid w:val="00492CFD"/>
    <w:rsid w:val="0049305C"/>
    <w:rsid w:val="0049334B"/>
    <w:rsid w:val="0049543C"/>
    <w:rsid w:val="004962D2"/>
    <w:rsid w:val="004A055E"/>
    <w:rsid w:val="004A0DA1"/>
    <w:rsid w:val="004A1132"/>
    <w:rsid w:val="004A13AE"/>
    <w:rsid w:val="004A1404"/>
    <w:rsid w:val="004A18E3"/>
    <w:rsid w:val="004A27AF"/>
    <w:rsid w:val="004A298B"/>
    <w:rsid w:val="004A2A4E"/>
    <w:rsid w:val="004A3972"/>
    <w:rsid w:val="004A6597"/>
    <w:rsid w:val="004A6B7C"/>
    <w:rsid w:val="004A6C1F"/>
    <w:rsid w:val="004A7AEA"/>
    <w:rsid w:val="004A7E64"/>
    <w:rsid w:val="004B0647"/>
    <w:rsid w:val="004B1CB4"/>
    <w:rsid w:val="004B2F18"/>
    <w:rsid w:val="004B3DDB"/>
    <w:rsid w:val="004B44FD"/>
    <w:rsid w:val="004B4B32"/>
    <w:rsid w:val="004B4C6A"/>
    <w:rsid w:val="004B5CFC"/>
    <w:rsid w:val="004B6189"/>
    <w:rsid w:val="004C2009"/>
    <w:rsid w:val="004C2A3F"/>
    <w:rsid w:val="004C3041"/>
    <w:rsid w:val="004C30AC"/>
    <w:rsid w:val="004C39DF"/>
    <w:rsid w:val="004C4736"/>
    <w:rsid w:val="004C4963"/>
    <w:rsid w:val="004C4AED"/>
    <w:rsid w:val="004C65D2"/>
    <w:rsid w:val="004C6A34"/>
    <w:rsid w:val="004C7225"/>
    <w:rsid w:val="004C7913"/>
    <w:rsid w:val="004D17E6"/>
    <w:rsid w:val="004D2025"/>
    <w:rsid w:val="004D26BB"/>
    <w:rsid w:val="004D2DA4"/>
    <w:rsid w:val="004D3486"/>
    <w:rsid w:val="004D35CD"/>
    <w:rsid w:val="004D4982"/>
    <w:rsid w:val="004D5658"/>
    <w:rsid w:val="004D5715"/>
    <w:rsid w:val="004D5C8A"/>
    <w:rsid w:val="004D7A49"/>
    <w:rsid w:val="004D7C41"/>
    <w:rsid w:val="004E0EB8"/>
    <w:rsid w:val="004E2373"/>
    <w:rsid w:val="004E269C"/>
    <w:rsid w:val="004E2ADC"/>
    <w:rsid w:val="004E332A"/>
    <w:rsid w:val="004E3443"/>
    <w:rsid w:val="004E3840"/>
    <w:rsid w:val="004E3A64"/>
    <w:rsid w:val="004E3AF3"/>
    <w:rsid w:val="004E3B1E"/>
    <w:rsid w:val="004E43B2"/>
    <w:rsid w:val="004E52D8"/>
    <w:rsid w:val="004F12ED"/>
    <w:rsid w:val="004F1D02"/>
    <w:rsid w:val="004F2173"/>
    <w:rsid w:val="004F2679"/>
    <w:rsid w:val="004F2F0F"/>
    <w:rsid w:val="004F32DB"/>
    <w:rsid w:val="004F390C"/>
    <w:rsid w:val="004F3DF2"/>
    <w:rsid w:val="004F502B"/>
    <w:rsid w:val="004F5C93"/>
    <w:rsid w:val="004F5F7D"/>
    <w:rsid w:val="004F7055"/>
    <w:rsid w:val="004F7865"/>
    <w:rsid w:val="004F7FA1"/>
    <w:rsid w:val="00500F0E"/>
    <w:rsid w:val="00502C7D"/>
    <w:rsid w:val="00503809"/>
    <w:rsid w:val="005038DC"/>
    <w:rsid w:val="00503E69"/>
    <w:rsid w:val="0050454F"/>
    <w:rsid w:val="00504C2B"/>
    <w:rsid w:val="0050519A"/>
    <w:rsid w:val="00506928"/>
    <w:rsid w:val="00507221"/>
    <w:rsid w:val="00511734"/>
    <w:rsid w:val="00512024"/>
    <w:rsid w:val="005152B5"/>
    <w:rsid w:val="005153C8"/>
    <w:rsid w:val="005159BF"/>
    <w:rsid w:val="00516E29"/>
    <w:rsid w:val="0051780C"/>
    <w:rsid w:val="00521319"/>
    <w:rsid w:val="005218D0"/>
    <w:rsid w:val="0052224D"/>
    <w:rsid w:val="00522970"/>
    <w:rsid w:val="0052318D"/>
    <w:rsid w:val="00523C28"/>
    <w:rsid w:val="00523DEC"/>
    <w:rsid w:val="00523EAA"/>
    <w:rsid w:val="005261CF"/>
    <w:rsid w:val="005272D5"/>
    <w:rsid w:val="00527A1D"/>
    <w:rsid w:val="00530474"/>
    <w:rsid w:val="0053090F"/>
    <w:rsid w:val="00530F75"/>
    <w:rsid w:val="00531261"/>
    <w:rsid w:val="00531C51"/>
    <w:rsid w:val="005325FF"/>
    <w:rsid w:val="00532C1C"/>
    <w:rsid w:val="005335BA"/>
    <w:rsid w:val="00534554"/>
    <w:rsid w:val="00534DDE"/>
    <w:rsid w:val="00536225"/>
    <w:rsid w:val="00536ADD"/>
    <w:rsid w:val="00537CC4"/>
    <w:rsid w:val="00541561"/>
    <w:rsid w:val="00541654"/>
    <w:rsid w:val="00542491"/>
    <w:rsid w:val="00544159"/>
    <w:rsid w:val="00544C55"/>
    <w:rsid w:val="00544F07"/>
    <w:rsid w:val="00544FED"/>
    <w:rsid w:val="0054560C"/>
    <w:rsid w:val="005459B0"/>
    <w:rsid w:val="00545A80"/>
    <w:rsid w:val="00547157"/>
    <w:rsid w:val="00550C5D"/>
    <w:rsid w:val="00552BD3"/>
    <w:rsid w:val="005531C4"/>
    <w:rsid w:val="005545A7"/>
    <w:rsid w:val="00555109"/>
    <w:rsid w:val="005556B8"/>
    <w:rsid w:val="00556146"/>
    <w:rsid w:val="00556C98"/>
    <w:rsid w:val="00556F3A"/>
    <w:rsid w:val="00557419"/>
    <w:rsid w:val="00561329"/>
    <w:rsid w:val="00561EB0"/>
    <w:rsid w:val="00562F7C"/>
    <w:rsid w:val="00565636"/>
    <w:rsid w:val="0056696F"/>
    <w:rsid w:val="00570FF6"/>
    <w:rsid w:val="0057117C"/>
    <w:rsid w:val="00571A98"/>
    <w:rsid w:val="00572B88"/>
    <w:rsid w:val="00572CAC"/>
    <w:rsid w:val="0057330C"/>
    <w:rsid w:val="00573C1C"/>
    <w:rsid w:val="0057552E"/>
    <w:rsid w:val="00575D8D"/>
    <w:rsid w:val="0057629D"/>
    <w:rsid w:val="00576972"/>
    <w:rsid w:val="00577088"/>
    <w:rsid w:val="005814AE"/>
    <w:rsid w:val="005817EE"/>
    <w:rsid w:val="005823F1"/>
    <w:rsid w:val="00583430"/>
    <w:rsid w:val="00583699"/>
    <w:rsid w:val="00584088"/>
    <w:rsid w:val="005847FE"/>
    <w:rsid w:val="00584DFF"/>
    <w:rsid w:val="00585923"/>
    <w:rsid w:val="00590611"/>
    <w:rsid w:val="005916F4"/>
    <w:rsid w:val="00591E81"/>
    <w:rsid w:val="00592BD7"/>
    <w:rsid w:val="0059317E"/>
    <w:rsid w:val="00593616"/>
    <w:rsid w:val="00593ABB"/>
    <w:rsid w:val="00594FB8"/>
    <w:rsid w:val="005952C2"/>
    <w:rsid w:val="005965AB"/>
    <w:rsid w:val="00596652"/>
    <w:rsid w:val="0059667F"/>
    <w:rsid w:val="00596CB3"/>
    <w:rsid w:val="00597563"/>
    <w:rsid w:val="005A1B03"/>
    <w:rsid w:val="005A453D"/>
    <w:rsid w:val="005A5252"/>
    <w:rsid w:val="005A52AD"/>
    <w:rsid w:val="005A5806"/>
    <w:rsid w:val="005A60B7"/>
    <w:rsid w:val="005A6BAF"/>
    <w:rsid w:val="005A7D52"/>
    <w:rsid w:val="005A7DFC"/>
    <w:rsid w:val="005B012C"/>
    <w:rsid w:val="005B09FA"/>
    <w:rsid w:val="005B0E22"/>
    <w:rsid w:val="005B294B"/>
    <w:rsid w:val="005B3D17"/>
    <w:rsid w:val="005B4475"/>
    <w:rsid w:val="005B5857"/>
    <w:rsid w:val="005B634E"/>
    <w:rsid w:val="005B66CE"/>
    <w:rsid w:val="005B6F5D"/>
    <w:rsid w:val="005B738B"/>
    <w:rsid w:val="005B79D9"/>
    <w:rsid w:val="005C02E2"/>
    <w:rsid w:val="005C1054"/>
    <w:rsid w:val="005C1B83"/>
    <w:rsid w:val="005C28AE"/>
    <w:rsid w:val="005C346B"/>
    <w:rsid w:val="005C40AA"/>
    <w:rsid w:val="005C4D1E"/>
    <w:rsid w:val="005C5368"/>
    <w:rsid w:val="005C5932"/>
    <w:rsid w:val="005C5FE5"/>
    <w:rsid w:val="005C68F5"/>
    <w:rsid w:val="005C6AC2"/>
    <w:rsid w:val="005C71AE"/>
    <w:rsid w:val="005D044D"/>
    <w:rsid w:val="005D096A"/>
    <w:rsid w:val="005D18AD"/>
    <w:rsid w:val="005D1FB2"/>
    <w:rsid w:val="005D278D"/>
    <w:rsid w:val="005D3F7A"/>
    <w:rsid w:val="005D47DE"/>
    <w:rsid w:val="005D4F7E"/>
    <w:rsid w:val="005D6927"/>
    <w:rsid w:val="005D753D"/>
    <w:rsid w:val="005D76C6"/>
    <w:rsid w:val="005E0BA7"/>
    <w:rsid w:val="005E140A"/>
    <w:rsid w:val="005E3536"/>
    <w:rsid w:val="005E4294"/>
    <w:rsid w:val="005E45FB"/>
    <w:rsid w:val="005E63BA"/>
    <w:rsid w:val="005E6408"/>
    <w:rsid w:val="005E73C0"/>
    <w:rsid w:val="005E74CF"/>
    <w:rsid w:val="005F045E"/>
    <w:rsid w:val="005F09F5"/>
    <w:rsid w:val="005F123E"/>
    <w:rsid w:val="005F1D8B"/>
    <w:rsid w:val="005F2706"/>
    <w:rsid w:val="005F3C6F"/>
    <w:rsid w:val="005F416F"/>
    <w:rsid w:val="005F41BF"/>
    <w:rsid w:val="005F613E"/>
    <w:rsid w:val="005F6A8F"/>
    <w:rsid w:val="005F7329"/>
    <w:rsid w:val="005F762C"/>
    <w:rsid w:val="005F7E27"/>
    <w:rsid w:val="0060152D"/>
    <w:rsid w:val="0060172A"/>
    <w:rsid w:val="00601943"/>
    <w:rsid w:val="00601A38"/>
    <w:rsid w:val="006023C0"/>
    <w:rsid w:val="0060281C"/>
    <w:rsid w:val="00602AF1"/>
    <w:rsid w:val="0060471E"/>
    <w:rsid w:val="00605C68"/>
    <w:rsid w:val="0060623C"/>
    <w:rsid w:val="00607669"/>
    <w:rsid w:val="00610DE1"/>
    <w:rsid w:val="00612C2F"/>
    <w:rsid w:val="00612F97"/>
    <w:rsid w:val="006136D5"/>
    <w:rsid w:val="00614785"/>
    <w:rsid w:val="00614AE8"/>
    <w:rsid w:val="00614E77"/>
    <w:rsid w:val="00616646"/>
    <w:rsid w:val="00616802"/>
    <w:rsid w:val="00617E12"/>
    <w:rsid w:val="00617F79"/>
    <w:rsid w:val="00620ABD"/>
    <w:rsid w:val="00621477"/>
    <w:rsid w:val="00621979"/>
    <w:rsid w:val="006222B7"/>
    <w:rsid w:val="00622538"/>
    <w:rsid w:val="006231FD"/>
    <w:rsid w:val="00624DAE"/>
    <w:rsid w:val="00624F0E"/>
    <w:rsid w:val="0062536A"/>
    <w:rsid w:val="00625927"/>
    <w:rsid w:val="006259AE"/>
    <w:rsid w:val="00625E52"/>
    <w:rsid w:val="006275F1"/>
    <w:rsid w:val="00631D6B"/>
    <w:rsid w:val="00632A1D"/>
    <w:rsid w:val="00632E30"/>
    <w:rsid w:val="0063479F"/>
    <w:rsid w:val="006356FF"/>
    <w:rsid w:val="00635E48"/>
    <w:rsid w:val="006364A1"/>
    <w:rsid w:val="00636817"/>
    <w:rsid w:val="00637BFD"/>
    <w:rsid w:val="00640834"/>
    <w:rsid w:val="00640E9C"/>
    <w:rsid w:val="0064271F"/>
    <w:rsid w:val="006438A0"/>
    <w:rsid w:val="006445AB"/>
    <w:rsid w:val="00645E32"/>
    <w:rsid w:val="00646A42"/>
    <w:rsid w:val="006471CC"/>
    <w:rsid w:val="00647668"/>
    <w:rsid w:val="006479EE"/>
    <w:rsid w:val="0065079F"/>
    <w:rsid w:val="006511E3"/>
    <w:rsid w:val="00651444"/>
    <w:rsid w:val="006519A0"/>
    <w:rsid w:val="006529EC"/>
    <w:rsid w:val="00654165"/>
    <w:rsid w:val="00654D22"/>
    <w:rsid w:val="00655800"/>
    <w:rsid w:val="00655E42"/>
    <w:rsid w:val="00662D72"/>
    <w:rsid w:val="00663EF1"/>
    <w:rsid w:val="00664CCB"/>
    <w:rsid w:val="00665B41"/>
    <w:rsid w:val="00665F19"/>
    <w:rsid w:val="006668F1"/>
    <w:rsid w:val="00667600"/>
    <w:rsid w:val="00667747"/>
    <w:rsid w:val="00670214"/>
    <w:rsid w:val="0067091C"/>
    <w:rsid w:val="006713F5"/>
    <w:rsid w:val="006741D9"/>
    <w:rsid w:val="00674E42"/>
    <w:rsid w:val="006754A4"/>
    <w:rsid w:val="0067673C"/>
    <w:rsid w:val="00676ADB"/>
    <w:rsid w:val="00677886"/>
    <w:rsid w:val="00682112"/>
    <w:rsid w:val="00682B85"/>
    <w:rsid w:val="0068342B"/>
    <w:rsid w:val="00683823"/>
    <w:rsid w:val="006841F4"/>
    <w:rsid w:val="00684EBB"/>
    <w:rsid w:val="006860A3"/>
    <w:rsid w:val="00686509"/>
    <w:rsid w:val="0068651E"/>
    <w:rsid w:val="006872BA"/>
    <w:rsid w:val="00687EBC"/>
    <w:rsid w:val="00690470"/>
    <w:rsid w:val="006912D2"/>
    <w:rsid w:val="006917D7"/>
    <w:rsid w:val="006931F1"/>
    <w:rsid w:val="00694F44"/>
    <w:rsid w:val="00696E95"/>
    <w:rsid w:val="006A1ECB"/>
    <w:rsid w:val="006A257A"/>
    <w:rsid w:val="006A2D06"/>
    <w:rsid w:val="006A67EE"/>
    <w:rsid w:val="006A7F02"/>
    <w:rsid w:val="006B0A84"/>
    <w:rsid w:val="006B18BB"/>
    <w:rsid w:val="006B1EBD"/>
    <w:rsid w:val="006B2880"/>
    <w:rsid w:val="006B5794"/>
    <w:rsid w:val="006B5C05"/>
    <w:rsid w:val="006B5CFB"/>
    <w:rsid w:val="006C1B39"/>
    <w:rsid w:val="006C2A8E"/>
    <w:rsid w:val="006C4DA0"/>
    <w:rsid w:val="006C5936"/>
    <w:rsid w:val="006C5C9E"/>
    <w:rsid w:val="006C62A6"/>
    <w:rsid w:val="006C6D69"/>
    <w:rsid w:val="006C7189"/>
    <w:rsid w:val="006D0A2A"/>
    <w:rsid w:val="006D0D8B"/>
    <w:rsid w:val="006D1D2D"/>
    <w:rsid w:val="006D1F04"/>
    <w:rsid w:val="006D219F"/>
    <w:rsid w:val="006D221A"/>
    <w:rsid w:val="006D2CBF"/>
    <w:rsid w:val="006D3A0D"/>
    <w:rsid w:val="006D3C7D"/>
    <w:rsid w:val="006D5607"/>
    <w:rsid w:val="006D59CF"/>
    <w:rsid w:val="006D5D5F"/>
    <w:rsid w:val="006D685D"/>
    <w:rsid w:val="006D7B3A"/>
    <w:rsid w:val="006D7CA2"/>
    <w:rsid w:val="006E0BDF"/>
    <w:rsid w:val="006E1518"/>
    <w:rsid w:val="006E1604"/>
    <w:rsid w:val="006E1A08"/>
    <w:rsid w:val="006E1AE4"/>
    <w:rsid w:val="006E2D33"/>
    <w:rsid w:val="006E3910"/>
    <w:rsid w:val="006E3D79"/>
    <w:rsid w:val="006E4452"/>
    <w:rsid w:val="006E53F9"/>
    <w:rsid w:val="006E5581"/>
    <w:rsid w:val="006E68FE"/>
    <w:rsid w:val="006F0F06"/>
    <w:rsid w:val="006F0F5F"/>
    <w:rsid w:val="006F0FAA"/>
    <w:rsid w:val="006F233F"/>
    <w:rsid w:val="006F2D09"/>
    <w:rsid w:val="006F4BDE"/>
    <w:rsid w:val="006F5F43"/>
    <w:rsid w:val="006F63A5"/>
    <w:rsid w:val="006F63DF"/>
    <w:rsid w:val="0070117A"/>
    <w:rsid w:val="0070203E"/>
    <w:rsid w:val="0070276E"/>
    <w:rsid w:val="00702AD0"/>
    <w:rsid w:val="00702F8F"/>
    <w:rsid w:val="00703551"/>
    <w:rsid w:val="0070581A"/>
    <w:rsid w:val="00706C3F"/>
    <w:rsid w:val="007106BD"/>
    <w:rsid w:val="007109FC"/>
    <w:rsid w:val="00711973"/>
    <w:rsid w:val="00711A36"/>
    <w:rsid w:val="007145F3"/>
    <w:rsid w:val="00714C8C"/>
    <w:rsid w:val="00714D98"/>
    <w:rsid w:val="00715DC6"/>
    <w:rsid w:val="00716623"/>
    <w:rsid w:val="00716B08"/>
    <w:rsid w:val="00717197"/>
    <w:rsid w:val="007172AD"/>
    <w:rsid w:val="00717D02"/>
    <w:rsid w:val="007204F7"/>
    <w:rsid w:val="00720D1C"/>
    <w:rsid w:val="00720FC1"/>
    <w:rsid w:val="00724097"/>
    <w:rsid w:val="0072416F"/>
    <w:rsid w:val="0072486A"/>
    <w:rsid w:val="007261AB"/>
    <w:rsid w:val="00726B2D"/>
    <w:rsid w:val="00726C1F"/>
    <w:rsid w:val="00726EA5"/>
    <w:rsid w:val="0072744B"/>
    <w:rsid w:val="0072753D"/>
    <w:rsid w:val="0073092C"/>
    <w:rsid w:val="0073141A"/>
    <w:rsid w:val="00731B69"/>
    <w:rsid w:val="00732284"/>
    <w:rsid w:val="00732AEF"/>
    <w:rsid w:val="00735328"/>
    <w:rsid w:val="007353D5"/>
    <w:rsid w:val="0073685B"/>
    <w:rsid w:val="00736D2D"/>
    <w:rsid w:val="00736F40"/>
    <w:rsid w:val="00737498"/>
    <w:rsid w:val="00737B53"/>
    <w:rsid w:val="00741727"/>
    <w:rsid w:val="00741C45"/>
    <w:rsid w:val="0074247F"/>
    <w:rsid w:val="00742CD2"/>
    <w:rsid w:val="007431A5"/>
    <w:rsid w:val="00743804"/>
    <w:rsid w:val="00743CBB"/>
    <w:rsid w:val="00743D0F"/>
    <w:rsid w:val="00745D8C"/>
    <w:rsid w:val="00745FA7"/>
    <w:rsid w:val="007466EC"/>
    <w:rsid w:val="00747410"/>
    <w:rsid w:val="0075142E"/>
    <w:rsid w:val="00752181"/>
    <w:rsid w:val="007538E4"/>
    <w:rsid w:val="00753A5D"/>
    <w:rsid w:val="00753FFC"/>
    <w:rsid w:val="007543F0"/>
    <w:rsid w:val="007564A5"/>
    <w:rsid w:val="0075694B"/>
    <w:rsid w:val="007571D3"/>
    <w:rsid w:val="00760C36"/>
    <w:rsid w:val="0076158E"/>
    <w:rsid w:val="0076217D"/>
    <w:rsid w:val="00762E26"/>
    <w:rsid w:val="0076353A"/>
    <w:rsid w:val="00763B1D"/>
    <w:rsid w:val="00766BCB"/>
    <w:rsid w:val="007705A3"/>
    <w:rsid w:val="00773BAA"/>
    <w:rsid w:val="0077461C"/>
    <w:rsid w:val="007753DA"/>
    <w:rsid w:val="007759BE"/>
    <w:rsid w:val="00776299"/>
    <w:rsid w:val="0077637D"/>
    <w:rsid w:val="00776DAA"/>
    <w:rsid w:val="00780232"/>
    <w:rsid w:val="00781274"/>
    <w:rsid w:val="00783C1E"/>
    <w:rsid w:val="00784515"/>
    <w:rsid w:val="00784712"/>
    <w:rsid w:val="007848E4"/>
    <w:rsid w:val="00784DF4"/>
    <w:rsid w:val="00785A88"/>
    <w:rsid w:val="00787A7E"/>
    <w:rsid w:val="007905A3"/>
    <w:rsid w:val="00791974"/>
    <w:rsid w:val="00791A32"/>
    <w:rsid w:val="00793857"/>
    <w:rsid w:val="00794450"/>
    <w:rsid w:val="007946AF"/>
    <w:rsid w:val="00796CAA"/>
    <w:rsid w:val="007972F4"/>
    <w:rsid w:val="007A0A12"/>
    <w:rsid w:val="007A1B1C"/>
    <w:rsid w:val="007A2DAC"/>
    <w:rsid w:val="007A3803"/>
    <w:rsid w:val="007A4C07"/>
    <w:rsid w:val="007A4C28"/>
    <w:rsid w:val="007A4E54"/>
    <w:rsid w:val="007A7B9B"/>
    <w:rsid w:val="007A7CE1"/>
    <w:rsid w:val="007B1079"/>
    <w:rsid w:val="007B24E5"/>
    <w:rsid w:val="007B251D"/>
    <w:rsid w:val="007B26FA"/>
    <w:rsid w:val="007B2725"/>
    <w:rsid w:val="007B2CE4"/>
    <w:rsid w:val="007B342A"/>
    <w:rsid w:val="007B35A2"/>
    <w:rsid w:val="007B5279"/>
    <w:rsid w:val="007B6A01"/>
    <w:rsid w:val="007B70BB"/>
    <w:rsid w:val="007B777C"/>
    <w:rsid w:val="007B77D1"/>
    <w:rsid w:val="007C09D2"/>
    <w:rsid w:val="007C0B91"/>
    <w:rsid w:val="007C217D"/>
    <w:rsid w:val="007C3296"/>
    <w:rsid w:val="007C361D"/>
    <w:rsid w:val="007C37E7"/>
    <w:rsid w:val="007C3FEF"/>
    <w:rsid w:val="007C4A12"/>
    <w:rsid w:val="007C5CA7"/>
    <w:rsid w:val="007C62A6"/>
    <w:rsid w:val="007C67ED"/>
    <w:rsid w:val="007C7438"/>
    <w:rsid w:val="007C7985"/>
    <w:rsid w:val="007D03DE"/>
    <w:rsid w:val="007D0B38"/>
    <w:rsid w:val="007D0C28"/>
    <w:rsid w:val="007D18FE"/>
    <w:rsid w:val="007D20EE"/>
    <w:rsid w:val="007D2FE1"/>
    <w:rsid w:val="007D61B1"/>
    <w:rsid w:val="007D6A7F"/>
    <w:rsid w:val="007E0A1A"/>
    <w:rsid w:val="007E0BC2"/>
    <w:rsid w:val="007E0FBA"/>
    <w:rsid w:val="007E180F"/>
    <w:rsid w:val="007E303A"/>
    <w:rsid w:val="007E379E"/>
    <w:rsid w:val="007E3A3E"/>
    <w:rsid w:val="007E3C36"/>
    <w:rsid w:val="007E3C6C"/>
    <w:rsid w:val="007E4B54"/>
    <w:rsid w:val="007E545E"/>
    <w:rsid w:val="007E7524"/>
    <w:rsid w:val="007E7C9C"/>
    <w:rsid w:val="007F1017"/>
    <w:rsid w:val="007F170E"/>
    <w:rsid w:val="007F1DB7"/>
    <w:rsid w:val="007F2929"/>
    <w:rsid w:val="007F31A8"/>
    <w:rsid w:val="007F33DD"/>
    <w:rsid w:val="007F4A3F"/>
    <w:rsid w:val="00800476"/>
    <w:rsid w:val="00802706"/>
    <w:rsid w:val="00802900"/>
    <w:rsid w:val="00803661"/>
    <w:rsid w:val="008045D9"/>
    <w:rsid w:val="0080483C"/>
    <w:rsid w:val="00805142"/>
    <w:rsid w:val="00807910"/>
    <w:rsid w:val="00807A8B"/>
    <w:rsid w:val="00807A94"/>
    <w:rsid w:val="00810BA3"/>
    <w:rsid w:val="0081142C"/>
    <w:rsid w:val="00812149"/>
    <w:rsid w:val="008127AF"/>
    <w:rsid w:val="00815635"/>
    <w:rsid w:val="0081597E"/>
    <w:rsid w:val="00816116"/>
    <w:rsid w:val="008166EF"/>
    <w:rsid w:val="00816A41"/>
    <w:rsid w:val="008179C6"/>
    <w:rsid w:val="00817C7B"/>
    <w:rsid w:val="008211F6"/>
    <w:rsid w:val="00822EC9"/>
    <w:rsid w:val="00823C39"/>
    <w:rsid w:val="008240A5"/>
    <w:rsid w:val="00824698"/>
    <w:rsid w:val="008255CE"/>
    <w:rsid w:val="008256AF"/>
    <w:rsid w:val="0082598E"/>
    <w:rsid w:val="008264EB"/>
    <w:rsid w:val="00826E0F"/>
    <w:rsid w:val="00827101"/>
    <w:rsid w:val="008273BC"/>
    <w:rsid w:val="00827422"/>
    <w:rsid w:val="0082777F"/>
    <w:rsid w:val="0082794F"/>
    <w:rsid w:val="00827EBC"/>
    <w:rsid w:val="00827EFC"/>
    <w:rsid w:val="00830A0C"/>
    <w:rsid w:val="00830F2B"/>
    <w:rsid w:val="008318CE"/>
    <w:rsid w:val="0083205D"/>
    <w:rsid w:val="00833900"/>
    <w:rsid w:val="00833B05"/>
    <w:rsid w:val="008342A9"/>
    <w:rsid w:val="0083485B"/>
    <w:rsid w:val="00835E01"/>
    <w:rsid w:val="00836166"/>
    <w:rsid w:val="00836FCF"/>
    <w:rsid w:val="00837121"/>
    <w:rsid w:val="008373E1"/>
    <w:rsid w:val="008373F9"/>
    <w:rsid w:val="008375CC"/>
    <w:rsid w:val="0083791A"/>
    <w:rsid w:val="008407EB"/>
    <w:rsid w:val="00840CA2"/>
    <w:rsid w:val="00841237"/>
    <w:rsid w:val="0084197B"/>
    <w:rsid w:val="00842387"/>
    <w:rsid w:val="00842606"/>
    <w:rsid w:val="0084471E"/>
    <w:rsid w:val="008466A5"/>
    <w:rsid w:val="00847998"/>
    <w:rsid w:val="00847A4C"/>
    <w:rsid w:val="008504E6"/>
    <w:rsid w:val="008507B7"/>
    <w:rsid w:val="00851D40"/>
    <w:rsid w:val="0085278A"/>
    <w:rsid w:val="00852A91"/>
    <w:rsid w:val="00855653"/>
    <w:rsid w:val="00855F1F"/>
    <w:rsid w:val="00856E9A"/>
    <w:rsid w:val="00857A37"/>
    <w:rsid w:val="008607B9"/>
    <w:rsid w:val="00861D40"/>
    <w:rsid w:val="0086231E"/>
    <w:rsid w:val="00862502"/>
    <w:rsid w:val="008627F8"/>
    <w:rsid w:val="00863D57"/>
    <w:rsid w:val="00863D99"/>
    <w:rsid w:val="00863FD5"/>
    <w:rsid w:val="00864DA6"/>
    <w:rsid w:val="00865421"/>
    <w:rsid w:val="008657E7"/>
    <w:rsid w:val="00865D1C"/>
    <w:rsid w:val="0086642D"/>
    <w:rsid w:val="00866766"/>
    <w:rsid w:val="00866B6C"/>
    <w:rsid w:val="0087084D"/>
    <w:rsid w:val="0087097A"/>
    <w:rsid w:val="008714AA"/>
    <w:rsid w:val="00872D40"/>
    <w:rsid w:val="0087324B"/>
    <w:rsid w:val="00874884"/>
    <w:rsid w:val="00875D93"/>
    <w:rsid w:val="008821AF"/>
    <w:rsid w:val="00882874"/>
    <w:rsid w:val="00882C47"/>
    <w:rsid w:val="00883787"/>
    <w:rsid w:val="00884C47"/>
    <w:rsid w:val="00886B95"/>
    <w:rsid w:val="00887D70"/>
    <w:rsid w:val="00891C5A"/>
    <w:rsid w:val="00893085"/>
    <w:rsid w:val="0089342F"/>
    <w:rsid w:val="00894489"/>
    <w:rsid w:val="00894EC1"/>
    <w:rsid w:val="008963A5"/>
    <w:rsid w:val="008A0585"/>
    <w:rsid w:val="008A19E5"/>
    <w:rsid w:val="008A3C3E"/>
    <w:rsid w:val="008A4691"/>
    <w:rsid w:val="008A4C29"/>
    <w:rsid w:val="008A4E64"/>
    <w:rsid w:val="008A567E"/>
    <w:rsid w:val="008A57E6"/>
    <w:rsid w:val="008A60D7"/>
    <w:rsid w:val="008A6BA6"/>
    <w:rsid w:val="008A7494"/>
    <w:rsid w:val="008A79DE"/>
    <w:rsid w:val="008B0A4C"/>
    <w:rsid w:val="008B278B"/>
    <w:rsid w:val="008B346B"/>
    <w:rsid w:val="008B3984"/>
    <w:rsid w:val="008B5A39"/>
    <w:rsid w:val="008B5A7E"/>
    <w:rsid w:val="008B5FF1"/>
    <w:rsid w:val="008B7159"/>
    <w:rsid w:val="008B7D7E"/>
    <w:rsid w:val="008C091B"/>
    <w:rsid w:val="008C1AEF"/>
    <w:rsid w:val="008C28A6"/>
    <w:rsid w:val="008C2B31"/>
    <w:rsid w:val="008C3C80"/>
    <w:rsid w:val="008C47F3"/>
    <w:rsid w:val="008C58FA"/>
    <w:rsid w:val="008C5FE4"/>
    <w:rsid w:val="008C7ECB"/>
    <w:rsid w:val="008C7FA2"/>
    <w:rsid w:val="008D0255"/>
    <w:rsid w:val="008D0E44"/>
    <w:rsid w:val="008D1CC6"/>
    <w:rsid w:val="008D1D7E"/>
    <w:rsid w:val="008D2165"/>
    <w:rsid w:val="008D2598"/>
    <w:rsid w:val="008D28A1"/>
    <w:rsid w:val="008D2A04"/>
    <w:rsid w:val="008D3469"/>
    <w:rsid w:val="008D3D3A"/>
    <w:rsid w:val="008D4D8D"/>
    <w:rsid w:val="008D5F34"/>
    <w:rsid w:val="008D6C57"/>
    <w:rsid w:val="008D7631"/>
    <w:rsid w:val="008E147D"/>
    <w:rsid w:val="008E1B9E"/>
    <w:rsid w:val="008E1BCC"/>
    <w:rsid w:val="008E2157"/>
    <w:rsid w:val="008E2E79"/>
    <w:rsid w:val="008E3ABA"/>
    <w:rsid w:val="008E545E"/>
    <w:rsid w:val="008E59C9"/>
    <w:rsid w:val="008E5C27"/>
    <w:rsid w:val="008E6F52"/>
    <w:rsid w:val="008E7DD0"/>
    <w:rsid w:val="008E7E4F"/>
    <w:rsid w:val="008F053B"/>
    <w:rsid w:val="008F120A"/>
    <w:rsid w:val="008F1A0D"/>
    <w:rsid w:val="008F1C1C"/>
    <w:rsid w:val="008F2776"/>
    <w:rsid w:val="008F336F"/>
    <w:rsid w:val="008F3392"/>
    <w:rsid w:val="008F33F2"/>
    <w:rsid w:val="008F48EB"/>
    <w:rsid w:val="008F4F0B"/>
    <w:rsid w:val="008F5A94"/>
    <w:rsid w:val="008F63C5"/>
    <w:rsid w:val="008F6771"/>
    <w:rsid w:val="008F776E"/>
    <w:rsid w:val="009003D7"/>
    <w:rsid w:val="009008BA"/>
    <w:rsid w:val="00900B9E"/>
    <w:rsid w:val="00901E2B"/>
    <w:rsid w:val="0090265E"/>
    <w:rsid w:val="00902A27"/>
    <w:rsid w:val="00902A47"/>
    <w:rsid w:val="00902A86"/>
    <w:rsid w:val="00904899"/>
    <w:rsid w:val="00906027"/>
    <w:rsid w:val="009062A5"/>
    <w:rsid w:val="0090698B"/>
    <w:rsid w:val="00906F66"/>
    <w:rsid w:val="0091021D"/>
    <w:rsid w:val="009106BB"/>
    <w:rsid w:val="00911272"/>
    <w:rsid w:val="00912741"/>
    <w:rsid w:val="00912774"/>
    <w:rsid w:val="00913029"/>
    <w:rsid w:val="009139D1"/>
    <w:rsid w:val="00914BF6"/>
    <w:rsid w:val="00915C72"/>
    <w:rsid w:val="009173F3"/>
    <w:rsid w:val="00917613"/>
    <w:rsid w:val="00917E91"/>
    <w:rsid w:val="00920B8D"/>
    <w:rsid w:val="00920BA3"/>
    <w:rsid w:val="009216EF"/>
    <w:rsid w:val="00921AD2"/>
    <w:rsid w:val="00921DB4"/>
    <w:rsid w:val="009225D9"/>
    <w:rsid w:val="00924B60"/>
    <w:rsid w:val="00926357"/>
    <w:rsid w:val="0092771B"/>
    <w:rsid w:val="00927CB0"/>
    <w:rsid w:val="00927D18"/>
    <w:rsid w:val="00930A9D"/>
    <w:rsid w:val="00930C1A"/>
    <w:rsid w:val="009315EC"/>
    <w:rsid w:val="009315FF"/>
    <w:rsid w:val="00931D00"/>
    <w:rsid w:val="00933025"/>
    <w:rsid w:val="009336A0"/>
    <w:rsid w:val="00935A95"/>
    <w:rsid w:val="00940109"/>
    <w:rsid w:val="0094099F"/>
    <w:rsid w:val="009411D1"/>
    <w:rsid w:val="00942828"/>
    <w:rsid w:val="00943019"/>
    <w:rsid w:val="009433E2"/>
    <w:rsid w:val="009448DA"/>
    <w:rsid w:val="0094680C"/>
    <w:rsid w:val="00947FF7"/>
    <w:rsid w:val="009502FF"/>
    <w:rsid w:val="00950937"/>
    <w:rsid w:val="00951763"/>
    <w:rsid w:val="00951AB5"/>
    <w:rsid w:val="00951D7F"/>
    <w:rsid w:val="00952F25"/>
    <w:rsid w:val="00957673"/>
    <w:rsid w:val="00960AB4"/>
    <w:rsid w:val="00962CB9"/>
    <w:rsid w:val="00963870"/>
    <w:rsid w:val="00963BEE"/>
    <w:rsid w:val="00963C72"/>
    <w:rsid w:val="00964312"/>
    <w:rsid w:val="00965A3C"/>
    <w:rsid w:val="00965F08"/>
    <w:rsid w:val="00966052"/>
    <w:rsid w:val="00967339"/>
    <w:rsid w:val="00970A4D"/>
    <w:rsid w:val="00970FDA"/>
    <w:rsid w:val="009714A0"/>
    <w:rsid w:val="00972EC3"/>
    <w:rsid w:val="009731FB"/>
    <w:rsid w:val="00973A6F"/>
    <w:rsid w:val="0097468E"/>
    <w:rsid w:val="00976025"/>
    <w:rsid w:val="00977FEA"/>
    <w:rsid w:val="00980C97"/>
    <w:rsid w:val="00983321"/>
    <w:rsid w:val="00983E57"/>
    <w:rsid w:val="00985F54"/>
    <w:rsid w:val="0098674B"/>
    <w:rsid w:val="00986B4D"/>
    <w:rsid w:val="0098724F"/>
    <w:rsid w:val="00987C51"/>
    <w:rsid w:val="00990264"/>
    <w:rsid w:val="00990412"/>
    <w:rsid w:val="00991342"/>
    <w:rsid w:val="00991465"/>
    <w:rsid w:val="00991BD1"/>
    <w:rsid w:val="00993F4D"/>
    <w:rsid w:val="00996271"/>
    <w:rsid w:val="00996B1A"/>
    <w:rsid w:val="0099705D"/>
    <w:rsid w:val="009A0484"/>
    <w:rsid w:val="009A070C"/>
    <w:rsid w:val="009A16D5"/>
    <w:rsid w:val="009A1790"/>
    <w:rsid w:val="009A1C69"/>
    <w:rsid w:val="009A3A52"/>
    <w:rsid w:val="009A5142"/>
    <w:rsid w:val="009A74A7"/>
    <w:rsid w:val="009B1098"/>
    <w:rsid w:val="009B16AF"/>
    <w:rsid w:val="009B1D91"/>
    <w:rsid w:val="009B2DC2"/>
    <w:rsid w:val="009B3466"/>
    <w:rsid w:val="009B39D1"/>
    <w:rsid w:val="009B3E26"/>
    <w:rsid w:val="009B485A"/>
    <w:rsid w:val="009B6DFC"/>
    <w:rsid w:val="009B6F64"/>
    <w:rsid w:val="009C19B9"/>
    <w:rsid w:val="009C1A76"/>
    <w:rsid w:val="009C2F02"/>
    <w:rsid w:val="009C4AE6"/>
    <w:rsid w:val="009C5DD5"/>
    <w:rsid w:val="009C67B9"/>
    <w:rsid w:val="009C6F29"/>
    <w:rsid w:val="009C75C6"/>
    <w:rsid w:val="009C78A9"/>
    <w:rsid w:val="009C7CAB"/>
    <w:rsid w:val="009D1030"/>
    <w:rsid w:val="009D1FB8"/>
    <w:rsid w:val="009D2B30"/>
    <w:rsid w:val="009D3F26"/>
    <w:rsid w:val="009D4633"/>
    <w:rsid w:val="009D4CF4"/>
    <w:rsid w:val="009D4CF7"/>
    <w:rsid w:val="009D5B91"/>
    <w:rsid w:val="009D606E"/>
    <w:rsid w:val="009D7B70"/>
    <w:rsid w:val="009E085E"/>
    <w:rsid w:val="009E0EC5"/>
    <w:rsid w:val="009E24D8"/>
    <w:rsid w:val="009E31E6"/>
    <w:rsid w:val="009E32AF"/>
    <w:rsid w:val="009E4C07"/>
    <w:rsid w:val="009E4C80"/>
    <w:rsid w:val="009E570F"/>
    <w:rsid w:val="009E582D"/>
    <w:rsid w:val="009E6281"/>
    <w:rsid w:val="009E707D"/>
    <w:rsid w:val="009E76D2"/>
    <w:rsid w:val="009E7AE0"/>
    <w:rsid w:val="009E7BD0"/>
    <w:rsid w:val="009F08E8"/>
    <w:rsid w:val="009F0956"/>
    <w:rsid w:val="009F09AB"/>
    <w:rsid w:val="009F0AFE"/>
    <w:rsid w:val="009F2C2B"/>
    <w:rsid w:val="009F5366"/>
    <w:rsid w:val="009F5D63"/>
    <w:rsid w:val="009F6BCC"/>
    <w:rsid w:val="009F70AC"/>
    <w:rsid w:val="009F731D"/>
    <w:rsid w:val="00A01274"/>
    <w:rsid w:val="00A02E42"/>
    <w:rsid w:val="00A03345"/>
    <w:rsid w:val="00A03D43"/>
    <w:rsid w:val="00A03E99"/>
    <w:rsid w:val="00A04380"/>
    <w:rsid w:val="00A0452C"/>
    <w:rsid w:val="00A04751"/>
    <w:rsid w:val="00A05354"/>
    <w:rsid w:val="00A0576D"/>
    <w:rsid w:val="00A05BC8"/>
    <w:rsid w:val="00A077DE"/>
    <w:rsid w:val="00A07959"/>
    <w:rsid w:val="00A1024F"/>
    <w:rsid w:val="00A125B0"/>
    <w:rsid w:val="00A12DCA"/>
    <w:rsid w:val="00A133C6"/>
    <w:rsid w:val="00A13948"/>
    <w:rsid w:val="00A13C06"/>
    <w:rsid w:val="00A14650"/>
    <w:rsid w:val="00A14EDF"/>
    <w:rsid w:val="00A15A50"/>
    <w:rsid w:val="00A15C77"/>
    <w:rsid w:val="00A161A2"/>
    <w:rsid w:val="00A174AD"/>
    <w:rsid w:val="00A206F6"/>
    <w:rsid w:val="00A20865"/>
    <w:rsid w:val="00A219D2"/>
    <w:rsid w:val="00A21AEA"/>
    <w:rsid w:val="00A22A34"/>
    <w:rsid w:val="00A23B86"/>
    <w:rsid w:val="00A24624"/>
    <w:rsid w:val="00A2556E"/>
    <w:rsid w:val="00A26C0B"/>
    <w:rsid w:val="00A2756A"/>
    <w:rsid w:val="00A27AEC"/>
    <w:rsid w:val="00A30740"/>
    <w:rsid w:val="00A320E6"/>
    <w:rsid w:val="00A3296A"/>
    <w:rsid w:val="00A334F9"/>
    <w:rsid w:val="00A3352B"/>
    <w:rsid w:val="00A33AC0"/>
    <w:rsid w:val="00A34498"/>
    <w:rsid w:val="00A34691"/>
    <w:rsid w:val="00A35103"/>
    <w:rsid w:val="00A35D16"/>
    <w:rsid w:val="00A3648D"/>
    <w:rsid w:val="00A37583"/>
    <w:rsid w:val="00A37775"/>
    <w:rsid w:val="00A37920"/>
    <w:rsid w:val="00A40305"/>
    <w:rsid w:val="00A411B5"/>
    <w:rsid w:val="00A4141D"/>
    <w:rsid w:val="00A41FC9"/>
    <w:rsid w:val="00A42A0E"/>
    <w:rsid w:val="00A42BE2"/>
    <w:rsid w:val="00A433FF"/>
    <w:rsid w:val="00A43C59"/>
    <w:rsid w:val="00A44124"/>
    <w:rsid w:val="00A453B7"/>
    <w:rsid w:val="00A45A74"/>
    <w:rsid w:val="00A461AF"/>
    <w:rsid w:val="00A46430"/>
    <w:rsid w:val="00A50B3C"/>
    <w:rsid w:val="00A50E7F"/>
    <w:rsid w:val="00A50ECD"/>
    <w:rsid w:val="00A50ED6"/>
    <w:rsid w:val="00A52071"/>
    <w:rsid w:val="00A52686"/>
    <w:rsid w:val="00A52729"/>
    <w:rsid w:val="00A53675"/>
    <w:rsid w:val="00A53ABA"/>
    <w:rsid w:val="00A550AC"/>
    <w:rsid w:val="00A55491"/>
    <w:rsid w:val="00A56422"/>
    <w:rsid w:val="00A56B6A"/>
    <w:rsid w:val="00A56F0F"/>
    <w:rsid w:val="00A57412"/>
    <w:rsid w:val="00A576FE"/>
    <w:rsid w:val="00A578DC"/>
    <w:rsid w:val="00A57C8F"/>
    <w:rsid w:val="00A6195B"/>
    <w:rsid w:val="00A62163"/>
    <w:rsid w:val="00A638D5"/>
    <w:rsid w:val="00A64FC0"/>
    <w:rsid w:val="00A650CA"/>
    <w:rsid w:val="00A659ED"/>
    <w:rsid w:val="00A65BC2"/>
    <w:rsid w:val="00A660E9"/>
    <w:rsid w:val="00A66E46"/>
    <w:rsid w:val="00A6725B"/>
    <w:rsid w:val="00A6794F"/>
    <w:rsid w:val="00A71BAC"/>
    <w:rsid w:val="00A75483"/>
    <w:rsid w:val="00A75D85"/>
    <w:rsid w:val="00A75EB5"/>
    <w:rsid w:val="00A75FE7"/>
    <w:rsid w:val="00A77E64"/>
    <w:rsid w:val="00A8139F"/>
    <w:rsid w:val="00A83FB6"/>
    <w:rsid w:val="00A85118"/>
    <w:rsid w:val="00A85EE7"/>
    <w:rsid w:val="00A8650D"/>
    <w:rsid w:val="00A86E8B"/>
    <w:rsid w:val="00A904F3"/>
    <w:rsid w:val="00A906FD"/>
    <w:rsid w:val="00A91E8B"/>
    <w:rsid w:val="00A93072"/>
    <w:rsid w:val="00A93164"/>
    <w:rsid w:val="00A933D7"/>
    <w:rsid w:val="00A93FFB"/>
    <w:rsid w:val="00A95109"/>
    <w:rsid w:val="00A959D8"/>
    <w:rsid w:val="00A962DD"/>
    <w:rsid w:val="00A9714E"/>
    <w:rsid w:val="00A97389"/>
    <w:rsid w:val="00AA273D"/>
    <w:rsid w:val="00AA314F"/>
    <w:rsid w:val="00AA5327"/>
    <w:rsid w:val="00AA5B77"/>
    <w:rsid w:val="00AB042A"/>
    <w:rsid w:val="00AB1263"/>
    <w:rsid w:val="00AB15EA"/>
    <w:rsid w:val="00AB2D34"/>
    <w:rsid w:val="00AB3430"/>
    <w:rsid w:val="00AB437E"/>
    <w:rsid w:val="00AB455B"/>
    <w:rsid w:val="00AB4834"/>
    <w:rsid w:val="00AB4867"/>
    <w:rsid w:val="00AB5D21"/>
    <w:rsid w:val="00AB7CFA"/>
    <w:rsid w:val="00AC07AA"/>
    <w:rsid w:val="00AC176E"/>
    <w:rsid w:val="00AC23BB"/>
    <w:rsid w:val="00AC259B"/>
    <w:rsid w:val="00AC30FD"/>
    <w:rsid w:val="00AC390E"/>
    <w:rsid w:val="00AC6A1D"/>
    <w:rsid w:val="00AC6A94"/>
    <w:rsid w:val="00AC6D4E"/>
    <w:rsid w:val="00AC7218"/>
    <w:rsid w:val="00AC7EA7"/>
    <w:rsid w:val="00AD0694"/>
    <w:rsid w:val="00AD0FF9"/>
    <w:rsid w:val="00AD136E"/>
    <w:rsid w:val="00AD1C40"/>
    <w:rsid w:val="00AD26B5"/>
    <w:rsid w:val="00AD3384"/>
    <w:rsid w:val="00AD3830"/>
    <w:rsid w:val="00AD3FE8"/>
    <w:rsid w:val="00AD5393"/>
    <w:rsid w:val="00AD5D93"/>
    <w:rsid w:val="00AD7429"/>
    <w:rsid w:val="00AD7D7E"/>
    <w:rsid w:val="00AE2E2A"/>
    <w:rsid w:val="00AE3FFE"/>
    <w:rsid w:val="00AE44BE"/>
    <w:rsid w:val="00AE4CB9"/>
    <w:rsid w:val="00AE4E8B"/>
    <w:rsid w:val="00AE503E"/>
    <w:rsid w:val="00AE6362"/>
    <w:rsid w:val="00AE6E74"/>
    <w:rsid w:val="00AF0472"/>
    <w:rsid w:val="00AF06EB"/>
    <w:rsid w:val="00AF16D4"/>
    <w:rsid w:val="00AF2743"/>
    <w:rsid w:val="00AF4278"/>
    <w:rsid w:val="00AF44B7"/>
    <w:rsid w:val="00AF4609"/>
    <w:rsid w:val="00AF5405"/>
    <w:rsid w:val="00AF55A6"/>
    <w:rsid w:val="00AF5841"/>
    <w:rsid w:val="00AF58D2"/>
    <w:rsid w:val="00AF5A8F"/>
    <w:rsid w:val="00AF5CC7"/>
    <w:rsid w:val="00AF66A9"/>
    <w:rsid w:val="00AF6A8C"/>
    <w:rsid w:val="00AF6B1E"/>
    <w:rsid w:val="00AF7962"/>
    <w:rsid w:val="00B0117B"/>
    <w:rsid w:val="00B01C46"/>
    <w:rsid w:val="00B02D0B"/>
    <w:rsid w:val="00B036C0"/>
    <w:rsid w:val="00B03CCB"/>
    <w:rsid w:val="00B044A2"/>
    <w:rsid w:val="00B05923"/>
    <w:rsid w:val="00B06955"/>
    <w:rsid w:val="00B07702"/>
    <w:rsid w:val="00B10A7C"/>
    <w:rsid w:val="00B10ED0"/>
    <w:rsid w:val="00B111A8"/>
    <w:rsid w:val="00B1243A"/>
    <w:rsid w:val="00B1313E"/>
    <w:rsid w:val="00B15779"/>
    <w:rsid w:val="00B16BF9"/>
    <w:rsid w:val="00B20459"/>
    <w:rsid w:val="00B206B0"/>
    <w:rsid w:val="00B21AA7"/>
    <w:rsid w:val="00B22132"/>
    <w:rsid w:val="00B22794"/>
    <w:rsid w:val="00B228D5"/>
    <w:rsid w:val="00B238C2"/>
    <w:rsid w:val="00B2418E"/>
    <w:rsid w:val="00B241EF"/>
    <w:rsid w:val="00B2554F"/>
    <w:rsid w:val="00B277C3"/>
    <w:rsid w:val="00B303F9"/>
    <w:rsid w:val="00B3107C"/>
    <w:rsid w:val="00B31F45"/>
    <w:rsid w:val="00B33B0B"/>
    <w:rsid w:val="00B35994"/>
    <w:rsid w:val="00B37AA3"/>
    <w:rsid w:val="00B37E2B"/>
    <w:rsid w:val="00B40266"/>
    <w:rsid w:val="00B405DF"/>
    <w:rsid w:val="00B42851"/>
    <w:rsid w:val="00B42EBC"/>
    <w:rsid w:val="00B43330"/>
    <w:rsid w:val="00B44674"/>
    <w:rsid w:val="00B4532F"/>
    <w:rsid w:val="00B46162"/>
    <w:rsid w:val="00B46840"/>
    <w:rsid w:val="00B474DA"/>
    <w:rsid w:val="00B50DB8"/>
    <w:rsid w:val="00B50F96"/>
    <w:rsid w:val="00B52249"/>
    <w:rsid w:val="00B53905"/>
    <w:rsid w:val="00B548A7"/>
    <w:rsid w:val="00B54B5B"/>
    <w:rsid w:val="00B54F62"/>
    <w:rsid w:val="00B552FD"/>
    <w:rsid w:val="00B5562E"/>
    <w:rsid w:val="00B557EA"/>
    <w:rsid w:val="00B566B3"/>
    <w:rsid w:val="00B5687E"/>
    <w:rsid w:val="00B57000"/>
    <w:rsid w:val="00B5745E"/>
    <w:rsid w:val="00B57BDC"/>
    <w:rsid w:val="00B57D99"/>
    <w:rsid w:val="00B60199"/>
    <w:rsid w:val="00B60939"/>
    <w:rsid w:val="00B60AFD"/>
    <w:rsid w:val="00B61096"/>
    <w:rsid w:val="00B619CE"/>
    <w:rsid w:val="00B62715"/>
    <w:rsid w:val="00B6285D"/>
    <w:rsid w:val="00B62951"/>
    <w:rsid w:val="00B66E0B"/>
    <w:rsid w:val="00B671D0"/>
    <w:rsid w:val="00B7001C"/>
    <w:rsid w:val="00B7076F"/>
    <w:rsid w:val="00B70796"/>
    <w:rsid w:val="00B70CE7"/>
    <w:rsid w:val="00B71C16"/>
    <w:rsid w:val="00B72270"/>
    <w:rsid w:val="00B72757"/>
    <w:rsid w:val="00B729B4"/>
    <w:rsid w:val="00B72A7A"/>
    <w:rsid w:val="00B73650"/>
    <w:rsid w:val="00B74DB8"/>
    <w:rsid w:val="00B75B75"/>
    <w:rsid w:val="00B75B9C"/>
    <w:rsid w:val="00B76287"/>
    <w:rsid w:val="00B76C42"/>
    <w:rsid w:val="00B8184B"/>
    <w:rsid w:val="00B818A4"/>
    <w:rsid w:val="00B83F6D"/>
    <w:rsid w:val="00B83FA6"/>
    <w:rsid w:val="00B840BF"/>
    <w:rsid w:val="00B8469B"/>
    <w:rsid w:val="00B85343"/>
    <w:rsid w:val="00B855D5"/>
    <w:rsid w:val="00B85AC3"/>
    <w:rsid w:val="00B85C2C"/>
    <w:rsid w:val="00B8649C"/>
    <w:rsid w:val="00B8693E"/>
    <w:rsid w:val="00B86B7F"/>
    <w:rsid w:val="00B87357"/>
    <w:rsid w:val="00B87ACC"/>
    <w:rsid w:val="00B902A2"/>
    <w:rsid w:val="00B90690"/>
    <w:rsid w:val="00B90A3C"/>
    <w:rsid w:val="00B90EDE"/>
    <w:rsid w:val="00B91CC0"/>
    <w:rsid w:val="00B92D0B"/>
    <w:rsid w:val="00B9421F"/>
    <w:rsid w:val="00B94945"/>
    <w:rsid w:val="00B96804"/>
    <w:rsid w:val="00B96F0E"/>
    <w:rsid w:val="00B9739A"/>
    <w:rsid w:val="00BA048B"/>
    <w:rsid w:val="00BA0520"/>
    <w:rsid w:val="00BA08F2"/>
    <w:rsid w:val="00BA1405"/>
    <w:rsid w:val="00BA18ED"/>
    <w:rsid w:val="00BA2417"/>
    <w:rsid w:val="00BA2BD4"/>
    <w:rsid w:val="00BA37BC"/>
    <w:rsid w:val="00BA4461"/>
    <w:rsid w:val="00BA5701"/>
    <w:rsid w:val="00BA5D48"/>
    <w:rsid w:val="00BA6FAD"/>
    <w:rsid w:val="00BA7E60"/>
    <w:rsid w:val="00BB099B"/>
    <w:rsid w:val="00BB1966"/>
    <w:rsid w:val="00BB2907"/>
    <w:rsid w:val="00BB3CE2"/>
    <w:rsid w:val="00BB3D88"/>
    <w:rsid w:val="00BB4BE3"/>
    <w:rsid w:val="00BB7405"/>
    <w:rsid w:val="00BC0424"/>
    <w:rsid w:val="00BC07F8"/>
    <w:rsid w:val="00BC08F4"/>
    <w:rsid w:val="00BC0A51"/>
    <w:rsid w:val="00BC15B7"/>
    <w:rsid w:val="00BC1ADD"/>
    <w:rsid w:val="00BC2ECA"/>
    <w:rsid w:val="00BC3248"/>
    <w:rsid w:val="00BC438F"/>
    <w:rsid w:val="00BC4CC4"/>
    <w:rsid w:val="00BC6277"/>
    <w:rsid w:val="00BC6A2C"/>
    <w:rsid w:val="00BC7191"/>
    <w:rsid w:val="00BC79B2"/>
    <w:rsid w:val="00BD18C3"/>
    <w:rsid w:val="00BD2591"/>
    <w:rsid w:val="00BD5B91"/>
    <w:rsid w:val="00BD6CF3"/>
    <w:rsid w:val="00BD7105"/>
    <w:rsid w:val="00BE0F66"/>
    <w:rsid w:val="00BE1CC4"/>
    <w:rsid w:val="00BE2180"/>
    <w:rsid w:val="00BE361F"/>
    <w:rsid w:val="00BE4275"/>
    <w:rsid w:val="00BE486E"/>
    <w:rsid w:val="00BE4B30"/>
    <w:rsid w:val="00BE4F0F"/>
    <w:rsid w:val="00BE5139"/>
    <w:rsid w:val="00BE7296"/>
    <w:rsid w:val="00BE7E4E"/>
    <w:rsid w:val="00BF0435"/>
    <w:rsid w:val="00BF0BAE"/>
    <w:rsid w:val="00BF15FA"/>
    <w:rsid w:val="00BF20D2"/>
    <w:rsid w:val="00BF2433"/>
    <w:rsid w:val="00BF2503"/>
    <w:rsid w:val="00BF310D"/>
    <w:rsid w:val="00BF37DB"/>
    <w:rsid w:val="00BF3ADA"/>
    <w:rsid w:val="00BF3B4F"/>
    <w:rsid w:val="00BF543D"/>
    <w:rsid w:val="00BF555C"/>
    <w:rsid w:val="00BF5DB0"/>
    <w:rsid w:val="00BF61C9"/>
    <w:rsid w:val="00BF707A"/>
    <w:rsid w:val="00BF7AA6"/>
    <w:rsid w:val="00BF7FDA"/>
    <w:rsid w:val="00C00B61"/>
    <w:rsid w:val="00C01166"/>
    <w:rsid w:val="00C02FB7"/>
    <w:rsid w:val="00C0376C"/>
    <w:rsid w:val="00C0385B"/>
    <w:rsid w:val="00C046B0"/>
    <w:rsid w:val="00C04C9B"/>
    <w:rsid w:val="00C0598A"/>
    <w:rsid w:val="00C05D16"/>
    <w:rsid w:val="00C07310"/>
    <w:rsid w:val="00C07C72"/>
    <w:rsid w:val="00C10D12"/>
    <w:rsid w:val="00C11F5D"/>
    <w:rsid w:val="00C12899"/>
    <w:rsid w:val="00C132BC"/>
    <w:rsid w:val="00C13AB8"/>
    <w:rsid w:val="00C14AF1"/>
    <w:rsid w:val="00C152F0"/>
    <w:rsid w:val="00C1534A"/>
    <w:rsid w:val="00C15C21"/>
    <w:rsid w:val="00C17481"/>
    <w:rsid w:val="00C2006F"/>
    <w:rsid w:val="00C20211"/>
    <w:rsid w:val="00C2030E"/>
    <w:rsid w:val="00C20C93"/>
    <w:rsid w:val="00C2100E"/>
    <w:rsid w:val="00C21C9C"/>
    <w:rsid w:val="00C2385E"/>
    <w:rsid w:val="00C251AB"/>
    <w:rsid w:val="00C253E0"/>
    <w:rsid w:val="00C25418"/>
    <w:rsid w:val="00C25D9C"/>
    <w:rsid w:val="00C25F91"/>
    <w:rsid w:val="00C315FC"/>
    <w:rsid w:val="00C31649"/>
    <w:rsid w:val="00C31AA2"/>
    <w:rsid w:val="00C3262B"/>
    <w:rsid w:val="00C329F3"/>
    <w:rsid w:val="00C331B5"/>
    <w:rsid w:val="00C334FA"/>
    <w:rsid w:val="00C362A3"/>
    <w:rsid w:val="00C363F7"/>
    <w:rsid w:val="00C36C20"/>
    <w:rsid w:val="00C40101"/>
    <w:rsid w:val="00C4016D"/>
    <w:rsid w:val="00C40297"/>
    <w:rsid w:val="00C40385"/>
    <w:rsid w:val="00C41264"/>
    <w:rsid w:val="00C41BDC"/>
    <w:rsid w:val="00C427C2"/>
    <w:rsid w:val="00C43E7F"/>
    <w:rsid w:val="00C43FCD"/>
    <w:rsid w:val="00C45088"/>
    <w:rsid w:val="00C470D6"/>
    <w:rsid w:val="00C477F7"/>
    <w:rsid w:val="00C4789C"/>
    <w:rsid w:val="00C47C70"/>
    <w:rsid w:val="00C5027C"/>
    <w:rsid w:val="00C51CE0"/>
    <w:rsid w:val="00C52C89"/>
    <w:rsid w:val="00C55B7A"/>
    <w:rsid w:val="00C5671C"/>
    <w:rsid w:val="00C579A2"/>
    <w:rsid w:val="00C57A85"/>
    <w:rsid w:val="00C60AA3"/>
    <w:rsid w:val="00C649E2"/>
    <w:rsid w:val="00C64D1B"/>
    <w:rsid w:val="00C6553F"/>
    <w:rsid w:val="00C65576"/>
    <w:rsid w:val="00C66165"/>
    <w:rsid w:val="00C704DC"/>
    <w:rsid w:val="00C70DF2"/>
    <w:rsid w:val="00C74292"/>
    <w:rsid w:val="00C74BD1"/>
    <w:rsid w:val="00C74CD4"/>
    <w:rsid w:val="00C750C8"/>
    <w:rsid w:val="00C762E8"/>
    <w:rsid w:val="00C76917"/>
    <w:rsid w:val="00C7724C"/>
    <w:rsid w:val="00C803BE"/>
    <w:rsid w:val="00C80C50"/>
    <w:rsid w:val="00C8175D"/>
    <w:rsid w:val="00C81788"/>
    <w:rsid w:val="00C817C9"/>
    <w:rsid w:val="00C81D6C"/>
    <w:rsid w:val="00C81DE3"/>
    <w:rsid w:val="00C8213F"/>
    <w:rsid w:val="00C82B52"/>
    <w:rsid w:val="00C82BAA"/>
    <w:rsid w:val="00C83177"/>
    <w:rsid w:val="00C84610"/>
    <w:rsid w:val="00C84D63"/>
    <w:rsid w:val="00C85419"/>
    <w:rsid w:val="00C855A1"/>
    <w:rsid w:val="00C85AD9"/>
    <w:rsid w:val="00C85B44"/>
    <w:rsid w:val="00C85C9C"/>
    <w:rsid w:val="00C86597"/>
    <w:rsid w:val="00C86D7B"/>
    <w:rsid w:val="00C86FB7"/>
    <w:rsid w:val="00C8754A"/>
    <w:rsid w:val="00C8797A"/>
    <w:rsid w:val="00C92404"/>
    <w:rsid w:val="00C92F80"/>
    <w:rsid w:val="00C932D8"/>
    <w:rsid w:val="00C938CF"/>
    <w:rsid w:val="00C93E76"/>
    <w:rsid w:val="00C95ECD"/>
    <w:rsid w:val="00C96A5F"/>
    <w:rsid w:val="00C96C7F"/>
    <w:rsid w:val="00C96F18"/>
    <w:rsid w:val="00CA0022"/>
    <w:rsid w:val="00CA06C5"/>
    <w:rsid w:val="00CA1581"/>
    <w:rsid w:val="00CA5245"/>
    <w:rsid w:val="00CA7B09"/>
    <w:rsid w:val="00CB0409"/>
    <w:rsid w:val="00CB0608"/>
    <w:rsid w:val="00CB0EF9"/>
    <w:rsid w:val="00CB2099"/>
    <w:rsid w:val="00CB3429"/>
    <w:rsid w:val="00CB36D4"/>
    <w:rsid w:val="00CB3C9A"/>
    <w:rsid w:val="00CB4032"/>
    <w:rsid w:val="00CB52D1"/>
    <w:rsid w:val="00CB5B1A"/>
    <w:rsid w:val="00CB5C2F"/>
    <w:rsid w:val="00CB5E1B"/>
    <w:rsid w:val="00CB617E"/>
    <w:rsid w:val="00CB75FC"/>
    <w:rsid w:val="00CC042A"/>
    <w:rsid w:val="00CC0487"/>
    <w:rsid w:val="00CC0923"/>
    <w:rsid w:val="00CC18AC"/>
    <w:rsid w:val="00CC254D"/>
    <w:rsid w:val="00CC4AE1"/>
    <w:rsid w:val="00CC5285"/>
    <w:rsid w:val="00CD0A54"/>
    <w:rsid w:val="00CD2CD8"/>
    <w:rsid w:val="00CD44B5"/>
    <w:rsid w:val="00CD495A"/>
    <w:rsid w:val="00CD6ADC"/>
    <w:rsid w:val="00CE0B02"/>
    <w:rsid w:val="00CE0DC3"/>
    <w:rsid w:val="00CE1F81"/>
    <w:rsid w:val="00CE2C98"/>
    <w:rsid w:val="00CE42BF"/>
    <w:rsid w:val="00CE4A87"/>
    <w:rsid w:val="00CE5602"/>
    <w:rsid w:val="00CE584B"/>
    <w:rsid w:val="00CE6274"/>
    <w:rsid w:val="00CE67A6"/>
    <w:rsid w:val="00CE7302"/>
    <w:rsid w:val="00CE77E8"/>
    <w:rsid w:val="00CF148E"/>
    <w:rsid w:val="00CF1F3C"/>
    <w:rsid w:val="00CF22E8"/>
    <w:rsid w:val="00CF3287"/>
    <w:rsid w:val="00CF41E1"/>
    <w:rsid w:val="00CF456B"/>
    <w:rsid w:val="00CF5A22"/>
    <w:rsid w:val="00CF5A7F"/>
    <w:rsid w:val="00CF5C2B"/>
    <w:rsid w:val="00CF69C1"/>
    <w:rsid w:val="00CF6A8A"/>
    <w:rsid w:val="00CF6C53"/>
    <w:rsid w:val="00CF7238"/>
    <w:rsid w:val="00CF74C2"/>
    <w:rsid w:val="00CF7FEA"/>
    <w:rsid w:val="00D00378"/>
    <w:rsid w:val="00D0054A"/>
    <w:rsid w:val="00D00652"/>
    <w:rsid w:val="00D0262E"/>
    <w:rsid w:val="00D03793"/>
    <w:rsid w:val="00D03E2E"/>
    <w:rsid w:val="00D03F48"/>
    <w:rsid w:val="00D04B3C"/>
    <w:rsid w:val="00D064F1"/>
    <w:rsid w:val="00D0773F"/>
    <w:rsid w:val="00D07CBE"/>
    <w:rsid w:val="00D1094E"/>
    <w:rsid w:val="00D110BD"/>
    <w:rsid w:val="00D11C99"/>
    <w:rsid w:val="00D11EA9"/>
    <w:rsid w:val="00D12447"/>
    <w:rsid w:val="00D1278B"/>
    <w:rsid w:val="00D12EAC"/>
    <w:rsid w:val="00D130F5"/>
    <w:rsid w:val="00D1312D"/>
    <w:rsid w:val="00D147B7"/>
    <w:rsid w:val="00D151C2"/>
    <w:rsid w:val="00D16999"/>
    <w:rsid w:val="00D16F00"/>
    <w:rsid w:val="00D171BA"/>
    <w:rsid w:val="00D17B5D"/>
    <w:rsid w:val="00D17D6C"/>
    <w:rsid w:val="00D20435"/>
    <w:rsid w:val="00D2092D"/>
    <w:rsid w:val="00D233F8"/>
    <w:rsid w:val="00D24615"/>
    <w:rsid w:val="00D24992"/>
    <w:rsid w:val="00D24B43"/>
    <w:rsid w:val="00D25538"/>
    <w:rsid w:val="00D27EBF"/>
    <w:rsid w:val="00D27ED9"/>
    <w:rsid w:val="00D31B43"/>
    <w:rsid w:val="00D320BB"/>
    <w:rsid w:val="00D32322"/>
    <w:rsid w:val="00D3324A"/>
    <w:rsid w:val="00D34723"/>
    <w:rsid w:val="00D3579B"/>
    <w:rsid w:val="00D357FF"/>
    <w:rsid w:val="00D37B29"/>
    <w:rsid w:val="00D405A7"/>
    <w:rsid w:val="00D40A3A"/>
    <w:rsid w:val="00D41352"/>
    <w:rsid w:val="00D422B1"/>
    <w:rsid w:val="00D42476"/>
    <w:rsid w:val="00D42FDF"/>
    <w:rsid w:val="00D42FEA"/>
    <w:rsid w:val="00D43AEE"/>
    <w:rsid w:val="00D445FD"/>
    <w:rsid w:val="00D45F41"/>
    <w:rsid w:val="00D46042"/>
    <w:rsid w:val="00D4620B"/>
    <w:rsid w:val="00D464BC"/>
    <w:rsid w:val="00D469CF"/>
    <w:rsid w:val="00D50726"/>
    <w:rsid w:val="00D50B06"/>
    <w:rsid w:val="00D50CF9"/>
    <w:rsid w:val="00D50D92"/>
    <w:rsid w:val="00D51578"/>
    <w:rsid w:val="00D5246D"/>
    <w:rsid w:val="00D532CD"/>
    <w:rsid w:val="00D53AD3"/>
    <w:rsid w:val="00D540F9"/>
    <w:rsid w:val="00D54106"/>
    <w:rsid w:val="00D57074"/>
    <w:rsid w:val="00D57395"/>
    <w:rsid w:val="00D60F72"/>
    <w:rsid w:val="00D6202C"/>
    <w:rsid w:val="00D62225"/>
    <w:rsid w:val="00D62DD4"/>
    <w:rsid w:val="00D64F93"/>
    <w:rsid w:val="00D66D10"/>
    <w:rsid w:val="00D70B9A"/>
    <w:rsid w:val="00D70F11"/>
    <w:rsid w:val="00D70F90"/>
    <w:rsid w:val="00D71781"/>
    <w:rsid w:val="00D71B98"/>
    <w:rsid w:val="00D72D32"/>
    <w:rsid w:val="00D74BBA"/>
    <w:rsid w:val="00D750D9"/>
    <w:rsid w:val="00D75494"/>
    <w:rsid w:val="00D75639"/>
    <w:rsid w:val="00D76A44"/>
    <w:rsid w:val="00D77E2D"/>
    <w:rsid w:val="00D80302"/>
    <w:rsid w:val="00D8157D"/>
    <w:rsid w:val="00D829C0"/>
    <w:rsid w:val="00D83A89"/>
    <w:rsid w:val="00D8429D"/>
    <w:rsid w:val="00D855AD"/>
    <w:rsid w:val="00D87C2E"/>
    <w:rsid w:val="00D9109D"/>
    <w:rsid w:val="00D934A0"/>
    <w:rsid w:val="00D93753"/>
    <w:rsid w:val="00D95BEF"/>
    <w:rsid w:val="00D96081"/>
    <w:rsid w:val="00D9747B"/>
    <w:rsid w:val="00D97723"/>
    <w:rsid w:val="00DA02ED"/>
    <w:rsid w:val="00DA24BA"/>
    <w:rsid w:val="00DA2A0D"/>
    <w:rsid w:val="00DA30FB"/>
    <w:rsid w:val="00DA34AA"/>
    <w:rsid w:val="00DA3E3E"/>
    <w:rsid w:val="00DA538F"/>
    <w:rsid w:val="00DA63A2"/>
    <w:rsid w:val="00DA77A5"/>
    <w:rsid w:val="00DB0B27"/>
    <w:rsid w:val="00DB195F"/>
    <w:rsid w:val="00DB1DC2"/>
    <w:rsid w:val="00DB3065"/>
    <w:rsid w:val="00DB47CE"/>
    <w:rsid w:val="00DB48A2"/>
    <w:rsid w:val="00DB4CA2"/>
    <w:rsid w:val="00DB4E0B"/>
    <w:rsid w:val="00DB5375"/>
    <w:rsid w:val="00DB550B"/>
    <w:rsid w:val="00DB6244"/>
    <w:rsid w:val="00DB63B6"/>
    <w:rsid w:val="00DB6CB4"/>
    <w:rsid w:val="00DC10CB"/>
    <w:rsid w:val="00DC147E"/>
    <w:rsid w:val="00DC194E"/>
    <w:rsid w:val="00DC1F02"/>
    <w:rsid w:val="00DC22F5"/>
    <w:rsid w:val="00DC30E1"/>
    <w:rsid w:val="00DC32A8"/>
    <w:rsid w:val="00DC46A7"/>
    <w:rsid w:val="00DC5501"/>
    <w:rsid w:val="00DC5621"/>
    <w:rsid w:val="00DC656E"/>
    <w:rsid w:val="00DC735B"/>
    <w:rsid w:val="00DC758B"/>
    <w:rsid w:val="00DD093E"/>
    <w:rsid w:val="00DD2D19"/>
    <w:rsid w:val="00DD2EFE"/>
    <w:rsid w:val="00DD3B95"/>
    <w:rsid w:val="00DD3DBC"/>
    <w:rsid w:val="00DD3F28"/>
    <w:rsid w:val="00DD40F4"/>
    <w:rsid w:val="00DD41F8"/>
    <w:rsid w:val="00DD4537"/>
    <w:rsid w:val="00DD4E15"/>
    <w:rsid w:val="00DD749E"/>
    <w:rsid w:val="00DD78D4"/>
    <w:rsid w:val="00DE0655"/>
    <w:rsid w:val="00DE49A4"/>
    <w:rsid w:val="00DE4E42"/>
    <w:rsid w:val="00DE4FCB"/>
    <w:rsid w:val="00DE71B9"/>
    <w:rsid w:val="00DF04D8"/>
    <w:rsid w:val="00DF2445"/>
    <w:rsid w:val="00DF2BF6"/>
    <w:rsid w:val="00DF4F8C"/>
    <w:rsid w:val="00DF55C5"/>
    <w:rsid w:val="00DF5D2B"/>
    <w:rsid w:val="00DF5F21"/>
    <w:rsid w:val="00DF5FA8"/>
    <w:rsid w:val="00E006B3"/>
    <w:rsid w:val="00E007B4"/>
    <w:rsid w:val="00E02BFC"/>
    <w:rsid w:val="00E03F34"/>
    <w:rsid w:val="00E03FDA"/>
    <w:rsid w:val="00E042C0"/>
    <w:rsid w:val="00E046CF"/>
    <w:rsid w:val="00E05FDE"/>
    <w:rsid w:val="00E0618D"/>
    <w:rsid w:val="00E06B16"/>
    <w:rsid w:val="00E10149"/>
    <w:rsid w:val="00E1117F"/>
    <w:rsid w:val="00E1205E"/>
    <w:rsid w:val="00E12C8D"/>
    <w:rsid w:val="00E1376D"/>
    <w:rsid w:val="00E1583B"/>
    <w:rsid w:val="00E16372"/>
    <w:rsid w:val="00E16418"/>
    <w:rsid w:val="00E173C9"/>
    <w:rsid w:val="00E20804"/>
    <w:rsid w:val="00E20ED6"/>
    <w:rsid w:val="00E21358"/>
    <w:rsid w:val="00E218D2"/>
    <w:rsid w:val="00E2249B"/>
    <w:rsid w:val="00E2277F"/>
    <w:rsid w:val="00E22A0D"/>
    <w:rsid w:val="00E2365C"/>
    <w:rsid w:val="00E23C10"/>
    <w:rsid w:val="00E24EA1"/>
    <w:rsid w:val="00E25B5A"/>
    <w:rsid w:val="00E26357"/>
    <w:rsid w:val="00E27496"/>
    <w:rsid w:val="00E2771E"/>
    <w:rsid w:val="00E3106B"/>
    <w:rsid w:val="00E32C32"/>
    <w:rsid w:val="00E341A2"/>
    <w:rsid w:val="00E3629A"/>
    <w:rsid w:val="00E36464"/>
    <w:rsid w:val="00E37569"/>
    <w:rsid w:val="00E37693"/>
    <w:rsid w:val="00E41433"/>
    <w:rsid w:val="00E41E30"/>
    <w:rsid w:val="00E42062"/>
    <w:rsid w:val="00E438EB"/>
    <w:rsid w:val="00E43D70"/>
    <w:rsid w:val="00E443F6"/>
    <w:rsid w:val="00E4512C"/>
    <w:rsid w:val="00E46D54"/>
    <w:rsid w:val="00E46D59"/>
    <w:rsid w:val="00E4701B"/>
    <w:rsid w:val="00E47B2C"/>
    <w:rsid w:val="00E505F6"/>
    <w:rsid w:val="00E5087E"/>
    <w:rsid w:val="00E51560"/>
    <w:rsid w:val="00E51BEB"/>
    <w:rsid w:val="00E523A6"/>
    <w:rsid w:val="00E53A44"/>
    <w:rsid w:val="00E54880"/>
    <w:rsid w:val="00E551EC"/>
    <w:rsid w:val="00E551ED"/>
    <w:rsid w:val="00E55424"/>
    <w:rsid w:val="00E55BB5"/>
    <w:rsid w:val="00E561A3"/>
    <w:rsid w:val="00E57CDA"/>
    <w:rsid w:val="00E60C37"/>
    <w:rsid w:val="00E615CF"/>
    <w:rsid w:val="00E641A3"/>
    <w:rsid w:val="00E6488A"/>
    <w:rsid w:val="00E65237"/>
    <w:rsid w:val="00E65E79"/>
    <w:rsid w:val="00E67416"/>
    <w:rsid w:val="00E70419"/>
    <w:rsid w:val="00E712F6"/>
    <w:rsid w:val="00E7153C"/>
    <w:rsid w:val="00E718B6"/>
    <w:rsid w:val="00E71ACA"/>
    <w:rsid w:val="00E73581"/>
    <w:rsid w:val="00E74529"/>
    <w:rsid w:val="00E75B71"/>
    <w:rsid w:val="00E75FB6"/>
    <w:rsid w:val="00E76DED"/>
    <w:rsid w:val="00E80490"/>
    <w:rsid w:val="00E804CA"/>
    <w:rsid w:val="00E80DC5"/>
    <w:rsid w:val="00E81B5F"/>
    <w:rsid w:val="00E82303"/>
    <w:rsid w:val="00E82643"/>
    <w:rsid w:val="00E82C9F"/>
    <w:rsid w:val="00E837E4"/>
    <w:rsid w:val="00E83BDF"/>
    <w:rsid w:val="00E846E2"/>
    <w:rsid w:val="00E84E84"/>
    <w:rsid w:val="00E86B51"/>
    <w:rsid w:val="00E86F75"/>
    <w:rsid w:val="00E87835"/>
    <w:rsid w:val="00E9023E"/>
    <w:rsid w:val="00E90DA1"/>
    <w:rsid w:val="00E90EC7"/>
    <w:rsid w:val="00E9187D"/>
    <w:rsid w:val="00E9212E"/>
    <w:rsid w:val="00E926AE"/>
    <w:rsid w:val="00E92E4E"/>
    <w:rsid w:val="00E93F7D"/>
    <w:rsid w:val="00E94C16"/>
    <w:rsid w:val="00E94E28"/>
    <w:rsid w:val="00E9585A"/>
    <w:rsid w:val="00E95DDB"/>
    <w:rsid w:val="00E976F7"/>
    <w:rsid w:val="00E97D2D"/>
    <w:rsid w:val="00EA1909"/>
    <w:rsid w:val="00EA20ED"/>
    <w:rsid w:val="00EA2425"/>
    <w:rsid w:val="00EA30A6"/>
    <w:rsid w:val="00EA35E0"/>
    <w:rsid w:val="00EA3864"/>
    <w:rsid w:val="00EA39A3"/>
    <w:rsid w:val="00EA4CB9"/>
    <w:rsid w:val="00EA7C82"/>
    <w:rsid w:val="00EA7F56"/>
    <w:rsid w:val="00EB15B6"/>
    <w:rsid w:val="00EB1F2C"/>
    <w:rsid w:val="00EB28A7"/>
    <w:rsid w:val="00EB4237"/>
    <w:rsid w:val="00EB457B"/>
    <w:rsid w:val="00EB47D8"/>
    <w:rsid w:val="00EB4916"/>
    <w:rsid w:val="00EB5BDC"/>
    <w:rsid w:val="00EB648B"/>
    <w:rsid w:val="00EB7C51"/>
    <w:rsid w:val="00EB7E32"/>
    <w:rsid w:val="00EC00C9"/>
    <w:rsid w:val="00EC03AD"/>
    <w:rsid w:val="00EC19CC"/>
    <w:rsid w:val="00EC2479"/>
    <w:rsid w:val="00EC29DB"/>
    <w:rsid w:val="00EC4773"/>
    <w:rsid w:val="00EC4CBF"/>
    <w:rsid w:val="00EC7318"/>
    <w:rsid w:val="00EC7E67"/>
    <w:rsid w:val="00ED02C2"/>
    <w:rsid w:val="00ED16C6"/>
    <w:rsid w:val="00ED19FB"/>
    <w:rsid w:val="00ED1EA4"/>
    <w:rsid w:val="00ED2846"/>
    <w:rsid w:val="00ED4CD0"/>
    <w:rsid w:val="00EE0520"/>
    <w:rsid w:val="00EE0650"/>
    <w:rsid w:val="00EE07D3"/>
    <w:rsid w:val="00EE21F9"/>
    <w:rsid w:val="00EE3F65"/>
    <w:rsid w:val="00EE4AAA"/>
    <w:rsid w:val="00EE530E"/>
    <w:rsid w:val="00EE5578"/>
    <w:rsid w:val="00EE5800"/>
    <w:rsid w:val="00EE6CCA"/>
    <w:rsid w:val="00EE786B"/>
    <w:rsid w:val="00EE7FF7"/>
    <w:rsid w:val="00EF0ABA"/>
    <w:rsid w:val="00EF0DA3"/>
    <w:rsid w:val="00EF1738"/>
    <w:rsid w:val="00EF1A95"/>
    <w:rsid w:val="00EF1CC8"/>
    <w:rsid w:val="00EF3848"/>
    <w:rsid w:val="00EF39FE"/>
    <w:rsid w:val="00EF4D11"/>
    <w:rsid w:val="00EF5586"/>
    <w:rsid w:val="00EF5B75"/>
    <w:rsid w:val="00EF671A"/>
    <w:rsid w:val="00F0113E"/>
    <w:rsid w:val="00F0167A"/>
    <w:rsid w:val="00F017A8"/>
    <w:rsid w:val="00F01C4A"/>
    <w:rsid w:val="00F0279A"/>
    <w:rsid w:val="00F029B2"/>
    <w:rsid w:val="00F029F2"/>
    <w:rsid w:val="00F031C3"/>
    <w:rsid w:val="00F0376F"/>
    <w:rsid w:val="00F03CEF"/>
    <w:rsid w:val="00F067A2"/>
    <w:rsid w:val="00F069D0"/>
    <w:rsid w:val="00F10027"/>
    <w:rsid w:val="00F11408"/>
    <w:rsid w:val="00F12AAC"/>
    <w:rsid w:val="00F12CA1"/>
    <w:rsid w:val="00F13740"/>
    <w:rsid w:val="00F13C00"/>
    <w:rsid w:val="00F148E5"/>
    <w:rsid w:val="00F14ECE"/>
    <w:rsid w:val="00F1558F"/>
    <w:rsid w:val="00F15C59"/>
    <w:rsid w:val="00F164BA"/>
    <w:rsid w:val="00F17216"/>
    <w:rsid w:val="00F17F1B"/>
    <w:rsid w:val="00F21CD5"/>
    <w:rsid w:val="00F227A4"/>
    <w:rsid w:val="00F22A20"/>
    <w:rsid w:val="00F236A3"/>
    <w:rsid w:val="00F245A9"/>
    <w:rsid w:val="00F24837"/>
    <w:rsid w:val="00F2575F"/>
    <w:rsid w:val="00F27065"/>
    <w:rsid w:val="00F3079C"/>
    <w:rsid w:val="00F3119C"/>
    <w:rsid w:val="00F32928"/>
    <w:rsid w:val="00F33DE9"/>
    <w:rsid w:val="00F33EE7"/>
    <w:rsid w:val="00F349B5"/>
    <w:rsid w:val="00F354E2"/>
    <w:rsid w:val="00F35623"/>
    <w:rsid w:val="00F3619A"/>
    <w:rsid w:val="00F368FB"/>
    <w:rsid w:val="00F377CE"/>
    <w:rsid w:val="00F40121"/>
    <w:rsid w:val="00F41955"/>
    <w:rsid w:val="00F427A5"/>
    <w:rsid w:val="00F431DB"/>
    <w:rsid w:val="00F4326F"/>
    <w:rsid w:val="00F4331B"/>
    <w:rsid w:val="00F44CA9"/>
    <w:rsid w:val="00F45C78"/>
    <w:rsid w:val="00F466F6"/>
    <w:rsid w:val="00F46944"/>
    <w:rsid w:val="00F46CB6"/>
    <w:rsid w:val="00F47130"/>
    <w:rsid w:val="00F5072D"/>
    <w:rsid w:val="00F5088E"/>
    <w:rsid w:val="00F50C7E"/>
    <w:rsid w:val="00F50E88"/>
    <w:rsid w:val="00F54BF4"/>
    <w:rsid w:val="00F554A9"/>
    <w:rsid w:val="00F55E73"/>
    <w:rsid w:val="00F55F89"/>
    <w:rsid w:val="00F60092"/>
    <w:rsid w:val="00F602B2"/>
    <w:rsid w:val="00F6144C"/>
    <w:rsid w:val="00F61788"/>
    <w:rsid w:val="00F634C8"/>
    <w:rsid w:val="00F63AA7"/>
    <w:rsid w:val="00F65EB8"/>
    <w:rsid w:val="00F66231"/>
    <w:rsid w:val="00F66362"/>
    <w:rsid w:val="00F663F4"/>
    <w:rsid w:val="00F675A0"/>
    <w:rsid w:val="00F7004F"/>
    <w:rsid w:val="00F70409"/>
    <w:rsid w:val="00F722BB"/>
    <w:rsid w:val="00F73DA0"/>
    <w:rsid w:val="00F800E0"/>
    <w:rsid w:val="00F80E5D"/>
    <w:rsid w:val="00F8141B"/>
    <w:rsid w:val="00F81A0C"/>
    <w:rsid w:val="00F81F03"/>
    <w:rsid w:val="00F82871"/>
    <w:rsid w:val="00F83097"/>
    <w:rsid w:val="00F83125"/>
    <w:rsid w:val="00F833F4"/>
    <w:rsid w:val="00F8375A"/>
    <w:rsid w:val="00F84C83"/>
    <w:rsid w:val="00F851CE"/>
    <w:rsid w:val="00F85F1D"/>
    <w:rsid w:val="00F87A43"/>
    <w:rsid w:val="00F87CAA"/>
    <w:rsid w:val="00F91481"/>
    <w:rsid w:val="00F929E6"/>
    <w:rsid w:val="00F92A57"/>
    <w:rsid w:val="00F952B4"/>
    <w:rsid w:val="00F96BB1"/>
    <w:rsid w:val="00F9726C"/>
    <w:rsid w:val="00F97A78"/>
    <w:rsid w:val="00F97B14"/>
    <w:rsid w:val="00F97B7C"/>
    <w:rsid w:val="00FA0A7F"/>
    <w:rsid w:val="00FA0E5A"/>
    <w:rsid w:val="00FA24E7"/>
    <w:rsid w:val="00FA2D36"/>
    <w:rsid w:val="00FA3662"/>
    <w:rsid w:val="00FA3897"/>
    <w:rsid w:val="00FA3E5E"/>
    <w:rsid w:val="00FA49D4"/>
    <w:rsid w:val="00FA4F25"/>
    <w:rsid w:val="00FA60F7"/>
    <w:rsid w:val="00FA79EF"/>
    <w:rsid w:val="00FB0794"/>
    <w:rsid w:val="00FB1F79"/>
    <w:rsid w:val="00FB2FCB"/>
    <w:rsid w:val="00FB36ED"/>
    <w:rsid w:val="00FB4101"/>
    <w:rsid w:val="00FB4B8D"/>
    <w:rsid w:val="00FB5FEB"/>
    <w:rsid w:val="00FB646A"/>
    <w:rsid w:val="00FB701D"/>
    <w:rsid w:val="00FB784A"/>
    <w:rsid w:val="00FC09B5"/>
    <w:rsid w:val="00FC1074"/>
    <w:rsid w:val="00FC1884"/>
    <w:rsid w:val="00FC20B8"/>
    <w:rsid w:val="00FC20CC"/>
    <w:rsid w:val="00FC3166"/>
    <w:rsid w:val="00FC3459"/>
    <w:rsid w:val="00FC545B"/>
    <w:rsid w:val="00FC54B3"/>
    <w:rsid w:val="00FD13CC"/>
    <w:rsid w:val="00FD2100"/>
    <w:rsid w:val="00FD2274"/>
    <w:rsid w:val="00FD2D2B"/>
    <w:rsid w:val="00FD31D7"/>
    <w:rsid w:val="00FD3C47"/>
    <w:rsid w:val="00FD3DD5"/>
    <w:rsid w:val="00FD446D"/>
    <w:rsid w:val="00FD691B"/>
    <w:rsid w:val="00FE0822"/>
    <w:rsid w:val="00FE0CF2"/>
    <w:rsid w:val="00FE16EF"/>
    <w:rsid w:val="00FE47D3"/>
    <w:rsid w:val="00FE5164"/>
    <w:rsid w:val="00FE6726"/>
    <w:rsid w:val="00FE7311"/>
    <w:rsid w:val="00FE78DC"/>
    <w:rsid w:val="00FF04A0"/>
    <w:rsid w:val="00FF1A8B"/>
    <w:rsid w:val="00FF381F"/>
    <w:rsid w:val="00FF3DB9"/>
    <w:rsid w:val="00FF3DCF"/>
    <w:rsid w:val="00FF4037"/>
    <w:rsid w:val="00FF4413"/>
    <w:rsid w:val="00FF492E"/>
    <w:rsid w:val="00FF513F"/>
    <w:rsid w:val="00FF5199"/>
    <w:rsid w:val="00FF5AA3"/>
    <w:rsid w:val="00FF5D39"/>
    <w:rsid w:val="00FF6680"/>
    <w:rsid w:val="00FF7D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9B39D1"/>
    <w:rPr>
      <w:sz w:val="28"/>
    </w:rPr>
  </w:style>
  <w:style w:type="character" w:customStyle="1" w:styleId="TitleChar">
    <w:name w:val="Title Char"/>
    <w:basedOn w:val="DefaultParagraphFont"/>
    <w:link w:val="Title"/>
    <w:rsid w:val="009B39D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customStyle="1" w:styleId="COMBody">
    <w:name w:val="COMBody"/>
    <w:basedOn w:val="Normal"/>
    <w:link w:val="COMBodyChar"/>
    <w:qFormat/>
    <w:rsid w:val="00C41BDC"/>
  </w:style>
  <w:style w:type="character" w:customStyle="1" w:styleId="COMBodyChar">
    <w:name w:val="COMBody Char"/>
    <w:basedOn w:val="DefaultParagraphFont"/>
    <w:link w:val="COMBody"/>
    <w:rsid w:val="00C41BDC"/>
    <w:rPr>
      <w:rFonts w:ascii="Arial" w:hAnsi="Arial" w:cs="Arial"/>
      <w:snapToGrid w:val="0"/>
      <w:sz w:val="22"/>
      <w:lang w:eastAsia="en-US"/>
    </w:rPr>
  </w:style>
  <w:style w:type="paragraph" w:customStyle="1" w:styleId="COMTbl-reqlisting">
    <w:name w:val="COMTbl-reqlisting"/>
    <w:basedOn w:val="Normal"/>
    <w:link w:val="COMTbl-reqlistingChar"/>
    <w:qFormat/>
    <w:rsid w:val="0060623C"/>
    <w:pPr>
      <w:keepNext/>
    </w:pPr>
    <w:rPr>
      <w:b/>
      <w:szCs w:val="22"/>
    </w:rPr>
  </w:style>
  <w:style w:type="character" w:customStyle="1" w:styleId="COMTbl-reqlistingChar">
    <w:name w:val="COMTbl-reqlisting Char"/>
    <w:basedOn w:val="DefaultParagraphFont"/>
    <w:link w:val="COMTbl-reqlisting"/>
    <w:rsid w:val="0060623C"/>
    <w:rPr>
      <w:rFonts w:ascii="Arial" w:hAnsi="Arial" w:cs="Arial"/>
      <w:b/>
      <w:snapToGrid w:val="0"/>
      <w:sz w:val="22"/>
      <w:szCs w:val="22"/>
      <w:lang w:eastAsia="en-US"/>
    </w:rPr>
  </w:style>
  <w:style w:type="paragraph" w:customStyle="1" w:styleId="COMtbl-HEADLeftAligned">
    <w:name w:val="COMtbl-HEAD Left Aligned"/>
    <w:basedOn w:val="Normal"/>
    <w:qFormat/>
    <w:rsid w:val="00D8157D"/>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D8157D"/>
    <w:pPr>
      <w:jc w:val="center"/>
    </w:pPr>
  </w:style>
  <w:style w:type="paragraph" w:customStyle="1" w:styleId="COMTbl-foot">
    <w:name w:val="COMTbl-foot"/>
    <w:basedOn w:val="TableFooter"/>
    <w:link w:val="COMTbl-footChar"/>
    <w:qFormat/>
    <w:rsid w:val="00D8157D"/>
    <w:rPr>
      <w:rFonts w:ascii="Arial" w:hAnsi="Arial"/>
    </w:rPr>
  </w:style>
  <w:style w:type="character" w:customStyle="1" w:styleId="COMTbl-footChar">
    <w:name w:val="COMTbl-foot Char"/>
    <w:basedOn w:val="DefaultParagraphFont"/>
    <w:link w:val="COMTbl-foot"/>
    <w:rsid w:val="00D8157D"/>
    <w:rPr>
      <w:rFonts w:ascii="Arial" w:hAnsi="Arial" w:cs="Arial"/>
      <w:snapToGrid w:val="0"/>
      <w:sz w:val="18"/>
      <w:lang w:eastAsia="en-US"/>
    </w:rPr>
  </w:style>
  <w:style w:type="paragraph" w:customStyle="1" w:styleId="COMtbl-textLeftAligned">
    <w:name w:val="COMtbl-text Left Aligned"/>
    <w:basedOn w:val="COMtbl-HEADLeftAligned"/>
    <w:qFormat/>
    <w:rsid w:val="00D8157D"/>
    <w:rPr>
      <w:b w:val="0"/>
    </w:rPr>
  </w:style>
  <w:style w:type="paragraph" w:customStyle="1" w:styleId="COMtbl-textCentred">
    <w:name w:val="COMtbl-text Centred"/>
    <w:basedOn w:val="COMtbl-HEADCentred"/>
    <w:qFormat/>
    <w:rsid w:val="00BA1405"/>
    <w:rPr>
      <w:b w:val="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A7CE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34"/>
    <w:rsid w:val="00102F8F"/>
    <w:rPr>
      <w:rFonts w:ascii="Arial" w:hAnsi="Arial" w:cs="Arial"/>
      <w:snapToGrid w:val="0"/>
      <w:sz w:val="22"/>
      <w:lang w:eastAsia="en-US"/>
    </w:rPr>
  </w:style>
  <w:style w:type="paragraph" w:customStyle="1" w:styleId="PBACheading10">
    <w:name w:val="PBAC heading 1"/>
    <w:qFormat/>
    <w:rsid w:val="000F1FF8"/>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9B39D1"/>
    <w:rPr>
      <w:sz w:val="28"/>
    </w:rPr>
  </w:style>
  <w:style w:type="character" w:customStyle="1" w:styleId="TitleChar">
    <w:name w:val="Title Char"/>
    <w:basedOn w:val="DefaultParagraphFont"/>
    <w:link w:val="Title"/>
    <w:rsid w:val="009B39D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customStyle="1" w:styleId="COMBody">
    <w:name w:val="COMBody"/>
    <w:basedOn w:val="Normal"/>
    <w:link w:val="COMBodyChar"/>
    <w:qFormat/>
    <w:rsid w:val="00C41BDC"/>
  </w:style>
  <w:style w:type="character" w:customStyle="1" w:styleId="COMBodyChar">
    <w:name w:val="COMBody Char"/>
    <w:basedOn w:val="DefaultParagraphFont"/>
    <w:link w:val="COMBody"/>
    <w:rsid w:val="00C41BDC"/>
    <w:rPr>
      <w:rFonts w:ascii="Arial" w:hAnsi="Arial" w:cs="Arial"/>
      <w:snapToGrid w:val="0"/>
      <w:sz w:val="22"/>
      <w:lang w:eastAsia="en-US"/>
    </w:rPr>
  </w:style>
  <w:style w:type="paragraph" w:customStyle="1" w:styleId="COMTbl-reqlisting">
    <w:name w:val="COMTbl-reqlisting"/>
    <w:basedOn w:val="Normal"/>
    <w:link w:val="COMTbl-reqlistingChar"/>
    <w:qFormat/>
    <w:rsid w:val="0060623C"/>
    <w:pPr>
      <w:keepNext/>
    </w:pPr>
    <w:rPr>
      <w:b/>
      <w:szCs w:val="22"/>
    </w:rPr>
  </w:style>
  <w:style w:type="character" w:customStyle="1" w:styleId="COMTbl-reqlistingChar">
    <w:name w:val="COMTbl-reqlisting Char"/>
    <w:basedOn w:val="DefaultParagraphFont"/>
    <w:link w:val="COMTbl-reqlisting"/>
    <w:rsid w:val="0060623C"/>
    <w:rPr>
      <w:rFonts w:ascii="Arial" w:hAnsi="Arial" w:cs="Arial"/>
      <w:b/>
      <w:snapToGrid w:val="0"/>
      <w:sz w:val="22"/>
      <w:szCs w:val="22"/>
      <w:lang w:eastAsia="en-US"/>
    </w:rPr>
  </w:style>
  <w:style w:type="paragraph" w:customStyle="1" w:styleId="COMtbl-HEADLeftAligned">
    <w:name w:val="COMtbl-HEAD Left Aligned"/>
    <w:basedOn w:val="Normal"/>
    <w:qFormat/>
    <w:rsid w:val="00D8157D"/>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D8157D"/>
    <w:pPr>
      <w:jc w:val="center"/>
    </w:pPr>
  </w:style>
  <w:style w:type="paragraph" w:customStyle="1" w:styleId="COMTbl-foot">
    <w:name w:val="COMTbl-foot"/>
    <w:basedOn w:val="TableFooter"/>
    <w:link w:val="COMTbl-footChar"/>
    <w:qFormat/>
    <w:rsid w:val="00D8157D"/>
    <w:rPr>
      <w:rFonts w:ascii="Arial" w:hAnsi="Arial"/>
    </w:rPr>
  </w:style>
  <w:style w:type="character" w:customStyle="1" w:styleId="COMTbl-footChar">
    <w:name w:val="COMTbl-foot Char"/>
    <w:basedOn w:val="DefaultParagraphFont"/>
    <w:link w:val="COMTbl-foot"/>
    <w:rsid w:val="00D8157D"/>
    <w:rPr>
      <w:rFonts w:ascii="Arial" w:hAnsi="Arial" w:cs="Arial"/>
      <w:snapToGrid w:val="0"/>
      <w:sz w:val="18"/>
      <w:lang w:eastAsia="en-US"/>
    </w:rPr>
  </w:style>
  <w:style w:type="paragraph" w:customStyle="1" w:styleId="COMtbl-textLeftAligned">
    <w:name w:val="COMtbl-text Left Aligned"/>
    <w:basedOn w:val="COMtbl-HEADLeftAligned"/>
    <w:qFormat/>
    <w:rsid w:val="00D8157D"/>
    <w:rPr>
      <w:b w:val="0"/>
    </w:rPr>
  </w:style>
  <w:style w:type="paragraph" w:customStyle="1" w:styleId="COMtbl-textCentred">
    <w:name w:val="COMtbl-text Centred"/>
    <w:basedOn w:val="COMtbl-HEADCentred"/>
    <w:qFormat/>
    <w:rsid w:val="00BA1405"/>
    <w:rPr>
      <w:b w:val="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A7CE1"/>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34"/>
    <w:rsid w:val="00102F8F"/>
    <w:rPr>
      <w:rFonts w:ascii="Arial" w:hAnsi="Arial" w:cs="Arial"/>
      <w:snapToGrid w:val="0"/>
      <w:sz w:val="22"/>
      <w:lang w:eastAsia="en-US"/>
    </w:rPr>
  </w:style>
  <w:style w:type="paragraph" w:customStyle="1" w:styleId="PBACheading10">
    <w:name w:val="PBAC heading 1"/>
    <w:qFormat/>
    <w:rsid w:val="000F1FF8"/>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0069">
      <w:bodyDiv w:val="1"/>
      <w:marLeft w:val="0"/>
      <w:marRight w:val="0"/>
      <w:marTop w:val="0"/>
      <w:marBottom w:val="0"/>
      <w:divBdr>
        <w:top w:val="none" w:sz="0" w:space="0" w:color="auto"/>
        <w:left w:val="none" w:sz="0" w:space="0" w:color="auto"/>
        <w:bottom w:val="none" w:sz="0" w:space="0" w:color="auto"/>
        <w:right w:val="none" w:sz="0" w:space="0" w:color="auto"/>
      </w:divBdr>
    </w:div>
    <w:div w:id="14032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1F42-C3B7-4EC7-9008-AEDC82F8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5948</Words>
  <Characters>38027</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2016-01-05T01:24:00Z</dcterms:created>
  <dcterms:modified xsi:type="dcterms:W3CDTF">2016-01-05T23:21:00Z</dcterms:modified>
</cp:coreProperties>
</file>