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D43" w:rsidRDefault="008047DD" w:rsidP="00FE5BAB">
      <w:pPr>
        <w:pStyle w:val="Title"/>
        <w:spacing w:before="0" w:after="0"/>
        <w:rPr>
          <w:rFonts w:ascii="Arial Bold" w:hAnsi="Arial Bold"/>
          <w:kern w:val="0"/>
        </w:rPr>
      </w:pPr>
      <w:bookmarkStart w:id="0" w:name="_Toc409081601"/>
      <w:bookmarkStart w:id="1" w:name="_GoBack"/>
      <w:bookmarkEnd w:id="1"/>
      <w:r w:rsidRPr="0076777C">
        <w:rPr>
          <w:rFonts w:ascii="Arial Bold" w:hAnsi="Arial Bold"/>
          <w:kern w:val="0"/>
        </w:rPr>
        <w:t>5.08</w:t>
      </w:r>
      <w:r w:rsidR="00547407" w:rsidRPr="0076777C">
        <w:rPr>
          <w:rFonts w:ascii="Arial Bold" w:hAnsi="Arial Bold"/>
          <w:kern w:val="0"/>
        </w:rPr>
        <w:tab/>
      </w:r>
      <w:r w:rsidR="00FE5BAB">
        <w:rPr>
          <w:rFonts w:ascii="Arial Bold" w:hAnsi="Arial Bold"/>
          <w:kern w:val="0"/>
        </w:rPr>
        <w:tab/>
      </w:r>
      <w:r w:rsidR="00547407" w:rsidRPr="0076777C">
        <w:rPr>
          <w:rFonts w:ascii="Arial Bold" w:hAnsi="Arial Bold"/>
          <w:kern w:val="0"/>
        </w:rPr>
        <w:t>DTPa-hepB-IPV-Hib VACCINE</w:t>
      </w:r>
      <w:r w:rsidR="00B60939" w:rsidRPr="0076777C">
        <w:rPr>
          <w:rFonts w:ascii="Arial Bold" w:hAnsi="Arial Bold"/>
          <w:kern w:val="0"/>
        </w:rPr>
        <w:t xml:space="preserve"> </w:t>
      </w:r>
    </w:p>
    <w:p w:rsidR="00472D43" w:rsidRDefault="00547407" w:rsidP="00472D43">
      <w:pPr>
        <w:pStyle w:val="Title"/>
        <w:spacing w:before="0" w:after="0"/>
        <w:ind w:left="720" w:firstLine="720"/>
        <w:rPr>
          <w:rFonts w:ascii="Arial Bold" w:hAnsi="Arial Bold"/>
          <w:kern w:val="0"/>
        </w:rPr>
      </w:pPr>
      <w:r w:rsidRPr="0076777C">
        <w:rPr>
          <w:rFonts w:ascii="Arial Bold" w:hAnsi="Arial Bold"/>
          <w:kern w:val="0"/>
        </w:rPr>
        <w:t>0.5mL pre-filled syringe</w:t>
      </w:r>
      <w:r w:rsidR="00472D43">
        <w:rPr>
          <w:rFonts w:ascii="Arial Bold" w:hAnsi="Arial Bold"/>
          <w:kern w:val="0"/>
        </w:rPr>
        <w:t>;</w:t>
      </w:r>
    </w:p>
    <w:p w:rsidR="00F16E86" w:rsidRPr="0076777C" w:rsidRDefault="00547407" w:rsidP="00472D43">
      <w:pPr>
        <w:pStyle w:val="Title"/>
        <w:spacing w:before="0" w:after="0"/>
        <w:ind w:left="720" w:firstLine="720"/>
        <w:rPr>
          <w:rFonts w:ascii="Arial Bold" w:hAnsi="Arial Bold"/>
          <w:kern w:val="0"/>
        </w:rPr>
      </w:pPr>
      <w:r w:rsidRPr="0076777C">
        <w:rPr>
          <w:rFonts w:ascii="Arial Bold" w:hAnsi="Arial Bold"/>
          <w:kern w:val="0"/>
        </w:rPr>
        <w:t>HEXAXIM</w:t>
      </w:r>
      <w:r w:rsidR="00B60939" w:rsidRPr="0076777C">
        <w:rPr>
          <w:rFonts w:ascii="Arial Bold" w:hAnsi="Arial Bold"/>
          <w:kern w:val="0"/>
          <w:vertAlign w:val="superscript"/>
        </w:rPr>
        <w:t>®</w:t>
      </w:r>
      <w:r w:rsidR="00472D43">
        <w:rPr>
          <w:rFonts w:ascii="Arial Bold" w:hAnsi="Arial Bold"/>
          <w:kern w:val="0"/>
        </w:rPr>
        <w:t>;</w:t>
      </w:r>
      <w:r w:rsidR="00B60939" w:rsidRPr="0076777C">
        <w:rPr>
          <w:rFonts w:ascii="Arial Bold" w:hAnsi="Arial Bold"/>
          <w:kern w:val="0"/>
        </w:rPr>
        <w:t xml:space="preserve"> </w:t>
      </w:r>
      <w:bookmarkEnd w:id="0"/>
      <w:r w:rsidR="00475907" w:rsidRPr="00475907">
        <w:rPr>
          <w:rFonts w:ascii="Arial Bold" w:hAnsi="Arial Bold"/>
          <w:kern w:val="0"/>
        </w:rPr>
        <w:t>Sanofi-aventis Australia Pty Ltd</w:t>
      </w:r>
      <w:r w:rsidR="00475907" w:rsidRPr="00475907">
        <w:rPr>
          <w:rFonts w:ascii="Arial Bold" w:hAnsi="Arial Bold"/>
          <w:kern w:val="0"/>
        </w:rPr>
        <w:cr/>
      </w:r>
    </w:p>
    <w:p w:rsidR="00B60939" w:rsidRDefault="00B60939" w:rsidP="00207D00"/>
    <w:p w:rsidR="00B50DB8" w:rsidRPr="00407F2D" w:rsidRDefault="00B50DB8" w:rsidP="00BD6CF3">
      <w:pPr>
        <w:pStyle w:val="PBACHeading1"/>
      </w:pPr>
      <w:bookmarkStart w:id="2" w:name="_Toc409081603"/>
      <w:r w:rsidRPr="00407F2D">
        <w:t>Purpose of Application</w:t>
      </w:r>
      <w:bookmarkEnd w:id="2"/>
    </w:p>
    <w:p w:rsidR="00B60939" w:rsidRPr="00882085" w:rsidRDefault="00B60939" w:rsidP="00B60939">
      <w:pPr>
        <w:rPr>
          <w:szCs w:val="22"/>
        </w:rPr>
      </w:pPr>
    </w:p>
    <w:p w:rsidR="00245D1D" w:rsidRPr="00745723" w:rsidRDefault="00245D1D" w:rsidP="002C2F87">
      <w:pPr>
        <w:pStyle w:val="ListParagraph"/>
        <w:widowControl/>
        <w:numPr>
          <w:ilvl w:val="1"/>
          <w:numId w:val="2"/>
        </w:numPr>
      </w:pPr>
      <w:r w:rsidRPr="00745723">
        <w:rPr>
          <w:szCs w:val="22"/>
        </w:rPr>
        <w:t>The submission requested N</w:t>
      </w:r>
      <w:r w:rsidR="009E13F7" w:rsidRPr="00745723">
        <w:rPr>
          <w:szCs w:val="22"/>
        </w:rPr>
        <w:t>ational Immunisation Program (NIP)</w:t>
      </w:r>
      <w:r w:rsidRPr="00745723">
        <w:rPr>
          <w:szCs w:val="22"/>
        </w:rPr>
        <w:t xml:space="preserve"> listing for Hexaxim (</w:t>
      </w:r>
      <w:r w:rsidR="003F65E8">
        <w:rPr>
          <w:szCs w:val="22"/>
        </w:rPr>
        <w:t xml:space="preserve">antigens against </w:t>
      </w:r>
      <w:r w:rsidR="003F65E8" w:rsidRPr="00BF0560">
        <w:rPr>
          <w:szCs w:val="22"/>
        </w:rPr>
        <w:t>diphtheria, tetanus, pertussis, hepatitis B, poliomyelitis and invasive infections caused by Haemophilus influenzae type b</w:t>
      </w:r>
      <w:r w:rsidR="003F65E8">
        <w:rPr>
          <w:szCs w:val="22"/>
        </w:rPr>
        <w:t xml:space="preserve">, </w:t>
      </w:r>
      <w:r w:rsidRPr="00745723">
        <w:rPr>
          <w:szCs w:val="22"/>
        </w:rPr>
        <w:t>DTPa-hepB-IPV-Hib) as a primary vaccine course</w:t>
      </w:r>
      <w:r w:rsidR="00745723" w:rsidRPr="00745723">
        <w:rPr>
          <w:szCs w:val="22"/>
        </w:rPr>
        <w:t xml:space="preserve">. </w:t>
      </w:r>
    </w:p>
    <w:p w:rsidR="00745723" w:rsidRDefault="00745723" w:rsidP="00745723">
      <w:pPr>
        <w:pStyle w:val="PBACHeading1"/>
        <w:numPr>
          <w:ilvl w:val="0"/>
          <w:numId w:val="0"/>
        </w:numPr>
        <w:ind w:left="720" w:hanging="720"/>
      </w:pPr>
    </w:p>
    <w:p w:rsidR="003430DE" w:rsidRPr="00882085" w:rsidRDefault="003430DE" w:rsidP="00745723">
      <w:pPr>
        <w:pStyle w:val="PBACHeading1"/>
        <w:numPr>
          <w:ilvl w:val="0"/>
          <w:numId w:val="0"/>
        </w:numPr>
        <w:ind w:left="720" w:hanging="720"/>
      </w:pPr>
    </w:p>
    <w:p w:rsidR="00B50DB8" w:rsidRPr="00407F2D" w:rsidRDefault="00B50DB8" w:rsidP="00BD6CF3">
      <w:pPr>
        <w:pStyle w:val="PBACHeading1"/>
      </w:pPr>
      <w:bookmarkStart w:id="3" w:name="_Toc409081604"/>
      <w:r w:rsidRPr="00407F2D">
        <w:t>Requested listing</w:t>
      </w:r>
      <w:bookmarkEnd w:id="3"/>
    </w:p>
    <w:p w:rsidR="00B60939" w:rsidRPr="00882085" w:rsidRDefault="00B60939" w:rsidP="004B1CB4"/>
    <w:p w:rsidR="00617E12" w:rsidRPr="00DC1E43" w:rsidRDefault="00617E12" w:rsidP="002C2F87">
      <w:pPr>
        <w:pStyle w:val="ListParagraph"/>
        <w:widowControl/>
        <w:numPr>
          <w:ilvl w:val="1"/>
          <w:numId w:val="2"/>
        </w:numPr>
        <w:rPr>
          <w:szCs w:val="22"/>
        </w:rPr>
      </w:pPr>
    </w:p>
    <w:tbl>
      <w:tblPr>
        <w:tblW w:w="4604" w:type="pct"/>
        <w:tblInd w:w="737" w:type="dxa"/>
        <w:tblCellMar>
          <w:left w:w="28" w:type="dxa"/>
          <w:right w:w="28" w:type="dxa"/>
        </w:tblCellMar>
        <w:tblLook w:val="0620" w:firstRow="1" w:lastRow="0" w:firstColumn="0" w:lastColumn="0" w:noHBand="1" w:noVBand="1"/>
      </w:tblPr>
      <w:tblGrid>
        <w:gridCol w:w="3062"/>
        <w:gridCol w:w="652"/>
        <w:gridCol w:w="795"/>
        <w:gridCol w:w="1473"/>
        <w:gridCol w:w="938"/>
        <w:gridCol w:w="1443"/>
      </w:tblGrid>
      <w:tr w:rsidR="00B50DB8" w:rsidRPr="00413860" w:rsidTr="0076777C">
        <w:trPr>
          <w:cantSplit/>
          <w:trHeight w:val="463"/>
        </w:trPr>
        <w:tc>
          <w:tcPr>
            <w:tcW w:w="1865" w:type="pct"/>
            <w:tcBorders>
              <w:bottom w:val="single" w:sz="4" w:space="0" w:color="auto"/>
            </w:tcBorders>
            <w:vAlign w:val="center"/>
          </w:tcPr>
          <w:p w:rsidR="00617E12" w:rsidRDefault="00617E12" w:rsidP="00617E12">
            <w:pPr>
              <w:keepNext/>
              <w:jc w:val="left"/>
              <w:rPr>
                <w:sz w:val="20"/>
              </w:rPr>
            </w:pPr>
            <w:r>
              <w:rPr>
                <w:sz w:val="20"/>
              </w:rPr>
              <w:t>Name, Restriction,</w:t>
            </w:r>
          </w:p>
          <w:p w:rsidR="00617E12" w:rsidRDefault="00617E12" w:rsidP="00617E12">
            <w:pPr>
              <w:keepNext/>
              <w:jc w:val="left"/>
              <w:rPr>
                <w:sz w:val="20"/>
              </w:rPr>
            </w:pPr>
            <w:r>
              <w:rPr>
                <w:sz w:val="20"/>
              </w:rPr>
              <w:t>Manner of administration and form</w:t>
            </w:r>
          </w:p>
        </w:tc>
        <w:tc>
          <w:tcPr>
            <w:tcW w:w="423" w:type="pct"/>
            <w:tcBorders>
              <w:bottom w:val="single" w:sz="4" w:space="0" w:color="auto"/>
            </w:tcBorders>
            <w:vAlign w:val="center"/>
          </w:tcPr>
          <w:p w:rsidR="00617E12" w:rsidRDefault="00617E12" w:rsidP="00617E12">
            <w:pPr>
              <w:keepNext/>
              <w:jc w:val="center"/>
              <w:rPr>
                <w:sz w:val="20"/>
              </w:rPr>
            </w:pPr>
            <w:r>
              <w:rPr>
                <w:sz w:val="20"/>
              </w:rPr>
              <w:t>Max.</w:t>
            </w:r>
          </w:p>
          <w:p w:rsidR="00617E12" w:rsidRDefault="00617E12" w:rsidP="00617E12">
            <w:pPr>
              <w:keepNext/>
              <w:jc w:val="center"/>
              <w:rPr>
                <w:sz w:val="20"/>
              </w:rPr>
            </w:pPr>
            <w:r>
              <w:rPr>
                <w:sz w:val="20"/>
              </w:rPr>
              <w:t>Qty</w:t>
            </w:r>
          </w:p>
        </w:tc>
        <w:tc>
          <w:tcPr>
            <w:tcW w:w="509" w:type="pct"/>
            <w:tcBorders>
              <w:bottom w:val="single" w:sz="4" w:space="0" w:color="auto"/>
            </w:tcBorders>
            <w:vAlign w:val="center"/>
          </w:tcPr>
          <w:p w:rsidR="00617E12" w:rsidRDefault="00617E12" w:rsidP="00617E12">
            <w:pPr>
              <w:keepNext/>
              <w:jc w:val="center"/>
              <w:rPr>
                <w:sz w:val="20"/>
              </w:rPr>
            </w:pPr>
            <w:r>
              <w:rPr>
                <w:sz w:val="20"/>
              </w:rPr>
              <w:t>№.of</w:t>
            </w:r>
          </w:p>
          <w:p w:rsidR="00617E12" w:rsidRDefault="00617E12" w:rsidP="00617E12">
            <w:pPr>
              <w:keepNext/>
              <w:jc w:val="center"/>
              <w:rPr>
                <w:sz w:val="20"/>
              </w:rPr>
            </w:pPr>
            <w:r>
              <w:rPr>
                <w:sz w:val="20"/>
              </w:rPr>
              <w:t>Rpts</w:t>
            </w:r>
          </w:p>
        </w:tc>
        <w:tc>
          <w:tcPr>
            <w:tcW w:w="914" w:type="pct"/>
            <w:tcBorders>
              <w:bottom w:val="single" w:sz="4" w:space="0" w:color="auto"/>
            </w:tcBorders>
            <w:vAlign w:val="center"/>
          </w:tcPr>
          <w:p w:rsidR="00617E12" w:rsidRDefault="00617E12" w:rsidP="00617E12">
            <w:pPr>
              <w:keepNext/>
              <w:jc w:val="center"/>
              <w:rPr>
                <w:sz w:val="20"/>
              </w:rPr>
            </w:pPr>
            <w:r>
              <w:rPr>
                <w:sz w:val="20"/>
              </w:rPr>
              <w:t>Dispensed Price for Max. Qty</w:t>
            </w:r>
          </w:p>
        </w:tc>
        <w:tc>
          <w:tcPr>
            <w:tcW w:w="1289" w:type="pct"/>
            <w:gridSpan w:val="2"/>
            <w:tcBorders>
              <w:bottom w:val="single" w:sz="4" w:space="0" w:color="auto"/>
            </w:tcBorders>
            <w:vAlign w:val="center"/>
          </w:tcPr>
          <w:p w:rsidR="00617E12" w:rsidRDefault="00617E12" w:rsidP="00617E12">
            <w:pPr>
              <w:keepNext/>
              <w:jc w:val="center"/>
              <w:rPr>
                <w:sz w:val="20"/>
                <w:lang w:val="fr-FR"/>
              </w:rPr>
            </w:pPr>
            <w:r>
              <w:rPr>
                <w:sz w:val="20"/>
              </w:rPr>
              <w:t>Proprietary Name and Manufacturer</w:t>
            </w:r>
          </w:p>
        </w:tc>
      </w:tr>
      <w:tr w:rsidR="00B50DB8" w:rsidRPr="00413860" w:rsidTr="0076777C">
        <w:trPr>
          <w:cantSplit/>
          <w:trHeight w:val="567"/>
        </w:trPr>
        <w:tc>
          <w:tcPr>
            <w:tcW w:w="1865" w:type="pct"/>
            <w:vAlign w:val="center"/>
          </w:tcPr>
          <w:p w:rsidR="00617E12" w:rsidRDefault="008E28AE" w:rsidP="00617E12">
            <w:pPr>
              <w:keepNext/>
              <w:jc w:val="left"/>
              <w:rPr>
                <w:sz w:val="20"/>
              </w:rPr>
            </w:pPr>
            <w:r>
              <w:rPr>
                <w:sz w:val="20"/>
              </w:rPr>
              <w:t xml:space="preserve">DTPa-hepB-IPV-Hib </w:t>
            </w:r>
            <w:r w:rsidRPr="008E28AE">
              <w:rPr>
                <w:smallCaps/>
                <w:sz w:val="20"/>
              </w:rPr>
              <w:t>vaccine</w:t>
            </w:r>
          </w:p>
          <w:p w:rsidR="00617E12" w:rsidRDefault="008E28AE" w:rsidP="00617E12">
            <w:pPr>
              <w:keepNext/>
              <w:jc w:val="left"/>
              <w:rPr>
                <w:sz w:val="20"/>
              </w:rPr>
            </w:pPr>
            <w:r w:rsidRPr="008E28AE">
              <w:rPr>
                <w:sz w:val="20"/>
              </w:rPr>
              <w:t>0.5mL pre-filled syringe</w:t>
            </w:r>
          </w:p>
        </w:tc>
        <w:tc>
          <w:tcPr>
            <w:tcW w:w="423" w:type="pct"/>
            <w:vAlign w:val="center"/>
          </w:tcPr>
          <w:p w:rsidR="00617E12" w:rsidRDefault="008E28AE" w:rsidP="00617E12">
            <w:pPr>
              <w:keepNext/>
              <w:jc w:val="center"/>
              <w:rPr>
                <w:sz w:val="20"/>
              </w:rPr>
            </w:pPr>
            <w:r>
              <w:rPr>
                <w:sz w:val="20"/>
              </w:rPr>
              <w:t>1</w:t>
            </w:r>
          </w:p>
        </w:tc>
        <w:tc>
          <w:tcPr>
            <w:tcW w:w="509" w:type="pct"/>
            <w:vAlign w:val="center"/>
          </w:tcPr>
          <w:p w:rsidR="00617E12" w:rsidRDefault="008E28AE" w:rsidP="00617E12">
            <w:pPr>
              <w:keepNext/>
              <w:jc w:val="center"/>
              <w:rPr>
                <w:sz w:val="20"/>
              </w:rPr>
            </w:pPr>
            <w:r>
              <w:rPr>
                <w:sz w:val="20"/>
              </w:rPr>
              <w:t>0</w:t>
            </w:r>
          </w:p>
        </w:tc>
        <w:tc>
          <w:tcPr>
            <w:tcW w:w="914" w:type="pct"/>
            <w:vAlign w:val="center"/>
          </w:tcPr>
          <w:p w:rsidR="00617E12" w:rsidRDefault="008E28AE" w:rsidP="00617E12">
            <w:pPr>
              <w:keepNext/>
              <w:jc w:val="center"/>
              <w:rPr>
                <w:sz w:val="20"/>
              </w:rPr>
            </w:pPr>
            <w:r>
              <w:rPr>
                <w:sz w:val="20"/>
              </w:rPr>
              <w:t>$</w:t>
            </w:r>
            <w:r w:rsidR="00E90B20">
              <w:rPr>
                <w:noProof/>
                <w:color w:val="000000"/>
                <w:sz w:val="20"/>
                <w:highlight w:val="black"/>
              </w:rPr>
              <w:t>''''''''''''</w:t>
            </w:r>
          </w:p>
        </w:tc>
        <w:tc>
          <w:tcPr>
            <w:tcW w:w="393" w:type="pct"/>
            <w:vAlign w:val="center"/>
          </w:tcPr>
          <w:p w:rsidR="00617E12" w:rsidRDefault="008E28AE" w:rsidP="00617E12">
            <w:pPr>
              <w:keepNext/>
              <w:jc w:val="center"/>
              <w:rPr>
                <w:sz w:val="20"/>
              </w:rPr>
            </w:pPr>
            <w:r>
              <w:rPr>
                <w:sz w:val="20"/>
              </w:rPr>
              <w:t>Hexaxim</w:t>
            </w:r>
            <w:r w:rsidRPr="00686B02">
              <w:rPr>
                <w:vertAlign w:val="superscript"/>
              </w:rPr>
              <w:t>®</w:t>
            </w:r>
          </w:p>
        </w:tc>
        <w:tc>
          <w:tcPr>
            <w:tcW w:w="896" w:type="pct"/>
            <w:vAlign w:val="center"/>
          </w:tcPr>
          <w:p w:rsidR="00617E12" w:rsidRDefault="008E28AE" w:rsidP="00617E12">
            <w:pPr>
              <w:keepNext/>
              <w:jc w:val="center"/>
              <w:rPr>
                <w:sz w:val="20"/>
              </w:rPr>
            </w:pPr>
            <w:r>
              <w:rPr>
                <w:sz w:val="20"/>
              </w:rPr>
              <w:t>Sanofi Pasteur</w:t>
            </w:r>
          </w:p>
        </w:tc>
      </w:tr>
      <w:tr w:rsidR="00617E12" w:rsidRPr="00413860" w:rsidTr="0076777C">
        <w:trPr>
          <w:cantSplit/>
          <w:trHeight w:val="354"/>
        </w:trPr>
        <w:tc>
          <w:tcPr>
            <w:tcW w:w="5000" w:type="pct"/>
            <w:gridSpan w:val="6"/>
            <w:vAlign w:val="center"/>
          </w:tcPr>
          <w:p w:rsidR="00617E12" w:rsidRDefault="008E28AE" w:rsidP="00617E12">
            <w:pPr>
              <w:jc w:val="left"/>
              <w:rPr>
                <w:b/>
                <w:sz w:val="20"/>
                <w:u w:val="single"/>
              </w:rPr>
            </w:pPr>
            <w:r>
              <w:rPr>
                <w:b/>
                <w:sz w:val="20"/>
                <w:u w:val="single"/>
              </w:rPr>
              <w:t>NIP listing</w:t>
            </w:r>
          </w:p>
          <w:p w:rsidR="008E28AE" w:rsidRDefault="008E28AE" w:rsidP="00617E12">
            <w:pPr>
              <w:jc w:val="left"/>
              <w:rPr>
                <w:sz w:val="20"/>
              </w:rPr>
            </w:pPr>
            <w:r w:rsidRPr="008E28AE">
              <w:rPr>
                <w:sz w:val="20"/>
              </w:rPr>
              <w:t>Primary vaccination series at 2, 4 and 6 months of age</w:t>
            </w:r>
          </w:p>
        </w:tc>
      </w:tr>
    </w:tbl>
    <w:p w:rsidR="00B60939" w:rsidRPr="00882085" w:rsidRDefault="00B60939" w:rsidP="004B1CB4"/>
    <w:p w:rsidR="00A1432D" w:rsidRDefault="00A1432D" w:rsidP="002C2F87">
      <w:pPr>
        <w:pStyle w:val="ListParagraph"/>
        <w:widowControl/>
        <w:numPr>
          <w:ilvl w:val="1"/>
          <w:numId w:val="2"/>
        </w:numPr>
        <w:rPr>
          <w:szCs w:val="22"/>
        </w:rPr>
      </w:pPr>
      <w:r>
        <w:rPr>
          <w:szCs w:val="22"/>
        </w:rPr>
        <w:t>Listing was requested on a cost-minimisation basis compared to Infanrix Hexa</w:t>
      </w:r>
      <w:r w:rsidR="009E13F7">
        <w:rPr>
          <w:szCs w:val="22"/>
        </w:rPr>
        <w:t>.</w:t>
      </w:r>
    </w:p>
    <w:p w:rsidR="00D411C9" w:rsidRDefault="00D411C9" w:rsidP="00D411C9">
      <w:pPr>
        <w:pStyle w:val="PBACHeading1"/>
        <w:numPr>
          <w:ilvl w:val="0"/>
          <w:numId w:val="0"/>
        </w:numPr>
        <w:ind w:left="720" w:hanging="720"/>
      </w:pPr>
    </w:p>
    <w:p w:rsidR="00D411C9" w:rsidRPr="00495E35" w:rsidRDefault="00D411C9" w:rsidP="00495E35">
      <w:pPr>
        <w:pStyle w:val="ListParagraph"/>
        <w:ind w:left="709"/>
        <w:rPr>
          <w:szCs w:val="22"/>
        </w:rPr>
      </w:pPr>
      <w:r w:rsidRPr="00495E35">
        <w:rPr>
          <w:szCs w:val="22"/>
        </w:rPr>
        <w:t>For more detail on PBAC’s vi</w:t>
      </w:r>
      <w:r w:rsidR="00082451">
        <w:rPr>
          <w:szCs w:val="22"/>
        </w:rPr>
        <w:t>ew, see section 7 “PBAC outcome</w:t>
      </w:r>
    </w:p>
    <w:p w:rsidR="004E43B2" w:rsidRDefault="004E43B2" w:rsidP="004B1CB4"/>
    <w:p w:rsidR="003430DE" w:rsidRPr="00882085" w:rsidRDefault="003430DE" w:rsidP="004B1CB4"/>
    <w:p w:rsidR="00B50DB8" w:rsidRPr="00407F2D" w:rsidRDefault="00B50DB8" w:rsidP="00BD6CF3">
      <w:pPr>
        <w:pStyle w:val="PBACHeading1"/>
      </w:pPr>
      <w:bookmarkStart w:id="4" w:name="_Toc409081605"/>
      <w:r w:rsidRPr="00407F2D">
        <w:t>Background</w:t>
      </w:r>
      <w:bookmarkEnd w:id="4"/>
    </w:p>
    <w:p w:rsidR="00B60939" w:rsidRPr="00882085" w:rsidRDefault="00B60939" w:rsidP="00B60939">
      <w:pPr>
        <w:rPr>
          <w:szCs w:val="22"/>
        </w:rPr>
      </w:pPr>
    </w:p>
    <w:p w:rsidR="00BF0560" w:rsidRDefault="00B60939" w:rsidP="002C2F87">
      <w:pPr>
        <w:pStyle w:val="ListParagraph"/>
        <w:widowControl/>
        <w:numPr>
          <w:ilvl w:val="1"/>
          <w:numId w:val="2"/>
        </w:numPr>
        <w:rPr>
          <w:szCs w:val="22"/>
        </w:rPr>
      </w:pPr>
      <w:r w:rsidRPr="00B50DB8">
        <w:rPr>
          <w:szCs w:val="22"/>
        </w:rPr>
        <w:t xml:space="preserve">TGA status: </w:t>
      </w:r>
      <w:r w:rsidR="00BF0560" w:rsidRPr="00BF0560">
        <w:rPr>
          <w:szCs w:val="22"/>
        </w:rPr>
        <w:t>Hexaxim was registered by the TGA on 11 September 2014 for the ‘vaccination of infants from six weeks of age against diphtheria, tetanus, pertussis, hepatitis B, poliomyelitis and invasive infections caused by Haemophilus influenzae type b. Use of this vaccine should be in accordance with the national recommendation as per the current Immunisation Handbook’.</w:t>
      </w:r>
    </w:p>
    <w:p w:rsidR="00B60939" w:rsidRPr="00882085" w:rsidRDefault="00B60939" w:rsidP="00B60939">
      <w:pPr>
        <w:pStyle w:val="ListParagraph"/>
        <w:rPr>
          <w:szCs w:val="22"/>
        </w:rPr>
      </w:pPr>
    </w:p>
    <w:p w:rsidR="00B60939" w:rsidRPr="00BF0560" w:rsidRDefault="00BF0560" w:rsidP="002C2F87">
      <w:pPr>
        <w:pStyle w:val="ListParagraph"/>
        <w:widowControl/>
        <w:numPr>
          <w:ilvl w:val="1"/>
          <w:numId w:val="2"/>
        </w:numPr>
        <w:rPr>
          <w:szCs w:val="22"/>
        </w:rPr>
      </w:pPr>
      <w:r w:rsidRPr="00BF0560">
        <w:rPr>
          <w:szCs w:val="22"/>
        </w:rPr>
        <w:t>The PBAC has not p</w:t>
      </w:r>
      <w:r>
        <w:rPr>
          <w:szCs w:val="22"/>
        </w:rPr>
        <w:t>reviously considered Hexaxim for any indication</w:t>
      </w:r>
      <w:r w:rsidRPr="00BF0560">
        <w:rPr>
          <w:szCs w:val="22"/>
        </w:rPr>
        <w:t>.</w:t>
      </w:r>
    </w:p>
    <w:p w:rsidR="00E55BB5" w:rsidRDefault="00E55BB5" w:rsidP="004B1CB4"/>
    <w:p w:rsidR="003430DE" w:rsidRPr="00882085" w:rsidRDefault="003430DE" w:rsidP="004B1CB4"/>
    <w:p w:rsidR="00B50DB8" w:rsidRPr="00407F2D" w:rsidRDefault="00B50DB8" w:rsidP="00BD6CF3">
      <w:pPr>
        <w:pStyle w:val="PBACHeading1"/>
      </w:pPr>
      <w:bookmarkStart w:id="5" w:name="_Toc409081606"/>
      <w:r w:rsidRPr="00407F2D">
        <w:t>Clinical place for the proposed therapy</w:t>
      </w:r>
      <w:bookmarkEnd w:id="5"/>
    </w:p>
    <w:p w:rsidR="00B60939" w:rsidRPr="00882085" w:rsidRDefault="00B60939" w:rsidP="00B60939">
      <w:pPr>
        <w:rPr>
          <w:szCs w:val="22"/>
        </w:rPr>
      </w:pPr>
    </w:p>
    <w:p w:rsidR="00BF0560" w:rsidRDefault="00BF0560" w:rsidP="002C2F87">
      <w:pPr>
        <w:pStyle w:val="ListParagraph"/>
        <w:widowControl/>
        <w:numPr>
          <w:ilvl w:val="1"/>
          <w:numId w:val="2"/>
        </w:numPr>
        <w:rPr>
          <w:szCs w:val="22"/>
        </w:rPr>
      </w:pPr>
      <w:r w:rsidRPr="00BF0560">
        <w:rPr>
          <w:szCs w:val="22"/>
        </w:rPr>
        <w:t>Hexaxim (DTPa-hepB-IPV-Hib) is a combination bacterial/viral vaccine that induces the production of antibodies against diphtheria, tetanus, pertussis, hepatitis B, poliomyelitis and invasive infections caused by Haemophilus influenzae type b.</w:t>
      </w:r>
    </w:p>
    <w:p w:rsidR="00BF0560" w:rsidRPr="00BF0560" w:rsidRDefault="00BF0560" w:rsidP="00BF0560">
      <w:pPr>
        <w:pStyle w:val="PBACHeading1"/>
        <w:numPr>
          <w:ilvl w:val="0"/>
          <w:numId w:val="0"/>
        </w:numPr>
      </w:pPr>
    </w:p>
    <w:p w:rsidR="002C2775" w:rsidRDefault="00BF0560" w:rsidP="002C2F87">
      <w:pPr>
        <w:pStyle w:val="ListParagraph"/>
        <w:widowControl/>
        <w:numPr>
          <w:ilvl w:val="1"/>
          <w:numId w:val="2"/>
        </w:numPr>
        <w:rPr>
          <w:szCs w:val="22"/>
        </w:rPr>
      </w:pPr>
      <w:r>
        <w:rPr>
          <w:szCs w:val="22"/>
        </w:rPr>
        <w:t xml:space="preserve">The submission </w:t>
      </w:r>
      <w:r w:rsidR="00A1432D">
        <w:rPr>
          <w:szCs w:val="22"/>
        </w:rPr>
        <w:t>positioned</w:t>
      </w:r>
      <w:r w:rsidRPr="00BF0560">
        <w:rPr>
          <w:szCs w:val="22"/>
        </w:rPr>
        <w:t xml:space="preserve"> Hexaxim as an alternative to </w:t>
      </w:r>
      <w:r w:rsidR="00CF1BA3">
        <w:rPr>
          <w:szCs w:val="22"/>
        </w:rPr>
        <w:t>Infanrix Hexa</w:t>
      </w:r>
      <w:r w:rsidRPr="00BF0560">
        <w:rPr>
          <w:szCs w:val="22"/>
        </w:rPr>
        <w:t xml:space="preserve"> when used as the primary course for DTPa-hepB-IPV-Hib vaccination.</w:t>
      </w:r>
    </w:p>
    <w:p w:rsidR="006A7E5C" w:rsidRPr="006A7E5C" w:rsidRDefault="006A7E5C" w:rsidP="006A7E5C">
      <w:pPr>
        <w:pStyle w:val="ListParagraph"/>
        <w:rPr>
          <w:szCs w:val="22"/>
        </w:rPr>
      </w:pPr>
    </w:p>
    <w:p w:rsidR="00E55BB5" w:rsidRPr="00EE0E80" w:rsidRDefault="00082451" w:rsidP="002C2F87">
      <w:pPr>
        <w:pStyle w:val="ListParagraph"/>
        <w:widowControl/>
        <w:numPr>
          <w:ilvl w:val="1"/>
          <w:numId w:val="2"/>
        </w:numPr>
        <w:rPr>
          <w:szCs w:val="22"/>
        </w:rPr>
      </w:pPr>
      <w:r w:rsidRPr="00EE0E80">
        <w:rPr>
          <w:szCs w:val="22"/>
        </w:rPr>
        <w:lastRenderedPageBreak/>
        <w:t xml:space="preserve">At the November 2014 PBAC meeting, the PBAC </w:t>
      </w:r>
      <w:r w:rsidR="006A7E5C" w:rsidRPr="00EE0E80">
        <w:rPr>
          <w:szCs w:val="22"/>
        </w:rPr>
        <w:t>recommended a change to the NIP</w:t>
      </w:r>
      <w:r w:rsidR="007F47E0" w:rsidRPr="00EE0E80">
        <w:rPr>
          <w:szCs w:val="22"/>
        </w:rPr>
        <w:t xml:space="preserve"> schedule to</w:t>
      </w:r>
      <w:r w:rsidR="006A7E5C" w:rsidRPr="00EE0E80">
        <w:rPr>
          <w:szCs w:val="22"/>
        </w:rPr>
        <w:t xml:space="preserve"> include a DTPa booster</w:t>
      </w:r>
      <w:r w:rsidR="00EE0E80">
        <w:rPr>
          <w:szCs w:val="22"/>
        </w:rPr>
        <w:t xml:space="preserve"> (Infanrix) at 18 months of age.</w:t>
      </w:r>
    </w:p>
    <w:p w:rsidR="003430DE" w:rsidRPr="00882085" w:rsidRDefault="003430DE" w:rsidP="00B60939">
      <w:pPr>
        <w:pStyle w:val="Header"/>
        <w:rPr>
          <w:szCs w:val="22"/>
        </w:rPr>
      </w:pPr>
    </w:p>
    <w:p w:rsidR="00B50DB8" w:rsidRPr="00A45959" w:rsidRDefault="00B50DB8" w:rsidP="0076777C">
      <w:pPr>
        <w:pStyle w:val="PBACHeading1"/>
      </w:pPr>
      <w:r w:rsidRPr="00407F2D">
        <w:t>Comparator</w:t>
      </w:r>
    </w:p>
    <w:p w:rsidR="00B60939" w:rsidRPr="00A45959" w:rsidRDefault="00B60939" w:rsidP="004B1CB4"/>
    <w:p w:rsidR="00B60939" w:rsidRPr="00A45959" w:rsidRDefault="00CF1BA3" w:rsidP="002C2F87">
      <w:pPr>
        <w:pStyle w:val="ListParagraph"/>
        <w:widowControl/>
        <w:numPr>
          <w:ilvl w:val="1"/>
          <w:numId w:val="2"/>
        </w:numPr>
        <w:rPr>
          <w:szCs w:val="22"/>
        </w:rPr>
      </w:pPr>
      <w:r w:rsidRPr="00A45959">
        <w:t>Infanrix Hexa</w:t>
      </w:r>
      <w:r w:rsidR="00681D2C" w:rsidRPr="00A45959">
        <w:t>.</w:t>
      </w:r>
      <w:r w:rsidR="00F067A2" w:rsidRPr="00A45959">
        <w:t xml:space="preserve">  </w:t>
      </w:r>
    </w:p>
    <w:p w:rsidR="00FE7556" w:rsidRDefault="00FE7556" w:rsidP="00FE7556">
      <w:pPr>
        <w:pStyle w:val="PBACHeading1"/>
        <w:numPr>
          <w:ilvl w:val="0"/>
          <w:numId w:val="0"/>
        </w:numPr>
        <w:ind w:left="720" w:hanging="720"/>
      </w:pPr>
    </w:p>
    <w:p w:rsidR="00FE7556" w:rsidRPr="00745723" w:rsidRDefault="00FE7556" w:rsidP="00FE7556">
      <w:pPr>
        <w:ind w:firstLine="720"/>
      </w:pPr>
      <w:r w:rsidRPr="00745723">
        <w:t>The main differences between Hexaxim and Infanrix Hexa are:</w:t>
      </w:r>
    </w:p>
    <w:p w:rsidR="00FE7556" w:rsidRPr="00745723" w:rsidRDefault="00FE7556" w:rsidP="00FE7556"/>
    <w:p w:rsidR="00FE7556" w:rsidRPr="00745723" w:rsidRDefault="00FE7556" w:rsidP="002C2F87">
      <w:pPr>
        <w:pStyle w:val="ListParagraph"/>
        <w:numPr>
          <w:ilvl w:val="0"/>
          <w:numId w:val="1"/>
        </w:numPr>
      </w:pPr>
      <w:r w:rsidRPr="00745723">
        <w:t>Hexaxim is available as a liquid suspension in a pre-filled syringe (ready to use) while Infanrix Hexa is available as a lyophilized powder (Hib component) + liquid suspension (DTPa-HBV-IPV component) and requires reconstitution before use</w:t>
      </w:r>
    </w:p>
    <w:p w:rsidR="00FE7556" w:rsidRPr="00745723" w:rsidRDefault="00FE7556" w:rsidP="002C2F87">
      <w:pPr>
        <w:pStyle w:val="ListParagraph"/>
        <w:numPr>
          <w:ilvl w:val="0"/>
          <w:numId w:val="1"/>
        </w:numPr>
      </w:pPr>
      <w:r w:rsidRPr="00745723">
        <w:t>Hexaxim has a lower diphtheria toxoid content compared to Infanrix Hexa (</w:t>
      </w:r>
      <w:r w:rsidRPr="00745723">
        <w:rPr>
          <w:u w:val="single"/>
        </w:rPr>
        <w:t>&gt;</w:t>
      </w:r>
      <w:r w:rsidRPr="00745723">
        <w:t xml:space="preserve">20 vs </w:t>
      </w:r>
      <w:r w:rsidRPr="00745723">
        <w:rPr>
          <w:u w:val="single"/>
        </w:rPr>
        <w:t>&gt;</w:t>
      </w:r>
      <w:r w:rsidRPr="00745723">
        <w:t>30 IU). The diphtheria toxoid levels in Hexaxim are lower than current international standards (</w:t>
      </w:r>
      <w:r w:rsidRPr="00745723">
        <w:rPr>
          <w:u w:val="single"/>
        </w:rPr>
        <w:t>&gt;</w:t>
      </w:r>
      <w:r w:rsidR="00666B66" w:rsidRPr="00745723">
        <w:t xml:space="preserve"> 30 IU)</w:t>
      </w:r>
      <w:r w:rsidRPr="00745723">
        <w:t xml:space="preserve"> </w:t>
      </w:r>
    </w:p>
    <w:p w:rsidR="00FE7556" w:rsidRPr="00745723" w:rsidRDefault="00FE7556" w:rsidP="002C2F87">
      <w:pPr>
        <w:pStyle w:val="ListParagraph"/>
        <w:numPr>
          <w:ilvl w:val="0"/>
          <w:numId w:val="1"/>
        </w:numPr>
      </w:pPr>
      <w:r w:rsidRPr="00745723">
        <w:t xml:space="preserve">Hexaxim includes two pertussis antigens (pertussis toxoid, filamentous haemagglutinin) versus Infanrix Hexa which includes three pertussis antigens (pertussis toxoid, filamentous haemagglutinin, pertactin) </w:t>
      </w:r>
    </w:p>
    <w:p w:rsidR="00FE7556" w:rsidRPr="00745723" w:rsidRDefault="00FE7556" w:rsidP="002C2F87">
      <w:pPr>
        <w:pStyle w:val="ListParagraph"/>
        <w:numPr>
          <w:ilvl w:val="0"/>
          <w:numId w:val="1"/>
        </w:numPr>
      </w:pPr>
      <w:r w:rsidRPr="00745723">
        <w:t>Hexaxim includes a novel Hepatitis B surface antigen while Infanrix Hexa includes a previously well-established antigen</w:t>
      </w:r>
    </w:p>
    <w:p w:rsidR="00FE7556" w:rsidRDefault="00FE7556" w:rsidP="002C2F87">
      <w:pPr>
        <w:pStyle w:val="ListParagraph"/>
        <w:numPr>
          <w:ilvl w:val="0"/>
          <w:numId w:val="1"/>
        </w:numPr>
      </w:pPr>
      <w:r w:rsidRPr="00745723">
        <w:t>Hexaxim has a higher Hib polysaccharide content compared to Infanrix Hexa</w:t>
      </w:r>
      <w:r>
        <w:t xml:space="preserve"> (12mcg vs 10mcg)</w:t>
      </w:r>
      <w:r w:rsidR="002912C5">
        <w:t>.</w:t>
      </w:r>
    </w:p>
    <w:p w:rsidR="00495E35" w:rsidRPr="00681D2C" w:rsidRDefault="00495E35" w:rsidP="00495E35"/>
    <w:p w:rsidR="00681D2C" w:rsidRDefault="00495E35" w:rsidP="00681D2C">
      <w:pPr>
        <w:pStyle w:val="ListParagraph"/>
        <w:widowControl/>
        <w:rPr>
          <w:szCs w:val="22"/>
        </w:rPr>
      </w:pPr>
      <w:r w:rsidRPr="00495E35">
        <w:rPr>
          <w:szCs w:val="22"/>
        </w:rPr>
        <w:t>For more detail on PBAC’s vi</w:t>
      </w:r>
      <w:r w:rsidR="00EE0E80">
        <w:rPr>
          <w:szCs w:val="22"/>
        </w:rPr>
        <w:t>ew, see section 7 “PBAC outcome</w:t>
      </w:r>
    </w:p>
    <w:p w:rsidR="003430DE" w:rsidRPr="00681D2C" w:rsidRDefault="003430DE" w:rsidP="00681D2C">
      <w:pPr>
        <w:pStyle w:val="ListParagraph"/>
        <w:widowControl/>
        <w:rPr>
          <w:szCs w:val="22"/>
        </w:rPr>
      </w:pPr>
    </w:p>
    <w:p w:rsidR="00B50DB8" w:rsidRPr="00407F2D" w:rsidRDefault="00BD6CF3" w:rsidP="00BD6CF3">
      <w:pPr>
        <w:pStyle w:val="PBACHeading1"/>
      </w:pPr>
      <w:bookmarkStart w:id="6" w:name="_Toc409081607"/>
      <w:r>
        <w:t>C</w:t>
      </w:r>
      <w:r w:rsidR="00B50DB8" w:rsidRPr="00407F2D">
        <w:t>onsideration of the evidence</w:t>
      </w:r>
      <w:bookmarkEnd w:id="6"/>
    </w:p>
    <w:p w:rsidR="00B60939" w:rsidRPr="00882085" w:rsidRDefault="00B60939" w:rsidP="004E3558"/>
    <w:p w:rsidR="004E3558" w:rsidRPr="004E3558" w:rsidRDefault="004E3558" w:rsidP="0076777C">
      <w:pPr>
        <w:pStyle w:val="Heading2"/>
      </w:pPr>
      <w:bookmarkStart w:id="7" w:name="_Toc409081608"/>
      <w:r w:rsidRPr="004E3558">
        <w:t>Sponsor hearing</w:t>
      </w:r>
    </w:p>
    <w:p w:rsidR="004E3558" w:rsidRPr="004E3558" w:rsidRDefault="00495E35" w:rsidP="002C2F87">
      <w:pPr>
        <w:numPr>
          <w:ilvl w:val="1"/>
          <w:numId w:val="2"/>
        </w:numPr>
        <w:contextualSpacing/>
        <w:rPr>
          <w:bCs/>
          <w:szCs w:val="22"/>
        </w:rPr>
      </w:pPr>
      <w:r>
        <w:rPr>
          <w:bCs/>
          <w:szCs w:val="22"/>
        </w:rPr>
        <w:t xml:space="preserve"> </w:t>
      </w:r>
      <w:r w:rsidR="004E3558" w:rsidRPr="004E3558">
        <w:rPr>
          <w:bCs/>
          <w:szCs w:val="22"/>
        </w:rPr>
        <w:t>The</w:t>
      </w:r>
      <w:r>
        <w:rPr>
          <w:bCs/>
          <w:szCs w:val="22"/>
        </w:rPr>
        <w:t>re was no hearing for this item</w:t>
      </w:r>
      <w:r w:rsidR="004E3558" w:rsidRPr="004E3558">
        <w:rPr>
          <w:bCs/>
          <w:szCs w:val="22"/>
        </w:rPr>
        <w:t>.</w:t>
      </w:r>
    </w:p>
    <w:p w:rsidR="004E3558" w:rsidRPr="004E3558" w:rsidRDefault="004E3558" w:rsidP="004E3558">
      <w:pPr>
        <w:rPr>
          <w:bCs/>
          <w:szCs w:val="22"/>
        </w:rPr>
      </w:pPr>
    </w:p>
    <w:p w:rsidR="004E3558" w:rsidRPr="004E3558" w:rsidRDefault="004E3558" w:rsidP="0076777C">
      <w:pPr>
        <w:pStyle w:val="Heading2"/>
      </w:pPr>
      <w:r w:rsidRPr="004E3558">
        <w:t>Consumer comments</w:t>
      </w:r>
    </w:p>
    <w:p w:rsidR="004E3558" w:rsidRPr="004E3558" w:rsidRDefault="00495E35" w:rsidP="002C2F87">
      <w:pPr>
        <w:numPr>
          <w:ilvl w:val="1"/>
          <w:numId w:val="2"/>
        </w:numPr>
        <w:contextualSpacing/>
        <w:rPr>
          <w:bCs/>
          <w:szCs w:val="22"/>
        </w:rPr>
      </w:pPr>
      <w:r>
        <w:rPr>
          <w:bCs/>
          <w:szCs w:val="22"/>
        </w:rPr>
        <w:t xml:space="preserve"> </w:t>
      </w:r>
      <w:r w:rsidR="004E3558" w:rsidRPr="004E3558">
        <w:rPr>
          <w:bCs/>
          <w:szCs w:val="22"/>
        </w:rPr>
        <w:t>The PBAC noted that no consumer comments were received for this item.</w:t>
      </w:r>
    </w:p>
    <w:p w:rsidR="004E3558" w:rsidRPr="004E3558" w:rsidRDefault="004E3558" w:rsidP="004E3558">
      <w:pPr>
        <w:pStyle w:val="PBACHeading1"/>
        <w:numPr>
          <w:ilvl w:val="0"/>
          <w:numId w:val="0"/>
        </w:numPr>
        <w:ind w:left="720" w:hanging="720"/>
      </w:pPr>
    </w:p>
    <w:p w:rsidR="00B60939" w:rsidRPr="0076777C" w:rsidRDefault="00B60939" w:rsidP="0076777C">
      <w:pPr>
        <w:pStyle w:val="Heading2"/>
      </w:pPr>
      <w:r w:rsidRPr="0076777C">
        <w:t>Clinical trials</w:t>
      </w:r>
      <w:bookmarkEnd w:id="7"/>
    </w:p>
    <w:p w:rsidR="00B60939" w:rsidRPr="00882085" w:rsidRDefault="00B60939" w:rsidP="00B60939">
      <w:pPr>
        <w:rPr>
          <w:szCs w:val="22"/>
        </w:rPr>
      </w:pPr>
    </w:p>
    <w:p w:rsidR="00842678" w:rsidRPr="00745723" w:rsidRDefault="00A1432D" w:rsidP="002C2F87">
      <w:pPr>
        <w:pStyle w:val="ListParagraph"/>
        <w:widowControl/>
        <w:numPr>
          <w:ilvl w:val="1"/>
          <w:numId w:val="2"/>
        </w:numPr>
      </w:pPr>
      <w:r w:rsidRPr="00745723">
        <w:t>The submission was</w:t>
      </w:r>
      <w:r w:rsidR="00023BF1" w:rsidRPr="00745723">
        <w:t xml:space="preserve"> based on four head-to-head randomised trials comparing immunogenicity outcomes between Hexaxim and </w:t>
      </w:r>
      <w:r w:rsidR="00CF1BA3" w:rsidRPr="00745723">
        <w:t>Infanrix Hexa</w:t>
      </w:r>
      <w:r w:rsidR="00023BF1" w:rsidRPr="00745723">
        <w:t xml:space="preserve"> when used as a three-dose primary vaccination series in infants (A3L11, A3L12, A3L17, A3L24).</w:t>
      </w:r>
      <w:r w:rsidR="00702F8F" w:rsidRPr="00745723">
        <w:t xml:space="preserve"> </w:t>
      </w:r>
      <w:r w:rsidR="00C739F9" w:rsidRPr="00745723">
        <w:t>Additional longer-term extension studies from the key trials were identified during the evaluation</w:t>
      </w:r>
      <w:r w:rsidR="00113F25" w:rsidRPr="00745723">
        <w:t xml:space="preserve"> (A3L21, A3L27)</w:t>
      </w:r>
      <w:r w:rsidR="00C739F9" w:rsidRPr="00745723">
        <w:t>.</w:t>
      </w:r>
    </w:p>
    <w:p w:rsidR="00842678" w:rsidRDefault="00842678">
      <w:pPr>
        <w:widowControl/>
        <w:jc w:val="left"/>
        <w:rPr>
          <w:i/>
        </w:rPr>
      </w:pPr>
      <w:r>
        <w:rPr>
          <w:i/>
        </w:rPr>
        <w:br w:type="page"/>
      </w:r>
    </w:p>
    <w:p w:rsidR="00862502" w:rsidRPr="00862502" w:rsidRDefault="00862502" w:rsidP="00862502">
      <w:pPr>
        <w:widowControl/>
        <w:rPr>
          <w:szCs w:val="22"/>
        </w:rPr>
      </w:pPr>
    </w:p>
    <w:p w:rsidR="00862502" w:rsidRPr="00745723" w:rsidRDefault="00862502" w:rsidP="002C2F87">
      <w:pPr>
        <w:pStyle w:val="ListParagraph"/>
        <w:widowControl/>
        <w:numPr>
          <w:ilvl w:val="1"/>
          <w:numId w:val="2"/>
        </w:numPr>
        <w:rPr>
          <w:szCs w:val="22"/>
        </w:rPr>
      </w:pPr>
      <w:r w:rsidRPr="00745723">
        <w:rPr>
          <w:szCs w:val="22"/>
        </w:rPr>
        <w:t xml:space="preserve">Details of the trials presented in the submission are provided in the table below.  </w:t>
      </w:r>
    </w:p>
    <w:p w:rsidR="00862502" w:rsidRPr="00745723" w:rsidRDefault="00862502" w:rsidP="00862502">
      <w:pPr>
        <w:widowControl/>
        <w:rPr>
          <w:szCs w:val="22"/>
        </w:rPr>
      </w:pPr>
    </w:p>
    <w:p w:rsidR="00113F25" w:rsidRPr="00745723" w:rsidRDefault="00113F25" w:rsidP="00113F25">
      <w:pPr>
        <w:ind w:firstLine="720"/>
        <w:rPr>
          <w:rFonts w:ascii="Arial Narrow" w:hAnsi="Arial Narrow"/>
          <w:b/>
          <w:sz w:val="20"/>
        </w:rPr>
      </w:pPr>
      <w:r w:rsidRPr="00745723">
        <w:rPr>
          <w:rFonts w:ascii="Arial Narrow" w:hAnsi="Arial Narrow"/>
          <w:b/>
          <w:sz w:val="20"/>
        </w:rPr>
        <w:t>Trials and associated reports included in the submission</w:t>
      </w:r>
    </w:p>
    <w:tbl>
      <w:tblPr>
        <w:tblStyle w:val="TableGrid"/>
        <w:tblW w:w="0" w:type="auto"/>
        <w:tblInd w:w="822" w:type="dxa"/>
        <w:tblLook w:val="04A0" w:firstRow="1" w:lastRow="0" w:firstColumn="1" w:lastColumn="0" w:noHBand="0" w:noVBand="1"/>
        <w:tblCaption w:val="Trials and associated reports included in the submission"/>
        <w:tblDescription w:val="A listing of clinical trials "/>
      </w:tblPr>
      <w:tblGrid>
        <w:gridCol w:w="882"/>
        <w:gridCol w:w="5809"/>
        <w:gridCol w:w="1729"/>
      </w:tblGrid>
      <w:tr w:rsidR="00113F25" w:rsidRPr="00745723" w:rsidTr="000750EB">
        <w:tc>
          <w:tcPr>
            <w:tcW w:w="882" w:type="dxa"/>
            <w:vAlign w:val="center"/>
          </w:tcPr>
          <w:p w:rsidR="00113F25" w:rsidRPr="00745723" w:rsidRDefault="00113F25" w:rsidP="00532590">
            <w:pPr>
              <w:rPr>
                <w:rFonts w:ascii="Arial Narrow" w:hAnsi="Arial Narrow"/>
                <w:b/>
                <w:sz w:val="20"/>
              </w:rPr>
            </w:pPr>
            <w:r w:rsidRPr="00745723">
              <w:rPr>
                <w:rFonts w:ascii="Arial Narrow" w:hAnsi="Arial Narrow"/>
                <w:b/>
                <w:sz w:val="20"/>
              </w:rPr>
              <w:t>Trial ID</w:t>
            </w:r>
          </w:p>
        </w:tc>
        <w:tc>
          <w:tcPr>
            <w:tcW w:w="5809" w:type="dxa"/>
            <w:vAlign w:val="center"/>
          </w:tcPr>
          <w:p w:rsidR="00113F25" w:rsidRPr="00745723" w:rsidRDefault="00113F25" w:rsidP="00532590">
            <w:pPr>
              <w:jc w:val="center"/>
              <w:rPr>
                <w:rFonts w:ascii="Arial Narrow" w:hAnsi="Arial Narrow"/>
                <w:b/>
                <w:sz w:val="20"/>
              </w:rPr>
            </w:pPr>
            <w:r w:rsidRPr="00745723">
              <w:rPr>
                <w:rFonts w:ascii="Arial Narrow" w:hAnsi="Arial Narrow"/>
                <w:b/>
                <w:sz w:val="20"/>
              </w:rPr>
              <w:t>Protocol title/ Publication title</w:t>
            </w:r>
          </w:p>
        </w:tc>
        <w:tc>
          <w:tcPr>
            <w:tcW w:w="1729" w:type="dxa"/>
            <w:vAlign w:val="center"/>
          </w:tcPr>
          <w:p w:rsidR="00113F25" w:rsidRPr="00745723" w:rsidRDefault="00113F25" w:rsidP="00532590">
            <w:pPr>
              <w:jc w:val="center"/>
              <w:rPr>
                <w:rFonts w:ascii="Arial Narrow" w:hAnsi="Arial Narrow"/>
                <w:b/>
                <w:sz w:val="20"/>
              </w:rPr>
            </w:pPr>
            <w:r w:rsidRPr="00745723">
              <w:rPr>
                <w:rFonts w:ascii="Arial Narrow" w:hAnsi="Arial Narrow"/>
                <w:b/>
                <w:sz w:val="20"/>
              </w:rPr>
              <w:t>Publication citation</w:t>
            </w:r>
          </w:p>
        </w:tc>
      </w:tr>
      <w:tr w:rsidR="00113F25" w:rsidRPr="00745723" w:rsidTr="000750EB">
        <w:tc>
          <w:tcPr>
            <w:tcW w:w="882" w:type="dxa"/>
            <w:vMerge w:val="restart"/>
            <w:vAlign w:val="center"/>
          </w:tcPr>
          <w:p w:rsidR="00113F25" w:rsidRPr="00745723" w:rsidRDefault="00113F25" w:rsidP="00532590">
            <w:pPr>
              <w:rPr>
                <w:rFonts w:ascii="Arial Narrow" w:hAnsi="Arial Narrow"/>
                <w:sz w:val="20"/>
              </w:rPr>
            </w:pPr>
            <w:r w:rsidRPr="00745723">
              <w:rPr>
                <w:rFonts w:ascii="Arial Narrow" w:hAnsi="Arial Narrow"/>
                <w:sz w:val="20"/>
              </w:rPr>
              <w:t>A3L11</w:t>
            </w:r>
          </w:p>
        </w:tc>
        <w:tc>
          <w:tcPr>
            <w:tcW w:w="5809" w:type="dxa"/>
            <w:vAlign w:val="center"/>
          </w:tcPr>
          <w:p w:rsidR="00113F25" w:rsidRPr="00745723" w:rsidRDefault="00113F25" w:rsidP="00532590">
            <w:pPr>
              <w:rPr>
                <w:rFonts w:ascii="Arial Narrow" w:hAnsi="Arial Narrow"/>
                <w:sz w:val="20"/>
              </w:rPr>
            </w:pPr>
            <w:r w:rsidRPr="00745723">
              <w:rPr>
                <w:rFonts w:ascii="Arial Narrow" w:hAnsi="Arial Narrow"/>
                <w:sz w:val="20"/>
              </w:rPr>
              <w:t>Sanofi Pasteur Clinical Study Report (2009). Lot-to-Lot Consistency Study of DTaP-IPV-Hep B-PRP-T Vaccine Administered at 2-4-6 Months of Age in Healthy Mexican Infants</w:t>
            </w:r>
          </w:p>
        </w:tc>
        <w:tc>
          <w:tcPr>
            <w:tcW w:w="1729" w:type="dxa"/>
            <w:vAlign w:val="center"/>
          </w:tcPr>
          <w:p w:rsidR="00113F25" w:rsidRPr="00745723" w:rsidRDefault="00113F25" w:rsidP="00532590">
            <w:pPr>
              <w:jc w:val="left"/>
              <w:rPr>
                <w:rFonts w:ascii="Arial Narrow" w:hAnsi="Arial Narrow"/>
                <w:sz w:val="20"/>
              </w:rPr>
            </w:pPr>
            <w:r w:rsidRPr="00745723">
              <w:rPr>
                <w:rFonts w:ascii="Arial Narrow" w:hAnsi="Arial Narrow"/>
                <w:sz w:val="20"/>
              </w:rPr>
              <w:t xml:space="preserve">Internal study report </w:t>
            </w:r>
          </w:p>
        </w:tc>
      </w:tr>
      <w:tr w:rsidR="00113F25" w:rsidRPr="00745723" w:rsidTr="000750EB">
        <w:tc>
          <w:tcPr>
            <w:tcW w:w="882" w:type="dxa"/>
            <w:vMerge/>
            <w:vAlign w:val="center"/>
          </w:tcPr>
          <w:p w:rsidR="00113F25" w:rsidRPr="00745723" w:rsidRDefault="00113F25" w:rsidP="00532590">
            <w:pPr>
              <w:rPr>
                <w:rFonts w:ascii="Arial Narrow" w:hAnsi="Arial Narrow"/>
                <w:sz w:val="20"/>
              </w:rPr>
            </w:pPr>
          </w:p>
        </w:tc>
        <w:tc>
          <w:tcPr>
            <w:tcW w:w="5809" w:type="dxa"/>
            <w:vAlign w:val="center"/>
          </w:tcPr>
          <w:p w:rsidR="00113F25" w:rsidRPr="00745723" w:rsidRDefault="00113F25" w:rsidP="00532590">
            <w:pPr>
              <w:rPr>
                <w:rFonts w:ascii="Arial Narrow" w:hAnsi="Arial Narrow"/>
                <w:sz w:val="20"/>
              </w:rPr>
            </w:pPr>
            <w:r w:rsidRPr="00745723">
              <w:rPr>
                <w:rFonts w:ascii="Arial Narrow" w:hAnsi="Arial Narrow"/>
                <w:sz w:val="20"/>
              </w:rPr>
              <w:t>Sanofi Pasteur (2014). Lot Consistency Study of DTaP-IPV-HB-PRP~T Vaccine Administered at 2-4-6 Months of Age in Healthy Infants</w:t>
            </w:r>
          </w:p>
        </w:tc>
        <w:tc>
          <w:tcPr>
            <w:tcW w:w="1729" w:type="dxa"/>
            <w:vAlign w:val="center"/>
          </w:tcPr>
          <w:p w:rsidR="00113F25" w:rsidRPr="00745723" w:rsidRDefault="00113F25" w:rsidP="00532590">
            <w:pPr>
              <w:jc w:val="left"/>
              <w:rPr>
                <w:rFonts w:ascii="Arial Narrow" w:hAnsi="Arial Narrow"/>
                <w:sz w:val="20"/>
              </w:rPr>
            </w:pPr>
            <w:r w:rsidRPr="00745723">
              <w:rPr>
                <w:rFonts w:ascii="Arial Narrow" w:hAnsi="Arial Narrow"/>
                <w:sz w:val="20"/>
              </w:rPr>
              <w:t>Clinicaltrials.gov record (NCT00404651)</w:t>
            </w:r>
          </w:p>
        </w:tc>
      </w:tr>
      <w:tr w:rsidR="00113F25" w:rsidRPr="00745723" w:rsidTr="000750EB">
        <w:tc>
          <w:tcPr>
            <w:tcW w:w="882" w:type="dxa"/>
            <w:vMerge/>
            <w:vAlign w:val="center"/>
          </w:tcPr>
          <w:p w:rsidR="00113F25" w:rsidRPr="00745723" w:rsidRDefault="00113F25" w:rsidP="00532590">
            <w:pPr>
              <w:rPr>
                <w:rFonts w:ascii="Arial Narrow" w:hAnsi="Arial Narrow"/>
                <w:color w:val="000000"/>
                <w:sz w:val="20"/>
              </w:rPr>
            </w:pPr>
          </w:p>
        </w:tc>
        <w:tc>
          <w:tcPr>
            <w:tcW w:w="5809" w:type="dxa"/>
            <w:vAlign w:val="center"/>
          </w:tcPr>
          <w:p w:rsidR="00113F25" w:rsidRPr="00745723" w:rsidRDefault="00113F25" w:rsidP="00532590">
            <w:pPr>
              <w:rPr>
                <w:rFonts w:ascii="Arial Narrow" w:hAnsi="Arial Narrow"/>
                <w:sz w:val="20"/>
              </w:rPr>
            </w:pPr>
            <w:r w:rsidRPr="00745723">
              <w:rPr>
                <w:rFonts w:ascii="Arial Narrow" w:hAnsi="Arial Narrow"/>
                <w:sz w:val="20"/>
              </w:rPr>
              <w:t>Aquino AG et al (2012). A fully liquid DTaP-IPV-Hep B-PRP-T hexavalent vaccine for primary and booster vaccination of healthy Mexican children</w:t>
            </w:r>
          </w:p>
        </w:tc>
        <w:tc>
          <w:tcPr>
            <w:tcW w:w="1729" w:type="dxa"/>
            <w:vAlign w:val="center"/>
          </w:tcPr>
          <w:p w:rsidR="00113F25" w:rsidRPr="00745723" w:rsidRDefault="00113F25" w:rsidP="00532590">
            <w:pPr>
              <w:jc w:val="left"/>
              <w:rPr>
                <w:rFonts w:ascii="Arial Narrow" w:hAnsi="Arial Narrow"/>
                <w:sz w:val="20"/>
              </w:rPr>
            </w:pPr>
            <w:r w:rsidRPr="00745723">
              <w:rPr>
                <w:rFonts w:ascii="Arial Narrow" w:hAnsi="Arial Narrow"/>
                <w:sz w:val="20"/>
              </w:rPr>
              <w:t>Vaccine 30: 6492–6500</w:t>
            </w:r>
          </w:p>
        </w:tc>
      </w:tr>
      <w:tr w:rsidR="00113F25" w:rsidRPr="00745723" w:rsidTr="000750EB">
        <w:tc>
          <w:tcPr>
            <w:tcW w:w="882" w:type="dxa"/>
            <w:vMerge/>
            <w:vAlign w:val="center"/>
          </w:tcPr>
          <w:p w:rsidR="00113F25" w:rsidRPr="00745723" w:rsidRDefault="00113F25" w:rsidP="00532590">
            <w:pPr>
              <w:rPr>
                <w:rFonts w:ascii="Arial Narrow" w:hAnsi="Arial Narrow"/>
                <w:color w:val="000000"/>
                <w:sz w:val="20"/>
              </w:rPr>
            </w:pPr>
          </w:p>
        </w:tc>
        <w:tc>
          <w:tcPr>
            <w:tcW w:w="5809" w:type="dxa"/>
            <w:vAlign w:val="center"/>
          </w:tcPr>
          <w:p w:rsidR="00113F25" w:rsidRPr="00745723" w:rsidRDefault="00113F25" w:rsidP="00532590">
            <w:pPr>
              <w:rPr>
                <w:rFonts w:ascii="Arial Narrow" w:hAnsi="Arial Narrow"/>
                <w:sz w:val="20"/>
              </w:rPr>
            </w:pPr>
            <w:r w:rsidRPr="00745723">
              <w:rPr>
                <w:rFonts w:ascii="Arial Narrow" w:hAnsi="Arial Narrow"/>
                <w:sz w:val="20"/>
              </w:rPr>
              <w:t>Santos-Lima E et al (2013). Combined immunogenicity data for a new DTaP-IPV-Hep B-PRP-T vaccine (Hexaxim</w:t>
            </w:r>
            <w:r w:rsidRPr="00745723">
              <w:rPr>
                <w:rFonts w:ascii="Arial Narrow" w:hAnsi="Arial Narrow"/>
                <w:sz w:val="20"/>
                <w:vertAlign w:val="superscript"/>
              </w:rPr>
              <w:t>TM</w:t>
            </w:r>
            <w:r w:rsidRPr="00745723">
              <w:rPr>
                <w:rFonts w:ascii="Arial Narrow" w:hAnsi="Arial Narrow"/>
                <w:sz w:val="20"/>
              </w:rPr>
              <w:t>) following primary series administration at 2, 4, 6 months of age in Latin America.</w:t>
            </w:r>
          </w:p>
        </w:tc>
        <w:tc>
          <w:tcPr>
            <w:tcW w:w="1729" w:type="dxa"/>
            <w:vAlign w:val="center"/>
          </w:tcPr>
          <w:p w:rsidR="00113F25" w:rsidRPr="00745723" w:rsidRDefault="00113F25" w:rsidP="00532590">
            <w:pPr>
              <w:jc w:val="left"/>
              <w:rPr>
                <w:rFonts w:ascii="Arial Narrow" w:hAnsi="Arial Narrow"/>
                <w:sz w:val="20"/>
              </w:rPr>
            </w:pPr>
            <w:r w:rsidRPr="00745723">
              <w:rPr>
                <w:rFonts w:ascii="Arial Narrow" w:hAnsi="Arial Narrow"/>
                <w:sz w:val="20"/>
              </w:rPr>
              <w:t>Vaccine 31: 1255–1258</w:t>
            </w:r>
          </w:p>
        </w:tc>
      </w:tr>
      <w:tr w:rsidR="00113F25" w:rsidRPr="00745723" w:rsidTr="000750EB">
        <w:tc>
          <w:tcPr>
            <w:tcW w:w="882" w:type="dxa"/>
            <w:vMerge w:val="restart"/>
            <w:vAlign w:val="center"/>
          </w:tcPr>
          <w:p w:rsidR="00113F25" w:rsidRPr="00745723" w:rsidRDefault="00113F25" w:rsidP="00532590">
            <w:pPr>
              <w:rPr>
                <w:rFonts w:ascii="Arial Narrow" w:hAnsi="Arial Narrow"/>
                <w:color w:val="000000"/>
                <w:sz w:val="20"/>
              </w:rPr>
            </w:pPr>
            <w:r w:rsidRPr="00745723">
              <w:rPr>
                <w:rFonts w:ascii="Arial Narrow" w:hAnsi="Arial Narrow"/>
                <w:color w:val="000000"/>
                <w:sz w:val="20"/>
              </w:rPr>
              <w:t>A3L21</w:t>
            </w:r>
          </w:p>
        </w:tc>
        <w:tc>
          <w:tcPr>
            <w:tcW w:w="5809" w:type="dxa"/>
            <w:vAlign w:val="center"/>
          </w:tcPr>
          <w:p w:rsidR="00113F25" w:rsidRPr="00745723" w:rsidRDefault="00113F25" w:rsidP="00532590">
            <w:pPr>
              <w:rPr>
                <w:rFonts w:ascii="Arial Narrow" w:hAnsi="Arial Narrow"/>
                <w:sz w:val="20"/>
              </w:rPr>
            </w:pPr>
            <w:r w:rsidRPr="00745723">
              <w:rPr>
                <w:rFonts w:ascii="Arial Narrow" w:hAnsi="Arial Narrow"/>
                <w:sz w:val="20"/>
              </w:rPr>
              <w:t xml:space="preserve">Sanofi Pasteur (2013). Study of the DTaP-IPV-Hep B-PRP~T Combined Vaccine Following a Primary Series of DTacP IPV-HepB-PRP-T or </w:t>
            </w:r>
            <w:r w:rsidR="00CF1BA3" w:rsidRPr="00745723">
              <w:rPr>
                <w:rFonts w:ascii="Arial Narrow" w:hAnsi="Arial Narrow"/>
                <w:sz w:val="20"/>
              </w:rPr>
              <w:t>Infanrix Hexa</w:t>
            </w:r>
            <w:r w:rsidRPr="00745723">
              <w:rPr>
                <w:rFonts w:ascii="Arial Narrow" w:hAnsi="Arial Narrow"/>
                <w:sz w:val="20"/>
              </w:rPr>
              <w:t>™</w:t>
            </w:r>
          </w:p>
        </w:tc>
        <w:tc>
          <w:tcPr>
            <w:tcW w:w="1729" w:type="dxa"/>
            <w:vAlign w:val="center"/>
          </w:tcPr>
          <w:p w:rsidR="00113F25" w:rsidRPr="00745723" w:rsidRDefault="00113F25" w:rsidP="00532590">
            <w:pPr>
              <w:jc w:val="left"/>
              <w:rPr>
                <w:rFonts w:ascii="Arial Narrow" w:hAnsi="Arial Narrow"/>
                <w:sz w:val="20"/>
              </w:rPr>
            </w:pPr>
            <w:r w:rsidRPr="00745723">
              <w:rPr>
                <w:rFonts w:ascii="Arial Narrow" w:hAnsi="Arial Narrow"/>
                <w:sz w:val="20"/>
              </w:rPr>
              <w:t>Clinicaltrials.gov record</w:t>
            </w:r>
          </w:p>
          <w:p w:rsidR="00113F25" w:rsidRPr="00745723" w:rsidRDefault="00113F25" w:rsidP="00532590">
            <w:pPr>
              <w:jc w:val="left"/>
              <w:rPr>
                <w:rFonts w:ascii="Arial Narrow" w:hAnsi="Arial Narrow"/>
                <w:sz w:val="20"/>
              </w:rPr>
            </w:pPr>
            <w:r w:rsidRPr="00745723">
              <w:rPr>
                <w:rFonts w:ascii="Arial Narrow" w:hAnsi="Arial Narrow"/>
                <w:sz w:val="20"/>
              </w:rPr>
              <w:t>(NCT00654901)</w:t>
            </w:r>
          </w:p>
        </w:tc>
      </w:tr>
      <w:tr w:rsidR="00113F25" w:rsidRPr="00745723" w:rsidTr="000750EB">
        <w:tc>
          <w:tcPr>
            <w:tcW w:w="882" w:type="dxa"/>
            <w:vMerge/>
            <w:vAlign w:val="center"/>
          </w:tcPr>
          <w:p w:rsidR="00113F25" w:rsidRPr="00745723" w:rsidRDefault="00113F25" w:rsidP="00532590">
            <w:pPr>
              <w:rPr>
                <w:rFonts w:ascii="Arial Narrow" w:hAnsi="Arial Narrow"/>
                <w:color w:val="000000"/>
                <w:sz w:val="20"/>
              </w:rPr>
            </w:pPr>
          </w:p>
        </w:tc>
        <w:tc>
          <w:tcPr>
            <w:tcW w:w="5809" w:type="dxa"/>
            <w:vAlign w:val="center"/>
          </w:tcPr>
          <w:p w:rsidR="00113F25" w:rsidRPr="00745723" w:rsidRDefault="00113F25" w:rsidP="00532590">
            <w:pPr>
              <w:rPr>
                <w:rFonts w:ascii="Arial Narrow" w:hAnsi="Arial Narrow"/>
                <w:sz w:val="20"/>
              </w:rPr>
            </w:pPr>
            <w:r w:rsidRPr="00745723">
              <w:rPr>
                <w:rFonts w:ascii="Arial Narrow" w:hAnsi="Arial Narrow"/>
                <w:sz w:val="20"/>
              </w:rPr>
              <w:t>Aquino AG et al (2012). A fully liquid DTaP-IPV-Hep B-PRP-T hexavalent vaccine for primary and booster vaccination of healthy Mexican children</w:t>
            </w:r>
          </w:p>
        </w:tc>
        <w:tc>
          <w:tcPr>
            <w:tcW w:w="1729" w:type="dxa"/>
            <w:vAlign w:val="center"/>
          </w:tcPr>
          <w:p w:rsidR="00113F25" w:rsidRPr="00745723" w:rsidRDefault="00113F25" w:rsidP="00532590">
            <w:pPr>
              <w:jc w:val="left"/>
              <w:rPr>
                <w:rFonts w:ascii="Arial Narrow" w:hAnsi="Arial Narrow"/>
                <w:sz w:val="20"/>
              </w:rPr>
            </w:pPr>
            <w:r w:rsidRPr="00745723">
              <w:rPr>
                <w:rFonts w:ascii="Arial Narrow" w:hAnsi="Arial Narrow"/>
                <w:sz w:val="20"/>
              </w:rPr>
              <w:t>Vaccine 30: 6492–6500</w:t>
            </w:r>
          </w:p>
        </w:tc>
      </w:tr>
      <w:tr w:rsidR="00113F25" w:rsidRPr="00745723" w:rsidTr="000750EB">
        <w:tc>
          <w:tcPr>
            <w:tcW w:w="882" w:type="dxa"/>
            <w:vMerge w:val="restart"/>
            <w:vAlign w:val="center"/>
          </w:tcPr>
          <w:p w:rsidR="00113F25" w:rsidRPr="00745723" w:rsidRDefault="00113F25" w:rsidP="00532590">
            <w:pPr>
              <w:rPr>
                <w:rFonts w:ascii="Arial Narrow" w:hAnsi="Arial Narrow"/>
                <w:color w:val="000000"/>
                <w:sz w:val="20"/>
              </w:rPr>
            </w:pPr>
            <w:r w:rsidRPr="00745723">
              <w:rPr>
                <w:rFonts w:ascii="Arial Narrow" w:hAnsi="Arial Narrow"/>
                <w:color w:val="000000"/>
                <w:sz w:val="20"/>
              </w:rPr>
              <w:t>A3L12</w:t>
            </w:r>
          </w:p>
        </w:tc>
        <w:tc>
          <w:tcPr>
            <w:tcW w:w="5809" w:type="dxa"/>
            <w:vAlign w:val="center"/>
          </w:tcPr>
          <w:p w:rsidR="00113F25" w:rsidRPr="00745723" w:rsidRDefault="00113F25" w:rsidP="00532590">
            <w:pPr>
              <w:rPr>
                <w:rFonts w:ascii="Arial Narrow" w:hAnsi="Arial Narrow"/>
                <w:sz w:val="20"/>
              </w:rPr>
            </w:pPr>
            <w:r w:rsidRPr="00745723">
              <w:rPr>
                <w:rFonts w:ascii="Arial Narrow" w:hAnsi="Arial Narrow"/>
                <w:sz w:val="20"/>
              </w:rPr>
              <w:t xml:space="preserve">Sanofi Pasteur Clinical Study Report (2009). Immunogenicity Study of a DTaP-IPV-Hep B-PRP-T Combined Vaccine in Comparison to </w:t>
            </w:r>
            <w:r w:rsidR="00CF1BA3" w:rsidRPr="00745723">
              <w:rPr>
                <w:rFonts w:ascii="Arial Narrow" w:hAnsi="Arial Narrow"/>
                <w:sz w:val="20"/>
              </w:rPr>
              <w:t>Infanrix Hexa</w:t>
            </w:r>
            <w:r w:rsidRPr="00745723">
              <w:rPr>
                <w:rFonts w:ascii="Arial Narrow" w:hAnsi="Arial Narrow"/>
                <w:sz w:val="20"/>
              </w:rPr>
              <w:t>™, Both Concomitantly Administered with Prevnar™ at 2, 4, and 6 Months of Age in Thai Infants</w:t>
            </w:r>
          </w:p>
        </w:tc>
        <w:tc>
          <w:tcPr>
            <w:tcW w:w="1729" w:type="dxa"/>
            <w:vAlign w:val="center"/>
          </w:tcPr>
          <w:p w:rsidR="00113F25" w:rsidRPr="00745723" w:rsidRDefault="00113F25" w:rsidP="00532590">
            <w:pPr>
              <w:jc w:val="left"/>
              <w:rPr>
                <w:rFonts w:ascii="Arial Narrow" w:hAnsi="Arial Narrow"/>
                <w:sz w:val="20"/>
              </w:rPr>
            </w:pPr>
            <w:r w:rsidRPr="00745723">
              <w:rPr>
                <w:rFonts w:ascii="Arial Narrow" w:hAnsi="Arial Narrow"/>
                <w:sz w:val="20"/>
              </w:rPr>
              <w:t>Internal study report</w:t>
            </w:r>
          </w:p>
        </w:tc>
      </w:tr>
      <w:tr w:rsidR="00113F25" w:rsidRPr="00745723" w:rsidTr="000750EB">
        <w:tc>
          <w:tcPr>
            <w:tcW w:w="882" w:type="dxa"/>
            <w:vMerge/>
            <w:vAlign w:val="center"/>
          </w:tcPr>
          <w:p w:rsidR="00113F25" w:rsidRPr="00745723" w:rsidRDefault="00113F25" w:rsidP="00532590">
            <w:pPr>
              <w:rPr>
                <w:rFonts w:ascii="Arial Narrow" w:hAnsi="Arial Narrow"/>
                <w:color w:val="000000"/>
                <w:sz w:val="20"/>
              </w:rPr>
            </w:pPr>
          </w:p>
        </w:tc>
        <w:tc>
          <w:tcPr>
            <w:tcW w:w="5809" w:type="dxa"/>
            <w:vAlign w:val="center"/>
          </w:tcPr>
          <w:p w:rsidR="00113F25" w:rsidRPr="00745723" w:rsidRDefault="00113F25" w:rsidP="00532590">
            <w:pPr>
              <w:rPr>
                <w:rFonts w:ascii="Arial Narrow" w:hAnsi="Arial Narrow"/>
                <w:sz w:val="20"/>
              </w:rPr>
            </w:pPr>
            <w:r w:rsidRPr="00745723">
              <w:rPr>
                <w:rFonts w:ascii="Arial Narrow" w:hAnsi="Arial Narrow"/>
                <w:sz w:val="20"/>
              </w:rPr>
              <w:t>Sanofi Pasteur (2014). Comparison of a DTaP-IPV-HB-PRP~T Combined Vaccine to Infanrix™-Hexa, When Administered With Prevnar</w:t>
            </w:r>
            <w:r w:rsidRPr="00745723">
              <w:rPr>
                <w:rFonts w:ascii="Arial Narrow" w:hAnsi="Arial Narrow"/>
                <w:sz w:val="20"/>
                <w:vertAlign w:val="superscript"/>
              </w:rPr>
              <w:t>®</w:t>
            </w:r>
            <w:r w:rsidRPr="00745723">
              <w:rPr>
                <w:rFonts w:ascii="Arial Narrow" w:hAnsi="Arial Narrow"/>
                <w:sz w:val="20"/>
              </w:rPr>
              <w:t xml:space="preserve"> in Thai Infants</w:t>
            </w:r>
          </w:p>
        </w:tc>
        <w:tc>
          <w:tcPr>
            <w:tcW w:w="1729" w:type="dxa"/>
            <w:vAlign w:val="center"/>
          </w:tcPr>
          <w:p w:rsidR="00113F25" w:rsidRPr="00745723" w:rsidRDefault="00113F25" w:rsidP="00532590">
            <w:pPr>
              <w:jc w:val="left"/>
              <w:rPr>
                <w:rFonts w:ascii="Arial Narrow" w:hAnsi="Arial Narrow"/>
                <w:sz w:val="20"/>
              </w:rPr>
            </w:pPr>
            <w:r w:rsidRPr="00745723">
              <w:rPr>
                <w:rFonts w:ascii="Arial Narrow" w:hAnsi="Arial Narrow"/>
                <w:sz w:val="20"/>
              </w:rPr>
              <w:t>Clinicaltrials.gov record (NCT00401531)</w:t>
            </w:r>
          </w:p>
        </w:tc>
      </w:tr>
      <w:tr w:rsidR="00113F25" w:rsidRPr="00745723" w:rsidTr="000750EB">
        <w:tc>
          <w:tcPr>
            <w:tcW w:w="882" w:type="dxa"/>
            <w:vMerge/>
            <w:vAlign w:val="center"/>
          </w:tcPr>
          <w:p w:rsidR="00113F25" w:rsidRPr="00745723" w:rsidRDefault="00113F25" w:rsidP="00532590">
            <w:pPr>
              <w:rPr>
                <w:rFonts w:ascii="Arial Narrow" w:hAnsi="Arial Narrow"/>
                <w:color w:val="000000"/>
                <w:sz w:val="20"/>
              </w:rPr>
            </w:pPr>
          </w:p>
        </w:tc>
        <w:tc>
          <w:tcPr>
            <w:tcW w:w="5809" w:type="dxa"/>
            <w:vAlign w:val="center"/>
          </w:tcPr>
          <w:p w:rsidR="00113F25" w:rsidRPr="00745723" w:rsidRDefault="00113F25" w:rsidP="00532590">
            <w:pPr>
              <w:rPr>
                <w:rFonts w:ascii="Arial Narrow" w:hAnsi="Arial Narrow"/>
                <w:sz w:val="20"/>
              </w:rPr>
            </w:pPr>
            <w:r w:rsidRPr="00745723">
              <w:rPr>
                <w:rFonts w:ascii="Arial Narrow" w:hAnsi="Arial Narrow"/>
                <w:sz w:val="20"/>
              </w:rPr>
              <w:t>Kosalaraksa P et al (2011). Immunogenicity and safety study of a new DTaP-IPV-Hep B-PRP-T combined vaccine cf a licensed DTaP-IPV-Hep B//PRP-T comparator, both concomitantly administered with a 7-valent pneumococcal conjugate vaccine at 2, 4, and 6 months of age in Thai infants</w:t>
            </w:r>
          </w:p>
        </w:tc>
        <w:tc>
          <w:tcPr>
            <w:tcW w:w="1729" w:type="dxa"/>
            <w:vAlign w:val="center"/>
          </w:tcPr>
          <w:p w:rsidR="00113F25" w:rsidRPr="00745723" w:rsidRDefault="00113F25" w:rsidP="00532590">
            <w:pPr>
              <w:jc w:val="left"/>
              <w:rPr>
                <w:rFonts w:ascii="Arial Narrow" w:hAnsi="Arial Narrow"/>
                <w:sz w:val="20"/>
              </w:rPr>
            </w:pPr>
            <w:r w:rsidRPr="00745723">
              <w:rPr>
                <w:rFonts w:ascii="Arial Narrow" w:hAnsi="Arial Narrow"/>
                <w:sz w:val="20"/>
              </w:rPr>
              <w:t>International Journal of Infectious Disease 15(4):e249-56</w:t>
            </w:r>
          </w:p>
        </w:tc>
      </w:tr>
      <w:tr w:rsidR="00113F25" w:rsidRPr="00745723" w:rsidTr="000750EB">
        <w:tc>
          <w:tcPr>
            <w:tcW w:w="882" w:type="dxa"/>
            <w:vMerge w:val="restart"/>
            <w:vAlign w:val="center"/>
          </w:tcPr>
          <w:p w:rsidR="00113F25" w:rsidRPr="00745723" w:rsidRDefault="00113F25" w:rsidP="00532590">
            <w:pPr>
              <w:rPr>
                <w:rFonts w:ascii="Arial Narrow" w:hAnsi="Arial Narrow"/>
                <w:color w:val="000000"/>
                <w:sz w:val="20"/>
              </w:rPr>
            </w:pPr>
            <w:r w:rsidRPr="00745723">
              <w:rPr>
                <w:rFonts w:ascii="Arial Narrow" w:hAnsi="Arial Narrow"/>
                <w:color w:val="000000"/>
                <w:sz w:val="20"/>
              </w:rPr>
              <w:t>A3L17</w:t>
            </w:r>
          </w:p>
        </w:tc>
        <w:tc>
          <w:tcPr>
            <w:tcW w:w="5809" w:type="dxa"/>
            <w:vAlign w:val="center"/>
          </w:tcPr>
          <w:p w:rsidR="00113F25" w:rsidRPr="00745723" w:rsidRDefault="00113F25" w:rsidP="00532590">
            <w:pPr>
              <w:rPr>
                <w:rFonts w:ascii="Arial Narrow" w:hAnsi="Arial Narrow"/>
                <w:sz w:val="20"/>
              </w:rPr>
            </w:pPr>
            <w:r w:rsidRPr="00745723">
              <w:rPr>
                <w:rFonts w:ascii="Arial Narrow" w:hAnsi="Arial Narrow"/>
                <w:sz w:val="20"/>
              </w:rPr>
              <w:t xml:space="preserve">Sanofi Pasteur Clinical Study Report (2009). Immunogenicity Study of DTaP-IPV-Hep B-PRP-T Combined Vaccine in Comparison to </w:t>
            </w:r>
            <w:r w:rsidR="00CF1BA3" w:rsidRPr="00745723">
              <w:rPr>
                <w:rFonts w:ascii="Arial Narrow" w:hAnsi="Arial Narrow"/>
                <w:sz w:val="20"/>
              </w:rPr>
              <w:t>Infanrix Hexa</w:t>
            </w:r>
            <w:r w:rsidRPr="00745723">
              <w:rPr>
                <w:rFonts w:ascii="Arial Narrow" w:hAnsi="Arial Narrow"/>
                <w:sz w:val="20"/>
              </w:rPr>
              <w:t>™, at 2-4-6 Months of Age in Healthy Peruvian Infants</w:t>
            </w:r>
          </w:p>
        </w:tc>
        <w:tc>
          <w:tcPr>
            <w:tcW w:w="1729" w:type="dxa"/>
            <w:vAlign w:val="center"/>
          </w:tcPr>
          <w:p w:rsidR="00113F25" w:rsidRPr="00745723" w:rsidRDefault="00113F25" w:rsidP="00532590">
            <w:pPr>
              <w:jc w:val="left"/>
              <w:rPr>
                <w:rFonts w:ascii="Arial Narrow" w:hAnsi="Arial Narrow"/>
                <w:sz w:val="20"/>
              </w:rPr>
            </w:pPr>
            <w:r w:rsidRPr="00745723">
              <w:rPr>
                <w:rFonts w:ascii="Arial Narrow" w:hAnsi="Arial Narrow"/>
                <w:sz w:val="20"/>
              </w:rPr>
              <w:t xml:space="preserve">Internal study report </w:t>
            </w:r>
          </w:p>
        </w:tc>
      </w:tr>
      <w:tr w:rsidR="00113F25" w:rsidRPr="00745723" w:rsidTr="000750EB">
        <w:tc>
          <w:tcPr>
            <w:tcW w:w="882" w:type="dxa"/>
            <w:vMerge/>
            <w:vAlign w:val="center"/>
          </w:tcPr>
          <w:p w:rsidR="00113F25" w:rsidRPr="00745723" w:rsidRDefault="00113F25" w:rsidP="00532590">
            <w:pPr>
              <w:rPr>
                <w:rFonts w:ascii="Arial Narrow" w:hAnsi="Arial Narrow"/>
                <w:color w:val="000000"/>
                <w:sz w:val="20"/>
              </w:rPr>
            </w:pPr>
          </w:p>
        </w:tc>
        <w:tc>
          <w:tcPr>
            <w:tcW w:w="5809" w:type="dxa"/>
            <w:vAlign w:val="center"/>
          </w:tcPr>
          <w:p w:rsidR="00113F25" w:rsidRPr="00745723" w:rsidRDefault="00113F25" w:rsidP="00532590">
            <w:pPr>
              <w:rPr>
                <w:rFonts w:ascii="Arial Narrow" w:hAnsi="Arial Narrow"/>
                <w:sz w:val="20"/>
              </w:rPr>
            </w:pPr>
            <w:r w:rsidRPr="00745723">
              <w:rPr>
                <w:rFonts w:ascii="Arial Narrow" w:hAnsi="Arial Narrow"/>
                <w:sz w:val="20"/>
              </w:rPr>
              <w:t>Sanofi Pasteur (2014). Study of DTaP-IPV-Hep B-PRP~T Combined Vaccine Compared to Infanrix®Hexa in Healthy Peruvian Infants</w:t>
            </w:r>
          </w:p>
        </w:tc>
        <w:tc>
          <w:tcPr>
            <w:tcW w:w="1729" w:type="dxa"/>
            <w:vAlign w:val="center"/>
          </w:tcPr>
          <w:p w:rsidR="00113F25" w:rsidRPr="00745723" w:rsidRDefault="00113F25" w:rsidP="00532590">
            <w:pPr>
              <w:jc w:val="left"/>
              <w:rPr>
                <w:rFonts w:ascii="Arial Narrow" w:hAnsi="Arial Narrow"/>
                <w:sz w:val="20"/>
              </w:rPr>
            </w:pPr>
            <w:r w:rsidRPr="00745723">
              <w:rPr>
                <w:rFonts w:ascii="Arial Narrow" w:hAnsi="Arial Narrow"/>
                <w:sz w:val="20"/>
              </w:rPr>
              <w:t>Clinicaltrials.gov record (NCT00831753)</w:t>
            </w:r>
          </w:p>
        </w:tc>
      </w:tr>
      <w:tr w:rsidR="00113F25" w:rsidRPr="00745723" w:rsidTr="000750EB">
        <w:tc>
          <w:tcPr>
            <w:tcW w:w="882" w:type="dxa"/>
            <w:vMerge/>
            <w:vAlign w:val="center"/>
          </w:tcPr>
          <w:p w:rsidR="00113F25" w:rsidRPr="00745723" w:rsidRDefault="00113F25" w:rsidP="00532590">
            <w:pPr>
              <w:rPr>
                <w:rFonts w:ascii="Arial Narrow" w:hAnsi="Arial Narrow"/>
                <w:color w:val="000000"/>
                <w:sz w:val="20"/>
              </w:rPr>
            </w:pPr>
          </w:p>
        </w:tc>
        <w:tc>
          <w:tcPr>
            <w:tcW w:w="5809" w:type="dxa"/>
            <w:vAlign w:val="center"/>
          </w:tcPr>
          <w:p w:rsidR="00113F25" w:rsidRPr="00745723" w:rsidRDefault="00113F25" w:rsidP="00532590">
            <w:pPr>
              <w:rPr>
                <w:rFonts w:ascii="Arial Narrow" w:hAnsi="Arial Narrow"/>
                <w:sz w:val="20"/>
              </w:rPr>
            </w:pPr>
            <w:r w:rsidRPr="00745723">
              <w:rPr>
                <w:rFonts w:ascii="Arial Narrow" w:hAnsi="Arial Narrow"/>
                <w:sz w:val="20"/>
              </w:rPr>
              <w:t>Lanata C et al (2012). Immunogenicity and safety of a fully liquid DTaP-IPV-Hep B-PRP-T vaccine at 2–4–6 months of age in Peru.</w:t>
            </w:r>
          </w:p>
        </w:tc>
        <w:tc>
          <w:tcPr>
            <w:tcW w:w="1729" w:type="dxa"/>
            <w:vAlign w:val="center"/>
          </w:tcPr>
          <w:p w:rsidR="00113F25" w:rsidRPr="00745723" w:rsidRDefault="00113F25" w:rsidP="00532590">
            <w:pPr>
              <w:jc w:val="left"/>
              <w:rPr>
                <w:rFonts w:ascii="Arial Narrow" w:hAnsi="Arial Narrow"/>
                <w:sz w:val="20"/>
              </w:rPr>
            </w:pPr>
            <w:r w:rsidRPr="00745723">
              <w:rPr>
                <w:rFonts w:ascii="Arial Narrow" w:hAnsi="Arial Narrow"/>
                <w:sz w:val="20"/>
              </w:rPr>
              <w:t>Journal of Vaccines and Vaccination 3(1):1000128.</w:t>
            </w:r>
          </w:p>
        </w:tc>
      </w:tr>
      <w:tr w:rsidR="00113F25" w:rsidRPr="00745723" w:rsidTr="000750EB">
        <w:tc>
          <w:tcPr>
            <w:tcW w:w="882" w:type="dxa"/>
            <w:vMerge/>
            <w:vAlign w:val="center"/>
          </w:tcPr>
          <w:p w:rsidR="00113F25" w:rsidRPr="00745723" w:rsidRDefault="00113F25" w:rsidP="00532590">
            <w:pPr>
              <w:rPr>
                <w:rFonts w:ascii="Arial Narrow" w:hAnsi="Arial Narrow"/>
                <w:color w:val="000000"/>
                <w:sz w:val="20"/>
              </w:rPr>
            </w:pPr>
          </w:p>
        </w:tc>
        <w:tc>
          <w:tcPr>
            <w:tcW w:w="5809" w:type="dxa"/>
            <w:vAlign w:val="center"/>
          </w:tcPr>
          <w:p w:rsidR="00113F25" w:rsidRPr="00745723" w:rsidRDefault="00113F25" w:rsidP="00532590">
            <w:pPr>
              <w:rPr>
                <w:rFonts w:ascii="Arial Narrow" w:hAnsi="Arial Narrow"/>
                <w:sz w:val="20"/>
              </w:rPr>
            </w:pPr>
            <w:r w:rsidRPr="00745723">
              <w:rPr>
                <w:rFonts w:ascii="Arial Narrow" w:hAnsi="Arial Narrow"/>
                <w:sz w:val="20"/>
              </w:rPr>
              <w:t>Santos-Lima E et al (2013). Combined immunogenicity data for a new DTaP-IPV-Hep B-PRP-T vaccine (Hexaxim</w:t>
            </w:r>
            <w:r w:rsidRPr="00745723">
              <w:rPr>
                <w:rFonts w:ascii="Arial Narrow" w:hAnsi="Arial Narrow"/>
                <w:sz w:val="20"/>
                <w:vertAlign w:val="superscript"/>
              </w:rPr>
              <w:t>TM</w:t>
            </w:r>
            <w:r w:rsidRPr="00745723">
              <w:rPr>
                <w:rFonts w:ascii="Arial Narrow" w:hAnsi="Arial Narrow"/>
                <w:sz w:val="20"/>
              </w:rPr>
              <w:t>) following primary series administration at 2, 4, 6 months of age in Latin America.</w:t>
            </w:r>
          </w:p>
        </w:tc>
        <w:tc>
          <w:tcPr>
            <w:tcW w:w="1729" w:type="dxa"/>
            <w:vAlign w:val="center"/>
          </w:tcPr>
          <w:p w:rsidR="00113F25" w:rsidRPr="00745723" w:rsidRDefault="00113F25" w:rsidP="00532590">
            <w:pPr>
              <w:jc w:val="left"/>
              <w:rPr>
                <w:rFonts w:ascii="Arial Narrow" w:hAnsi="Arial Narrow"/>
                <w:sz w:val="20"/>
              </w:rPr>
            </w:pPr>
            <w:r w:rsidRPr="00745723">
              <w:rPr>
                <w:rFonts w:ascii="Arial Narrow" w:hAnsi="Arial Narrow"/>
                <w:sz w:val="20"/>
              </w:rPr>
              <w:t>Vaccine 31: 1255–1258</w:t>
            </w:r>
          </w:p>
        </w:tc>
      </w:tr>
      <w:tr w:rsidR="00113F25" w:rsidRPr="00745723" w:rsidTr="000750EB">
        <w:tc>
          <w:tcPr>
            <w:tcW w:w="882" w:type="dxa"/>
            <w:vMerge w:val="restart"/>
            <w:vAlign w:val="center"/>
          </w:tcPr>
          <w:p w:rsidR="00113F25" w:rsidRPr="00745723" w:rsidRDefault="00113F25" w:rsidP="00532590">
            <w:pPr>
              <w:rPr>
                <w:rFonts w:ascii="Arial Narrow" w:hAnsi="Arial Narrow"/>
                <w:color w:val="000000"/>
                <w:sz w:val="20"/>
              </w:rPr>
            </w:pPr>
            <w:r w:rsidRPr="00745723">
              <w:rPr>
                <w:rFonts w:ascii="Arial Narrow" w:hAnsi="Arial Narrow"/>
                <w:color w:val="000000"/>
                <w:sz w:val="20"/>
              </w:rPr>
              <w:t>A3L24</w:t>
            </w:r>
          </w:p>
        </w:tc>
        <w:tc>
          <w:tcPr>
            <w:tcW w:w="5809" w:type="dxa"/>
            <w:vAlign w:val="center"/>
          </w:tcPr>
          <w:p w:rsidR="00113F25" w:rsidRPr="00745723" w:rsidRDefault="00113F25" w:rsidP="00532590">
            <w:pPr>
              <w:rPr>
                <w:rFonts w:ascii="Arial Narrow" w:hAnsi="Arial Narrow"/>
                <w:sz w:val="20"/>
              </w:rPr>
            </w:pPr>
            <w:r w:rsidRPr="00745723">
              <w:rPr>
                <w:rFonts w:ascii="Arial Narrow" w:hAnsi="Arial Narrow"/>
                <w:sz w:val="20"/>
              </w:rPr>
              <w:t>Sanofi Pasteur Clinical Study Report (2012). Lot-to-Lot Consistency Study of DTaP-IPV-Hep B-PRP-T Vaccine Administered at 2-4-6 Months of Age in Healthy Latin American Infants Concomitantly with Prevenar™ and Rotarix™</w:t>
            </w:r>
          </w:p>
        </w:tc>
        <w:tc>
          <w:tcPr>
            <w:tcW w:w="1729" w:type="dxa"/>
            <w:vAlign w:val="center"/>
          </w:tcPr>
          <w:p w:rsidR="00113F25" w:rsidRPr="00745723" w:rsidRDefault="00113F25" w:rsidP="00532590">
            <w:pPr>
              <w:jc w:val="left"/>
              <w:rPr>
                <w:rFonts w:ascii="Arial Narrow" w:hAnsi="Arial Narrow"/>
                <w:sz w:val="20"/>
              </w:rPr>
            </w:pPr>
            <w:r w:rsidRPr="00745723">
              <w:rPr>
                <w:rFonts w:ascii="Arial Narrow" w:hAnsi="Arial Narrow"/>
                <w:sz w:val="20"/>
              </w:rPr>
              <w:t xml:space="preserve">Internal study report </w:t>
            </w:r>
          </w:p>
        </w:tc>
      </w:tr>
      <w:tr w:rsidR="00113F25" w:rsidRPr="00745723" w:rsidTr="000750EB">
        <w:tc>
          <w:tcPr>
            <w:tcW w:w="882" w:type="dxa"/>
            <w:vMerge/>
            <w:vAlign w:val="center"/>
          </w:tcPr>
          <w:p w:rsidR="00113F25" w:rsidRPr="00745723" w:rsidRDefault="00113F25" w:rsidP="00532590">
            <w:pPr>
              <w:rPr>
                <w:rFonts w:ascii="Arial Narrow" w:hAnsi="Arial Narrow"/>
                <w:color w:val="000000"/>
                <w:sz w:val="20"/>
              </w:rPr>
            </w:pPr>
          </w:p>
        </w:tc>
        <w:tc>
          <w:tcPr>
            <w:tcW w:w="5809" w:type="dxa"/>
            <w:vAlign w:val="center"/>
          </w:tcPr>
          <w:p w:rsidR="00113F25" w:rsidRPr="00745723" w:rsidRDefault="00113F25" w:rsidP="00532590">
            <w:pPr>
              <w:rPr>
                <w:rFonts w:ascii="Arial Narrow" w:hAnsi="Arial Narrow"/>
                <w:sz w:val="20"/>
              </w:rPr>
            </w:pPr>
            <w:r w:rsidRPr="00745723">
              <w:rPr>
                <w:rFonts w:ascii="Arial Narrow" w:hAnsi="Arial Narrow"/>
                <w:sz w:val="20"/>
              </w:rPr>
              <w:t>Sanofi Pasteur (2014). A Study of DTaP-IPV-Hep B-PRP-T Vaccine Given With Prevenar™ and Rotarix™ in Healthy Latin American Infants</w:t>
            </w:r>
          </w:p>
        </w:tc>
        <w:tc>
          <w:tcPr>
            <w:tcW w:w="1729" w:type="dxa"/>
            <w:vAlign w:val="center"/>
          </w:tcPr>
          <w:p w:rsidR="00113F25" w:rsidRPr="00745723" w:rsidRDefault="00113F25" w:rsidP="00532590">
            <w:pPr>
              <w:jc w:val="left"/>
              <w:rPr>
                <w:rFonts w:ascii="Arial Narrow" w:hAnsi="Arial Narrow"/>
                <w:sz w:val="20"/>
              </w:rPr>
            </w:pPr>
            <w:r w:rsidRPr="00745723">
              <w:rPr>
                <w:rFonts w:ascii="Arial Narrow" w:hAnsi="Arial Narrow"/>
                <w:sz w:val="20"/>
              </w:rPr>
              <w:t>Clinicaltrials.gov record (NCT01177722)</w:t>
            </w:r>
          </w:p>
        </w:tc>
      </w:tr>
      <w:tr w:rsidR="00113F25" w:rsidRPr="00745723" w:rsidTr="000750EB">
        <w:tc>
          <w:tcPr>
            <w:tcW w:w="882" w:type="dxa"/>
            <w:vAlign w:val="center"/>
          </w:tcPr>
          <w:p w:rsidR="00113F25" w:rsidRPr="00745723" w:rsidRDefault="00113F25" w:rsidP="00532590">
            <w:pPr>
              <w:rPr>
                <w:rFonts w:ascii="Arial Narrow" w:hAnsi="Arial Narrow"/>
                <w:color w:val="000000"/>
                <w:sz w:val="20"/>
              </w:rPr>
            </w:pPr>
            <w:r w:rsidRPr="00745723">
              <w:rPr>
                <w:rFonts w:ascii="Arial Narrow" w:hAnsi="Arial Narrow"/>
                <w:color w:val="000000"/>
                <w:sz w:val="20"/>
              </w:rPr>
              <w:t>A3L27</w:t>
            </w:r>
          </w:p>
        </w:tc>
        <w:tc>
          <w:tcPr>
            <w:tcW w:w="5809" w:type="dxa"/>
            <w:vAlign w:val="center"/>
          </w:tcPr>
          <w:p w:rsidR="00113F25" w:rsidRPr="00745723" w:rsidRDefault="00113F25" w:rsidP="00532590">
            <w:pPr>
              <w:rPr>
                <w:rFonts w:ascii="Arial Narrow" w:hAnsi="Arial Narrow"/>
                <w:sz w:val="20"/>
              </w:rPr>
            </w:pPr>
            <w:r w:rsidRPr="00745723">
              <w:rPr>
                <w:rFonts w:ascii="Arial Narrow" w:hAnsi="Arial Narrow"/>
                <w:sz w:val="20"/>
              </w:rPr>
              <w:t xml:space="preserve">Sanofi Pasteur (2014). Study of the Booster Effect of DTaP-IPV-Hep B-PRP~T Combined Vaccine or </w:t>
            </w:r>
            <w:r w:rsidR="00CF1BA3" w:rsidRPr="00745723">
              <w:rPr>
                <w:rFonts w:ascii="Arial Narrow" w:hAnsi="Arial Narrow"/>
                <w:sz w:val="20"/>
              </w:rPr>
              <w:t>Infanrix Hexa</w:t>
            </w:r>
            <w:r w:rsidRPr="00745723">
              <w:rPr>
                <w:rFonts w:ascii="Arial Narrow" w:hAnsi="Arial Narrow"/>
                <w:sz w:val="20"/>
              </w:rPr>
              <w:t>™ and Prevenar™ in Healthy Infants</w:t>
            </w:r>
          </w:p>
        </w:tc>
        <w:tc>
          <w:tcPr>
            <w:tcW w:w="1729" w:type="dxa"/>
            <w:vAlign w:val="center"/>
          </w:tcPr>
          <w:p w:rsidR="00113F25" w:rsidRPr="00745723" w:rsidRDefault="00113F25" w:rsidP="00532590">
            <w:pPr>
              <w:jc w:val="left"/>
              <w:rPr>
                <w:rFonts w:ascii="Arial Narrow" w:hAnsi="Arial Narrow"/>
                <w:sz w:val="20"/>
              </w:rPr>
            </w:pPr>
            <w:r w:rsidRPr="00745723">
              <w:rPr>
                <w:rFonts w:ascii="Arial Narrow" w:hAnsi="Arial Narrow"/>
                <w:sz w:val="20"/>
              </w:rPr>
              <w:t>Clinicaltrials.gov record  (NCT01444781)</w:t>
            </w:r>
          </w:p>
        </w:tc>
      </w:tr>
    </w:tbl>
    <w:p w:rsidR="00842678" w:rsidRPr="00745723" w:rsidRDefault="00842678">
      <w:pPr>
        <w:widowControl/>
        <w:jc w:val="left"/>
        <w:rPr>
          <w:szCs w:val="22"/>
        </w:rPr>
      </w:pPr>
      <w:r w:rsidRPr="00745723">
        <w:rPr>
          <w:szCs w:val="22"/>
        </w:rPr>
        <w:br w:type="page"/>
      </w:r>
    </w:p>
    <w:p w:rsidR="007F1017" w:rsidRPr="00745723" w:rsidRDefault="008F120A" w:rsidP="002C2F87">
      <w:pPr>
        <w:pStyle w:val="ListParagraph"/>
        <w:widowControl/>
        <w:numPr>
          <w:ilvl w:val="1"/>
          <w:numId w:val="2"/>
        </w:numPr>
        <w:rPr>
          <w:szCs w:val="22"/>
        </w:rPr>
      </w:pPr>
      <w:r w:rsidRPr="00745723">
        <w:rPr>
          <w:szCs w:val="22"/>
        </w:rPr>
        <w:lastRenderedPageBreak/>
        <w:t>The key features</w:t>
      </w:r>
      <w:r w:rsidR="006756B8" w:rsidRPr="00745723">
        <w:rPr>
          <w:szCs w:val="22"/>
        </w:rPr>
        <w:t xml:space="preserve"> of the included trials</w:t>
      </w:r>
      <w:r w:rsidRPr="00745723">
        <w:rPr>
          <w:szCs w:val="22"/>
        </w:rPr>
        <w:t xml:space="preserve"> are summarised in the table below.  </w:t>
      </w:r>
    </w:p>
    <w:p w:rsidR="006756B8" w:rsidRPr="00745723" w:rsidRDefault="006756B8" w:rsidP="006756B8">
      <w:pPr>
        <w:pStyle w:val="ListParagraph"/>
        <w:widowControl/>
        <w:rPr>
          <w:szCs w:val="22"/>
        </w:rPr>
      </w:pPr>
    </w:p>
    <w:p w:rsidR="007F1017" w:rsidRPr="00745723" w:rsidRDefault="007F1017" w:rsidP="00E22A0D">
      <w:pPr>
        <w:ind w:firstLine="720"/>
        <w:rPr>
          <w:rStyle w:val="CommentReference"/>
        </w:rPr>
      </w:pPr>
      <w:r w:rsidRPr="00745723">
        <w:rPr>
          <w:rStyle w:val="CommentReference"/>
        </w:rPr>
        <w:t>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w:tblDescription w:val="This table provides and outline of the key features of the included evidence from the trials presented in the submission"/>
      </w:tblPr>
      <w:tblGrid>
        <w:gridCol w:w="1307"/>
        <w:gridCol w:w="629"/>
        <w:gridCol w:w="1751"/>
        <w:gridCol w:w="991"/>
        <w:gridCol w:w="1417"/>
        <w:gridCol w:w="2250"/>
      </w:tblGrid>
      <w:tr w:rsidR="00216BC0" w:rsidRPr="00745723" w:rsidTr="00216BC0">
        <w:tc>
          <w:tcPr>
            <w:tcW w:w="783" w:type="pct"/>
            <w:shd w:val="clear" w:color="auto" w:fill="auto"/>
            <w:vAlign w:val="center"/>
          </w:tcPr>
          <w:p w:rsidR="00216BC0" w:rsidRPr="00745723" w:rsidRDefault="00216BC0" w:rsidP="007F1017">
            <w:pPr>
              <w:jc w:val="left"/>
              <w:rPr>
                <w:rFonts w:ascii="Arial Narrow" w:hAnsi="Arial Narrow"/>
                <w:b/>
                <w:sz w:val="20"/>
                <w:lang w:val="en-US"/>
              </w:rPr>
            </w:pPr>
            <w:r w:rsidRPr="00745723">
              <w:rPr>
                <w:rFonts w:ascii="Arial Narrow" w:hAnsi="Arial Narrow"/>
                <w:b/>
                <w:sz w:val="20"/>
                <w:lang w:val="en-US"/>
              </w:rPr>
              <w:t>Trial</w:t>
            </w:r>
          </w:p>
        </w:tc>
        <w:tc>
          <w:tcPr>
            <w:tcW w:w="377" w:type="pct"/>
            <w:shd w:val="clear" w:color="auto" w:fill="auto"/>
            <w:vAlign w:val="center"/>
          </w:tcPr>
          <w:p w:rsidR="00216BC0" w:rsidRPr="00745723" w:rsidRDefault="00216BC0" w:rsidP="007F1017">
            <w:pPr>
              <w:jc w:val="center"/>
              <w:rPr>
                <w:rFonts w:ascii="Arial Narrow" w:hAnsi="Arial Narrow"/>
                <w:b/>
                <w:sz w:val="20"/>
                <w:lang w:val="en-US"/>
              </w:rPr>
            </w:pPr>
            <w:r w:rsidRPr="00745723">
              <w:rPr>
                <w:rFonts w:ascii="Arial Narrow" w:hAnsi="Arial Narrow"/>
                <w:b/>
                <w:sz w:val="20"/>
                <w:lang w:val="en-US"/>
              </w:rPr>
              <w:t>N</w:t>
            </w:r>
          </w:p>
        </w:tc>
        <w:tc>
          <w:tcPr>
            <w:tcW w:w="1049" w:type="pct"/>
            <w:shd w:val="clear" w:color="auto" w:fill="auto"/>
            <w:vAlign w:val="center"/>
          </w:tcPr>
          <w:p w:rsidR="00216BC0" w:rsidRPr="00745723" w:rsidRDefault="00216BC0" w:rsidP="007F1017">
            <w:pPr>
              <w:jc w:val="center"/>
              <w:rPr>
                <w:rFonts w:ascii="Arial Narrow" w:hAnsi="Arial Narrow"/>
                <w:b/>
                <w:sz w:val="20"/>
                <w:lang w:val="en-US"/>
              </w:rPr>
            </w:pPr>
            <w:r w:rsidRPr="00745723">
              <w:rPr>
                <w:rFonts w:ascii="Arial Narrow" w:hAnsi="Arial Narrow"/>
                <w:b/>
                <w:sz w:val="20"/>
                <w:lang w:val="en-US"/>
              </w:rPr>
              <w:t>Design/ duration</w:t>
            </w:r>
          </w:p>
        </w:tc>
        <w:tc>
          <w:tcPr>
            <w:tcW w:w="594" w:type="pct"/>
            <w:shd w:val="clear" w:color="auto" w:fill="auto"/>
            <w:vAlign w:val="center"/>
          </w:tcPr>
          <w:p w:rsidR="00216BC0" w:rsidRPr="00745723" w:rsidRDefault="00216BC0" w:rsidP="007F1017">
            <w:pPr>
              <w:jc w:val="center"/>
              <w:rPr>
                <w:rFonts w:ascii="Arial Narrow" w:hAnsi="Arial Narrow"/>
                <w:b/>
                <w:sz w:val="20"/>
                <w:lang w:val="en-US"/>
              </w:rPr>
            </w:pPr>
            <w:r w:rsidRPr="00745723">
              <w:rPr>
                <w:rFonts w:ascii="Arial Narrow" w:hAnsi="Arial Narrow"/>
                <w:b/>
                <w:sz w:val="20"/>
                <w:lang w:val="en-US"/>
              </w:rPr>
              <w:t>Risk of bias</w:t>
            </w:r>
          </w:p>
        </w:tc>
        <w:tc>
          <w:tcPr>
            <w:tcW w:w="849" w:type="pct"/>
            <w:shd w:val="clear" w:color="auto" w:fill="auto"/>
            <w:vAlign w:val="center"/>
          </w:tcPr>
          <w:p w:rsidR="00216BC0" w:rsidRPr="00745723" w:rsidRDefault="00216BC0" w:rsidP="007F1017">
            <w:pPr>
              <w:jc w:val="center"/>
              <w:rPr>
                <w:rFonts w:ascii="Arial Narrow" w:hAnsi="Arial Narrow"/>
                <w:b/>
                <w:sz w:val="20"/>
                <w:lang w:val="en-US"/>
              </w:rPr>
            </w:pPr>
            <w:r w:rsidRPr="00745723">
              <w:rPr>
                <w:rFonts w:ascii="Arial Narrow" w:hAnsi="Arial Narrow"/>
                <w:b/>
                <w:sz w:val="20"/>
                <w:lang w:val="en-US"/>
              </w:rPr>
              <w:t>Patient population</w:t>
            </w:r>
          </w:p>
        </w:tc>
        <w:tc>
          <w:tcPr>
            <w:tcW w:w="1348" w:type="pct"/>
            <w:shd w:val="clear" w:color="auto" w:fill="auto"/>
            <w:vAlign w:val="center"/>
          </w:tcPr>
          <w:p w:rsidR="00216BC0" w:rsidRPr="00745723" w:rsidRDefault="00216BC0" w:rsidP="00216BC0">
            <w:pPr>
              <w:jc w:val="center"/>
              <w:rPr>
                <w:rFonts w:ascii="Arial Narrow" w:hAnsi="Arial Narrow"/>
                <w:b/>
                <w:sz w:val="20"/>
                <w:lang w:val="en-US"/>
              </w:rPr>
            </w:pPr>
            <w:r w:rsidRPr="00745723">
              <w:rPr>
                <w:rFonts w:ascii="Arial Narrow" w:hAnsi="Arial Narrow"/>
                <w:b/>
                <w:sz w:val="20"/>
                <w:lang w:val="en-US"/>
              </w:rPr>
              <w:t>Outcomes</w:t>
            </w:r>
          </w:p>
        </w:tc>
      </w:tr>
      <w:tr w:rsidR="007F1017" w:rsidRPr="00745723" w:rsidTr="00E22A0D">
        <w:tc>
          <w:tcPr>
            <w:tcW w:w="5000" w:type="pct"/>
            <w:gridSpan w:val="6"/>
            <w:shd w:val="clear" w:color="auto" w:fill="auto"/>
            <w:vAlign w:val="center"/>
          </w:tcPr>
          <w:p w:rsidR="007F1017" w:rsidRPr="00745723" w:rsidRDefault="006756B8" w:rsidP="007F1017">
            <w:pPr>
              <w:jc w:val="left"/>
              <w:rPr>
                <w:rFonts w:ascii="Arial Narrow" w:hAnsi="Arial Narrow"/>
                <w:b/>
                <w:sz w:val="20"/>
                <w:lang w:val="en-US"/>
              </w:rPr>
            </w:pPr>
            <w:r w:rsidRPr="00745723">
              <w:rPr>
                <w:rFonts w:ascii="Arial Narrow" w:hAnsi="Arial Narrow"/>
                <w:b/>
                <w:sz w:val="20"/>
                <w:lang w:val="en-US"/>
              </w:rPr>
              <w:t>Hexaxim vs. Infanrix Hexa</w:t>
            </w:r>
            <w:r w:rsidR="004D6BD2" w:rsidRPr="00745723">
              <w:rPr>
                <w:rFonts w:ascii="Arial Narrow" w:hAnsi="Arial Narrow"/>
                <w:b/>
                <w:sz w:val="20"/>
                <w:lang w:val="en-US"/>
              </w:rPr>
              <w:t xml:space="preserve"> when used as a primary vaccination series</w:t>
            </w:r>
            <w:r w:rsidR="000D0531" w:rsidRPr="00745723">
              <w:rPr>
                <w:rFonts w:ascii="Arial Narrow" w:hAnsi="Arial Narrow"/>
                <w:b/>
                <w:sz w:val="20"/>
                <w:lang w:val="en-US"/>
              </w:rPr>
              <w:t xml:space="preserve"> (2, 4, 6 months of age)</w:t>
            </w:r>
          </w:p>
        </w:tc>
      </w:tr>
      <w:tr w:rsidR="00216BC0" w:rsidRPr="00745723" w:rsidTr="00216BC0">
        <w:tc>
          <w:tcPr>
            <w:tcW w:w="783" w:type="pct"/>
            <w:shd w:val="clear" w:color="auto" w:fill="auto"/>
            <w:vAlign w:val="center"/>
          </w:tcPr>
          <w:p w:rsidR="00216BC0" w:rsidRPr="00745723" w:rsidRDefault="00216BC0" w:rsidP="007F1017">
            <w:pPr>
              <w:jc w:val="left"/>
              <w:rPr>
                <w:rFonts w:ascii="Arial Narrow" w:hAnsi="Arial Narrow"/>
                <w:sz w:val="20"/>
                <w:lang w:val="en-US"/>
              </w:rPr>
            </w:pPr>
            <w:r w:rsidRPr="00745723">
              <w:rPr>
                <w:rFonts w:ascii="Arial Narrow" w:hAnsi="Arial Narrow"/>
                <w:sz w:val="20"/>
                <w:lang w:val="en-US"/>
              </w:rPr>
              <w:t>A3L11/A3L21</w:t>
            </w:r>
          </w:p>
        </w:tc>
        <w:tc>
          <w:tcPr>
            <w:tcW w:w="377" w:type="pct"/>
            <w:shd w:val="clear" w:color="auto" w:fill="auto"/>
            <w:vAlign w:val="center"/>
          </w:tcPr>
          <w:p w:rsidR="00216BC0" w:rsidRPr="00745723" w:rsidRDefault="00216BC0" w:rsidP="007F1017">
            <w:pPr>
              <w:jc w:val="center"/>
              <w:rPr>
                <w:rFonts w:ascii="Arial Narrow" w:hAnsi="Arial Narrow"/>
                <w:sz w:val="20"/>
                <w:lang w:val="en-US"/>
              </w:rPr>
            </w:pPr>
            <w:r w:rsidRPr="00745723">
              <w:rPr>
                <w:rFonts w:ascii="Arial Narrow" w:hAnsi="Arial Narrow"/>
                <w:sz w:val="20"/>
                <w:lang w:val="en-US"/>
              </w:rPr>
              <w:t>1,189</w:t>
            </w:r>
          </w:p>
        </w:tc>
        <w:tc>
          <w:tcPr>
            <w:tcW w:w="1049" w:type="pct"/>
            <w:shd w:val="clear" w:color="auto" w:fill="auto"/>
            <w:vAlign w:val="center"/>
          </w:tcPr>
          <w:p w:rsidR="00216BC0" w:rsidRPr="00745723" w:rsidRDefault="00216BC0" w:rsidP="007F1017">
            <w:pPr>
              <w:jc w:val="center"/>
              <w:rPr>
                <w:rFonts w:ascii="Arial Narrow" w:hAnsi="Arial Narrow"/>
                <w:sz w:val="20"/>
                <w:lang w:val="en-US"/>
              </w:rPr>
            </w:pPr>
            <w:r w:rsidRPr="00745723">
              <w:rPr>
                <w:rFonts w:ascii="Arial Narrow" w:hAnsi="Arial Narrow"/>
                <w:sz w:val="20"/>
                <w:lang w:val="en-US"/>
              </w:rPr>
              <w:t>R, PB, PG, MC</w:t>
            </w:r>
          </w:p>
          <w:p w:rsidR="00216BC0" w:rsidRPr="00745723" w:rsidRDefault="00216BC0" w:rsidP="007F1017">
            <w:pPr>
              <w:jc w:val="center"/>
              <w:rPr>
                <w:rFonts w:ascii="Arial Narrow" w:hAnsi="Arial Narrow"/>
                <w:sz w:val="20"/>
                <w:lang w:val="en-US"/>
              </w:rPr>
            </w:pPr>
            <w:r w:rsidRPr="00745723">
              <w:rPr>
                <w:rFonts w:ascii="Arial Narrow" w:hAnsi="Arial Narrow"/>
                <w:sz w:val="20"/>
                <w:lang w:val="en-US"/>
              </w:rPr>
              <w:t>6 mths + extension</w:t>
            </w:r>
          </w:p>
        </w:tc>
        <w:tc>
          <w:tcPr>
            <w:tcW w:w="594" w:type="pct"/>
            <w:shd w:val="clear" w:color="auto" w:fill="auto"/>
            <w:vAlign w:val="center"/>
          </w:tcPr>
          <w:p w:rsidR="00216BC0" w:rsidRPr="00745723" w:rsidRDefault="00216BC0" w:rsidP="007F1017">
            <w:pPr>
              <w:jc w:val="center"/>
              <w:rPr>
                <w:rFonts w:ascii="Arial Narrow" w:hAnsi="Arial Narrow"/>
                <w:sz w:val="20"/>
                <w:lang w:val="en-US"/>
              </w:rPr>
            </w:pPr>
            <w:r w:rsidRPr="00745723">
              <w:rPr>
                <w:rFonts w:ascii="Arial Narrow" w:hAnsi="Arial Narrow"/>
                <w:sz w:val="20"/>
                <w:lang w:val="en-US"/>
              </w:rPr>
              <w:t>Low</w:t>
            </w:r>
          </w:p>
        </w:tc>
        <w:tc>
          <w:tcPr>
            <w:tcW w:w="849" w:type="pct"/>
            <w:shd w:val="clear" w:color="auto" w:fill="auto"/>
            <w:vAlign w:val="center"/>
          </w:tcPr>
          <w:p w:rsidR="00216BC0" w:rsidRPr="00745723" w:rsidRDefault="000750EB" w:rsidP="007F1017">
            <w:pPr>
              <w:jc w:val="center"/>
              <w:rPr>
                <w:rFonts w:ascii="Arial Narrow" w:hAnsi="Arial Narrow"/>
                <w:sz w:val="20"/>
                <w:lang w:val="en-US"/>
              </w:rPr>
            </w:pPr>
            <w:r w:rsidRPr="00745723">
              <w:rPr>
                <w:rFonts w:ascii="Arial Narrow" w:hAnsi="Arial Narrow"/>
                <w:sz w:val="20"/>
                <w:lang w:val="en-US"/>
              </w:rPr>
              <w:t>Healthy Mexican infants</w:t>
            </w:r>
          </w:p>
        </w:tc>
        <w:tc>
          <w:tcPr>
            <w:tcW w:w="1348" w:type="pct"/>
            <w:shd w:val="clear" w:color="auto" w:fill="auto"/>
            <w:vAlign w:val="center"/>
          </w:tcPr>
          <w:p w:rsidR="00D045D2" w:rsidRPr="00745723" w:rsidRDefault="00D045D2" w:rsidP="00D045D2">
            <w:pPr>
              <w:jc w:val="center"/>
              <w:rPr>
                <w:rFonts w:ascii="Arial Narrow" w:hAnsi="Arial Narrow"/>
                <w:sz w:val="20"/>
                <w:lang w:val="en-US"/>
              </w:rPr>
            </w:pPr>
            <w:r w:rsidRPr="00745723">
              <w:rPr>
                <w:rFonts w:ascii="Arial Narrow" w:hAnsi="Arial Narrow"/>
                <w:sz w:val="20"/>
                <w:lang w:val="en-US"/>
              </w:rPr>
              <w:t xml:space="preserve">Immune response </w:t>
            </w:r>
          </w:p>
          <w:p w:rsidR="00216BC0" w:rsidRPr="00745723" w:rsidRDefault="00D045D2" w:rsidP="00D045D2">
            <w:pPr>
              <w:jc w:val="center"/>
              <w:rPr>
                <w:rFonts w:ascii="Arial Narrow" w:hAnsi="Arial Narrow"/>
                <w:sz w:val="20"/>
                <w:lang w:val="en-US"/>
              </w:rPr>
            </w:pPr>
            <w:r w:rsidRPr="00745723">
              <w:rPr>
                <w:rFonts w:ascii="Arial Narrow" w:hAnsi="Arial Narrow"/>
                <w:sz w:val="20"/>
                <w:lang w:val="en-US"/>
              </w:rPr>
              <w:t xml:space="preserve">(antibody levels) </w:t>
            </w:r>
          </w:p>
        </w:tc>
      </w:tr>
      <w:tr w:rsidR="00216BC0" w:rsidRPr="00745723" w:rsidTr="00216BC0">
        <w:tc>
          <w:tcPr>
            <w:tcW w:w="783" w:type="pct"/>
            <w:shd w:val="clear" w:color="auto" w:fill="auto"/>
            <w:vAlign w:val="center"/>
          </w:tcPr>
          <w:p w:rsidR="00216BC0" w:rsidRPr="00745723" w:rsidRDefault="00216BC0" w:rsidP="007F1017">
            <w:pPr>
              <w:jc w:val="left"/>
              <w:rPr>
                <w:rFonts w:ascii="Arial Narrow" w:hAnsi="Arial Narrow"/>
                <w:sz w:val="20"/>
                <w:lang w:val="en-US"/>
              </w:rPr>
            </w:pPr>
            <w:r w:rsidRPr="00745723">
              <w:rPr>
                <w:rFonts w:ascii="Arial Narrow" w:hAnsi="Arial Narrow"/>
                <w:sz w:val="20"/>
                <w:lang w:val="en-US"/>
              </w:rPr>
              <w:t>A3L12</w:t>
            </w:r>
          </w:p>
        </w:tc>
        <w:tc>
          <w:tcPr>
            <w:tcW w:w="377" w:type="pct"/>
            <w:shd w:val="clear" w:color="auto" w:fill="auto"/>
            <w:vAlign w:val="center"/>
          </w:tcPr>
          <w:p w:rsidR="00216BC0" w:rsidRPr="00745723" w:rsidRDefault="00216BC0" w:rsidP="007F1017">
            <w:pPr>
              <w:jc w:val="center"/>
              <w:rPr>
                <w:rFonts w:ascii="Arial Narrow" w:hAnsi="Arial Narrow"/>
                <w:sz w:val="20"/>
                <w:lang w:val="en-US"/>
              </w:rPr>
            </w:pPr>
            <w:r w:rsidRPr="00745723">
              <w:rPr>
                <w:rFonts w:ascii="Arial Narrow" w:hAnsi="Arial Narrow"/>
                <w:sz w:val="20"/>
                <w:lang w:val="en-US"/>
              </w:rPr>
              <w:t>412</w:t>
            </w:r>
          </w:p>
        </w:tc>
        <w:tc>
          <w:tcPr>
            <w:tcW w:w="1049" w:type="pct"/>
            <w:shd w:val="clear" w:color="auto" w:fill="auto"/>
            <w:vAlign w:val="center"/>
          </w:tcPr>
          <w:p w:rsidR="00216BC0" w:rsidRPr="00745723" w:rsidRDefault="00216BC0" w:rsidP="00216BC0">
            <w:pPr>
              <w:jc w:val="center"/>
              <w:rPr>
                <w:rFonts w:ascii="Arial Narrow" w:hAnsi="Arial Narrow"/>
                <w:sz w:val="20"/>
                <w:lang w:val="en-US"/>
              </w:rPr>
            </w:pPr>
            <w:r w:rsidRPr="00745723">
              <w:rPr>
                <w:rFonts w:ascii="Arial Narrow" w:hAnsi="Arial Narrow"/>
                <w:sz w:val="20"/>
                <w:lang w:val="en-US"/>
              </w:rPr>
              <w:t>R, PB, PG, MC</w:t>
            </w:r>
          </w:p>
          <w:p w:rsidR="00216BC0" w:rsidRPr="00745723" w:rsidRDefault="00216BC0" w:rsidP="00216BC0">
            <w:pPr>
              <w:jc w:val="center"/>
              <w:rPr>
                <w:rFonts w:ascii="Arial Narrow" w:hAnsi="Arial Narrow"/>
                <w:sz w:val="20"/>
                <w:lang w:val="en-US"/>
              </w:rPr>
            </w:pPr>
            <w:r w:rsidRPr="00745723">
              <w:rPr>
                <w:rFonts w:ascii="Arial Narrow" w:hAnsi="Arial Narrow"/>
                <w:sz w:val="20"/>
                <w:lang w:val="en-US"/>
              </w:rPr>
              <w:t>6 mths</w:t>
            </w:r>
          </w:p>
        </w:tc>
        <w:tc>
          <w:tcPr>
            <w:tcW w:w="594" w:type="pct"/>
            <w:shd w:val="clear" w:color="auto" w:fill="auto"/>
            <w:vAlign w:val="center"/>
          </w:tcPr>
          <w:p w:rsidR="00216BC0" w:rsidRPr="00745723" w:rsidRDefault="00216BC0" w:rsidP="007F1017">
            <w:pPr>
              <w:jc w:val="center"/>
              <w:rPr>
                <w:rFonts w:ascii="Arial Narrow" w:hAnsi="Arial Narrow"/>
                <w:sz w:val="20"/>
                <w:lang w:val="en-US"/>
              </w:rPr>
            </w:pPr>
            <w:r w:rsidRPr="00745723">
              <w:rPr>
                <w:rFonts w:ascii="Arial Narrow" w:hAnsi="Arial Narrow"/>
                <w:sz w:val="20"/>
                <w:lang w:val="en-US"/>
              </w:rPr>
              <w:t>Low</w:t>
            </w:r>
          </w:p>
        </w:tc>
        <w:tc>
          <w:tcPr>
            <w:tcW w:w="849" w:type="pct"/>
            <w:shd w:val="clear" w:color="auto" w:fill="auto"/>
            <w:vAlign w:val="center"/>
          </w:tcPr>
          <w:p w:rsidR="00216BC0" w:rsidRPr="00745723" w:rsidRDefault="000750EB" w:rsidP="007F1017">
            <w:pPr>
              <w:jc w:val="center"/>
              <w:rPr>
                <w:rFonts w:ascii="Arial Narrow" w:hAnsi="Arial Narrow"/>
                <w:sz w:val="20"/>
                <w:lang w:val="en-US"/>
              </w:rPr>
            </w:pPr>
            <w:r w:rsidRPr="00745723">
              <w:rPr>
                <w:rFonts w:ascii="Arial Narrow" w:hAnsi="Arial Narrow"/>
                <w:sz w:val="20"/>
                <w:lang w:val="en-US"/>
              </w:rPr>
              <w:t>Healthy Thai infants</w:t>
            </w:r>
          </w:p>
        </w:tc>
        <w:tc>
          <w:tcPr>
            <w:tcW w:w="1348" w:type="pct"/>
            <w:shd w:val="clear" w:color="auto" w:fill="auto"/>
            <w:vAlign w:val="center"/>
          </w:tcPr>
          <w:p w:rsidR="00D045D2" w:rsidRPr="00745723" w:rsidRDefault="00D045D2" w:rsidP="00D045D2">
            <w:pPr>
              <w:jc w:val="center"/>
              <w:rPr>
                <w:rFonts w:ascii="Arial Narrow" w:hAnsi="Arial Narrow"/>
                <w:sz w:val="20"/>
                <w:lang w:val="en-US"/>
              </w:rPr>
            </w:pPr>
            <w:r w:rsidRPr="00745723">
              <w:rPr>
                <w:rFonts w:ascii="Arial Narrow" w:hAnsi="Arial Narrow"/>
                <w:sz w:val="20"/>
                <w:lang w:val="en-US"/>
              </w:rPr>
              <w:t xml:space="preserve">Immune response </w:t>
            </w:r>
          </w:p>
          <w:p w:rsidR="00216BC0" w:rsidRPr="00745723" w:rsidRDefault="00D045D2" w:rsidP="00D045D2">
            <w:pPr>
              <w:jc w:val="center"/>
              <w:rPr>
                <w:rFonts w:ascii="Arial Narrow" w:hAnsi="Arial Narrow"/>
                <w:sz w:val="20"/>
                <w:lang w:val="en-US"/>
              </w:rPr>
            </w:pPr>
            <w:r w:rsidRPr="00745723">
              <w:rPr>
                <w:rFonts w:ascii="Arial Narrow" w:hAnsi="Arial Narrow"/>
                <w:sz w:val="20"/>
                <w:lang w:val="en-US"/>
              </w:rPr>
              <w:t>(antibody levels)</w:t>
            </w:r>
          </w:p>
        </w:tc>
      </w:tr>
      <w:tr w:rsidR="00216BC0" w:rsidRPr="00745723" w:rsidTr="00216BC0">
        <w:tc>
          <w:tcPr>
            <w:tcW w:w="783" w:type="pct"/>
            <w:shd w:val="clear" w:color="auto" w:fill="auto"/>
            <w:vAlign w:val="center"/>
          </w:tcPr>
          <w:p w:rsidR="00216BC0" w:rsidRPr="00745723" w:rsidRDefault="00216BC0" w:rsidP="007F1017">
            <w:pPr>
              <w:jc w:val="left"/>
              <w:rPr>
                <w:rFonts w:ascii="Arial Narrow" w:hAnsi="Arial Narrow"/>
                <w:sz w:val="20"/>
                <w:lang w:val="en-US"/>
              </w:rPr>
            </w:pPr>
            <w:r w:rsidRPr="00745723">
              <w:rPr>
                <w:rFonts w:ascii="Arial Narrow" w:hAnsi="Arial Narrow"/>
                <w:sz w:val="20"/>
                <w:lang w:val="en-US"/>
              </w:rPr>
              <w:t>A3L17</w:t>
            </w:r>
          </w:p>
        </w:tc>
        <w:tc>
          <w:tcPr>
            <w:tcW w:w="377" w:type="pct"/>
            <w:shd w:val="clear" w:color="auto" w:fill="auto"/>
            <w:vAlign w:val="center"/>
          </w:tcPr>
          <w:p w:rsidR="00216BC0" w:rsidRPr="00745723" w:rsidRDefault="00216BC0" w:rsidP="006756B8">
            <w:pPr>
              <w:jc w:val="center"/>
              <w:rPr>
                <w:rFonts w:ascii="Arial Narrow" w:hAnsi="Arial Narrow"/>
                <w:sz w:val="20"/>
                <w:lang w:val="en-US"/>
              </w:rPr>
            </w:pPr>
            <w:r w:rsidRPr="00745723">
              <w:rPr>
                <w:rFonts w:ascii="Arial Narrow" w:hAnsi="Arial Narrow"/>
                <w:sz w:val="20"/>
                <w:lang w:val="en-US"/>
              </w:rPr>
              <w:t>263</w:t>
            </w:r>
          </w:p>
        </w:tc>
        <w:tc>
          <w:tcPr>
            <w:tcW w:w="1049" w:type="pct"/>
            <w:shd w:val="clear" w:color="auto" w:fill="auto"/>
            <w:vAlign w:val="center"/>
          </w:tcPr>
          <w:p w:rsidR="00216BC0" w:rsidRPr="00745723" w:rsidRDefault="00216BC0" w:rsidP="00216BC0">
            <w:pPr>
              <w:jc w:val="center"/>
              <w:rPr>
                <w:rFonts w:ascii="Arial Narrow" w:hAnsi="Arial Narrow"/>
                <w:sz w:val="20"/>
                <w:lang w:val="en-US"/>
              </w:rPr>
            </w:pPr>
            <w:r w:rsidRPr="00745723">
              <w:rPr>
                <w:rFonts w:ascii="Arial Narrow" w:hAnsi="Arial Narrow"/>
                <w:sz w:val="20"/>
                <w:lang w:val="en-US"/>
              </w:rPr>
              <w:t>R, PB, PG, SC</w:t>
            </w:r>
          </w:p>
          <w:p w:rsidR="00216BC0" w:rsidRPr="00745723" w:rsidRDefault="00216BC0" w:rsidP="00216BC0">
            <w:pPr>
              <w:jc w:val="center"/>
              <w:rPr>
                <w:rFonts w:ascii="Arial Narrow" w:hAnsi="Arial Narrow"/>
                <w:sz w:val="20"/>
                <w:lang w:val="en-US"/>
              </w:rPr>
            </w:pPr>
            <w:r w:rsidRPr="00745723">
              <w:rPr>
                <w:rFonts w:ascii="Arial Narrow" w:hAnsi="Arial Narrow"/>
                <w:sz w:val="20"/>
                <w:lang w:val="en-US"/>
              </w:rPr>
              <w:t>6 mths</w:t>
            </w:r>
          </w:p>
        </w:tc>
        <w:tc>
          <w:tcPr>
            <w:tcW w:w="594" w:type="pct"/>
            <w:shd w:val="clear" w:color="auto" w:fill="auto"/>
            <w:vAlign w:val="center"/>
          </w:tcPr>
          <w:p w:rsidR="00216BC0" w:rsidRPr="00745723" w:rsidRDefault="00216BC0" w:rsidP="007F1017">
            <w:pPr>
              <w:jc w:val="center"/>
              <w:rPr>
                <w:rFonts w:ascii="Arial Narrow" w:hAnsi="Arial Narrow"/>
                <w:sz w:val="20"/>
                <w:lang w:val="en-US"/>
              </w:rPr>
            </w:pPr>
            <w:r w:rsidRPr="00745723">
              <w:rPr>
                <w:rFonts w:ascii="Arial Narrow" w:hAnsi="Arial Narrow"/>
                <w:sz w:val="20"/>
                <w:lang w:val="en-US"/>
              </w:rPr>
              <w:t>Low</w:t>
            </w:r>
          </w:p>
        </w:tc>
        <w:tc>
          <w:tcPr>
            <w:tcW w:w="849" w:type="pct"/>
            <w:shd w:val="clear" w:color="auto" w:fill="auto"/>
            <w:vAlign w:val="center"/>
          </w:tcPr>
          <w:p w:rsidR="00216BC0" w:rsidRPr="00745723" w:rsidRDefault="000750EB" w:rsidP="007F1017">
            <w:pPr>
              <w:jc w:val="center"/>
              <w:rPr>
                <w:rFonts w:ascii="Arial Narrow" w:hAnsi="Arial Narrow"/>
                <w:sz w:val="20"/>
                <w:lang w:val="en-US"/>
              </w:rPr>
            </w:pPr>
            <w:r w:rsidRPr="00745723">
              <w:rPr>
                <w:rFonts w:ascii="Arial Narrow" w:hAnsi="Arial Narrow"/>
                <w:sz w:val="20"/>
                <w:lang w:val="en-US"/>
              </w:rPr>
              <w:t>Healthy Peruvian infants</w:t>
            </w:r>
          </w:p>
        </w:tc>
        <w:tc>
          <w:tcPr>
            <w:tcW w:w="1348" w:type="pct"/>
            <w:shd w:val="clear" w:color="auto" w:fill="auto"/>
            <w:vAlign w:val="center"/>
          </w:tcPr>
          <w:p w:rsidR="00D045D2" w:rsidRPr="00745723" w:rsidRDefault="00D045D2" w:rsidP="00D045D2">
            <w:pPr>
              <w:jc w:val="center"/>
              <w:rPr>
                <w:rFonts w:ascii="Arial Narrow" w:hAnsi="Arial Narrow"/>
                <w:sz w:val="20"/>
                <w:lang w:val="en-US"/>
              </w:rPr>
            </w:pPr>
            <w:r w:rsidRPr="00745723">
              <w:rPr>
                <w:rFonts w:ascii="Arial Narrow" w:hAnsi="Arial Narrow"/>
                <w:sz w:val="20"/>
                <w:lang w:val="en-US"/>
              </w:rPr>
              <w:t xml:space="preserve">Immune response </w:t>
            </w:r>
          </w:p>
          <w:p w:rsidR="00216BC0" w:rsidRPr="00745723" w:rsidRDefault="00D045D2" w:rsidP="00D045D2">
            <w:pPr>
              <w:jc w:val="center"/>
              <w:rPr>
                <w:rFonts w:ascii="Arial Narrow" w:hAnsi="Arial Narrow"/>
                <w:sz w:val="20"/>
                <w:lang w:val="en-US"/>
              </w:rPr>
            </w:pPr>
            <w:r w:rsidRPr="00745723">
              <w:rPr>
                <w:rFonts w:ascii="Arial Narrow" w:hAnsi="Arial Narrow"/>
                <w:sz w:val="20"/>
                <w:lang w:val="en-US"/>
              </w:rPr>
              <w:t>(antibody levels)</w:t>
            </w:r>
          </w:p>
        </w:tc>
      </w:tr>
      <w:tr w:rsidR="00216BC0" w:rsidRPr="00745723" w:rsidTr="00216BC0">
        <w:tc>
          <w:tcPr>
            <w:tcW w:w="783" w:type="pct"/>
            <w:shd w:val="clear" w:color="auto" w:fill="auto"/>
            <w:vAlign w:val="center"/>
          </w:tcPr>
          <w:p w:rsidR="00216BC0" w:rsidRPr="00745723" w:rsidRDefault="00216BC0" w:rsidP="007F1017">
            <w:pPr>
              <w:jc w:val="left"/>
              <w:rPr>
                <w:rFonts w:ascii="Arial Narrow" w:hAnsi="Arial Narrow"/>
                <w:sz w:val="20"/>
                <w:lang w:val="en-US"/>
              </w:rPr>
            </w:pPr>
            <w:r w:rsidRPr="00745723">
              <w:rPr>
                <w:rFonts w:ascii="Arial Narrow" w:hAnsi="Arial Narrow"/>
                <w:sz w:val="20"/>
                <w:lang w:val="en-US"/>
              </w:rPr>
              <w:t>A3L24/A3L27</w:t>
            </w:r>
          </w:p>
        </w:tc>
        <w:tc>
          <w:tcPr>
            <w:tcW w:w="377" w:type="pct"/>
            <w:shd w:val="clear" w:color="auto" w:fill="auto"/>
            <w:vAlign w:val="center"/>
          </w:tcPr>
          <w:p w:rsidR="00216BC0" w:rsidRPr="00745723" w:rsidRDefault="00216BC0" w:rsidP="007F1017">
            <w:pPr>
              <w:jc w:val="center"/>
              <w:rPr>
                <w:rFonts w:ascii="Arial Narrow" w:hAnsi="Arial Narrow"/>
                <w:sz w:val="20"/>
                <w:lang w:val="en-US"/>
              </w:rPr>
            </w:pPr>
            <w:r w:rsidRPr="00745723">
              <w:rPr>
                <w:rFonts w:ascii="Arial Narrow" w:hAnsi="Arial Narrow"/>
                <w:sz w:val="20"/>
                <w:lang w:val="en-US"/>
              </w:rPr>
              <w:t>1,376</w:t>
            </w:r>
          </w:p>
        </w:tc>
        <w:tc>
          <w:tcPr>
            <w:tcW w:w="1049" w:type="pct"/>
            <w:shd w:val="clear" w:color="auto" w:fill="auto"/>
            <w:vAlign w:val="center"/>
          </w:tcPr>
          <w:p w:rsidR="00216BC0" w:rsidRPr="00745723" w:rsidRDefault="00216BC0" w:rsidP="00216BC0">
            <w:pPr>
              <w:jc w:val="center"/>
              <w:rPr>
                <w:rFonts w:ascii="Arial Narrow" w:hAnsi="Arial Narrow"/>
                <w:sz w:val="20"/>
                <w:lang w:val="en-US"/>
              </w:rPr>
            </w:pPr>
            <w:r w:rsidRPr="00745723">
              <w:rPr>
                <w:rFonts w:ascii="Arial Narrow" w:hAnsi="Arial Narrow"/>
                <w:sz w:val="20"/>
                <w:lang w:val="en-US"/>
              </w:rPr>
              <w:t>R, PB, PG, MC</w:t>
            </w:r>
          </w:p>
          <w:p w:rsidR="00216BC0" w:rsidRPr="00745723" w:rsidRDefault="00216BC0" w:rsidP="00216BC0">
            <w:pPr>
              <w:jc w:val="center"/>
              <w:rPr>
                <w:rFonts w:ascii="Arial Narrow" w:hAnsi="Arial Narrow"/>
                <w:sz w:val="20"/>
                <w:lang w:val="en-US"/>
              </w:rPr>
            </w:pPr>
            <w:r w:rsidRPr="00745723">
              <w:rPr>
                <w:rFonts w:ascii="Arial Narrow" w:hAnsi="Arial Narrow"/>
                <w:sz w:val="20"/>
                <w:lang w:val="en-US"/>
              </w:rPr>
              <w:t>6 mths + extension</w:t>
            </w:r>
          </w:p>
        </w:tc>
        <w:tc>
          <w:tcPr>
            <w:tcW w:w="594" w:type="pct"/>
            <w:shd w:val="clear" w:color="auto" w:fill="auto"/>
            <w:vAlign w:val="center"/>
          </w:tcPr>
          <w:p w:rsidR="00216BC0" w:rsidRPr="00745723" w:rsidRDefault="00216BC0" w:rsidP="007F1017">
            <w:pPr>
              <w:jc w:val="center"/>
              <w:rPr>
                <w:rFonts w:ascii="Arial Narrow" w:hAnsi="Arial Narrow"/>
                <w:sz w:val="20"/>
                <w:lang w:val="en-US"/>
              </w:rPr>
            </w:pPr>
            <w:r w:rsidRPr="00745723">
              <w:rPr>
                <w:rFonts w:ascii="Arial Narrow" w:hAnsi="Arial Narrow"/>
                <w:sz w:val="20"/>
                <w:lang w:val="en-US"/>
              </w:rPr>
              <w:t>Low</w:t>
            </w:r>
          </w:p>
        </w:tc>
        <w:tc>
          <w:tcPr>
            <w:tcW w:w="849" w:type="pct"/>
            <w:shd w:val="clear" w:color="auto" w:fill="auto"/>
            <w:vAlign w:val="center"/>
          </w:tcPr>
          <w:p w:rsidR="00216BC0" w:rsidRPr="00745723" w:rsidRDefault="000750EB" w:rsidP="007F1017">
            <w:pPr>
              <w:jc w:val="center"/>
              <w:rPr>
                <w:rFonts w:ascii="Arial Narrow" w:hAnsi="Arial Narrow"/>
                <w:sz w:val="20"/>
                <w:lang w:val="en-US"/>
              </w:rPr>
            </w:pPr>
            <w:r w:rsidRPr="00745723">
              <w:rPr>
                <w:rFonts w:ascii="Arial Narrow" w:hAnsi="Arial Narrow"/>
                <w:sz w:val="20"/>
                <w:lang w:val="en-US"/>
              </w:rPr>
              <w:t>Healthy Latin American infants</w:t>
            </w:r>
          </w:p>
        </w:tc>
        <w:tc>
          <w:tcPr>
            <w:tcW w:w="1348" w:type="pct"/>
            <w:shd w:val="clear" w:color="auto" w:fill="auto"/>
            <w:vAlign w:val="center"/>
          </w:tcPr>
          <w:p w:rsidR="00D045D2" w:rsidRPr="00745723" w:rsidRDefault="00D045D2" w:rsidP="00D045D2">
            <w:pPr>
              <w:jc w:val="center"/>
              <w:rPr>
                <w:rFonts w:ascii="Arial Narrow" w:hAnsi="Arial Narrow"/>
                <w:sz w:val="20"/>
                <w:lang w:val="en-US"/>
              </w:rPr>
            </w:pPr>
            <w:r w:rsidRPr="00745723">
              <w:rPr>
                <w:rFonts w:ascii="Arial Narrow" w:hAnsi="Arial Narrow"/>
                <w:sz w:val="20"/>
                <w:lang w:val="en-US"/>
              </w:rPr>
              <w:t xml:space="preserve">Immune response </w:t>
            </w:r>
          </w:p>
          <w:p w:rsidR="00216BC0" w:rsidRPr="00745723" w:rsidRDefault="00D045D2" w:rsidP="00D045D2">
            <w:pPr>
              <w:jc w:val="center"/>
              <w:rPr>
                <w:rFonts w:ascii="Arial Narrow" w:hAnsi="Arial Narrow"/>
                <w:sz w:val="20"/>
                <w:lang w:val="en-US"/>
              </w:rPr>
            </w:pPr>
            <w:r w:rsidRPr="00745723">
              <w:rPr>
                <w:rFonts w:ascii="Arial Narrow" w:hAnsi="Arial Narrow"/>
                <w:sz w:val="20"/>
                <w:lang w:val="en-US"/>
              </w:rPr>
              <w:t>(antibody levels)</w:t>
            </w:r>
          </w:p>
        </w:tc>
      </w:tr>
      <w:tr w:rsidR="00216BC0" w:rsidRPr="00745723" w:rsidTr="00216BC0">
        <w:tc>
          <w:tcPr>
            <w:tcW w:w="783" w:type="pct"/>
            <w:shd w:val="clear" w:color="auto" w:fill="auto"/>
            <w:vAlign w:val="center"/>
          </w:tcPr>
          <w:p w:rsidR="00216BC0" w:rsidRPr="00745723" w:rsidRDefault="00216BC0" w:rsidP="007F1017">
            <w:pPr>
              <w:jc w:val="left"/>
              <w:rPr>
                <w:rFonts w:ascii="Arial Narrow" w:hAnsi="Arial Narrow"/>
                <w:sz w:val="20"/>
                <w:lang w:val="en-US"/>
              </w:rPr>
            </w:pPr>
            <w:r w:rsidRPr="00745723">
              <w:rPr>
                <w:rFonts w:ascii="Arial Narrow" w:hAnsi="Arial Narrow"/>
                <w:sz w:val="20"/>
                <w:lang w:val="en-US"/>
              </w:rPr>
              <w:t>Meta-analysis</w:t>
            </w:r>
          </w:p>
          <w:p w:rsidR="00216BC0" w:rsidRPr="00745723" w:rsidRDefault="00216BC0" w:rsidP="007F1017">
            <w:pPr>
              <w:jc w:val="left"/>
              <w:rPr>
                <w:rFonts w:ascii="Arial Narrow" w:hAnsi="Arial Narrow"/>
                <w:sz w:val="20"/>
                <w:lang w:val="en-US"/>
              </w:rPr>
            </w:pPr>
            <w:r w:rsidRPr="00745723">
              <w:rPr>
                <w:rFonts w:ascii="Arial Narrow" w:hAnsi="Arial Narrow"/>
                <w:sz w:val="20"/>
                <w:lang w:val="en-US"/>
              </w:rPr>
              <w:t>(vaccine course)</w:t>
            </w:r>
          </w:p>
        </w:tc>
        <w:tc>
          <w:tcPr>
            <w:tcW w:w="377" w:type="pct"/>
            <w:shd w:val="clear" w:color="auto" w:fill="auto"/>
            <w:vAlign w:val="center"/>
          </w:tcPr>
          <w:p w:rsidR="00216BC0" w:rsidRPr="00745723" w:rsidRDefault="00216BC0" w:rsidP="007F1017">
            <w:pPr>
              <w:jc w:val="center"/>
              <w:rPr>
                <w:rFonts w:ascii="Arial Narrow" w:hAnsi="Arial Narrow"/>
                <w:sz w:val="20"/>
                <w:lang w:val="en-US"/>
              </w:rPr>
            </w:pPr>
            <w:r w:rsidRPr="00745723">
              <w:rPr>
                <w:rFonts w:ascii="Arial Narrow" w:hAnsi="Arial Narrow"/>
                <w:sz w:val="20"/>
                <w:lang w:val="en-US"/>
              </w:rPr>
              <w:t>3,240</w:t>
            </w:r>
          </w:p>
        </w:tc>
        <w:tc>
          <w:tcPr>
            <w:tcW w:w="3840" w:type="pct"/>
            <w:gridSpan w:val="4"/>
            <w:shd w:val="clear" w:color="auto" w:fill="auto"/>
            <w:vAlign w:val="center"/>
          </w:tcPr>
          <w:p w:rsidR="00216BC0" w:rsidRPr="00745723" w:rsidRDefault="00216BC0" w:rsidP="00216BC0">
            <w:pPr>
              <w:jc w:val="center"/>
              <w:rPr>
                <w:rFonts w:ascii="Arial Narrow" w:hAnsi="Arial Narrow"/>
                <w:sz w:val="20"/>
                <w:lang w:val="en-US"/>
              </w:rPr>
            </w:pPr>
            <w:r w:rsidRPr="00745723">
              <w:rPr>
                <w:rFonts w:ascii="Arial Narrow" w:hAnsi="Arial Narrow"/>
                <w:sz w:val="20"/>
                <w:lang w:val="en-US"/>
              </w:rPr>
              <w:t>A3L11, A3L12, A3L17, A3L24</w:t>
            </w:r>
          </w:p>
        </w:tc>
      </w:tr>
      <w:tr w:rsidR="00216BC0" w:rsidRPr="00745723" w:rsidTr="00216BC0">
        <w:tc>
          <w:tcPr>
            <w:tcW w:w="783" w:type="pct"/>
            <w:shd w:val="clear" w:color="auto" w:fill="auto"/>
            <w:vAlign w:val="center"/>
          </w:tcPr>
          <w:p w:rsidR="00216BC0" w:rsidRPr="00745723" w:rsidRDefault="00216BC0" w:rsidP="006756B8">
            <w:pPr>
              <w:jc w:val="left"/>
              <w:rPr>
                <w:rFonts w:ascii="Arial Narrow" w:hAnsi="Arial Narrow"/>
                <w:sz w:val="20"/>
                <w:lang w:val="en-US"/>
              </w:rPr>
            </w:pPr>
            <w:r w:rsidRPr="00745723">
              <w:rPr>
                <w:rFonts w:ascii="Arial Narrow" w:hAnsi="Arial Narrow"/>
                <w:sz w:val="20"/>
                <w:lang w:val="en-US"/>
              </w:rPr>
              <w:t>Meta-analysis</w:t>
            </w:r>
          </w:p>
          <w:p w:rsidR="00216BC0" w:rsidRPr="00745723" w:rsidRDefault="00216BC0" w:rsidP="006756B8">
            <w:pPr>
              <w:jc w:val="left"/>
              <w:rPr>
                <w:rFonts w:ascii="Arial Narrow" w:hAnsi="Arial Narrow"/>
                <w:sz w:val="20"/>
                <w:lang w:val="en-US"/>
              </w:rPr>
            </w:pPr>
            <w:r w:rsidRPr="00745723">
              <w:rPr>
                <w:rFonts w:ascii="Arial Narrow" w:hAnsi="Arial Narrow"/>
                <w:sz w:val="20"/>
                <w:lang w:val="en-US"/>
              </w:rPr>
              <w:t>(2</w:t>
            </w:r>
            <w:r w:rsidRPr="00745723">
              <w:rPr>
                <w:rFonts w:ascii="Arial Narrow" w:hAnsi="Arial Narrow"/>
                <w:sz w:val="20"/>
                <w:vertAlign w:val="superscript"/>
                <w:lang w:val="en-US"/>
              </w:rPr>
              <w:t>nd</w:t>
            </w:r>
            <w:r w:rsidRPr="00745723">
              <w:rPr>
                <w:rFonts w:ascii="Arial Narrow" w:hAnsi="Arial Narrow"/>
                <w:sz w:val="20"/>
                <w:lang w:val="en-US"/>
              </w:rPr>
              <w:t xml:space="preserve"> year of life)</w:t>
            </w:r>
          </w:p>
        </w:tc>
        <w:tc>
          <w:tcPr>
            <w:tcW w:w="377" w:type="pct"/>
            <w:shd w:val="clear" w:color="auto" w:fill="auto"/>
            <w:vAlign w:val="center"/>
          </w:tcPr>
          <w:p w:rsidR="00216BC0" w:rsidRPr="00745723" w:rsidRDefault="00216BC0" w:rsidP="007F1017">
            <w:pPr>
              <w:jc w:val="center"/>
              <w:rPr>
                <w:rFonts w:ascii="Arial Narrow" w:hAnsi="Arial Narrow"/>
                <w:sz w:val="20"/>
                <w:lang w:val="en-US"/>
              </w:rPr>
            </w:pPr>
            <w:r w:rsidRPr="00745723">
              <w:rPr>
                <w:rFonts w:ascii="Arial Narrow" w:hAnsi="Arial Narrow"/>
                <w:sz w:val="20"/>
                <w:lang w:val="en-US"/>
              </w:rPr>
              <w:t>1,987</w:t>
            </w:r>
          </w:p>
        </w:tc>
        <w:tc>
          <w:tcPr>
            <w:tcW w:w="3840" w:type="pct"/>
            <w:gridSpan w:val="4"/>
            <w:shd w:val="clear" w:color="auto" w:fill="auto"/>
            <w:vAlign w:val="center"/>
          </w:tcPr>
          <w:p w:rsidR="00216BC0" w:rsidRPr="00745723" w:rsidRDefault="00216BC0" w:rsidP="007F1017">
            <w:pPr>
              <w:jc w:val="center"/>
              <w:rPr>
                <w:rFonts w:ascii="Arial Narrow" w:hAnsi="Arial Narrow"/>
                <w:sz w:val="20"/>
                <w:lang w:val="en-US"/>
              </w:rPr>
            </w:pPr>
            <w:r w:rsidRPr="00745723">
              <w:rPr>
                <w:rFonts w:ascii="Arial Narrow" w:hAnsi="Arial Narrow"/>
                <w:sz w:val="20"/>
                <w:lang w:val="en-US"/>
              </w:rPr>
              <w:t>A3L21/A3L27</w:t>
            </w:r>
          </w:p>
        </w:tc>
      </w:tr>
    </w:tbl>
    <w:p w:rsidR="007F1017" w:rsidRPr="00745723" w:rsidRDefault="00216BC0" w:rsidP="000750EB">
      <w:pPr>
        <w:pStyle w:val="TableFooter"/>
        <w:ind w:left="720"/>
      </w:pPr>
      <w:r w:rsidRPr="00745723">
        <w:t xml:space="preserve">Abbreviations: </w:t>
      </w:r>
      <w:r w:rsidR="000750EB" w:rsidRPr="00745723">
        <w:t xml:space="preserve">MC, </w:t>
      </w:r>
      <w:r w:rsidR="007F1017" w:rsidRPr="00745723">
        <w:t>multi-centre;</w:t>
      </w:r>
      <w:r w:rsidR="000750EB" w:rsidRPr="00745723">
        <w:t xml:space="preserve"> PB, partially blinded (parent/observer); PG, parallel group; R, randomised; SC, single-centre</w:t>
      </w:r>
    </w:p>
    <w:p w:rsidR="007F1017" w:rsidRPr="00745723" w:rsidRDefault="00440594" w:rsidP="00E22A0D">
      <w:pPr>
        <w:pStyle w:val="TableFooter"/>
        <w:ind w:firstLine="720"/>
      </w:pPr>
      <w:r w:rsidRPr="00745723">
        <w:t>Source: Constructed</w:t>
      </w:r>
      <w:r w:rsidR="007F1017" w:rsidRPr="00745723">
        <w:t xml:space="preserve"> during the evaluation</w:t>
      </w:r>
    </w:p>
    <w:p w:rsidR="007F1017" w:rsidRPr="00745723" w:rsidRDefault="007F1017" w:rsidP="007F1017"/>
    <w:p w:rsidR="00547407" w:rsidRDefault="00D045D2" w:rsidP="002C2F87">
      <w:pPr>
        <w:pStyle w:val="ListParagraph"/>
        <w:widowControl/>
        <w:numPr>
          <w:ilvl w:val="1"/>
          <w:numId w:val="2"/>
        </w:numPr>
      </w:pPr>
      <w:r w:rsidRPr="00745723">
        <w:t xml:space="preserve">The trials recruited healthy infant populations from Colombia, Costa Rica, Mexico, Peru and </w:t>
      </w:r>
      <w:r w:rsidRPr="00A45959">
        <w:t xml:space="preserve">Thailand. </w:t>
      </w:r>
      <w:r w:rsidR="0006473F">
        <w:t>The Commentary noted that it was</w:t>
      </w:r>
      <w:r w:rsidR="00547407" w:rsidRPr="00A45959">
        <w:t xml:space="preserve"> unclear whether differences in vaccination schedules, ethnicity and natural exposure may affect the applicability of results to the Australian setting.</w:t>
      </w:r>
    </w:p>
    <w:p w:rsidR="00EE0E80" w:rsidRDefault="00EE0E80" w:rsidP="00EE0E80">
      <w:pPr>
        <w:pStyle w:val="PBACHeading1"/>
        <w:numPr>
          <w:ilvl w:val="0"/>
          <w:numId w:val="0"/>
        </w:numPr>
        <w:ind w:left="720" w:hanging="720"/>
      </w:pPr>
    </w:p>
    <w:p w:rsidR="00EE0E80" w:rsidRDefault="00EE0E80" w:rsidP="00EE0E80">
      <w:pPr>
        <w:pStyle w:val="ListParagraph"/>
        <w:widowControl/>
      </w:pPr>
      <w:r w:rsidRPr="00EE0E80">
        <w:t>For more detail on PBAC’s view, see section 7 “PBAC outcome</w:t>
      </w:r>
    </w:p>
    <w:p w:rsidR="00EE0E80" w:rsidRPr="00745723" w:rsidRDefault="00EE0E80" w:rsidP="00EE0E80">
      <w:pPr>
        <w:pStyle w:val="PBACHeading1"/>
        <w:numPr>
          <w:ilvl w:val="0"/>
          <w:numId w:val="0"/>
        </w:numPr>
        <w:ind w:left="720" w:hanging="720"/>
      </w:pPr>
    </w:p>
    <w:p w:rsidR="00B60939" w:rsidRPr="00882085" w:rsidRDefault="00B60939" w:rsidP="00B60939">
      <w:pPr>
        <w:rPr>
          <w:szCs w:val="22"/>
        </w:rPr>
      </w:pPr>
    </w:p>
    <w:p w:rsidR="00B60939" w:rsidRPr="002C2775" w:rsidRDefault="00B60939" w:rsidP="002C2775">
      <w:pPr>
        <w:pStyle w:val="Heading2"/>
        <w:rPr>
          <w:i/>
        </w:rPr>
      </w:pPr>
      <w:bookmarkStart w:id="8" w:name="_Toc409081609"/>
      <w:r w:rsidRPr="002C2775">
        <w:rPr>
          <w:i/>
        </w:rPr>
        <w:t>Comparative effectiveness</w:t>
      </w:r>
      <w:bookmarkEnd w:id="8"/>
    </w:p>
    <w:p w:rsidR="00B60939" w:rsidRPr="00882085" w:rsidRDefault="00B60939" w:rsidP="00B60939">
      <w:pPr>
        <w:rPr>
          <w:szCs w:val="22"/>
        </w:rPr>
      </w:pPr>
    </w:p>
    <w:p w:rsidR="002C2775" w:rsidRPr="00E16B97" w:rsidRDefault="00E16B97" w:rsidP="002C2F87">
      <w:pPr>
        <w:pStyle w:val="ListParagraph"/>
        <w:widowControl/>
        <w:numPr>
          <w:ilvl w:val="1"/>
          <w:numId w:val="2"/>
        </w:numPr>
        <w:rPr>
          <w:szCs w:val="22"/>
        </w:rPr>
      </w:pPr>
      <w:r w:rsidRPr="00E16B97">
        <w:rPr>
          <w:szCs w:val="22"/>
        </w:rPr>
        <w:t>The</w:t>
      </w:r>
      <w:r w:rsidR="0010189D">
        <w:rPr>
          <w:szCs w:val="22"/>
        </w:rPr>
        <w:t xml:space="preserve"> main outcome of</w:t>
      </w:r>
      <w:r w:rsidR="00A1432D">
        <w:rPr>
          <w:szCs w:val="22"/>
        </w:rPr>
        <w:t xml:space="preserve"> the submission was</w:t>
      </w:r>
      <w:r>
        <w:rPr>
          <w:szCs w:val="22"/>
        </w:rPr>
        <w:t xml:space="preserve"> the</w:t>
      </w:r>
      <w:r w:rsidRPr="00E16B97">
        <w:rPr>
          <w:szCs w:val="22"/>
        </w:rPr>
        <w:t xml:space="preserve"> proportion of patients achieving target seroprotection/ser</w:t>
      </w:r>
      <w:r w:rsidR="00DF0BF6">
        <w:rPr>
          <w:szCs w:val="22"/>
        </w:rPr>
        <w:t>o</w:t>
      </w:r>
      <w:r w:rsidRPr="00E16B97">
        <w:rPr>
          <w:szCs w:val="22"/>
        </w:rPr>
        <w:t>conversion antibody levels.</w:t>
      </w:r>
    </w:p>
    <w:p w:rsidR="00E16B97" w:rsidRDefault="00E16B97" w:rsidP="00E16B97">
      <w:pPr>
        <w:pStyle w:val="ListParagraph"/>
        <w:widowControl/>
        <w:rPr>
          <w:color w:val="3366FF"/>
          <w:szCs w:val="22"/>
        </w:rPr>
      </w:pPr>
    </w:p>
    <w:p w:rsidR="00E16B97" w:rsidRPr="00745723" w:rsidRDefault="00A1432D" w:rsidP="002C2F87">
      <w:pPr>
        <w:pStyle w:val="ListParagraph"/>
        <w:widowControl/>
        <w:numPr>
          <w:ilvl w:val="1"/>
          <w:numId w:val="2"/>
        </w:numPr>
      </w:pPr>
      <w:r w:rsidRPr="0091148B">
        <w:rPr>
          <w:szCs w:val="22"/>
        </w:rPr>
        <w:t>The</w:t>
      </w:r>
      <w:r w:rsidRPr="00745723">
        <w:t xml:space="preserve"> submission presented</w:t>
      </w:r>
      <w:r w:rsidR="003579A7" w:rsidRPr="00745723">
        <w:t xml:space="preserve"> intention-to-treat meta-analyses based on patients receiving at least one vaccine dose. However during the evaluation, </w:t>
      </w:r>
      <w:r w:rsidR="003579A7" w:rsidRPr="00745723">
        <w:rPr>
          <w:szCs w:val="22"/>
        </w:rPr>
        <w:t>t</w:t>
      </w:r>
      <w:r w:rsidR="00E16B97" w:rsidRPr="00745723">
        <w:rPr>
          <w:szCs w:val="22"/>
        </w:rPr>
        <w:t>he per-protocol results (based on patients receiving</w:t>
      </w:r>
      <w:r w:rsidR="003579A7" w:rsidRPr="00745723">
        <w:rPr>
          <w:szCs w:val="22"/>
        </w:rPr>
        <w:t xml:space="preserve"> a</w:t>
      </w:r>
      <w:r w:rsidR="00E16B97" w:rsidRPr="00745723">
        <w:rPr>
          <w:szCs w:val="22"/>
        </w:rPr>
        <w:t xml:space="preserve"> full vaccine course) from each trial were extracted and meta-analysed as these were the nominated main analyses in each of the trial reports. </w:t>
      </w:r>
    </w:p>
    <w:p w:rsidR="00E16B97" w:rsidRPr="00745723" w:rsidRDefault="00E16B97" w:rsidP="007F1017">
      <w:pPr>
        <w:widowControl/>
        <w:rPr>
          <w:szCs w:val="22"/>
        </w:rPr>
      </w:pPr>
    </w:p>
    <w:p w:rsidR="00F16E86" w:rsidRDefault="00F16E86">
      <w:pPr>
        <w:widowControl/>
        <w:jc w:val="left"/>
        <w:rPr>
          <w:rStyle w:val="CommentReference"/>
        </w:rPr>
      </w:pPr>
      <w:r>
        <w:rPr>
          <w:rStyle w:val="CommentReference"/>
        </w:rPr>
        <w:br w:type="page"/>
      </w:r>
    </w:p>
    <w:p w:rsidR="007F1017" w:rsidRPr="00745723" w:rsidRDefault="00440594" w:rsidP="00F53983">
      <w:pPr>
        <w:ind w:firstLine="720"/>
        <w:rPr>
          <w:rStyle w:val="CommentReference"/>
        </w:rPr>
      </w:pPr>
      <w:r w:rsidRPr="00745723">
        <w:rPr>
          <w:rStyle w:val="CommentReference"/>
        </w:rPr>
        <w:lastRenderedPageBreak/>
        <w:t>Meta-analysis of seroprotection and seroconversion rates</w:t>
      </w:r>
      <w:r w:rsidR="007F1017" w:rsidRPr="00745723">
        <w:rPr>
          <w:rStyle w:val="CommentReference"/>
        </w:rPr>
        <w:t xml:space="preserve"> </w:t>
      </w:r>
      <w:r w:rsidRPr="00745723">
        <w:rPr>
          <w:rStyle w:val="CommentReference"/>
        </w:rPr>
        <w:t>(Per-protocol population)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Meta-analysis of seroprotection and seroconversion rates (Per-protocol population)"/>
        <w:tblDescription w:val="This table presents the results of a meta-analysis constructed during evaluation of this submission"/>
      </w:tblPr>
      <w:tblGrid>
        <w:gridCol w:w="2696"/>
        <w:gridCol w:w="1370"/>
        <w:gridCol w:w="1370"/>
        <w:gridCol w:w="1372"/>
        <w:gridCol w:w="1537"/>
      </w:tblGrid>
      <w:tr w:rsidR="00440594" w:rsidRPr="00745723" w:rsidTr="00842678">
        <w:trPr>
          <w:tblHeader/>
        </w:trPr>
        <w:tc>
          <w:tcPr>
            <w:tcW w:w="1615" w:type="pct"/>
            <w:shd w:val="clear" w:color="auto" w:fill="auto"/>
            <w:vAlign w:val="center"/>
          </w:tcPr>
          <w:p w:rsidR="00440594" w:rsidRPr="00745723" w:rsidRDefault="00FE7556" w:rsidP="00F53983">
            <w:pPr>
              <w:jc w:val="center"/>
              <w:rPr>
                <w:rFonts w:ascii="Arial Narrow" w:hAnsi="Arial Narrow"/>
                <w:b/>
                <w:sz w:val="20"/>
                <w:lang w:val="en-US"/>
              </w:rPr>
            </w:pPr>
            <w:r w:rsidRPr="00745723">
              <w:rPr>
                <w:rFonts w:ascii="Arial Narrow" w:hAnsi="Arial Narrow"/>
                <w:b/>
                <w:sz w:val="20"/>
                <w:lang w:val="en-US"/>
              </w:rPr>
              <w:t>Outcome</w:t>
            </w:r>
          </w:p>
        </w:tc>
        <w:tc>
          <w:tcPr>
            <w:tcW w:w="821" w:type="pct"/>
            <w:shd w:val="clear" w:color="auto" w:fill="auto"/>
            <w:vAlign w:val="center"/>
          </w:tcPr>
          <w:p w:rsidR="00440594" w:rsidRPr="00745723" w:rsidRDefault="00440594" w:rsidP="00F53983">
            <w:pPr>
              <w:jc w:val="center"/>
              <w:rPr>
                <w:rFonts w:ascii="Arial Narrow" w:hAnsi="Arial Narrow"/>
                <w:b/>
                <w:sz w:val="20"/>
                <w:lang w:val="en-US"/>
              </w:rPr>
            </w:pPr>
            <w:r w:rsidRPr="00745723">
              <w:rPr>
                <w:rFonts w:ascii="Arial Narrow" w:hAnsi="Arial Narrow"/>
                <w:b/>
                <w:sz w:val="20"/>
                <w:lang w:val="en-US"/>
              </w:rPr>
              <w:t>Hexaxim</w:t>
            </w:r>
          </w:p>
        </w:tc>
        <w:tc>
          <w:tcPr>
            <w:tcW w:w="821" w:type="pct"/>
            <w:tcBorders>
              <w:right w:val="double" w:sz="4" w:space="0" w:color="auto"/>
            </w:tcBorders>
            <w:shd w:val="clear" w:color="auto" w:fill="auto"/>
            <w:vAlign w:val="center"/>
          </w:tcPr>
          <w:p w:rsidR="00440594" w:rsidRPr="00745723" w:rsidRDefault="00440594" w:rsidP="00F53983">
            <w:pPr>
              <w:jc w:val="center"/>
              <w:rPr>
                <w:rFonts w:ascii="Arial Narrow" w:hAnsi="Arial Narrow"/>
                <w:b/>
                <w:sz w:val="20"/>
                <w:lang w:val="en-US"/>
              </w:rPr>
            </w:pPr>
            <w:r w:rsidRPr="00745723">
              <w:rPr>
                <w:rFonts w:ascii="Arial Narrow" w:hAnsi="Arial Narrow"/>
                <w:b/>
                <w:sz w:val="20"/>
                <w:lang w:val="en-US"/>
              </w:rPr>
              <w:t>Infanrix Hexa</w:t>
            </w:r>
          </w:p>
        </w:tc>
        <w:tc>
          <w:tcPr>
            <w:tcW w:w="822" w:type="pct"/>
            <w:tcBorders>
              <w:left w:val="double" w:sz="4" w:space="0" w:color="auto"/>
            </w:tcBorders>
            <w:shd w:val="clear" w:color="auto" w:fill="auto"/>
            <w:vAlign w:val="center"/>
          </w:tcPr>
          <w:p w:rsidR="00440594" w:rsidRPr="00745723" w:rsidRDefault="00440594" w:rsidP="00F53983">
            <w:pPr>
              <w:jc w:val="center"/>
              <w:rPr>
                <w:rFonts w:ascii="Arial Narrow" w:hAnsi="Arial Narrow"/>
                <w:b/>
                <w:sz w:val="20"/>
                <w:lang w:val="en-US"/>
              </w:rPr>
            </w:pPr>
            <w:r w:rsidRPr="00745723">
              <w:rPr>
                <w:rFonts w:ascii="Arial Narrow" w:hAnsi="Arial Narrow"/>
                <w:b/>
                <w:sz w:val="20"/>
                <w:lang w:val="en-US"/>
              </w:rPr>
              <w:t>RR (95% CI)</w:t>
            </w:r>
          </w:p>
        </w:tc>
        <w:tc>
          <w:tcPr>
            <w:tcW w:w="921" w:type="pct"/>
            <w:shd w:val="clear" w:color="auto" w:fill="auto"/>
            <w:vAlign w:val="center"/>
          </w:tcPr>
          <w:p w:rsidR="00440594" w:rsidRPr="00745723" w:rsidRDefault="00440594" w:rsidP="00F53983">
            <w:pPr>
              <w:jc w:val="center"/>
              <w:rPr>
                <w:rFonts w:ascii="Arial Narrow" w:hAnsi="Arial Narrow"/>
                <w:b/>
                <w:sz w:val="20"/>
                <w:lang w:val="en-US"/>
              </w:rPr>
            </w:pPr>
            <w:r w:rsidRPr="00745723">
              <w:rPr>
                <w:rFonts w:ascii="Arial Narrow" w:hAnsi="Arial Narrow"/>
                <w:b/>
                <w:sz w:val="20"/>
                <w:lang w:val="en-US"/>
              </w:rPr>
              <w:t>RD (95% CI)</w:t>
            </w:r>
          </w:p>
        </w:tc>
      </w:tr>
      <w:tr w:rsidR="00FE7556" w:rsidRPr="00745723" w:rsidTr="00B97BCA">
        <w:tc>
          <w:tcPr>
            <w:tcW w:w="1615" w:type="pct"/>
            <w:shd w:val="clear" w:color="auto" w:fill="auto"/>
            <w:vAlign w:val="center"/>
          </w:tcPr>
          <w:p w:rsidR="00FE7556" w:rsidRPr="00745723" w:rsidRDefault="00FE7556" w:rsidP="00F53983">
            <w:pPr>
              <w:jc w:val="left"/>
              <w:rPr>
                <w:rFonts w:ascii="Arial Narrow" w:hAnsi="Arial Narrow"/>
                <w:sz w:val="20"/>
                <w:lang w:val="en-US"/>
              </w:rPr>
            </w:pPr>
            <w:r w:rsidRPr="00745723">
              <w:rPr>
                <w:rFonts w:ascii="Arial Narrow" w:hAnsi="Arial Narrow"/>
                <w:sz w:val="20"/>
                <w:lang w:val="en-US"/>
              </w:rPr>
              <w:t>Patients with Anti-D ≥ 0.01 IU/mL at end of primary course</w:t>
            </w:r>
          </w:p>
        </w:tc>
        <w:tc>
          <w:tcPr>
            <w:tcW w:w="821" w:type="pct"/>
            <w:shd w:val="clear" w:color="auto" w:fill="auto"/>
            <w:vAlign w:val="center"/>
          </w:tcPr>
          <w:p w:rsidR="00FE7556" w:rsidRPr="00745723" w:rsidRDefault="00FE7556" w:rsidP="00F53983">
            <w:pPr>
              <w:jc w:val="center"/>
              <w:rPr>
                <w:rFonts w:ascii="Arial Narrow" w:hAnsi="Arial Narrow"/>
                <w:sz w:val="20"/>
                <w:lang w:val="en-US"/>
              </w:rPr>
            </w:pPr>
            <w:r w:rsidRPr="00745723">
              <w:rPr>
                <w:rFonts w:ascii="Arial Narrow" w:hAnsi="Arial Narrow"/>
                <w:sz w:val="20"/>
                <w:lang w:val="en-US"/>
              </w:rPr>
              <w:t xml:space="preserve">1912/1948 </w:t>
            </w:r>
          </w:p>
          <w:p w:rsidR="00FE7556" w:rsidRPr="00745723" w:rsidRDefault="00FE7556" w:rsidP="00F53983">
            <w:pPr>
              <w:jc w:val="center"/>
              <w:rPr>
                <w:rFonts w:ascii="Arial Narrow" w:hAnsi="Arial Narrow"/>
                <w:sz w:val="20"/>
                <w:lang w:val="en-US"/>
              </w:rPr>
            </w:pPr>
            <w:r w:rsidRPr="00745723">
              <w:rPr>
                <w:rFonts w:ascii="Arial Narrow" w:hAnsi="Arial Narrow"/>
                <w:sz w:val="20"/>
                <w:lang w:val="en-US"/>
              </w:rPr>
              <w:t>(98%)</w:t>
            </w:r>
          </w:p>
        </w:tc>
        <w:tc>
          <w:tcPr>
            <w:tcW w:w="821" w:type="pct"/>
            <w:tcBorders>
              <w:right w:val="double" w:sz="4" w:space="0" w:color="auto"/>
            </w:tcBorders>
            <w:shd w:val="clear" w:color="auto" w:fill="auto"/>
            <w:vAlign w:val="center"/>
          </w:tcPr>
          <w:p w:rsidR="00FE7556" w:rsidRPr="00745723" w:rsidRDefault="00FE7556" w:rsidP="00F53983">
            <w:pPr>
              <w:jc w:val="center"/>
              <w:rPr>
                <w:rFonts w:ascii="Arial Narrow" w:hAnsi="Arial Narrow"/>
                <w:sz w:val="20"/>
                <w:lang w:val="en-US"/>
              </w:rPr>
            </w:pPr>
            <w:r w:rsidRPr="00745723">
              <w:rPr>
                <w:rFonts w:ascii="Arial Narrow" w:hAnsi="Arial Narrow"/>
                <w:sz w:val="20"/>
                <w:lang w:val="en-US"/>
              </w:rPr>
              <w:t xml:space="preserve">753/754 </w:t>
            </w:r>
          </w:p>
          <w:p w:rsidR="00FE7556" w:rsidRPr="00745723" w:rsidRDefault="00FE7556" w:rsidP="00F53983">
            <w:pPr>
              <w:jc w:val="center"/>
              <w:rPr>
                <w:rFonts w:ascii="Arial Narrow" w:hAnsi="Arial Narrow"/>
                <w:sz w:val="20"/>
                <w:lang w:val="en-US"/>
              </w:rPr>
            </w:pPr>
            <w:r w:rsidRPr="00745723">
              <w:rPr>
                <w:rFonts w:ascii="Arial Narrow" w:hAnsi="Arial Narrow"/>
                <w:sz w:val="20"/>
                <w:lang w:val="en-US"/>
              </w:rPr>
              <w:t>(100%)</w:t>
            </w:r>
          </w:p>
        </w:tc>
        <w:tc>
          <w:tcPr>
            <w:tcW w:w="822" w:type="pct"/>
            <w:tcBorders>
              <w:left w:val="double" w:sz="4" w:space="0" w:color="auto"/>
            </w:tcBorders>
            <w:shd w:val="clear" w:color="auto" w:fill="auto"/>
            <w:vAlign w:val="center"/>
          </w:tcPr>
          <w:p w:rsidR="00FE7556" w:rsidRPr="00745723" w:rsidRDefault="00FE7556" w:rsidP="00F53983">
            <w:pPr>
              <w:jc w:val="center"/>
              <w:rPr>
                <w:rFonts w:ascii="Arial Narrow" w:hAnsi="Arial Narrow"/>
                <w:sz w:val="20"/>
              </w:rPr>
            </w:pPr>
            <w:r w:rsidRPr="00745723">
              <w:rPr>
                <w:rFonts w:ascii="Arial Narrow" w:hAnsi="Arial Narrow"/>
                <w:sz w:val="20"/>
              </w:rPr>
              <w:t>0.98 (0.94, 1.02)</w:t>
            </w:r>
          </w:p>
          <w:p w:rsidR="00FE7556" w:rsidRPr="00745723" w:rsidRDefault="00FE7556" w:rsidP="00F53983">
            <w:pPr>
              <w:jc w:val="center"/>
              <w:rPr>
                <w:rFonts w:ascii="Arial Narrow" w:hAnsi="Arial Narrow"/>
                <w:sz w:val="20"/>
                <w:lang w:val="en-US"/>
              </w:rPr>
            </w:pPr>
            <w:r w:rsidRPr="00745723">
              <w:rPr>
                <w:rFonts w:ascii="Arial Narrow" w:hAnsi="Arial Narrow"/>
                <w:sz w:val="20"/>
              </w:rPr>
              <w:t>I</w:t>
            </w:r>
            <w:r w:rsidRPr="00745723">
              <w:rPr>
                <w:rFonts w:ascii="Arial Narrow" w:hAnsi="Arial Narrow"/>
                <w:sz w:val="20"/>
                <w:vertAlign w:val="superscript"/>
              </w:rPr>
              <w:t>2</w:t>
            </w:r>
            <w:r w:rsidRPr="00745723">
              <w:rPr>
                <w:rFonts w:ascii="Arial Narrow" w:hAnsi="Arial Narrow"/>
                <w:sz w:val="20"/>
              </w:rPr>
              <w:t xml:space="preserve"> = 94%</w:t>
            </w:r>
          </w:p>
        </w:tc>
        <w:tc>
          <w:tcPr>
            <w:tcW w:w="921" w:type="pct"/>
            <w:shd w:val="clear" w:color="auto" w:fill="auto"/>
            <w:vAlign w:val="center"/>
          </w:tcPr>
          <w:p w:rsidR="00FE7556" w:rsidRPr="00745723" w:rsidRDefault="00FE7556" w:rsidP="00F53983">
            <w:pPr>
              <w:jc w:val="center"/>
              <w:rPr>
                <w:rFonts w:ascii="Arial Narrow" w:hAnsi="Arial Narrow"/>
                <w:sz w:val="20"/>
              </w:rPr>
            </w:pPr>
            <w:r w:rsidRPr="00745723">
              <w:rPr>
                <w:rFonts w:ascii="Arial Narrow" w:hAnsi="Arial Narrow"/>
                <w:sz w:val="20"/>
              </w:rPr>
              <w:t>-0.02 (-0.06, 0.02)</w:t>
            </w:r>
          </w:p>
          <w:p w:rsidR="00FE7556" w:rsidRPr="00745723" w:rsidRDefault="00FE7556" w:rsidP="00F53983">
            <w:pPr>
              <w:jc w:val="center"/>
              <w:rPr>
                <w:rFonts w:ascii="Arial Narrow" w:hAnsi="Arial Narrow"/>
                <w:sz w:val="20"/>
                <w:lang w:val="en-US"/>
              </w:rPr>
            </w:pPr>
            <w:r w:rsidRPr="00745723">
              <w:rPr>
                <w:rFonts w:ascii="Arial Narrow" w:hAnsi="Arial Narrow"/>
                <w:sz w:val="20"/>
              </w:rPr>
              <w:t>I</w:t>
            </w:r>
            <w:r w:rsidRPr="00745723">
              <w:rPr>
                <w:rFonts w:ascii="Arial Narrow" w:hAnsi="Arial Narrow"/>
                <w:sz w:val="20"/>
                <w:vertAlign w:val="superscript"/>
              </w:rPr>
              <w:t>2</w:t>
            </w:r>
            <w:r w:rsidRPr="00745723">
              <w:rPr>
                <w:rFonts w:ascii="Arial Narrow" w:hAnsi="Arial Narrow"/>
                <w:sz w:val="20"/>
              </w:rPr>
              <w:t xml:space="preserve"> = 94%</w:t>
            </w:r>
          </w:p>
        </w:tc>
      </w:tr>
      <w:tr w:rsidR="00584952" w:rsidRPr="00745723" w:rsidTr="00B97BCA">
        <w:tc>
          <w:tcPr>
            <w:tcW w:w="1615" w:type="pct"/>
            <w:shd w:val="clear" w:color="auto" w:fill="auto"/>
            <w:vAlign w:val="center"/>
          </w:tcPr>
          <w:p w:rsidR="00584952" w:rsidRPr="00745723" w:rsidRDefault="00584952" w:rsidP="00F53983">
            <w:pPr>
              <w:jc w:val="left"/>
              <w:rPr>
                <w:rFonts w:ascii="Arial Narrow" w:hAnsi="Arial Narrow"/>
                <w:sz w:val="20"/>
                <w:lang w:val="en-US"/>
              </w:rPr>
            </w:pPr>
            <w:r w:rsidRPr="00745723">
              <w:rPr>
                <w:rFonts w:ascii="Arial Narrow" w:hAnsi="Arial Narrow"/>
                <w:sz w:val="20"/>
                <w:lang w:val="en-US"/>
              </w:rPr>
              <w:t>Patients with Anti-D ≥ 0.01 IU/mL in 2nd year of life</w:t>
            </w:r>
          </w:p>
        </w:tc>
        <w:tc>
          <w:tcPr>
            <w:tcW w:w="821" w:type="pct"/>
            <w:shd w:val="clear" w:color="auto" w:fill="auto"/>
            <w:vAlign w:val="center"/>
          </w:tcPr>
          <w:p w:rsidR="00584952" w:rsidRPr="00745723" w:rsidRDefault="00584952" w:rsidP="00F53983">
            <w:pPr>
              <w:jc w:val="center"/>
              <w:rPr>
                <w:rFonts w:ascii="Arial Narrow" w:hAnsi="Arial Narrow"/>
                <w:sz w:val="20"/>
                <w:lang w:val="en-US"/>
              </w:rPr>
            </w:pPr>
            <w:r w:rsidRPr="00745723">
              <w:rPr>
                <w:rFonts w:ascii="Arial Narrow" w:hAnsi="Arial Narrow"/>
                <w:sz w:val="20"/>
                <w:lang w:val="en-US"/>
              </w:rPr>
              <w:t xml:space="preserve">921/955 </w:t>
            </w:r>
          </w:p>
          <w:p w:rsidR="00584952" w:rsidRPr="00745723" w:rsidRDefault="00584952" w:rsidP="00F53983">
            <w:pPr>
              <w:jc w:val="center"/>
              <w:rPr>
                <w:rFonts w:ascii="Arial Narrow" w:hAnsi="Arial Narrow"/>
                <w:sz w:val="20"/>
                <w:lang w:val="en-US"/>
              </w:rPr>
            </w:pPr>
            <w:r w:rsidRPr="00745723">
              <w:rPr>
                <w:rFonts w:ascii="Arial Narrow" w:hAnsi="Arial Narrow"/>
                <w:sz w:val="20"/>
                <w:lang w:val="en-US"/>
              </w:rPr>
              <w:t>(96%)</w:t>
            </w:r>
          </w:p>
        </w:tc>
        <w:tc>
          <w:tcPr>
            <w:tcW w:w="821" w:type="pct"/>
            <w:tcBorders>
              <w:right w:val="double" w:sz="4" w:space="0" w:color="auto"/>
            </w:tcBorders>
            <w:shd w:val="clear" w:color="auto" w:fill="auto"/>
            <w:vAlign w:val="center"/>
          </w:tcPr>
          <w:p w:rsidR="00584952" w:rsidRPr="00745723" w:rsidRDefault="00584952" w:rsidP="00F53983">
            <w:pPr>
              <w:jc w:val="center"/>
              <w:rPr>
                <w:rFonts w:ascii="Arial Narrow" w:hAnsi="Arial Narrow"/>
                <w:sz w:val="20"/>
                <w:lang w:val="en-US"/>
              </w:rPr>
            </w:pPr>
            <w:r w:rsidRPr="00745723">
              <w:rPr>
                <w:rFonts w:ascii="Arial Narrow" w:hAnsi="Arial Narrow"/>
                <w:sz w:val="20"/>
                <w:lang w:val="en-US"/>
              </w:rPr>
              <w:t xml:space="preserve">308/321 </w:t>
            </w:r>
          </w:p>
          <w:p w:rsidR="00584952" w:rsidRPr="00745723" w:rsidRDefault="00584952" w:rsidP="00F53983">
            <w:pPr>
              <w:jc w:val="center"/>
              <w:rPr>
                <w:rFonts w:ascii="Arial Narrow" w:hAnsi="Arial Narrow"/>
                <w:sz w:val="20"/>
                <w:lang w:val="en-US"/>
              </w:rPr>
            </w:pPr>
            <w:r w:rsidRPr="00745723">
              <w:rPr>
                <w:rFonts w:ascii="Arial Narrow" w:hAnsi="Arial Narrow"/>
                <w:sz w:val="20"/>
                <w:lang w:val="en-US"/>
              </w:rPr>
              <w:t>(96%)</w:t>
            </w:r>
          </w:p>
        </w:tc>
        <w:tc>
          <w:tcPr>
            <w:tcW w:w="822" w:type="pct"/>
            <w:tcBorders>
              <w:left w:val="double" w:sz="4" w:space="0" w:color="auto"/>
            </w:tcBorders>
            <w:shd w:val="clear" w:color="auto" w:fill="auto"/>
            <w:vAlign w:val="center"/>
          </w:tcPr>
          <w:p w:rsidR="00584952" w:rsidRPr="00745723" w:rsidRDefault="00584952" w:rsidP="00F53983">
            <w:pPr>
              <w:jc w:val="center"/>
              <w:rPr>
                <w:rFonts w:ascii="Arial Narrow" w:hAnsi="Arial Narrow"/>
                <w:sz w:val="20"/>
              </w:rPr>
            </w:pPr>
            <w:r w:rsidRPr="00745723">
              <w:rPr>
                <w:rFonts w:ascii="Arial Narrow" w:hAnsi="Arial Narrow"/>
                <w:sz w:val="20"/>
              </w:rPr>
              <w:t>0.99 (0.92, 1.06)</w:t>
            </w:r>
          </w:p>
          <w:p w:rsidR="00584952" w:rsidRPr="00745723" w:rsidRDefault="00584952" w:rsidP="00F53983">
            <w:pPr>
              <w:jc w:val="center"/>
              <w:rPr>
                <w:rFonts w:ascii="Arial Narrow" w:hAnsi="Arial Narrow"/>
                <w:sz w:val="20"/>
                <w:lang w:val="en-US"/>
              </w:rPr>
            </w:pPr>
            <w:r w:rsidRPr="00745723">
              <w:rPr>
                <w:rFonts w:ascii="Arial Narrow" w:hAnsi="Arial Narrow"/>
                <w:sz w:val="20"/>
              </w:rPr>
              <w:t>I</w:t>
            </w:r>
            <w:r w:rsidRPr="00745723">
              <w:rPr>
                <w:rFonts w:ascii="Arial Narrow" w:hAnsi="Arial Narrow"/>
                <w:sz w:val="20"/>
                <w:vertAlign w:val="superscript"/>
              </w:rPr>
              <w:t>2</w:t>
            </w:r>
            <w:r w:rsidRPr="00745723">
              <w:rPr>
                <w:rFonts w:ascii="Arial Narrow" w:hAnsi="Arial Narrow"/>
                <w:sz w:val="20"/>
              </w:rPr>
              <w:t xml:space="preserve"> = 75%</w:t>
            </w:r>
          </w:p>
        </w:tc>
        <w:tc>
          <w:tcPr>
            <w:tcW w:w="921" w:type="pct"/>
            <w:shd w:val="clear" w:color="auto" w:fill="auto"/>
            <w:vAlign w:val="center"/>
          </w:tcPr>
          <w:p w:rsidR="00584952" w:rsidRPr="00745723" w:rsidRDefault="00584952" w:rsidP="00F53983">
            <w:pPr>
              <w:jc w:val="center"/>
              <w:rPr>
                <w:rFonts w:ascii="Arial Narrow" w:hAnsi="Arial Narrow"/>
                <w:sz w:val="20"/>
              </w:rPr>
            </w:pPr>
            <w:r w:rsidRPr="00745723">
              <w:rPr>
                <w:rFonts w:ascii="Arial Narrow" w:hAnsi="Arial Narrow"/>
                <w:sz w:val="20"/>
              </w:rPr>
              <w:t>-0.01 (-0.07, 0.05)</w:t>
            </w:r>
          </w:p>
          <w:p w:rsidR="00584952" w:rsidRPr="00745723" w:rsidRDefault="00584952" w:rsidP="00F53983">
            <w:pPr>
              <w:jc w:val="center"/>
              <w:rPr>
                <w:rFonts w:ascii="Arial Narrow" w:hAnsi="Arial Narrow"/>
                <w:sz w:val="20"/>
                <w:lang w:val="en-US"/>
              </w:rPr>
            </w:pPr>
            <w:r w:rsidRPr="00745723">
              <w:rPr>
                <w:rFonts w:ascii="Arial Narrow" w:hAnsi="Arial Narrow"/>
                <w:sz w:val="20"/>
              </w:rPr>
              <w:t>I</w:t>
            </w:r>
            <w:r w:rsidRPr="00745723">
              <w:rPr>
                <w:rFonts w:ascii="Arial Narrow" w:hAnsi="Arial Narrow"/>
                <w:sz w:val="20"/>
                <w:vertAlign w:val="superscript"/>
              </w:rPr>
              <w:t>2</w:t>
            </w:r>
            <w:r w:rsidRPr="00745723">
              <w:rPr>
                <w:rFonts w:ascii="Arial Narrow" w:hAnsi="Arial Narrow"/>
                <w:sz w:val="20"/>
              </w:rPr>
              <w:t xml:space="preserve"> = 75%</w:t>
            </w:r>
          </w:p>
        </w:tc>
      </w:tr>
      <w:tr w:rsidR="0090598E" w:rsidRPr="00745723" w:rsidTr="00B97BCA">
        <w:tc>
          <w:tcPr>
            <w:tcW w:w="1615" w:type="pct"/>
            <w:shd w:val="clear" w:color="auto" w:fill="auto"/>
            <w:vAlign w:val="center"/>
          </w:tcPr>
          <w:p w:rsidR="0090598E" w:rsidRPr="00745723" w:rsidRDefault="0090598E" w:rsidP="00F53983">
            <w:pPr>
              <w:jc w:val="left"/>
              <w:rPr>
                <w:rFonts w:ascii="Arial Narrow" w:hAnsi="Arial Narrow"/>
                <w:sz w:val="20"/>
                <w:lang w:val="en-US"/>
              </w:rPr>
            </w:pPr>
            <w:r w:rsidRPr="00745723">
              <w:rPr>
                <w:rFonts w:ascii="Arial Narrow" w:hAnsi="Arial Narrow"/>
                <w:sz w:val="20"/>
                <w:lang w:val="en-US"/>
              </w:rPr>
              <w:t>Patients with Anti-T ≥ 0.01 IU/mL at end of primary course</w:t>
            </w:r>
          </w:p>
        </w:tc>
        <w:tc>
          <w:tcPr>
            <w:tcW w:w="821" w:type="pct"/>
            <w:shd w:val="clear" w:color="auto" w:fill="auto"/>
            <w:vAlign w:val="center"/>
          </w:tcPr>
          <w:p w:rsidR="0090598E" w:rsidRPr="00745723" w:rsidRDefault="0090598E" w:rsidP="00F53983">
            <w:pPr>
              <w:jc w:val="center"/>
              <w:rPr>
                <w:rFonts w:ascii="Arial Narrow" w:hAnsi="Arial Narrow"/>
                <w:sz w:val="20"/>
                <w:lang w:val="en-US"/>
              </w:rPr>
            </w:pPr>
            <w:r w:rsidRPr="00745723">
              <w:rPr>
                <w:rFonts w:ascii="Arial Narrow" w:hAnsi="Arial Narrow"/>
                <w:sz w:val="20"/>
                <w:lang w:val="en-US"/>
              </w:rPr>
              <w:t xml:space="preserve">1815/1815 </w:t>
            </w:r>
          </w:p>
          <w:p w:rsidR="0090598E" w:rsidRPr="00745723" w:rsidRDefault="0090598E" w:rsidP="00F53983">
            <w:pPr>
              <w:jc w:val="center"/>
              <w:rPr>
                <w:rFonts w:ascii="Arial Narrow" w:hAnsi="Arial Narrow"/>
                <w:sz w:val="20"/>
                <w:lang w:val="en-US"/>
              </w:rPr>
            </w:pPr>
            <w:r w:rsidRPr="00745723">
              <w:rPr>
                <w:rFonts w:ascii="Arial Narrow" w:hAnsi="Arial Narrow"/>
                <w:sz w:val="20"/>
                <w:lang w:val="en-US"/>
              </w:rPr>
              <w:t>(100%)</w:t>
            </w:r>
          </w:p>
        </w:tc>
        <w:tc>
          <w:tcPr>
            <w:tcW w:w="821" w:type="pct"/>
            <w:tcBorders>
              <w:right w:val="double" w:sz="4" w:space="0" w:color="auto"/>
            </w:tcBorders>
            <w:shd w:val="clear" w:color="auto" w:fill="auto"/>
            <w:vAlign w:val="center"/>
          </w:tcPr>
          <w:p w:rsidR="0090598E" w:rsidRPr="00745723" w:rsidRDefault="0090598E" w:rsidP="00F53983">
            <w:pPr>
              <w:jc w:val="center"/>
              <w:rPr>
                <w:rFonts w:ascii="Arial Narrow" w:hAnsi="Arial Narrow"/>
                <w:sz w:val="20"/>
                <w:lang w:val="en-US"/>
              </w:rPr>
            </w:pPr>
            <w:r w:rsidRPr="00745723">
              <w:rPr>
                <w:rFonts w:ascii="Arial Narrow" w:hAnsi="Arial Narrow"/>
                <w:sz w:val="20"/>
                <w:lang w:val="en-US"/>
              </w:rPr>
              <w:t xml:space="preserve">623/623 </w:t>
            </w:r>
          </w:p>
          <w:p w:rsidR="0090598E" w:rsidRPr="00745723" w:rsidRDefault="0090598E" w:rsidP="00F53983">
            <w:pPr>
              <w:jc w:val="center"/>
              <w:rPr>
                <w:rFonts w:ascii="Arial Narrow" w:hAnsi="Arial Narrow"/>
                <w:sz w:val="20"/>
                <w:lang w:val="en-US"/>
              </w:rPr>
            </w:pPr>
            <w:r w:rsidRPr="00745723">
              <w:rPr>
                <w:rFonts w:ascii="Arial Narrow" w:hAnsi="Arial Narrow"/>
                <w:sz w:val="20"/>
                <w:lang w:val="en-US"/>
              </w:rPr>
              <w:t>(100%)</w:t>
            </w:r>
          </w:p>
        </w:tc>
        <w:tc>
          <w:tcPr>
            <w:tcW w:w="822" w:type="pct"/>
            <w:tcBorders>
              <w:left w:val="double" w:sz="4" w:space="0" w:color="auto"/>
            </w:tcBorders>
            <w:shd w:val="clear" w:color="auto" w:fill="auto"/>
            <w:vAlign w:val="center"/>
          </w:tcPr>
          <w:p w:rsidR="0090598E" w:rsidRPr="00745723" w:rsidRDefault="0090598E" w:rsidP="00F53983">
            <w:pPr>
              <w:jc w:val="center"/>
              <w:rPr>
                <w:rFonts w:ascii="Arial Narrow" w:hAnsi="Arial Narrow"/>
                <w:sz w:val="20"/>
              </w:rPr>
            </w:pPr>
            <w:r w:rsidRPr="00745723">
              <w:rPr>
                <w:rFonts w:ascii="Arial Narrow" w:hAnsi="Arial Narrow"/>
                <w:sz w:val="20"/>
              </w:rPr>
              <w:t>1.00 (1.00, 1.00)</w:t>
            </w:r>
          </w:p>
          <w:p w:rsidR="0090598E" w:rsidRPr="00745723" w:rsidRDefault="0090598E" w:rsidP="00F53983">
            <w:pPr>
              <w:jc w:val="center"/>
              <w:rPr>
                <w:rFonts w:ascii="Arial Narrow" w:hAnsi="Arial Narrow"/>
                <w:sz w:val="20"/>
                <w:lang w:val="en-US"/>
              </w:rPr>
            </w:pPr>
            <w:r w:rsidRPr="00745723">
              <w:rPr>
                <w:rFonts w:ascii="Arial Narrow" w:hAnsi="Arial Narrow"/>
                <w:sz w:val="20"/>
              </w:rPr>
              <w:t>I</w:t>
            </w:r>
            <w:r w:rsidRPr="00745723">
              <w:rPr>
                <w:rFonts w:ascii="Arial Narrow" w:hAnsi="Arial Narrow"/>
                <w:sz w:val="20"/>
                <w:vertAlign w:val="superscript"/>
              </w:rPr>
              <w:t>2</w:t>
            </w:r>
            <w:r w:rsidRPr="00745723">
              <w:rPr>
                <w:rFonts w:ascii="Arial Narrow" w:hAnsi="Arial Narrow"/>
                <w:sz w:val="20"/>
              </w:rPr>
              <w:t xml:space="preserve"> = 0%</w:t>
            </w:r>
          </w:p>
        </w:tc>
        <w:tc>
          <w:tcPr>
            <w:tcW w:w="921" w:type="pct"/>
            <w:shd w:val="clear" w:color="auto" w:fill="auto"/>
            <w:vAlign w:val="center"/>
          </w:tcPr>
          <w:p w:rsidR="0090598E" w:rsidRPr="00745723" w:rsidRDefault="0090598E" w:rsidP="00F53983">
            <w:pPr>
              <w:jc w:val="center"/>
              <w:rPr>
                <w:rFonts w:ascii="Arial Narrow" w:hAnsi="Arial Narrow"/>
                <w:sz w:val="20"/>
              </w:rPr>
            </w:pPr>
            <w:r w:rsidRPr="00745723">
              <w:rPr>
                <w:rFonts w:ascii="Arial Narrow" w:hAnsi="Arial Narrow"/>
                <w:sz w:val="20"/>
              </w:rPr>
              <w:t>0.00 (-0.00, 0.00)</w:t>
            </w:r>
          </w:p>
          <w:p w:rsidR="0090598E" w:rsidRPr="00745723" w:rsidRDefault="0090598E" w:rsidP="00F53983">
            <w:pPr>
              <w:jc w:val="center"/>
              <w:rPr>
                <w:rFonts w:ascii="Arial Narrow" w:hAnsi="Arial Narrow"/>
                <w:sz w:val="20"/>
                <w:lang w:val="en-US"/>
              </w:rPr>
            </w:pPr>
            <w:r w:rsidRPr="00745723">
              <w:rPr>
                <w:rFonts w:ascii="Arial Narrow" w:hAnsi="Arial Narrow"/>
                <w:sz w:val="20"/>
              </w:rPr>
              <w:t>I</w:t>
            </w:r>
            <w:r w:rsidRPr="00745723">
              <w:rPr>
                <w:rFonts w:ascii="Arial Narrow" w:hAnsi="Arial Narrow"/>
                <w:sz w:val="20"/>
                <w:vertAlign w:val="superscript"/>
              </w:rPr>
              <w:t>2</w:t>
            </w:r>
            <w:r w:rsidRPr="00745723">
              <w:rPr>
                <w:rFonts w:ascii="Arial Narrow" w:hAnsi="Arial Narrow"/>
                <w:sz w:val="20"/>
              </w:rPr>
              <w:t xml:space="preserve"> = 0%</w:t>
            </w:r>
          </w:p>
        </w:tc>
      </w:tr>
      <w:tr w:rsidR="0090598E" w:rsidRPr="00745723" w:rsidTr="00B97BCA">
        <w:tc>
          <w:tcPr>
            <w:tcW w:w="1615" w:type="pct"/>
            <w:shd w:val="clear" w:color="auto" w:fill="auto"/>
            <w:vAlign w:val="center"/>
          </w:tcPr>
          <w:p w:rsidR="0090598E" w:rsidRPr="00745723" w:rsidRDefault="0090598E" w:rsidP="00F53983">
            <w:pPr>
              <w:jc w:val="left"/>
              <w:rPr>
                <w:rFonts w:ascii="Arial Narrow" w:hAnsi="Arial Narrow"/>
                <w:sz w:val="20"/>
                <w:lang w:val="en-US"/>
              </w:rPr>
            </w:pPr>
            <w:r w:rsidRPr="00745723">
              <w:rPr>
                <w:rFonts w:ascii="Arial Narrow" w:hAnsi="Arial Narrow"/>
                <w:sz w:val="20"/>
                <w:lang w:val="en-US"/>
              </w:rPr>
              <w:t>Patients with Anti-T ≥ 0.01 IU/mL in 2nd year of life</w:t>
            </w:r>
          </w:p>
        </w:tc>
        <w:tc>
          <w:tcPr>
            <w:tcW w:w="821" w:type="pct"/>
            <w:shd w:val="clear" w:color="auto" w:fill="auto"/>
            <w:vAlign w:val="center"/>
          </w:tcPr>
          <w:p w:rsidR="0090598E" w:rsidRPr="00745723" w:rsidRDefault="0090598E" w:rsidP="00F53983">
            <w:pPr>
              <w:jc w:val="center"/>
              <w:rPr>
                <w:rFonts w:ascii="Arial Narrow" w:hAnsi="Arial Narrow"/>
                <w:sz w:val="20"/>
                <w:lang w:val="en-US"/>
              </w:rPr>
            </w:pPr>
            <w:r w:rsidRPr="00745723">
              <w:rPr>
                <w:rFonts w:ascii="Arial Narrow" w:hAnsi="Arial Narrow"/>
                <w:sz w:val="20"/>
                <w:lang w:val="en-US"/>
              </w:rPr>
              <w:t xml:space="preserve">950/951 </w:t>
            </w:r>
          </w:p>
          <w:p w:rsidR="0090598E" w:rsidRPr="00745723" w:rsidRDefault="0090598E" w:rsidP="00F53983">
            <w:pPr>
              <w:jc w:val="center"/>
              <w:rPr>
                <w:rFonts w:ascii="Arial Narrow" w:hAnsi="Arial Narrow"/>
                <w:sz w:val="20"/>
                <w:lang w:val="en-US"/>
              </w:rPr>
            </w:pPr>
            <w:r w:rsidRPr="00745723">
              <w:rPr>
                <w:rFonts w:ascii="Arial Narrow" w:hAnsi="Arial Narrow"/>
                <w:sz w:val="20"/>
                <w:lang w:val="en-US"/>
              </w:rPr>
              <w:t>(100%)</w:t>
            </w:r>
          </w:p>
        </w:tc>
        <w:tc>
          <w:tcPr>
            <w:tcW w:w="821" w:type="pct"/>
            <w:tcBorders>
              <w:right w:val="double" w:sz="4" w:space="0" w:color="auto"/>
            </w:tcBorders>
            <w:shd w:val="clear" w:color="auto" w:fill="auto"/>
            <w:vAlign w:val="center"/>
          </w:tcPr>
          <w:p w:rsidR="0090598E" w:rsidRPr="00745723" w:rsidRDefault="0090598E" w:rsidP="00F53983">
            <w:pPr>
              <w:jc w:val="center"/>
              <w:rPr>
                <w:rFonts w:ascii="Arial Narrow" w:hAnsi="Arial Narrow"/>
                <w:sz w:val="20"/>
                <w:lang w:val="en-US"/>
              </w:rPr>
            </w:pPr>
            <w:r w:rsidRPr="00745723">
              <w:rPr>
                <w:rFonts w:ascii="Arial Narrow" w:hAnsi="Arial Narrow"/>
                <w:sz w:val="20"/>
                <w:lang w:val="en-US"/>
              </w:rPr>
              <w:t xml:space="preserve">320/320 </w:t>
            </w:r>
          </w:p>
          <w:p w:rsidR="0090598E" w:rsidRPr="00745723" w:rsidRDefault="0090598E" w:rsidP="00F53983">
            <w:pPr>
              <w:jc w:val="center"/>
              <w:rPr>
                <w:rFonts w:ascii="Arial Narrow" w:hAnsi="Arial Narrow"/>
                <w:sz w:val="20"/>
                <w:lang w:val="en-US"/>
              </w:rPr>
            </w:pPr>
            <w:r w:rsidRPr="00745723">
              <w:rPr>
                <w:rFonts w:ascii="Arial Narrow" w:hAnsi="Arial Narrow"/>
                <w:sz w:val="20"/>
                <w:lang w:val="en-US"/>
              </w:rPr>
              <w:t>(100%)</w:t>
            </w:r>
          </w:p>
        </w:tc>
        <w:tc>
          <w:tcPr>
            <w:tcW w:w="822" w:type="pct"/>
            <w:tcBorders>
              <w:left w:val="double" w:sz="4" w:space="0" w:color="auto"/>
            </w:tcBorders>
            <w:shd w:val="clear" w:color="auto" w:fill="auto"/>
            <w:vAlign w:val="center"/>
          </w:tcPr>
          <w:p w:rsidR="0090598E" w:rsidRPr="00745723" w:rsidRDefault="0090598E" w:rsidP="00F53983">
            <w:pPr>
              <w:jc w:val="center"/>
              <w:rPr>
                <w:rFonts w:ascii="Arial Narrow" w:hAnsi="Arial Narrow"/>
                <w:sz w:val="20"/>
              </w:rPr>
            </w:pPr>
            <w:r w:rsidRPr="00745723">
              <w:rPr>
                <w:rFonts w:ascii="Arial Narrow" w:hAnsi="Arial Narrow"/>
                <w:sz w:val="20"/>
              </w:rPr>
              <w:t>1.00 (0.99, 1.01)</w:t>
            </w:r>
          </w:p>
          <w:p w:rsidR="0090598E" w:rsidRPr="00745723" w:rsidRDefault="0090598E" w:rsidP="00F53983">
            <w:pPr>
              <w:jc w:val="center"/>
              <w:rPr>
                <w:rFonts w:ascii="Arial Narrow" w:hAnsi="Arial Narrow"/>
                <w:sz w:val="20"/>
                <w:lang w:val="en-US"/>
              </w:rPr>
            </w:pPr>
            <w:r w:rsidRPr="00745723">
              <w:rPr>
                <w:rFonts w:ascii="Arial Narrow" w:hAnsi="Arial Narrow"/>
                <w:sz w:val="20"/>
              </w:rPr>
              <w:t>I</w:t>
            </w:r>
            <w:r w:rsidRPr="00745723">
              <w:rPr>
                <w:rFonts w:ascii="Arial Narrow" w:hAnsi="Arial Narrow"/>
                <w:sz w:val="20"/>
                <w:vertAlign w:val="superscript"/>
              </w:rPr>
              <w:t>2</w:t>
            </w:r>
            <w:r w:rsidRPr="00745723">
              <w:rPr>
                <w:rFonts w:ascii="Arial Narrow" w:hAnsi="Arial Narrow"/>
                <w:sz w:val="20"/>
              </w:rPr>
              <w:t xml:space="preserve"> = 0%</w:t>
            </w:r>
          </w:p>
        </w:tc>
        <w:tc>
          <w:tcPr>
            <w:tcW w:w="921" w:type="pct"/>
            <w:shd w:val="clear" w:color="auto" w:fill="auto"/>
            <w:vAlign w:val="center"/>
          </w:tcPr>
          <w:p w:rsidR="0090598E" w:rsidRPr="00745723" w:rsidRDefault="0090598E" w:rsidP="00F53983">
            <w:pPr>
              <w:jc w:val="center"/>
              <w:rPr>
                <w:rFonts w:ascii="Arial Narrow" w:hAnsi="Arial Narrow"/>
                <w:sz w:val="20"/>
              </w:rPr>
            </w:pPr>
            <w:r w:rsidRPr="00745723">
              <w:rPr>
                <w:rFonts w:ascii="Arial Narrow" w:hAnsi="Arial Narrow"/>
                <w:sz w:val="20"/>
              </w:rPr>
              <w:t>-0.00 (-0.01, 0.00)</w:t>
            </w:r>
          </w:p>
          <w:p w:rsidR="0090598E" w:rsidRPr="00745723" w:rsidRDefault="0090598E" w:rsidP="00F53983">
            <w:pPr>
              <w:jc w:val="center"/>
              <w:rPr>
                <w:rFonts w:ascii="Arial Narrow" w:hAnsi="Arial Narrow"/>
                <w:sz w:val="20"/>
                <w:lang w:val="en-US"/>
              </w:rPr>
            </w:pPr>
            <w:r w:rsidRPr="00745723">
              <w:rPr>
                <w:rFonts w:ascii="Arial Narrow" w:hAnsi="Arial Narrow"/>
                <w:sz w:val="20"/>
              </w:rPr>
              <w:t>I</w:t>
            </w:r>
            <w:r w:rsidRPr="00745723">
              <w:rPr>
                <w:rFonts w:ascii="Arial Narrow" w:hAnsi="Arial Narrow"/>
                <w:sz w:val="20"/>
                <w:vertAlign w:val="superscript"/>
              </w:rPr>
              <w:t>2</w:t>
            </w:r>
            <w:r w:rsidRPr="00745723">
              <w:rPr>
                <w:rFonts w:ascii="Arial Narrow" w:hAnsi="Arial Narrow"/>
                <w:sz w:val="20"/>
              </w:rPr>
              <w:t xml:space="preserve"> = 0%</w:t>
            </w:r>
          </w:p>
        </w:tc>
      </w:tr>
      <w:tr w:rsidR="0093244F" w:rsidRPr="00745723" w:rsidTr="00B97BCA">
        <w:tc>
          <w:tcPr>
            <w:tcW w:w="1615" w:type="pct"/>
            <w:shd w:val="clear" w:color="auto" w:fill="auto"/>
            <w:vAlign w:val="center"/>
          </w:tcPr>
          <w:p w:rsidR="0093244F" w:rsidRPr="00745723" w:rsidRDefault="0093244F" w:rsidP="00F53983">
            <w:pPr>
              <w:jc w:val="left"/>
              <w:rPr>
                <w:rFonts w:ascii="Arial Narrow" w:hAnsi="Arial Narrow"/>
                <w:sz w:val="20"/>
                <w:lang w:val="en-US"/>
              </w:rPr>
            </w:pPr>
            <w:r w:rsidRPr="00745723">
              <w:rPr>
                <w:rFonts w:ascii="Arial Narrow" w:hAnsi="Arial Narrow"/>
                <w:sz w:val="20"/>
                <w:lang w:val="en-US"/>
              </w:rPr>
              <w:t>Patients with Anti-PT ≥ 4 fold increase at end of primary course</w:t>
            </w:r>
          </w:p>
        </w:tc>
        <w:tc>
          <w:tcPr>
            <w:tcW w:w="821" w:type="pct"/>
            <w:shd w:val="clear" w:color="auto" w:fill="auto"/>
            <w:vAlign w:val="center"/>
          </w:tcPr>
          <w:p w:rsidR="0093244F" w:rsidRPr="00745723" w:rsidRDefault="0093244F" w:rsidP="00F53983">
            <w:pPr>
              <w:jc w:val="center"/>
              <w:rPr>
                <w:rFonts w:ascii="Arial Narrow" w:hAnsi="Arial Narrow"/>
                <w:sz w:val="20"/>
                <w:lang w:val="en-US"/>
              </w:rPr>
            </w:pPr>
            <w:r w:rsidRPr="00745723">
              <w:rPr>
                <w:rFonts w:ascii="Arial Narrow" w:hAnsi="Arial Narrow"/>
                <w:sz w:val="20"/>
                <w:lang w:val="en-US"/>
              </w:rPr>
              <w:t xml:space="preserve">1673/1799 </w:t>
            </w:r>
          </w:p>
          <w:p w:rsidR="0093244F" w:rsidRPr="00745723" w:rsidRDefault="0093244F" w:rsidP="00F53983">
            <w:pPr>
              <w:jc w:val="center"/>
              <w:rPr>
                <w:rFonts w:ascii="Arial Narrow" w:hAnsi="Arial Narrow"/>
                <w:sz w:val="20"/>
                <w:lang w:val="en-US"/>
              </w:rPr>
            </w:pPr>
            <w:r w:rsidRPr="00745723">
              <w:rPr>
                <w:rFonts w:ascii="Arial Narrow" w:hAnsi="Arial Narrow"/>
                <w:sz w:val="20"/>
                <w:lang w:val="en-US"/>
              </w:rPr>
              <w:t>(93%)</w:t>
            </w:r>
          </w:p>
        </w:tc>
        <w:tc>
          <w:tcPr>
            <w:tcW w:w="821" w:type="pct"/>
            <w:tcBorders>
              <w:right w:val="double" w:sz="4" w:space="0" w:color="auto"/>
            </w:tcBorders>
            <w:shd w:val="clear" w:color="auto" w:fill="auto"/>
            <w:vAlign w:val="center"/>
          </w:tcPr>
          <w:p w:rsidR="0093244F" w:rsidRPr="00745723" w:rsidRDefault="0093244F" w:rsidP="00F53983">
            <w:pPr>
              <w:jc w:val="center"/>
              <w:rPr>
                <w:rFonts w:ascii="Arial Narrow" w:hAnsi="Arial Narrow"/>
                <w:sz w:val="20"/>
                <w:lang w:val="en-US"/>
              </w:rPr>
            </w:pPr>
            <w:r w:rsidRPr="00745723">
              <w:rPr>
                <w:rFonts w:ascii="Arial Narrow" w:hAnsi="Arial Narrow"/>
                <w:sz w:val="20"/>
                <w:lang w:val="en-US"/>
              </w:rPr>
              <w:t xml:space="preserve">570/619 </w:t>
            </w:r>
          </w:p>
          <w:p w:rsidR="0093244F" w:rsidRPr="00745723" w:rsidRDefault="0093244F" w:rsidP="00F53983">
            <w:pPr>
              <w:jc w:val="center"/>
              <w:rPr>
                <w:rFonts w:ascii="Arial Narrow" w:hAnsi="Arial Narrow"/>
                <w:sz w:val="20"/>
                <w:lang w:val="en-US"/>
              </w:rPr>
            </w:pPr>
            <w:r w:rsidRPr="00745723">
              <w:rPr>
                <w:rFonts w:ascii="Arial Narrow" w:hAnsi="Arial Narrow"/>
                <w:sz w:val="20"/>
                <w:lang w:val="en-US"/>
              </w:rPr>
              <w:t>(92%)</w:t>
            </w:r>
          </w:p>
        </w:tc>
        <w:tc>
          <w:tcPr>
            <w:tcW w:w="822" w:type="pct"/>
            <w:tcBorders>
              <w:left w:val="double" w:sz="4" w:space="0" w:color="auto"/>
            </w:tcBorders>
            <w:shd w:val="clear" w:color="auto" w:fill="auto"/>
            <w:vAlign w:val="center"/>
          </w:tcPr>
          <w:p w:rsidR="0093244F" w:rsidRPr="00745723" w:rsidRDefault="0093244F" w:rsidP="00F53983">
            <w:pPr>
              <w:jc w:val="center"/>
              <w:rPr>
                <w:rFonts w:ascii="Arial Narrow" w:hAnsi="Arial Narrow"/>
                <w:sz w:val="20"/>
              </w:rPr>
            </w:pPr>
            <w:r w:rsidRPr="00745723">
              <w:rPr>
                <w:rFonts w:ascii="Arial Narrow" w:hAnsi="Arial Narrow"/>
                <w:sz w:val="20"/>
              </w:rPr>
              <w:t>1.01 (0.98, 1.03)</w:t>
            </w:r>
          </w:p>
          <w:p w:rsidR="0093244F" w:rsidRPr="00745723" w:rsidRDefault="0093244F" w:rsidP="00F53983">
            <w:pPr>
              <w:jc w:val="center"/>
              <w:rPr>
                <w:rFonts w:ascii="Arial Narrow" w:hAnsi="Arial Narrow"/>
                <w:sz w:val="20"/>
                <w:lang w:val="en-US"/>
              </w:rPr>
            </w:pPr>
            <w:r w:rsidRPr="00745723">
              <w:rPr>
                <w:rFonts w:ascii="Arial Narrow" w:hAnsi="Arial Narrow"/>
                <w:sz w:val="20"/>
              </w:rPr>
              <w:t>I</w:t>
            </w:r>
            <w:r w:rsidRPr="00745723">
              <w:rPr>
                <w:rFonts w:ascii="Arial Narrow" w:hAnsi="Arial Narrow"/>
                <w:sz w:val="20"/>
                <w:vertAlign w:val="superscript"/>
              </w:rPr>
              <w:t>2</w:t>
            </w:r>
            <w:r w:rsidRPr="00745723">
              <w:rPr>
                <w:rFonts w:ascii="Arial Narrow" w:hAnsi="Arial Narrow"/>
                <w:sz w:val="20"/>
              </w:rPr>
              <w:t xml:space="preserve"> = 0%</w:t>
            </w:r>
          </w:p>
        </w:tc>
        <w:tc>
          <w:tcPr>
            <w:tcW w:w="921" w:type="pct"/>
            <w:shd w:val="clear" w:color="auto" w:fill="auto"/>
            <w:vAlign w:val="center"/>
          </w:tcPr>
          <w:p w:rsidR="0093244F" w:rsidRPr="00745723" w:rsidRDefault="0093244F" w:rsidP="00F53983">
            <w:pPr>
              <w:jc w:val="center"/>
              <w:rPr>
                <w:rFonts w:ascii="Arial Narrow" w:hAnsi="Arial Narrow"/>
                <w:sz w:val="20"/>
              </w:rPr>
            </w:pPr>
            <w:r w:rsidRPr="00745723">
              <w:rPr>
                <w:rFonts w:ascii="Arial Narrow" w:hAnsi="Arial Narrow"/>
                <w:sz w:val="20"/>
              </w:rPr>
              <w:t>0.01 (-0.02, 0.03)</w:t>
            </w:r>
          </w:p>
          <w:p w:rsidR="0093244F" w:rsidRPr="00745723" w:rsidRDefault="0093244F" w:rsidP="00F53983">
            <w:pPr>
              <w:jc w:val="center"/>
              <w:rPr>
                <w:rFonts w:ascii="Arial Narrow" w:hAnsi="Arial Narrow"/>
                <w:sz w:val="20"/>
                <w:lang w:val="en-US"/>
              </w:rPr>
            </w:pPr>
            <w:r w:rsidRPr="00745723">
              <w:rPr>
                <w:rFonts w:ascii="Arial Narrow" w:hAnsi="Arial Narrow"/>
                <w:sz w:val="20"/>
              </w:rPr>
              <w:t>I</w:t>
            </w:r>
            <w:r w:rsidRPr="00745723">
              <w:rPr>
                <w:rFonts w:ascii="Arial Narrow" w:hAnsi="Arial Narrow"/>
                <w:sz w:val="20"/>
                <w:vertAlign w:val="superscript"/>
              </w:rPr>
              <w:t>2</w:t>
            </w:r>
            <w:r w:rsidRPr="00745723">
              <w:rPr>
                <w:rFonts w:ascii="Arial Narrow" w:hAnsi="Arial Narrow"/>
                <w:sz w:val="20"/>
              </w:rPr>
              <w:t xml:space="preserve"> = 0%</w:t>
            </w:r>
          </w:p>
        </w:tc>
      </w:tr>
      <w:tr w:rsidR="009804DB" w:rsidRPr="00745723" w:rsidTr="00B97BCA">
        <w:tc>
          <w:tcPr>
            <w:tcW w:w="1615" w:type="pct"/>
            <w:shd w:val="clear" w:color="auto" w:fill="auto"/>
            <w:vAlign w:val="center"/>
          </w:tcPr>
          <w:p w:rsidR="009804DB" w:rsidRPr="00745723" w:rsidRDefault="009804DB" w:rsidP="00F53983">
            <w:pPr>
              <w:jc w:val="left"/>
              <w:rPr>
                <w:rFonts w:ascii="Arial Narrow" w:hAnsi="Arial Narrow"/>
                <w:sz w:val="20"/>
                <w:lang w:val="en-US"/>
              </w:rPr>
            </w:pPr>
            <w:r w:rsidRPr="00745723">
              <w:rPr>
                <w:rFonts w:ascii="Arial Narrow" w:hAnsi="Arial Narrow"/>
                <w:sz w:val="20"/>
                <w:lang w:val="en-US"/>
              </w:rPr>
              <w:t xml:space="preserve">Patients with Anti-PT ≥ LLQ in </w:t>
            </w:r>
          </w:p>
          <w:p w:rsidR="009804DB" w:rsidRPr="00745723" w:rsidRDefault="009804DB" w:rsidP="00F53983">
            <w:pPr>
              <w:jc w:val="left"/>
              <w:rPr>
                <w:rFonts w:ascii="Arial Narrow" w:hAnsi="Arial Narrow"/>
                <w:sz w:val="20"/>
                <w:lang w:val="en-US"/>
              </w:rPr>
            </w:pPr>
            <w:r w:rsidRPr="00745723">
              <w:rPr>
                <w:rFonts w:ascii="Arial Narrow" w:hAnsi="Arial Narrow"/>
                <w:sz w:val="20"/>
                <w:lang w:val="en-US"/>
              </w:rPr>
              <w:t xml:space="preserve">2nd year of life </w:t>
            </w:r>
          </w:p>
        </w:tc>
        <w:tc>
          <w:tcPr>
            <w:tcW w:w="821" w:type="pct"/>
            <w:shd w:val="clear" w:color="auto" w:fill="auto"/>
            <w:vAlign w:val="center"/>
          </w:tcPr>
          <w:p w:rsidR="009804DB" w:rsidRPr="00745723" w:rsidRDefault="009804DB" w:rsidP="00F53983">
            <w:pPr>
              <w:jc w:val="center"/>
              <w:rPr>
                <w:rFonts w:ascii="Arial Narrow" w:hAnsi="Arial Narrow"/>
                <w:sz w:val="20"/>
              </w:rPr>
            </w:pPr>
            <w:r w:rsidRPr="00745723">
              <w:rPr>
                <w:rFonts w:ascii="Arial Narrow" w:hAnsi="Arial Narrow"/>
                <w:sz w:val="20"/>
              </w:rPr>
              <w:t xml:space="preserve">693/767 </w:t>
            </w:r>
          </w:p>
          <w:p w:rsidR="009804DB" w:rsidRPr="00745723" w:rsidRDefault="009804DB" w:rsidP="00F53983">
            <w:pPr>
              <w:jc w:val="center"/>
              <w:rPr>
                <w:rFonts w:ascii="Arial Narrow" w:hAnsi="Arial Narrow"/>
                <w:sz w:val="20"/>
                <w:lang w:val="en-US"/>
              </w:rPr>
            </w:pPr>
            <w:r w:rsidRPr="00745723">
              <w:rPr>
                <w:rFonts w:ascii="Arial Narrow" w:hAnsi="Arial Narrow"/>
                <w:sz w:val="20"/>
              </w:rPr>
              <w:t>(90%)</w:t>
            </w:r>
          </w:p>
        </w:tc>
        <w:tc>
          <w:tcPr>
            <w:tcW w:w="821" w:type="pct"/>
            <w:tcBorders>
              <w:right w:val="double" w:sz="4" w:space="0" w:color="auto"/>
            </w:tcBorders>
            <w:shd w:val="clear" w:color="auto" w:fill="auto"/>
            <w:vAlign w:val="center"/>
          </w:tcPr>
          <w:p w:rsidR="009804DB" w:rsidRPr="00745723" w:rsidRDefault="009804DB" w:rsidP="00F53983">
            <w:pPr>
              <w:jc w:val="center"/>
              <w:rPr>
                <w:rFonts w:ascii="Arial Narrow" w:hAnsi="Arial Narrow"/>
                <w:sz w:val="20"/>
              </w:rPr>
            </w:pPr>
            <w:r w:rsidRPr="00745723">
              <w:rPr>
                <w:rFonts w:ascii="Arial Narrow" w:hAnsi="Arial Narrow"/>
                <w:sz w:val="20"/>
              </w:rPr>
              <w:t xml:space="preserve">225/257 </w:t>
            </w:r>
          </w:p>
          <w:p w:rsidR="009804DB" w:rsidRPr="00745723" w:rsidRDefault="009804DB" w:rsidP="00F53983">
            <w:pPr>
              <w:jc w:val="center"/>
              <w:rPr>
                <w:rFonts w:ascii="Arial Narrow" w:hAnsi="Arial Narrow"/>
                <w:sz w:val="20"/>
                <w:lang w:val="en-US"/>
              </w:rPr>
            </w:pPr>
            <w:r w:rsidRPr="00745723">
              <w:rPr>
                <w:rFonts w:ascii="Arial Narrow" w:hAnsi="Arial Narrow"/>
                <w:sz w:val="20"/>
              </w:rPr>
              <w:t>(88%)</w:t>
            </w:r>
          </w:p>
        </w:tc>
        <w:tc>
          <w:tcPr>
            <w:tcW w:w="822" w:type="pct"/>
            <w:tcBorders>
              <w:left w:val="double" w:sz="4" w:space="0" w:color="auto"/>
            </w:tcBorders>
            <w:shd w:val="clear" w:color="auto" w:fill="auto"/>
            <w:vAlign w:val="center"/>
          </w:tcPr>
          <w:p w:rsidR="009804DB" w:rsidRPr="00745723" w:rsidRDefault="009804DB" w:rsidP="00F53983">
            <w:pPr>
              <w:jc w:val="center"/>
              <w:rPr>
                <w:rFonts w:ascii="Arial Narrow" w:hAnsi="Arial Narrow"/>
                <w:sz w:val="20"/>
              </w:rPr>
            </w:pPr>
            <w:r w:rsidRPr="00745723">
              <w:rPr>
                <w:rFonts w:ascii="Arial Narrow" w:hAnsi="Arial Narrow"/>
                <w:sz w:val="20"/>
              </w:rPr>
              <w:t>1.03 (0.98, 1.09)</w:t>
            </w:r>
          </w:p>
          <w:p w:rsidR="009804DB" w:rsidRPr="00745723" w:rsidRDefault="009804DB" w:rsidP="00F53983">
            <w:pPr>
              <w:jc w:val="center"/>
              <w:rPr>
                <w:rFonts w:ascii="Arial Narrow" w:hAnsi="Arial Narrow"/>
                <w:sz w:val="20"/>
                <w:lang w:val="en-US"/>
              </w:rPr>
            </w:pPr>
            <w:r w:rsidRPr="00745723">
              <w:rPr>
                <w:rFonts w:ascii="Arial Narrow" w:hAnsi="Arial Narrow"/>
                <w:sz w:val="20"/>
              </w:rPr>
              <w:t>I</w:t>
            </w:r>
            <w:r w:rsidRPr="00745723">
              <w:rPr>
                <w:rFonts w:ascii="Arial Narrow" w:hAnsi="Arial Narrow"/>
                <w:sz w:val="20"/>
                <w:vertAlign w:val="superscript"/>
              </w:rPr>
              <w:t>2</w:t>
            </w:r>
            <w:r w:rsidRPr="00745723">
              <w:rPr>
                <w:rFonts w:ascii="Arial Narrow" w:hAnsi="Arial Narrow"/>
                <w:sz w:val="20"/>
              </w:rPr>
              <w:t xml:space="preserve"> = 0%</w:t>
            </w:r>
          </w:p>
        </w:tc>
        <w:tc>
          <w:tcPr>
            <w:tcW w:w="921" w:type="pct"/>
            <w:shd w:val="clear" w:color="auto" w:fill="auto"/>
            <w:vAlign w:val="center"/>
          </w:tcPr>
          <w:p w:rsidR="009804DB" w:rsidRPr="00745723" w:rsidRDefault="009804DB" w:rsidP="00F53983">
            <w:pPr>
              <w:jc w:val="center"/>
              <w:rPr>
                <w:rFonts w:ascii="Arial Narrow" w:hAnsi="Arial Narrow"/>
                <w:sz w:val="20"/>
              </w:rPr>
            </w:pPr>
            <w:r w:rsidRPr="00745723">
              <w:rPr>
                <w:rFonts w:ascii="Arial Narrow" w:hAnsi="Arial Narrow"/>
                <w:sz w:val="20"/>
              </w:rPr>
              <w:t>0.03 (-0.02, 0.07)</w:t>
            </w:r>
          </w:p>
          <w:p w:rsidR="009804DB" w:rsidRPr="00745723" w:rsidRDefault="009804DB" w:rsidP="00F53983">
            <w:pPr>
              <w:jc w:val="center"/>
              <w:rPr>
                <w:rFonts w:ascii="Arial Narrow" w:hAnsi="Arial Narrow"/>
                <w:sz w:val="20"/>
                <w:lang w:val="en-US"/>
              </w:rPr>
            </w:pPr>
            <w:r w:rsidRPr="00745723">
              <w:rPr>
                <w:rFonts w:ascii="Arial Narrow" w:hAnsi="Arial Narrow"/>
                <w:sz w:val="20"/>
              </w:rPr>
              <w:t>I</w:t>
            </w:r>
            <w:r w:rsidRPr="00745723">
              <w:rPr>
                <w:rFonts w:ascii="Arial Narrow" w:hAnsi="Arial Narrow"/>
                <w:sz w:val="20"/>
                <w:vertAlign w:val="superscript"/>
              </w:rPr>
              <w:t>2</w:t>
            </w:r>
            <w:r w:rsidRPr="00745723">
              <w:rPr>
                <w:rFonts w:ascii="Arial Narrow" w:hAnsi="Arial Narrow"/>
                <w:sz w:val="20"/>
              </w:rPr>
              <w:t xml:space="preserve"> = 0%</w:t>
            </w:r>
          </w:p>
        </w:tc>
      </w:tr>
      <w:tr w:rsidR="00F53983" w:rsidRPr="00745723" w:rsidTr="00B97BCA">
        <w:tc>
          <w:tcPr>
            <w:tcW w:w="1615" w:type="pct"/>
            <w:shd w:val="clear" w:color="auto" w:fill="auto"/>
            <w:vAlign w:val="center"/>
          </w:tcPr>
          <w:p w:rsidR="00F53983" w:rsidRPr="00745723" w:rsidRDefault="00F53983" w:rsidP="00F53983">
            <w:pPr>
              <w:jc w:val="left"/>
              <w:rPr>
                <w:rFonts w:ascii="Arial Narrow" w:hAnsi="Arial Narrow"/>
                <w:sz w:val="20"/>
                <w:lang w:val="en-US"/>
              </w:rPr>
            </w:pPr>
            <w:r w:rsidRPr="00745723">
              <w:rPr>
                <w:rFonts w:ascii="Arial Narrow" w:hAnsi="Arial Narrow"/>
                <w:sz w:val="20"/>
                <w:lang w:val="en-US"/>
              </w:rPr>
              <w:t xml:space="preserve">Patients with Anti-FHA ≥ 4 fold increase at end of primary course </w:t>
            </w:r>
          </w:p>
        </w:tc>
        <w:tc>
          <w:tcPr>
            <w:tcW w:w="821" w:type="pct"/>
            <w:shd w:val="clear" w:color="auto" w:fill="auto"/>
            <w:vAlign w:val="center"/>
          </w:tcPr>
          <w:p w:rsidR="00F53983" w:rsidRPr="00745723" w:rsidRDefault="00F53983" w:rsidP="00F53983">
            <w:pPr>
              <w:jc w:val="center"/>
              <w:rPr>
                <w:rFonts w:ascii="Arial Narrow" w:hAnsi="Arial Narrow"/>
                <w:sz w:val="20"/>
                <w:lang w:val="en-US"/>
              </w:rPr>
            </w:pPr>
            <w:r w:rsidRPr="00745723">
              <w:rPr>
                <w:rFonts w:ascii="Arial Narrow" w:hAnsi="Arial Narrow"/>
                <w:sz w:val="20"/>
                <w:lang w:val="en-US"/>
              </w:rPr>
              <w:t xml:space="preserve">1714/1784 </w:t>
            </w:r>
          </w:p>
          <w:p w:rsidR="00F53983" w:rsidRPr="00745723" w:rsidRDefault="00F53983" w:rsidP="00F53983">
            <w:pPr>
              <w:jc w:val="center"/>
              <w:rPr>
                <w:rFonts w:ascii="Arial Narrow" w:hAnsi="Arial Narrow"/>
                <w:sz w:val="20"/>
                <w:lang w:val="en-US"/>
              </w:rPr>
            </w:pPr>
            <w:r w:rsidRPr="00745723">
              <w:rPr>
                <w:rFonts w:ascii="Arial Narrow" w:hAnsi="Arial Narrow"/>
                <w:sz w:val="20"/>
                <w:lang w:val="en-US"/>
              </w:rPr>
              <w:t>(96%)</w:t>
            </w:r>
          </w:p>
        </w:tc>
        <w:tc>
          <w:tcPr>
            <w:tcW w:w="821" w:type="pct"/>
            <w:tcBorders>
              <w:right w:val="double" w:sz="4" w:space="0" w:color="auto"/>
            </w:tcBorders>
            <w:shd w:val="clear" w:color="auto" w:fill="auto"/>
            <w:vAlign w:val="center"/>
          </w:tcPr>
          <w:p w:rsidR="00F53983" w:rsidRPr="00745723" w:rsidRDefault="00F53983" w:rsidP="00F53983">
            <w:pPr>
              <w:jc w:val="center"/>
              <w:rPr>
                <w:rFonts w:ascii="Arial Narrow" w:hAnsi="Arial Narrow"/>
                <w:sz w:val="20"/>
                <w:lang w:val="en-US"/>
              </w:rPr>
            </w:pPr>
            <w:r w:rsidRPr="00745723">
              <w:rPr>
                <w:rFonts w:ascii="Arial Narrow" w:hAnsi="Arial Narrow"/>
                <w:sz w:val="20"/>
                <w:lang w:val="en-US"/>
              </w:rPr>
              <w:t xml:space="preserve">573/614 </w:t>
            </w:r>
          </w:p>
          <w:p w:rsidR="00F53983" w:rsidRPr="00745723" w:rsidRDefault="00F53983" w:rsidP="00F53983">
            <w:pPr>
              <w:jc w:val="center"/>
              <w:rPr>
                <w:rFonts w:ascii="Arial Narrow" w:hAnsi="Arial Narrow"/>
                <w:sz w:val="20"/>
                <w:lang w:val="en-US"/>
              </w:rPr>
            </w:pPr>
            <w:r w:rsidRPr="00745723">
              <w:rPr>
                <w:rFonts w:ascii="Arial Narrow" w:hAnsi="Arial Narrow"/>
                <w:sz w:val="20"/>
                <w:lang w:val="en-US"/>
              </w:rPr>
              <w:t>(93%)</w:t>
            </w:r>
          </w:p>
        </w:tc>
        <w:tc>
          <w:tcPr>
            <w:tcW w:w="822" w:type="pct"/>
            <w:tcBorders>
              <w:left w:val="double" w:sz="4" w:space="0" w:color="auto"/>
            </w:tcBorders>
            <w:shd w:val="clear" w:color="auto" w:fill="auto"/>
            <w:vAlign w:val="center"/>
          </w:tcPr>
          <w:p w:rsidR="00F53983" w:rsidRPr="00745723" w:rsidRDefault="00F53983" w:rsidP="00F53983">
            <w:pPr>
              <w:jc w:val="center"/>
              <w:rPr>
                <w:rFonts w:ascii="Arial Narrow" w:hAnsi="Arial Narrow"/>
                <w:sz w:val="20"/>
              </w:rPr>
            </w:pPr>
            <w:r w:rsidRPr="00745723">
              <w:rPr>
                <w:rFonts w:ascii="Arial Narrow" w:hAnsi="Arial Narrow"/>
                <w:sz w:val="20"/>
              </w:rPr>
              <w:t>1.02 (1.00, 1.05)</w:t>
            </w:r>
          </w:p>
          <w:p w:rsidR="00F53983" w:rsidRPr="00745723" w:rsidRDefault="00F53983" w:rsidP="00F53983">
            <w:pPr>
              <w:jc w:val="center"/>
              <w:rPr>
                <w:rFonts w:ascii="Arial Narrow" w:hAnsi="Arial Narrow"/>
                <w:sz w:val="20"/>
                <w:lang w:val="en-US"/>
              </w:rPr>
            </w:pPr>
            <w:r w:rsidRPr="00745723">
              <w:rPr>
                <w:rFonts w:ascii="Arial Narrow" w:hAnsi="Arial Narrow"/>
                <w:sz w:val="20"/>
              </w:rPr>
              <w:t>I</w:t>
            </w:r>
            <w:r w:rsidRPr="00745723">
              <w:rPr>
                <w:rFonts w:ascii="Arial Narrow" w:hAnsi="Arial Narrow"/>
                <w:sz w:val="20"/>
                <w:vertAlign w:val="superscript"/>
              </w:rPr>
              <w:t>2</w:t>
            </w:r>
            <w:r w:rsidRPr="00745723">
              <w:rPr>
                <w:rFonts w:ascii="Arial Narrow" w:hAnsi="Arial Narrow"/>
                <w:sz w:val="20"/>
              </w:rPr>
              <w:t xml:space="preserve"> = 13%</w:t>
            </w:r>
          </w:p>
        </w:tc>
        <w:tc>
          <w:tcPr>
            <w:tcW w:w="921" w:type="pct"/>
            <w:shd w:val="clear" w:color="auto" w:fill="auto"/>
            <w:vAlign w:val="center"/>
          </w:tcPr>
          <w:p w:rsidR="00F53983" w:rsidRPr="00745723" w:rsidRDefault="00F53983" w:rsidP="00F53983">
            <w:pPr>
              <w:jc w:val="center"/>
              <w:rPr>
                <w:rFonts w:ascii="Arial Narrow" w:hAnsi="Arial Narrow"/>
                <w:sz w:val="20"/>
              </w:rPr>
            </w:pPr>
            <w:r w:rsidRPr="00745723">
              <w:rPr>
                <w:rFonts w:ascii="Arial Narrow" w:hAnsi="Arial Narrow"/>
                <w:sz w:val="20"/>
              </w:rPr>
              <w:t>0.02 (-0.00, 0.04)</w:t>
            </w:r>
          </w:p>
          <w:p w:rsidR="00F53983" w:rsidRPr="00745723" w:rsidRDefault="00F53983" w:rsidP="00F53983">
            <w:pPr>
              <w:jc w:val="center"/>
              <w:rPr>
                <w:rFonts w:ascii="Arial Narrow" w:hAnsi="Arial Narrow"/>
                <w:sz w:val="20"/>
                <w:lang w:val="en-US"/>
              </w:rPr>
            </w:pPr>
            <w:r w:rsidRPr="00745723">
              <w:rPr>
                <w:rFonts w:ascii="Arial Narrow" w:hAnsi="Arial Narrow"/>
                <w:sz w:val="20"/>
              </w:rPr>
              <w:t>I</w:t>
            </w:r>
            <w:r w:rsidRPr="00745723">
              <w:rPr>
                <w:rFonts w:ascii="Arial Narrow" w:hAnsi="Arial Narrow"/>
                <w:sz w:val="20"/>
                <w:vertAlign w:val="superscript"/>
              </w:rPr>
              <w:t>2</w:t>
            </w:r>
            <w:r w:rsidRPr="00745723">
              <w:rPr>
                <w:rFonts w:ascii="Arial Narrow" w:hAnsi="Arial Narrow"/>
                <w:sz w:val="20"/>
              </w:rPr>
              <w:t xml:space="preserve"> = 10%</w:t>
            </w:r>
          </w:p>
        </w:tc>
      </w:tr>
      <w:tr w:rsidR="00F53983" w:rsidRPr="00745723" w:rsidTr="00B97BCA">
        <w:tc>
          <w:tcPr>
            <w:tcW w:w="1615" w:type="pct"/>
            <w:shd w:val="clear" w:color="auto" w:fill="auto"/>
            <w:vAlign w:val="center"/>
          </w:tcPr>
          <w:p w:rsidR="00F53983" w:rsidRPr="00745723" w:rsidRDefault="00F53983" w:rsidP="00F53983">
            <w:pPr>
              <w:jc w:val="left"/>
              <w:rPr>
                <w:rFonts w:ascii="Arial Narrow" w:hAnsi="Arial Narrow"/>
                <w:sz w:val="20"/>
                <w:lang w:val="en-US"/>
              </w:rPr>
            </w:pPr>
            <w:r w:rsidRPr="00745723">
              <w:rPr>
                <w:rFonts w:ascii="Arial Narrow" w:hAnsi="Arial Narrow"/>
                <w:sz w:val="20"/>
                <w:lang w:val="en-US"/>
              </w:rPr>
              <w:t xml:space="preserve">Patients with Anti-FHA ≥ LLQ in </w:t>
            </w:r>
          </w:p>
          <w:p w:rsidR="00F53983" w:rsidRPr="00745723" w:rsidRDefault="00F53983" w:rsidP="00F53983">
            <w:pPr>
              <w:jc w:val="left"/>
              <w:rPr>
                <w:rFonts w:ascii="Arial Narrow" w:hAnsi="Arial Narrow"/>
                <w:sz w:val="20"/>
                <w:lang w:val="en-US"/>
              </w:rPr>
            </w:pPr>
            <w:r w:rsidRPr="00745723">
              <w:rPr>
                <w:rFonts w:ascii="Arial Narrow" w:hAnsi="Arial Narrow"/>
                <w:sz w:val="20"/>
                <w:lang w:val="en-US"/>
              </w:rPr>
              <w:t>2nd year of life</w:t>
            </w:r>
          </w:p>
        </w:tc>
        <w:tc>
          <w:tcPr>
            <w:tcW w:w="821" w:type="pct"/>
            <w:shd w:val="clear" w:color="auto" w:fill="auto"/>
            <w:vAlign w:val="center"/>
          </w:tcPr>
          <w:p w:rsidR="00F53983" w:rsidRPr="00745723" w:rsidRDefault="00F53983" w:rsidP="00F53983">
            <w:pPr>
              <w:jc w:val="center"/>
              <w:rPr>
                <w:rFonts w:ascii="Arial Narrow" w:hAnsi="Arial Narrow"/>
                <w:sz w:val="20"/>
              </w:rPr>
            </w:pPr>
            <w:r w:rsidRPr="00745723">
              <w:rPr>
                <w:rFonts w:ascii="Arial Narrow" w:hAnsi="Arial Narrow"/>
                <w:sz w:val="20"/>
              </w:rPr>
              <w:t xml:space="preserve">773/773 </w:t>
            </w:r>
          </w:p>
          <w:p w:rsidR="00F53983" w:rsidRPr="00745723" w:rsidRDefault="00F53983" w:rsidP="00F53983">
            <w:pPr>
              <w:jc w:val="center"/>
              <w:rPr>
                <w:rFonts w:ascii="Arial Narrow" w:hAnsi="Arial Narrow"/>
                <w:sz w:val="20"/>
                <w:lang w:val="en-US"/>
              </w:rPr>
            </w:pPr>
            <w:r w:rsidRPr="00745723">
              <w:rPr>
                <w:rFonts w:ascii="Arial Narrow" w:hAnsi="Arial Narrow"/>
                <w:sz w:val="20"/>
              </w:rPr>
              <w:t>(100%)</w:t>
            </w:r>
          </w:p>
        </w:tc>
        <w:tc>
          <w:tcPr>
            <w:tcW w:w="821" w:type="pct"/>
            <w:tcBorders>
              <w:right w:val="double" w:sz="4" w:space="0" w:color="auto"/>
            </w:tcBorders>
            <w:shd w:val="clear" w:color="auto" w:fill="auto"/>
            <w:vAlign w:val="center"/>
          </w:tcPr>
          <w:p w:rsidR="00F53983" w:rsidRPr="00745723" w:rsidRDefault="00F53983" w:rsidP="00F53983">
            <w:pPr>
              <w:jc w:val="center"/>
              <w:rPr>
                <w:rFonts w:ascii="Arial Narrow" w:hAnsi="Arial Narrow"/>
                <w:sz w:val="20"/>
              </w:rPr>
            </w:pPr>
            <w:r w:rsidRPr="00745723">
              <w:rPr>
                <w:rFonts w:ascii="Arial Narrow" w:hAnsi="Arial Narrow"/>
                <w:sz w:val="20"/>
              </w:rPr>
              <w:t xml:space="preserve">253/255 </w:t>
            </w:r>
          </w:p>
          <w:p w:rsidR="00F53983" w:rsidRPr="00745723" w:rsidRDefault="00F53983" w:rsidP="00F53983">
            <w:pPr>
              <w:jc w:val="center"/>
              <w:rPr>
                <w:rFonts w:ascii="Arial Narrow" w:hAnsi="Arial Narrow"/>
                <w:sz w:val="20"/>
                <w:lang w:val="en-US"/>
              </w:rPr>
            </w:pPr>
            <w:r w:rsidRPr="00745723">
              <w:rPr>
                <w:rFonts w:ascii="Arial Narrow" w:hAnsi="Arial Narrow"/>
                <w:sz w:val="20"/>
              </w:rPr>
              <w:t>(99%)</w:t>
            </w:r>
          </w:p>
        </w:tc>
        <w:tc>
          <w:tcPr>
            <w:tcW w:w="822" w:type="pct"/>
            <w:tcBorders>
              <w:left w:val="double" w:sz="4" w:space="0" w:color="auto"/>
            </w:tcBorders>
            <w:shd w:val="clear" w:color="auto" w:fill="auto"/>
            <w:vAlign w:val="center"/>
          </w:tcPr>
          <w:p w:rsidR="00F53983" w:rsidRPr="00745723" w:rsidRDefault="00F53983" w:rsidP="002C2F87">
            <w:pPr>
              <w:pStyle w:val="ListParagraph"/>
              <w:numPr>
                <w:ilvl w:val="1"/>
                <w:numId w:val="3"/>
              </w:numPr>
              <w:jc w:val="center"/>
              <w:rPr>
                <w:rFonts w:ascii="Arial Narrow" w:hAnsi="Arial Narrow"/>
                <w:sz w:val="20"/>
              </w:rPr>
            </w:pPr>
            <w:r w:rsidRPr="00745723">
              <w:rPr>
                <w:rFonts w:ascii="Arial Narrow" w:hAnsi="Arial Narrow"/>
                <w:sz w:val="20"/>
              </w:rPr>
              <w:t>(1.00, 1.02)</w:t>
            </w:r>
          </w:p>
          <w:p w:rsidR="00F53983" w:rsidRPr="00745723" w:rsidRDefault="00F53983" w:rsidP="00F53983">
            <w:pPr>
              <w:jc w:val="center"/>
              <w:rPr>
                <w:rFonts w:ascii="Arial Narrow" w:hAnsi="Arial Narrow"/>
                <w:sz w:val="20"/>
              </w:rPr>
            </w:pPr>
            <w:r w:rsidRPr="00745723">
              <w:rPr>
                <w:rFonts w:ascii="Arial Narrow" w:hAnsi="Arial Narrow"/>
                <w:sz w:val="20"/>
              </w:rPr>
              <w:t>I</w:t>
            </w:r>
            <w:r w:rsidRPr="00745723">
              <w:rPr>
                <w:rFonts w:ascii="Arial Narrow" w:hAnsi="Arial Narrow"/>
                <w:sz w:val="20"/>
                <w:vertAlign w:val="superscript"/>
              </w:rPr>
              <w:t>2</w:t>
            </w:r>
            <w:r w:rsidRPr="00745723">
              <w:rPr>
                <w:rFonts w:ascii="Arial Narrow" w:hAnsi="Arial Narrow"/>
                <w:sz w:val="20"/>
              </w:rPr>
              <w:t xml:space="preserve"> = 0% </w:t>
            </w:r>
          </w:p>
        </w:tc>
        <w:tc>
          <w:tcPr>
            <w:tcW w:w="921" w:type="pct"/>
            <w:shd w:val="clear" w:color="auto" w:fill="auto"/>
            <w:vAlign w:val="center"/>
          </w:tcPr>
          <w:p w:rsidR="00F53983" w:rsidRPr="00745723" w:rsidRDefault="00F53983" w:rsidP="002C2F87">
            <w:pPr>
              <w:pStyle w:val="ListParagraph"/>
              <w:numPr>
                <w:ilvl w:val="1"/>
                <w:numId w:val="4"/>
              </w:numPr>
              <w:jc w:val="center"/>
              <w:rPr>
                <w:rFonts w:ascii="Arial Narrow" w:hAnsi="Arial Narrow"/>
                <w:sz w:val="20"/>
              </w:rPr>
            </w:pPr>
            <w:r w:rsidRPr="00745723">
              <w:rPr>
                <w:rFonts w:ascii="Arial Narrow" w:hAnsi="Arial Narrow"/>
                <w:sz w:val="20"/>
              </w:rPr>
              <w:t>(-0.00, 0.02)</w:t>
            </w:r>
          </w:p>
          <w:p w:rsidR="00F53983" w:rsidRPr="00745723" w:rsidRDefault="00F53983" w:rsidP="00F53983">
            <w:pPr>
              <w:jc w:val="center"/>
              <w:rPr>
                <w:rFonts w:ascii="Arial Narrow" w:hAnsi="Arial Narrow"/>
                <w:sz w:val="20"/>
                <w:lang w:val="en-US"/>
              </w:rPr>
            </w:pPr>
            <w:r w:rsidRPr="00745723">
              <w:rPr>
                <w:rFonts w:ascii="Arial Narrow" w:hAnsi="Arial Narrow"/>
                <w:sz w:val="20"/>
              </w:rPr>
              <w:t>I</w:t>
            </w:r>
            <w:r w:rsidRPr="00745723">
              <w:rPr>
                <w:rFonts w:ascii="Arial Narrow" w:hAnsi="Arial Narrow"/>
                <w:sz w:val="20"/>
                <w:vertAlign w:val="superscript"/>
              </w:rPr>
              <w:t>2</w:t>
            </w:r>
            <w:r w:rsidRPr="00745723">
              <w:rPr>
                <w:rFonts w:ascii="Arial Narrow" w:hAnsi="Arial Narrow"/>
                <w:sz w:val="20"/>
              </w:rPr>
              <w:t xml:space="preserve"> = 0%</w:t>
            </w:r>
          </w:p>
        </w:tc>
      </w:tr>
      <w:tr w:rsidR="00080ED9" w:rsidRPr="00745723" w:rsidTr="00B97BCA">
        <w:tc>
          <w:tcPr>
            <w:tcW w:w="1615" w:type="pct"/>
            <w:shd w:val="clear" w:color="auto" w:fill="auto"/>
            <w:vAlign w:val="center"/>
          </w:tcPr>
          <w:p w:rsidR="00080ED9" w:rsidRPr="00745723" w:rsidRDefault="00080ED9" w:rsidP="00F53983">
            <w:pPr>
              <w:jc w:val="left"/>
              <w:rPr>
                <w:rFonts w:ascii="Arial Narrow" w:hAnsi="Arial Narrow"/>
                <w:sz w:val="20"/>
                <w:lang w:val="en-US"/>
              </w:rPr>
            </w:pPr>
            <w:r w:rsidRPr="00745723">
              <w:rPr>
                <w:rFonts w:ascii="Arial Narrow" w:hAnsi="Arial Narrow"/>
                <w:sz w:val="20"/>
                <w:lang w:val="en-US"/>
              </w:rPr>
              <w:t xml:space="preserve">Patients with Anti-Hep B ≥ 10 mIU/mL at end of primary course </w:t>
            </w:r>
          </w:p>
        </w:tc>
        <w:tc>
          <w:tcPr>
            <w:tcW w:w="821" w:type="pct"/>
            <w:shd w:val="clear" w:color="auto" w:fill="auto"/>
            <w:vAlign w:val="center"/>
          </w:tcPr>
          <w:p w:rsidR="00080ED9" w:rsidRPr="00745723" w:rsidRDefault="00080ED9" w:rsidP="00F53983">
            <w:pPr>
              <w:jc w:val="center"/>
              <w:rPr>
                <w:rFonts w:ascii="Arial Narrow" w:hAnsi="Arial Narrow"/>
                <w:sz w:val="20"/>
                <w:lang w:val="en-US"/>
              </w:rPr>
            </w:pPr>
            <w:r w:rsidRPr="00745723">
              <w:rPr>
                <w:rFonts w:ascii="Arial Narrow" w:hAnsi="Arial Narrow"/>
                <w:sz w:val="20"/>
                <w:lang w:val="en-US"/>
              </w:rPr>
              <w:t xml:space="preserve">1927/1944 </w:t>
            </w:r>
          </w:p>
          <w:p w:rsidR="00080ED9" w:rsidRPr="00745723" w:rsidRDefault="00080ED9" w:rsidP="00F53983">
            <w:pPr>
              <w:jc w:val="center"/>
              <w:rPr>
                <w:rFonts w:ascii="Arial Narrow" w:hAnsi="Arial Narrow"/>
                <w:sz w:val="20"/>
                <w:lang w:val="en-US"/>
              </w:rPr>
            </w:pPr>
            <w:r w:rsidRPr="00745723">
              <w:rPr>
                <w:rFonts w:ascii="Arial Narrow" w:hAnsi="Arial Narrow"/>
                <w:sz w:val="20"/>
                <w:lang w:val="en-US"/>
              </w:rPr>
              <w:t>(99%)</w:t>
            </w:r>
          </w:p>
        </w:tc>
        <w:tc>
          <w:tcPr>
            <w:tcW w:w="821" w:type="pct"/>
            <w:tcBorders>
              <w:right w:val="double" w:sz="4" w:space="0" w:color="auto"/>
            </w:tcBorders>
            <w:shd w:val="clear" w:color="auto" w:fill="auto"/>
            <w:vAlign w:val="center"/>
          </w:tcPr>
          <w:p w:rsidR="00080ED9" w:rsidRPr="00745723" w:rsidRDefault="00080ED9" w:rsidP="00F53983">
            <w:pPr>
              <w:jc w:val="center"/>
              <w:rPr>
                <w:rFonts w:ascii="Arial Narrow" w:hAnsi="Arial Narrow"/>
                <w:sz w:val="20"/>
                <w:lang w:val="en-US"/>
              </w:rPr>
            </w:pPr>
            <w:r w:rsidRPr="00745723">
              <w:rPr>
                <w:rFonts w:ascii="Arial Narrow" w:hAnsi="Arial Narrow"/>
                <w:sz w:val="20"/>
                <w:lang w:val="en-US"/>
              </w:rPr>
              <w:t xml:space="preserve">754/755 </w:t>
            </w:r>
          </w:p>
          <w:p w:rsidR="00080ED9" w:rsidRPr="00745723" w:rsidRDefault="00080ED9" w:rsidP="00F53983">
            <w:pPr>
              <w:jc w:val="center"/>
              <w:rPr>
                <w:rFonts w:ascii="Arial Narrow" w:hAnsi="Arial Narrow"/>
                <w:sz w:val="20"/>
                <w:lang w:val="en-US"/>
              </w:rPr>
            </w:pPr>
            <w:r w:rsidRPr="00745723">
              <w:rPr>
                <w:rFonts w:ascii="Arial Narrow" w:hAnsi="Arial Narrow"/>
                <w:sz w:val="20"/>
                <w:lang w:val="en-US"/>
              </w:rPr>
              <w:t>(100%)</w:t>
            </w:r>
          </w:p>
        </w:tc>
        <w:tc>
          <w:tcPr>
            <w:tcW w:w="822" w:type="pct"/>
            <w:tcBorders>
              <w:left w:val="double" w:sz="4" w:space="0" w:color="auto"/>
            </w:tcBorders>
            <w:shd w:val="clear" w:color="auto" w:fill="auto"/>
            <w:vAlign w:val="center"/>
          </w:tcPr>
          <w:p w:rsidR="00080ED9" w:rsidRPr="00745723" w:rsidRDefault="00080ED9" w:rsidP="00080ED9">
            <w:pPr>
              <w:jc w:val="center"/>
              <w:rPr>
                <w:rFonts w:ascii="Arial Narrow" w:hAnsi="Arial Narrow"/>
                <w:sz w:val="20"/>
              </w:rPr>
            </w:pPr>
            <w:r w:rsidRPr="00745723">
              <w:rPr>
                <w:rFonts w:ascii="Arial Narrow" w:hAnsi="Arial Narrow"/>
                <w:sz w:val="20"/>
              </w:rPr>
              <w:t>1.00 (0.99, 1.00)</w:t>
            </w:r>
          </w:p>
          <w:p w:rsidR="00080ED9" w:rsidRPr="00745723" w:rsidRDefault="00080ED9" w:rsidP="00F53983">
            <w:pPr>
              <w:jc w:val="center"/>
              <w:rPr>
                <w:rFonts w:ascii="Arial Narrow" w:hAnsi="Arial Narrow"/>
                <w:sz w:val="20"/>
                <w:lang w:val="en-US"/>
              </w:rPr>
            </w:pPr>
            <w:r w:rsidRPr="00745723">
              <w:rPr>
                <w:rFonts w:ascii="Arial Narrow" w:hAnsi="Arial Narrow"/>
                <w:sz w:val="20"/>
              </w:rPr>
              <w:t>I</w:t>
            </w:r>
            <w:r w:rsidRPr="00745723">
              <w:rPr>
                <w:rFonts w:ascii="Arial Narrow" w:hAnsi="Arial Narrow"/>
                <w:sz w:val="20"/>
                <w:vertAlign w:val="superscript"/>
              </w:rPr>
              <w:t>2</w:t>
            </w:r>
            <w:r w:rsidRPr="00745723">
              <w:rPr>
                <w:rFonts w:ascii="Arial Narrow" w:hAnsi="Arial Narrow"/>
                <w:sz w:val="20"/>
              </w:rPr>
              <w:t xml:space="preserve"> = 0%</w:t>
            </w:r>
          </w:p>
        </w:tc>
        <w:tc>
          <w:tcPr>
            <w:tcW w:w="921" w:type="pct"/>
            <w:shd w:val="clear" w:color="auto" w:fill="auto"/>
            <w:vAlign w:val="center"/>
          </w:tcPr>
          <w:p w:rsidR="00080ED9" w:rsidRPr="00745723" w:rsidRDefault="00080ED9" w:rsidP="00080ED9">
            <w:pPr>
              <w:jc w:val="center"/>
              <w:rPr>
                <w:rFonts w:ascii="Arial Narrow" w:hAnsi="Arial Narrow"/>
                <w:sz w:val="20"/>
              </w:rPr>
            </w:pPr>
            <w:r w:rsidRPr="00745723">
              <w:rPr>
                <w:rFonts w:ascii="Arial Narrow" w:hAnsi="Arial Narrow"/>
                <w:sz w:val="20"/>
              </w:rPr>
              <w:t>-0.01 (-0.01, 0.00)</w:t>
            </w:r>
          </w:p>
          <w:p w:rsidR="00080ED9" w:rsidRPr="00745723" w:rsidRDefault="00080ED9" w:rsidP="00F53983">
            <w:pPr>
              <w:jc w:val="center"/>
              <w:rPr>
                <w:rFonts w:ascii="Arial Narrow" w:hAnsi="Arial Narrow"/>
                <w:sz w:val="20"/>
                <w:lang w:val="en-US"/>
              </w:rPr>
            </w:pPr>
            <w:r w:rsidRPr="00745723">
              <w:rPr>
                <w:rFonts w:ascii="Arial Narrow" w:hAnsi="Arial Narrow"/>
                <w:sz w:val="20"/>
              </w:rPr>
              <w:t>I</w:t>
            </w:r>
            <w:r w:rsidRPr="00745723">
              <w:rPr>
                <w:rFonts w:ascii="Arial Narrow" w:hAnsi="Arial Narrow"/>
                <w:sz w:val="20"/>
                <w:vertAlign w:val="superscript"/>
              </w:rPr>
              <w:t>2</w:t>
            </w:r>
            <w:r w:rsidRPr="00745723">
              <w:rPr>
                <w:rFonts w:ascii="Arial Narrow" w:hAnsi="Arial Narrow"/>
                <w:sz w:val="20"/>
              </w:rPr>
              <w:t xml:space="preserve"> = 19%</w:t>
            </w:r>
          </w:p>
        </w:tc>
      </w:tr>
      <w:tr w:rsidR="00080ED9" w:rsidRPr="00745723" w:rsidTr="00B97BCA">
        <w:tc>
          <w:tcPr>
            <w:tcW w:w="1615" w:type="pct"/>
            <w:shd w:val="clear" w:color="auto" w:fill="auto"/>
            <w:vAlign w:val="center"/>
          </w:tcPr>
          <w:p w:rsidR="00080ED9" w:rsidRPr="00745723" w:rsidRDefault="00080ED9" w:rsidP="00080ED9">
            <w:pPr>
              <w:jc w:val="left"/>
              <w:rPr>
                <w:rFonts w:ascii="Arial Narrow" w:hAnsi="Arial Narrow"/>
                <w:sz w:val="20"/>
                <w:lang w:val="en-US"/>
              </w:rPr>
            </w:pPr>
            <w:r w:rsidRPr="00745723">
              <w:rPr>
                <w:rFonts w:ascii="Arial Narrow" w:hAnsi="Arial Narrow"/>
                <w:sz w:val="20"/>
                <w:lang w:val="en-US"/>
              </w:rPr>
              <w:t>Patients with Anti-Hep B ≥ 10 mIU/mL in 2nd year of life</w:t>
            </w:r>
          </w:p>
        </w:tc>
        <w:tc>
          <w:tcPr>
            <w:tcW w:w="821" w:type="pct"/>
            <w:shd w:val="clear" w:color="auto" w:fill="auto"/>
            <w:vAlign w:val="center"/>
          </w:tcPr>
          <w:p w:rsidR="00080ED9" w:rsidRPr="00745723" w:rsidRDefault="00080ED9" w:rsidP="00F53983">
            <w:pPr>
              <w:jc w:val="center"/>
              <w:rPr>
                <w:rFonts w:ascii="Arial Narrow" w:hAnsi="Arial Narrow"/>
                <w:sz w:val="20"/>
                <w:lang w:val="en-US"/>
              </w:rPr>
            </w:pPr>
            <w:r w:rsidRPr="00745723">
              <w:rPr>
                <w:rFonts w:ascii="Arial Narrow" w:hAnsi="Arial Narrow"/>
                <w:sz w:val="20"/>
                <w:lang w:val="en-US"/>
              </w:rPr>
              <w:t xml:space="preserve">926/963 </w:t>
            </w:r>
          </w:p>
          <w:p w:rsidR="00080ED9" w:rsidRPr="00745723" w:rsidRDefault="00080ED9" w:rsidP="00F53983">
            <w:pPr>
              <w:jc w:val="center"/>
              <w:rPr>
                <w:rFonts w:ascii="Arial Narrow" w:hAnsi="Arial Narrow"/>
                <w:sz w:val="20"/>
                <w:lang w:val="en-US"/>
              </w:rPr>
            </w:pPr>
            <w:r w:rsidRPr="00745723">
              <w:rPr>
                <w:rFonts w:ascii="Arial Narrow" w:hAnsi="Arial Narrow"/>
                <w:sz w:val="20"/>
                <w:lang w:val="en-US"/>
              </w:rPr>
              <w:t>(96%)</w:t>
            </w:r>
          </w:p>
        </w:tc>
        <w:tc>
          <w:tcPr>
            <w:tcW w:w="821" w:type="pct"/>
            <w:tcBorders>
              <w:right w:val="double" w:sz="4" w:space="0" w:color="auto"/>
            </w:tcBorders>
            <w:shd w:val="clear" w:color="auto" w:fill="auto"/>
            <w:vAlign w:val="center"/>
          </w:tcPr>
          <w:p w:rsidR="00080ED9" w:rsidRPr="00745723" w:rsidRDefault="00080ED9" w:rsidP="00F53983">
            <w:pPr>
              <w:jc w:val="center"/>
              <w:rPr>
                <w:rFonts w:ascii="Arial Narrow" w:hAnsi="Arial Narrow"/>
                <w:sz w:val="20"/>
                <w:lang w:val="en-US"/>
              </w:rPr>
            </w:pPr>
            <w:r w:rsidRPr="00745723">
              <w:rPr>
                <w:rFonts w:ascii="Arial Narrow" w:hAnsi="Arial Narrow"/>
                <w:sz w:val="20"/>
                <w:lang w:val="en-US"/>
              </w:rPr>
              <w:t xml:space="preserve">319/324 </w:t>
            </w:r>
          </w:p>
          <w:p w:rsidR="00080ED9" w:rsidRPr="00745723" w:rsidRDefault="00080ED9" w:rsidP="00F53983">
            <w:pPr>
              <w:jc w:val="center"/>
              <w:rPr>
                <w:rFonts w:ascii="Arial Narrow" w:hAnsi="Arial Narrow"/>
                <w:sz w:val="20"/>
                <w:lang w:val="en-US"/>
              </w:rPr>
            </w:pPr>
            <w:r w:rsidRPr="00745723">
              <w:rPr>
                <w:rFonts w:ascii="Arial Narrow" w:hAnsi="Arial Narrow"/>
                <w:sz w:val="20"/>
                <w:lang w:val="en-US"/>
              </w:rPr>
              <w:t>(98%)</w:t>
            </w:r>
          </w:p>
        </w:tc>
        <w:tc>
          <w:tcPr>
            <w:tcW w:w="822" w:type="pct"/>
            <w:tcBorders>
              <w:left w:val="double" w:sz="4" w:space="0" w:color="auto"/>
            </w:tcBorders>
            <w:shd w:val="clear" w:color="auto" w:fill="auto"/>
            <w:vAlign w:val="center"/>
          </w:tcPr>
          <w:p w:rsidR="00080ED9" w:rsidRPr="00745723" w:rsidRDefault="00080ED9" w:rsidP="00080ED9">
            <w:pPr>
              <w:jc w:val="center"/>
              <w:rPr>
                <w:rFonts w:ascii="Arial Narrow" w:hAnsi="Arial Narrow"/>
                <w:sz w:val="20"/>
              </w:rPr>
            </w:pPr>
            <w:r w:rsidRPr="00745723">
              <w:rPr>
                <w:rFonts w:ascii="Arial Narrow" w:hAnsi="Arial Narrow"/>
                <w:sz w:val="20"/>
              </w:rPr>
              <w:t>0.97 (0.93, 1.02)</w:t>
            </w:r>
          </w:p>
          <w:p w:rsidR="00080ED9" w:rsidRPr="00745723" w:rsidRDefault="00080ED9" w:rsidP="00F53983">
            <w:pPr>
              <w:jc w:val="center"/>
              <w:rPr>
                <w:rFonts w:ascii="Arial Narrow" w:hAnsi="Arial Narrow"/>
                <w:sz w:val="20"/>
                <w:lang w:val="en-US"/>
              </w:rPr>
            </w:pPr>
            <w:r w:rsidRPr="00745723">
              <w:rPr>
                <w:rFonts w:ascii="Arial Narrow" w:hAnsi="Arial Narrow"/>
                <w:sz w:val="20"/>
              </w:rPr>
              <w:t>I</w:t>
            </w:r>
            <w:r w:rsidRPr="00745723">
              <w:rPr>
                <w:rFonts w:ascii="Arial Narrow" w:hAnsi="Arial Narrow"/>
                <w:sz w:val="20"/>
                <w:vertAlign w:val="superscript"/>
              </w:rPr>
              <w:t>2</w:t>
            </w:r>
            <w:r w:rsidRPr="00745723">
              <w:rPr>
                <w:rFonts w:ascii="Arial Narrow" w:hAnsi="Arial Narrow"/>
                <w:sz w:val="20"/>
              </w:rPr>
              <w:t xml:space="preserve"> = 50%</w:t>
            </w:r>
          </w:p>
        </w:tc>
        <w:tc>
          <w:tcPr>
            <w:tcW w:w="921" w:type="pct"/>
            <w:shd w:val="clear" w:color="auto" w:fill="auto"/>
            <w:vAlign w:val="center"/>
          </w:tcPr>
          <w:p w:rsidR="00080ED9" w:rsidRPr="00745723" w:rsidRDefault="00080ED9" w:rsidP="00080ED9">
            <w:pPr>
              <w:jc w:val="center"/>
              <w:rPr>
                <w:rFonts w:ascii="Arial Narrow" w:hAnsi="Arial Narrow"/>
                <w:sz w:val="20"/>
              </w:rPr>
            </w:pPr>
            <w:r w:rsidRPr="00745723">
              <w:rPr>
                <w:rFonts w:ascii="Arial Narrow" w:hAnsi="Arial Narrow"/>
                <w:sz w:val="20"/>
              </w:rPr>
              <w:t>-0.03 (-0.07, 0.01)</w:t>
            </w:r>
          </w:p>
          <w:p w:rsidR="00080ED9" w:rsidRPr="00745723" w:rsidRDefault="00080ED9" w:rsidP="00F53983">
            <w:pPr>
              <w:jc w:val="center"/>
              <w:rPr>
                <w:rFonts w:ascii="Arial Narrow" w:hAnsi="Arial Narrow"/>
                <w:sz w:val="20"/>
                <w:lang w:val="en-US"/>
              </w:rPr>
            </w:pPr>
            <w:r w:rsidRPr="00745723">
              <w:rPr>
                <w:rFonts w:ascii="Arial Narrow" w:hAnsi="Arial Narrow"/>
                <w:sz w:val="20"/>
              </w:rPr>
              <w:t>I</w:t>
            </w:r>
            <w:r w:rsidRPr="00745723">
              <w:rPr>
                <w:rFonts w:ascii="Arial Narrow" w:hAnsi="Arial Narrow"/>
                <w:sz w:val="20"/>
                <w:vertAlign w:val="superscript"/>
              </w:rPr>
              <w:t>2</w:t>
            </w:r>
            <w:r w:rsidRPr="00745723">
              <w:rPr>
                <w:rFonts w:ascii="Arial Narrow" w:hAnsi="Arial Narrow"/>
                <w:sz w:val="20"/>
              </w:rPr>
              <w:t xml:space="preserve"> = 46%</w:t>
            </w:r>
          </w:p>
        </w:tc>
      </w:tr>
      <w:tr w:rsidR="00080ED9" w:rsidRPr="00745723" w:rsidTr="00B97BCA">
        <w:tc>
          <w:tcPr>
            <w:tcW w:w="1615" w:type="pct"/>
            <w:shd w:val="clear" w:color="auto" w:fill="auto"/>
            <w:vAlign w:val="center"/>
          </w:tcPr>
          <w:p w:rsidR="00080ED9" w:rsidRPr="00745723" w:rsidRDefault="00080ED9" w:rsidP="00080ED9">
            <w:pPr>
              <w:jc w:val="left"/>
              <w:rPr>
                <w:rFonts w:ascii="Arial Narrow" w:hAnsi="Arial Narrow"/>
                <w:sz w:val="20"/>
                <w:lang w:val="en-US"/>
              </w:rPr>
            </w:pPr>
            <w:r w:rsidRPr="00745723">
              <w:rPr>
                <w:rFonts w:ascii="Arial Narrow" w:hAnsi="Arial Narrow"/>
                <w:sz w:val="20"/>
                <w:lang w:val="en-US"/>
              </w:rPr>
              <w:t>Patients with Anti-Polio 1 &gt; 8 1/dil at end of primary course</w:t>
            </w:r>
          </w:p>
        </w:tc>
        <w:tc>
          <w:tcPr>
            <w:tcW w:w="821" w:type="pct"/>
            <w:shd w:val="clear" w:color="auto" w:fill="auto"/>
            <w:vAlign w:val="center"/>
          </w:tcPr>
          <w:p w:rsidR="00080ED9" w:rsidRPr="00745723" w:rsidRDefault="00080ED9" w:rsidP="00F53983">
            <w:pPr>
              <w:jc w:val="center"/>
              <w:rPr>
                <w:rFonts w:ascii="Arial Narrow" w:hAnsi="Arial Narrow"/>
                <w:sz w:val="20"/>
                <w:lang w:val="en-US"/>
              </w:rPr>
            </w:pPr>
            <w:r w:rsidRPr="00745723">
              <w:rPr>
                <w:rFonts w:ascii="Arial Narrow" w:hAnsi="Arial Narrow"/>
                <w:sz w:val="20"/>
                <w:lang w:val="en-US"/>
              </w:rPr>
              <w:t xml:space="preserve">1805/1806 </w:t>
            </w:r>
          </w:p>
          <w:p w:rsidR="00080ED9" w:rsidRPr="00745723" w:rsidRDefault="00080ED9" w:rsidP="00F53983">
            <w:pPr>
              <w:jc w:val="center"/>
              <w:rPr>
                <w:rFonts w:ascii="Arial Narrow" w:hAnsi="Arial Narrow"/>
                <w:sz w:val="20"/>
                <w:lang w:val="en-US"/>
              </w:rPr>
            </w:pPr>
            <w:r w:rsidRPr="00745723">
              <w:rPr>
                <w:rFonts w:ascii="Arial Narrow" w:hAnsi="Arial Narrow"/>
                <w:sz w:val="20"/>
                <w:lang w:val="en-US"/>
              </w:rPr>
              <w:t>(100%)</w:t>
            </w:r>
          </w:p>
        </w:tc>
        <w:tc>
          <w:tcPr>
            <w:tcW w:w="821" w:type="pct"/>
            <w:tcBorders>
              <w:right w:val="double" w:sz="4" w:space="0" w:color="auto"/>
            </w:tcBorders>
            <w:shd w:val="clear" w:color="auto" w:fill="auto"/>
            <w:vAlign w:val="center"/>
          </w:tcPr>
          <w:p w:rsidR="00080ED9" w:rsidRPr="00745723" w:rsidRDefault="00080ED9" w:rsidP="00F53983">
            <w:pPr>
              <w:jc w:val="center"/>
              <w:rPr>
                <w:rFonts w:ascii="Arial Narrow" w:hAnsi="Arial Narrow"/>
                <w:sz w:val="20"/>
                <w:lang w:val="en-US"/>
              </w:rPr>
            </w:pPr>
            <w:r w:rsidRPr="00745723">
              <w:rPr>
                <w:rFonts w:ascii="Arial Narrow" w:hAnsi="Arial Narrow"/>
                <w:sz w:val="20"/>
                <w:lang w:val="en-US"/>
              </w:rPr>
              <w:t xml:space="preserve">616/616 </w:t>
            </w:r>
          </w:p>
          <w:p w:rsidR="00080ED9" w:rsidRPr="00745723" w:rsidRDefault="00080ED9" w:rsidP="00F53983">
            <w:pPr>
              <w:jc w:val="center"/>
              <w:rPr>
                <w:rFonts w:ascii="Arial Narrow" w:hAnsi="Arial Narrow"/>
                <w:sz w:val="20"/>
                <w:lang w:val="en-US"/>
              </w:rPr>
            </w:pPr>
            <w:r w:rsidRPr="00745723">
              <w:rPr>
                <w:rFonts w:ascii="Arial Narrow" w:hAnsi="Arial Narrow"/>
                <w:sz w:val="20"/>
                <w:lang w:val="en-US"/>
              </w:rPr>
              <w:t>(100%)</w:t>
            </w:r>
          </w:p>
        </w:tc>
        <w:tc>
          <w:tcPr>
            <w:tcW w:w="822" w:type="pct"/>
            <w:tcBorders>
              <w:left w:val="double" w:sz="4" w:space="0" w:color="auto"/>
            </w:tcBorders>
            <w:shd w:val="clear" w:color="auto" w:fill="auto"/>
            <w:vAlign w:val="center"/>
          </w:tcPr>
          <w:p w:rsidR="00080ED9" w:rsidRPr="00745723" w:rsidRDefault="00080ED9" w:rsidP="00080ED9">
            <w:pPr>
              <w:jc w:val="center"/>
              <w:rPr>
                <w:rFonts w:ascii="Arial Narrow" w:hAnsi="Arial Narrow"/>
                <w:sz w:val="20"/>
              </w:rPr>
            </w:pPr>
            <w:r w:rsidRPr="00745723">
              <w:rPr>
                <w:rFonts w:ascii="Arial Narrow" w:hAnsi="Arial Narrow"/>
                <w:sz w:val="20"/>
              </w:rPr>
              <w:t>1.00 (1.00, 1.00)</w:t>
            </w:r>
          </w:p>
          <w:p w:rsidR="00080ED9" w:rsidRPr="00745723" w:rsidRDefault="00080ED9" w:rsidP="00F53983">
            <w:pPr>
              <w:jc w:val="center"/>
              <w:rPr>
                <w:rFonts w:ascii="Arial Narrow" w:hAnsi="Arial Narrow"/>
                <w:sz w:val="20"/>
                <w:lang w:val="en-US"/>
              </w:rPr>
            </w:pPr>
            <w:r w:rsidRPr="00745723">
              <w:rPr>
                <w:rFonts w:ascii="Arial Narrow" w:hAnsi="Arial Narrow"/>
                <w:sz w:val="20"/>
              </w:rPr>
              <w:t>I</w:t>
            </w:r>
            <w:r w:rsidRPr="00745723">
              <w:rPr>
                <w:rFonts w:ascii="Arial Narrow" w:hAnsi="Arial Narrow"/>
                <w:sz w:val="20"/>
                <w:vertAlign w:val="superscript"/>
              </w:rPr>
              <w:t>2</w:t>
            </w:r>
            <w:r w:rsidRPr="00745723">
              <w:rPr>
                <w:rFonts w:ascii="Arial Narrow" w:hAnsi="Arial Narrow"/>
                <w:sz w:val="20"/>
              </w:rPr>
              <w:t xml:space="preserve"> = 0%</w:t>
            </w:r>
          </w:p>
        </w:tc>
        <w:tc>
          <w:tcPr>
            <w:tcW w:w="921" w:type="pct"/>
            <w:shd w:val="clear" w:color="auto" w:fill="auto"/>
            <w:vAlign w:val="center"/>
          </w:tcPr>
          <w:p w:rsidR="00080ED9" w:rsidRPr="00745723" w:rsidRDefault="00080ED9" w:rsidP="00080ED9">
            <w:pPr>
              <w:jc w:val="center"/>
              <w:rPr>
                <w:rFonts w:ascii="Arial Narrow" w:hAnsi="Arial Narrow"/>
                <w:sz w:val="20"/>
              </w:rPr>
            </w:pPr>
            <w:r w:rsidRPr="00745723">
              <w:rPr>
                <w:rFonts w:ascii="Arial Narrow" w:hAnsi="Arial Narrow"/>
                <w:sz w:val="20"/>
              </w:rPr>
              <w:t>-0.00 (-0.00, 0.00)</w:t>
            </w:r>
          </w:p>
          <w:p w:rsidR="00080ED9" w:rsidRPr="00745723" w:rsidRDefault="00080ED9" w:rsidP="00F53983">
            <w:pPr>
              <w:jc w:val="center"/>
              <w:rPr>
                <w:rFonts w:ascii="Arial Narrow" w:hAnsi="Arial Narrow"/>
                <w:sz w:val="20"/>
                <w:lang w:val="en-US"/>
              </w:rPr>
            </w:pPr>
            <w:r w:rsidRPr="00745723">
              <w:rPr>
                <w:rFonts w:ascii="Arial Narrow" w:hAnsi="Arial Narrow"/>
                <w:sz w:val="20"/>
              </w:rPr>
              <w:t>I</w:t>
            </w:r>
            <w:r w:rsidRPr="00745723">
              <w:rPr>
                <w:rFonts w:ascii="Arial Narrow" w:hAnsi="Arial Narrow"/>
                <w:sz w:val="20"/>
                <w:vertAlign w:val="superscript"/>
              </w:rPr>
              <w:t>2</w:t>
            </w:r>
            <w:r w:rsidRPr="00745723">
              <w:rPr>
                <w:rFonts w:ascii="Arial Narrow" w:hAnsi="Arial Narrow"/>
                <w:sz w:val="20"/>
              </w:rPr>
              <w:t xml:space="preserve"> = 0%</w:t>
            </w:r>
          </w:p>
        </w:tc>
      </w:tr>
      <w:tr w:rsidR="00080ED9" w:rsidRPr="00745723" w:rsidTr="00B97BCA">
        <w:tc>
          <w:tcPr>
            <w:tcW w:w="1615" w:type="pct"/>
            <w:shd w:val="clear" w:color="auto" w:fill="auto"/>
            <w:vAlign w:val="center"/>
          </w:tcPr>
          <w:p w:rsidR="00080ED9" w:rsidRPr="00745723" w:rsidRDefault="00080ED9" w:rsidP="00080ED9">
            <w:pPr>
              <w:jc w:val="left"/>
              <w:rPr>
                <w:rFonts w:ascii="Arial Narrow" w:hAnsi="Arial Narrow"/>
                <w:sz w:val="20"/>
                <w:lang w:val="en-US"/>
              </w:rPr>
            </w:pPr>
            <w:r w:rsidRPr="00745723">
              <w:rPr>
                <w:rFonts w:ascii="Arial Narrow" w:hAnsi="Arial Narrow"/>
                <w:sz w:val="20"/>
                <w:lang w:val="en-US"/>
              </w:rPr>
              <w:t>Patients with Anti-Polio 1 &gt; 8 1/dil in 2nd year of life</w:t>
            </w:r>
          </w:p>
        </w:tc>
        <w:tc>
          <w:tcPr>
            <w:tcW w:w="821" w:type="pct"/>
            <w:shd w:val="clear" w:color="auto" w:fill="auto"/>
            <w:vAlign w:val="center"/>
          </w:tcPr>
          <w:p w:rsidR="00080ED9" w:rsidRPr="00745723" w:rsidRDefault="00080ED9" w:rsidP="00F53983">
            <w:pPr>
              <w:jc w:val="center"/>
              <w:rPr>
                <w:rFonts w:ascii="Arial Narrow" w:hAnsi="Arial Narrow"/>
                <w:sz w:val="20"/>
                <w:lang w:val="en-US"/>
              </w:rPr>
            </w:pPr>
            <w:r w:rsidRPr="00745723">
              <w:rPr>
                <w:rFonts w:ascii="Arial Narrow" w:hAnsi="Arial Narrow"/>
                <w:sz w:val="20"/>
                <w:lang w:val="en-US"/>
              </w:rPr>
              <w:t xml:space="preserve">827/837 </w:t>
            </w:r>
          </w:p>
          <w:p w:rsidR="00080ED9" w:rsidRPr="00745723" w:rsidRDefault="00080ED9" w:rsidP="00F53983">
            <w:pPr>
              <w:jc w:val="center"/>
              <w:rPr>
                <w:rFonts w:ascii="Arial Narrow" w:hAnsi="Arial Narrow"/>
                <w:sz w:val="20"/>
                <w:lang w:val="en-US"/>
              </w:rPr>
            </w:pPr>
            <w:r w:rsidRPr="00745723">
              <w:rPr>
                <w:rFonts w:ascii="Arial Narrow" w:hAnsi="Arial Narrow"/>
                <w:sz w:val="20"/>
                <w:lang w:val="en-US"/>
              </w:rPr>
              <w:t>(99%)</w:t>
            </w:r>
          </w:p>
        </w:tc>
        <w:tc>
          <w:tcPr>
            <w:tcW w:w="821" w:type="pct"/>
            <w:tcBorders>
              <w:right w:val="double" w:sz="4" w:space="0" w:color="auto"/>
            </w:tcBorders>
            <w:shd w:val="clear" w:color="auto" w:fill="auto"/>
            <w:vAlign w:val="center"/>
          </w:tcPr>
          <w:p w:rsidR="00080ED9" w:rsidRPr="00745723" w:rsidRDefault="00080ED9" w:rsidP="00F53983">
            <w:pPr>
              <w:jc w:val="center"/>
              <w:rPr>
                <w:rFonts w:ascii="Arial Narrow" w:hAnsi="Arial Narrow"/>
                <w:sz w:val="20"/>
                <w:lang w:val="en-US"/>
              </w:rPr>
            </w:pPr>
            <w:r w:rsidRPr="00745723">
              <w:rPr>
                <w:rFonts w:ascii="Arial Narrow" w:hAnsi="Arial Narrow"/>
                <w:sz w:val="20"/>
                <w:lang w:val="en-US"/>
              </w:rPr>
              <w:t xml:space="preserve">275/278 </w:t>
            </w:r>
          </w:p>
          <w:p w:rsidR="00080ED9" w:rsidRPr="00745723" w:rsidRDefault="00080ED9" w:rsidP="00F53983">
            <w:pPr>
              <w:jc w:val="center"/>
              <w:rPr>
                <w:rFonts w:ascii="Arial Narrow" w:hAnsi="Arial Narrow"/>
                <w:sz w:val="20"/>
                <w:lang w:val="en-US"/>
              </w:rPr>
            </w:pPr>
            <w:r w:rsidRPr="00745723">
              <w:rPr>
                <w:rFonts w:ascii="Arial Narrow" w:hAnsi="Arial Narrow"/>
                <w:sz w:val="20"/>
                <w:lang w:val="en-US"/>
              </w:rPr>
              <w:t>(99%)</w:t>
            </w:r>
          </w:p>
        </w:tc>
        <w:tc>
          <w:tcPr>
            <w:tcW w:w="822" w:type="pct"/>
            <w:tcBorders>
              <w:left w:val="double" w:sz="4" w:space="0" w:color="auto"/>
            </w:tcBorders>
            <w:shd w:val="clear" w:color="auto" w:fill="auto"/>
            <w:vAlign w:val="center"/>
          </w:tcPr>
          <w:p w:rsidR="00080ED9" w:rsidRPr="00745723" w:rsidRDefault="00080ED9" w:rsidP="00080ED9">
            <w:pPr>
              <w:jc w:val="center"/>
              <w:rPr>
                <w:rFonts w:ascii="Arial Narrow" w:hAnsi="Arial Narrow"/>
                <w:sz w:val="20"/>
              </w:rPr>
            </w:pPr>
            <w:r w:rsidRPr="00745723">
              <w:rPr>
                <w:rFonts w:ascii="Arial Narrow" w:hAnsi="Arial Narrow"/>
                <w:sz w:val="20"/>
              </w:rPr>
              <w:t>1.00 (0.99, 1.01)</w:t>
            </w:r>
          </w:p>
          <w:p w:rsidR="00080ED9" w:rsidRPr="00745723" w:rsidRDefault="00080ED9" w:rsidP="00F53983">
            <w:pPr>
              <w:jc w:val="center"/>
              <w:rPr>
                <w:rFonts w:ascii="Arial Narrow" w:hAnsi="Arial Narrow"/>
                <w:sz w:val="20"/>
                <w:lang w:val="en-US"/>
              </w:rPr>
            </w:pPr>
            <w:r w:rsidRPr="00745723">
              <w:rPr>
                <w:rFonts w:ascii="Arial Narrow" w:hAnsi="Arial Narrow"/>
                <w:sz w:val="20"/>
              </w:rPr>
              <w:t>I</w:t>
            </w:r>
            <w:r w:rsidRPr="00745723">
              <w:rPr>
                <w:rFonts w:ascii="Arial Narrow" w:hAnsi="Arial Narrow"/>
                <w:sz w:val="20"/>
                <w:vertAlign w:val="superscript"/>
              </w:rPr>
              <w:t>2</w:t>
            </w:r>
            <w:r w:rsidRPr="00745723">
              <w:rPr>
                <w:rFonts w:ascii="Arial Narrow" w:hAnsi="Arial Narrow"/>
                <w:sz w:val="20"/>
              </w:rPr>
              <w:t xml:space="preserve"> = 0%</w:t>
            </w:r>
          </w:p>
        </w:tc>
        <w:tc>
          <w:tcPr>
            <w:tcW w:w="921" w:type="pct"/>
            <w:shd w:val="clear" w:color="auto" w:fill="auto"/>
            <w:vAlign w:val="center"/>
          </w:tcPr>
          <w:p w:rsidR="00080ED9" w:rsidRPr="00745723" w:rsidRDefault="00080ED9" w:rsidP="00080ED9">
            <w:pPr>
              <w:jc w:val="center"/>
              <w:rPr>
                <w:rFonts w:ascii="Arial Narrow" w:hAnsi="Arial Narrow"/>
                <w:sz w:val="20"/>
              </w:rPr>
            </w:pPr>
            <w:r w:rsidRPr="00745723">
              <w:rPr>
                <w:rFonts w:ascii="Arial Narrow" w:hAnsi="Arial Narrow"/>
                <w:sz w:val="20"/>
              </w:rPr>
              <w:t>-0.00 (-0.01, 0.01)</w:t>
            </w:r>
          </w:p>
          <w:p w:rsidR="00080ED9" w:rsidRPr="00745723" w:rsidRDefault="00080ED9" w:rsidP="00F53983">
            <w:pPr>
              <w:jc w:val="center"/>
              <w:rPr>
                <w:rFonts w:ascii="Arial Narrow" w:hAnsi="Arial Narrow"/>
                <w:sz w:val="20"/>
                <w:lang w:val="en-US"/>
              </w:rPr>
            </w:pPr>
            <w:r w:rsidRPr="00745723">
              <w:rPr>
                <w:rFonts w:ascii="Arial Narrow" w:hAnsi="Arial Narrow"/>
                <w:sz w:val="20"/>
              </w:rPr>
              <w:t>I</w:t>
            </w:r>
            <w:r w:rsidRPr="00745723">
              <w:rPr>
                <w:rFonts w:ascii="Arial Narrow" w:hAnsi="Arial Narrow"/>
                <w:sz w:val="20"/>
                <w:vertAlign w:val="superscript"/>
              </w:rPr>
              <w:t>2</w:t>
            </w:r>
            <w:r w:rsidRPr="00745723">
              <w:rPr>
                <w:rFonts w:ascii="Arial Narrow" w:hAnsi="Arial Narrow"/>
                <w:sz w:val="20"/>
              </w:rPr>
              <w:t xml:space="preserve"> = 0%</w:t>
            </w:r>
          </w:p>
        </w:tc>
      </w:tr>
      <w:tr w:rsidR="002E0CCC" w:rsidRPr="00745723" w:rsidTr="00B97BCA">
        <w:tc>
          <w:tcPr>
            <w:tcW w:w="1615" w:type="pct"/>
            <w:shd w:val="clear" w:color="auto" w:fill="auto"/>
            <w:vAlign w:val="center"/>
          </w:tcPr>
          <w:p w:rsidR="002E0CCC" w:rsidRPr="00745723" w:rsidRDefault="002E0CCC" w:rsidP="002E0CCC">
            <w:pPr>
              <w:jc w:val="left"/>
              <w:rPr>
                <w:rFonts w:ascii="Arial Narrow" w:hAnsi="Arial Narrow"/>
                <w:sz w:val="20"/>
                <w:lang w:val="en-US"/>
              </w:rPr>
            </w:pPr>
            <w:r w:rsidRPr="00745723">
              <w:rPr>
                <w:rFonts w:ascii="Arial Narrow" w:hAnsi="Arial Narrow"/>
                <w:sz w:val="20"/>
                <w:lang w:val="en-US"/>
              </w:rPr>
              <w:t>Patients with Anti-Polio 2 &gt; 8 1/dil at end of primary course</w:t>
            </w:r>
          </w:p>
        </w:tc>
        <w:tc>
          <w:tcPr>
            <w:tcW w:w="821" w:type="pct"/>
            <w:shd w:val="clear" w:color="auto" w:fill="auto"/>
            <w:vAlign w:val="center"/>
          </w:tcPr>
          <w:p w:rsidR="002E0CCC" w:rsidRPr="00745723" w:rsidRDefault="002E0CCC" w:rsidP="00F53983">
            <w:pPr>
              <w:jc w:val="center"/>
              <w:rPr>
                <w:rFonts w:ascii="Arial Narrow" w:hAnsi="Arial Narrow"/>
                <w:sz w:val="20"/>
                <w:lang w:val="en-US"/>
              </w:rPr>
            </w:pPr>
            <w:r w:rsidRPr="00745723">
              <w:rPr>
                <w:rFonts w:ascii="Arial Narrow" w:hAnsi="Arial Narrow"/>
                <w:sz w:val="20"/>
                <w:lang w:val="en-US"/>
              </w:rPr>
              <w:t xml:space="preserve">1804/1804 </w:t>
            </w:r>
          </w:p>
          <w:p w:rsidR="002E0CCC" w:rsidRPr="00745723" w:rsidRDefault="002E0CCC" w:rsidP="00F53983">
            <w:pPr>
              <w:jc w:val="center"/>
              <w:rPr>
                <w:rFonts w:ascii="Arial Narrow" w:hAnsi="Arial Narrow"/>
                <w:sz w:val="20"/>
                <w:lang w:val="en-US"/>
              </w:rPr>
            </w:pPr>
            <w:r w:rsidRPr="00745723">
              <w:rPr>
                <w:rFonts w:ascii="Arial Narrow" w:hAnsi="Arial Narrow"/>
                <w:sz w:val="20"/>
                <w:lang w:val="en-US"/>
              </w:rPr>
              <w:t>(100%)</w:t>
            </w:r>
          </w:p>
        </w:tc>
        <w:tc>
          <w:tcPr>
            <w:tcW w:w="821" w:type="pct"/>
            <w:tcBorders>
              <w:right w:val="double" w:sz="4" w:space="0" w:color="auto"/>
            </w:tcBorders>
            <w:shd w:val="clear" w:color="auto" w:fill="auto"/>
            <w:vAlign w:val="center"/>
          </w:tcPr>
          <w:p w:rsidR="002E0CCC" w:rsidRPr="00745723" w:rsidRDefault="002E0CCC" w:rsidP="00F53983">
            <w:pPr>
              <w:jc w:val="center"/>
              <w:rPr>
                <w:rFonts w:ascii="Arial Narrow" w:hAnsi="Arial Narrow"/>
                <w:sz w:val="20"/>
                <w:lang w:val="en-US"/>
              </w:rPr>
            </w:pPr>
            <w:r w:rsidRPr="00745723">
              <w:rPr>
                <w:rFonts w:ascii="Arial Narrow" w:hAnsi="Arial Narrow"/>
                <w:sz w:val="20"/>
                <w:lang w:val="en-US"/>
              </w:rPr>
              <w:t xml:space="preserve">616/616 </w:t>
            </w:r>
          </w:p>
          <w:p w:rsidR="002E0CCC" w:rsidRPr="00745723" w:rsidRDefault="002E0CCC" w:rsidP="00F53983">
            <w:pPr>
              <w:jc w:val="center"/>
              <w:rPr>
                <w:rFonts w:ascii="Arial Narrow" w:hAnsi="Arial Narrow"/>
                <w:sz w:val="20"/>
                <w:lang w:val="en-US"/>
              </w:rPr>
            </w:pPr>
            <w:r w:rsidRPr="00745723">
              <w:rPr>
                <w:rFonts w:ascii="Arial Narrow" w:hAnsi="Arial Narrow"/>
                <w:sz w:val="20"/>
                <w:lang w:val="en-US"/>
              </w:rPr>
              <w:t>(100%)</w:t>
            </w:r>
          </w:p>
        </w:tc>
        <w:tc>
          <w:tcPr>
            <w:tcW w:w="822" w:type="pct"/>
            <w:tcBorders>
              <w:left w:val="double" w:sz="4" w:space="0" w:color="auto"/>
            </w:tcBorders>
            <w:shd w:val="clear" w:color="auto" w:fill="auto"/>
            <w:vAlign w:val="center"/>
          </w:tcPr>
          <w:p w:rsidR="002E0CCC" w:rsidRPr="00745723" w:rsidRDefault="002E0CCC" w:rsidP="00B0244B">
            <w:pPr>
              <w:jc w:val="center"/>
              <w:rPr>
                <w:rFonts w:ascii="Arial Narrow" w:hAnsi="Arial Narrow"/>
                <w:sz w:val="20"/>
              </w:rPr>
            </w:pPr>
            <w:r w:rsidRPr="00745723">
              <w:rPr>
                <w:rFonts w:ascii="Arial Narrow" w:hAnsi="Arial Narrow"/>
                <w:sz w:val="20"/>
              </w:rPr>
              <w:t>1.00 (1.00, 1.00)</w:t>
            </w:r>
          </w:p>
          <w:p w:rsidR="002E0CCC" w:rsidRPr="00745723" w:rsidRDefault="002E0CCC" w:rsidP="00F53983">
            <w:pPr>
              <w:jc w:val="center"/>
              <w:rPr>
                <w:rFonts w:ascii="Arial Narrow" w:hAnsi="Arial Narrow"/>
                <w:sz w:val="20"/>
                <w:lang w:val="en-US"/>
              </w:rPr>
            </w:pPr>
            <w:r w:rsidRPr="00745723">
              <w:rPr>
                <w:rFonts w:ascii="Arial Narrow" w:hAnsi="Arial Narrow"/>
                <w:sz w:val="20"/>
              </w:rPr>
              <w:t>I</w:t>
            </w:r>
            <w:r w:rsidRPr="00745723">
              <w:rPr>
                <w:rFonts w:ascii="Arial Narrow" w:hAnsi="Arial Narrow"/>
                <w:sz w:val="20"/>
                <w:vertAlign w:val="superscript"/>
              </w:rPr>
              <w:t>2</w:t>
            </w:r>
            <w:r w:rsidRPr="00745723">
              <w:rPr>
                <w:rFonts w:ascii="Arial Narrow" w:hAnsi="Arial Narrow"/>
                <w:sz w:val="20"/>
              </w:rPr>
              <w:t xml:space="preserve"> = 0%</w:t>
            </w:r>
          </w:p>
        </w:tc>
        <w:tc>
          <w:tcPr>
            <w:tcW w:w="921" w:type="pct"/>
            <w:shd w:val="clear" w:color="auto" w:fill="auto"/>
            <w:vAlign w:val="center"/>
          </w:tcPr>
          <w:p w:rsidR="002E0CCC" w:rsidRPr="00745723" w:rsidRDefault="002E0CCC" w:rsidP="00B0244B">
            <w:pPr>
              <w:jc w:val="center"/>
              <w:rPr>
                <w:rFonts w:ascii="Arial Narrow" w:hAnsi="Arial Narrow"/>
                <w:sz w:val="20"/>
              </w:rPr>
            </w:pPr>
            <w:r w:rsidRPr="00745723">
              <w:rPr>
                <w:rFonts w:ascii="Arial Narrow" w:hAnsi="Arial Narrow"/>
                <w:sz w:val="20"/>
              </w:rPr>
              <w:t>0.00 (-0.00, 0.00)</w:t>
            </w:r>
          </w:p>
          <w:p w:rsidR="002E0CCC" w:rsidRPr="00745723" w:rsidRDefault="002E0CCC" w:rsidP="00F53983">
            <w:pPr>
              <w:jc w:val="center"/>
              <w:rPr>
                <w:rFonts w:ascii="Arial Narrow" w:hAnsi="Arial Narrow"/>
                <w:sz w:val="20"/>
                <w:lang w:val="en-US"/>
              </w:rPr>
            </w:pPr>
            <w:r w:rsidRPr="00745723">
              <w:rPr>
                <w:rFonts w:ascii="Arial Narrow" w:hAnsi="Arial Narrow"/>
                <w:sz w:val="20"/>
              </w:rPr>
              <w:t>I</w:t>
            </w:r>
            <w:r w:rsidRPr="00745723">
              <w:rPr>
                <w:rFonts w:ascii="Arial Narrow" w:hAnsi="Arial Narrow"/>
                <w:sz w:val="20"/>
                <w:vertAlign w:val="superscript"/>
              </w:rPr>
              <w:t>2</w:t>
            </w:r>
            <w:r w:rsidRPr="00745723">
              <w:rPr>
                <w:rFonts w:ascii="Arial Narrow" w:hAnsi="Arial Narrow"/>
                <w:sz w:val="20"/>
              </w:rPr>
              <w:t xml:space="preserve"> = 0%</w:t>
            </w:r>
          </w:p>
        </w:tc>
      </w:tr>
      <w:tr w:rsidR="00F61ECB" w:rsidRPr="00745723" w:rsidTr="00B97BCA">
        <w:tc>
          <w:tcPr>
            <w:tcW w:w="1615" w:type="pct"/>
            <w:shd w:val="clear" w:color="auto" w:fill="auto"/>
            <w:vAlign w:val="center"/>
          </w:tcPr>
          <w:p w:rsidR="00F61ECB" w:rsidRPr="00745723" w:rsidRDefault="00F61ECB" w:rsidP="00F61ECB">
            <w:pPr>
              <w:jc w:val="left"/>
              <w:rPr>
                <w:rFonts w:ascii="Arial Narrow" w:hAnsi="Arial Narrow"/>
                <w:sz w:val="20"/>
                <w:lang w:val="en-US"/>
              </w:rPr>
            </w:pPr>
            <w:r w:rsidRPr="00745723">
              <w:rPr>
                <w:rFonts w:ascii="Arial Narrow" w:hAnsi="Arial Narrow"/>
                <w:sz w:val="20"/>
                <w:lang w:val="en-US"/>
              </w:rPr>
              <w:t xml:space="preserve">Patients with Anti-Polio 2 &gt; 8 1/dil in 2nd year of life </w:t>
            </w:r>
          </w:p>
        </w:tc>
        <w:tc>
          <w:tcPr>
            <w:tcW w:w="821" w:type="pct"/>
            <w:shd w:val="clear" w:color="auto" w:fill="auto"/>
            <w:vAlign w:val="center"/>
          </w:tcPr>
          <w:p w:rsidR="00F61ECB" w:rsidRPr="00745723" w:rsidRDefault="00F61ECB" w:rsidP="00F53983">
            <w:pPr>
              <w:jc w:val="center"/>
              <w:rPr>
                <w:rFonts w:ascii="Arial Narrow" w:hAnsi="Arial Narrow"/>
                <w:sz w:val="20"/>
                <w:lang w:val="en-US"/>
              </w:rPr>
            </w:pPr>
            <w:r w:rsidRPr="00745723">
              <w:rPr>
                <w:rFonts w:ascii="Arial Narrow" w:hAnsi="Arial Narrow"/>
                <w:sz w:val="20"/>
                <w:lang w:val="en-US"/>
              </w:rPr>
              <w:t xml:space="preserve">836/838 </w:t>
            </w:r>
          </w:p>
          <w:p w:rsidR="00F61ECB" w:rsidRPr="00745723" w:rsidRDefault="00F61ECB" w:rsidP="00F53983">
            <w:pPr>
              <w:jc w:val="center"/>
              <w:rPr>
                <w:rFonts w:ascii="Arial Narrow" w:hAnsi="Arial Narrow"/>
                <w:sz w:val="20"/>
                <w:lang w:val="en-US"/>
              </w:rPr>
            </w:pPr>
            <w:r w:rsidRPr="00745723">
              <w:rPr>
                <w:rFonts w:ascii="Arial Narrow" w:hAnsi="Arial Narrow"/>
                <w:sz w:val="20"/>
                <w:lang w:val="en-US"/>
              </w:rPr>
              <w:t>(100%)</w:t>
            </w:r>
          </w:p>
        </w:tc>
        <w:tc>
          <w:tcPr>
            <w:tcW w:w="821" w:type="pct"/>
            <w:tcBorders>
              <w:right w:val="double" w:sz="4" w:space="0" w:color="auto"/>
            </w:tcBorders>
            <w:shd w:val="clear" w:color="auto" w:fill="auto"/>
            <w:vAlign w:val="center"/>
          </w:tcPr>
          <w:p w:rsidR="00F61ECB" w:rsidRPr="00745723" w:rsidRDefault="00F61ECB" w:rsidP="00F53983">
            <w:pPr>
              <w:jc w:val="center"/>
              <w:rPr>
                <w:rFonts w:ascii="Arial Narrow" w:hAnsi="Arial Narrow"/>
                <w:sz w:val="20"/>
                <w:lang w:val="en-US"/>
              </w:rPr>
            </w:pPr>
            <w:r w:rsidRPr="00745723">
              <w:rPr>
                <w:rFonts w:ascii="Arial Narrow" w:hAnsi="Arial Narrow"/>
                <w:sz w:val="20"/>
                <w:lang w:val="en-US"/>
              </w:rPr>
              <w:t xml:space="preserve">278/278 </w:t>
            </w:r>
          </w:p>
          <w:p w:rsidR="00F61ECB" w:rsidRPr="00745723" w:rsidRDefault="00F61ECB" w:rsidP="00F53983">
            <w:pPr>
              <w:jc w:val="center"/>
              <w:rPr>
                <w:rFonts w:ascii="Arial Narrow" w:hAnsi="Arial Narrow"/>
                <w:sz w:val="20"/>
                <w:lang w:val="en-US"/>
              </w:rPr>
            </w:pPr>
            <w:r w:rsidRPr="00745723">
              <w:rPr>
                <w:rFonts w:ascii="Arial Narrow" w:hAnsi="Arial Narrow"/>
                <w:sz w:val="20"/>
                <w:lang w:val="en-US"/>
              </w:rPr>
              <w:t>(100%)</w:t>
            </w:r>
          </w:p>
        </w:tc>
        <w:tc>
          <w:tcPr>
            <w:tcW w:w="822" w:type="pct"/>
            <w:tcBorders>
              <w:left w:val="double" w:sz="4" w:space="0" w:color="auto"/>
            </w:tcBorders>
            <w:shd w:val="clear" w:color="auto" w:fill="auto"/>
            <w:vAlign w:val="center"/>
          </w:tcPr>
          <w:p w:rsidR="00F61ECB" w:rsidRPr="00745723" w:rsidRDefault="00F61ECB" w:rsidP="00B0244B">
            <w:pPr>
              <w:jc w:val="center"/>
              <w:rPr>
                <w:rFonts w:ascii="Arial Narrow" w:hAnsi="Arial Narrow"/>
                <w:sz w:val="20"/>
              </w:rPr>
            </w:pPr>
            <w:r w:rsidRPr="00745723">
              <w:rPr>
                <w:rFonts w:ascii="Arial Narrow" w:hAnsi="Arial Narrow"/>
                <w:sz w:val="20"/>
              </w:rPr>
              <w:t>1.00 (0.99, 1.01)</w:t>
            </w:r>
          </w:p>
          <w:p w:rsidR="00F61ECB" w:rsidRPr="00745723" w:rsidRDefault="00F61ECB" w:rsidP="00F53983">
            <w:pPr>
              <w:jc w:val="center"/>
              <w:rPr>
                <w:rFonts w:ascii="Arial Narrow" w:hAnsi="Arial Narrow"/>
                <w:sz w:val="20"/>
                <w:lang w:val="en-US"/>
              </w:rPr>
            </w:pPr>
            <w:r w:rsidRPr="00745723">
              <w:rPr>
                <w:rFonts w:ascii="Arial Narrow" w:hAnsi="Arial Narrow"/>
                <w:sz w:val="20"/>
              </w:rPr>
              <w:t>I</w:t>
            </w:r>
            <w:r w:rsidRPr="00745723">
              <w:rPr>
                <w:rFonts w:ascii="Arial Narrow" w:hAnsi="Arial Narrow"/>
                <w:sz w:val="20"/>
                <w:vertAlign w:val="superscript"/>
              </w:rPr>
              <w:t>2</w:t>
            </w:r>
            <w:r w:rsidRPr="00745723">
              <w:rPr>
                <w:rFonts w:ascii="Arial Narrow" w:hAnsi="Arial Narrow"/>
                <w:sz w:val="20"/>
              </w:rPr>
              <w:t xml:space="preserve"> = 0%</w:t>
            </w:r>
          </w:p>
        </w:tc>
        <w:tc>
          <w:tcPr>
            <w:tcW w:w="921" w:type="pct"/>
            <w:shd w:val="clear" w:color="auto" w:fill="auto"/>
            <w:vAlign w:val="center"/>
          </w:tcPr>
          <w:p w:rsidR="00F61ECB" w:rsidRPr="00745723" w:rsidRDefault="00F61ECB" w:rsidP="00B0244B">
            <w:pPr>
              <w:jc w:val="center"/>
              <w:rPr>
                <w:rFonts w:ascii="Arial Narrow" w:hAnsi="Arial Narrow"/>
                <w:sz w:val="20"/>
              </w:rPr>
            </w:pPr>
            <w:r w:rsidRPr="00745723">
              <w:rPr>
                <w:rFonts w:ascii="Arial Narrow" w:hAnsi="Arial Narrow"/>
                <w:sz w:val="20"/>
              </w:rPr>
              <w:t>-0.00 (-0.01, 0.00)</w:t>
            </w:r>
          </w:p>
          <w:p w:rsidR="00F61ECB" w:rsidRPr="00745723" w:rsidRDefault="00F61ECB" w:rsidP="00F53983">
            <w:pPr>
              <w:jc w:val="center"/>
              <w:rPr>
                <w:rFonts w:ascii="Arial Narrow" w:hAnsi="Arial Narrow"/>
                <w:sz w:val="20"/>
                <w:lang w:val="en-US"/>
              </w:rPr>
            </w:pPr>
            <w:r w:rsidRPr="00745723">
              <w:rPr>
                <w:rFonts w:ascii="Arial Narrow" w:hAnsi="Arial Narrow"/>
                <w:sz w:val="20"/>
              </w:rPr>
              <w:t>I</w:t>
            </w:r>
            <w:r w:rsidRPr="00745723">
              <w:rPr>
                <w:rFonts w:ascii="Arial Narrow" w:hAnsi="Arial Narrow"/>
                <w:sz w:val="20"/>
                <w:vertAlign w:val="superscript"/>
              </w:rPr>
              <w:t>2</w:t>
            </w:r>
            <w:r w:rsidRPr="00745723">
              <w:rPr>
                <w:rFonts w:ascii="Arial Narrow" w:hAnsi="Arial Narrow"/>
                <w:sz w:val="20"/>
              </w:rPr>
              <w:t xml:space="preserve"> = 0%</w:t>
            </w:r>
          </w:p>
        </w:tc>
      </w:tr>
      <w:tr w:rsidR="00B97BCA" w:rsidRPr="00745723" w:rsidTr="00B97BCA">
        <w:tc>
          <w:tcPr>
            <w:tcW w:w="1615" w:type="pct"/>
            <w:shd w:val="clear" w:color="auto" w:fill="auto"/>
            <w:vAlign w:val="center"/>
          </w:tcPr>
          <w:p w:rsidR="00B97BCA" w:rsidRPr="00745723" w:rsidRDefault="00B97BCA" w:rsidP="00B97BCA">
            <w:pPr>
              <w:jc w:val="left"/>
              <w:rPr>
                <w:rFonts w:ascii="Arial Narrow" w:hAnsi="Arial Narrow"/>
                <w:sz w:val="20"/>
                <w:lang w:val="en-US"/>
              </w:rPr>
            </w:pPr>
            <w:r w:rsidRPr="00745723">
              <w:rPr>
                <w:rFonts w:ascii="Arial Narrow" w:hAnsi="Arial Narrow"/>
                <w:sz w:val="20"/>
                <w:lang w:val="en-US"/>
              </w:rPr>
              <w:t>Patients with Anti-Polio 3 &gt; 8 1/dil at end of primary course</w:t>
            </w:r>
          </w:p>
        </w:tc>
        <w:tc>
          <w:tcPr>
            <w:tcW w:w="821" w:type="pct"/>
            <w:shd w:val="clear" w:color="auto" w:fill="auto"/>
            <w:vAlign w:val="center"/>
          </w:tcPr>
          <w:p w:rsidR="00B97BCA" w:rsidRPr="00745723" w:rsidRDefault="00B97BCA" w:rsidP="00F53983">
            <w:pPr>
              <w:jc w:val="center"/>
              <w:rPr>
                <w:rFonts w:ascii="Arial Narrow" w:hAnsi="Arial Narrow"/>
                <w:sz w:val="20"/>
                <w:lang w:val="en-US"/>
              </w:rPr>
            </w:pPr>
            <w:r w:rsidRPr="00745723">
              <w:rPr>
                <w:rFonts w:ascii="Arial Narrow" w:hAnsi="Arial Narrow"/>
                <w:sz w:val="20"/>
                <w:lang w:val="en-US"/>
              </w:rPr>
              <w:t xml:space="preserve">1803/1804 </w:t>
            </w:r>
          </w:p>
          <w:p w:rsidR="00B97BCA" w:rsidRPr="00745723" w:rsidRDefault="00B97BCA" w:rsidP="00F53983">
            <w:pPr>
              <w:jc w:val="center"/>
              <w:rPr>
                <w:rFonts w:ascii="Arial Narrow" w:hAnsi="Arial Narrow"/>
                <w:sz w:val="20"/>
                <w:lang w:val="en-US"/>
              </w:rPr>
            </w:pPr>
            <w:r w:rsidRPr="00745723">
              <w:rPr>
                <w:rFonts w:ascii="Arial Narrow" w:hAnsi="Arial Narrow"/>
                <w:sz w:val="20"/>
                <w:lang w:val="en-US"/>
              </w:rPr>
              <w:t>(100%)</w:t>
            </w:r>
          </w:p>
        </w:tc>
        <w:tc>
          <w:tcPr>
            <w:tcW w:w="821" w:type="pct"/>
            <w:tcBorders>
              <w:right w:val="double" w:sz="4" w:space="0" w:color="auto"/>
            </w:tcBorders>
            <w:shd w:val="clear" w:color="auto" w:fill="auto"/>
            <w:vAlign w:val="center"/>
          </w:tcPr>
          <w:p w:rsidR="00B97BCA" w:rsidRPr="00745723" w:rsidRDefault="00B97BCA" w:rsidP="00F53983">
            <w:pPr>
              <w:jc w:val="center"/>
              <w:rPr>
                <w:rFonts w:ascii="Arial Narrow" w:hAnsi="Arial Narrow"/>
                <w:sz w:val="20"/>
                <w:lang w:val="en-US"/>
              </w:rPr>
            </w:pPr>
            <w:r w:rsidRPr="00745723">
              <w:rPr>
                <w:rFonts w:ascii="Arial Narrow" w:hAnsi="Arial Narrow"/>
                <w:sz w:val="20"/>
                <w:lang w:val="en-US"/>
              </w:rPr>
              <w:t xml:space="preserve">613/615 </w:t>
            </w:r>
          </w:p>
          <w:p w:rsidR="00B97BCA" w:rsidRPr="00745723" w:rsidRDefault="00B97BCA" w:rsidP="00F53983">
            <w:pPr>
              <w:jc w:val="center"/>
              <w:rPr>
                <w:rFonts w:ascii="Arial Narrow" w:hAnsi="Arial Narrow"/>
                <w:sz w:val="20"/>
                <w:lang w:val="en-US"/>
              </w:rPr>
            </w:pPr>
            <w:r w:rsidRPr="00745723">
              <w:rPr>
                <w:rFonts w:ascii="Arial Narrow" w:hAnsi="Arial Narrow"/>
                <w:sz w:val="20"/>
                <w:lang w:val="en-US"/>
              </w:rPr>
              <w:t>(100%)</w:t>
            </w:r>
          </w:p>
        </w:tc>
        <w:tc>
          <w:tcPr>
            <w:tcW w:w="822" w:type="pct"/>
            <w:tcBorders>
              <w:left w:val="double" w:sz="4" w:space="0" w:color="auto"/>
            </w:tcBorders>
            <w:shd w:val="clear" w:color="auto" w:fill="auto"/>
            <w:vAlign w:val="center"/>
          </w:tcPr>
          <w:p w:rsidR="00B97BCA" w:rsidRPr="00745723" w:rsidRDefault="00B97BCA" w:rsidP="00B0244B">
            <w:pPr>
              <w:jc w:val="center"/>
              <w:rPr>
                <w:rFonts w:ascii="Arial Narrow" w:hAnsi="Arial Narrow"/>
                <w:sz w:val="20"/>
              </w:rPr>
            </w:pPr>
            <w:r w:rsidRPr="00745723">
              <w:rPr>
                <w:rFonts w:ascii="Arial Narrow" w:hAnsi="Arial Narrow"/>
                <w:sz w:val="20"/>
              </w:rPr>
              <w:t>1.00 (1.00, 1.01)</w:t>
            </w:r>
          </w:p>
          <w:p w:rsidR="00B97BCA" w:rsidRPr="00745723" w:rsidRDefault="00B97BCA" w:rsidP="00F53983">
            <w:pPr>
              <w:jc w:val="center"/>
              <w:rPr>
                <w:rFonts w:ascii="Arial Narrow" w:hAnsi="Arial Narrow"/>
                <w:sz w:val="20"/>
                <w:lang w:val="en-US"/>
              </w:rPr>
            </w:pPr>
            <w:r w:rsidRPr="00745723">
              <w:rPr>
                <w:rFonts w:ascii="Arial Narrow" w:hAnsi="Arial Narrow"/>
                <w:sz w:val="20"/>
              </w:rPr>
              <w:t>I</w:t>
            </w:r>
            <w:r w:rsidRPr="00745723">
              <w:rPr>
                <w:rFonts w:ascii="Arial Narrow" w:hAnsi="Arial Narrow"/>
                <w:sz w:val="20"/>
                <w:vertAlign w:val="superscript"/>
              </w:rPr>
              <w:t>2</w:t>
            </w:r>
            <w:r w:rsidRPr="00745723">
              <w:rPr>
                <w:rFonts w:ascii="Arial Narrow" w:hAnsi="Arial Narrow"/>
                <w:sz w:val="20"/>
              </w:rPr>
              <w:t xml:space="preserve"> = 0%</w:t>
            </w:r>
          </w:p>
        </w:tc>
        <w:tc>
          <w:tcPr>
            <w:tcW w:w="921" w:type="pct"/>
            <w:shd w:val="clear" w:color="auto" w:fill="auto"/>
            <w:vAlign w:val="center"/>
          </w:tcPr>
          <w:p w:rsidR="00B97BCA" w:rsidRPr="00745723" w:rsidRDefault="00B97BCA" w:rsidP="00B0244B">
            <w:pPr>
              <w:jc w:val="center"/>
              <w:rPr>
                <w:rFonts w:ascii="Arial Narrow" w:hAnsi="Arial Narrow"/>
                <w:sz w:val="20"/>
              </w:rPr>
            </w:pPr>
            <w:r w:rsidRPr="00745723">
              <w:rPr>
                <w:rFonts w:ascii="Arial Narrow" w:hAnsi="Arial Narrow"/>
                <w:sz w:val="20"/>
              </w:rPr>
              <w:t>0.00 (-0.00, 0.01)</w:t>
            </w:r>
          </w:p>
          <w:p w:rsidR="00B97BCA" w:rsidRPr="00745723" w:rsidRDefault="00B97BCA" w:rsidP="00F53983">
            <w:pPr>
              <w:jc w:val="center"/>
              <w:rPr>
                <w:rFonts w:ascii="Arial Narrow" w:hAnsi="Arial Narrow"/>
                <w:sz w:val="20"/>
                <w:lang w:val="en-US"/>
              </w:rPr>
            </w:pPr>
            <w:r w:rsidRPr="00745723">
              <w:rPr>
                <w:rFonts w:ascii="Arial Narrow" w:hAnsi="Arial Narrow"/>
                <w:sz w:val="20"/>
              </w:rPr>
              <w:t>I</w:t>
            </w:r>
            <w:r w:rsidRPr="00745723">
              <w:rPr>
                <w:rFonts w:ascii="Arial Narrow" w:hAnsi="Arial Narrow"/>
                <w:sz w:val="20"/>
                <w:vertAlign w:val="superscript"/>
              </w:rPr>
              <w:t>2</w:t>
            </w:r>
            <w:r w:rsidRPr="00745723">
              <w:rPr>
                <w:rFonts w:ascii="Arial Narrow" w:hAnsi="Arial Narrow"/>
                <w:sz w:val="20"/>
              </w:rPr>
              <w:t xml:space="preserve"> = 0%</w:t>
            </w:r>
          </w:p>
        </w:tc>
      </w:tr>
      <w:tr w:rsidR="00B97BCA" w:rsidRPr="00745723" w:rsidTr="00B97BCA">
        <w:tc>
          <w:tcPr>
            <w:tcW w:w="1615" w:type="pct"/>
            <w:shd w:val="clear" w:color="auto" w:fill="auto"/>
            <w:vAlign w:val="center"/>
          </w:tcPr>
          <w:p w:rsidR="00B97BCA" w:rsidRPr="00745723" w:rsidRDefault="00B97BCA" w:rsidP="00B97BCA">
            <w:pPr>
              <w:jc w:val="left"/>
              <w:rPr>
                <w:rFonts w:ascii="Arial Narrow" w:hAnsi="Arial Narrow"/>
                <w:sz w:val="20"/>
                <w:lang w:val="en-US"/>
              </w:rPr>
            </w:pPr>
            <w:r w:rsidRPr="00745723">
              <w:rPr>
                <w:rFonts w:ascii="Arial Narrow" w:hAnsi="Arial Narrow"/>
                <w:sz w:val="20"/>
                <w:lang w:val="en-US"/>
              </w:rPr>
              <w:t>Patients with Anti-Polio 3 &gt; 8 1/dil in 2nd year of life</w:t>
            </w:r>
          </w:p>
        </w:tc>
        <w:tc>
          <w:tcPr>
            <w:tcW w:w="821" w:type="pct"/>
            <w:shd w:val="clear" w:color="auto" w:fill="auto"/>
            <w:vAlign w:val="center"/>
          </w:tcPr>
          <w:p w:rsidR="00B97BCA" w:rsidRPr="00745723" w:rsidRDefault="00B97BCA" w:rsidP="00F53983">
            <w:pPr>
              <w:jc w:val="center"/>
              <w:rPr>
                <w:rFonts w:ascii="Arial Narrow" w:hAnsi="Arial Narrow"/>
                <w:sz w:val="20"/>
                <w:lang w:val="en-US"/>
              </w:rPr>
            </w:pPr>
            <w:r w:rsidRPr="00745723">
              <w:rPr>
                <w:rFonts w:ascii="Arial Narrow" w:hAnsi="Arial Narrow"/>
                <w:sz w:val="20"/>
                <w:lang w:val="en-US"/>
              </w:rPr>
              <w:t xml:space="preserve">800/837 </w:t>
            </w:r>
          </w:p>
          <w:p w:rsidR="00B97BCA" w:rsidRPr="00745723" w:rsidRDefault="00B97BCA" w:rsidP="00F53983">
            <w:pPr>
              <w:jc w:val="center"/>
              <w:rPr>
                <w:rFonts w:ascii="Arial Narrow" w:hAnsi="Arial Narrow"/>
                <w:sz w:val="20"/>
                <w:lang w:val="en-US"/>
              </w:rPr>
            </w:pPr>
            <w:r w:rsidRPr="00745723">
              <w:rPr>
                <w:rFonts w:ascii="Arial Narrow" w:hAnsi="Arial Narrow"/>
                <w:sz w:val="20"/>
                <w:lang w:val="en-US"/>
              </w:rPr>
              <w:t>(96%)</w:t>
            </w:r>
          </w:p>
        </w:tc>
        <w:tc>
          <w:tcPr>
            <w:tcW w:w="821" w:type="pct"/>
            <w:tcBorders>
              <w:right w:val="double" w:sz="4" w:space="0" w:color="auto"/>
            </w:tcBorders>
            <w:shd w:val="clear" w:color="auto" w:fill="auto"/>
            <w:vAlign w:val="center"/>
          </w:tcPr>
          <w:p w:rsidR="00B97BCA" w:rsidRPr="00745723" w:rsidRDefault="00B97BCA" w:rsidP="00F53983">
            <w:pPr>
              <w:jc w:val="center"/>
              <w:rPr>
                <w:rFonts w:ascii="Arial Narrow" w:hAnsi="Arial Narrow"/>
                <w:sz w:val="20"/>
                <w:lang w:val="en-US"/>
              </w:rPr>
            </w:pPr>
            <w:r w:rsidRPr="00745723">
              <w:rPr>
                <w:rFonts w:ascii="Arial Narrow" w:hAnsi="Arial Narrow"/>
                <w:sz w:val="20"/>
                <w:lang w:val="en-US"/>
              </w:rPr>
              <w:t xml:space="preserve">275/278 </w:t>
            </w:r>
          </w:p>
          <w:p w:rsidR="00B97BCA" w:rsidRPr="00745723" w:rsidRDefault="00B97BCA" w:rsidP="00F53983">
            <w:pPr>
              <w:jc w:val="center"/>
              <w:rPr>
                <w:rFonts w:ascii="Arial Narrow" w:hAnsi="Arial Narrow"/>
                <w:sz w:val="20"/>
                <w:lang w:val="en-US"/>
              </w:rPr>
            </w:pPr>
            <w:r w:rsidRPr="00745723">
              <w:rPr>
                <w:rFonts w:ascii="Arial Narrow" w:hAnsi="Arial Narrow"/>
                <w:sz w:val="20"/>
                <w:lang w:val="en-US"/>
              </w:rPr>
              <w:t>(99%)</w:t>
            </w:r>
          </w:p>
        </w:tc>
        <w:tc>
          <w:tcPr>
            <w:tcW w:w="822" w:type="pct"/>
            <w:tcBorders>
              <w:left w:val="double" w:sz="4" w:space="0" w:color="auto"/>
            </w:tcBorders>
            <w:shd w:val="clear" w:color="auto" w:fill="auto"/>
            <w:vAlign w:val="center"/>
          </w:tcPr>
          <w:p w:rsidR="00B97BCA" w:rsidRPr="00745723" w:rsidRDefault="00B97BCA" w:rsidP="00B0244B">
            <w:pPr>
              <w:jc w:val="center"/>
              <w:rPr>
                <w:rFonts w:ascii="Arial Narrow" w:hAnsi="Arial Narrow"/>
                <w:sz w:val="20"/>
              </w:rPr>
            </w:pPr>
            <w:r w:rsidRPr="00745723">
              <w:rPr>
                <w:rFonts w:ascii="Arial Narrow" w:hAnsi="Arial Narrow"/>
                <w:sz w:val="20"/>
              </w:rPr>
              <w:t>0.97 (0.95, 0.98)</w:t>
            </w:r>
          </w:p>
          <w:p w:rsidR="00B97BCA" w:rsidRPr="00745723" w:rsidRDefault="00B97BCA" w:rsidP="00F53983">
            <w:pPr>
              <w:jc w:val="center"/>
              <w:rPr>
                <w:rFonts w:ascii="Arial Narrow" w:hAnsi="Arial Narrow"/>
                <w:sz w:val="20"/>
                <w:lang w:val="en-US"/>
              </w:rPr>
            </w:pPr>
            <w:r w:rsidRPr="00745723">
              <w:rPr>
                <w:rFonts w:ascii="Arial Narrow" w:hAnsi="Arial Narrow"/>
                <w:sz w:val="20"/>
              </w:rPr>
              <w:t>I</w:t>
            </w:r>
            <w:r w:rsidRPr="00745723">
              <w:rPr>
                <w:rFonts w:ascii="Arial Narrow" w:hAnsi="Arial Narrow"/>
                <w:sz w:val="20"/>
                <w:vertAlign w:val="superscript"/>
              </w:rPr>
              <w:t>2</w:t>
            </w:r>
            <w:r w:rsidRPr="00745723">
              <w:rPr>
                <w:rFonts w:ascii="Arial Narrow" w:hAnsi="Arial Narrow"/>
                <w:sz w:val="20"/>
              </w:rPr>
              <w:t xml:space="preserve"> = 0%</w:t>
            </w:r>
          </w:p>
        </w:tc>
        <w:tc>
          <w:tcPr>
            <w:tcW w:w="921" w:type="pct"/>
            <w:shd w:val="clear" w:color="auto" w:fill="auto"/>
            <w:vAlign w:val="center"/>
          </w:tcPr>
          <w:p w:rsidR="00B97BCA" w:rsidRPr="00745723" w:rsidRDefault="00B97BCA" w:rsidP="00B0244B">
            <w:pPr>
              <w:jc w:val="center"/>
              <w:rPr>
                <w:rFonts w:ascii="Arial Narrow" w:hAnsi="Arial Narrow"/>
                <w:sz w:val="20"/>
              </w:rPr>
            </w:pPr>
            <w:r w:rsidRPr="00745723">
              <w:rPr>
                <w:rFonts w:ascii="Arial Narrow" w:hAnsi="Arial Narrow"/>
                <w:sz w:val="20"/>
              </w:rPr>
              <w:t>-0.03 (-0.05, -0.02)</w:t>
            </w:r>
          </w:p>
          <w:p w:rsidR="00B97BCA" w:rsidRPr="00745723" w:rsidRDefault="00B97BCA" w:rsidP="00F53983">
            <w:pPr>
              <w:jc w:val="center"/>
              <w:rPr>
                <w:rFonts w:ascii="Arial Narrow" w:hAnsi="Arial Narrow"/>
                <w:sz w:val="20"/>
                <w:lang w:val="en-US"/>
              </w:rPr>
            </w:pPr>
            <w:r w:rsidRPr="00745723">
              <w:rPr>
                <w:rFonts w:ascii="Arial Narrow" w:hAnsi="Arial Narrow"/>
                <w:sz w:val="20"/>
              </w:rPr>
              <w:t>I</w:t>
            </w:r>
            <w:r w:rsidRPr="00745723">
              <w:rPr>
                <w:rFonts w:ascii="Arial Narrow" w:hAnsi="Arial Narrow"/>
                <w:sz w:val="20"/>
                <w:vertAlign w:val="superscript"/>
              </w:rPr>
              <w:t>2</w:t>
            </w:r>
            <w:r w:rsidRPr="00745723">
              <w:rPr>
                <w:rFonts w:ascii="Arial Narrow" w:hAnsi="Arial Narrow"/>
                <w:sz w:val="20"/>
              </w:rPr>
              <w:t xml:space="preserve"> = 0%</w:t>
            </w:r>
          </w:p>
        </w:tc>
      </w:tr>
      <w:tr w:rsidR="00410AE7" w:rsidRPr="00745723" w:rsidTr="00B97BCA">
        <w:tc>
          <w:tcPr>
            <w:tcW w:w="1615" w:type="pct"/>
            <w:shd w:val="clear" w:color="auto" w:fill="auto"/>
            <w:vAlign w:val="center"/>
          </w:tcPr>
          <w:p w:rsidR="00410AE7" w:rsidRPr="00745723" w:rsidRDefault="00410AE7" w:rsidP="00410AE7">
            <w:pPr>
              <w:jc w:val="left"/>
              <w:rPr>
                <w:rFonts w:ascii="Arial Narrow" w:hAnsi="Arial Narrow"/>
                <w:sz w:val="20"/>
                <w:lang w:val="en-US"/>
              </w:rPr>
            </w:pPr>
            <w:r w:rsidRPr="00745723">
              <w:rPr>
                <w:rFonts w:ascii="Arial Narrow" w:hAnsi="Arial Narrow"/>
                <w:sz w:val="20"/>
                <w:lang w:val="en-US"/>
              </w:rPr>
              <w:t xml:space="preserve">Patients with Anti-PRP ≥ 0.15 mcg/mL at end of primary course </w:t>
            </w:r>
          </w:p>
        </w:tc>
        <w:tc>
          <w:tcPr>
            <w:tcW w:w="821" w:type="pct"/>
            <w:shd w:val="clear" w:color="auto" w:fill="auto"/>
            <w:vAlign w:val="center"/>
          </w:tcPr>
          <w:p w:rsidR="00410AE7" w:rsidRPr="00745723" w:rsidRDefault="00410AE7" w:rsidP="00F53983">
            <w:pPr>
              <w:jc w:val="center"/>
              <w:rPr>
                <w:rFonts w:ascii="Arial Narrow" w:hAnsi="Arial Narrow"/>
                <w:sz w:val="20"/>
                <w:lang w:val="en-US"/>
              </w:rPr>
            </w:pPr>
            <w:r w:rsidRPr="00745723">
              <w:rPr>
                <w:rFonts w:ascii="Arial Narrow" w:hAnsi="Arial Narrow"/>
                <w:sz w:val="20"/>
                <w:lang w:val="en-US"/>
              </w:rPr>
              <w:t xml:space="preserve">1888/1950 </w:t>
            </w:r>
          </w:p>
          <w:p w:rsidR="00410AE7" w:rsidRPr="00745723" w:rsidRDefault="00410AE7" w:rsidP="00F53983">
            <w:pPr>
              <w:jc w:val="center"/>
              <w:rPr>
                <w:rFonts w:ascii="Arial Narrow" w:hAnsi="Arial Narrow"/>
                <w:sz w:val="20"/>
                <w:lang w:val="en-US"/>
              </w:rPr>
            </w:pPr>
            <w:r w:rsidRPr="00745723">
              <w:rPr>
                <w:rFonts w:ascii="Arial Narrow" w:hAnsi="Arial Narrow"/>
                <w:sz w:val="20"/>
                <w:lang w:val="en-US"/>
              </w:rPr>
              <w:t>(97%)</w:t>
            </w:r>
          </w:p>
        </w:tc>
        <w:tc>
          <w:tcPr>
            <w:tcW w:w="821" w:type="pct"/>
            <w:tcBorders>
              <w:right w:val="double" w:sz="4" w:space="0" w:color="auto"/>
            </w:tcBorders>
            <w:shd w:val="clear" w:color="auto" w:fill="auto"/>
            <w:vAlign w:val="center"/>
          </w:tcPr>
          <w:p w:rsidR="00410AE7" w:rsidRPr="00745723" w:rsidRDefault="00410AE7" w:rsidP="00F53983">
            <w:pPr>
              <w:jc w:val="center"/>
              <w:rPr>
                <w:rFonts w:ascii="Arial Narrow" w:hAnsi="Arial Narrow"/>
                <w:sz w:val="20"/>
                <w:lang w:val="en-US"/>
              </w:rPr>
            </w:pPr>
            <w:r w:rsidRPr="00745723">
              <w:rPr>
                <w:rFonts w:ascii="Arial Narrow" w:hAnsi="Arial Narrow"/>
                <w:sz w:val="20"/>
                <w:lang w:val="en-US"/>
              </w:rPr>
              <w:t xml:space="preserve">733/755 </w:t>
            </w:r>
          </w:p>
          <w:p w:rsidR="00410AE7" w:rsidRPr="00745723" w:rsidRDefault="00410AE7" w:rsidP="00F53983">
            <w:pPr>
              <w:jc w:val="center"/>
              <w:rPr>
                <w:rFonts w:ascii="Arial Narrow" w:hAnsi="Arial Narrow"/>
                <w:sz w:val="20"/>
                <w:lang w:val="en-US"/>
              </w:rPr>
            </w:pPr>
            <w:r w:rsidRPr="00745723">
              <w:rPr>
                <w:rFonts w:ascii="Arial Narrow" w:hAnsi="Arial Narrow"/>
                <w:sz w:val="20"/>
                <w:lang w:val="en-US"/>
              </w:rPr>
              <w:t>(97%)</w:t>
            </w:r>
          </w:p>
        </w:tc>
        <w:tc>
          <w:tcPr>
            <w:tcW w:w="822" w:type="pct"/>
            <w:tcBorders>
              <w:left w:val="double" w:sz="4" w:space="0" w:color="auto"/>
            </w:tcBorders>
            <w:shd w:val="clear" w:color="auto" w:fill="auto"/>
            <w:vAlign w:val="center"/>
          </w:tcPr>
          <w:p w:rsidR="00410AE7" w:rsidRPr="00745723" w:rsidRDefault="00410AE7" w:rsidP="00B0244B">
            <w:pPr>
              <w:jc w:val="center"/>
              <w:rPr>
                <w:rFonts w:ascii="Arial Narrow" w:hAnsi="Arial Narrow"/>
                <w:sz w:val="20"/>
              </w:rPr>
            </w:pPr>
            <w:r w:rsidRPr="00745723">
              <w:rPr>
                <w:rFonts w:ascii="Arial Narrow" w:hAnsi="Arial Narrow"/>
                <w:sz w:val="20"/>
              </w:rPr>
              <w:t>1.00 (0.99, 1.01)</w:t>
            </w:r>
          </w:p>
          <w:p w:rsidR="00410AE7" w:rsidRPr="00745723" w:rsidRDefault="00410AE7" w:rsidP="00F53983">
            <w:pPr>
              <w:jc w:val="center"/>
              <w:rPr>
                <w:rFonts w:ascii="Arial Narrow" w:hAnsi="Arial Narrow"/>
                <w:sz w:val="20"/>
                <w:lang w:val="en-US"/>
              </w:rPr>
            </w:pPr>
            <w:r w:rsidRPr="00745723">
              <w:rPr>
                <w:rFonts w:ascii="Arial Narrow" w:hAnsi="Arial Narrow"/>
                <w:sz w:val="20"/>
              </w:rPr>
              <w:t>I</w:t>
            </w:r>
            <w:r w:rsidRPr="00745723">
              <w:rPr>
                <w:rFonts w:ascii="Arial Narrow" w:hAnsi="Arial Narrow"/>
                <w:sz w:val="20"/>
                <w:vertAlign w:val="superscript"/>
              </w:rPr>
              <w:t>2</w:t>
            </w:r>
            <w:r w:rsidRPr="00745723">
              <w:rPr>
                <w:rFonts w:ascii="Arial Narrow" w:hAnsi="Arial Narrow"/>
                <w:sz w:val="20"/>
              </w:rPr>
              <w:t xml:space="preserve"> = 0%</w:t>
            </w:r>
          </w:p>
        </w:tc>
        <w:tc>
          <w:tcPr>
            <w:tcW w:w="921" w:type="pct"/>
            <w:shd w:val="clear" w:color="auto" w:fill="auto"/>
            <w:vAlign w:val="center"/>
          </w:tcPr>
          <w:p w:rsidR="00410AE7" w:rsidRPr="00745723" w:rsidRDefault="00410AE7" w:rsidP="00B0244B">
            <w:pPr>
              <w:jc w:val="center"/>
              <w:rPr>
                <w:rFonts w:ascii="Arial Narrow" w:hAnsi="Arial Narrow"/>
                <w:sz w:val="20"/>
              </w:rPr>
            </w:pPr>
            <w:r w:rsidRPr="00745723">
              <w:rPr>
                <w:rFonts w:ascii="Arial Narrow" w:hAnsi="Arial Narrow"/>
                <w:sz w:val="20"/>
              </w:rPr>
              <w:t>0.00 (-0.01, 0.01)</w:t>
            </w:r>
          </w:p>
          <w:p w:rsidR="00410AE7" w:rsidRPr="00745723" w:rsidRDefault="00410AE7" w:rsidP="00F53983">
            <w:pPr>
              <w:jc w:val="center"/>
              <w:rPr>
                <w:rFonts w:ascii="Arial Narrow" w:hAnsi="Arial Narrow"/>
                <w:sz w:val="20"/>
                <w:lang w:val="en-US"/>
              </w:rPr>
            </w:pPr>
            <w:r w:rsidRPr="00745723">
              <w:rPr>
                <w:rFonts w:ascii="Arial Narrow" w:hAnsi="Arial Narrow"/>
                <w:sz w:val="20"/>
              </w:rPr>
              <w:t>I</w:t>
            </w:r>
            <w:r w:rsidRPr="00745723">
              <w:rPr>
                <w:rFonts w:ascii="Arial Narrow" w:hAnsi="Arial Narrow"/>
                <w:sz w:val="20"/>
                <w:vertAlign w:val="superscript"/>
              </w:rPr>
              <w:t>2</w:t>
            </w:r>
            <w:r w:rsidRPr="00745723">
              <w:rPr>
                <w:rFonts w:ascii="Arial Narrow" w:hAnsi="Arial Narrow"/>
                <w:sz w:val="20"/>
              </w:rPr>
              <w:t xml:space="preserve"> = 0%</w:t>
            </w:r>
          </w:p>
        </w:tc>
      </w:tr>
      <w:tr w:rsidR="00B65F1E" w:rsidRPr="00745723" w:rsidTr="00B97BCA">
        <w:tc>
          <w:tcPr>
            <w:tcW w:w="1615" w:type="pct"/>
            <w:shd w:val="clear" w:color="auto" w:fill="auto"/>
            <w:vAlign w:val="center"/>
          </w:tcPr>
          <w:p w:rsidR="00B65F1E" w:rsidRPr="00745723" w:rsidRDefault="00B65F1E" w:rsidP="00B65F1E">
            <w:pPr>
              <w:jc w:val="left"/>
              <w:rPr>
                <w:rFonts w:ascii="Arial Narrow" w:hAnsi="Arial Narrow"/>
                <w:sz w:val="20"/>
                <w:lang w:val="en-US"/>
              </w:rPr>
            </w:pPr>
            <w:r w:rsidRPr="00745723">
              <w:rPr>
                <w:rFonts w:ascii="Arial Narrow" w:hAnsi="Arial Narrow"/>
                <w:sz w:val="20"/>
                <w:lang w:val="en-US"/>
              </w:rPr>
              <w:t>Patients with Anti-PRP ≥ 0.15 mcg/mL in 2nd year of life</w:t>
            </w:r>
          </w:p>
        </w:tc>
        <w:tc>
          <w:tcPr>
            <w:tcW w:w="821" w:type="pct"/>
            <w:shd w:val="clear" w:color="auto" w:fill="auto"/>
            <w:vAlign w:val="center"/>
          </w:tcPr>
          <w:p w:rsidR="00B65F1E" w:rsidRPr="00745723" w:rsidRDefault="00B65F1E" w:rsidP="00F53983">
            <w:pPr>
              <w:jc w:val="center"/>
              <w:rPr>
                <w:rFonts w:ascii="Arial Narrow" w:hAnsi="Arial Narrow"/>
                <w:sz w:val="20"/>
                <w:lang w:val="en-US"/>
              </w:rPr>
            </w:pPr>
            <w:r w:rsidRPr="00745723">
              <w:rPr>
                <w:rFonts w:ascii="Arial Narrow" w:hAnsi="Arial Narrow"/>
                <w:sz w:val="20"/>
                <w:lang w:val="en-US"/>
              </w:rPr>
              <w:t xml:space="preserve">746/961 </w:t>
            </w:r>
          </w:p>
          <w:p w:rsidR="00B65F1E" w:rsidRPr="00745723" w:rsidRDefault="00B65F1E" w:rsidP="00F53983">
            <w:pPr>
              <w:jc w:val="center"/>
              <w:rPr>
                <w:rFonts w:ascii="Arial Narrow" w:hAnsi="Arial Narrow"/>
                <w:sz w:val="20"/>
                <w:lang w:val="en-US"/>
              </w:rPr>
            </w:pPr>
            <w:r w:rsidRPr="00745723">
              <w:rPr>
                <w:rFonts w:ascii="Arial Narrow" w:hAnsi="Arial Narrow"/>
                <w:sz w:val="20"/>
                <w:lang w:val="en-US"/>
              </w:rPr>
              <w:t>(78%)</w:t>
            </w:r>
          </w:p>
        </w:tc>
        <w:tc>
          <w:tcPr>
            <w:tcW w:w="821" w:type="pct"/>
            <w:tcBorders>
              <w:right w:val="double" w:sz="4" w:space="0" w:color="auto"/>
            </w:tcBorders>
            <w:shd w:val="clear" w:color="auto" w:fill="auto"/>
            <w:vAlign w:val="center"/>
          </w:tcPr>
          <w:p w:rsidR="00B65F1E" w:rsidRPr="00745723" w:rsidRDefault="00B65F1E" w:rsidP="00F53983">
            <w:pPr>
              <w:jc w:val="center"/>
              <w:rPr>
                <w:rFonts w:ascii="Arial Narrow" w:hAnsi="Arial Narrow"/>
                <w:sz w:val="20"/>
                <w:lang w:val="en-US"/>
              </w:rPr>
            </w:pPr>
            <w:r w:rsidRPr="00745723">
              <w:rPr>
                <w:rFonts w:ascii="Arial Narrow" w:hAnsi="Arial Narrow"/>
                <w:sz w:val="20"/>
                <w:lang w:val="en-US"/>
              </w:rPr>
              <w:t xml:space="preserve">257/323 </w:t>
            </w:r>
          </w:p>
          <w:p w:rsidR="00B65F1E" w:rsidRPr="00745723" w:rsidRDefault="00B65F1E" w:rsidP="00F53983">
            <w:pPr>
              <w:jc w:val="center"/>
              <w:rPr>
                <w:rFonts w:ascii="Arial Narrow" w:hAnsi="Arial Narrow"/>
                <w:sz w:val="20"/>
                <w:lang w:val="en-US"/>
              </w:rPr>
            </w:pPr>
            <w:r w:rsidRPr="00745723">
              <w:rPr>
                <w:rFonts w:ascii="Arial Narrow" w:hAnsi="Arial Narrow"/>
                <w:sz w:val="20"/>
                <w:lang w:val="en-US"/>
              </w:rPr>
              <w:t>(80%)</w:t>
            </w:r>
          </w:p>
        </w:tc>
        <w:tc>
          <w:tcPr>
            <w:tcW w:w="822" w:type="pct"/>
            <w:tcBorders>
              <w:left w:val="double" w:sz="4" w:space="0" w:color="auto"/>
            </w:tcBorders>
            <w:shd w:val="clear" w:color="auto" w:fill="auto"/>
            <w:vAlign w:val="center"/>
          </w:tcPr>
          <w:p w:rsidR="00B65F1E" w:rsidRPr="00745723" w:rsidRDefault="00B65F1E" w:rsidP="00B0244B">
            <w:pPr>
              <w:jc w:val="center"/>
              <w:rPr>
                <w:rFonts w:ascii="Arial Narrow" w:hAnsi="Arial Narrow"/>
                <w:sz w:val="20"/>
              </w:rPr>
            </w:pPr>
            <w:r w:rsidRPr="00745723">
              <w:rPr>
                <w:rFonts w:ascii="Arial Narrow" w:hAnsi="Arial Narrow"/>
                <w:sz w:val="20"/>
              </w:rPr>
              <w:t>0.97 (0.91, 1.03)</w:t>
            </w:r>
          </w:p>
          <w:p w:rsidR="00B65F1E" w:rsidRPr="00745723" w:rsidRDefault="00B65F1E" w:rsidP="00F53983">
            <w:pPr>
              <w:jc w:val="center"/>
              <w:rPr>
                <w:rFonts w:ascii="Arial Narrow" w:hAnsi="Arial Narrow"/>
                <w:sz w:val="20"/>
                <w:lang w:val="en-US"/>
              </w:rPr>
            </w:pPr>
            <w:r w:rsidRPr="00745723">
              <w:rPr>
                <w:rFonts w:ascii="Arial Narrow" w:hAnsi="Arial Narrow"/>
                <w:sz w:val="20"/>
              </w:rPr>
              <w:t>I</w:t>
            </w:r>
            <w:r w:rsidRPr="00745723">
              <w:rPr>
                <w:rFonts w:ascii="Arial Narrow" w:hAnsi="Arial Narrow"/>
                <w:sz w:val="20"/>
                <w:vertAlign w:val="superscript"/>
              </w:rPr>
              <w:t>2</w:t>
            </w:r>
            <w:r w:rsidRPr="00745723">
              <w:rPr>
                <w:rFonts w:ascii="Arial Narrow" w:hAnsi="Arial Narrow"/>
                <w:sz w:val="20"/>
              </w:rPr>
              <w:t xml:space="preserve"> = 0%</w:t>
            </w:r>
          </w:p>
        </w:tc>
        <w:tc>
          <w:tcPr>
            <w:tcW w:w="921" w:type="pct"/>
            <w:shd w:val="clear" w:color="auto" w:fill="auto"/>
            <w:vAlign w:val="center"/>
          </w:tcPr>
          <w:p w:rsidR="00B65F1E" w:rsidRPr="00745723" w:rsidRDefault="00B65F1E" w:rsidP="00B0244B">
            <w:pPr>
              <w:jc w:val="center"/>
              <w:rPr>
                <w:rFonts w:ascii="Arial Narrow" w:hAnsi="Arial Narrow"/>
                <w:sz w:val="20"/>
              </w:rPr>
            </w:pPr>
            <w:r w:rsidRPr="00745723">
              <w:rPr>
                <w:rFonts w:ascii="Arial Narrow" w:hAnsi="Arial Narrow"/>
                <w:sz w:val="20"/>
              </w:rPr>
              <w:t>-0.02 (-0.07, 0.02)</w:t>
            </w:r>
          </w:p>
          <w:p w:rsidR="00B65F1E" w:rsidRPr="00745723" w:rsidRDefault="00B65F1E" w:rsidP="00F53983">
            <w:pPr>
              <w:jc w:val="center"/>
              <w:rPr>
                <w:rFonts w:ascii="Arial Narrow" w:hAnsi="Arial Narrow"/>
                <w:sz w:val="20"/>
                <w:lang w:val="en-US"/>
              </w:rPr>
            </w:pPr>
            <w:r w:rsidRPr="00745723">
              <w:rPr>
                <w:rFonts w:ascii="Arial Narrow" w:hAnsi="Arial Narrow"/>
                <w:sz w:val="20"/>
              </w:rPr>
              <w:t>I</w:t>
            </w:r>
            <w:r w:rsidRPr="00745723">
              <w:rPr>
                <w:rFonts w:ascii="Arial Narrow" w:hAnsi="Arial Narrow"/>
                <w:sz w:val="20"/>
                <w:vertAlign w:val="superscript"/>
              </w:rPr>
              <w:t>2</w:t>
            </w:r>
            <w:r w:rsidRPr="00745723">
              <w:rPr>
                <w:rFonts w:ascii="Arial Narrow" w:hAnsi="Arial Narrow"/>
                <w:sz w:val="20"/>
              </w:rPr>
              <w:t xml:space="preserve"> = 0%</w:t>
            </w:r>
          </w:p>
        </w:tc>
      </w:tr>
    </w:tbl>
    <w:p w:rsidR="0093244F" w:rsidRPr="00745723" w:rsidRDefault="0093244F" w:rsidP="00D814DF">
      <w:pPr>
        <w:pStyle w:val="TableFooter"/>
        <w:ind w:left="720"/>
      </w:pPr>
      <w:r w:rsidRPr="00745723">
        <w:t xml:space="preserve">Abbreviations: </w:t>
      </w:r>
      <w:r w:rsidR="00D814DF" w:rsidRPr="00745723">
        <w:t xml:space="preserve">Anti-D, diphtheria toxoid antibodies; </w:t>
      </w:r>
      <w:r w:rsidR="00D814DF" w:rsidRPr="00745723">
        <w:rPr>
          <w:szCs w:val="18"/>
        </w:rPr>
        <w:t>Anti-FHA, filamentous haemagglutinin antibodies;</w:t>
      </w:r>
      <w:r w:rsidR="0056013E" w:rsidRPr="00745723">
        <w:rPr>
          <w:szCs w:val="18"/>
        </w:rPr>
        <w:t xml:space="preserve"> Anti-Hep B, h</w:t>
      </w:r>
      <w:r w:rsidR="006B37DC" w:rsidRPr="00745723">
        <w:rPr>
          <w:szCs w:val="18"/>
        </w:rPr>
        <w:t>epat</w:t>
      </w:r>
      <w:r w:rsidR="0056013E" w:rsidRPr="00745723">
        <w:rPr>
          <w:szCs w:val="18"/>
        </w:rPr>
        <w:t>itis B antibodies; Anti-Polio, p</w:t>
      </w:r>
      <w:r w:rsidR="006B37DC" w:rsidRPr="00745723">
        <w:rPr>
          <w:szCs w:val="18"/>
        </w:rPr>
        <w:t>oliovirus antibodies;</w:t>
      </w:r>
      <w:r w:rsidR="00410AE7" w:rsidRPr="00745723">
        <w:rPr>
          <w:szCs w:val="18"/>
        </w:rPr>
        <w:t xml:space="preserve"> </w:t>
      </w:r>
      <w:r w:rsidR="00410AE7" w:rsidRPr="00745723">
        <w:t>Anti-PRP, polyribosylribitol phosphate polysaccharide antibodies;</w:t>
      </w:r>
      <w:r w:rsidR="00D814DF" w:rsidRPr="00745723">
        <w:rPr>
          <w:szCs w:val="18"/>
        </w:rPr>
        <w:t xml:space="preserve"> Anti-PT, pertussis toxoid antibodies;</w:t>
      </w:r>
      <w:r w:rsidR="00D814DF" w:rsidRPr="00745723">
        <w:t xml:space="preserve"> Anti-T, tetanus toxoid antibodies; CI, confidence interval; </w:t>
      </w:r>
      <w:r w:rsidRPr="00745723">
        <w:t>LLQ, lower limit of quantitation</w:t>
      </w:r>
      <w:r w:rsidR="00D814DF" w:rsidRPr="00745723">
        <w:t>; RD, risk difference; RR, relative risk</w:t>
      </w:r>
    </w:p>
    <w:p w:rsidR="007F1017" w:rsidRPr="00745723" w:rsidRDefault="00440594" w:rsidP="00E22A0D">
      <w:pPr>
        <w:pStyle w:val="TableFooter"/>
        <w:ind w:firstLine="720"/>
      </w:pPr>
      <w:r w:rsidRPr="00745723">
        <w:t>Source: Constructed during the evaluation</w:t>
      </w:r>
    </w:p>
    <w:p w:rsidR="00FE7556" w:rsidRPr="00745723" w:rsidRDefault="00FE7556" w:rsidP="00FE7556">
      <w:pPr>
        <w:pStyle w:val="TableFooter"/>
        <w:ind w:left="720"/>
      </w:pPr>
      <w:r w:rsidRPr="00745723">
        <w:t>Note: Non-inferiority margin was define</w:t>
      </w:r>
      <w:r w:rsidR="00636343" w:rsidRPr="00745723">
        <w:t>d</w:t>
      </w:r>
      <w:r w:rsidRPr="00745723">
        <w:t xml:space="preserve"> as a risk difference lower CI limit &gt; −</w:t>
      </w:r>
      <w:r w:rsidR="00570163" w:rsidRPr="00745723">
        <w:t>0.10</w:t>
      </w:r>
      <w:r w:rsidRPr="00745723">
        <w:t xml:space="preserve"> for Anti-D, Anti-T, Anti-PT, Anti-FHA, Anti-Hep B, Anti-PRP and a risk difference lower CI limit &gt; −</w:t>
      </w:r>
      <w:r w:rsidR="00570163" w:rsidRPr="00745723">
        <w:t>0.0</w:t>
      </w:r>
      <w:r w:rsidRPr="00745723">
        <w:t>5 for Anti-polio Types 1, 2, 3</w:t>
      </w:r>
      <w:r w:rsidR="009D3334" w:rsidRPr="00745723">
        <w:t>. The longer-term A3L21 and A3L27 extension studies (i.e. results in 2</w:t>
      </w:r>
      <w:r w:rsidR="009D3334" w:rsidRPr="00745723">
        <w:rPr>
          <w:vertAlign w:val="superscript"/>
        </w:rPr>
        <w:t>nd</w:t>
      </w:r>
      <w:r w:rsidR="009D3334" w:rsidRPr="00745723">
        <w:t xml:space="preserve"> year of life) were not designed to assess the comparative non-inferiority of treatments</w:t>
      </w:r>
    </w:p>
    <w:p w:rsidR="00B60939" w:rsidRPr="00745723" w:rsidRDefault="00B60939" w:rsidP="00B60939">
      <w:pPr>
        <w:rPr>
          <w:szCs w:val="22"/>
        </w:rPr>
      </w:pPr>
    </w:p>
    <w:p w:rsidR="003579A7" w:rsidRPr="0091148B" w:rsidRDefault="00A1432D" w:rsidP="002C2F87">
      <w:pPr>
        <w:pStyle w:val="ListParagraph"/>
        <w:widowControl/>
        <w:numPr>
          <w:ilvl w:val="1"/>
          <w:numId w:val="2"/>
        </w:numPr>
        <w:rPr>
          <w:szCs w:val="22"/>
        </w:rPr>
      </w:pPr>
      <w:r w:rsidRPr="0091148B">
        <w:rPr>
          <w:szCs w:val="22"/>
        </w:rPr>
        <w:t>Hexaxim was</w:t>
      </w:r>
      <w:r w:rsidR="003579A7" w:rsidRPr="0091148B">
        <w:rPr>
          <w:szCs w:val="22"/>
        </w:rPr>
        <w:t xml:space="preserve"> non-inferior to Inf</w:t>
      </w:r>
      <w:r w:rsidR="0090598E" w:rsidRPr="0091148B">
        <w:rPr>
          <w:szCs w:val="22"/>
        </w:rPr>
        <w:t>anrix H</w:t>
      </w:r>
      <w:r w:rsidR="00B97B18" w:rsidRPr="0091148B">
        <w:rPr>
          <w:szCs w:val="22"/>
        </w:rPr>
        <w:t xml:space="preserve">exa in terms of </w:t>
      </w:r>
      <w:r w:rsidR="003579A7" w:rsidRPr="0091148B">
        <w:rPr>
          <w:szCs w:val="22"/>
        </w:rPr>
        <w:t xml:space="preserve">immunogenicity against </w:t>
      </w:r>
      <w:r w:rsidR="00B77EE6">
        <w:rPr>
          <w:szCs w:val="22"/>
        </w:rPr>
        <w:t>the common antigen for</w:t>
      </w:r>
      <w:r w:rsidR="003579A7" w:rsidRPr="0091148B">
        <w:rPr>
          <w:szCs w:val="22"/>
        </w:rPr>
        <w:t xml:space="preserve"> the six </w:t>
      </w:r>
      <w:r w:rsidR="00584952" w:rsidRPr="0091148B">
        <w:rPr>
          <w:szCs w:val="22"/>
        </w:rPr>
        <w:t xml:space="preserve">targeted </w:t>
      </w:r>
      <w:r w:rsidR="003579A7" w:rsidRPr="0091148B">
        <w:rPr>
          <w:szCs w:val="22"/>
        </w:rPr>
        <w:t xml:space="preserve">diseases </w:t>
      </w:r>
      <w:r w:rsidR="007D0E05" w:rsidRPr="0091148B">
        <w:rPr>
          <w:szCs w:val="22"/>
        </w:rPr>
        <w:t>at the end of the primary course</w:t>
      </w:r>
      <w:r w:rsidR="008F62A2" w:rsidRPr="0091148B">
        <w:rPr>
          <w:szCs w:val="22"/>
        </w:rPr>
        <w:t xml:space="preserve"> (based on historical margins previously accepted by the FDA for other multi-component vaccines)</w:t>
      </w:r>
      <w:r w:rsidR="003579A7" w:rsidRPr="0091148B">
        <w:rPr>
          <w:szCs w:val="22"/>
        </w:rPr>
        <w:t>.</w:t>
      </w:r>
    </w:p>
    <w:p w:rsidR="00A71CA5" w:rsidRPr="0091148B" w:rsidRDefault="00A71CA5" w:rsidP="0091148B">
      <w:pPr>
        <w:pStyle w:val="ListParagraph"/>
        <w:widowControl/>
        <w:rPr>
          <w:szCs w:val="22"/>
        </w:rPr>
      </w:pPr>
    </w:p>
    <w:p w:rsidR="00125D26" w:rsidRPr="0091148B" w:rsidRDefault="00125D26" w:rsidP="002C2F87">
      <w:pPr>
        <w:pStyle w:val="ListParagraph"/>
        <w:widowControl/>
        <w:numPr>
          <w:ilvl w:val="1"/>
          <w:numId w:val="2"/>
        </w:numPr>
        <w:rPr>
          <w:szCs w:val="22"/>
        </w:rPr>
      </w:pPr>
      <w:r w:rsidRPr="0091148B">
        <w:rPr>
          <w:szCs w:val="22"/>
        </w:rPr>
        <w:t xml:space="preserve">There was substantial unexplained heterogeneity between included trials in terms of anti-diphtheria response (although results were still within the nominated non-inferiority margin). </w:t>
      </w:r>
    </w:p>
    <w:p w:rsidR="00125D26" w:rsidRPr="0091148B" w:rsidRDefault="00125D26" w:rsidP="0091148B">
      <w:pPr>
        <w:pStyle w:val="ListParagraph"/>
        <w:widowControl/>
        <w:rPr>
          <w:szCs w:val="22"/>
        </w:rPr>
      </w:pPr>
    </w:p>
    <w:p w:rsidR="00125D26" w:rsidRPr="0091148B" w:rsidRDefault="00125D26" w:rsidP="002C2F87">
      <w:pPr>
        <w:pStyle w:val="ListParagraph"/>
        <w:widowControl/>
        <w:numPr>
          <w:ilvl w:val="1"/>
          <w:numId w:val="2"/>
        </w:numPr>
        <w:rPr>
          <w:szCs w:val="22"/>
        </w:rPr>
      </w:pPr>
      <w:r w:rsidRPr="0091148B">
        <w:rPr>
          <w:szCs w:val="22"/>
        </w:rPr>
        <w:t xml:space="preserve">The clinical importance of the pertussis results </w:t>
      </w:r>
      <w:r w:rsidR="0006473F">
        <w:rPr>
          <w:szCs w:val="22"/>
        </w:rPr>
        <w:t>was</w:t>
      </w:r>
      <w:r w:rsidRPr="0091148B">
        <w:rPr>
          <w:szCs w:val="22"/>
        </w:rPr>
        <w:t xml:space="preserve"> unclear as there are no established thresholds for antibody response to pertussis antigens that can be used as a surrogate for protection.</w:t>
      </w:r>
    </w:p>
    <w:p w:rsidR="00125D26" w:rsidRPr="0091148B" w:rsidRDefault="00125D26" w:rsidP="0091148B">
      <w:pPr>
        <w:pStyle w:val="ListParagraph"/>
        <w:widowControl/>
        <w:rPr>
          <w:szCs w:val="22"/>
        </w:rPr>
      </w:pPr>
    </w:p>
    <w:p w:rsidR="00440594" w:rsidRPr="0091148B" w:rsidRDefault="00125D26" w:rsidP="002C2F87">
      <w:pPr>
        <w:pStyle w:val="ListParagraph"/>
        <w:widowControl/>
        <w:numPr>
          <w:ilvl w:val="1"/>
          <w:numId w:val="2"/>
        </w:numPr>
        <w:rPr>
          <w:szCs w:val="22"/>
        </w:rPr>
      </w:pPr>
      <w:r w:rsidRPr="0091148B">
        <w:rPr>
          <w:szCs w:val="22"/>
        </w:rPr>
        <w:t>The comparative longer-term durability of protection in terms of polio</w:t>
      </w:r>
      <w:r w:rsidR="0090598E" w:rsidRPr="0091148B">
        <w:rPr>
          <w:szCs w:val="22"/>
        </w:rPr>
        <w:t xml:space="preserve"> (booster at 4 years of age)</w:t>
      </w:r>
      <w:r w:rsidRPr="0091148B">
        <w:rPr>
          <w:szCs w:val="22"/>
        </w:rPr>
        <w:t xml:space="preserve"> and hepatitis B</w:t>
      </w:r>
      <w:r w:rsidR="0090598E" w:rsidRPr="0091148B">
        <w:rPr>
          <w:szCs w:val="22"/>
        </w:rPr>
        <w:t xml:space="preserve"> (booster at 10-15 years of age)</w:t>
      </w:r>
      <w:r w:rsidRPr="0091148B">
        <w:rPr>
          <w:szCs w:val="22"/>
        </w:rPr>
        <w:t xml:space="preserve"> is unclear but is unlikely to be a major issue as the risk of </w:t>
      </w:r>
      <w:r w:rsidR="009E3E56" w:rsidRPr="0091148B">
        <w:rPr>
          <w:szCs w:val="22"/>
        </w:rPr>
        <w:t xml:space="preserve">exposure </w:t>
      </w:r>
      <w:r w:rsidR="00570CB2" w:rsidRPr="0091148B">
        <w:rPr>
          <w:szCs w:val="22"/>
        </w:rPr>
        <w:t>is low in Australian children</w:t>
      </w:r>
      <w:r w:rsidRPr="0091148B">
        <w:rPr>
          <w:szCs w:val="22"/>
        </w:rPr>
        <w:t>.</w:t>
      </w:r>
    </w:p>
    <w:p w:rsidR="00D37E12" w:rsidRPr="0091148B" w:rsidRDefault="00D37E12" w:rsidP="0091148B">
      <w:pPr>
        <w:pStyle w:val="ListParagraph"/>
        <w:widowControl/>
        <w:rPr>
          <w:szCs w:val="22"/>
        </w:rPr>
      </w:pPr>
    </w:p>
    <w:p w:rsidR="00D37E12" w:rsidRPr="0091148B" w:rsidRDefault="00F006B0" w:rsidP="002C2F87">
      <w:pPr>
        <w:pStyle w:val="ListParagraph"/>
        <w:widowControl/>
        <w:numPr>
          <w:ilvl w:val="1"/>
          <w:numId w:val="2"/>
        </w:numPr>
        <w:rPr>
          <w:szCs w:val="22"/>
        </w:rPr>
      </w:pPr>
      <w:r w:rsidRPr="0091148B">
        <w:rPr>
          <w:szCs w:val="22"/>
        </w:rPr>
        <w:t xml:space="preserve">A lower proportion of patients achieved target seroconversion levels to concurrent rotavirus vaccination in the Hexaxim treatment arm (77.7%; 95% CI 71.2%, 83.3%) compared to the Infanrix Hexa treatment arm (87.9%; 95% CI 77.5%, 94.6%). </w:t>
      </w:r>
      <w:r w:rsidR="00CF556C" w:rsidRPr="0091148B">
        <w:rPr>
          <w:szCs w:val="22"/>
        </w:rPr>
        <w:t>The clinic</w:t>
      </w:r>
      <w:r w:rsidR="00F73680" w:rsidRPr="0091148B">
        <w:rPr>
          <w:szCs w:val="22"/>
        </w:rPr>
        <w:t xml:space="preserve">al importance of this </w:t>
      </w:r>
      <w:r w:rsidR="00684A74" w:rsidRPr="0091148B">
        <w:rPr>
          <w:szCs w:val="22"/>
        </w:rPr>
        <w:t>observed</w:t>
      </w:r>
      <w:r w:rsidR="00F73680" w:rsidRPr="0091148B">
        <w:rPr>
          <w:szCs w:val="22"/>
        </w:rPr>
        <w:t xml:space="preserve"> difference</w:t>
      </w:r>
      <w:r w:rsidR="00CF556C" w:rsidRPr="0091148B">
        <w:rPr>
          <w:szCs w:val="22"/>
        </w:rPr>
        <w:t xml:space="preserve"> is unclear.</w:t>
      </w:r>
    </w:p>
    <w:p w:rsidR="00440594" w:rsidRPr="00882085" w:rsidRDefault="00440594" w:rsidP="00B60939">
      <w:pPr>
        <w:rPr>
          <w:szCs w:val="22"/>
        </w:rPr>
      </w:pPr>
    </w:p>
    <w:p w:rsidR="00B60939" w:rsidRPr="002C2775" w:rsidRDefault="00B60939" w:rsidP="002C2775">
      <w:pPr>
        <w:pStyle w:val="Heading2"/>
        <w:rPr>
          <w:i/>
        </w:rPr>
      </w:pPr>
      <w:bookmarkStart w:id="9" w:name="_Toc409081610"/>
      <w:r w:rsidRPr="002C2775">
        <w:rPr>
          <w:i/>
        </w:rPr>
        <w:t>Comparative harms</w:t>
      </w:r>
      <w:bookmarkEnd w:id="9"/>
    </w:p>
    <w:p w:rsidR="00B60939" w:rsidRPr="00882085" w:rsidRDefault="00B60939" w:rsidP="00B60939">
      <w:pPr>
        <w:ind w:left="720" w:hanging="720"/>
        <w:rPr>
          <w:szCs w:val="22"/>
        </w:rPr>
      </w:pPr>
    </w:p>
    <w:p w:rsidR="00B60939" w:rsidRPr="0091148B" w:rsidRDefault="001B6AFC" w:rsidP="002C2F87">
      <w:pPr>
        <w:pStyle w:val="ListParagraph"/>
        <w:widowControl/>
        <w:numPr>
          <w:ilvl w:val="1"/>
          <w:numId w:val="2"/>
        </w:numPr>
        <w:rPr>
          <w:szCs w:val="22"/>
        </w:rPr>
      </w:pPr>
      <w:r w:rsidRPr="0091148B">
        <w:rPr>
          <w:szCs w:val="22"/>
        </w:rPr>
        <w:t xml:space="preserve">Meta-analyses of safety data were conducted during the evaluation. </w:t>
      </w:r>
      <w:r w:rsidR="008263C0" w:rsidRPr="0091148B">
        <w:rPr>
          <w:szCs w:val="22"/>
        </w:rPr>
        <w:t>Treatment with Hexaxim was associated with a higher incidence of solicited injection-site reactions (primarily mild-to-moderate pain, erythema and swelling) compared to Infanrix Hexa (RD 0.05; 95% CI, 0.02, 0.08). The incidence of solicited systemic reactions, unsolicited events and serious adverse events appeared to be similar between treatment arms although there was some heterogeneity across the trials.</w:t>
      </w:r>
    </w:p>
    <w:p w:rsidR="00B60939" w:rsidRPr="00882085" w:rsidRDefault="00B60939" w:rsidP="00FC1884"/>
    <w:p w:rsidR="00B60939" w:rsidRPr="002C2775" w:rsidRDefault="00B60939" w:rsidP="002C2775">
      <w:pPr>
        <w:pStyle w:val="Heading2"/>
        <w:rPr>
          <w:i/>
        </w:rPr>
      </w:pPr>
      <w:bookmarkStart w:id="10" w:name="_Toc409081612"/>
      <w:r w:rsidRPr="002C2775">
        <w:rPr>
          <w:i/>
        </w:rPr>
        <w:t>Clinical claim</w:t>
      </w:r>
      <w:bookmarkEnd w:id="10"/>
    </w:p>
    <w:p w:rsidR="00B60939" w:rsidRPr="00882085" w:rsidRDefault="00B60939" w:rsidP="00B60939">
      <w:pPr>
        <w:ind w:left="720" w:hanging="720"/>
        <w:rPr>
          <w:szCs w:val="22"/>
        </w:rPr>
      </w:pPr>
    </w:p>
    <w:p w:rsidR="00B60939" w:rsidRPr="00264CE1" w:rsidRDefault="00A1432D" w:rsidP="002C2F87">
      <w:pPr>
        <w:pStyle w:val="ListParagraph"/>
        <w:widowControl/>
        <w:numPr>
          <w:ilvl w:val="1"/>
          <w:numId w:val="2"/>
        </w:numPr>
        <w:rPr>
          <w:szCs w:val="22"/>
        </w:rPr>
      </w:pPr>
      <w:r>
        <w:rPr>
          <w:szCs w:val="22"/>
        </w:rPr>
        <w:t>The submission described</w:t>
      </w:r>
      <w:r w:rsidR="00264CE1" w:rsidRPr="00264CE1">
        <w:rPr>
          <w:szCs w:val="22"/>
        </w:rPr>
        <w:t xml:space="preserve"> Hexaxim as non-inferior in terms of comparative efficacy and safety compared to Infanrix </w:t>
      </w:r>
      <w:r w:rsidR="00264CE1" w:rsidRPr="00F16E86">
        <w:rPr>
          <w:szCs w:val="22"/>
        </w:rPr>
        <w:t xml:space="preserve">Hexa. </w:t>
      </w:r>
    </w:p>
    <w:p w:rsidR="00264CE1" w:rsidRDefault="00264CE1" w:rsidP="00264CE1">
      <w:pPr>
        <w:pStyle w:val="ListParagraph"/>
        <w:widowControl/>
        <w:rPr>
          <w:i/>
          <w:szCs w:val="22"/>
        </w:rPr>
      </w:pPr>
    </w:p>
    <w:p w:rsidR="00264CE1" w:rsidRDefault="000C1922" w:rsidP="002C2F87">
      <w:pPr>
        <w:pStyle w:val="ListParagraph"/>
        <w:widowControl/>
        <w:numPr>
          <w:ilvl w:val="1"/>
          <w:numId w:val="2"/>
        </w:numPr>
        <w:rPr>
          <w:szCs w:val="22"/>
        </w:rPr>
      </w:pPr>
      <w:r>
        <w:rPr>
          <w:szCs w:val="22"/>
        </w:rPr>
        <w:t>In the pre-submission advice, the Australian Technical Advisory Group on Immunisation (</w:t>
      </w:r>
      <w:r w:rsidR="00A1432D" w:rsidRPr="00A45959">
        <w:rPr>
          <w:szCs w:val="22"/>
        </w:rPr>
        <w:t>ATAGI</w:t>
      </w:r>
      <w:r w:rsidR="008A6BD3">
        <w:rPr>
          <w:szCs w:val="22"/>
        </w:rPr>
        <w:t>)</w:t>
      </w:r>
      <w:r w:rsidR="00A1432D" w:rsidRPr="00A45959">
        <w:rPr>
          <w:szCs w:val="22"/>
        </w:rPr>
        <w:t xml:space="preserve"> advised</w:t>
      </w:r>
      <w:r w:rsidR="00264CE1" w:rsidRPr="00A45959">
        <w:rPr>
          <w:szCs w:val="22"/>
        </w:rPr>
        <w:t xml:space="preserve"> that there is currently insufficient information to determine whether there are relevant clinical differences between</w:t>
      </w:r>
      <w:r w:rsidR="00C345B2">
        <w:rPr>
          <w:szCs w:val="22"/>
        </w:rPr>
        <w:t xml:space="preserve"> this vaccine and the comparator</w:t>
      </w:r>
      <w:r w:rsidR="00267082" w:rsidRPr="00A45959">
        <w:rPr>
          <w:szCs w:val="22"/>
        </w:rPr>
        <w:t xml:space="preserve"> (particularly in regards to pertussis which has no accepted thresholds for antibody response that can be used as a surrogate for protection)</w:t>
      </w:r>
      <w:r w:rsidR="00A1432D" w:rsidRPr="00A45959">
        <w:rPr>
          <w:szCs w:val="22"/>
        </w:rPr>
        <w:t>. However, ATAGI suggested</w:t>
      </w:r>
      <w:r w:rsidR="00264CE1" w:rsidRPr="00A45959">
        <w:rPr>
          <w:szCs w:val="22"/>
        </w:rPr>
        <w:t xml:space="preserve"> that potential</w:t>
      </w:r>
      <w:r w:rsidR="00C345B2">
        <w:rPr>
          <w:szCs w:val="22"/>
        </w:rPr>
        <w:t xml:space="preserve"> clinical</w:t>
      </w:r>
      <w:r w:rsidR="00264CE1" w:rsidRPr="00A45959">
        <w:rPr>
          <w:szCs w:val="22"/>
        </w:rPr>
        <w:t xml:space="preserve"> differences</w:t>
      </w:r>
      <w:r w:rsidR="00C345B2">
        <w:rPr>
          <w:szCs w:val="22"/>
        </w:rPr>
        <w:t xml:space="preserve"> </w:t>
      </w:r>
      <w:r w:rsidR="00264CE1" w:rsidRPr="00A45959">
        <w:rPr>
          <w:szCs w:val="22"/>
        </w:rPr>
        <w:t xml:space="preserve">may be offset by the availability </w:t>
      </w:r>
      <w:r w:rsidR="008A6BD3">
        <w:rPr>
          <w:szCs w:val="22"/>
        </w:rPr>
        <w:t xml:space="preserve">of a DTPa booster at 18 months. The </w:t>
      </w:r>
      <w:r w:rsidR="00264CE1" w:rsidRPr="00A45959">
        <w:rPr>
          <w:szCs w:val="22"/>
        </w:rPr>
        <w:t>PBAC recommended the addition of an 18-month DTPa booster to the NIP</w:t>
      </w:r>
      <w:r w:rsidR="0090598E" w:rsidRPr="00A45959">
        <w:rPr>
          <w:szCs w:val="22"/>
        </w:rPr>
        <w:t xml:space="preserve"> at the November 2014</w:t>
      </w:r>
      <w:r w:rsidR="008A6BD3">
        <w:rPr>
          <w:szCs w:val="22"/>
        </w:rPr>
        <w:t xml:space="preserve"> meeting</w:t>
      </w:r>
      <w:r w:rsidR="00A85927" w:rsidRPr="00A45959">
        <w:rPr>
          <w:szCs w:val="22"/>
        </w:rPr>
        <w:t>.</w:t>
      </w:r>
      <w:r w:rsidR="00A1432D" w:rsidRPr="00A45959">
        <w:rPr>
          <w:szCs w:val="22"/>
        </w:rPr>
        <w:t xml:space="preserve"> ATAGI also recommended</w:t>
      </w:r>
      <w:r w:rsidR="00264CE1" w:rsidRPr="00A45959">
        <w:rPr>
          <w:szCs w:val="22"/>
        </w:rPr>
        <w:t xml:space="preserve"> increased surveillance o</w:t>
      </w:r>
      <w:r w:rsidR="008A6BD3">
        <w:rPr>
          <w:szCs w:val="22"/>
        </w:rPr>
        <w:t>f</w:t>
      </w:r>
      <w:r w:rsidR="00264CE1" w:rsidRPr="00A45959">
        <w:rPr>
          <w:szCs w:val="22"/>
        </w:rPr>
        <w:t xml:space="preserve"> the real-world effectiveness of both vaccines.</w:t>
      </w:r>
    </w:p>
    <w:p w:rsidR="00FB7E9B" w:rsidRPr="00FB7E9B" w:rsidRDefault="00FB7E9B" w:rsidP="00FB7E9B">
      <w:pPr>
        <w:pStyle w:val="ListParagraph"/>
        <w:rPr>
          <w:szCs w:val="22"/>
        </w:rPr>
      </w:pPr>
    </w:p>
    <w:p w:rsidR="00FB7E9B" w:rsidRDefault="00FB7E9B" w:rsidP="002C2F87">
      <w:pPr>
        <w:pStyle w:val="ListParagraph"/>
        <w:widowControl/>
        <w:numPr>
          <w:ilvl w:val="1"/>
          <w:numId w:val="2"/>
        </w:numPr>
        <w:jc w:val="left"/>
        <w:rPr>
          <w:bCs/>
          <w:szCs w:val="22"/>
        </w:rPr>
      </w:pPr>
      <w:r w:rsidRPr="00FB7E9B">
        <w:rPr>
          <w:bCs/>
          <w:szCs w:val="22"/>
        </w:rPr>
        <w:t>The PBAC considered that the claim of non-inferior</w:t>
      </w:r>
      <w:r>
        <w:rPr>
          <w:bCs/>
          <w:szCs w:val="22"/>
        </w:rPr>
        <w:t xml:space="preserve"> </w:t>
      </w:r>
      <w:r w:rsidRPr="00FB7E9B">
        <w:rPr>
          <w:bCs/>
          <w:szCs w:val="22"/>
        </w:rPr>
        <w:t xml:space="preserve">comparative </w:t>
      </w:r>
      <w:r w:rsidR="005340FB" w:rsidRPr="00FB7E9B">
        <w:rPr>
          <w:bCs/>
          <w:szCs w:val="22"/>
        </w:rPr>
        <w:t xml:space="preserve">effectiveness </w:t>
      </w:r>
      <w:r w:rsidR="005340FB">
        <w:rPr>
          <w:bCs/>
          <w:szCs w:val="22"/>
        </w:rPr>
        <w:t>and</w:t>
      </w:r>
      <w:r>
        <w:rPr>
          <w:bCs/>
          <w:szCs w:val="22"/>
        </w:rPr>
        <w:t xml:space="preserve"> </w:t>
      </w:r>
      <w:r w:rsidRPr="00FB7E9B">
        <w:rPr>
          <w:szCs w:val="22"/>
        </w:rPr>
        <w:t xml:space="preserve">comparative safety </w:t>
      </w:r>
      <w:r w:rsidRPr="00FB7E9B">
        <w:rPr>
          <w:bCs/>
          <w:szCs w:val="22"/>
        </w:rPr>
        <w:t>was reasonable</w:t>
      </w:r>
      <w:r w:rsidR="000C61DF">
        <w:rPr>
          <w:bCs/>
          <w:szCs w:val="22"/>
        </w:rPr>
        <w:t>,</w:t>
      </w:r>
      <w:r>
        <w:rPr>
          <w:bCs/>
          <w:szCs w:val="22"/>
        </w:rPr>
        <w:t xml:space="preserve"> </w:t>
      </w:r>
      <w:r w:rsidR="008A6BD3">
        <w:rPr>
          <w:bCs/>
          <w:szCs w:val="22"/>
        </w:rPr>
        <w:t>in the context of</w:t>
      </w:r>
      <w:r>
        <w:rPr>
          <w:bCs/>
          <w:szCs w:val="22"/>
        </w:rPr>
        <w:t xml:space="preserve"> an 18-month DTPa</w:t>
      </w:r>
      <w:r w:rsidR="005340FB">
        <w:rPr>
          <w:bCs/>
          <w:szCs w:val="22"/>
        </w:rPr>
        <w:t>-containing</w:t>
      </w:r>
      <w:r>
        <w:rPr>
          <w:bCs/>
          <w:szCs w:val="22"/>
        </w:rPr>
        <w:t xml:space="preserve"> booster </w:t>
      </w:r>
      <w:r w:rsidR="008A6BD3">
        <w:rPr>
          <w:bCs/>
          <w:szCs w:val="22"/>
        </w:rPr>
        <w:t>being</w:t>
      </w:r>
      <w:r>
        <w:rPr>
          <w:bCs/>
          <w:szCs w:val="22"/>
        </w:rPr>
        <w:t xml:space="preserve"> available on the NIP</w:t>
      </w:r>
      <w:r w:rsidRPr="00FB7E9B">
        <w:rPr>
          <w:bCs/>
          <w:szCs w:val="22"/>
        </w:rPr>
        <w:t>.</w:t>
      </w:r>
    </w:p>
    <w:p w:rsidR="005340FB" w:rsidRPr="005340FB" w:rsidRDefault="005340FB" w:rsidP="005340FB">
      <w:pPr>
        <w:pStyle w:val="ListParagraph"/>
        <w:rPr>
          <w:bCs/>
          <w:szCs w:val="22"/>
        </w:rPr>
      </w:pPr>
    </w:p>
    <w:p w:rsidR="005340FB" w:rsidRDefault="005340FB" w:rsidP="005340FB">
      <w:pPr>
        <w:pStyle w:val="ListParagraph"/>
        <w:widowControl/>
        <w:rPr>
          <w:szCs w:val="22"/>
        </w:rPr>
      </w:pPr>
      <w:r w:rsidRPr="00495E35">
        <w:rPr>
          <w:szCs w:val="22"/>
        </w:rPr>
        <w:t>For more detail on PBAC’s vi</w:t>
      </w:r>
      <w:r>
        <w:rPr>
          <w:szCs w:val="22"/>
        </w:rPr>
        <w:t>ew, see section 7 “PBAC outcome</w:t>
      </w:r>
    </w:p>
    <w:p w:rsidR="00B60939" w:rsidRPr="00A45959" w:rsidRDefault="00B60939" w:rsidP="005340FB">
      <w:pPr>
        <w:rPr>
          <w:szCs w:val="22"/>
        </w:rPr>
      </w:pPr>
    </w:p>
    <w:p w:rsidR="00B60939" w:rsidRPr="00A45959" w:rsidRDefault="00B60939" w:rsidP="002C2775">
      <w:pPr>
        <w:pStyle w:val="Heading2"/>
        <w:rPr>
          <w:i/>
        </w:rPr>
      </w:pPr>
      <w:bookmarkStart w:id="11" w:name="_Toc409081613"/>
      <w:r w:rsidRPr="00A45959">
        <w:rPr>
          <w:i/>
        </w:rPr>
        <w:t>Economic analysis</w:t>
      </w:r>
      <w:bookmarkEnd w:id="11"/>
      <w:r w:rsidR="00491B3A" w:rsidRPr="00A45959">
        <w:rPr>
          <w:i/>
        </w:rPr>
        <w:t xml:space="preserve"> </w:t>
      </w:r>
    </w:p>
    <w:p w:rsidR="00B60939" w:rsidRPr="00A45959" w:rsidRDefault="00B60939" w:rsidP="0019077C">
      <w:pPr>
        <w:rPr>
          <w:szCs w:val="22"/>
        </w:rPr>
      </w:pPr>
    </w:p>
    <w:p w:rsidR="004D6BD2" w:rsidRPr="00A45959" w:rsidRDefault="00A1432D" w:rsidP="002C2F87">
      <w:pPr>
        <w:pStyle w:val="ListParagraph"/>
        <w:widowControl/>
        <w:numPr>
          <w:ilvl w:val="1"/>
          <w:numId w:val="2"/>
        </w:numPr>
      </w:pPr>
      <w:r w:rsidRPr="00A45959">
        <w:t>The submission presented</w:t>
      </w:r>
      <w:r w:rsidR="004D6BD2" w:rsidRPr="00A45959">
        <w:t xml:space="preserve"> a cost-minimisation analysis comparing Hexaxim with Infanrix Hexa when used as a three-dose primary vaccination series in infants.</w:t>
      </w:r>
      <w:r w:rsidRPr="00A45959">
        <w:t xml:space="preserve"> The equi-effective doses were</w:t>
      </w:r>
      <w:r w:rsidR="004D6BD2" w:rsidRPr="00A45959">
        <w:t xml:space="preserve"> based on the recommended dosing regimens outlined in the relevant product information documents which are the same as the doses used in the included clinical trials:</w:t>
      </w:r>
    </w:p>
    <w:p w:rsidR="00420032" w:rsidRPr="00A45959" w:rsidRDefault="00420032" w:rsidP="00420032">
      <w:pPr>
        <w:pStyle w:val="ListParagraph"/>
        <w:widowControl/>
      </w:pPr>
    </w:p>
    <w:p w:rsidR="004D6BD2" w:rsidRPr="00A45959" w:rsidRDefault="00420032" w:rsidP="00420032">
      <w:pPr>
        <w:pStyle w:val="ListParagraph"/>
        <w:widowControl/>
      </w:pPr>
      <w:r w:rsidRPr="00A45959">
        <w:t xml:space="preserve">3 </w:t>
      </w:r>
      <w:r w:rsidR="00A1432D" w:rsidRPr="00A45959">
        <w:t>x 0.5mL</w:t>
      </w:r>
      <w:r w:rsidR="004D6BD2" w:rsidRPr="00A45959">
        <w:t xml:space="preserve"> doses of Hexaxim = 3 x 0.5mL doses of Infanrix Hexa</w:t>
      </w:r>
    </w:p>
    <w:p w:rsidR="00420032" w:rsidRPr="00A45959" w:rsidRDefault="00420032" w:rsidP="00420032">
      <w:pPr>
        <w:pStyle w:val="ListParagraph"/>
        <w:widowControl/>
      </w:pPr>
    </w:p>
    <w:p w:rsidR="00420032" w:rsidRPr="00A45959" w:rsidRDefault="00420032" w:rsidP="00420032">
      <w:pPr>
        <w:pStyle w:val="ListParagraph"/>
        <w:widowControl/>
      </w:pPr>
      <w:r w:rsidRPr="00A45959">
        <w:t xml:space="preserve">The </w:t>
      </w:r>
      <w:r w:rsidR="005340FB">
        <w:t xml:space="preserve">Commentary noted that the </w:t>
      </w:r>
      <w:r w:rsidRPr="00A45959">
        <w:t>calculation of equi-effective doses is reasonable.</w:t>
      </w:r>
    </w:p>
    <w:p w:rsidR="00420032" w:rsidRDefault="00420032" w:rsidP="00420032">
      <w:pPr>
        <w:pStyle w:val="ListParagraph"/>
        <w:widowControl/>
      </w:pPr>
    </w:p>
    <w:p w:rsidR="009C5CBE" w:rsidRDefault="00720402" w:rsidP="002C2F87">
      <w:pPr>
        <w:pStyle w:val="ListParagraph"/>
        <w:widowControl/>
        <w:numPr>
          <w:ilvl w:val="1"/>
          <w:numId w:val="2"/>
        </w:numPr>
      </w:pPr>
      <w:r w:rsidRPr="00585DCC">
        <w:t>The requested cost minimised price of Hexaxim is exactly equal to the assumed NIP li</w:t>
      </w:r>
      <w:r>
        <w:t>st price of Infanrix Hexa ($</w:t>
      </w:r>
      <w:r w:rsidR="00E90B20">
        <w:rPr>
          <w:noProof/>
          <w:color w:val="000000"/>
          <w:highlight w:val="black"/>
        </w:rPr>
        <w:t>'''''''''''''</w:t>
      </w:r>
      <w:r>
        <w:t xml:space="preserve">, based on the last known historical price). </w:t>
      </w:r>
    </w:p>
    <w:p w:rsidR="009C5CBE" w:rsidRDefault="009C5CBE" w:rsidP="00BC307E">
      <w:pPr>
        <w:pStyle w:val="ListParagraph"/>
        <w:widowControl/>
      </w:pPr>
    </w:p>
    <w:p w:rsidR="009C5CBE" w:rsidRDefault="00A1432D" w:rsidP="002C2F87">
      <w:pPr>
        <w:pStyle w:val="ListParagraph"/>
        <w:widowControl/>
        <w:numPr>
          <w:ilvl w:val="1"/>
          <w:numId w:val="2"/>
        </w:numPr>
      </w:pPr>
      <w:r>
        <w:t>The submission suggested</w:t>
      </w:r>
      <w:r w:rsidR="009C5CBE">
        <w:t xml:space="preserve"> that there may be lower vaccination program costs associated with Hexaxim due to reduced preparation times (pre-filled syringe, ready for use) compared to Infanrix Hexa (lyophilized powder and liquid suspension, requires reconstitution before use). </w:t>
      </w:r>
    </w:p>
    <w:p w:rsidR="009C5CBE" w:rsidRDefault="009C5CBE" w:rsidP="00BC307E">
      <w:pPr>
        <w:pStyle w:val="ListParagraph"/>
        <w:widowControl/>
      </w:pPr>
    </w:p>
    <w:p w:rsidR="009C5CBE" w:rsidRDefault="00A1432D" w:rsidP="002C2F87">
      <w:pPr>
        <w:pStyle w:val="ListParagraph"/>
        <w:widowControl/>
        <w:numPr>
          <w:ilvl w:val="1"/>
          <w:numId w:val="2"/>
        </w:numPr>
      </w:pPr>
      <w:r>
        <w:t>The submission suggested</w:t>
      </w:r>
      <w:r w:rsidR="009C5CBE">
        <w:t xml:space="preserve"> that there may also be potential savings associated with having two vaccines competing for the DTPa-hepB-IPV-Hib market under the NIP. </w:t>
      </w:r>
    </w:p>
    <w:p w:rsidR="00C25D9C" w:rsidRPr="0019077C" w:rsidRDefault="00C25D9C" w:rsidP="0019077C">
      <w:pPr>
        <w:widowControl/>
        <w:rPr>
          <w:szCs w:val="22"/>
        </w:rPr>
      </w:pPr>
    </w:p>
    <w:p w:rsidR="00C25D9C" w:rsidRPr="002C2775" w:rsidRDefault="001C4CDD" w:rsidP="002C2775">
      <w:pPr>
        <w:pStyle w:val="Heading2"/>
        <w:rPr>
          <w:i/>
          <w:szCs w:val="22"/>
        </w:rPr>
      </w:pPr>
      <w:bookmarkStart w:id="12" w:name="_Toc409081614"/>
      <w:r>
        <w:rPr>
          <w:i/>
        </w:rPr>
        <w:t>Drug cost/patient/course</w:t>
      </w:r>
      <w:bookmarkEnd w:id="12"/>
    </w:p>
    <w:p w:rsidR="00C25D9C" w:rsidRPr="00C25D9C" w:rsidRDefault="00C25D9C" w:rsidP="00C25D9C">
      <w:pPr>
        <w:widowControl/>
        <w:rPr>
          <w:szCs w:val="22"/>
        </w:rPr>
      </w:pPr>
    </w:p>
    <w:p w:rsidR="00B60939" w:rsidRPr="001C4CDD" w:rsidRDefault="001C4CDD" w:rsidP="002C2F87">
      <w:pPr>
        <w:pStyle w:val="ListParagraph"/>
        <w:widowControl/>
        <w:numPr>
          <w:ilvl w:val="1"/>
          <w:numId w:val="2"/>
        </w:numPr>
        <w:rPr>
          <w:szCs w:val="22"/>
        </w:rPr>
      </w:pPr>
      <w:r w:rsidRPr="001C4CDD">
        <w:rPr>
          <w:szCs w:val="22"/>
        </w:rPr>
        <w:t>The cost per course for b</w:t>
      </w:r>
      <w:r w:rsidR="00A1432D">
        <w:rPr>
          <w:szCs w:val="22"/>
        </w:rPr>
        <w:t>oth Hexaxim and Infanrix Hexa was</w:t>
      </w:r>
      <w:r w:rsidRPr="001C4CDD">
        <w:rPr>
          <w:szCs w:val="22"/>
        </w:rPr>
        <w:t xml:space="preserve"> estimated to be $</w:t>
      </w:r>
      <w:r w:rsidR="00E90B20">
        <w:rPr>
          <w:noProof/>
          <w:color w:val="000000"/>
          <w:szCs w:val="22"/>
          <w:highlight w:val="black"/>
        </w:rPr>
        <w:t>''''''''''''''''''</w:t>
      </w:r>
      <w:r w:rsidRPr="001C4CDD">
        <w:rPr>
          <w:szCs w:val="22"/>
        </w:rPr>
        <w:t xml:space="preserve"> (3 doses per course)</w:t>
      </w:r>
      <w:r w:rsidR="00A1432D">
        <w:rPr>
          <w:szCs w:val="22"/>
        </w:rPr>
        <w:t>.</w:t>
      </w:r>
    </w:p>
    <w:p w:rsidR="001C4CDD" w:rsidRPr="001C4CDD" w:rsidRDefault="001C4CDD" w:rsidP="001C4CDD">
      <w:pPr>
        <w:pStyle w:val="ListParagraph"/>
        <w:widowControl/>
        <w:rPr>
          <w:szCs w:val="22"/>
        </w:rPr>
      </w:pPr>
    </w:p>
    <w:p w:rsidR="00B60939" w:rsidRPr="002C2775" w:rsidRDefault="00B60939" w:rsidP="002C2775">
      <w:pPr>
        <w:pStyle w:val="Heading2"/>
        <w:rPr>
          <w:i/>
        </w:rPr>
      </w:pPr>
      <w:bookmarkStart w:id="13" w:name="_Toc409081615"/>
      <w:r w:rsidRPr="002C2775">
        <w:rPr>
          <w:i/>
        </w:rPr>
        <w:t>Estimated PBS usage &amp; financial implications</w:t>
      </w:r>
      <w:bookmarkEnd w:id="13"/>
    </w:p>
    <w:p w:rsidR="00B60939" w:rsidRPr="00882085" w:rsidRDefault="00B60939" w:rsidP="00B60939">
      <w:pPr>
        <w:ind w:left="720" w:hanging="720"/>
        <w:rPr>
          <w:b/>
          <w:i/>
          <w:szCs w:val="22"/>
        </w:rPr>
      </w:pPr>
    </w:p>
    <w:p w:rsidR="001C4CDD" w:rsidRPr="00BC307E" w:rsidRDefault="001C4CDD" w:rsidP="002C2F87">
      <w:pPr>
        <w:pStyle w:val="ListParagraph"/>
        <w:widowControl/>
        <w:numPr>
          <w:ilvl w:val="1"/>
          <w:numId w:val="2"/>
        </w:numPr>
        <w:rPr>
          <w:szCs w:val="22"/>
        </w:rPr>
      </w:pPr>
      <w:r w:rsidRPr="00BC307E">
        <w:t xml:space="preserve">This submission </w:t>
      </w:r>
      <w:r w:rsidR="008D1863">
        <w:t>was not</w:t>
      </w:r>
      <w:r w:rsidR="00C25D9C" w:rsidRPr="00BC307E">
        <w:t xml:space="preserve"> considered by DUSC</w:t>
      </w:r>
      <w:r w:rsidR="00C25D9C" w:rsidRPr="00BC307E">
        <w:rPr>
          <w:color w:val="0070C0"/>
        </w:rPr>
        <w:t xml:space="preserve">. </w:t>
      </w:r>
    </w:p>
    <w:p w:rsidR="001C4CDD" w:rsidRPr="00BC307E" w:rsidRDefault="001C4CDD" w:rsidP="001C4CDD">
      <w:pPr>
        <w:pStyle w:val="ListParagraph"/>
        <w:widowControl/>
        <w:rPr>
          <w:color w:val="0070C0"/>
        </w:rPr>
      </w:pPr>
    </w:p>
    <w:p w:rsidR="001C4CDD" w:rsidRPr="00BC307E" w:rsidRDefault="001C4CDD" w:rsidP="001C4CDD">
      <w:pPr>
        <w:pStyle w:val="ListParagraph"/>
        <w:widowControl/>
        <w:rPr>
          <w:color w:val="0070C0"/>
        </w:rPr>
      </w:pPr>
      <w:r w:rsidRPr="00BC307E">
        <w:t xml:space="preserve">The </w:t>
      </w:r>
      <w:r w:rsidR="00A1432D" w:rsidRPr="00BC307E">
        <w:t>submission used</w:t>
      </w:r>
      <w:r w:rsidR="008A6BD3">
        <w:t xml:space="preserve"> an epidemiological</w:t>
      </w:r>
      <w:r w:rsidRPr="00BC307E">
        <w:t xml:space="preserve"> approach to estimate the utilisation/financial implications associated with the NIP listing of Hexaxim</w:t>
      </w:r>
      <w:r w:rsidR="00A1432D" w:rsidRPr="00BC307E">
        <w:t>.</w:t>
      </w:r>
    </w:p>
    <w:p w:rsidR="001C4CDD" w:rsidRPr="00BC307E" w:rsidRDefault="001C4CDD" w:rsidP="001C4CDD">
      <w:pPr>
        <w:rPr>
          <w:rStyle w:val="CommentReference"/>
        </w:rPr>
      </w:pPr>
    </w:p>
    <w:p w:rsidR="003430DE" w:rsidRDefault="001C4CDD" w:rsidP="001C4CDD">
      <w:pPr>
        <w:pStyle w:val="COMtbl-HEADLeftAligned"/>
      </w:pPr>
      <w:r w:rsidRPr="00BC307E">
        <w:tab/>
      </w:r>
    </w:p>
    <w:p w:rsidR="003430DE" w:rsidRDefault="003430DE">
      <w:pPr>
        <w:widowControl/>
        <w:jc w:val="left"/>
        <w:rPr>
          <w:rFonts w:ascii="Arial Narrow" w:hAnsi="Arial Narrow"/>
          <w:b/>
          <w:sz w:val="20"/>
        </w:rPr>
      </w:pPr>
      <w:r>
        <w:br w:type="page"/>
      </w:r>
    </w:p>
    <w:p w:rsidR="001C4CDD" w:rsidRPr="00BC307E" w:rsidRDefault="003430DE" w:rsidP="001C4CDD">
      <w:pPr>
        <w:pStyle w:val="COMtbl-HEADLeftAligned"/>
      </w:pPr>
      <w:r>
        <w:lastRenderedPageBreak/>
        <w:tab/>
      </w:r>
      <w:r w:rsidR="001C4CDD" w:rsidRPr="00BC307E">
        <w:t>Estimated budget impact of Hexaxim to the NIP</w:t>
      </w:r>
    </w:p>
    <w:tbl>
      <w:tblPr>
        <w:tblW w:w="4596"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Estimated budget impact of Hexaxim to the NIP"/>
        <w:tblDescription w:val="Year 1 to 5"/>
      </w:tblPr>
      <w:tblGrid>
        <w:gridCol w:w="2124"/>
        <w:gridCol w:w="1244"/>
        <w:gridCol w:w="1244"/>
        <w:gridCol w:w="1246"/>
        <w:gridCol w:w="1244"/>
        <w:gridCol w:w="1246"/>
      </w:tblGrid>
      <w:tr w:rsidR="001C4CDD" w:rsidRPr="00BC307E" w:rsidTr="001C4CDD">
        <w:trPr>
          <w:trHeight w:val="64"/>
        </w:trPr>
        <w:tc>
          <w:tcPr>
            <w:tcW w:w="1273" w:type="pct"/>
            <w:vAlign w:val="center"/>
          </w:tcPr>
          <w:p w:rsidR="001C4CDD" w:rsidRPr="00BC307E" w:rsidRDefault="001C4CDD" w:rsidP="00080ED9">
            <w:pPr>
              <w:pStyle w:val="COMtbl-HEADLeftAligned"/>
            </w:pPr>
            <w:r w:rsidRPr="00BC307E">
              <w:t>Current budget impact model</w:t>
            </w:r>
          </w:p>
        </w:tc>
        <w:tc>
          <w:tcPr>
            <w:tcW w:w="745" w:type="pct"/>
            <w:vAlign w:val="center"/>
          </w:tcPr>
          <w:p w:rsidR="001C4CDD" w:rsidRPr="00BC307E" w:rsidRDefault="001C4CDD" w:rsidP="00080ED9">
            <w:pPr>
              <w:pStyle w:val="COMtbl-HEADCentred"/>
            </w:pPr>
            <w:r w:rsidRPr="00BC307E">
              <w:t xml:space="preserve">Year 1 </w:t>
            </w:r>
          </w:p>
          <w:p w:rsidR="001C4CDD" w:rsidRPr="00BC307E" w:rsidRDefault="001C4CDD" w:rsidP="00080ED9">
            <w:pPr>
              <w:pStyle w:val="COMtbl-HEADCentred"/>
            </w:pPr>
            <w:r w:rsidRPr="00BC307E">
              <w:t>(2015)</w:t>
            </w:r>
          </w:p>
        </w:tc>
        <w:tc>
          <w:tcPr>
            <w:tcW w:w="745" w:type="pct"/>
            <w:vAlign w:val="center"/>
          </w:tcPr>
          <w:p w:rsidR="001C4CDD" w:rsidRPr="00BC307E" w:rsidRDefault="001C4CDD" w:rsidP="00080ED9">
            <w:pPr>
              <w:pStyle w:val="COMtbl-HEADCentred"/>
            </w:pPr>
            <w:r w:rsidRPr="00BC307E">
              <w:t xml:space="preserve">Year 2 </w:t>
            </w:r>
          </w:p>
          <w:p w:rsidR="001C4CDD" w:rsidRPr="00BC307E" w:rsidRDefault="001C4CDD" w:rsidP="00080ED9">
            <w:pPr>
              <w:pStyle w:val="COMtbl-HEADCentred"/>
            </w:pPr>
            <w:r w:rsidRPr="00BC307E">
              <w:t>(2016)</w:t>
            </w:r>
          </w:p>
        </w:tc>
        <w:tc>
          <w:tcPr>
            <w:tcW w:w="746" w:type="pct"/>
            <w:vAlign w:val="center"/>
          </w:tcPr>
          <w:p w:rsidR="001C4CDD" w:rsidRPr="00BC307E" w:rsidRDefault="001C4CDD" w:rsidP="00080ED9">
            <w:pPr>
              <w:pStyle w:val="COMtbl-HEADCentred"/>
            </w:pPr>
            <w:r w:rsidRPr="00BC307E">
              <w:t xml:space="preserve">Year 3 </w:t>
            </w:r>
          </w:p>
          <w:p w:rsidR="001C4CDD" w:rsidRPr="00BC307E" w:rsidRDefault="001C4CDD" w:rsidP="00080ED9">
            <w:pPr>
              <w:pStyle w:val="COMtbl-HEADCentred"/>
            </w:pPr>
            <w:r w:rsidRPr="00BC307E">
              <w:t>(2017)</w:t>
            </w:r>
          </w:p>
        </w:tc>
        <w:tc>
          <w:tcPr>
            <w:tcW w:w="745" w:type="pct"/>
            <w:vAlign w:val="center"/>
          </w:tcPr>
          <w:p w:rsidR="001C4CDD" w:rsidRPr="00BC307E" w:rsidRDefault="001C4CDD" w:rsidP="00080ED9">
            <w:pPr>
              <w:pStyle w:val="COMtbl-HEADCentred"/>
            </w:pPr>
            <w:r w:rsidRPr="00BC307E">
              <w:t xml:space="preserve">Year 4 </w:t>
            </w:r>
          </w:p>
          <w:p w:rsidR="001C4CDD" w:rsidRPr="00BC307E" w:rsidRDefault="001C4CDD" w:rsidP="00080ED9">
            <w:pPr>
              <w:pStyle w:val="COMtbl-HEADCentred"/>
            </w:pPr>
            <w:r w:rsidRPr="00BC307E">
              <w:t>(2018)</w:t>
            </w:r>
          </w:p>
        </w:tc>
        <w:tc>
          <w:tcPr>
            <w:tcW w:w="746" w:type="pct"/>
            <w:vAlign w:val="center"/>
          </w:tcPr>
          <w:p w:rsidR="001C4CDD" w:rsidRPr="00BC307E" w:rsidRDefault="001C4CDD" w:rsidP="00080ED9">
            <w:pPr>
              <w:pStyle w:val="COMtbl-HEADCentred"/>
            </w:pPr>
            <w:r w:rsidRPr="00BC307E">
              <w:t xml:space="preserve">Year 5 </w:t>
            </w:r>
          </w:p>
          <w:p w:rsidR="001C4CDD" w:rsidRPr="00BC307E" w:rsidRDefault="001C4CDD" w:rsidP="00080ED9">
            <w:pPr>
              <w:pStyle w:val="COMtbl-HEADCentred"/>
            </w:pPr>
            <w:r w:rsidRPr="00BC307E">
              <w:t>(2019)</w:t>
            </w:r>
          </w:p>
        </w:tc>
      </w:tr>
      <w:tr w:rsidR="001C4CDD" w:rsidRPr="00BC307E" w:rsidTr="001C4CDD">
        <w:tc>
          <w:tcPr>
            <w:tcW w:w="1273" w:type="pct"/>
            <w:vAlign w:val="center"/>
          </w:tcPr>
          <w:p w:rsidR="001C4CDD" w:rsidRPr="00BC307E" w:rsidRDefault="001C4CDD" w:rsidP="00080ED9">
            <w:pPr>
              <w:pStyle w:val="COMtbl-textLeftAligned"/>
            </w:pPr>
            <w:r w:rsidRPr="00BC307E">
              <w:t>Infants aged &lt; 12 months</w:t>
            </w:r>
          </w:p>
        </w:tc>
        <w:tc>
          <w:tcPr>
            <w:tcW w:w="745" w:type="pct"/>
            <w:vAlign w:val="center"/>
          </w:tcPr>
          <w:p w:rsidR="001C4CDD" w:rsidRPr="00E90B20" w:rsidRDefault="00E90B20" w:rsidP="00080ED9">
            <w:pPr>
              <w:pStyle w:val="COMtbl-textCentred"/>
              <w:rPr>
                <w:highlight w:val="black"/>
              </w:rPr>
            </w:pPr>
            <w:r>
              <w:rPr>
                <w:noProof/>
                <w:color w:val="000000"/>
                <w:highlight w:val="black"/>
              </w:rPr>
              <w:t>'''''''''''''''''''</w:t>
            </w:r>
          </w:p>
        </w:tc>
        <w:tc>
          <w:tcPr>
            <w:tcW w:w="745" w:type="pct"/>
            <w:vAlign w:val="center"/>
          </w:tcPr>
          <w:p w:rsidR="001C4CDD" w:rsidRPr="00E90B20" w:rsidRDefault="00E90B20" w:rsidP="00080ED9">
            <w:pPr>
              <w:pStyle w:val="COMtbl-textCentred"/>
              <w:rPr>
                <w:highlight w:val="black"/>
              </w:rPr>
            </w:pPr>
            <w:r>
              <w:rPr>
                <w:noProof/>
                <w:color w:val="000000"/>
                <w:highlight w:val="black"/>
              </w:rPr>
              <w:t>'''''''''''''''''''''</w:t>
            </w:r>
          </w:p>
        </w:tc>
        <w:tc>
          <w:tcPr>
            <w:tcW w:w="746" w:type="pct"/>
            <w:vAlign w:val="center"/>
          </w:tcPr>
          <w:p w:rsidR="001C4CDD" w:rsidRPr="00E90B20" w:rsidRDefault="00E90B20" w:rsidP="00080ED9">
            <w:pPr>
              <w:pStyle w:val="COMtbl-textCentred"/>
              <w:rPr>
                <w:highlight w:val="black"/>
              </w:rPr>
            </w:pPr>
            <w:r>
              <w:rPr>
                <w:noProof/>
                <w:color w:val="000000"/>
                <w:highlight w:val="black"/>
              </w:rPr>
              <w:t>''''''''''''''''''''</w:t>
            </w:r>
          </w:p>
        </w:tc>
        <w:tc>
          <w:tcPr>
            <w:tcW w:w="745" w:type="pct"/>
            <w:vAlign w:val="center"/>
          </w:tcPr>
          <w:p w:rsidR="001C4CDD" w:rsidRPr="00E90B20" w:rsidRDefault="00E90B20" w:rsidP="00080ED9">
            <w:pPr>
              <w:pStyle w:val="COMtbl-textCentred"/>
              <w:rPr>
                <w:highlight w:val="black"/>
              </w:rPr>
            </w:pPr>
            <w:r>
              <w:rPr>
                <w:noProof/>
                <w:color w:val="000000"/>
                <w:highlight w:val="black"/>
              </w:rPr>
              <w:t>'''''''''''''''''</w:t>
            </w:r>
          </w:p>
        </w:tc>
        <w:tc>
          <w:tcPr>
            <w:tcW w:w="746" w:type="pct"/>
            <w:vAlign w:val="center"/>
          </w:tcPr>
          <w:p w:rsidR="001C4CDD" w:rsidRPr="00E90B20" w:rsidRDefault="00E90B20" w:rsidP="00080ED9">
            <w:pPr>
              <w:pStyle w:val="COMtbl-textCentred"/>
              <w:rPr>
                <w:highlight w:val="black"/>
              </w:rPr>
            </w:pPr>
            <w:r>
              <w:rPr>
                <w:noProof/>
                <w:color w:val="000000"/>
                <w:highlight w:val="black"/>
              </w:rPr>
              <w:t>'''''''''''''''''</w:t>
            </w:r>
          </w:p>
        </w:tc>
      </w:tr>
      <w:tr w:rsidR="001C4CDD" w:rsidRPr="00BC307E" w:rsidTr="001C4CDD">
        <w:tc>
          <w:tcPr>
            <w:tcW w:w="1273" w:type="pct"/>
            <w:vAlign w:val="center"/>
          </w:tcPr>
          <w:p w:rsidR="001C4CDD" w:rsidRPr="00BC307E" w:rsidRDefault="001C4CDD" w:rsidP="00080ED9">
            <w:pPr>
              <w:pStyle w:val="COMtbl-textLeftAligned"/>
            </w:pPr>
            <w:r w:rsidRPr="00BC307E">
              <w:t>Infants who are fully immunised (91.4%)</w:t>
            </w:r>
          </w:p>
        </w:tc>
        <w:tc>
          <w:tcPr>
            <w:tcW w:w="745" w:type="pct"/>
            <w:vAlign w:val="center"/>
          </w:tcPr>
          <w:p w:rsidR="001C4CDD" w:rsidRPr="00E90B20" w:rsidRDefault="00E90B20" w:rsidP="00080ED9">
            <w:pPr>
              <w:pStyle w:val="COMtbl-textCentred"/>
              <w:rPr>
                <w:highlight w:val="black"/>
              </w:rPr>
            </w:pPr>
            <w:r>
              <w:rPr>
                <w:noProof/>
                <w:color w:val="000000"/>
                <w:highlight w:val="black"/>
              </w:rPr>
              <w:t>'''''''''''''''''</w:t>
            </w:r>
          </w:p>
        </w:tc>
        <w:tc>
          <w:tcPr>
            <w:tcW w:w="745" w:type="pct"/>
            <w:vAlign w:val="center"/>
          </w:tcPr>
          <w:p w:rsidR="001C4CDD" w:rsidRPr="00E90B20" w:rsidRDefault="00E90B20" w:rsidP="00080ED9">
            <w:pPr>
              <w:pStyle w:val="COMtbl-textCentred"/>
              <w:rPr>
                <w:highlight w:val="black"/>
              </w:rPr>
            </w:pPr>
            <w:r>
              <w:rPr>
                <w:noProof/>
                <w:color w:val="000000"/>
                <w:highlight w:val="black"/>
              </w:rPr>
              <w:t>''''''''''''''''''</w:t>
            </w:r>
          </w:p>
        </w:tc>
        <w:tc>
          <w:tcPr>
            <w:tcW w:w="746" w:type="pct"/>
            <w:vAlign w:val="center"/>
          </w:tcPr>
          <w:p w:rsidR="001C4CDD" w:rsidRPr="00E90B20" w:rsidRDefault="00E90B20" w:rsidP="00080ED9">
            <w:pPr>
              <w:pStyle w:val="COMtbl-textCentred"/>
              <w:rPr>
                <w:highlight w:val="black"/>
              </w:rPr>
            </w:pPr>
            <w:r>
              <w:rPr>
                <w:noProof/>
                <w:color w:val="000000"/>
                <w:highlight w:val="black"/>
              </w:rPr>
              <w:t>'''''''''''''''''''''</w:t>
            </w:r>
          </w:p>
        </w:tc>
        <w:tc>
          <w:tcPr>
            <w:tcW w:w="745" w:type="pct"/>
            <w:vAlign w:val="center"/>
          </w:tcPr>
          <w:p w:rsidR="001C4CDD" w:rsidRPr="00E90B20" w:rsidRDefault="00E90B20" w:rsidP="00080ED9">
            <w:pPr>
              <w:pStyle w:val="COMtbl-textCentred"/>
              <w:rPr>
                <w:highlight w:val="black"/>
              </w:rPr>
            </w:pPr>
            <w:r>
              <w:rPr>
                <w:noProof/>
                <w:color w:val="000000"/>
                <w:highlight w:val="black"/>
              </w:rPr>
              <w:t>''''''''''''''''''</w:t>
            </w:r>
          </w:p>
        </w:tc>
        <w:tc>
          <w:tcPr>
            <w:tcW w:w="746" w:type="pct"/>
            <w:vAlign w:val="center"/>
          </w:tcPr>
          <w:p w:rsidR="001C4CDD" w:rsidRPr="00E90B20" w:rsidRDefault="00E90B20" w:rsidP="00080ED9">
            <w:pPr>
              <w:pStyle w:val="COMtbl-textCentred"/>
              <w:rPr>
                <w:highlight w:val="black"/>
              </w:rPr>
            </w:pPr>
            <w:r>
              <w:rPr>
                <w:noProof/>
                <w:color w:val="000000"/>
                <w:highlight w:val="black"/>
              </w:rPr>
              <w:t>''''''''''''''''''''''</w:t>
            </w:r>
          </w:p>
        </w:tc>
      </w:tr>
      <w:tr w:rsidR="001C4CDD" w:rsidRPr="00BC307E" w:rsidTr="001C4CDD">
        <w:tc>
          <w:tcPr>
            <w:tcW w:w="1273" w:type="pct"/>
            <w:vAlign w:val="center"/>
          </w:tcPr>
          <w:p w:rsidR="001C4CDD" w:rsidRPr="00BC307E" w:rsidRDefault="001C4CDD" w:rsidP="00080ED9">
            <w:pPr>
              <w:pStyle w:val="COMtbl-textLeftAligned"/>
            </w:pPr>
            <w:r w:rsidRPr="0059764D">
              <w:t>Estimated uptake of Hexaxim (50%)</w:t>
            </w:r>
          </w:p>
        </w:tc>
        <w:tc>
          <w:tcPr>
            <w:tcW w:w="745" w:type="pct"/>
            <w:vAlign w:val="center"/>
          </w:tcPr>
          <w:p w:rsidR="001C4CDD" w:rsidRPr="00E90B20" w:rsidRDefault="00E90B20" w:rsidP="00080ED9">
            <w:pPr>
              <w:pStyle w:val="COMtbl-textCentred"/>
              <w:rPr>
                <w:highlight w:val="black"/>
              </w:rPr>
            </w:pPr>
            <w:r>
              <w:rPr>
                <w:noProof/>
                <w:color w:val="000000"/>
                <w:highlight w:val="black"/>
              </w:rPr>
              <w:t>'''''''''''''''''''''</w:t>
            </w:r>
          </w:p>
        </w:tc>
        <w:tc>
          <w:tcPr>
            <w:tcW w:w="745" w:type="pct"/>
            <w:vAlign w:val="center"/>
          </w:tcPr>
          <w:p w:rsidR="001C4CDD" w:rsidRPr="00E90B20" w:rsidRDefault="00E90B20" w:rsidP="00080ED9">
            <w:pPr>
              <w:pStyle w:val="COMtbl-textCentred"/>
              <w:rPr>
                <w:highlight w:val="black"/>
              </w:rPr>
            </w:pPr>
            <w:r>
              <w:rPr>
                <w:noProof/>
                <w:color w:val="000000"/>
                <w:highlight w:val="black"/>
              </w:rPr>
              <w:t>''''''''''''''''''''</w:t>
            </w:r>
          </w:p>
        </w:tc>
        <w:tc>
          <w:tcPr>
            <w:tcW w:w="746" w:type="pct"/>
            <w:vAlign w:val="center"/>
          </w:tcPr>
          <w:p w:rsidR="001C4CDD" w:rsidRPr="00E90B20" w:rsidRDefault="00E90B20" w:rsidP="00080ED9">
            <w:pPr>
              <w:pStyle w:val="COMtbl-textCentred"/>
              <w:rPr>
                <w:highlight w:val="black"/>
              </w:rPr>
            </w:pPr>
            <w:r>
              <w:rPr>
                <w:noProof/>
                <w:color w:val="000000"/>
                <w:highlight w:val="black"/>
              </w:rPr>
              <w:t>''''''''''''''''''</w:t>
            </w:r>
          </w:p>
        </w:tc>
        <w:tc>
          <w:tcPr>
            <w:tcW w:w="745" w:type="pct"/>
            <w:vAlign w:val="center"/>
          </w:tcPr>
          <w:p w:rsidR="001C4CDD" w:rsidRPr="00E90B20" w:rsidRDefault="00E90B20" w:rsidP="00080ED9">
            <w:pPr>
              <w:pStyle w:val="COMtbl-textCentred"/>
              <w:rPr>
                <w:highlight w:val="black"/>
              </w:rPr>
            </w:pPr>
            <w:r>
              <w:rPr>
                <w:noProof/>
                <w:color w:val="000000"/>
                <w:highlight w:val="black"/>
              </w:rPr>
              <w:t>''''''''''''''''''''</w:t>
            </w:r>
          </w:p>
        </w:tc>
        <w:tc>
          <w:tcPr>
            <w:tcW w:w="746" w:type="pct"/>
            <w:vAlign w:val="center"/>
          </w:tcPr>
          <w:p w:rsidR="001C4CDD" w:rsidRPr="00E90B20" w:rsidRDefault="00E90B20" w:rsidP="00080ED9">
            <w:pPr>
              <w:pStyle w:val="COMtbl-textCentred"/>
              <w:rPr>
                <w:highlight w:val="black"/>
              </w:rPr>
            </w:pPr>
            <w:r>
              <w:rPr>
                <w:noProof/>
                <w:color w:val="000000"/>
                <w:highlight w:val="black"/>
              </w:rPr>
              <w:t>''''''''''''''''''</w:t>
            </w:r>
          </w:p>
        </w:tc>
      </w:tr>
      <w:tr w:rsidR="001C4CDD" w:rsidRPr="00BC307E" w:rsidTr="001C4CDD">
        <w:tc>
          <w:tcPr>
            <w:tcW w:w="1273" w:type="pct"/>
            <w:vAlign w:val="center"/>
          </w:tcPr>
          <w:p w:rsidR="001C4CDD" w:rsidRPr="00BC307E" w:rsidRDefault="001C4CDD" w:rsidP="00080ED9">
            <w:pPr>
              <w:pStyle w:val="COMtbl-textLeftAligned"/>
            </w:pPr>
            <w:r w:rsidRPr="00BC307E">
              <w:t>Total Hexaxim doses (3 per patient)</w:t>
            </w:r>
          </w:p>
        </w:tc>
        <w:tc>
          <w:tcPr>
            <w:tcW w:w="745" w:type="pct"/>
            <w:vAlign w:val="center"/>
          </w:tcPr>
          <w:p w:rsidR="001C4CDD" w:rsidRPr="00E90B20" w:rsidRDefault="00E90B20" w:rsidP="00080ED9">
            <w:pPr>
              <w:pStyle w:val="COMtbl-textCentred"/>
              <w:rPr>
                <w:highlight w:val="black"/>
              </w:rPr>
            </w:pPr>
            <w:r>
              <w:rPr>
                <w:noProof/>
                <w:color w:val="000000"/>
                <w:highlight w:val="black"/>
              </w:rPr>
              <w:t>'''''''''''''''''''</w:t>
            </w:r>
          </w:p>
        </w:tc>
        <w:tc>
          <w:tcPr>
            <w:tcW w:w="745" w:type="pct"/>
            <w:vAlign w:val="center"/>
          </w:tcPr>
          <w:p w:rsidR="001C4CDD" w:rsidRPr="00E90B20" w:rsidRDefault="00E90B20" w:rsidP="00080ED9">
            <w:pPr>
              <w:pStyle w:val="COMtbl-textCentred"/>
              <w:rPr>
                <w:highlight w:val="black"/>
              </w:rPr>
            </w:pPr>
            <w:r>
              <w:rPr>
                <w:noProof/>
                <w:color w:val="000000"/>
                <w:highlight w:val="black"/>
              </w:rPr>
              <w:t>''''''''''''''''''</w:t>
            </w:r>
          </w:p>
        </w:tc>
        <w:tc>
          <w:tcPr>
            <w:tcW w:w="746" w:type="pct"/>
            <w:vAlign w:val="center"/>
          </w:tcPr>
          <w:p w:rsidR="001C4CDD" w:rsidRPr="00E90B20" w:rsidRDefault="00E90B20" w:rsidP="00080ED9">
            <w:pPr>
              <w:pStyle w:val="COMtbl-textCentred"/>
              <w:rPr>
                <w:highlight w:val="black"/>
              </w:rPr>
            </w:pPr>
            <w:r>
              <w:rPr>
                <w:noProof/>
                <w:color w:val="000000"/>
                <w:highlight w:val="black"/>
              </w:rPr>
              <w:t>''''''''''''''''''''</w:t>
            </w:r>
          </w:p>
        </w:tc>
        <w:tc>
          <w:tcPr>
            <w:tcW w:w="745" w:type="pct"/>
            <w:vAlign w:val="center"/>
          </w:tcPr>
          <w:p w:rsidR="001C4CDD" w:rsidRPr="00E90B20" w:rsidRDefault="00E90B20" w:rsidP="00080ED9">
            <w:pPr>
              <w:pStyle w:val="COMtbl-textCentred"/>
              <w:rPr>
                <w:highlight w:val="black"/>
              </w:rPr>
            </w:pPr>
            <w:r>
              <w:rPr>
                <w:noProof/>
                <w:color w:val="000000"/>
                <w:highlight w:val="black"/>
              </w:rPr>
              <w:t>''''''''''''''''''''</w:t>
            </w:r>
          </w:p>
        </w:tc>
        <w:tc>
          <w:tcPr>
            <w:tcW w:w="746" w:type="pct"/>
            <w:vAlign w:val="center"/>
          </w:tcPr>
          <w:p w:rsidR="001C4CDD" w:rsidRPr="00E90B20" w:rsidRDefault="00E90B20" w:rsidP="00080ED9">
            <w:pPr>
              <w:pStyle w:val="COMtbl-textCentred"/>
              <w:rPr>
                <w:highlight w:val="black"/>
              </w:rPr>
            </w:pPr>
            <w:r>
              <w:rPr>
                <w:noProof/>
                <w:color w:val="000000"/>
                <w:highlight w:val="black"/>
              </w:rPr>
              <w:t>''''''''''''''''''''</w:t>
            </w:r>
          </w:p>
        </w:tc>
      </w:tr>
      <w:tr w:rsidR="001C4CDD" w:rsidRPr="00BC307E" w:rsidTr="001C4CDD">
        <w:tc>
          <w:tcPr>
            <w:tcW w:w="1273" w:type="pct"/>
            <w:vAlign w:val="center"/>
          </w:tcPr>
          <w:p w:rsidR="001C4CDD" w:rsidRPr="00BC307E" w:rsidRDefault="001C4CDD" w:rsidP="00080ED9">
            <w:pPr>
              <w:pStyle w:val="COMtbl-textLeftAligned"/>
              <w:rPr>
                <w:vertAlign w:val="superscript"/>
              </w:rPr>
            </w:pPr>
            <w:r w:rsidRPr="00BC307E">
              <w:t>Total cost of Hexaxim ($</w:t>
            </w:r>
            <w:r w:rsidR="00E90B20">
              <w:rPr>
                <w:noProof/>
                <w:color w:val="000000"/>
                <w:highlight w:val="black"/>
              </w:rPr>
              <w:t>''''''''''''''</w:t>
            </w:r>
            <w:r w:rsidRPr="00BC307E">
              <w:t xml:space="preserve"> per dose)</w:t>
            </w:r>
          </w:p>
        </w:tc>
        <w:tc>
          <w:tcPr>
            <w:tcW w:w="745" w:type="pct"/>
            <w:vAlign w:val="center"/>
          </w:tcPr>
          <w:p w:rsidR="001C4CDD" w:rsidRPr="00BC307E" w:rsidRDefault="001C4CDD" w:rsidP="00080ED9">
            <w:pPr>
              <w:pStyle w:val="COMtbl-textCentred"/>
            </w:pPr>
            <w:r w:rsidRPr="00BC307E">
              <w:t>$</w:t>
            </w:r>
            <w:r w:rsidR="00E90B20">
              <w:rPr>
                <w:noProof/>
                <w:color w:val="000000"/>
                <w:highlight w:val="black"/>
              </w:rPr>
              <w:t>'''''''''''''''''''''''''</w:t>
            </w:r>
          </w:p>
        </w:tc>
        <w:tc>
          <w:tcPr>
            <w:tcW w:w="745" w:type="pct"/>
            <w:vAlign w:val="center"/>
          </w:tcPr>
          <w:p w:rsidR="001C4CDD" w:rsidRPr="00BC307E" w:rsidRDefault="001C4CDD" w:rsidP="00080ED9">
            <w:pPr>
              <w:pStyle w:val="COMtbl-textCentred"/>
            </w:pPr>
            <w:r w:rsidRPr="00BC307E">
              <w:t>$</w:t>
            </w:r>
            <w:r w:rsidR="00E90B20">
              <w:rPr>
                <w:noProof/>
                <w:color w:val="000000"/>
                <w:highlight w:val="black"/>
              </w:rPr>
              <w:t>''''''''''''''''''''''''</w:t>
            </w:r>
          </w:p>
        </w:tc>
        <w:tc>
          <w:tcPr>
            <w:tcW w:w="746" w:type="pct"/>
            <w:vAlign w:val="center"/>
          </w:tcPr>
          <w:p w:rsidR="001C4CDD" w:rsidRPr="00BC307E" w:rsidRDefault="001C4CDD" w:rsidP="00080ED9">
            <w:pPr>
              <w:pStyle w:val="COMtbl-textCentred"/>
            </w:pPr>
            <w:r w:rsidRPr="00BC307E">
              <w:t>$</w:t>
            </w:r>
            <w:r w:rsidR="00E90B20">
              <w:rPr>
                <w:noProof/>
                <w:color w:val="000000"/>
                <w:highlight w:val="black"/>
              </w:rPr>
              <w:t>'''''''''''''''''''''''''''</w:t>
            </w:r>
          </w:p>
        </w:tc>
        <w:tc>
          <w:tcPr>
            <w:tcW w:w="745" w:type="pct"/>
            <w:vAlign w:val="center"/>
          </w:tcPr>
          <w:p w:rsidR="001C4CDD" w:rsidRPr="00BC307E" w:rsidRDefault="001C4CDD" w:rsidP="00080ED9">
            <w:pPr>
              <w:pStyle w:val="COMtbl-textCentred"/>
            </w:pPr>
            <w:r w:rsidRPr="00BC307E">
              <w:t>$</w:t>
            </w:r>
            <w:r w:rsidR="00E90B20">
              <w:rPr>
                <w:noProof/>
                <w:color w:val="000000"/>
                <w:highlight w:val="black"/>
              </w:rPr>
              <w:t>''''''''''''''''''''''''</w:t>
            </w:r>
          </w:p>
        </w:tc>
        <w:tc>
          <w:tcPr>
            <w:tcW w:w="746" w:type="pct"/>
            <w:vAlign w:val="center"/>
          </w:tcPr>
          <w:p w:rsidR="001C4CDD" w:rsidRPr="00BC307E" w:rsidRDefault="001C4CDD" w:rsidP="00080ED9">
            <w:pPr>
              <w:pStyle w:val="COMtbl-textCentred"/>
            </w:pPr>
            <w:r w:rsidRPr="00BC307E">
              <w:t>$</w:t>
            </w:r>
            <w:r w:rsidR="00E90B20">
              <w:rPr>
                <w:noProof/>
                <w:color w:val="000000"/>
                <w:highlight w:val="black"/>
              </w:rPr>
              <w:t>'''''''''''''''''''''''''''</w:t>
            </w:r>
          </w:p>
        </w:tc>
      </w:tr>
      <w:tr w:rsidR="001C4CDD" w:rsidRPr="00BC307E" w:rsidTr="001C4CDD">
        <w:tc>
          <w:tcPr>
            <w:tcW w:w="1273" w:type="pct"/>
            <w:vAlign w:val="center"/>
          </w:tcPr>
          <w:p w:rsidR="001C4CDD" w:rsidRPr="00BC307E" w:rsidRDefault="001C4CDD" w:rsidP="00080ED9">
            <w:pPr>
              <w:pStyle w:val="COMtbl-textLeftAligned"/>
              <w:rPr>
                <w:vertAlign w:val="superscript"/>
              </w:rPr>
            </w:pPr>
            <w:r w:rsidRPr="00BC307E">
              <w:t>Cost of Infanrix Hexa substituted doses</w:t>
            </w:r>
            <w:r w:rsidRPr="00BC307E">
              <w:rPr>
                <w:vertAlign w:val="superscript"/>
              </w:rPr>
              <w:t>a</w:t>
            </w:r>
          </w:p>
        </w:tc>
        <w:tc>
          <w:tcPr>
            <w:tcW w:w="745" w:type="pct"/>
            <w:vAlign w:val="center"/>
          </w:tcPr>
          <w:p w:rsidR="001C4CDD" w:rsidRPr="00BC307E" w:rsidRDefault="00E90B20" w:rsidP="00080ED9">
            <w:pPr>
              <w:pStyle w:val="COMtbl-textCentred"/>
            </w:pPr>
            <w:r>
              <w:rPr>
                <w:noProof/>
                <w:color w:val="000000"/>
                <w:highlight w:val="black"/>
              </w:rPr>
              <w:t>'''</w:t>
            </w:r>
            <w:r w:rsidR="001C4CDD" w:rsidRPr="00BC307E">
              <w:t>$</w:t>
            </w:r>
            <w:r>
              <w:rPr>
                <w:noProof/>
                <w:color w:val="000000"/>
                <w:highlight w:val="black"/>
              </w:rPr>
              <w:t>''''''''''''''''''''''''''''</w:t>
            </w:r>
          </w:p>
        </w:tc>
        <w:tc>
          <w:tcPr>
            <w:tcW w:w="745" w:type="pct"/>
            <w:vAlign w:val="center"/>
          </w:tcPr>
          <w:p w:rsidR="001C4CDD" w:rsidRPr="00BC307E" w:rsidRDefault="00E90B20" w:rsidP="00080ED9">
            <w:pPr>
              <w:pStyle w:val="COMtbl-textCentred"/>
            </w:pPr>
            <w:r>
              <w:rPr>
                <w:noProof/>
                <w:color w:val="000000"/>
                <w:highlight w:val="black"/>
              </w:rPr>
              <w:t>'''</w:t>
            </w:r>
            <w:r w:rsidR="001C4CDD" w:rsidRPr="00BC307E">
              <w:t>$</w:t>
            </w:r>
            <w:r>
              <w:rPr>
                <w:noProof/>
                <w:color w:val="000000"/>
                <w:highlight w:val="black"/>
              </w:rPr>
              <w:t>''''''''''''''''''''''''''</w:t>
            </w:r>
          </w:p>
        </w:tc>
        <w:tc>
          <w:tcPr>
            <w:tcW w:w="746" w:type="pct"/>
            <w:vAlign w:val="center"/>
          </w:tcPr>
          <w:p w:rsidR="001C4CDD" w:rsidRPr="00BC307E" w:rsidRDefault="00E90B20" w:rsidP="00080ED9">
            <w:pPr>
              <w:pStyle w:val="COMtbl-textCentred"/>
            </w:pPr>
            <w:r>
              <w:rPr>
                <w:noProof/>
                <w:color w:val="000000"/>
                <w:highlight w:val="black"/>
              </w:rPr>
              <w:t>''</w:t>
            </w:r>
            <w:r w:rsidR="001C4CDD" w:rsidRPr="00BC307E">
              <w:t>$</w:t>
            </w:r>
            <w:r>
              <w:rPr>
                <w:noProof/>
                <w:color w:val="000000"/>
                <w:highlight w:val="black"/>
              </w:rPr>
              <w:t>'''''''''''''''''''''''''''''</w:t>
            </w:r>
          </w:p>
        </w:tc>
        <w:tc>
          <w:tcPr>
            <w:tcW w:w="745" w:type="pct"/>
            <w:vAlign w:val="center"/>
          </w:tcPr>
          <w:p w:rsidR="001C4CDD" w:rsidRPr="00BC307E" w:rsidRDefault="00E90B20" w:rsidP="00080ED9">
            <w:pPr>
              <w:pStyle w:val="COMtbl-textCentred"/>
            </w:pPr>
            <w:r>
              <w:rPr>
                <w:noProof/>
                <w:color w:val="000000"/>
                <w:highlight w:val="black"/>
              </w:rPr>
              <w:t>''</w:t>
            </w:r>
            <w:r w:rsidR="001C4CDD" w:rsidRPr="00BC307E">
              <w:t>$</w:t>
            </w:r>
            <w:r>
              <w:rPr>
                <w:noProof/>
                <w:color w:val="000000"/>
                <w:highlight w:val="black"/>
              </w:rPr>
              <w:t>'''''''''''''''''''''''''</w:t>
            </w:r>
          </w:p>
        </w:tc>
        <w:tc>
          <w:tcPr>
            <w:tcW w:w="746" w:type="pct"/>
            <w:vAlign w:val="center"/>
          </w:tcPr>
          <w:p w:rsidR="001C4CDD" w:rsidRPr="00BC307E" w:rsidRDefault="00E90B20" w:rsidP="00080ED9">
            <w:pPr>
              <w:pStyle w:val="COMtbl-textCentred"/>
            </w:pPr>
            <w:r>
              <w:rPr>
                <w:noProof/>
                <w:color w:val="000000"/>
                <w:highlight w:val="black"/>
              </w:rPr>
              <w:t>'''</w:t>
            </w:r>
            <w:r w:rsidR="001C4CDD" w:rsidRPr="00BC307E">
              <w:t>$</w:t>
            </w:r>
            <w:r>
              <w:rPr>
                <w:noProof/>
                <w:color w:val="000000"/>
                <w:highlight w:val="black"/>
              </w:rPr>
              <w:t>'''''''''''''''''''''''''''''</w:t>
            </w:r>
          </w:p>
        </w:tc>
      </w:tr>
      <w:tr w:rsidR="001C4CDD" w:rsidRPr="00BC307E" w:rsidTr="001C4CDD">
        <w:tc>
          <w:tcPr>
            <w:tcW w:w="1273" w:type="pct"/>
            <w:tcBorders>
              <w:bottom w:val="single" w:sz="4" w:space="0" w:color="auto"/>
            </w:tcBorders>
            <w:vAlign w:val="center"/>
          </w:tcPr>
          <w:p w:rsidR="001C4CDD" w:rsidRPr="00BC307E" w:rsidRDefault="001C4CDD" w:rsidP="00080ED9">
            <w:pPr>
              <w:pStyle w:val="COMtbl-textLeftAligned"/>
              <w:rPr>
                <w:b/>
              </w:rPr>
            </w:pPr>
            <w:r w:rsidRPr="00BC307E">
              <w:rPr>
                <w:b/>
              </w:rPr>
              <w:t>Net cost to the NIP</w:t>
            </w:r>
          </w:p>
        </w:tc>
        <w:tc>
          <w:tcPr>
            <w:tcW w:w="745" w:type="pct"/>
            <w:tcBorders>
              <w:bottom w:val="single" w:sz="4" w:space="0" w:color="auto"/>
            </w:tcBorders>
            <w:vAlign w:val="center"/>
          </w:tcPr>
          <w:p w:rsidR="001C4CDD" w:rsidRPr="00BC307E" w:rsidRDefault="001C4CDD" w:rsidP="00080ED9">
            <w:pPr>
              <w:pStyle w:val="COMtbl-textCentred"/>
              <w:rPr>
                <w:b/>
              </w:rPr>
            </w:pPr>
            <w:r w:rsidRPr="00BC307E">
              <w:rPr>
                <w:b/>
              </w:rPr>
              <w:t>$0</w:t>
            </w:r>
          </w:p>
        </w:tc>
        <w:tc>
          <w:tcPr>
            <w:tcW w:w="745" w:type="pct"/>
            <w:tcBorders>
              <w:bottom w:val="single" w:sz="4" w:space="0" w:color="auto"/>
            </w:tcBorders>
            <w:vAlign w:val="center"/>
          </w:tcPr>
          <w:p w:rsidR="001C4CDD" w:rsidRPr="00BC307E" w:rsidRDefault="001C4CDD" w:rsidP="00080ED9">
            <w:pPr>
              <w:pStyle w:val="COMtbl-textCentred"/>
              <w:rPr>
                <w:b/>
              </w:rPr>
            </w:pPr>
            <w:r w:rsidRPr="00BC307E">
              <w:rPr>
                <w:b/>
              </w:rPr>
              <w:t>$0</w:t>
            </w:r>
          </w:p>
        </w:tc>
        <w:tc>
          <w:tcPr>
            <w:tcW w:w="746" w:type="pct"/>
            <w:tcBorders>
              <w:bottom w:val="single" w:sz="4" w:space="0" w:color="auto"/>
            </w:tcBorders>
            <w:vAlign w:val="center"/>
          </w:tcPr>
          <w:p w:rsidR="001C4CDD" w:rsidRPr="00BC307E" w:rsidRDefault="001C4CDD" w:rsidP="00080ED9">
            <w:pPr>
              <w:pStyle w:val="COMtbl-textCentred"/>
              <w:rPr>
                <w:b/>
              </w:rPr>
            </w:pPr>
            <w:r w:rsidRPr="00BC307E">
              <w:rPr>
                <w:b/>
              </w:rPr>
              <w:t>$0</w:t>
            </w:r>
          </w:p>
        </w:tc>
        <w:tc>
          <w:tcPr>
            <w:tcW w:w="745" w:type="pct"/>
            <w:tcBorders>
              <w:bottom w:val="single" w:sz="4" w:space="0" w:color="auto"/>
            </w:tcBorders>
            <w:vAlign w:val="center"/>
          </w:tcPr>
          <w:p w:rsidR="001C4CDD" w:rsidRPr="00BC307E" w:rsidRDefault="001C4CDD" w:rsidP="00080ED9">
            <w:pPr>
              <w:pStyle w:val="COMtbl-textCentred"/>
              <w:rPr>
                <w:b/>
              </w:rPr>
            </w:pPr>
            <w:r w:rsidRPr="00BC307E">
              <w:rPr>
                <w:b/>
              </w:rPr>
              <w:t>$0</w:t>
            </w:r>
          </w:p>
        </w:tc>
        <w:tc>
          <w:tcPr>
            <w:tcW w:w="746" w:type="pct"/>
            <w:tcBorders>
              <w:bottom w:val="single" w:sz="4" w:space="0" w:color="auto"/>
            </w:tcBorders>
            <w:vAlign w:val="center"/>
          </w:tcPr>
          <w:p w:rsidR="001C4CDD" w:rsidRPr="00BC307E" w:rsidRDefault="001C4CDD" w:rsidP="00080ED9">
            <w:pPr>
              <w:pStyle w:val="COMtbl-textCentred"/>
              <w:rPr>
                <w:b/>
              </w:rPr>
            </w:pPr>
            <w:r w:rsidRPr="00BC307E">
              <w:rPr>
                <w:b/>
              </w:rPr>
              <w:t>$0</w:t>
            </w:r>
          </w:p>
        </w:tc>
      </w:tr>
    </w:tbl>
    <w:p w:rsidR="001C4CDD" w:rsidRPr="00BC307E" w:rsidRDefault="001C4CDD" w:rsidP="001C4CDD">
      <w:pPr>
        <w:pStyle w:val="COMTbl-foot"/>
        <w:ind w:firstLine="720"/>
        <w:rPr>
          <w:rFonts w:ascii="Arial Narrow" w:hAnsi="Arial Narrow"/>
        </w:rPr>
      </w:pPr>
      <w:r w:rsidRPr="00BC307E">
        <w:rPr>
          <w:rFonts w:ascii="Arial Narrow" w:hAnsi="Arial Narrow"/>
        </w:rPr>
        <w:t>Abbreviations: NIP, National Immunisation Program</w:t>
      </w:r>
    </w:p>
    <w:p w:rsidR="001C4CDD" w:rsidRPr="00BC307E" w:rsidRDefault="001C4CDD" w:rsidP="001C4CDD">
      <w:pPr>
        <w:pStyle w:val="COMTbl-foot"/>
        <w:ind w:firstLine="709"/>
        <w:rPr>
          <w:rStyle w:val="CommentReference"/>
          <w:b w:val="0"/>
          <w:sz w:val="18"/>
          <w:szCs w:val="20"/>
        </w:rPr>
      </w:pPr>
      <w:r w:rsidRPr="00BC307E">
        <w:rPr>
          <w:rFonts w:ascii="Arial Narrow" w:hAnsi="Arial Narrow"/>
          <w:vertAlign w:val="superscript"/>
        </w:rPr>
        <w:t>a</w:t>
      </w:r>
      <w:r w:rsidRPr="00BC307E">
        <w:rPr>
          <w:rFonts w:ascii="Arial Narrow" w:hAnsi="Arial Narrow"/>
        </w:rPr>
        <w:t xml:space="preserve"> Based on identical utilisation to Hexaxim</w:t>
      </w:r>
    </w:p>
    <w:p w:rsidR="00C25D9C" w:rsidRPr="00BC307E" w:rsidRDefault="00C25D9C" w:rsidP="00C25D9C">
      <w:pPr>
        <w:widowControl/>
        <w:rPr>
          <w:szCs w:val="22"/>
        </w:rPr>
      </w:pPr>
    </w:p>
    <w:p w:rsidR="00C25D9C" w:rsidRPr="00BC307E" w:rsidRDefault="000C61DF" w:rsidP="002C2F87">
      <w:pPr>
        <w:pStyle w:val="ListParagraph"/>
        <w:widowControl/>
        <w:numPr>
          <w:ilvl w:val="1"/>
          <w:numId w:val="2"/>
        </w:numPr>
        <w:rPr>
          <w:szCs w:val="22"/>
        </w:rPr>
      </w:pPr>
      <w:r>
        <w:rPr>
          <w:szCs w:val="22"/>
        </w:rPr>
        <w:t xml:space="preserve">The submission claimed that listing Hexaxim would be cost-neutral to the NIP. </w:t>
      </w:r>
      <w:r w:rsidR="009C5CBE" w:rsidRPr="00BC307E">
        <w:rPr>
          <w:szCs w:val="22"/>
        </w:rPr>
        <w:t>Estimates presented in the submission may not be representative of actual utilisation/financial implications as both the estimated uptake and price of Hexaxim will be dependent on the national tender procurement process for the NIP.</w:t>
      </w:r>
    </w:p>
    <w:p w:rsidR="00576972" w:rsidRDefault="00576972" w:rsidP="00576972">
      <w:pPr>
        <w:widowControl/>
        <w:rPr>
          <w:szCs w:val="22"/>
        </w:rPr>
      </w:pPr>
    </w:p>
    <w:p w:rsidR="00576972" w:rsidRPr="000A5C5A" w:rsidRDefault="00576972" w:rsidP="002C2775">
      <w:pPr>
        <w:pStyle w:val="Heading2"/>
        <w:rPr>
          <w:szCs w:val="22"/>
        </w:rPr>
      </w:pPr>
      <w:bookmarkStart w:id="14" w:name="_Toc409081616"/>
      <w:r w:rsidRPr="000A5C5A">
        <w:t>Financial Management – Risk Sharing Arrangements</w:t>
      </w:r>
      <w:bookmarkEnd w:id="14"/>
    </w:p>
    <w:p w:rsidR="00C25D9C" w:rsidRPr="00576972" w:rsidRDefault="00C25D9C" w:rsidP="00576972">
      <w:pPr>
        <w:widowControl/>
        <w:rPr>
          <w:szCs w:val="22"/>
        </w:rPr>
      </w:pPr>
    </w:p>
    <w:p w:rsidR="00C25D9C" w:rsidRPr="009C5CBE" w:rsidRDefault="00A1432D" w:rsidP="002C2F87">
      <w:pPr>
        <w:pStyle w:val="ListParagraph"/>
        <w:widowControl/>
        <w:numPr>
          <w:ilvl w:val="1"/>
          <w:numId w:val="2"/>
        </w:numPr>
        <w:rPr>
          <w:szCs w:val="22"/>
        </w:rPr>
      </w:pPr>
      <w:r>
        <w:t>The submission did</w:t>
      </w:r>
      <w:r w:rsidR="009C5CBE" w:rsidRPr="009C5CBE">
        <w:t xml:space="preserve"> not propose a risk sharing arrangement.</w:t>
      </w:r>
    </w:p>
    <w:p w:rsidR="00F24837" w:rsidRDefault="00F24837" w:rsidP="00227F53">
      <w:pPr>
        <w:widowControl/>
        <w:rPr>
          <w:szCs w:val="22"/>
        </w:rPr>
      </w:pPr>
    </w:p>
    <w:p w:rsidR="006146A6" w:rsidRPr="00006C73" w:rsidRDefault="006146A6" w:rsidP="0076777C">
      <w:pPr>
        <w:pStyle w:val="PBACHeading1"/>
      </w:pPr>
      <w:r w:rsidRPr="00006C73">
        <w:t>PBAC Outcome</w:t>
      </w:r>
    </w:p>
    <w:p w:rsidR="006146A6" w:rsidRPr="00006C73" w:rsidRDefault="006146A6" w:rsidP="00227F53">
      <w:pPr>
        <w:contextualSpacing/>
        <w:rPr>
          <w:bCs/>
          <w:szCs w:val="22"/>
          <w:lang w:val="en-GB"/>
        </w:rPr>
      </w:pPr>
    </w:p>
    <w:p w:rsidR="006146A6" w:rsidRPr="00006C73" w:rsidRDefault="009158BF" w:rsidP="002C2F87">
      <w:pPr>
        <w:pStyle w:val="ListParagraph"/>
        <w:widowControl/>
        <w:numPr>
          <w:ilvl w:val="1"/>
          <w:numId w:val="2"/>
        </w:numPr>
        <w:rPr>
          <w:szCs w:val="22"/>
        </w:rPr>
      </w:pPr>
      <w:r w:rsidRPr="00006C73">
        <w:rPr>
          <w:szCs w:val="22"/>
        </w:rPr>
        <w:t xml:space="preserve">The PBAC recommended the listing of Hexaxim on the National Immunisation Program (NIP) for </w:t>
      </w:r>
      <w:r w:rsidR="003F65E8" w:rsidRPr="00006C73">
        <w:rPr>
          <w:szCs w:val="22"/>
        </w:rPr>
        <w:t xml:space="preserve">the </w:t>
      </w:r>
      <w:r w:rsidRPr="00006C73">
        <w:rPr>
          <w:szCs w:val="22"/>
        </w:rPr>
        <w:t xml:space="preserve">primary vaccination series </w:t>
      </w:r>
      <w:r w:rsidR="003F65E8" w:rsidRPr="00006C73">
        <w:rPr>
          <w:szCs w:val="22"/>
        </w:rPr>
        <w:t xml:space="preserve">against diphtheria, tetanus, pertussis, hepatitis B, poliomyelitis and invasive infections caused by Haemophilus influenzae type b </w:t>
      </w:r>
      <w:r w:rsidRPr="00006C73">
        <w:rPr>
          <w:szCs w:val="22"/>
        </w:rPr>
        <w:t xml:space="preserve">at 2, 4 and 6 months of age, on a cost-minimisation basis </w:t>
      </w:r>
      <w:r w:rsidR="00227F53" w:rsidRPr="00006C73">
        <w:rPr>
          <w:szCs w:val="22"/>
        </w:rPr>
        <w:t>that 3</w:t>
      </w:r>
      <w:r w:rsidRPr="00006C73">
        <w:rPr>
          <w:szCs w:val="22"/>
        </w:rPr>
        <w:t xml:space="preserve"> x 0.5mL doses of Hexaxim </w:t>
      </w:r>
      <w:r w:rsidR="00227F53" w:rsidRPr="00006C73">
        <w:rPr>
          <w:szCs w:val="22"/>
        </w:rPr>
        <w:t>is equi</w:t>
      </w:r>
      <w:r w:rsidRPr="00006C73">
        <w:rPr>
          <w:szCs w:val="22"/>
        </w:rPr>
        <w:t xml:space="preserve">-effective 3 x </w:t>
      </w:r>
      <w:r w:rsidR="00006C73" w:rsidRPr="00006C73">
        <w:rPr>
          <w:szCs w:val="22"/>
        </w:rPr>
        <w:t xml:space="preserve">to </w:t>
      </w:r>
      <w:r w:rsidRPr="00006C73">
        <w:rPr>
          <w:szCs w:val="22"/>
        </w:rPr>
        <w:t xml:space="preserve">0.5mL doses of Infanrix Hexa, when an 18-month </w:t>
      </w:r>
      <w:r w:rsidR="00227F53" w:rsidRPr="00006C73">
        <w:rPr>
          <w:szCs w:val="22"/>
        </w:rPr>
        <w:t xml:space="preserve">DTPa-containing </w:t>
      </w:r>
      <w:r w:rsidRPr="00006C73">
        <w:rPr>
          <w:szCs w:val="22"/>
        </w:rPr>
        <w:t>booster is available on the NIP.</w:t>
      </w:r>
    </w:p>
    <w:p w:rsidR="006146A6" w:rsidRPr="00006C73" w:rsidRDefault="006146A6" w:rsidP="00227F53">
      <w:pPr>
        <w:contextualSpacing/>
        <w:rPr>
          <w:bCs/>
          <w:szCs w:val="22"/>
          <w:lang w:val="en-GB"/>
        </w:rPr>
      </w:pPr>
    </w:p>
    <w:p w:rsidR="000C1922" w:rsidRPr="00006C73" w:rsidRDefault="000C1922" w:rsidP="002C2F87">
      <w:pPr>
        <w:numPr>
          <w:ilvl w:val="1"/>
          <w:numId w:val="2"/>
        </w:numPr>
        <w:contextualSpacing/>
        <w:rPr>
          <w:bCs/>
          <w:szCs w:val="22"/>
          <w:lang w:val="en-GB"/>
        </w:rPr>
      </w:pPr>
      <w:r w:rsidRPr="00006C73">
        <w:rPr>
          <w:bCs/>
          <w:szCs w:val="22"/>
          <w:lang w:val="en-GB"/>
        </w:rPr>
        <w:t xml:space="preserve">The PBAC noted the pre-submission and post-submission advice from </w:t>
      </w:r>
      <w:r w:rsidRPr="00006C73">
        <w:rPr>
          <w:szCs w:val="22"/>
        </w:rPr>
        <w:t xml:space="preserve">the Australian Technical Advisory Group on Immunisation (ATAGI). </w:t>
      </w:r>
    </w:p>
    <w:p w:rsidR="000C1922" w:rsidRPr="00006C73" w:rsidRDefault="000C1922" w:rsidP="00227F53">
      <w:pPr>
        <w:pStyle w:val="ListParagraph"/>
        <w:rPr>
          <w:bCs/>
          <w:szCs w:val="22"/>
          <w:lang w:val="en-GB"/>
        </w:rPr>
      </w:pPr>
    </w:p>
    <w:p w:rsidR="000968D3" w:rsidRPr="00006C73" w:rsidRDefault="009158BF" w:rsidP="002C2F87">
      <w:pPr>
        <w:numPr>
          <w:ilvl w:val="1"/>
          <w:numId w:val="2"/>
        </w:numPr>
        <w:contextualSpacing/>
        <w:rPr>
          <w:bCs/>
          <w:szCs w:val="22"/>
          <w:lang w:val="en-GB"/>
        </w:rPr>
      </w:pPr>
      <w:r w:rsidRPr="00006C73">
        <w:rPr>
          <w:bCs/>
          <w:szCs w:val="22"/>
          <w:lang w:val="en-GB"/>
        </w:rPr>
        <w:t xml:space="preserve">The PBAC accepted that Infanrix Hexa was the most appropriate comparator. </w:t>
      </w:r>
    </w:p>
    <w:p w:rsidR="0025610D" w:rsidRPr="00006C73" w:rsidRDefault="0025610D" w:rsidP="00227F53">
      <w:pPr>
        <w:contextualSpacing/>
        <w:rPr>
          <w:bCs/>
          <w:szCs w:val="22"/>
          <w:lang w:val="en-GB"/>
        </w:rPr>
      </w:pPr>
    </w:p>
    <w:p w:rsidR="000968D3" w:rsidRPr="00006C73" w:rsidRDefault="000968D3" w:rsidP="002C2F87">
      <w:pPr>
        <w:numPr>
          <w:ilvl w:val="1"/>
          <w:numId w:val="2"/>
        </w:numPr>
        <w:contextualSpacing/>
        <w:rPr>
          <w:szCs w:val="22"/>
        </w:rPr>
      </w:pPr>
      <w:r w:rsidRPr="00006C73">
        <w:rPr>
          <w:bCs/>
          <w:szCs w:val="22"/>
          <w:lang w:val="en-GB"/>
        </w:rPr>
        <w:t xml:space="preserve">The PBAC noted that the </w:t>
      </w:r>
      <w:r w:rsidRPr="00006C73">
        <w:rPr>
          <w:szCs w:val="22"/>
        </w:rPr>
        <w:t xml:space="preserve">submission provided clinical evidence based on head-to-head randomised trials between Hexaxim and Infanrix Hexa. </w:t>
      </w:r>
      <w:r w:rsidR="0025610D" w:rsidRPr="00006C73">
        <w:rPr>
          <w:szCs w:val="22"/>
        </w:rPr>
        <w:t>The PBAC noted the advice from ATAGI that differences in the clinical trial settings for Hexaxim are unlikely to affect applicability of the results to the Australian setting.</w:t>
      </w:r>
    </w:p>
    <w:p w:rsidR="0025610D" w:rsidRPr="00006C73" w:rsidRDefault="0025610D" w:rsidP="00227F53">
      <w:pPr>
        <w:pStyle w:val="PBACHeading1"/>
        <w:numPr>
          <w:ilvl w:val="0"/>
          <w:numId w:val="0"/>
        </w:numPr>
      </w:pPr>
    </w:p>
    <w:p w:rsidR="000968D3" w:rsidRPr="00000590" w:rsidRDefault="000968D3" w:rsidP="002C2F87">
      <w:pPr>
        <w:numPr>
          <w:ilvl w:val="1"/>
          <w:numId w:val="2"/>
        </w:numPr>
        <w:contextualSpacing/>
        <w:rPr>
          <w:snapToGrid/>
          <w:szCs w:val="22"/>
          <w:lang w:eastAsia="en-AU"/>
        </w:rPr>
      </w:pPr>
      <w:r w:rsidRPr="00006C73">
        <w:rPr>
          <w:szCs w:val="22"/>
        </w:rPr>
        <w:t>The PBAC noted</w:t>
      </w:r>
      <w:r w:rsidR="00000590">
        <w:rPr>
          <w:szCs w:val="22"/>
        </w:rPr>
        <w:t xml:space="preserve">, based on the per-protocol analysis, </w:t>
      </w:r>
      <w:r w:rsidRPr="00006C73">
        <w:rPr>
          <w:szCs w:val="22"/>
        </w:rPr>
        <w:t>tha</w:t>
      </w:r>
      <w:r w:rsidR="0025610D" w:rsidRPr="00006C73">
        <w:rPr>
          <w:szCs w:val="22"/>
        </w:rPr>
        <w:t xml:space="preserve">t </w:t>
      </w:r>
      <w:r w:rsidRPr="00006C73">
        <w:rPr>
          <w:szCs w:val="22"/>
        </w:rPr>
        <w:t>Hexaxim was non-inferior to Infanrix Hexa in terms of immunogenicity against each of the six targeted diseases at the end of the primary course</w:t>
      </w:r>
      <w:r w:rsidR="008A6BD3">
        <w:rPr>
          <w:szCs w:val="22"/>
        </w:rPr>
        <w:t xml:space="preserve">, </w:t>
      </w:r>
      <w:r w:rsidRPr="00006C73">
        <w:rPr>
          <w:szCs w:val="22"/>
        </w:rPr>
        <w:t>based on historical margins previously accepted by the FDA for other</w:t>
      </w:r>
      <w:r w:rsidR="008A6BD3">
        <w:rPr>
          <w:szCs w:val="22"/>
        </w:rPr>
        <w:t xml:space="preserve"> multi-component vaccines</w:t>
      </w:r>
      <w:r w:rsidRPr="00006C73">
        <w:rPr>
          <w:szCs w:val="22"/>
        </w:rPr>
        <w:t>.</w:t>
      </w:r>
      <w:r w:rsidR="00A77988" w:rsidRPr="00006C73">
        <w:rPr>
          <w:szCs w:val="22"/>
        </w:rPr>
        <w:t xml:space="preserve"> </w:t>
      </w:r>
      <w:r w:rsidR="001B0E61" w:rsidRPr="00006C73">
        <w:rPr>
          <w:szCs w:val="22"/>
        </w:rPr>
        <w:t xml:space="preserve">The advice from ATAGI observed that </w:t>
      </w:r>
      <w:r w:rsidR="00A77988" w:rsidRPr="00006C73">
        <w:rPr>
          <w:snapToGrid/>
          <w:szCs w:val="22"/>
          <w:lang w:eastAsia="en-AU"/>
        </w:rPr>
        <w:t>correlates of protection were</w:t>
      </w:r>
      <w:r w:rsidR="001B0E61" w:rsidRPr="00006C73">
        <w:rPr>
          <w:snapToGrid/>
          <w:szCs w:val="22"/>
          <w:lang w:eastAsia="en-AU"/>
        </w:rPr>
        <w:t xml:space="preserve"> </w:t>
      </w:r>
      <w:r w:rsidR="00A77988" w:rsidRPr="00006C73">
        <w:rPr>
          <w:snapToGrid/>
          <w:szCs w:val="22"/>
          <w:lang w:eastAsia="en-AU"/>
        </w:rPr>
        <w:t>accepted as indicators of presumptive seroprotection: diphtheria and tetanus (≥0.01 IU/mL),</w:t>
      </w:r>
      <w:r w:rsidR="001B0E61" w:rsidRPr="00006C73">
        <w:rPr>
          <w:snapToGrid/>
          <w:szCs w:val="22"/>
          <w:lang w:eastAsia="en-AU"/>
        </w:rPr>
        <w:t xml:space="preserve"> </w:t>
      </w:r>
      <w:r w:rsidR="00A77988" w:rsidRPr="00006C73">
        <w:rPr>
          <w:snapToGrid/>
          <w:szCs w:val="22"/>
          <w:lang w:eastAsia="en-AU"/>
        </w:rPr>
        <w:t xml:space="preserve">polio types 1–3 (≥8 1/dil), hepatitis B (≥10 </w:t>
      </w:r>
      <w:r w:rsidR="00A77988" w:rsidRPr="00006C73">
        <w:rPr>
          <w:snapToGrid/>
          <w:szCs w:val="22"/>
          <w:lang w:eastAsia="en-AU"/>
        </w:rPr>
        <w:lastRenderedPageBreak/>
        <w:t>mIU/mL) and Hib (≥0.15 μg/mL). For the</w:t>
      </w:r>
      <w:r w:rsidR="001B0E61" w:rsidRPr="00006C73">
        <w:rPr>
          <w:snapToGrid/>
          <w:szCs w:val="22"/>
          <w:lang w:eastAsia="en-AU"/>
        </w:rPr>
        <w:t xml:space="preserve"> </w:t>
      </w:r>
      <w:r w:rsidR="00A77988" w:rsidRPr="00006C73">
        <w:rPr>
          <w:snapToGrid/>
          <w:szCs w:val="22"/>
          <w:lang w:eastAsia="en-AU"/>
        </w:rPr>
        <w:t>pertussis antigens PT and FHA, as there are no established correlates of protection, a ≥4-fold</w:t>
      </w:r>
      <w:r w:rsidR="001B0E61" w:rsidRPr="00006C73">
        <w:rPr>
          <w:snapToGrid/>
          <w:szCs w:val="22"/>
          <w:lang w:eastAsia="en-AU"/>
        </w:rPr>
        <w:t xml:space="preserve"> </w:t>
      </w:r>
      <w:r w:rsidR="00A77988" w:rsidRPr="00006C73">
        <w:rPr>
          <w:snapToGrid/>
          <w:szCs w:val="22"/>
          <w:lang w:eastAsia="en-AU"/>
        </w:rPr>
        <w:t xml:space="preserve">increase in titre above baseline was used to indicate seroconversion. </w:t>
      </w:r>
      <w:r w:rsidR="00000590" w:rsidRPr="00006C73">
        <w:rPr>
          <w:snapToGrid/>
          <w:szCs w:val="22"/>
          <w:lang w:eastAsia="en-AU"/>
        </w:rPr>
        <w:t>Further</w:t>
      </w:r>
      <w:r w:rsidR="008A6BD3">
        <w:rPr>
          <w:snapToGrid/>
          <w:szCs w:val="22"/>
          <w:lang w:eastAsia="en-AU"/>
        </w:rPr>
        <w:t>,</w:t>
      </w:r>
      <w:r w:rsidR="00A77988" w:rsidRPr="00006C73">
        <w:rPr>
          <w:snapToGrid/>
          <w:szCs w:val="22"/>
          <w:lang w:eastAsia="en-AU"/>
        </w:rPr>
        <w:t xml:space="preserve"> ATAGI noted </w:t>
      </w:r>
      <w:r w:rsidR="00000590">
        <w:rPr>
          <w:snapToGrid/>
          <w:szCs w:val="22"/>
          <w:lang w:eastAsia="en-AU"/>
        </w:rPr>
        <w:t>t</w:t>
      </w:r>
      <w:r w:rsidR="00A77988" w:rsidRPr="00006C73">
        <w:rPr>
          <w:snapToGrid/>
          <w:szCs w:val="22"/>
          <w:lang w:eastAsia="en-AU"/>
        </w:rPr>
        <w:t>he relationship between immunological markers and clinical protection</w:t>
      </w:r>
      <w:r w:rsidR="008A6BD3">
        <w:rPr>
          <w:snapToGrid/>
          <w:szCs w:val="22"/>
          <w:lang w:eastAsia="en-AU"/>
        </w:rPr>
        <w:t xml:space="preserve"> </w:t>
      </w:r>
      <w:r w:rsidR="00A77988" w:rsidRPr="00006C73">
        <w:rPr>
          <w:snapToGrid/>
          <w:szCs w:val="22"/>
          <w:lang w:eastAsia="en-AU"/>
        </w:rPr>
        <w:t>against severe or</w:t>
      </w:r>
      <w:r w:rsidR="00000590">
        <w:rPr>
          <w:snapToGrid/>
          <w:szCs w:val="22"/>
          <w:lang w:eastAsia="en-AU"/>
        </w:rPr>
        <w:t xml:space="preserve"> </w:t>
      </w:r>
      <w:r w:rsidR="008A6BD3">
        <w:rPr>
          <w:snapToGrid/>
          <w:szCs w:val="22"/>
          <w:lang w:eastAsia="en-AU"/>
        </w:rPr>
        <w:t>any disease</w:t>
      </w:r>
      <w:r w:rsidR="00A77988" w:rsidRPr="00000590">
        <w:rPr>
          <w:snapToGrid/>
          <w:szCs w:val="22"/>
          <w:lang w:eastAsia="en-AU"/>
        </w:rPr>
        <w:t xml:space="preserve"> is not well defined for pertussis vaccines.</w:t>
      </w:r>
    </w:p>
    <w:p w:rsidR="00E918B7" w:rsidRPr="00006C73" w:rsidRDefault="00E918B7" w:rsidP="00227F53">
      <w:pPr>
        <w:pStyle w:val="ListParagraph"/>
        <w:rPr>
          <w:bCs/>
          <w:szCs w:val="22"/>
          <w:lang w:val="en-GB"/>
        </w:rPr>
      </w:pPr>
    </w:p>
    <w:p w:rsidR="00CC6A18" w:rsidRPr="00006C73" w:rsidRDefault="00470BA6" w:rsidP="002C2F87">
      <w:pPr>
        <w:numPr>
          <w:ilvl w:val="1"/>
          <w:numId w:val="2"/>
        </w:numPr>
        <w:contextualSpacing/>
        <w:rPr>
          <w:snapToGrid/>
          <w:szCs w:val="22"/>
          <w:lang w:eastAsia="en-AU"/>
        </w:rPr>
      </w:pPr>
      <w:r w:rsidRPr="00006C73">
        <w:rPr>
          <w:snapToGrid/>
          <w:szCs w:val="22"/>
          <w:lang w:eastAsia="en-AU"/>
        </w:rPr>
        <w:t>The P</w:t>
      </w:r>
      <w:r w:rsidRPr="00006C73">
        <w:rPr>
          <w:bCs/>
          <w:szCs w:val="22"/>
          <w:lang w:val="en-GB"/>
        </w:rPr>
        <w:t>BAC</w:t>
      </w:r>
      <w:r w:rsidRPr="00006C73">
        <w:rPr>
          <w:snapToGrid/>
          <w:szCs w:val="22"/>
          <w:lang w:eastAsia="en-AU"/>
        </w:rPr>
        <w:t xml:space="preserve"> considered the rate of adverse events was reasonable in the context of vaccination</w:t>
      </w:r>
      <w:r w:rsidR="00CC6A18" w:rsidRPr="00006C73">
        <w:rPr>
          <w:snapToGrid/>
          <w:szCs w:val="22"/>
          <w:lang w:eastAsia="en-AU"/>
        </w:rPr>
        <w:t xml:space="preserve">. </w:t>
      </w:r>
    </w:p>
    <w:p w:rsidR="00CC6A18" w:rsidRPr="00006C73" w:rsidRDefault="00CC6A18" w:rsidP="00227F53">
      <w:pPr>
        <w:pStyle w:val="ListParagraph"/>
        <w:rPr>
          <w:snapToGrid/>
          <w:szCs w:val="22"/>
          <w:lang w:eastAsia="en-AU"/>
        </w:rPr>
      </w:pPr>
    </w:p>
    <w:p w:rsidR="00CC6A18" w:rsidRPr="00006C73" w:rsidRDefault="00CC6A18" w:rsidP="002C2F87">
      <w:pPr>
        <w:numPr>
          <w:ilvl w:val="1"/>
          <w:numId w:val="2"/>
        </w:numPr>
        <w:contextualSpacing/>
        <w:rPr>
          <w:snapToGrid/>
          <w:szCs w:val="22"/>
          <w:lang w:eastAsia="en-AU"/>
        </w:rPr>
      </w:pPr>
      <w:r w:rsidRPr="00006C73">
        <w:rPr>
          <w:snapToGrid/>
          <w:szCs w:val="22"/>
          <w:lang w:eastAsia="en-AU"/>
        </w:rPr>
        <w:t>The PBAC noted that</w:t>
      </w:r>
      <w:r w:rsidR="00B83AAA">
        <w:rPr>
          <w:snapToGrid/>
          <w:szCs w:val="22"/>
          <w:lang w:eastAsia="en-AU"/>
        </w:rPr>
        <w:t>,</w:t>
      </w:r>
      <w:r w:rsidRPr="00006C73">
        <w:rPr>
          <w:snapToGrid/>
          <w:szCs w:val="22"/>
          <w:lang w:eastAsia="en-AU"/>
        </w:rPr>
        <w:t xml:space="preserve"> </w:t>
      </w:r>
      <w:r w:rsidR="00B83AAA">
        <w:rPr>
          <w:snapToGrid/>
          <w:szCs w:val="22"/>
          <w:lang w:eastAsia="en-AU"/>
        </w:rPr>
        <w:t>based on</w:t>
      </w:r>
      <w:r w:rsidRPr="00006C73">
        <w:rPr>
          <w:snapToGrid/>
          <w:szCs w:val="22"/>
          <w:lang w:eastAsia="en-AU"/>
        </w:rPr>
        <w:t xml:space="preserve"> </w:t>
      </w:r>
      <w:r w:rsidR="00B83AAA">
        <w:rPr>
          <w:snapToGrid/>
          <w:szCs w:val="22"/>
          <w:lang w:eastAsia="en-AU"/>
        </w:rPr>
        <w:t xml:space="preserve">the clinical evidence available, </w:t>
      </w:r>
      <w:r w:rsidR="00B83AAA" w:rsidRPr="00006C73">
        <w:rPr>
          <w:snapToGrid/>
          <w:szCs w:val="22"/>
          <w:lang w:eastAsia="en-AU"/>
        </w:rPr>
        <w:t>the</w:t>
      </w:r>
      <w:r w:rsidR="00B83AAA">
        <w:rPr>
          <w:snapToGrid/>
          <w:szCs w:val="22"/>
          <w:lang w:eastAsia="en-AU"/>
        </w:rPr>
        <w:t xml:space="preserve"> </w:t>
      </w:r>
      <w:r w:rsidRPr="00006C73">
        <w:rPr>
          <w:snapToGrid/>
          <w:szCs w:val="22"/>
          <w:lang w:eastAsia="en-AU"/>
        </w:rPr>
        <w:t xml:space="preserve">ATAGI </w:t>
      </w:r>
      <w:r w:rsidR="00B83AAA">
        <w:rPr>
          <w:snapToGrid/>
          <w:szCs w:val="22"/>
          <w:lang w:eastAsia="en-AU"/>
        </w:rPr>
        <w:t xml:space="preserve">advised that it </w:t>
      </w:r>
      <w:r w:rsidRPr="00006C73">
        <w:rPr>
          <w:snapToGrid/>
          <w:szCs w:val="22"/>
          <w:lang w:eastAsia="en-AU"/>
        </w:rPr>
        <w:t>cannot conclude with certainty that</w:t>
      </w:r>
      <w:r w:rsidR="00B83AAA">
        <w:rPr>
          <w:snapToGrid/>
          <w:szCs w:val="22"/>
          <w:lang w:eastAsia="en-AU"/>
        </w:rPr>
        <w:t xml:space="preserve"> a primary series using Hexaxim</w:t>
      </w:r>
      <w:r w:rsidRPr="00006C73">
        <w:rPr>
          <w:snapToGrid/>
          <w:szCs w:val="22"/>
          <w:lang w:eastAsia="en-AU"/>
        </w:rPr>
        <w:t xml:space="preserve"> will be equally efficacious compared </w:t>
      </w:r>
      <w:r w:rsidR="00B83AAA">
        <w:rPr>
          <w:snapToGrid/>
          <w:szCs w:val="22"/>
          <w:lang w:eastAsia="en-AU"/>
        </w:rPr>
        <w:t>to a primary series of Infanrix</w:t>
      </w:r>
      <w:r w:rsidRPr="00006C73">
        <w:rPr>
          <w:snapToGrid/>
          <w:szCs w:val="22"/>
          <w:lang w:eastAsia="en-AU"/>
        </w:rPr>
        <w:t xml:space="preserve"> hexa in the Australian setting</w:t>
      </w:r>
      <w:r w:rsidR="008A6BD3">
        <w:rPr>
          <w:snapToGrid/>
          <w:szCs w:val="22"/>
          <w:lang w:eastAsia="en-AU"/>
        </w:rPr>
        <w:t>.</w:t>
      </w:r>
      <w:r w:rsidRPr="00006C73">
        <w:rPr>
          <w:snapToGrid/>
          <w:szCs w:val="22"/>
          <w:lang w:eastAsia="en-AU"/>
        </w:rPr>
        <w:t xml:space="preserve"> </w:t>
      </w:r>
      <w:r w:rsidR="008A6BD3">
        <w:rPr>
          <w:snapToGrid/>
          <w:szCs w:val="22"/>
          <w:lang w:eastAsia="en-AU"/>
        </w:rPr>
        <w:t xml:space="preserve">This is </w:t>
      </w:r>
      <w:r w:rsidRPr="00006C73">
        <w:rPr>
          <w:snapToGrid/>
          <w:szCs w:val="22"/>
          <w:lang w:eastAsia="en-AU"/>
        </w:rPr>
        <w:t>particularly in relation to protection against pertussis, and notes that it is difficult to be definitive in relation to this issue due to the limited evidence available. The most notable point of difference responsible for this uncertainty is the inclusion of two rather than three pertussis antigens in the vaccine. In addition, the diphtheria toxoid content of the vaccine is noted to be lower than the present comparator. Limited evidence from persistence and booster studies, and post-marketing studies of similar products, suggest that over the longer term, any potential reduction in efficacy follow</w:t>
      </w:r>
      <w:r w:rsidR="00087E92">
        <w:rPr>
          <w:snapToGrid/>
          <w:szCs w:val="22"/>
          <w:lang w:eastAsia="en-AU"/>
        </w:rPr>
        <w:t>ing a primary series of Hexaxim</w:t>
      </w:r>
      <w:r w:rsidRPr="00006C73">
        <w:rPr>
          <w:snapToGrid/>
          <w:szCs w:val="22"/>
          <w:lang w:eastAsia="en-AU"/>
        </w:rPr>
        <w:t xml:space="preserve"> would be best mitigated by inclusion of a routine 18 month booster dose of a DTP-containing vaccine. </w:t>
      </w:r>
    </w:p>
    <w:p w:rsidR="00CC6A18" w:rsidRPr="00006C73" w:rsidRDefault="00CC6A18" w:rsidP="00227F53">
      <w:pPr>
        <w:pStyle w:val="ListParagraph"/>
        <w:rPr>
          <w:szCs w:val="22"/>
        </w:rPr>
      </w:pPr>
    </w:p>
    <w:p w:rsidR="004A19E0" w:rsidRPr="00006C73" w:rsidRDefault="00CC6A18" w:rsidP="002C2F87">
      <w:pPr>
        <w:numPr>
          <w:ilvl w:val="1"/>
          <w:numId w:val="2"/>
        </w:numPr>
        <w:contextualSpacing/>
        <w:rPr>
          <w:snapToGrid/>
          <w:szCs w:val="22"/>
          <w:lang w:eastAsia="en-AU"/>
        </w:rPr>
      </w:pPr>
      <w:r w:rsidRPr="00006C73">
        <w:rPr>
          <w:szCs w:val="22"/>
        </w:rPr>
        <w:t xml:space="preserve">The PBAC </w:t>
      </w:r>
      <w:r w:rsidR="004A19E0" w:rsidRPr="00006C73">
        <w:rPr>
          <w:szCs w:val="22"/>
        </w:rPr>
        <w:t>re</w:t>
      </w:r>
      <w:r w:rsidRPr="00006C73">
        <w:rPr>
          <w:szCs w:val="22"/>
        </w:rPr>
        <w:t xml:space="preserve">called that </w:t>
      </w:r>
      <w:r w:rsidR="008A6BD3">
        <w:rPr>
          <w:szCs w:val="22"/>
        </w:rPr>
        <w:t xml:space="preserve">it recommend </w:t>
      </w:r>
      <w:r w:rsidRPr="00006C73">
        <w:rPr>
          <w:szCs w:val="22"/>
        </w:rPr>
        <w:t>an 18-month</w:t>
      </w:r>
      <w:r w:rsidR="004A19E0" w:rsidRPr="00006C73">
        <w:rPr>
          <w:szCs w:val="22"/>
        </w:rPr>
        <w:t xml:space="preserve"> </w:t>
      </w:r>
      <w:r w:rsidR="004A19E0" w:rsidRPr="00006C73">
        <w:rPr>
          <w:snapToGrid/>
          <w:szCs w:val="22"/>
          <w:lang w:eastAsia="en-AU"/>
        </w:rPr>
        <w:t>DTP-containing vaccine</w:t>
      </w:r>
      <w:r w:rsidRPr="00006C73">
        <w:rPr>
          <w:szCs w:val="22"/>
        </w:rPr>
        <w:t xml:space="preserve"> booster </w:t>
      </w:r>
      <w:r w:rsidR="008A6BD3">
        <w:rPr>
          <w:szCs w:val="22"/>
        </w:rPr>
        <w:t>at its</w:t>
      </w:r>
      <w:r w:rsidRPr="00006C73">
        <w:rPr>
          <w:szCs w:val="22"/>
        </w:rPr>
        <w:t xml:space="preserve"> November 2014 PBAC meeting and agreed with ATAGI that Hexaxim should only be made available on the NIP whe</w:t>
      </w:r>
      <w:r w:rsidR="004A19E0" w:rsidRPr="00006C73">
        <w:rPr>
          <w:szCs w:val="22"/>
        </w:rPr>
        <w:t xml:space="preserve">re a </w:t>
      </w:r>
      <w:r w:rsidR="004A19E0" w:rsidRPr="00006C73">
        <w:rPr>
          <w:snapToGrid/>
          <w:szCs w:val="22"/>
          <w:lang w:eastAsia="en-AU"/>
        </w:rPr>
        <w:t xml:space="preserve">DTP-containing vaccine is available at </w:t>
      </w:r>
      <w:r w:rsidR="000B4D8F">
        <w:rPr>
          <w:snapToGrid/>
          <w:szCs w:val="22"/>
          <w:lang w:eastAsia="en-AU"/>
        </w:rPr>
        <w:t>the 18-</w:t>
      </w:r>
      <w:r w:rsidR="004A19E0" w:rsidRPr="00006C73">
        <w:rPr>
          <w:snapToGrid/>
          <w:szCs w:val="22"/>
          <w:lang w:eastAsia="en-AU"/>
        </w:rPr>
        <w:t xml:space="preserve">month schedule point. </w:t>
      </w:r>
      <w:r w:rsidRPr="00006C73">
        <w:rPr>
          <w:szCs w:val="22"/>
        </w:rPr>
        <w:t xml:space="preserve">  </w:t>
      </w:r>
    </w:p>
    <w:p w:rsidR="004A19E0" w:rsidRPr="00006C73" w:rsidRDefault="004A19E0" w:rsidP="00227F53">
      <w:pPr>
        <w:pStyle w:val="ListParagraph"/>
        <w:rPr>
          <w:szCs w:val="22"/>
        </w:rPr>
      </w:pPr>
    </w:p>
    <w:p w:rsidR="004A19E0" w:rsidRPr="00006C73" w:rsidRDefault="004A19E0" w:rsidP="002C2F87">
      <w:pPr>
        <w:numPr>
          <w:ilvl w:val="1"/>
          <w:numId w:val="2"/>
        </w:numPr>
        <w:contextualSpacing/>
        <w:rPr>
          <w:snapToGrid/>
          <w:szCs w:val="22"/>
          <w:lang w:eastAsia="en-AU"/>
        </w:rPr>
      </w:pPr>
      <w:r w:rsidRPr="00006C73">
        <w:rPr>
          <w:szCs w:val="22"/>
        </w:rPr>
        <w:t xml:space="preserve">The PBAC noted that </w:t>
      </w:r>
      <w:r w:rsidR="008A4E0A">
        <w:rPr>
          <w:szCs w:val="22"/>
        </w:rPr>
        <w:t xml:space="preserve">a positive </w:t>
      </w:r>
      <w:r w:rsidR="008A6BD3">
        <w:rPr>
          <w:szCs w:val="22"/>
        </w:rPr>
        <w:t>recommendation for Hexaxim</w:t>
      </w:r>
      <w:r w:rsidR="00202A7C">
        <w:rPr>
          <w:szCs w:val="22"/>
        </w:rPr>
        <w:t xml:space="preserve"> </w:t>
      </w:r>
      <w:r w:rsidR="008A4E0A">
        <w:rPr>
          <w:szCs w:val="22"/>
        </w:rPr>
        <w:t xml:space="preserve">would </w:t>
      </w:r>
      <w:r w:rsidRPr="00006C73">
        <w:rPr>
          <w:szCs w:val="22"/>
        </w:rPr>
        <w:t>provide a potential second supp</w:t>
      </w:r>
      <w:r w:rsidR="006F5C78" w:rsidRPr="00006C73">
        <w:rPr>
          <w:szCs w:val="22"/>
        </w:rPr>
        <w:t xml:space="preserve">lier of childhood DTPa-hepB-IPV-Hib vaccines </w:t>
      </w:r>
      <w:r w:rsidR="008A4E0A">
        <w:rPr>
          <w:szCs w:val="22"/>
        </w:rPr>
        <w:t>in Australia.</w:t>
      </w:r>
      <w:r w:rsidRPr="00006C73">
        <w:rPr>
          <w:szCs w:val="22"/>
        </w:rPr>
        <w:t xml:space="preserve"> </w:t>
      </w:r>
    </w:p>
    <w:p w:rsidR="004A19E0" w:rsidRPr="00006C73" w:rsidRDefault="004A19E0" w:rsidP="00227F53">
      <w:pPr>
        <w:pStyle w:val="ListParagraph"/>
        <w:rPr>
          <w:szCs w:val="22"/>
        </w:rPr>
      </w:pPr>
    </w:p>
    <w:p w:rsidR="005340FB" w:rsidRPr="00006C73" w:rsidRDefault="005340FB" w:rsidP="002C2F87">
      <w:pPr>
        <w:numPr>
          <w:ilvl w:val="1"/>
          <w:numId w:val="2"/>
        </w:numPr>
        <w:contextualSpacing/>
        <w:rPr>
          <w:snapToGrid/>
          <w:szCs w:val="22"/>
          <w:lang w:eastAsia="en-AU"/>
        </w:rPr>
      </w:pPr>
      <w:r w:rsidRPr="00006C73">
        <w:rPr>
          <w:szCs w:val="22"/>
        </w:rPr>
        <w:t xml:space="preserve">The PBAC did not agree with the submission that there may be lower vaccination program costs associated with Hexaxim due to reduced preparation times (pre-filled syringe, ready for use) compared to Infanrix Hexa (lyophilized powder and liquid suspension, requires reconstitution before use). </w:t>
      </w:r>
      <w:r w:rsidR="00C021F5">
        <w:rPr>
          <w:szCs w:val="22"/>
        </w:rPr>
        <w:t xml:space="preserve">During the preparation of Infanrix Hexa, the PBAC noted that the </w:t>
      </w:r>
      <w:r w:rsidR="00F30D13">
        <w:rPr>
          <w:szCs w:val="22"/>
        </w:rPr>
        <w:t>health</w:t>
      </w:r>
      <w:r w:rsidR="00C021F5">
        <w:rPr>
          <w:szCs w:val="22"/>
        </w:rPr>
        <w:t xml:space="preserve"> care professional may discuss aspects of the vaccination with parents of the vaccinee. These discussions would be expected to occur, irrespective of </w:t>
      </w:r>
      <w:r w:rsidR="00A92F23">
        <w:rPr>
          <w:szCs w:val="22"/>
        </w:rPr>
        <w:t xml:space="preserve">the vaccine used. </w:t>
      </w:r>
    </w:p>
    <w:p w:rsidR="005340FB" w:rsidRPr="00006C73" w:rsidRDefault="005340FB" w:rsidP="005340FB">
      <w:pPr>
        <w:pStyle w:val="ListParagraph"/>
        <w:rPr>
          <w:szCs w:val="22"/>
        </w:rPr>
      </w:pPr>
    </w:p>
    <w:p w:rsidR="006146A6" w:rsidRPr="00006C73" w:rsidRDefault="00701DB8" w:rsidP="002C2F87">
      <w:pPr>
        <w:numPr>
          <w:ilvl w:val="1"/>
          <w:numId w:val="2"/>
        </w:numPr>
        <w:contextualSpacing/>
        <w:rPr>
          <w:snapToGrid/>
          <w:szCs w:val="22"/>
          <w:lang w:eastAsia="en-AU"/>
        </w:rPr>
      </w:pPr>
      <w:r w:rsidRPr="00006C73">
        <w:rPr>
          <w:szCs w:val="22"/>
        </w:rPr>
        <w:t>The PBAC noted the advice from ATAGI that if</w:t>
      </w:r>
      <w:r w:rsidR="00C1134A">
        <w:rPr>
          <w:bCs/>
          <w:szCs w:val="22"/>
          <w:lang w:val="en-GB"/>
        </w:rPr>
        <w:t xml:space="preserve"> Hexaxim</w:t>
      </w:r>
      <w:r w:rsidR="0025610D" w:rsidRPr="00006C73">
        <w:rPr>
          <w:bCs/>
          <w:szCs w:val="22"/>
          <w:lang w:val="en-GB"/>
        </w:rPr>
        <w:t xml:space="preserve"> is included on the NIP with high uptake, ongoing monitoring of vaccine safety and studies to assess vaccine effectiveness will be required.</w:t>
      </w:r>
    </w:p>
    <w:p w:rsidR="006146A6" w:rsidRPr="00006C73" w:rsidRDefault="006146A6" w:rsidP="00227F53">
      <w:pPr>
        <w:ind w:left="720"/>
        <w:contextualSpacing/>
        <w:rPr>
          <w:b/>
          <w:bCs/>
          <w:szCs w:val="22"/>
          <w:lang w:val="en-GB"/>
        </w:rPr>
      </w:pPr>
    </w:p>
    <w:p w:rsidR="006146A6" w:rsidRPr="00006C73" w:rsidRDefault="006146A6" w:rsidP="00227F53">
      <w:pPr>
        <w:rPr>
          <w:b/>
          <w:bCs/>
          <w:szCs w:val="22"/>
          <w:lang w:val="en-GB"/>
        </w:rPr>
      </w:pPr>
      <w:r w:rsidRPr="00006C73">
        <w:rPr>
          <w:b/>
          <w:bCs/>
          <w:szCs w:val="22"/>
          <w:lang w:val="en-GB"/>
        </w:rPr>
        <w:t>Outcome:</w:t>
      </w:r>
    </w:p>
    <w:p w:rsidR="006146A6" w:rsidRPr="00006C73" w:rsidRDefault="006146A6" w:rsidP="00227F53">
      <w:pPr>
        <w:rPr>
          <w:bCs/>
          <w:szCs w:val="22"/>
          <w:lang w:val="en-GB"/>
        </w:rPr>
      </w:pPr>
      <w:r w:rsidRPr="00006C73">
        <w:rPr>
          <w:bCs/>
          <w:szCs w:val="22"/>
          <w:lang w:val="en-GB"/>
        </w:rPr>
        <w:t xml:space="preserve">Recommended </w:t>
      </w:r>
    </w:p>
    <w:p w:rsidR="006146A6" w:rsidRPr="00006C73" w:rsidRDefault="006146A6" w:rsidP="00227F53">
      <w:pPr>
        <w:rPr>
          <w:bCs/>
          <w:szCs w:val="22"/>
        </w:rPr>
      </w:pPr>
    </w:p>
    <w:p w:rsidR="006146A6" w:rsidRPr="0088695F" w:rsidRDefault="006146A6" w:rsidP="0076777C">
      <w:pPr>
        <w:pStyle w:val="PBACHeading1"/>
        <w:rPr>
          <w:lang w:val="en-GB"/>
        </w:rPr>
      </w:pPr>
      <w:r w:rsidRPr="0088695F">
        <w:rPr>
          <w:lang w:val="en-GB"/>
        </w:rPr>
        <w:t>Recommended listing</w:t>
      </w:r>
    </w:p>
    <w:p w:rsidR="006146A6" w:rsidRPr="0088695F" w:rsidRDefault="006146A6" w:rsidP="00227F53">
      <w:pPr>
        <w:rPr>
          <w:b/>
          <w:bCs/>
          <w:szCs w:val="22"/>
          <w:lang w:val="en-GB"/>
        </w:rPr>
      </w:pPr>
    </w:p>
    <w:p w:rsidR="00314598" w:rsidRPr="005F14C9" w:rsidRDefault="006146A6" w:rsidP="002C2F87">
      <w:pPr>
        <w:pStyle w:val="ListParagraph"/>
        <w:widowControl/>
        <w:numPr>
          <w:ilvl w:val="1"/>
          <w:numId w:val="2"/>
        </w:numPr>
        <w:ind w:left="709" w:hanging="709"/>
        <w:rPr>
          <w:i/>
          <w:szCs w:val="22"/>
        </w:rPr>
      </w:pPr>
      <w:r w:rsidRPr="0088695F">
        <w:rPr>
          <w:szCs w:val="22"/>
        </w:rPr>
        <w:t xml:space="preserve">List Hexaxim on the NIP for a primary vaccination series </w:t>
      </w:r>
      <w:r w:rsidR="00227F53" w:rsidRPr="0088695F">
        <w:rPr>
          <w:szCs w:val="22"/>
        </w:rPr>
        <w:t>against diphtheria, tetanus, pertussis, hepatitis B, poliomyelitis and invasive infections caused by Haemophilus influenzae type</w:t>
      </w:r>
      <w:r w:rsidR="00227F53" w:rsidRPr="00006C73">
        <w:rPr>
          <w:szCs w:val="22"/>
        </w:rPr>
        <w:t xml:space="preserve"> b at 2, 4</w:t>
      </w:r>
      <w:r w:rsidR="00227F53" w:rsidRPr="00227F53">
        <w:rPr>
          <w:szCs w:val="22"/>
        </w:rPr>
        <w:t xml:space="preserve"> and 6 months of age</w:t>
      </w:r>
      <w:r w:rsidR="00227F53">
        <w:rPr>
          <w:szCs w:val="22"/>
        </w:rPr>
        <w:t>.</w:t>
      </w:r>
    </w:p>
    <w:p w:rsidR="00A93206" w:rsidRDefault="00A93206" w:rsidP="00A93206">
      <w:pPr>
        <w:widowControl/>
      </w:pPr>
    </w:p>
    <w:p w:rsidR="00A93206" w:rsidRPr="00D4207D" w:rsidRDefault="00A93206" w:rsidP="00A93206">
      <w:pPr>
        <w:pStyle w:val="PBACHeading1"/>
      </w:pPr>
      <w:r w:rsidRPr="00D4207D">
        <w:lastRenderedPageBreak/>
        <w:t>Context for Decision</w:t>
      </w:r>
    </w:p>
    <w:p w:rsidR="00A93206" w:rsidRPr="00D4420F" w:rsidRDefault="00A93206" w:rsidP="00A93206">
      <w:pPr>
        <w:pStyle w:val="ListParagraph"/>
        <w:rPr>
          <w:b/>
        </w:rPr>
      </w:pPr>
    </w:p>
    <w:p w:rsidR="00A93206" w:rsidRPr="00D4207D" w:rsidRDefault="00A93206" w:rsidP="00A93206">
      <w:pPr>
        <w:ind w:left="720"/>
        <w:rPr>
          <w:bCs/>
          <w:szCs w:val="22"/>
        </w:rPr>
      </w:pPr>
      <w:r w:rsidRPr="00D4207D">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93206" w:rsidRPr="00D4420F" w:rsidRDefault="00A93206" w:rsidP="00A93206"/>
    <w:p w:rsidR="00A93206" w:rsidRDefault="00A93206" w:rsidP="00A93206">
      <w:pPr>
        <w:pStyle w:val="PBACHeading1"/>
      </w:pPr>
      <w:r w:rsidRPr="00D4207D">
        <w:t>Sponsor’s Comment</w:t>
      </w:r>
    </w:p>
    <w:p w:rsidR="006C5DBA" w:rsidRDefault="006C5DBA" w:rsidP="006C5DBA">
      <w:pPr>
        <w:pStyle w:val="PBACHeading1"/>
        <w:numPr>
          <w:ilvl w:val="0"/>
          <w:numId w:val="0"/>
        </w:numPr>
        <w:ind w:left="720"/>
      </w:pPr>
    </w:p>
    <w:p w:rsidR="006C5DBA" w:rsidRPr="00B737DD" w:rsidRDefault="006C5DBA" w:rsidP="006C5DBA">
      <w:pPr>
        <w:pStyle w:val="PBACHeading1"/>
        <w:numPr>
          <w:ilvl w:val="0"/>
          <w:numId w:val="0"/>
        </w:numPr>
        <w:ind w:left="720"/>
        <w:rPr>
          <w:b w:val="0"/>
        </w:rPr>
      </w:pPr>
      <w:r w:rsidRPr="00B737DD">
        <w:rPr>
          <w:b w:val="0"/>
        </w:rPr>
        <w:t>Sanofi Pasteur welcomes the PBAC’s recommendation to include Hexaxim (DTPa-hepB-IPV-Hib) as a primary vaccine course for the prevention of diphtheria, tetanus, pertussis, hepatitis B, poliomyelitis and invasive infections caused by Haemophilus influenzae type b in the National Immunisation Program. As well as being registered by the TGA Hexaxim is the only hexavalent vaccine that is WHO prequalified vaccine.</w:t>
      </w:r>
    </w:p>
    <w:p w:rsidR="006C5DBA" w:rsidRPr="00D4207D" w:rsidRDefault="006C5DBA" w:rsidP="006C5DBA">
      <w:pPr>
        <w:pStyle w:val="PBACHeading1"/>
        <w:numPr>
          <w:ilvl w:val="0"/>
          <w:numId w:val="0"/>
        </w:numPr>
        <w:ind w:left="720"/>
      </w:pPr>
    </w:p>
    <w:p w:rsidR="005F14C9" w:rsidRDefault="005F14C9" w:rsidP="005F14C9">
      <w:pPr>
        <w:pStyle w:val="PBACHeading1"/>
        <w:numPr>
          <w:ilvl w:val="0"/>
          <w:numId w:val="0"/>
        </w:numPr>
        <w:ind w:left="720" w:hanging="720"/>
      </w:pPr>
    </w:p>
    <w:p w:rsidR="006C5DBA" w:rsidRDefault="006C5DBA" w:rsidP="005F14C9">
      <w:pPr>
        <w:pStyle w:val="PBACHeading1"/>
        <w:numPr>
          <w:ilvl w:val="0"/>
          <w:numId w:val="0"/>
        </w:numPr>
        <w:ind w:left="720" w:hanging="720"/>
      </w:pPr>
    </w:p>
    <w:sectPr w:rsidR="006C5DBA" w:rsidSect="00745723">
      <w:headerReference w:type="default" r:id="rId9"/>
      <w:footerReference w:type="default" r:id="rId10"/>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B20" w:rsidRDefault="00E90B20" w:rsidP="00124A51">
      <w:r>
        <w:separator/>
      </w:r>
    </w:p>
  </w:endnote>
  <w:endnote w:type="continuationSeparator" w:id="0">
    <w:p w:rsidR="00E90B20" w:rsidRDefault="00E90B20"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8D9" w:rsidRPr="00D13A3E" w:rsidRDefault="002518D9" w:rsidP="00015886">
    <w:pPr>
      <w:ind w:right="360"/>
      <w:jc w:val="center"/>
      <w:rPr>
        <w:b/>
        <w:sz w:val="20"/>
      </w:rPr>
    </w:pPr>
  </w:p>
  <w:p w:rsidR="002518D9" w:rsidRPr="00350B23" w:rsidRDefault="002518D9" w:rsidP="00350B23">
    <w:pPr>
      <w:pStyle w:val="Footer"/>
      <w:ind w:left="360"/>
      <w:jc w:val="center"/>
      <w:rPr>
        <w:sz w:val="20"/>
      </w:rPr>
    </w:pPr>
    <w:r w:rsidRPr="00651169">
      <w:rPr>
        <w:sz w:val="20"/>
      </w:rPr>
      <w:fldChar w:fldCharType="begin"/>
    </w:r>
    <w:r w:rsidRPr="00651169">
      <w:rPr>
        <w:sz w:val="20"/>
      </w:rPr>
      <w:instrText xml:space="preserve"> PAGE   \* MERGEFORMAT </w:instrText>
    </w:r>
    <w:r w:rsidRPr="00651169">
      <w:rPr>
        <w:sz w:val="20"/>
      </w:rPr>
      <w:fldChar w:fldCharType="separate"/>
    </w:r>
    <w:r w:rsidR="00E90B20">
      <w:rPr>
        <w:noProof/>
        <w:sz w:val="20"/>
      </w:rPr>
      <w:t>2</w:t>
    </w:r>
    <w:r w:rsidRPr="00651169">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B20" w:rsidRDefault="00E90B20" w:rsidP="00124A51">
      <w:r>
        <w:separator/>
      </w:r>
    </w:p>
  </w:footnote>
  <w:footnote w:type="continuationSeparator" w:id="0">
    <w:p w:rsidR="00E90B20" w:rsidRDefault="00E90B20"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8D9" w:rsidRPr="00DF217D" w:rsidRDefault="002518D9" w:rsidP="00350B23">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March 2015 </w:t>
    </w:r>
    <w:r w:rsidRPr="00DF217D">
      <w:rPr>
        <w:i/>
        <w:color w:val="808080"/>
      </w:rPr>
      <w:t>PBAC</w:t>
    </w:r>
    <w:r>
      <w:rPr>
        <w:i/>
        <w:color w:val="808080"/>
      </w:rPr>
      <w:t xml:space="preserve"> </w:t>
    </w:r>
    <w:r w:rsidRPr="00DF217D">
      <w:rPr>
        <w:i/>
        <w:color w:val="808080"/>
      </w:rPr>
      <w:t>Meeting</w:t>
    </w:r>
  </w:p>
  <w:p w:rsidR="002518D9" w:rsidRPr="00EE07D3" w:rsidRDefault="002518D9">
    <w:pPr>
      <w:pStyle w:val="Header"/>
      <w:rPr>
        <w:color w:val="D9D9D9" w:themeColor="background1" w:themeShade="D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47D7E"/>
    <w:multiLevelType w:val="hybridMultilevel"/>
    <w:tmpl w:val="3788C5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A154BD6"/>
    <w:multiLevelType w:val="multilevel"/>
    <w:tmpl w:val="20B64706"/>
    <w:lvl w:ilvl="0">
      <w:start w:val="1"/>
      <w:numFmt w:val="decimal"/>
      <w:lvlText w:val="%1"/>
      <w:lvlJc w:val="left"/>
      <w:pPr>
        <w:ind w:left="384" w:hanging="384"/>
      </w:pPr>
      <w:rPr>
        <w:rFonts w:hint="default"/>
      </w:rPr>
    </w:lvl>
    <w:lvl w:ilvl="1">
      <w:start w:val="1"/>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nsid w:val="3B7C34E2"/>
    <w:multiLevelType w:val="hybridMultilevel"/>
    <w:tmpl w:val="B5A885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728B19DF"/>
    <w:multiLevelType w:val="multilevel"/>
    <w:tmpl w:val="46BCEF06"/>
    <w:lvl w:ilvl="0">
      <w:numFmt w:val="decimal"/>
      <w:lvlText w:val="%1"/>
      <w:lvlJc w:val="left"/>
      <w:pPr>
        <w:ind w:left="384" w:hanging="384"/>
      </w:pPr>
      <w:rPr>
        <w:rFonts w:hint="default"/>
      </w:rPr>
    </w:lvl>
    <w:lvl w:ilvl="1">
      <w:start w:val="1"/>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nsid w:val="784D033C"/>
    <w:multiLevelType w:val="multilevel"/>
    <w:tmpl w:val="537C53C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4"/>
  </w:num>
  <w:num w:numId="3">
    <w:abstractNumId w:val="1"/>
  </w:num>
  <w:num w:numId="4">
    <w:abstractNumId w:val="3"/>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590"/>
    <w:rsid w:val="00000790"/>
    <w:rsid w:val="0000110B"/>
    <w:rsid w:val="00003321"/>
    <w:rsid w:val="00003499"/>
    <w:rsid w:val="00006C73"/>
    <w:rsid w:val="00010FBE"/>
    <w:rsid w:val="00012FBF"/>
    <w:rsid w:val="00013042"/>
    <w:rsid w:val="00013247"/>
    <w:rsid w:val="000145FE"/>
    <w:rsid w:val="00015886"/>
    <w:rsid w:val="00015AE5"/>
    <w:rsid w:val="000162EF"/>
    <w:rsid w:val="00017517"/>
    <w:rsid w:val="00017882"/>
    <w:rsid w:val="0002225F"/>
    <w:rsid w:val="00023763"/>
    <w:rsid w:val="00023BF1"/>
    <w:rsid w:val="00023D13"/>
    <w:rsid w:val="00025563"/>
    <w:rsid w:val="00027348"/>
    <w:rsid w:val="000277E1"/>
    <w:rsid w:val="00027F0C"/>
    <w:rsid w:val="00032C2B"/>
    <w:rsid w:val="00033602"/>
    <w:rsid w:val="00033721"/>
    <w:rsid w:val="00034BAE"/>
    <w:rsid w:val="00035441"/>
    <w:rsid w:val="000368CE"/>
    <w:rsid w:val="00037831"/>
    <w:rsid w:val="00037834"/>
    <w:rsid w:val="00040257"/>
    <w:rsid w:val="00040895"/>
    <w:rsid w:val="0004122F"/>
    <w:rsid w:val="00043C37"/>
    <w:rsid w:val="000461CF"/>
    <w:rsid w:val="0005025C"/>
    <w:rsid w:val="00050976"/>
    <w:rsid w:val="000520BE"/>
    <w:rsid w:val="0005271B"/>
    <w:rsid w:val="000546D7"/>
    <w:rsid w:val="00054C91"/>
    <w:rsid w:val="0005614D"/>
    <w:rsid w:val="00057348"/>
    <w:rsid w:val="00062C72"/>
    <w:rsid w:val="00063299"/>
    <w:rsid w:val="0006473F"/>
    <w:rsid w:val="0006583C"/>
    <w:rsid w:val="0007028A"/>
    <w:rsid w:val="00071248"/>
    <w:rsid w:val="00071322"/>
    <w:rsid w:val="000720B9"/>
    <w:rsid w:val="0007327D"/>
    <w:rsid w:val="000750EB"/>
    <w:rsid w:val="00075605"/>
    <w:rsid w:val="0007753C"/>
    <w:rsid w:val="00080ED9"/>
    <w:rsid w:val="000812CA"/>
    <w:rsid w:val="00081D55"/>
    <w:rsid w:val="00082451"/>
    <w:rsid w:val="00084124"/>
    <w:rsid w:val="00087E5D"/>
    <w:rsid w:val="00087E92"/>
    <w:rsid w:val="00090C7E"/>
    <w:rsid w:val="00093F9C"/>
    <w:rsid w:val="00094929"/>
    <w:rsid w:val="0009685A"/>
    <w:rsid w:val="000968D3"/>
    <w:rsid w:val="000A039D"/>
    <w:rsid w:val="000A0ABE"/>
    <w:rsid w:val="000A23FF"/>
    <w:rsid w:val="000A253E"/>
    <w:rsid w:val="000A5426"/>
    <w:rsid w:val="000A5C5A"/>
    <w:rsid w:val="000A6294"/>
    <w:rsid w:val="000B2877"/>
    <w:rsid w:val="000B3F5B"/>
    <w:rsid w:val="000B4CF6"/>
    <w:rsid w:val="000B4D8F"/>
    <w:rsid w:val="000B6798"/>
    <w:rsid w:val="000C1922"/>
    <w:rsid w:val="000C61DF"/>
    <w:rsid w:val="000D0531"/>
    <w:rsid w:val="000D1BFC"/>
    <w:rsid w:val="000D4008"/>
    <w:rsid w:val="000D598E"/>
    <w:rsid w:val="000D5A9C"/>
    <w:rsid w:val="000D6429"/>
    <w:rsid w:val="000E10A5"/>
    <w:rsid w:val="000E2864"/>
    <w:rsid w:val="000E3A81"/>
    <w:rsid w:val="000E539D"/>
    <w:rsid w:val="000F031F"/>
    <w:rsid w:val="000F4BB8"/>
    <w:rsid w:val="000F7127"/>
    <w:rsid w:val="00100F8A"/>
    <w:rsid w:val="0010189D"/>
    <w:rsid w:val="00103739"/>
    <w:rsid w:val="00107FF5"/>
    <w:rsid w:val="0011032E"/>
    <w:rsid w:val="0011348B"/>
    <w:rsid w:val="00113A2C"/>
    <w:rsid w:val="00113F25"/>
    <w:rsid w:val="0011557F"/>
    <w:rsid w:val="00117EBB"/>
    <w:rsid w:val="00121799"/>
    <w:rsid w:val="001222FC"/>
    <w:rsid w:val="001248D8"/>
    <w:rsid w:val="00124A51"/>
    <w:rsid w:val="00124CDD"/>
    <w:rsid w:val="001256FC"/>
    <w:rsid w:val="00125D26"/>
    <w:rsid w:val="00126335"/>
    <w:rsid w:val="00126621"/>
    <w:rsid w:val="001301E9"/>
    <w:rsid w:val="001302EE"/>
    <w:rsid w:val="001317A4"/>
    <w:rsid w:val="0013647B"/>
    <w:rsid w:val="001372B0"/>
    <w:rsid w:val="00137332"/>
    <w:rsid w:val="00137645"/>
    <w:rsid w:val="00137657"/>
    <w:rsid w:val="0014015A"/>
    <w:rsid w:val="00140E99"/>
    <w:rsid w:val="00142561"/>
    <w:rsid w:val="00144A70"/>
    <w:rsid w:val="00145540"/>
    <w:rsid w:val="001456B0"/>
    <w:rsid w:val="001457AA"/>
    <w:rsid w:val="00152067"/>
    <w:rsid w:val="001538DB"/>
    <w:rsid w:val="00157130"/>
    <w:rsid w:val="00162913"/>
    <w:rsid w:val="00162BBB"/>
    <w:rsid w:val="00163A89"/>
    <w:rsid w:val="00163EFF"/>
    <w:rsid w:val="001661FB"/>
    <w:rsid w:val="0016677A"/>
    <w:rsid w:val="00166E39"/>
    <w:rsid w:val="00167F34"/>
    <w:rsid w:val="00174F9F"/>
    <w:rsid w:val="001828F3"/>
    <w:rsid w:val="0018356A"/>
    <w:rsid w:val="001847EC"/>
    <w:rsid w:val="0018507A"/>
    <w:rsid w:val="0018752F"/>
    <w:rsid w:val="0019077C"/>
    <w:rsid w:val="00191822"/>
    <w:rsid w:val="001929AC"/>
    <w:rsid w:val="00194B35"/>
    <w:rsid w:val="00195222"/>
    <w:rsid w:val="001960BF"/>
    <w:rsid w:val="001975D8"/>
    <w:rsid w:val="001A431D"/>
    <w:rsid w:val="001A4448"/>
    <w:rsid w:val="001A5A5A"/>
    <w:rsid w:val="001B0E61"/>
    <w:rsid w:val="001B27FD"/>
    <w:rsid w:val="001B3443"/>
    <w:rsid w:val="001B3D4D"/>
    <w:rsid w:val="001B532D"/>
    <w:rsid w:val="001B6AD7"/>
    <w:rsid w:val="001B6AFC"/>
    <w:rsid w:val="001C027B"/>
    <w:rsid w:val="001C29BB"/>
    <w:rsid w:val="001C3CE1"/>
    <w:rsid w:val="001C41FE"/>
    <w:rsid w:val="001C4B31"/>
    <w:rsid w:val="001C4CDD"/>
    <w:rsid w:val="001C4D71"/>
    <w:rsid w:val="001C6E66"/>
    <w:rsid w:val="001C6EE9"/>
    <w:rsid w:val="001D0CD9"/>
    <w:rsid w:val="001D45AC"/>
    <w:rsid w:val="001D63A7"/>
    <w:rsid w:val="001D66F7"/>
    <w:rsid w:val="001D745C"/>
    <w:rsid w:val="001E0826"/>
    <w:rsid w:val="001E1F05"/>
    <w:rsid w:val="001E238E"/>
    <w:rsid w:val="001E280E"/>
    <w:rsid w:val="001E2B1E"/>
    <w:rsid w:val="001E52EB"/>
    <w:rsid w:val="001E740C"/>
    <w:rsid w:val="001F1235"/>
    <w:rsid w:val="001F1CB3"/>
    <w:rsid w:val="001F22B0"/>
    <w:rsid w:val="001F250B"/>
    <w:rsid w:val="001F7361"/>
    <w:rsid w:val="00202A7C"/>
    <w:rsid w:val="00203687"/>
    <w:rsid w:val="0020385F"/>
    <w:rsid w:val="0020493C"/>
    <w:rsid w:val="00206DCD"/>
    <w:rsid w:val="00207021"/>
    <w:rsid w:val="00207D00"/>
    <w:rsid w:val="00210504"/>
    <w:rsid w:val="002105C1"/>
    <w:rsid w:val="00210DCB"/>
    <w:rsid w:val="002119AC"/>
    <w:rsid w:val="00211C84"/>
    <w:rsid w:val="002144E2"/>
    <w:rsid w:val="00216BC0"/>
    <w:rsid w:val="00220B28"/>
    <w:rsid w:val="002226EC"/>
    <w:rsid w:val="00222734"/>
    <w:rsid w:val="002233D8"/>
    <w:rsid w:val="00223B49"/>
    <w:rsid w:val="00224CA9"/>
    <w:rsid w:val="00224DD4"/>
    <w:rsid w:val="00226080"/>
    <w:rsid w:val="00227F53"/>
    <w:rsid w:val="00230389"/>
    <w:rsid w:val="002309CC"/>
    <w:rsid w:val="002312F5"/>
    <w:rsid w:val="00231361"/>
    <w:rsid w:val="002336E6"/>
    <w:rsid w:val="0023416A"/>
    <w:rsid w:val="0023512A"/>
    <w:rsid w:val="0023748F"/>
    <w:rsid w:val="00240630"/>
    <w:rsid w:val="002424FD"/>
    <w:rsid w:val="00245D1D"/>
    <w:rsid w:val="00245F49"/>
    <w:rsid w:val="00246B15"/>
    <w:rsid w:val="00247D3C"/>
    <w:rsid w:val="00250501"/>
    <w:rsid w:val="00250CBA"/>
    <w:rsid w:val="00251711"/>
    <w:rsid w:val="002518D9"/>
    <w:rsid w:val="002523AB"/>
    <w:rsid w:val="002540E4"/>
    <w:rsid w:val="00254DCF"/>
    <w:rsid w:val="0025534B"/>
    <w:rsid w:val="00255BB7"/>
    <w:rsid w:val="00255DAD"/>
    <w:rsid w:val="00256091"/>
    <w:rsid w:val="0025610D"/>
    <w:rsid w:val="002603F8"/>
    <w:rsid w:val="0026158B"/>
    <w:rsid w:val="0026258C"/>
    <w:rsid w:val="00262A87"/>
    <w:rsid w:val="00263989"/>
    <w:rsid w:val="00264598"/>
    <w:rsid w:val="00264798"/>
    <w:rsid w:val="00264CE1"/>
    <w:rsid w:val="00265537"/>
    <w:rsid w:val="00267082"/>
    <w:rsid w:val="00270DF9"/>
    <w:rsid w:val="00271339"/>
    <w:rsid w:val="00273BDF"/>
    <w:rsid w:val="00274822"/>
    <w:rsid w:val="00274E0C"/>
    <w:rsid w:val="002759CD"/>
    <w:rsid w:val="00275C5A"/>
    <w:rsid w:val="00281014"/>
    <w:rsid w:val="00282018"/>
    <w:rsid w:val="00282A86"/>
    <w:rsid w:val="002846D1"/>
    <w:rsid w:val="0028652C"/>
    <w:rsid w:val="002912C5"/>
    <w:rsid w:val="00293243"/>
    <w:rsid w:val="00296EE1"/>
    <w:rsid w:val="002A0DCF"/>
    <w:rsid w:val="002A14AB"/>
    <w:rsid w:val="002A3C75"/>
    <w:rsid w:val="002A522D"/>
    <w:rsid w:val="002A68C1"/>
    <w:rsid w:val="002A7360"/>
    <w:rsid w:val="002B0420"/>
    <w:rsid w:val="002B150F"/>
    <w:rsid w:val="002B167C"/>
    <w:rsid w:val="002B1C1F"/>
    <w:rsid w:val="002B1EC8"/>
    <w:rsid w:val="002B432F"/>
    <w:rsid w:val="002B6CCE"/>
    <w:rsid w:val="002C1CD9"/>
    <w:rsid w:val="002C1D28"/>
    <w:rsid w:val="002C2775"/>
    <w:rsid w:val="002C27C1"/>
    <w:rsid w:val="002C2921"/>
    <w:rsid w:val="002C2F87"/>
    <w:rsid w:val="002C3AAA"/>
    <w:rsid w:val="002C671A"/>
    <w:rsid w:val="002C7E8C"/>
    <w:rsid w:val="002D43CB"/>
    <w:rsid w:val="002D6192"/>
    <w:rsid w:val="002E0CCC"/>
    <w:rsid w:val="002E5E8E"/>
    <w:rsid w:val="002F138E"/>
    <w:rsid w:val="002F36D4"/>
    <w:rsid w:val="002F6B99"/>
    <w:rsid w:val="002F6E7A"/>
    <w:rsid w:val="00300146"/>
    <w:rsid w:val="00301017"/>
    <w:rsid w:val="0030104A"/>
    <w:rsid w:val="00304480"/>
    <w:rsid w:val="00304793"/>
    <w:rsid w:val="00305607"/>
    <w:rsid w:val="00305684"/>
    <w:rsid w:val="0030786C"/>
    <w:rsid w:val="00307AFF"/>
    <w:rsid w:val="003101AE"/>
    <w:rsid w:val="0031031A"/>
    <w:rsid w:val="00310981"/>
    <w:rsid w:val="00311867"/>
    <w:rsid w:val="00314598"/>
    <w:rsid w:val="00315498"/>
    <w:rsid w:val="003232BC"/>
    <w:rsid w:val="00323837"/>
    <w:rsid w:val="00323C66"/>
    <w:rsid w:val="00324E45"/>
    <w:rsid w:val="0032515D"/>
    <w:rsid w:val="00325E2C"/>
    <w:rsid w:val="00333718"/>
    <w:rsid w:val="00333F2F"/>
    <w:rsid w:val="003366C9"/>
    <w:rsid w:val="003371B0"/>
    <w:rsid w:val="003423DB"/>
    <w:rsid w:val="003430DE"/>
    <w:rsid w:val="00345358"/>
    <w:rsid w:val="003465A1"/>
    <w:rsid w:val="00347837"/>
    <w:rsid w:val="00347FBE"/>
    <w:rsid w:val="0035055E"/>
    <w:rsid w:val="00350B23"/>
    <w:rsid w:val="00351C05"/>
    <w:rsid w:val="00353137"/>
    <w:rsid w:val="0035620E"/>
    <w:rsid w:val="003567F3"/>
    <w:rsid w:val="00356E8A"/>
    <w:rsid w:val="003579A7"/>
    <w:rsid w:val="00366B12"/>
    <w:rsid w:val="00375931"/>
    <w:rsid w:val="0037641B"/>
    <w:rsid w:val="003775BD"/>
    <w:rsid w:val="00383041"/>
    <w:rsid w:val="0038365C"/>
    <w:rsid w:val="00393EF9"/>
    <w:rsid w:val="0039690C"/>
    <w:rsid w:val="00396FD0"/>
    <w:rsid w:val="003979C1"/>
    <w:rsid w:val="003A1A7A"/>
    <w:rsid w:val="003A1F05"/>
    <w:rsid w:val="003A40D2"/>
    <w:rsid w:val="003B0C66"/>
    <w:rsid w:val="003B4122"/>
    <w:rsid w:val="003C06D7"/>
    <w:rsid w:val="003C1B58"/>
    <w:rsid w:val="003C4637"/>
    <w:rsid w:val="003C6B01"/>
    <w:rsid w:val="003D1828"/>
    <w:rsid w:val="003D20FA"/>
    <w:rsid w:val="003D2422"/>
    <w:rsid w:val="003D46C7"/>
    <w:rsid w:val="003D6434"/>
    <w:rsid w:val="003E0DF8"/>
    <w:rsid w:val="003E105D"/>
    <w:rsid w:val="003E235D"/>
    <w:rsid w:val="003E299A"/>
    <w:rsid w:val="003E4F21"/>
    <w:rsid w:val="003E5BD5"/>
    <w:rsid w:val="003E6C13"/>
    <w:rsid w:val="003E7D85"/>
    <w:rsid w:val="003F1122"/>
    <w:rsid w:val="003F16C6"/>
    <w:rsid w:val="003F4156"/>
    <w:rsid w:val="003F65E8"/>
    <w:rsid w:val="00400426"/>
    <w:rsid w:val="00401BB0"/>
    <w:rsid w:val="004047AF"/>
    <w:rsid w:val="004047C3"/>
    <w:rsid w:val="0040523F"/>
    <w:rsid w:val="004064E9"/>
    <w:rsid w:val="00410708"/>
    <w:rsid w:val="00410AE7"/>
    <w:rsid w:val="00410EC7"/>
    <w:rsid w:val="00414476"/>
    <w:rsid w:val="004151E1"/>
    <w:rsid w:val="004164FB"/>
    <w:rsid w:val="00420032"/>
    <w:rsid w:val="00420B9F"/>
    <w:rsid w:val="00421190"/>
    <w:rsid w:val="00423E39"/>
    <w:rsid w:val="00425B76"/>
    <w:rsid w:val="00425F13"/>
    <w:rsid w:val="004319F8"/>
    <w:rsid w:val="00432E19"/>
    <w:rsid w:val="00433044"/>
    <w:rsid w:val="00437D66"/>
    <w:rsid w:val="00437F29"/>
    <w:rsid w:val="00440040"/>
    <w:rsid w:val="00440594"/>
    <w:rsid w:val="00441CDE"/>
    <w:rsid w:val="00441E58"/>
    <w:rsid w:val="00441E71"/>
    <w:rsid w:val="004443A7"/>
    <w:rsid w:val="0044480F"/>
    <w:rsid w:val="004464EB"/>
    <w:rsid w:val="00447AEB"/>
    <w:rsid w:val="00455D45"/>
    <w:rsid w:val="0045785D"/>
    <w:rsid w:val="004618E3"/>
    <w:rsid w:val="00464595"/>
    <w:rsid w:val="00470BA6"/>
    <w:rsid w:val="00471C48"/>
    <w:rsid w:val="00472D43"/>
    <w:rsid w:val="00472FC6"/>
    <w:rsid w:val="00473A7A"/>
    <w:rsid w:val="00475867"/>
    <w:rsid w:val="00475907"/>
    <w:rsid w:val="004763A7"/>
    <w:rsid w:val="00481114"/>
    <w:rsid w:val="004867E2"/>
    <w:rsid w:val="004876F2"/>
    <w:rsid w:val="00491B3A"/>
    <w:rsid w:val="00492CFD"/>
    <w:rsid w:val="0049382D"/>
    <w:rsid w:val="00495E35"/>
    <w:rsid w:val="004961CF"/>
    <w:rsid w:val="004962D2"/>
    <w:rsid w:val="004A0DA1"/>
    <w:rsid w:val="004A19E0"/>
    <w:rsid w:val="004A6597"/>
    <w:rsid w:val="004A7944"/>
    <w:rsid w:val="004B1CB4"/>
    <w:rsid w:val="004B1E55"/>
    <w:rsid w:val="004B2150"/>
    <w:rsid w:val="004B2F18"/>
    <w:rsid w:val="004B3DDB"/>
    <w:rsid w:val="004B44FD"/>
    <w:rsid w:val="004B56E9"/>
    <w:rsid w:val="004B5CFC"/>
    <w:rsid w:val="004B62B2"/>
    <w:rsid w:val="004B7D34"/>
    <w:rsid w:val="004C0DD4"/>
    <w:rsid w:val="004C3214"/>
    <w:rsid w:val="004C4AED"/>
    <w:rsid w:val="004C4BCB"/>
    <w:rsid w:val="004C52BF"/>
    <w:rsid w:val="004D6BD2"/>
    <w:rsid w:val="004E0064"/>
    <w:rsid w:val="004E0EB8"/>
    <w:rsid w:val="004E1B16"/>
    <w:rsid w:val="004E2ADC"/>
    <w:rsid w:val="004E2D91"/>
    <w:rsid w:val="004E3558"/>
    <w:rsid w:val="004E43B2"/>
    <w:rsid w:val="004E47A3"/>
    <w:rsid w:val="004F1668"/>
    <w:rsid w:val="004F1D02"/>
    <w:rsid w:val="004F2679"/>
    <w:rsid w:val="004F4DFB"/>
    <w:rsid w:val="004F5844"/>
    <w:rsid w:val="004F7865"/>
    <w:rsid w:val="00503D95"/>
    <w:rsid w:val="00505A21"/>
    <w:rsid w:val="00505BC3"/>
    <w:rsid w:val="00506928"/>
    <w:rsid w:val="00512B52"/>
    <w:rsid w:val="005152B5"/>
    <w:rsid w:val="00521319"/>
    <w:rsid w:val="005214FC"/>
    <w:rsid w:val="005222AE"/>
    <w:rsid w:val="00523C28"/>
    <w:rsid w:val="00531AED"/>
    <w:rsid w:val="00531BBB"/>
    <w:rsid w:val="00532590"/>
    <w:rsid w:val="00532C91"/>
    <w:rsid w:val="00532ECD"/>
    <w:rsid w:val="005340FB"/>
    <w:rsid w:val="0053496A"/>
    <w:rsid w:val="0053765F"/>
    <w:rsid w:val="00537CF6"/>
    <w:rsid w:val="0054176F"/>
    <w:rsid w:val="00541F7B"/>
    <w:rsid w:val="005424C1"/>
    <w:rsid w:val="00547407"/>
    <w:rsid w:val="005475CE"/>
    <w:rsid w:val="00552200"/>
    <w:rsid w:val="00552BD3"/>
    <w:rsid w:val="00555109"/>
    <w:rsid w:val="0055547C"/>
    <w:rsid w:val="005556E2"/>
    <w:rsid w:val="0056013E"/>
    <w:rsid w:val="00560AA1"/>
    <w:rsid w:val="0056139B"/>
    <w:rsid w:val="00563AA1"/>
    <w:rsid w:val="0056438D"/>
    <w:rsid w:val="0056696F"/>
    <w:rsid w:val="00570163"/>
    <w:rsid w:val="005705D7"/>
    <w:rsid w:val="00570CB2"/>
    <w:rsid w:val="00575D8D"/>
    <w:rsid w:val="005763E7"/>
    <w:rsid w:val="00576972"/>
    <w:rsid w:val="005771B5"/>
    <w:rsid w:val="0057758E"/>
    <w:rsid w:val="00581109"/>
    <w:rsid w:val="00581AEB"/>
    <w:rsid w:val="005820EA"/>
    <w:rsid w:val="00582845"/>
    <w:rsid w:val="00583699"/>
    <w:rsid w:val="00584952"/>
    <w:rsid w:val="00585DCC"/>
    <w:rsid w:val="00586376"/>
    <w:rsid w:val="00595C72"/>
    <w:rsid w:val="0059764D"/>
    <w:rsid w:val="005A7AF4"/>
    <w:rsid w:val="005B290A"/>
    <w:rsid w:val="005B5857"/>
    <w:rsid w:val="005B5E25"/>
    <w:rsid w:val="005B6E33"/>
    <w:rsid w:val="005B6E49"/>
    <w:rsid w:val="005C197B"/>
    <w:rsid w:val="005C1B83"/>
    <w:rsid w:val="005C346B"/>
    <w:rsid w:val="005C3481"/>
    <w:rsid w:val="005C6966"/>
    <w:rsid w:val="005C6A2E"/>
    <w:rsid w:val="005C759D"/>
    <w:rsid w:val="005D044D"/>
    <w:rsid w:val="005D18AD"/>
    <w:rsid w:val="005D211D"/>
    <w:rsid w:val="005D25D5"/>
    <w:rsid w:val="005E1D0E"/>
    <w:rsid w:val="005E25DE"/>
    <w:rsid w:val="005E535F"/>
    <w:rsid w:val="005E6814"/>
    <w:rsid w:val="005E73C0"/>
    <w:rsid w:val="005F08E1"/>
    <w:rsid w:val="005F14C9"/>
    <w:rsid w:val="005F15A7"/>
    <w:rsid w:val="005F2706"/>
    <w:rsid w:val="005F4646"/>
    <w:rsid w:val="005F6175"/>
    <w:rsid w:val="005F6A8F"/>
    <w:rsid w:val="0060147A"/>
    <w:rsid w:val="00602710"/>
    <w:rsid w:val="006033BA"/>
    <w:rsid w:val="00604308"/>
    <w:rsid w:val="00607669"/>
    <w:rsid w:val="00612210"/>
    <w:rsid w:val="006124FD"/>
    <w:rsid w:val="00612F97"/>
    <w:rsid w:val="006140E5"/>
    <w:rsid w:val="006146A6"/>
    <w:rsid w:val="006146F7"/>
    <w:rsid w:val="00616802"/>
    <w:rsid w:val="00617CBE"/>
    <w:rsid w:val="00617E12"/>
    <w:rsid w:val="00621477"/>
    <w:rsid w:val="00622AF0"/>
    <w:rsid w:val="00623221"/>
    <w:rsid w:val="0062715A"/>
    <w:rsid w:val="00630B9D"/>
    <w:rsid w:val="006310A0"/>
    <w:rsid w:val="00631D6B"/>
    <w:rsid w:val="00633D60"/>
    <w:rsid w:val="0063479F"/>
    <w:rsid w:val="00636343"/>
    <w:rsid w:val="006364A1"/>
    <w:rsid w:val="00637230"/>
    <w:rsid w:val="00637BFD"/>
    <w:rsid w:val="006403D2"/>
    <w:rsid w:val="0064536D"/>
    <w:rsid w:val="00645F29"/>
    <w:rsid w:val="006471CC"/>
    <w:rsid w:val="006479FD"/>
    <w:rsid w:val="0065079F"/>
    <w:rsid w:val="006515AC"/>
    <w:rsid w:val="00652599"/>
    <w:rsid w:val="0065557B"/>
    <w:rsid w:val="00660483"/>
    <w:rsid w:val="00662815"/>
    <w:rsid w:val="006628B3"/>
    <w:rsid w:val="00663259"/>
    <w:rsid w:val="00663D88"/>
    <w:rsid w:val="00666B66"/>
    <w:rsid w:val="0067097F"/>
    <w:rsid w:val="006726CB"/>
    <w:rsid w:val="00674E42"/>
    <w:rsid w:val="00675456"/>
    <w:rsid w:val="006756B8"/>
    <w:rsid w:val="006801CB"/>
    <w:rsid w:val="00680F51"/>
    <w:rsid w:val="00681D2C"/>
    <w:rsid w:val="00682112"/>
    <w:rsid w:val="00684A74"/>
    <w:rsid w:val="006872BA"/>
    <w:rsid w:val="0069150B"/>
    <w:rsid w:val="006917D7"/>
    <w:rsid w:val="006923FC"/>
    <w:rsid w:val="00694F44"/>
    <w:rsid w:val="00695655"/>
    <w:rsid w:val="00696249"/>
    <w:rsid w:val="00697306"/>
    <w:rsid w:val="006A05C4"/>
    <w:rsid w:val="006A2D74"/>
    <w:rsid w:val="006A3737"/>
    <w:rsid w:val="006A3BB1"/>
    <w:rsid w:val="006A6E6F"/>
    <w:rsid w:val="006A6FD0"/>
    <w:rsid w:val="006A7D00"/>
    <w:rsid w:val="006A7E5C"/>
    <w:rsid w:val="006B080D"/>
    <w:rsid w:val="006B1507"/>
    <w:rsid w:val="006B248A"/>
    <w:rsid w:val="006B37DC"/>
    <w:rsid w:val="006B4B04"/>
    <w:rsid w:val="006C2A8E"/>
    <w:rsid w:val="006C5DBA"/>
    <w:rsid w:val="006C7722"/>
    <w:rsid w:val="006D1F38"/>
    <w:rsid w:val="006D37C1"/>
    <w:rsid w:val="006D3C7D"/>
    <w:rsid w:val="006D5D5F"/>
    <w:rsid w:val="006D68DC"/>
    <w:rsid w:val="006E4518"/>
    <w:rsid w:val="006E7446"/>
    <w:rsid w:val="006F0F36"/>
    <w:rsid w:val="006F41F7"/>
    <w:rsid w:val="006F5989"/>
    <w:rsid w:val="006F5C78"/>
    <w:rsid w:val="006F63A5"/>
    <w:rsid w:val="00701DB8"/>
    <w:rsid w:val="0070276E"/>
    <w:rsid w:val="00702F8C"/>
    <w:rsid w:val="00702F8F"/>
    <w:rsid w:val="007040F2"/>
    <w:rsid w:val="0070453E"/>
    <w:rsid w:val="00704A2D"/>
    <w:rsid w:val="00706E19"/>
    <w:rsid w:val="00710F45"/>
    <w:rsid w:val="00711A36"/>
    <w:rsid w:val="0071474C"/>
    <w:rsid w:val="00716021"/>
    <w:rsid w:val="007172AD"/>
    <w:rsid w:val="00720402"/>
    <w:rsid w:val="007220B7"/>
    <w:rsid w:val="0072416F"/>
    <w:rsid w:val="007312D3"/>
    <w:rsid w:val="00733CCA"/>
    <w:rsid w:val="0073464B"/>
    <w:rsid w:val="00734F22"/>
    <w:rsid w:val="00735328"/>
    <w:rsid w:val="0073685B"/>
    <w:rsid w:val="00737E17"/>
    <w:rsid w:val="00741E74"/>
    <w:rsid w:val="00743945"/>
    <w:rsid w:val="00744B56"/>
    <w:rsid w:val="00745723"/>
    <w:rsid w:val="007525D8"/>
    <w:rsid w:val="007603A4"/>
    <w:rsid w:val="00760C63"/>
    <w:rsid w:val="0076777C"/>
    <w:rsid w:val="00774DAF"/>
    <w:rsid w:val="00776967"/>
    <w:rsid w:val="007815DE"/>
    <w:rsid w:val="00783C1B"/>
    <w:rsid w:val="00785549"/>
    <w:rsid w:val="007867E7"/>
    <w:rsid w:val="007903EA"/>
    <w:rsid w:val="00791FB4"/>
    <w:rsid w:val="00793123"/>
    <w:rsid w:val="00794DF4"/>
    <w:rsid w:val="007A0A12"/>
    <w:rsid w:val="007B063A"/>
    <w:rsid w:val="007B07AF"/>
    <w:rsid w:val="007B23FA"/>
    <w:rsid w:val="007B251D"/>
    <w:rsid w:val="007B351B"/>
    <w:rsid w:val="007B4DE7"/>
    <w:rsid w:val="007B6E72"/>
    <w:rsid w:val="007B77D1"/>
    <w:rsid w:val="007C361D"/>
    <w:rsid w:val="007C400B"/>
    <w:rsid w:val="007C68C5"/>
    <w:rsid w:val="007C7015"/>
    <w:rsid w:val="007D0B38"/>
    <w:rsid w:val="007D0E05"/>
    <w:rsid w:val="007D4440"/>
    <w:rsid w:val="007D72D5"/>
    <w:rsid w:val="007E13E9"/>
    <w:rsid w:val="007E288C"/>
    <w:rsid w:val="007E2B91"/>
    <w:rsid w:val="007E3098"/>
    <w:rsid w:val="007E49D9"/>
    <w:rsid w:val="007E6718"/>
    <w:rsid w:val="007F03DC"/>
    <w:rsid w:val="007F0C84"/>
    <w:rsid w:val="007F1017"/>
    <w:rsid w:val="007F1334"/>
    <w:rsid w:val="007F13BF"/>
    <w:rsid w:val="007F23DF"/>
    <w:rsid w:val="007F47D5"/>
    <w:rsid w:val="007F47E0"/>
    <w:rsid w:val="007F487E"/>
    <w:rsid w:val="007F4A3F"/>
    <w:rsid w:val="007F50BB"/>
    <w:rsid w:val="007F5B80"/>
    <w:rsid w:val="007F5D97"/>
    <w:rsid w:val="007F63B7"/>
    <w:rsid w:val="007F788E"/>
    <w:rsid w:val="008006B1"/>
    <w:rsid w:val="00803F0D"/>
    <w:rsid w:val="008047DD"/>
    <w:rsid w:val="00805142"/>
    <w:rsid w:val="00807A8B"/>
    <w:rsid w:val="00810433"/>
    <w:rsid w:val="00812149"/>
    <w:rsid w:val="008166EF"/>
    <w:rsid w:val="0082424A"/>
    <w:rsid w:val="00825909"/>
    <w:rsid w:val="008263C0"/>
    <w:rsid w:val="008264EB"/>
    <w:rsid w:val="00832137"/>
    <w:rsid w:val="008331FE"/>
    <w:rsid w:val="00833B05"/>
    <w:rsid w:val="00836E72"/>
    <w:rsid w:val="0084083F"/>
    <w:rsid w:val="00840CA2"/>
    <w:rsid w:val="00842002"/>
    <w:rsid w:val="0084255A"/>
    <w:rsid w:val="00842678"/>
    <w:rsid w:val="0084364B"/>
    <w:rsid w:val="00843AD2"/>
    <w:rsid w:val="008568AF"/>
    <w:rsid w:val="00856A58"/>
    <w:rsid w:val="00856E9A"/>
    <w:rsid w:val="0085780F"/>
    <w:rsid w:val="00860B60"/>
    <w:rsid w:val="00862502"/>
    <w:rsid w:val="00863262"/>
    <w:rsid w:val="008632E0"/>
    <w:rsid w:val="00863B85"/>
    <w:rsid w:val="00864C7B"/>
    <w:rsid w:val="00865C22"/>
    <w:rsid w:val="00866B97"/>
    <w:rsid w:val="00871EAE"/>
    <w:rsid w:val="0087360C"/>
    <w:rsid w:val="00874C4F"/>
    <w:rsid w:val="00877107"/>
    <w:rsid w:val="00882874"/>
    <w:rsid w:val="008829CF"/>
    <w:rsid w:val="00883787"/>
    <w:rsid w:val="0088695F"/>
    <w:rsid w:val="0089058E"/>
    <w:rsid w:val="00891AD1"/>
    <w:rsid w:val="0089363A"/>
    <w:rsid w:val="00894426"/>
    <w:rsid w:val="00894489"/>
    <w:rsid w:val="00894794"/>
    <w:rsid w:val="008963A5"/>
    <w:rsid w:val="008A1B83"/>
    <w:rsid w:val="008A3152"/>
    <w:rsid w:val="008A3972"/>
    <w:rsid w:val="008A3C3E"/>
    <w:rsid w:val="008A4816"/>
    <w:rsid w:val="008A48E1"/>
    <w:rsid w:val="008A4E0A"/>
    <w:rsid w:val="008A5015"/>
    <w:rsid w:val="008A6BD3"/>
    <w:rsid w:val="008A79DE"/>
    <w:rsid w:val="008B0940"/>
    <w:rsid w:val="008B419C"/>
    <w:rsid w:val="008B7BE2"/>
    <w:rsid w:val="008B7D7E"/>
    <w:rsid w:val="008C48B0"/>
    <w:rsid w:val="008C7ECB"/>
    <w:rsid w:val="008D1863"/>
    <w:rsid w:val="008D2686"/>
    <w:rsid w:val="008D5904"/>
    <w:rsid w:val="008D62D1"/>
    <w:rsid w:val="008D7179"/>
    <w:rsid w:val="008E0A83"/>
    <w:rsid w:val="008E1B9E"/>
    <w:rsid w:val="008E28AE"/>
    <w:rsid w:val="008E4EF4"/>
    <w:rsid w:val="008F120A"/>
    <w:rsid w:val="008F478F"/>
    <w:rsid w:val="008F48EB"/>
    <w:rsid w:val="008F4F0B"/>
    <w:rsid w:val="008F5CA9"/>
    <w:rsid w:val="008F62A2"/>
    <w:rsid w:val="008F6C46"/>
    <w:rsid w:val="00900623"/>
    <w:rsid w:val="00902F73"/>
    <w:rsid w:val="00903EAA"/>
    <w:rsid w:val="0090598E"/>
    <w:rsid w:val="009062A5"/>
    <w:rsid w:val="00906579"/>
    <w:rsid w:val="009103C2"/>
    <w:rsid w:val="00911272"/>
    <w:rsid w:val="0091148B"/>
    <w:rsid w:val="009144C9"/>
    <w:rsid w:val="009158BF"/>
    <w:rsid w:val="009208E3"/>
    <w:rsid w:val="00923391"/>
    <w:rsid w:val="00923A02"/>
    <w:rsid w:val="00925525"/>
    <w:rsid w:val="0093244F"/>
    <w:rsid w:val="00934024"/>
    <w:rsid w:val="00936B11"/>
    <w:rsid w:val="0094025A"/>
    <w:rsid w:val="00943C7C"/>
    <w:rsid w:val="00944DBA"/>
    <w:rsid w:val="00946BCD"/>
    <w:rsid w:val="00950D51"/>
    <w:rsid w:val="00956FFE"/>
    <w:rsid w:val="00962226"/>
    <w:rsid w:val="00962CB9"/>
    <w:rsid w:val="009639DE"/>
    <w:rsid w:val="00964031"/>
    <w:rsid w:val="00964312"/>
    <w:rsid w:val="009656AC"/>
    <w:rsid w:val="00965B33"/>
    <w:rsid w:val="009710EA"/>
    <w:rsid w:val="0097262E"/>
    <w:rsid w:val="009738D0"/>
    <w:rsid w:val="00975572"/>
    <w:rsid w:val="009771A4"/>
    <w:rsid w:val="009779A2"/>
    <w:rsid w:val="009804DB"/>
    <w:rsid w:val="00981604"/>
    <w:rsid w:val="00982772"/>
    <w:rsid w:val="00983E57"/>
    <w:rsid w:val="0099326D"/>
    <w:rsid w:val="00994629"/>
    <w:rsid w:val="009957AF"/>
    <w:rsid w:val="00996B1A"/>
    <w:rsid w:val="00996B6E"/>
    <w:rsid w:val="009A0F66"/>
    <w:rsid w:val="009A2939"/>
    <w:rsid w:val="009A3DBC"/>
    <w:rsid w:val="009A790C"/>
    <w:rsid w:val="009B2918"/>
    <w:rsid w:val="009B3E26"/>
    <w:rsid w:val="009B5877"/>
    <w:rsid w:val="009B5FF2"/>
    <w:rsid w:val="009C0FAC"/>
    <w:rsid w:val="009C1B2C"/>
    <w:rsid w:val="009C4587"/>
    <w:rsid w:val="009C5CBE"/>
    <w:rsid w:val="009D1827"/>
    <w:rsid w:val="009D1CE5"/>
    <w:rsid w:val="009D1EA6"/>
    <w:rsid w:val="009D3334"/>
    <w:rsid w:val="009D5B91"/>
    <w:rsid w:val="009D6BE4"/>
    <w:rsid w:val="009E01A2"/>
    <w:rsid w:val="009E1388"/>
    <w:rsid w:val="009E13F7"/>
    <w:rsid w:val="009E2C63"/>
    <w:rsid w:val="009E380F"/>
    <w:rsid w:val="009E3E56"/>
    <w:rsid w:val="009E4C07"/>
    <w:rsid w:val="009E5552"/>
    <w:rsid w:val="009E7640"/>
    <w:rsid w:val="009F07D7"/>
    <w:rsid w:val="009F1ACC"/>
    <w:rsid w:val="009F57E8"/>
    <w:rsid w:val="009F7002"/>
    <w:rsid w:val="00A0147D"/>
    <w:rsid w:val="00A03D43"/>
    <w:rsid w:val="00A04380"/>
    <w:rsid w:val="00A05BD3"/>
    <w:rsid w:val="00A07F34"/>
    <w:rsid w:val="00A12145"/>
    <w:rsid w:val="00A12EB1"/>
    <w:rsid w:val="00A13948"/>
    <w:rsid w:val="00A1432D"/>
    <w:rsid w:val="00A14575"/>
    <w:rsid w:val="00A232AC"/>
    <w:rsid w:val="00A24FB9"/>
    <w:rsid w:val="00A2751D"/>
    <w:rsid w:val="00A27AEC"/>
    <w:rsid w:val="00A32649"/>
    <w:rsid w:val="00A34F26"/>
    <w:rsid w:val="00A35D16"/>
    <w:rsid w:val="00A36112"/>
    <w:rsid w:val="00A40437"/>
    <w:rsid w:val="00A42876"/>
    <w:rsid w:val="00A430CB"/>
    <w:rsid w:val="00A43C59"/>
    <w:rsid w:val="00A45959"/>
    <w:rsid w:val="00A45FA4"/>
    <w:rsid w:val="00A47FF2"/>
    <w:rsid w:val="00A50ECD"/>
    <w:rsid w:val="00A52729"/>
    <w:rsid w:val="00A53675"/>
    <w:rsid w:val="00A55877"/>
    <w:rsid w:val="00A56B6A"/>
    <w:rsid w:val="00A578DC"/>
    <w:rsid w:val="00A62979"/>
    <w:rsid w:val="00A6421A"/>
    <w:rsid w:val="00A6654E"/>
    <w:rsid w:val="00A6725B"/>
    <w:rsid w:val="00A70752"/>
    <w:rsid w:val="00A71941"/>
    <w:rsid w:val="00A71CA5"/>
    <w:rsid w:val="00A733C4"/>
    <w:rsid w:val="00A737AF"/>
    <w:rsid w:val="00A77988"/>
    <w:rsid w:val="00A82766"/>
    <w:rsid w:val="00A85927"/>
    <w:rsid w:val="00A86E8B"/>
    <w:rsid w:val="00A91CDC"/>
    <w:rsid w:val="00A92784"/>
    <w:rsid w:val="00A92F23"/>
    <w:rsid w:val="00A93072"/>
    <w:rsid w:val="00A93206"/>
    <w:rsid w:val="00A934CF"/>
    <w:rsid w:val="00A93A35"/>
    <w:rsid w:val="00A940F9"/>
    <w:rsid w:val="00A959D8"/>
    <w:rsid w:val="00A96289"/>
    <w:rsid w:val="00A9671B"/>
    <w:rsid w:val="00AA1623"/>
    <w:rsid w:val="00AA5F65"/>
    <w:rsid w:val="00AB042A"/>
    <w:rsid w:val="00AB2898"/>
    <w:rsid w:val="00AB2D34"/>
    <w:rsid w:val="00AB3430"/>
    <w:rsid w:val="00AB6DDE"/>
    <w:rsid w:val="00AB6EAA"/>
    <w:rsid w:val="00AB7CFA"/>
    <w:rsid w:val="00AC240A"/>
    <w:rsid w:val="00AC4EB6"/>
    <w:rsid w:val="00AC5238"/>
    <w:rsid w:val="00AC63D5"/>
    <w:rsid w:val="00AC6DC3"/>
    <w:rsid w:val="00AC6EEF"/>
    <w:rsid w:val="00AD0398"/>
    <w:rsid w:val="00AD1E36"/>
    <w:rsid w:val="00AD1FEB"/>
    <w:rsid w:val="00AE2C77"/>
    <w:rsid w:val="00AE300D"/>
    <w:rsid w:val="00AE3CF2"/>
    <w:rsid w:val="00AE5636"/>
    <w:rsid w:val="00AE787A"/>
    <w:rsid w:val="00AF7E9F"/>
    <w:rsid w:val="00B00C48"/>
    <w:rsid w:val="00B01517"/>
    <w:rsid w:val="00B01DEE"/>
    <w:rsid w:val="00B0244B"/>
    <w:rsid w:val="00B04734"/>
    <w:rsid w:val="00B05033"/>
    <w:rsid w:val="00B1009E"/>
    <w:rsid w:val="00B10607"/>
    <w:rsid w:val="00B13586"/>
    <w:rsid w:val="00B13DA2"/>
    <w:rsid w:val="00B15B54"/>
    <w:rsid w:val="00B16690"/>
    <w:rsid w:val="00B22EA4"/>
    <w:rsid w:val="00B24F31"/>
    <w:rsid w:val="00B261F7"/>
    <w:rsid w:val="00B42585"/>
    <w:rsid w:val="00B42851"/>
    <w:rsid w:val="00B453F9"/>
    <w:rsid w:val="00B47F85"/>
    <w:rsid w:val="00B50DB8"/>
    <w:rsid w:val="00B51EBC"/>
    <w:rsid w:val="00B53191"/>
    <w:rsid w:val="00B53905"/>
    <w:rsid w:val="00B54321"/>
    <w:rsid w:val="00B54B5B"/>
    <w:rsid w:val="00B5562E"/>
    <w:rsid w:val="00B56F93"/>
    <w:rsid w:val="00B57000"/>
    <w:rsid w:val="00B60939"/>
    <w:rsid w:val="00B60AFD"/>
    <w:rsid w:val="00B6103B"/>
    <w:rsid w:val="00B62715"/>
    <w:rsid w:val="00B63625"/>
    <w:rsid w:val="00B64087"/>
    <w:rsid w:val="00B65F1E"/>
    <w:rsid w:val="00B65FD0"/>
    <w:rsid w:val="00B737DD"/>
    <w:rsid w:val="00B77EE6"/>
    <w:rsid w:val="00B818A4"/>
    <w:rsid w:val="00B83AAA"/>
    <w:rsid w:val="00B83C93"/>
    <w:rsid w:val="00B85D72"/>
    <w:rsid w:val="00B8649C"/>
    <w:rsid w:val="00B86C7B"/>
    <w:rsid w:val="00B87CF3"/>
    <w:rsid w:val="00B92BBE"/>
    <w:rsid w:val="00B92D0B"/>
    <w:rsid w:val="00B93E1A"/>
    <w:rsid w:val="00B94945"/>
    <w:rsid w:val="00B94EC4"/>
    <w:rsid w:val="00B9597F"/>
    <w:rsid w:val="00B961B2"/>
    <w:rsid w:val="00B97962"/>
    <w:rsid w:val="00B97B18"/>
    <w:rsid w:val="00B97BCA"/>
    <w:rsid w:val="00BA0042"/>
    <w:rsid w:val="00BA6C8B"/>
    <w:rsid w:val="00BB2A99"/>
    <w:rsid w:val="00BB5CF1"/>
    <w:rsid w:val="00BB6BA0"/>
    <w:rsid w:val="00BB7405"/>
    <w:rsid w:val="00BC2188"/>
    <w:rsid w:val="00BC2D2C"/>
    <w:rsid w:val="00BC307E"/>
    <w:rsid w:val="00BD01AC"/>
    <w:rsid w:val="00BD2ABA"/>
    <w:rsid w:val="00BD319A"/>
    <w:rsid w:val="00BD6CF3"/>
    <w:rsid w:val="00BE0052"/>
    <w:rsid w:val="00BE2180"/>
    <w:rsid w:val="00BE4275"/>
    <w:rsid w:val="00BE7C86"/>
    <w:rsid w:val="00BF0560"/>
    <w:rsid w:val="00BF2433"/>
    <w:rsid w:val="00BF438D"/>
    <w:rsid w:val="00BF61C9"/>
    <w:rsid w:val="00C020CF"/>
    <w:rsid w:val="00C021F5"/>
    <w:rsid w:val="00C02C5A"/>
    <w:rsid w:val="00C04953"/>
    <w:rsid w:val="00C07BED"/>
    <w:rsid w:val="00C10D51"/>
    <w:rsid w:val="00C1134A"/>
    <w:rsid w:val="00C1378F"/>
    <w:rsid w:val="00C16496"/>
    <w:rsid w:val="00C20562"/>
    <w:rsid w:val="00C21381"/>
    <w:rsid w:val="00C247C1"/>
    <w:rsid w:val="00C25418"/>
    <w:rsid w:val="00C25D9C"/>
    <w:rsid w:val="00C31649"/>
    <w:rsid w:val="00C31B96"/>
    <w:rsid w:val="00C32B3E"/>
    <w:rsid w:val="00C345B2"/>
    <w:rsid w:val="00C40385"/>
    <w:rsid w:val="00C52022"/>
    <w:rsid w:val="00C52D36"/>
    <w:rsid w:val="00C552F2"/>
    <w:rsid w:val="00C60EFF"/>
    <w:rsid w:val="00C61F7F"/>
    <w:rsid w:val="00C65576"/>
    <w:rsid w:val="00C6601A"/>
    <w:rsid w:val="00C66165"/>
    <w:rsid w:val="00C67D4A"/>
    <w:rsid w:val="00C739F9"/>
    <w:rsid w:val="00C750C8"/>
    <w:rsid w:val="00C75DCA"/>
    <w:rsid w:val="00C771D8"/>
    <w:rsid w:val="00C77F5B"/>
    <w:rsid w:val="00C80ACF"/>
    <w:rsid w:val="00C8213F"/>
    <w:rsid w:val="00C82235"/>
    <w:rsid w:val="00C83B33"/>
    <w:rsid w:val="00C84036"/>
    <w:rsid w:val="00C8797A"/>
    <w:rsid w:val="00C90577"/>
    <w:rsid w:val="00C91A9B"/>
    <w:rsid w:val="00C91D0D"/>
    <w:rsid w:val="00C92710"/>
    <w:rsid w:val="00C92E1C"/>
    <w:rsid w:val="00C938CF"/>
    <w:rsid w:val="00C96A59"/>
    <w:rsid w:val="00C96E93"/>
    <w:rsid w:val="00CA37EE"/>
    <w:rsid w:val="00CA5245"/>
    <w:rsid w:val="00CA69B0"/>
    <w:rsid w:val="00CA6E88"/>
    <w:rsid w:val="00CA7B09"/>
    <w:rsid w:val="00CB1E02"/>
    <w:rsid w:val="00CB3B8F"/>
    <w:rsid w:val="00CB5B1A"/>
    <w:rsid w:val="00CB63D9"/>
    <w:rsid w:val="00CB66D8"/>
    <w:rsid w:val="00CB6E40"/>
    <w:rsid w:val="00CC035D"/>
    <w:rsid w:val="00CC0626"/>
    <w:rsid w:val="00CC1BEB"/>
    <w:rsid w:val="00CC27CE"/>
    <w:rsid w:val="00CC38DD"/>
    <w:rsid w:val="00CC42BB"/>
    <w:rsid w:val="00CC5B3D"/>
    <w:rsid w:val="00CC6A18"/>
    <w:rsid w:val="00CC70FE"/>
    <w:rsid w:val="00CD1433"/>
    <w:rsid w:val="00CD159F"/>
    <w:rsid w:val="00CD3029"/>
    <w:rsid w:val="00CD696A"/>
    <w:rsid w:val="00CD6ADC"/>
    <w:rsid w:val="00CD7234"/>
    <w:rsid w:val="00CE08DD"/>
    <w:rsid w:val="00CE1D11"/>
    <w:rsid w:val="00CE6274"/>
    <w:rsid w:val="00CE709F"/>
    <w:rsid w:val="00CF1BA3"/>
    <w:rsid w:val="00CF275D"/>
    <w:rsid w:val="00CF456B"/>
    <w:rsid w:val="00CF556C"/>
    <w:rsid w:val="00CF5A22"/>
    <w:rsid w:val="00CF691E"/>
    <w:rsid w:val="00D004C2"/>
    <w:rsid w:val="00D01897"/>
    <w:rsid w:val="00D0262E"/>
    <w:rsid w:val="00D03367"/>
    <w:rsid w:val="00D045D2"/>
    <w:rsid w:val="00D05F7E"/>
    <w:rsid w:val="00D06495"/>
    <w:rsid w:val="00D110BD"/>
    <w:rsid w:val="00D11A4A"/>
    <w:rsid w:val="00D127A9"/>
    <w:rsid w:val="00D12D0C"/>
    <w:rsid w:val="00D1679C"/>
    <w:rsid w:val="00D17D6C"/>
    <w:rsid w:val="00D20ADF"/>
    <w:rsid w:val="00D2229A"/>
    <w:rsid w:val="00D23279"/>
    <w:rsid w:val="00D244BC"/>
    <w:rsid w:val="00D247C9"/>
    <w:rsid w:val="00D26DC0"/>
    <w:rsid w:val="00D27573"/>
    <w:rsid w:val="00D27C7C"/>
    <w:rsid w:val="00D31C4A"/>
    <w:rsid w:val="00D32F93"/>
    <w:rsid w:val="00D357FF"/>
    <w:rsid w:val="00D35B33"/>
    <w:rsid w:val="00D37E12"/>
    <w:rsid w:val="00D411C9"/>
    <w:rsid w:val="00D45D5B"/>
    <w:rsid w:val="00D514C7"/>
    <w:rsid w:val="00D60E48"/>
    <w:rsid w:val="00D71983"/>
    <w:rsid w:val="00D7423E"/>
    <w:rsid w:val="00D742DE"/>
    <w:rsid w:val="00D76A44"/>
    <w:rsid w:val="00D76CFB"/>
    <w:rsid w:val="00D80CBE"/>
    <w:rsid w:val="00D80EC9"/>
    <w:rsid w:val="00D814DF"/>
    <w:rsid w:val="00D8224C"/>
    <w:rsid w:val="00D835AF"/>
    <w:rsid w:val="00D8595B"/>
    <w:rsid w:val="00D87340"/>
    <w:rsid w:val="00D87C36"/>
    <w:rsid w:val="00D9030F"/>
    <w:rsid w:val="00D91E01"/>
    <w:rsid w:val="00D93753"/>
    <w:rsid w:val="00D95A04"/>
    <w:rsid w:val="00DA15BA"/>
    <w:rsid w:val="00DA16C8"/>
    <w:rsid w:val="00DA1D2C"/>
    <w:rsid w:val="00DA1E1A"/>
    <w:rsid w:val="00DA1E55"/>
    <w:rsid w:val="00DA221E"/>
    <w:rsid w:val="00DA22A0"/>
    <w:rsid w:val="00DA611E"/>
    <w:rsid w:val="00DA77A5"/>
    <w:rsid w:val="00DA7A06"/>
    <w:rsid w:val="00DB1647"/>
    <w:rsid w:val="00DB23AD"/>
    <w:rsid w:val="00DB2B3D"/>
    <w:rsid w:val="00DB5EC7"/>
    <w:rsid w:val="00DB64A0"/>
    <w:rsid w:val="00DC1E43"/>
    <w:rsid w:val="00DC5501"/>
    <w:rsid w:val="00DC5A47"/>
    <w:rsid w:val="00DD10B4"/>
    <w:rsid w:val="00DD1C77"/>
    <w:rsid w:val="00DD3F28"/>
    <w:rsid w:val="00DD4537"/>
    <w:rsid w:val="00DD4E15"/>
    <w:rsid w:val="00DE3609"/>
    <w:rsid w:val="00DE4604"/>
    <w:rsid w:val="00DE4FCB"/>
    <w:rsid w:val="00DF0BF6"/>
    <w:rsid w:val="00DF162F"/>
    <w:rsid w:val="00DF25B5"/>
    <w:rsid w:val="00DF454E"/>
    <w:rsid w:val="00DF5D2B"/>
    <w:rsid w:val="00DF7462"/>
    <w:rsid w:val="00DF7845"/>
    <w:rsid w:val="00E0219A"/>
    <w:rsid w:val="00E031EA"/>
    <w:rsid w:val="00E047D1"/>
    <w:rsid w:val="00E05296"/>
    <w:rsid w:val="00E05301"/>
    <w:rsid w:val="00E068AD"/>
    <w:rsid w:val="00E06B08"/>
    <w:rsid w:val="00E10149"/>
    <w:rsid w:val="00E13FEF"/>
    <w:rsid w:val="00E15512"/>
    <w:rsid w:val="00E15EA1"/>
    <w:rsid w:val="00E16372"/>
    <w:rsid w:val="00E16B97"/>
    <w:rsid w:val="00E20ED6"/>
    <w:rsid w:val="00E21358"/>
    <w:rsid w:val="00E2249B"/>
    <w:rsid w:val="00E22A0D"/>
    <w:rsid w:val="00E22DA6"/>
    <w:rsid w:val="00E24128"/>
    <w:rsid w:val="00E25DA3"/>
    <w:rsid w:val="00E2771E"/>
    <w:rsid w:val="00E3138E"/>
    <w:rsid w:val="00E337F3"/>
    <w:rsid w:val="00E3507D"/>
    <w:rsid w:val="00E37569"/>
    <w:rsid w:val="00E40D4E"/>
    <w:rsid w:val="00E41BFD"/>
    <w:rsid w:val="00E41E30"/>
    <w:rsid w:val="00E42D68"/>
    <w:rsid w:val="00E43D70"/>
    <w:rsid w:val="00E444B0"/>
    <w:rsid w:val="00E47B2C"/>
    <w:rsid w:val="00E50AF0"/>
    <w:rsid w:val="00E51560"/>
    <w:rsid w:val="00E516DC"/>
    <w:rsid w:val="00E550F8"/>
    <w:rsid w:val="00E55424"/>
    <w:rsid w:val="00E55BB5"/>
    <w:rsid w:val="00E564E0"/>
    <w:rsid w:val="00E56CA1"/>
    <w:rsid w:val="00E647B1"/>
    <w:rsid w:val="00E6506F"/>
    <w:rsid w:val="00E65E79"/>
    <w:rsid w:val="00E67416"/>
    <w:rsid w:val="00E67DB6"/>
    <w:rsid w:val="00E718B6"/>
    <w:rsid w:val="00E73581"/>
    <w:rsid w:val="00E73920"/>
    <w:rsid w:val="00E73BC0"/>
    <w:rsid w:val="00E74526"/>
    <w:rsid w:val="00E8255D"/>
    <w:rsid w:val="00E839E1"/>
    <w:rsid w:val="00E83BDF"/>
    <w:rsid w:val="00E90B20"/>
    <w:rsid w:val="00E90BED"/>
    <w:rsid w:val="00E918B7"/>
    <w:rsid w:val="00E920FE"/>
    <w:rsid w:val="00E96C19"/>
    <w:rsid w:val="00EA1731"/>
    <w:rsid w:val="00EA3864"/>
    <w:rsid w:val="00EA50AC"/>
    <w:rsid w:val="00EA5EFC"/>
    <w:rsid w:val="00EA729C"/>
    <w:rsid w:val="00EB15B6"/>
    <w:rsid w:val="00EB37F3"/>
    <w:rsid w:val="00EB4916"/>
    <w:rsid w:val="00EB545D"/>
    <w:rsid w:val="00EB5CA6"/>
    <w:rsid w:val="00EB5F15"/>
    <w:rsid w:val="00EB777D"/>
    <w:rsid w:val="00EC00C9"/>
    <w:rsid w:val="00EC523B"/>
    <w:rsid w:val="00EC7466"/>
    <w:rsid w:val="00ED271E"/>
    <w:rsid w:val="00ED294C"/>
    <w:rsid w:val="00ED5406"/>
    <w:rsid w:val="00EE07D3"/>
    <w:rsid w:val="00EE0E80"/>
    <w:rsid w:val="00EE1C23"/>
    <w:rsid w:val="00EF1F17"/>
    <w:rsid w:val="00EF3CC3"/>
    <w:rsid w:val="00EF4A41"/>
    <w:rsid w:val="00EF577F"/>
    <w:rsid w:val="00EF583A"/>
    <w:rsid w:val="00EF7E58"/>
    <w:rsid w:val="00F006B0"/>
    <w:rsid w:val="00F0106E"/>
    <w:rsid w:val="00F0422D"/>
    <w:rsid w:val="00F067A2"/>
    <w:rsid w:val="00F124E3"/>
    <w:rsid w:val="00F1267D"/>
    <w:rsid w:val="00F14C44"/>
    <w:rsid w:val="00F16E86"/>
    <w:rsid w:val="00F171E4"/>
    <w:rsid w:val="00F174AD"/>
    <w:rsid w:val="00F23BCE"/>
    <w:rsid w:val="00F24837"/>
    <w:rsid w:val="00F24844"/>
    <w:rsid w:val="00F24B4C"/>
    <w:rsid w:val="00F2575F"/>
    <w:rsid w:val="00F25825"/>
    <w:rsid w:val="00F259D1"/>
    <w:rsid w:val="00F26331"/>
    <w:rsid w:val="00F272E6"/>
    <w:rsid w:val="00F30D13"/>
    <w:rsid w:val="00F31BEB"/>
    <w:rsid w:val="00F31F51"/>
    <w:rsid w:val="00F33DE9"/>
    <w:rsid w:val="00F36029"/>
    <w:rsid w:val="00F3619A"/>
    <w:rsid w:val="00F363F2"/>
    <w:rsid w:val="00F40C68"/>
    <w:rsid w:val="00F41F64"/>
    <w:rsid w:val="00F44A2F"/>
    <w:rsid w:val="00F457B9"/>
    <w:rsid w:val="00F4581D"/>
    <w:rsid w:val="00F46CB6"/>
    <w:rsid w:val="00F526D2"/>
    <w:rsid w:val="00F53919"/>
    <w:rsid w:val="00F53983"/>
    <w:rsid w:val="00F55E73"/>
    <w:rsid w:val="00F60092"/>
    <w:rsid w:val="00F61ECB"/>
    <w:rsid w:val="00F64BE2"/>
    <w:rsid w:val="00F65503"/>
    <w:rsid w:val="00F65ABE"/>
    <w:rsid w:val="00F71F92"/>
    <w:rsid w:val="00F721EF"/>
    <w:rsid w:val="00F73680"/>
    <w:rsid w:val="00F7607B"/>
    <w:rsid w:val="00F77BB1"/>
    <w:rsid w:val="00F80E5D"/>
    <w:rsid w:val="00F819D7"/>
    <w:rsid w:val="00F851CE"/>
    <w:rsid w:val="00F8706B"/>
    <w:rsid w:val="00F87981"/>
    <w:rsid w:val="00F87C9B"/>
    <w:rsid w:val="00F910C7"/>
    <w:rsid w:val="00F91D99"/>
    <w:rsid w:val="00F96131"/>
    <w:rsid w:val="00F96D74"/>
    <w:rsid w:val="00F96FC3"/>
    <w:rsid w:val="00F97A78"/>
    <w:rsid w:val="00FA24E7"/>
    <w:rsid w:val="00FA2924"/>
    <w:rsid w:val="00FA3B55"/>
    <w:rsid w:val="00FA57BA"/>
    <w:rsid w:val="00FA5A76"/>
    <w:rsid w:val="00FB2FCB"/>
    <w:rsid w:val="00FB64D6"/>
    <w:rsid w:val="00FB7E9B"/>
    <w:rsid w:val="00FC1074"/>
    <w:rsid w:val="00FC1884"/>
    <w:rsid w:val="00FC1C91"/>
    <w:rsid w:val="00FC599B"/>
    <w:rsid w:val="00FC7713"/>
    <w:rsid w:val="00FD15F9"/>
    <w:rsid w:val="00FD2100"/>
    <w:rsid w:val="00FD446D"/>
    <w:rsid w:val="00FD7F46"/>
    <w:rsid w:val="00FE0986"/>
    <w:rsid w:val="00FE0B76"/>
    <w:rsid w:val="00FE1C03"/>
    <w:rsid w:val="00FE2AA7"/>
    <w:rsid w:val="00FE3B66"/>
    <w:rsid w:val="00FE41E3"/>
    <w:rsid w:val="00FE5715"/>
    <w:rsid w:val="00FE5BAB"/>
    <w:rsid w:val="00FE7556"/>
    <w:rsid w:val="00FF2C59"/>
    <w:rsid w:val="00FF3DCF"/>
    <w:rsid w:val="00FF5AA3"/>
    <w:rsid w:val="00FF792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76777C"/>
    <w:pPr>
      <w:spacing w:before="240" w:after="60"/>
      <w:jc w:val="left"/>
      <w:outlineLvl w:val="0"/>
    </w:pPr>
    <w:rPr>
      <w:b/>
      <w:bCs/>
      <w:kern w:val="28"/>
      <w:sz w:val="28"/>
      <w:szCs w:val="32"/>
    </w:rPr>
  </w:style>
  <w:style w:type="character" w:customStyle="1" w:styleId="TitleChar">
    <w:name w:val="Title Char"/>
    <w:basedOn w:val="DefaultParagraphFont"/>
    <w:link w:val="Title"/>
    <w:rsid w:val="0076777C"/>
    <w:rPr>
      <w:rFonts w:ascii="Arial" w:hAnsi="Arial" w:cs="Arial"/>
      <w:b/>
      <w:bCs/>
      <w:snapToGrid w:val="0"/>
      <w:kern w:val="28"/>
      <w:sz w:val="28"/>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paragraph" w:customStyle="1" w:styleId="COMBody">
    <w:name w:val="COMBody"/>
    <w:basedOn w:val="Normal"/>
    <w:link w:val="COMBodyChar"/>
    <w:qFormat/>
    <w:rsid w:val="00017517"/>
  </w:style>
  <w:style w:type="character" w:customStyle="1" w:styleId="COMBodyChar">
    <w:name w:val="COMBody Char"/>
    <w:basedOn w:val="DefaultParagraphFont"/>
    <w:link w:val="COMBody"/>
    <w:rsid w:val="00017517"/>
    <w:rPr>
      <w:rFonts w:ascii="Arial" w:hAnsi="Arial" w:cs="Arial"/>
      <w:snapToGrid w:val="0"/>
      <w:sz w:val="22"/>
      <w:lang w:eastAsia="en-US"/>
    </w:rPr>
  </w:style>
  <w:style w:type="paragraph" w:customStyle="1" w:styleId="COMtbl-HEADLeftAligned">
    <w:name w:val="COMtbl-HEAD Left Aligned"/>
    <w:basedOn w:val="Normal"/>
    <w:qFormat/>
    <w:rsid w:val="00CB1E02"/>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CB1E02"/>
    <w:pPr>
      <w:jc w:val="center"/>
    </w:pPr>
  </w:style>
  <w:style w:type="paragraph" w:customStyle="1" w:styleId="COMTbl-foot">
    <w:name w:val="COMTbl-foot"/>
    <w:basedOn w:val="TableFooter"/>
    <w:link w:val="COMTbl-footChar"/>
    <w:qFormat/>
    <w:rsid w:val="00CB1E02"/>
    <w:rPr>
      <w:rFonts w:ascii="Arial" w:hAnsi="Arial"/>
    </w:rPr>
  </w:style>
  <w:style w:type="character" w:customStyle="1" w:styleId="COMTbl-footChar">
    <w:name w:val="COMTbl-foot Char"/>
    <w:basedOn w:val="DefaultParagraphFont"/>
    <w:link w:val="COMTbl-foot"/>
    <w:rsid w:val="00CB1E02"/>
    <w:rPr>
      <w:rFonts w:ascii="Arial" w:hAnsi="Arial" w:cs="Arial"/>
      <w:snapToGrid w:val="0"/>
      <w:sz w:val="18"/>
      <w:lang w:eastAsia="en-US"/>
    </w:rPr>
  </w:style>
  <w:style w:type="paragraph" w:customStyle="1" w:styleId="COMtbl-textLeftAligned">
    <w:name w:val="COMtbl-text Left Aligned"/>
    <w:basedOn w:val="COMtbl-HEADLeftAligned"/>
    <w:qFormat/>
    <w:rsid w:val="00CB1E02"/>
    <w:rPr>
      <w:b w:val="0"/>
    </w:rPr>
  </w:style>
  <w:style w:type="paragraph" w:customStyle="1" w:styleId="COMTbl-reqlisting">
    <w:name w:val="COMTbl-reqlisting"/>
    <w:basedOn w:val="Normal"/>
    <w:link w:val="COMTbl-reqlistingChar"/>
    <w:qFormat/>
    <w:rsid w:val="0062715A"/>
    <w:pPr>
      <w:keepNext/>
    </w:pPr>
    <w:rPr>
      <w:b/>
      <w:szCs w:val="22"/>
    </w:rPr>
  </w:style>
  <w:style w:type="character" w:customStyle="1" w:styleId="COMTbl-reqlistingChar">
    <w:name w:val="COMTbl-reqlisting Char"/>
    <w:basedOn w:val="DefaultParagraphFont"/>
    <w:link w:val="COMTbl-reqlisting"/>
    <w:rsid w:val="0062715A"/>
    <w:rPr>
      <w:rFonts w:ascii="Arial" w:hAnsi="Arial" w:cs="Arial"/>
      <w:b/>
      <w:snapToGrid w:val="0"/>
      <w:sz w:val="22"/>
      <w:szCs w:val="22"/>
      <w:lang w:eastAsia="en-US"/>
    </w:rPr>
  </w:style>
  <w:style w:type="paragraph" w:styleId="FootnoteText">
    <w:name w:val="footnote text"/>
    <w:basedOn w:val="Normal"/>
    <w:link w:val="FootnoteTextChar"/>
    <w:semiHidden/>
    <w:unhideWhenUsed/>
    <w:rsid w:val="00AE3CF2"/>
    <w:rPr>
      <w:sz w:val="20"/>
    </w:rPr>
  </w:style>
  <w:style w:type="character" w:customStyle="1" w:styleId="FootnoteTextChar">
    <w:name w:val="Footnote Text Char"/>
    <w:basedOn w:val="DefaultParagraphFont"/>
    <w:link w:val="FootnoteText"/>
    <w:semiHidden/>
    <w:rsid w:val="00AE3CF2"/>
    <w:rPr>
      <w:rFonts w:ascii="Arial" w:hAnsi="Arial" w:cs="Arial"/>
      <w:snapToGrid w:val="0"/>
      <w:lang w:eastAsia="en-US"/>
    </w:rPr>
  </w:style>
  <w:style w:type="character" w:styleId="FootnoteReference">
    <w:name w:val="footnote reference"/>
    <w:basedOn w:val="DefaultParagraphFont"/>
    <w:semiHidden/>
    <w:unhideWhenUsed/>
    <w:rsid w:val="00AE3CF2"/>
    <w:rPr>
      <w:vertAlign w:val="superscript"/>
    </w:rPr>
  </w:style>
  <w:style w:type="paragraph" w:customStyle="1" w:styleId="COMtbl-textCentred">
    <w:name w:val="COMtbl-text Centred"/>
    <w:basedOn w:val="COMtbl-HEADCentred"/>
    <w:qFormat/>
    <w:rsid w:val="00AF7E9F"/>
    <w:rPr>
      <w:b w:val="0"/>
    </w:rPr>
  </w:style>
  <w:style w:type="paragraph" w:customStyle="1" w:styleId="PBACheading10">
    <w:name w:val="PBAC heading 1"/>
    <w:qFormat/>
    <w:rsid w:val="006146A6"/>
    <w:pPr>
      <w:ind w:left="720" w:hanging="720"/>
    </w:pPr>
    <w:rPr>
      <w:rFonts w:ascii="Arial" w:hAnsi="Arial" w:cs="Arial"/>
      <w:snapToGrid w:val="0"/>
      <w:sz w:val="22"/>
      <w:szCs w:val="22"/>
      <w:lang w:eastAsia="en-US"/>
    </w:rPr>
  </w:style>
  <w:style w:type="character" w:customStyle="1" w:styleId="ListParagraphChar">
    <w:name w:val="List Paragraph Char"/>
    <w:link w:val="ListParagraph"/>
    <w:uiPriority w:val="72"/>
    <w:rsid w:val="00A93206"/>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76777C"/>
    <w:pPr>
      <w:spacing w:before="240" w:after="60"/>
      <w:jc w:val="left"/>
      <w:outlineLvl w:val="0"/>
    </w:pPr>
    <w:rPr>
      <w:b/>
      <w:bCs/>
      <w:kern w:val="28"/>
      <w:sz w:val="28"/>
      <w:szCs w:val="32"/>
    </w:rPr>
  </w:style>
  <w:style w:type="character" w:customStyle="1" w:styleId="TitleChar">
    <w:name w:val="Title Char"/>
    <w:basedOn w:val="DefaultParagraphFont"/>
    <w:link w:val="Title"/>
    <w:rsid w:val="0076777C"/>
    <w:rPr>
      <w:rFonts w:ascii="Arial" w:hAnsi="Arial" w:cs="Arial"/>
      <w:b/>
      <w:bCs/>
      <w:snapToGrid w:val="0"/>
      <w:kern w:val="28"/>
      <w:sz w:val="28"/>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paragraph" w:customStyle="1" w:styleId="COMBody">
    <w:name w:val="COMBody"/>
    <w:basedOn w:val="Normal"/>
    <w:link w:val="COMBodyChar"/>
    <w:qFormat/>
    <w:rsid w:val="00017517"/>
  </w:style>
  <w:style w:type="character" w:customStyle="1" w:styleId="COMBodyChar">
    <w:name w:val="COMBody Char"/>
    <w:basedOn w:val="DefaultParagraphFont"/>
    <w:link w:val="COMBody"/>
    <w:rsid w:val="00017517"/>
    <w:rPr>
      <w:rFonts w:ascii="Arial" w:hAnsi="Arial" w:cs="Arial"/>
      <w:snapToGrid w:val="0"/>
      <w:sz w:val="22"/>
      <w:lang w:eastAsia="en-US"/>
    </w:rPr>
  </w:style>
  <w:style w:type="paragraph" w:customStyle="1" w:styleId="COMtbl-HEADLeftAligned">
    <w:name w:val="COMtbl-HEAD Left Aligned"/>
    <w:basedOn w:val="Normal"/>
    <w:qFormat/>
    <w:rsid w:val="00CB1E02"/>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CB1E02"/>
    <w:pPr>
      <w:jc w:val="center"/>
    </w:pPr>
  </w:style>
  <w:style w:type="paragraph" w:customStyle="1" w:styleId="COMTbl-foot">
    <w:name w:val="COMTbl-foot"/>
    <w:basedOn w:val="TableFooter"/>
    <w:link w:val="COMTbl-footChar"/>
    <w:qFormat/>
    <w:rsid w:val="00CB1E02"/>
    <w:rPr>
      <w:rFonts w:ascii="Arial" w:hAnsi="Arial"/>
    </w:rPr>
  </w:style>
  <w:style w:type="character" w:customStyle="1" w:styleId="COMTbl-footChar">
    <w:name w:val="COMTbl-foot Char"/>
    <w:basedOn w:val="DefaultParagraphFont"/>
    <w:link w:val="COMTbl-foot"/>
    <w:rsid w:val="00CB1E02"/>
    <w:rPr>
      <w:rFonts w:ascii="Arial" w:hAnsi="Arial" w:cs="Arial"/>
      <w:snapToGrid w:val="0"/>
      <w:sz w:val="18"/>
      <w:lang w:eastAsia="en-US"/>
    </w:rPr>
  </w:style>
  <w:style w:type="paragraph" w:customStyle="1" w:styleId="COMtbl-textLeftAligned">
    <w:name w:val="COMtbl-text Left Aligned"/>
    <w:basedOn w:val="COMtbl-HEADLeftAligned"/>
    <w:qFormat/>
    <w:rsid w:val="00CB1E02"/>
    <w:rPr>
      <w:b w:val="0"/>
    </w:rPr>
  </w:style>
  <w:style w:type="paragraph" w:customStyle="1" w:styleId="COMTbl-reqlisting">
    <w:name w:val="COMTbl-reqlisting"/>
    <w:basedOn w:val="Normal"/>
    <w:link w:val="COMTbl-reqlistingChar"/>
    <w:qFormat/>
    <w:rsid w:val="0062715A"/>
    <w:pPr>
      <w:keepNext/>
    </w:pPr>
    <w:rPr>
      <w:b/>
      <w:szCs w:val="22"/>
    </w:rPr>
  </w:style>
  <w:style w:type="character" w:customStyle="1" w:styleId="COMTbl-reqlistingChar">
    <w:name w:val="COMTbl-reqlisting Char"/>
    <w:basedOn w:val="DefaultParagraphFont"/>
    <w:link w:val="COMTbl-reqlisting"/>
    <w:rsid w:val="0062715A"/>
    <w:rPr>
      <w:rFonts w:ascii="Arial" w:hAnsi="Arial" w:cs="Arial"/>
      <w:b/>
      <w:snapToGrid w:val="0"/>
      <w:sz w:val="22"/>
      <w:szCs w:val="22"/>
      <w:lang w:eastAsia="en-US"/>
    </w:rPr>
  </w:style>
  <w:style w:type="paragraph" w:styleId="FootnoteText">
    <w:name w:val="footnote text"/>
    <w:basedOn w:val="Normal"/>
    <w:link w:val="FootnoteTextChar"/>
    <w:semiHidden/>
    <w:unhideWhenUsed/>
    <w:rsid w:val="00AE3CF2"/>
    <w:rPr>
      <w:sz w:val="20"/>
    </w:rPr>
  </w:style>
  <w:style w:type="character" w:customStyle="1" w:styleId="FootnoteTextChar">
    <w:name w:val="Footnote Text Char"/>
    <w:basedOn w:val="DefaultParagraphFont"/>
    <w:link w:val="FootnoteText"/>
    <w:semiHidden/>
    <w:rsid w:val="00AE3CF2"/>
    <w:rPr>
      <w:rFonts w:ascii="Arial" w:hAnsi="Arial" w:cs="Arial"/>
      <w:snapToGrid w:val="0"/>
      <w:lang w:eastAsia="en-US"/>
    </w:rPr>
  </w:style>
  <w:style w:type="character" w:styleId="FootnoteReference">
    <w:name w:val="footnote reference"/>
    <w:basedOn w:val="DefaultParagraphFont"/>
    <w:semiHidden/>
    <w:unhideWhenUsed/>
    <w:rsid w:val="00AE3CF2"/>
    <w:rPr>
      <w:vertAlign w:val="superscript"/>
    </w:rPr>
  </w:style>
  <w:style w:type="paragraph" w:customStyle="1" w:styleId="COMtbl-textCentred">
    <w:name w:val="COMtbl-text Centred"/>
    <w:basedOn w:val="COMtbl-HEADCentred"/>
    <w:qFormat/>
    <w:rsid w:val="00AF7E9F"/>
    <w:rPr>
      <w:b w:val="0"/>
    </w:rPr>
  </w:style>
  <w:style w:type="paragraph" w:customStyle="1" w:styleId="PBACheading10">
    <w:name w:val="PBAC heading 1"/>
    <w:qFormat/>
    <w:rsid w:val="006146A6"/>
    <w:pPr>
      <w:ind w:left="720" w:hanging="720"/>
    </w:pPr>
    <w:rPr>
      <w:rFonts w:ascii="Arial" w:hAnsi="Arial" w:cs="Arial"/>
      <w:snapToGrid w:val="0"/>
      <w:sz w:val="22"/>
      <w:szCs w:val="22"/>
      <w:lang w:eastAsia="en-US"/>
    </w:rPr>
  </w:style>
  <w:style w:type="character" w:customStyle="1" w:styleId="ListParagraphChar">
    <w:name w:val="List Paragraph Char"/>
    <w:link w:val="ListParagraph"/>
    <w:uiPriority w:val="72"/>
    <w:rsid w:val="00A93206"/>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05729">
      <w:bodyDiv w:val="1"/>
      <w:marLeft w:val="0"/>
      <w:marRight w:val="0"/>
      <w:marTop w:val="0"/>
      <w:marBottom w:val="0"/>
      <w:divBdr>
        <w:top w:val="none" w:sz="0" w:space="0" w:color="auto"/>
        <w:left w:val="none" w:sz="0" w:space="0" w:color="auto"/>
        <w:bottom w:val="none" w:sz="0" w:space="0" w:color="auto"/>
        <w:right w:val="none" w:sz="0" w:space="0" w:color="auto"/>
      </w:divBdr>
    </w:div>
    <w:div w:id="1450202530">
      <w:bodyDiv w:val="1"/>
      <w:marLeft w:val="0"/>
      <w:marRight w:val="0"/>
      <w:marTop w:val="0"/>
      <w:marBottom w:val="0"/>
      <w:divBdr>
        <w:top w:val="none" w:sz="0" w:space="0" w:color="auto"/>
        <w:left w:val="none" w:sz="0" w:space="0" w:color="auto"/>
        <w:bottom w:val="none" w:sz="0" w:space="0" w:color="auto"/>
        <w:right w:val="none" w:sz="0" w:space="0" w:color="auto"/>
      </w:divBdr>
    </w:div>
    <w:div w:id="1603875461">
      <w:bodyDiv w:val="1"/>
      <w:marLeft w:val="0"/>
      <w:marRight w:val="0"/>
      <w:marTop w:val="0"/>
      <w:marBottom w:val="0"/>
      <w:divBdr>
        <w:top w:val="none" w:sz="0" w:space="0" w:color="auto"/>
        <w:left w:val="none" w:sz="0" w:space="0" w:color="auto"/>
        <w:bottom w:val="none" w:sz="0" w:space="0" w:color="auto"/>
        <w:right w:val="none" w:sz="0" w:space="0" w:color="auto"/>
      </w:divBdr>
      <w:divsChild>
        <w:div w:id="509174130">
          <w:marLeft w:val="547"/>
          <w:marRight w:val="0"/>
          <w:marTop w:val="154"/>
          <w:marBottom w:val="0"/>
          <w:divBdr>
            <w:top w:val="none" w:sz="0" w:space="0" w:color="auto"/>
            <w:left w:val="none" w:sz="0" w:space="0" w:color="auto"/>
            <w:bottom w:val="none" w:sz="0" w:space="0" w:color="auto"/>
            <w:right w:val="none" w:sz="0" w:space="0" w:color="auto"/>
          </w:divBdr>
        </w:div>
        <w:div w:id="13461453">
          <w:marLeft w:val="547"/>
          <w:marRight w:val="0"/>
          <w:marTop w:val="154"/>
          <w:marBottom w:val="0"/>
          <w:divBdr>
            <w:top w:val="none" w:sz="0" w:space="0" w:color="auto"/>
            <w:left w:val="none" w:sz="0" w:space="0" w:color="auto"/>
            <w:bottom w:val="none" w:sz="0" w:space="0" w:color="auto"/>
            <w:right w:val="none" w:sz="0" w:space="0" w:color="auto"/>
          </w:divBdr>
        </w:div>
        <w:div w:id="1958440342">
          <w:marLeft w:val="1166"/>
          <w:marRight w:val="0"/>
          <w:marTop w:val="134"/>
          <w:marBottom w:val="0"/>
          <w:divBdr>
            <w:top w:val="none" w:sz="0" w:space="0" w:color="auto"/>
            <w:left w:val="none" w:sz="0" w:space="0" w:color="auto"/>
            <w:bottom w:val="none" w:sz="0" w:space="0" w:color="auto"/>
            <w:right w:val="none" w:sz="0" w:space="0" w:color="auto"/>
          </w:divBdr>
        </w:div>
        <w:div w:id="174780223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A6013-4616-493E-8FFC-A727D6FFC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3501</Words>
  <Characters>20004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5.08 DTPa-hepB-IVP Hib vaccine</vt:lpstr>
    </vt:vector>
  </TitlesOfParts>
  <LinksUpToDate>false</LinksUpToDate>
  <CharactersWithSpaces>23459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5.08 DTPa-hepB-IVP Hib vaccine</dc:title>
  <dc:creator/>
  <cp:lastModifiedBy/>
  <cp:revision>1</cp:revision>
  <dcterms:created xsi:type="dcterms:W3CDTF">2015-06-29T05:00:00Z</dcterms:created>
  <dcterms:modified xsi:type="dcterms:W3CDTF">2015-06-29T05:01:00Z</dcterms:modified>
</cp:coreProperties>
</file>