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CD3" w:rsidRPr="00E91BF7" w:rsidRDefault="00D24544" w:rsidP="00E91BF7">
      <w:pPr>
        <w:pStyle w:val="Title"/>
      </w:pPr>
      <w:bookmarkStart w:id="0" w:name="_Toc409610855"/>
      <w:r w:rsidRPr="00E91BF7">
        <w:t>5.06</w:t>
      </w:r>
      <w:r w:rsidRPr="00E91BF7">
        <w:tab/>
        <w:t xml:space="preserve">DACLATASVIR </w:t>
      </w:r>
    </w:p>
    <w:p w:rsidR="000B0CD3" w:rsidRDefault="00D24544" w:rsidP="000B0CD3">
      <w:pPr>
        <w:pStyle w:val="Heading1"/>
        <w:ind w:hanging="11"/>
        <w:rPr>
          <w:sz w:val="28"/>
        </w:rPr>
      </w:pPr>
      <w:r>
        <w:rPr>
          <w:caps w:val="0"/>
          <w:sz w:val="28"/>
        </w:rPr>
        <w:t>60mg or 30mg</w:t>
      </w:r>
      <w:r w:rsidRPr="00207D00">
        <w:rPr>
          <w:sz w:val="28"/>
        </w:rPr>
        <w:t xml:space="preserve">, </w:t>
      </w:r>
      <w:r>
        <w:rPr>
          <w:caps w:val="0"/>
          <w:sz w:val="28"/>
        </w:rPr>
        <w:t>tablets</w:t>
      </w:r>
      <w:r w:rsidR="000B0CD3">
        <w:rPr>
          <w:sz w:val="28"/>
        </w:rPr>
        <w:t>;</w:t>
      </w:r>
      <w:r>
        <w:rPr>
          <w:sz w:val="28"/>
        </w:rPr>
        <w:t xml:space="preserve"> </w:t>
      </w:r>
    </w:p>
    <w:p w:rsidR="00C65F98" w:rsidRPr="000B0CD3" w:rsidRDefault="00D24544" w:rsidP="000B0CD3">
      <w:pPr>
        <w:pStyle w:val="Heading1"/>
        <w:ind w:hanging="11"/>
        <w:rPr>
          <w:sz w:val="28"/>
        </w:rPr>
      </w:pPr>
      <w:proofErr w:type="spellStart"/>
      <w:r w:rsidRPr="00791AB1">
        <w:rPr>
          <w:caps w:val="0"/>
          <w:sz w:val="28"/>
        </w:rPr>
        <w:t>Daklinza</w:t>
      </w:r>
      <w:proofErr w:type="spellEnd"/>
      <w:r w:rsidRPr="00207D00">
        <w:rPr>
          <w:sz w:val="28"/>
          <w:vertAlign w:val="superscript"/>
        </w:rPr>
        <w:t>®</w:t>
      </w:r>
      <w:r w:rsidR="000B0CD3">
        <w:rPr>
          <w:sz w:val="28"/>
        </w:rPr>
        <w:t>;</w:t>
      </w:r>
      <w:r w:rsidRPr="00207D00">
        <w:rPr>
          <w:sz w:val="28"/>
        </w:rPr>
        <w:t xml:space="preserve"> </w:t>
      </w:r>
      <w:r w:rsidRPr="00791AB1">
        <w:rPr>
          <w:caps w:val="0"/>
          <w:sz w:val="28"/>
        </w:rPr>
        <w:t>Bristol-Myers Squibb</w:t>
      </w:r>
      <w:bookmarkEnd w:id="0"/>
    </w:p>
    <w:p w:rsidR="00B60939" w:rsidRDefault="00B60939" w:rsidP="00207D00"/>
    <w:p w:rsidR="00F253E9" w:rsidRDefault="00F253E9" w:rsidP="00207D00"/>
    <w:p w:rsidR="00B50DB8" w:rsidRPr="00407F2D" w:rsidRDefault="00B50DB8" w:rsidP="00BD6CF3">
      <w:pPr>
        <w:pStyle w:val="PBACHeading1"/>
      </w:pPr>
      <w:bookmarkStart w:id="1" w:name="_Toc409610859"/>
      <w:r w:rsidRPr="00407F2D">
        <w:t>Purpose of Application</w:t>
      </w:r>
      <w:bookmarkEnd w:id="1"/>
    </w:p>
    <w:p w:rsidR="00B60939" w:rsidRPr="00882085" w:rsidRDefault="00B60939" w:rsidP="00B60939">
      <w:pPr>
        <w:rPr>
          <w:szCs w:val="22"/>
        </w:rPr>
      </w:pPr>
    </w:p>
    <w:p w:rsidR="00B60939" w:rsidRDefault="003055BA" w:rsidP="004B1CB4">
      <w:pPr>
        <w:pStyle w:val="ListParagraph"/>
        <w:widowControl/>
        <w:numPr>
          <w:ilvl w:val="1"/>
          <w:numId w:val="1"/>
        </w:numPr>
      </w:pPr>
      <w:r w:rsidRPr="00464929">
        <w:t>The submission requested</w:t>
      </w:r>
      <w:r w:rsidR="00D3218A" w:rsidRPr="00464929">
        <w:t xml:space="preserve"> a </w:t>
      </w:r>
      <w:r w:rsidR="001E238E" w:rsidRPr="00464929">
        <w:t xml:space="preserve">Section </w:t>
      </w:r>
      <w:r w:rsidR="00D3218A" w:rsidRPr="00464929">
        <w:t xml:space="preserve">85 </w:t>
      </w:r>
      <w:r w:rsidR="001E238E" w:rsidRPr="00464929">
        <w:t>Authority Required</w:t>
      </w:r>
      <w:r w:rsidR="00D3218A" w:rsidRPr="00464929">
        <w:t xml:space="preserve"> (STREAMLINED) </w:t>
      </w:r>
      <w:r w:rsidR="001E238E" w:rsidRPr="00464929">
        <w:t xml:space="preserve">listing for </w:t>
      </w:r>
      <w:r w:rsidR="00D3218A" w:rsidRPr="00464929">
        <w:t xml:space="preserve">daclatasvir </w:t>
      </w:r>
      <w:r w:rsidR="001E238E" w:rsidRPr="00464929">
        <w:t xml:space="preserve">for treatment of </w:t>
      </w:r>
      <w:r w:rsidR="00D3218A" w:rsidRPr="00464929">
        <w:t xml:space="preserve">chronic hepatitis C </w:t>
      </w:r>
      <w:r w:rsidR="0078749F" w:rsidRPr="00464929">
        <w:t xml:space="preserve">virus (HCV) </w:t>
      </w:r>
      <w:r w:rsidR="00D3218A" w:rsidRPr="00464929">
        <w:t>infection, in combination with sofosbuvir</w:t>
      </w:r>
      <w:r w:rsidR="001E238E" w:rsidRPr="00464929">
        <w:t>.</w:t>
      </w:r>
      <w:r w:rsidRPr="00464929">
        <w:t xml:space="preserve"> </w:t>
      </w:r>
    </w:p>
    <w:p w:rsidR="00E470C1" w:rsidRDefault="00E470C1" w:rsidP="00E470C1">
      <w:pPr>
        <w:pStyle w:val="PBACHeading1"/>
        <w:numPr>
          <w:ilvl w:val="0"/>
          <w:numId w:val="0"/>
        </w:numPr>
        <w:ind w:left="720" w:hanging="720"/>
      </w:pPr>
    </w:p>
    <w:p w:rsidR="00F253E9" w:rsidRDefault="00F253E9" w:rsidP="00E470C1">
      <w:pPr>
        <w:pStyle w:val="PBACHeading1"/>
        <w:numPr>
          <w:ilvl w:val="0"/>
          <w:numId w:val="0"/>
        </w:numPr>
        <w:ind w:left="720" w:hanging="720"/>
      </w:pPr>
    </w:p>
    <w:p w:rsidR="00B50DB8" w:rsidRPr="00407F2D" w:rsidRDefault="00B50DB8" w:rsidP="00BD6CF3">
      <w:pPr>
        <w:pStyle w:val="PBACHeading1"/>
      </w:pPr>
      <w:bookmarkStart w:id="2" w:name="_Toc409610860"/>
      <w:r w:rsidRPr="00407F2D">
        <w:t>Requested listing</w:t>
      </w:r>
      <w:bookmarkEnd w:id="2"/>
    </w:p>
    <w:p w:rsidR="00B60939" w:rsidRPr="00882085" w:rsidRDefault="00B60939" w:rsidP="004B1CB4"/>
    <w:p w:rsidR="00617E12" w:rsidRPr="00D3218A" w:rsidRDefault="0046247B" w:rsidP="00C768A3">
      <w:pPr>
        <w:pStyle w:val="ListParagraph"/>
        <w:widowControl/>
        <w:numPr>
          <w:ilvl w:val="1"/>
          <w:numId w:val="1"/>
        </w:numPr>
        <w:rPr>
          <w:szCs w:val="22"/>
        </w:rPr>
      </w:pPr>
      <w:r>
        <w:rPr>
          <w:szCs w:val="22"/>
        </w:rPr>
        <w:t>The requested listing wa</w:t>
      </w:r>
      <w:r w:rsidR="00D3218A">
        <w:rPr>
          <w:szCs w:val="22"/>
        </w:rPr>
        <w:t>s:</w:t>
      </w:r>
    </w:p>
    <w:tbl>
      <w:tblPr>
        <w:tblW w:w="4594" w:type="pct"/>
        <w:tblInd w:w="737" w:type="dxa"/>
        <w:tblCellMar>
          <w:left w:w="28" w:type="dxa"/>
          <w:right w:w="28" w:type="dxa"/>
        </w:tblCellMar>
        <w:tblLook w:val="0000" w:firstRow="0" w:lastRow="0" w:firstColumn="0" w:lastColumn="0" w:noHBand="0" w:noVBand="0"/>
      </w:tblPr>
      <w:tblGrid>
        <w:gridCol w:w="1596"/>
        <w:gridCol w:w="1137"/>
        <w:gridCol w:w="601"/>
        <w:gridCol w:w="905"/>
        <w:gridCol w:w="1811"/>
        <w:gridCol w:w="935"/>
        <w:gridCol w:w="1360"/>
      </w:tblGrid>
      <w:tr w:rsidR="00D3218A" w:rsidRPr="00A939CD" w:rsidTr="00337169">
        <w:trPr>
          <w:cantSplit/>
          <w:trHeight w:val="471"/>
        </w:trPr>
        <w:tc>
          <w:tcPr>
            <w:tcW w:w="1638" w:type="pct"/>
            <w:gridSpan w:val="2"/>
            <w:tcBorders>
              <w:bottom w:val="single" w:sz="4" w:space="0" w:color="auto"/>
            </w:tcBorders>
          </w:tcPr>
          <w:p w:rsidR="00D3218A" w:rsidRDefault="00D3218A" w:rsidP="005062FE">
            <w:pPr>
              <w:keepNext/>
              <w:rPr>
                <w:sz w:val="20"/>
              </w:rPr>
            </w:pPr>
            <w:r>
              <w:rPr>
                <w:sz w:val="20"/>
              </w:rPr>
              <w:t>Name, Restriction,</w:t>
            </w:r>
          </w:p>
          <w:p w:rsidR="00D3218A" w:rsidRDefault="00D3218A" w:rsidP="005062FE">
            <w:pPr>
              <w:keepNext/>
              <w:rPr>
                <w:sz w:val="20"/>
              </w:rPr>
            </w:pPr>
            <w:r>
              <w:rPr>
                <w:sz w:val="20"/>
              </w:rPr>
              <w:t>Manner of administration and form</w:t>
            </w:r>
          </w:p>
        </w:tc>
        <w:tc>
          <w:tcPr>
            <w:tcW w:w="360" w:type="pct"/>
            <w:tcBorders>
              <w:bottom w:val="single" w:sz="4" w:space="0" w:color="auto"/>
            </w:tcBorders>
          </w:tcPr>
          <w:p w:rsidR="00D3218A" w:rsidRDefault="00D3218A" w:rsidP="005062FE">
            <w:pPr>
              <w:keepNext/>
              <w:jc w:val="center"/>
              <w:rPr>
                <w:sz w:val="20"/>
              </w:rPr>
            </w:pPr>
            <w:r>
              <w:rPr>
                <w:sz w:val="20"/>
              </w:rPr>
              <w:t>Max.</w:t>
            </w:r>
          </w:p>
          <w:p w:rsidR="00D3218A" w:rsidRDefault="00D3218A" w:rsidP="005062FE">
            <w:pPr>
              <w:keepNext/>
              <w:jc w:val="center"/>
              <w:rPr>
                <w:sz w:val="20"/>
              </w:rPr>
            </w:pPr>
            <w:proofErr w:type="spellStart"/>
            <w:r>
              <w:rPr>
                <w:sz w:val="20"/>
              </w:rPr>
              <w:t>Qty</w:t>
            </w:r>
            <w:proofErr w:type="spellEnd"/>
          </w:p>
        </w:tc>
        <w:tc>
          <w:tcPr>
            <w:tcW w:w="542" w:type="pct"/>
            <w:tcBorders>
              <w:bottom w:val="single" w:sz="4" w:space="0" w:color="auto"/>
            </w:tcBorders>
          </w:tcPr>
          <w:p w:rsidR="00D3218A" w:rsidRDefault="00D3218A" w:rsidP="005062FE">
            <w:pPr>
              <w:keepNext/>
              <w:jc w:val="center"/>
              <w:rPr>
                <w:sz w:val="20"/>
              </w:rPr>
            </w:pPr>
            <w:r>
              <w:rPr>
                <w:sz w:val="20"/>
              </w:rPr>
              <w:t>№.of</w:t>
            </w:r>
          </w:p>
          <w:p w:rsidR="00D3218A" w:rsidRDefault="00D3218A" w:rsidP="005062FE">
            <w:pPr>
              <w:keepNext/>
              <w:jc w:val="center"/>
              <w:rPr>
                <w:sz w:val="20"/>
              </w:rPr>
            </w:pPr>
            <w:proofErr w:type="spellStart"/>
            <w:r>
              <w:rPr>
                <w:sz w:val="20"/>
              </w:rPr>
              <w:t>Rpts</w:t>
            </w:r>
            <w:proofErr w:type="spellEnd"/>
          </w:p>
        </w:tc>
        <w:tc>
          <w:tcPr>
            <w:tcW w:w="1085" w:type="pct"/>
            <w:tcBorders>
              <w:bottom w:val="single" w:sz="4" w:space="0" w:color="auto"/>
            </w:tcBorders>
          </w:tcPr>
          <w:p w:rsidR="00D3218A" w:rsidRPr="00A63426" w:rsidRDefault="00D3218A" w:rsidP="005062FE">
            <w:pPr>
              <w:keepNext/>
              <w:jc w:val="center"/>
              <w:rPr>
                <w:sz w:val="20"/>
                <w:vertAlign w:val="superscript"/>
              </w:rPr>
            </w:pPr>
          </w:p>
        </w:tc>
        <w:tc>
          <w:tcPr>
            <w:tcW w:w="1375" w:type="pct"/>
            <w:gridSpan w:val="2"/>
            <w:tcBorders>
              <w:bottom w:val="single" w:sz="4" w:space="0" w:color="auto"/>
            </w:tcBorders>
          </w:tcPr>
          <w:p w:rsidR="00D3218A" w:rsidRDefault="00D3218A" w:rsidP="005062FE">
            <w:pPr>
              <w:keepNext/>
              <w:jc w:val="center"/>
              <w:rPr>
                <w:sz w:val="20"/>
                <w:lang w:val="fr-FR"/>
              </w:rPr>
            </w:pPr>
            <w:r>
              <w:rPr>
                <w:sz w:val="20"/>
              </w:rPr>
              <w:t>Proprietary Name and Manufacturer</w:t>
            </w:r>
          </w:p>
        </w:tc>
      </w:tr>
      <w:tr w:rsidR="00D3218A" w:rsidRPr="00A939CD" w:rsidTr="00337169">
        <w:trPr>
          <w:cantSplit/>
          <w:trHeight w:val="577"/>
        </w:trPr>
        <w:tc>
          <w:tcPr>
            <w:tcW w:w="1638" w:type="pct"/>
            <w:gridSpan w:val="2"/>
          </w:tcPr>
          <w:p w:rsidR="00D3218A" w:rsidRPr="00B151EF" w:rsidRDefault="00D3218A" w:rsidP="005062FE">
            <w:pPr>
              <w:keepNext/>
              <w:rPr>
                <w:sz w:val="20"/>
                <w:lang w:val="fr-FR"/>
              </w:rPr>
            </w:pPr>
            <w:r w:rsidRPr="00B151EF">
              <w:rPr>
                <w:smallCaps/>
                <w:sz w:val="20"/>
                <w:lang w:val="fr-FR"/>
              </w:rPr>
              <w:t>Daclatasvir</w:t>
            </w:r>
          </w:p>
          <w:p w:rsidR="00D3218A" w:rsidRPr="00B151EF" w:rsidRDefault="00D3218A" w:rsidP="005062FE">
            <w:pPr>
              <w:keepNext/>
              <w:rPr>
                <w:sz w:val="20"/>
                <w:lang w:val="fr-FR"/>
              </w:rPr>
            </w:pPr>
            <w:r w:rsidRPr="00B151EF">
              <w:rPr>
                <w:sz w:val="20"/>
                <w:lang w:val="fr-FR"/>
              </w:rPr>
              <w:t>Tablet 60mg, 28</w:t>
            </w:r>
          </w:p>
          <w:p w:rsidR="00D3218A" w:rsidRPr="00B151EF" w:rsidRDefault="00D3218A" w:rsidP="005062FE">
            <w:pPr>
              <w:keepNext/>
              <w:rPr>
                <w:sz w:val="20"/>
                <w:lang w:val="fr-FR"/>
              </w:rPr>
            </w:pPr>
            <w:r w:rsidRPr="00B151EF">
              <w:rPr>
                <w:sz w:val="20"/>
                <w:lang w:val="fr-FR"/>
              </w:rPr>
              <w:t>Tablet 30mg, 28</w:t>
            </w:r>
          </w:p>
        </w:tc>
        <w:tc>
          <w:tcPr>
            <w:tcW w:w="360" w:type="pct"/>
          </w:tcPr>
          <w:p w:rsidR="00D3218A" w:rsidRPr="00B151EF" w:rsidRDefault="00D3218A" w:rsidP="005062FE">
            <w:pPr>
              <w:keepNext/>
              <w:jc w:val="center"/>
              <w:rPr>
                <w:sz w:val="20"/>
                <w:lang w:val="fr-FR"/>
              </w:rPr>
            </w:pPr>
          </w:p>
          <w:p w:rsidR="00D3218A" w:rsidRDefault="00D3218A" w:rsidP="005062FE">
            <w:pPr>
              <w:keepNext/>
              <w:jc w:val="center"/>
              <w:rPr>
                <w:sz w:val="20"/>
              </w:rPr>
            </w:pPr>
            <w:r>
              <w:rPr>
                <w:sz w:val="20"/>
              </w:rPr>
              <w:t>3</w:t>
            </w:r>
          </w:p>
          <w:p w:rsidR="00D3218A" w:rsidRDefault="00D3218A" w:rsidP="005062FE">
            <w:pPr>
              <w:keepNext/>
              <w:jc w:val="center"/>
              <w:rPr>
                <w:sz w:val="20"/>
              </w:rPr>
            </w:pPr>
            <w:r>
              <w:rPr>
                <w:sz w:val="20"/>
              </w:rPr>
              <w:t>3</w:t>
            </w:r>
          </w:p>
        </w:tc>
        <w:tc>
          <w:tcPr>
            <w:tcW w:w="542" w:type="pct"/>
          </w:tcPr>
          <w:p w:rsidR="00D3218A" w:rsidRDefault="00D3218A" w:rsidP="005062FE">
            <w:pPr>
              <w:keepNext/>
              <w:jc w:val="center"/>
              <w:rPr>
                <w:sz w:val="20"/>
              </w:rPr>
            </w:pPr>
          </w:p>
          <w:p w:rsidR="00D3218A" w:rsidRDefault="00D3218A" w:rsidP="005062FE">
            <w:pPr>
              <w:keepNext/>
              <w:jc w:val="center"/>
              <w:rPr>
                <w:sz w:val="20"/>
              </w:rPr>
            </w:pPr>
            <w:r>
              <w:rPr>
                <w:sz w:val="20"/>
              </w:rPr>
              <w:t>0</w:t>
            </w:r>
          </w:p>
          <w:p w:rsidR="00D3218A" w:rsidRDefault="00D3218A" w:rsidP="005062FE">
            <w:pPr>
              <w:keepNext/>
              <w:jc w:val="center"/>
              <w:rPr>
                <w:sz w:val="20"/>
              </w:rPr>
            </w:pPr>
            <w:r>
              <w:rPr>
                <w:sz w:val="20"/>
              </w:rPr>
              <w:t>0</w:t>
            </w:r>
          </w:p>
        </w:tc>
        <w:tc>
          <w:tcPr>
            <w:tcW w:w="1085" w:type="pct"/>
          </w:tcPr>
          <w:p w:rsidR="00D3218A" w:rsidRDefault="00D3218A" w:rsidP="005062FE">
            <w:pPr>
              <w:keepNext/>
              <w:jc w:val="center"/>
              <w:rPr>
                <w:sz w:val="20"/>
              </w:rPr>
            </w:pPr>
          </w:p>
          <w:p w:rsidR="00D3218A" w:rsidRDefault="00D3218A" w:rsidP="005062FE">
            <w:pPr>
              <w:keepNext/>
              <w:jc w:val="center"/>
              <w:rPr>
                <w:sz w:val="20"/>
              </w:rPr>
            </w:pPr>
          </w:p>
        </w:tc>
        <w:tc>
          <w:tcPr>
            <w:tcW w:w="560" w:type="pct"/>
          </w:tcPr>
          <w:p w:rsidR="00D3218A" w:rsidRDefault="00D3218A" w:rsidP="005062FE">
            <w:pPr>
              <w:keepNext/>
              <w:jc w:val="center"/>
              <w:rPr>
                <w:sz w:val="20"/>
              </w:rPr>
            </w:pPr>
            <w:proofErr w:type="spellStart"/>
            <w:r>
              <w:rPr>
                <w:sz w:val="20"/>
              </w:rPr>
              <w:t>Daklinza</w:t>
            </w:r>
            <w:proofErr w:type="spellEnd"/>
          </w:p>
        </w:tc>
        <w:tc>
          <w:tcPr>
            <w:tcW w:w="815" w:type="pct"/>
          </w:tcPr>
          <w:p w:rsidR="00D3218A" w:rsidRDefault="00D3218A" w:rsidP="005062FE">
            <w:pPr>
              <w:keepNext/>
              <w:jc w:val="center"/>
              <w:rPr>
                <w:sz w:val="20"/>
              </w:rPr>
            </w:pPr>
            <w:r>
              <w:rPr>
                <w:sz w:val="20"/>
              </w:rPr>
              <w:t>Bristol-Myers Squibb</w:t>
            </w:r>
          </w:p>
        </w:tc>
      </w:tr>
      <w:tr w:rsidR="00F4481C" w:rsidRPr="00370871" w:rsidTr="00337169">
        <w:tblPrEx>
          <w:tblLook w:val="04A0" w:firstRow="1" w:lastRow="0" w:firstColumn="1" w:lastColumn="0" w:noHBand="0" w:noVBand="1"/>
        </w:tblPrEx>
        <w:trPr>
          <w:trHeight w:val="20"/>
        </w:trPr>
        <w:tc>
          <w:tcPr>
            <w:tcW w:w="957" w:type="pct"/>
            <w:tcBorders>
              <w:top w:val="single" w:sz="4" w:space="0" w:color="auto"/>
              <w:left w:val="single" w:sz="4" w:space="0" w:color="auto"/>
              <w:bottom w:val="single" w:sz="4" w:space="0" w:color="auto"/>
              <w:right w:val="single" w:sz="4" w:space="0" w:color="auto"/>
            </w:tcBorders>
            <w:hideMark/>
          </w:tcPr>
          <w:p w:rsidR="00F4481C" w:rsidRPr="00202C7E" w:rsidRDefault="00F4481C" w:rsidP="00113E30">
            <w:pPr>
              <w:snapToGrid w:val="0"/>
              <w:spacing w:line="20" w:lineRule="atLeast"/>
              <w:rPr>
                <w:sz w:val="20"/>
                <w:lang w:eastAsia="en-AU"/>
              </w:rPr>
            </w:pPr>
            <w:r w:rsidRPr="00202C7E">
              <w:rPr>
                <w:rFonts w:ascii="Arial Narrow" w:hAnsi="Arial Narrow"/>
                <w:sz w:val="20"/>
                <w:lang w:eastAsia="en-AU"/>
              </w:rPr>
              <w:t>Condition</w:t>
            </w:r>
          </w:p>
        </w:tc>
        <w:tc>
          <w:tcPr>
            <w:tcW w:w="4043" w:type="pct"/>
            <w:gridSpan w:val="6"/>
            <w:tcBorders>
              <w:top w:val="single" w:sz="4" w:space="0" w:color="auto"/>
              <w:left w:val="single" w:sz="4" w:space="0" w:color="auto"/>
              <w:bottom w:val="single" w:sz="4" w:space="0" w:color="auto"/>
              <w:right w:val="single" w:sz="4" w:space="0" w:color="auto"/>
            </w:tcBorders>
          </w:tcPr>
          <w:p w:rsidR="00F4481C" w:rsidRPr="00202C7E" w:rsidRDefault="00F4481C" w:rsidP="00113E30">
            <w:pPr>
              <w:snapToGrid w:val="0"/>
              <w:spacing w:line="20" w:lineRule="atLeast"/>
              <w:rPr>
                <w:rFonts w:ascii="Arial Narrow" w:hAnsi="Arial Narrow"/>
                <w:sz w:val="20"/>
                <w:lang w:eastAsia="en-AU"/>
              </w:rPr>
            </w:pPr>
            <w:r w:rsidRPr="00202C7E">
              <w:rPr>
                <w:rFonts w:ascii="Arial Narrow" w:hAnsi="Arial Narrow"/>
                <w:sz w:val="20"/>
                <w:lang w:eastAsia="en-AU"/>
              </w:rPr>
              <w:t>Chronic hepatitis C infection</w:t>
            </w:r>
          </w:p>
        </w:tc>
      </w:tr>
      <w:tr w:rsidR="00F4481C" w:rsidRPr="00370871" w:rsidTr="00337169">
        <w:tblPrEx>
          <w:tblLook w:val="04A0" w:firstRow="1" w:lastRow="0" w:firstColumn="1" w:lastColumn="0" w:noHBand="0" w:noVBand="1"/>
        </w:tblPrEx>
        <w:trPr>
          <w:trHeight w:val="20"/>
        </w:trPr>
        <w:tc>
          <w:tcPr>
            <w:tcW w:w="957" w:type="pct"/>
            <w:tcBorders>
              <w:top w:val="single" w:sz="4" w:space="0" w:color="auto"/>
              <w:left w:val="single" w:sz="4" w:space="0" w:color="auto"/>
              <w:bottom w:val="single" w:sz="4" w:space="0" w:color="auto"/>
              <w:right w:val="single" w:sz="4" w:space="0" w:color="auto"/>
            </w:tcBorders>
            <w:hideMark/>
          </w:tcPr>
          <w:p w:rsidR="00F4481C" w:rsidRPr="00202C7E" w:rsidRDefault="00F4481C" w:rsidP="00113E30">
            <w:pPr>
              <w:snapToGrid w:val="0"/>
              <w:spacing w:line="20" w:lineRule="atLeast"/>
              <w:rPr>
                <w:sz w:val="20"/>
                <w:lang w:eastAsia="en-AU"/>
              </w:rPr>
            </w:pPr>
            <w:r w:rsidRPr="00202C7E">
              <w:rPr>
                <w:rFonts w:ascii="Arial Narrow" w:hAnsi="Arial Narrow"/>
                <w:sz w:val="20"/>
                <w:lang w:eastAsia="en-AU"/>
              </w:rPr>
              <w:t>Restriction</w:t>
            </w:r>
          </w:p>
        </w:tc>
        <w:tc>
          <w:tcPr>
            <w:tcW w:w="4043" w:type="pct"/>
            <w:gridSpan w:val="6"/>
            <w:tcBorders>
              <w:top w:val="single" w:sz="4" w:space="0" w:color="auto"/>
              <w:left w:val="single" w:sz="4" w:space="0" w:color="auto"/>
              <w:bottom w:val="single" w:sz="4" w:space="0" w:color="auto"/>
              <w:right w:val="single" w:sz="4" w:space="0" w:color="auto"/>
            </w:tcBorders>
          </w:tcPr>
          <w:p w:rsidR="00F4481C" w:rsidRPr="00202C7E" w:rsidRDefault="00F4481C" w:rsidP="00113E30">
            <w:pPr>
              <w:snapToGrid w:val="0"/>
              <w:spacing w:line="20" w:lineRule="atLeast"/>
              <w:rPr>
                <w:rFonts w:ascii="Arial Narrow" w:hAnsi="Arial Narrow"/>
                <w:sz w:val="20"/>
                <w:lang w:eastAsia="en-AU"/>
              </w:rPr>
            </w:pPr>
            <w:r w:rsidRPr="00202C7E">
              <w:rPr>
                <w:rFonts w:ascii="Arial Narrow" w:hAnsi="Arial Narrow"/>
                <w:sz w:val="20"/>
                <w:lang w:eastAsia="en-AU"/>
              </w:rPr>
              <w:t>Section 85 Authority required (STREAMLINED)</w:t>
            </w:r>
          </w:p>
          <w:p w:rsidR="00F4481C" w:rsidRPr="00202C7E" w:rsidRDefault="00F4481C" w:rsidP="00113E30">
            <w:pPr>
              <w:snapToGrid w:val="0"/>
              <w:spacing w:line="20" w:lineRule="atLeast"/>
              <w:rPr>
                <w:rFonts w:ascii="Arial Narrow" w:hAnsi="Arial Narrow"/>
                <w:sz w:val="20"/>
                <w:lang w:eastAsia="en-AU"/>
              </w:rPr>
            </w:pPr>
            <w:r w:rsidRPr="00202C7E">
              <w:rPr>
                <w:rFonts w:ascii="Arial Narrow" w:hAnsi="Arial Narrow"/>
                <w:sz w:val="20"/>
                <w:lang w:eastAsia="en-AU"/>
              </w:rPr>
              <w:t>Chronic hepatitis C infection</w:t>
            </w:r>
          </w:p>
        </w:tc>
      </w:tr>
      <w:tr w:rsidR="00F4481C" w:rsidRPr="00370871" w:rsidTr="00337169">
        <w:tblPrEx>
          <w:tblLook w:val="04A0" w:firstRow="1" w:lastRow="0" w:firstColumn="1" w:lastColumn="0" w:noHBand="0" w:noVBand="1"/>
        </w:tblPrEx>
        <w:trPr>
          <w:trHeight w:val="20"/>
        </w:trPr>
        <w:tc>
          <w:tcPr>
            <w:tcW w:w="957" w:type="pct"/>
            <w:tcBorders>
              <w:top w:val="single" w:sz="4" w:space="0" w:color="auto"/>
              <w:left w:val="single" w:sz="4" w:space="0" w:color="auto"/>
              <w:bottom w:val="single" w:sz="4" w:space="0" w:color="auto"/>
              <w:right w:val="single" w:sz="4" w:space="0" w:color="auto"/>
            </w:tcBorders>
            <w:hideMark/>
          </w:tcPr>
          <w:p w:rsidR="00F4481C" w:rsidRPr="00202C7E" w:rsidRDefault="00F4481C" w:rsidP="00113E30">
            <w:pPr>
              <w:snapToGrid w:val="0"/>
              <w:spacing w:line="20" w:lineRule="atLeast"/>
              <w:rPr>
                <w:sz w:val="20"/>
                <w:lang w:eastAsia="en-AU"/>
              </w:rPr>
            </w:pPr>
            <w:r w:rsidRPr="00202C7E">
              <w:rPr>
                <w:rFonts w:ascii="Arial Narrow" w:hAnsi="Arial Narrow"/>
                <w:sz w:val="20"/>
                <w:lang w:eastAsia="en-AU"/>
              </w:rPr>
              <w:t>Treatment criteria</w:t>
            </w:r>
          </w:p>
        </w:tc>
        <w:tc>
          <w:tcPr>
            <w:tcW w:w="4043" w:type="pct"/>
            <w:gridSpan w:val="6"/>
            <w:tcBorders>
              <w:top w:val="single" w:sz="4" w:space="0" w:color="auto"/>
              <w:left w:val="single" w:sz="4" w:space="0" w:color="auto"/>
              <w:bottom w:val="single" w:sz="4" w:space="0" w:color="auto"/>
              <w:right w:val="single" w:sz="4" w:space="0" w:color="auto"/>
            </w:tcBorders>
          </w:tcPr>
          <w:p w:rsidR="00F4481C" w:rsidRPr="00202C7E" w:rsidRDefault="00F4481C" w:rsidP="00113E30">
            <w:pPr>
              <w:snapToGrid w:val="0"/>
              <w:spacing w:line="20" w:lineRule="atLeast"/>
              <w:rPr>
                <w:rFonts w:ascii="Arial Narrow" w:hAnsi="Arial Narrow"/>
                <w:sz w:val="20"/>
                <w:lang w:eastAsia="en-AU"/>
              </w:rPr>
            </w:pPr>
            <w:r w:rsidRPr="00202C7E">
              <w:rPr>
                <w:rFonts w:ascii="Arial Narrow" w:hAnsi="Arial Narrow"/>
                <w:sz w:val="20"/>
                <w:lang w:eastAsia="en-AU"/>
              </w:rPr>
              <w:t>Evidence of chronic hepatitis C infection (repeatedly anti-HCV positive and HCV RNA positive) must be documented in the patient’s medical records.</w:t>
            </w:r>
          </w:p>
        </w:tc>
      </w:tr>
      <w:tr w:rsidR="00F4481C" w:rsidRPr="00370871" w:rsidTr="00337169">
        <w:tblPrEx>
          <w:tblLook w:val="04A0" w:firstRow="1" w:lastRow="0" w:firstColumn="1" w:lastColumn="0" w:noHBand="0" w:noVBand="1"/>
        </w:tblPrEx>
        <w:trPr>
          <w:trHeight w:val="20"/>
        </w:trPr>
        <w:tc>
          <w:tcPr>
            <w:tcW w:w="957" w:type="pct"/>
            <w:tcBorders>
              <w:top w:val="single" w:sz="4" w:space="0" w:color="auto"/>
              <w:left w:val="single" w:sz="4" w:space="0" w:color="auto"/>
              <w:bottom w:val="single" w:sz="4" w:space="0" w:color="auto"/>
              <w:right w:val="single" w:sz="4" w:space="0" w:color="auto"/>
            </w:tcBorders>
            <w:hideMark/>
          </w:tcPr>
          <w:p w:rsidR="00F4481C" w:rsidRPr="00202C7E" w:rsidRDefault="00F4481C" w:rsidP="00113E30">
            <w:pPr>
              <w:snapToGrid w:val="0"/>
              <w:spacing w:line="20" w:lineRule="atLeast"/>
              <w:rPr>
                <w:sz w:val="20"/>
                <w:lang w:eastAsia="en-AU"/>
              </w:rPr>
            </w:pPr>
            <w:r w:rsidRPr="00202C7E">
              <w:rPr>
                <w:rFonts w:ascii="Arial Narrow" w:hAnsi="Arial Narrow"/>
                <w:sz w:val="20"/>
                <w:lang w:eastAsia="en-AU"/>
              </w:rPr>
              <w:t>Clinical criteria</w:t>
            </w:r>
          </w:p>
        </w:tc>
        <w:tc>
          <w:tcPr>
            <w:tcW w:w="4043" w:type="pct"/>
            <w:gridSpan w:val="6"/>
            <w:tcBorders>
              <w:top w:val="single" w:sz="4" w:space="0" w:color="auto"/>
              <w:left w:val="single" w:sz="4" w:space="0" w:color="auto"/>
              <w:bottom w:val="single" w:sz="4" w:space="0" w:color="auto"/>
              <w:right w:val="single" w:sz="4" w:space="0" w:color="auto"/>
            </w:tcBorders>
          </w:tcPr>
          <w:p w:rsidR="00F4481C" w:rsidRPr="00202C7E" w:rsidRDefault="00F4481C" w:rsidP="00113E30">
            <w:pPr>
              <w:snapToGrid w:val="0"/>
              <w:spacing w:line="20" w:lineRule="atLeast"/>
              <w:rPr>
                <w:rFonts w:ascii="Arial Narrow" w:hAnsi="Arial Narrow"/>
                <w:sz w:val="20"/>
                <w:u w:val="single"/>
                <w:lang w:eastAsia="en-AU"/>
              </w:rPr>
            </w:pPr>
            <w:r w:rsidRPr="00202C7E">
              <w:rPr>
                <w:rFonts w:ascii="Arial Narrow" w:hAnsi="Arial Narrow"/>
                <w:sz w:val="20"/>
                <w:u w:val="single"/>
                <w:lang w:eastAsia="en-AU"/>
              </w:rPr>
              <w:t>60mg tablet</w:t>
            </w:r>
          </w:p>
          <w:p w:rsidR="00F4481C" w:rsidRPr="00202C7E" w:rsidRDefault="00F4481C" w:rsidP="00113E30">
            <w:pPr>
              <w:snapToGrid w:val="0"/>
              <w:spacing w:line="20" w:lineRule="atLeast"/>
              <w:rPr>
                <w:rFonts w:ascii="Arial Narrow" w:hAnsi="Arial Narrow"/>
                <w:sz w:val="20"/>
                <w:lang w:eastAsia="en-AU"/>
              </w:rPr>
            </w:pPr>
            <w:r w:rsidRPr="00202C7E">
              <w:rPr>
                <w:rFonts w:ascii="Arial Narrow" w:hAnsi="Arial Narrow"/>
                <w:sz w:val="20"/>
                <w:lang w:eastAsia="en-AU"/>
              </w:rPr>
              <w:t>Patient must have compensated liver disease,</w:t>
            </w:r>
          </w:p>
          <w:p w:rsidR="00F4481C" w:rsidRPr="00202C7E" w:rsidRDefault="00F4481C" w:rsidP="00113E30">
            <w:pPr>
              <w:snapToGrid w:val="0"/>
              <w:spacing w:line="20" w:lineRule="atLeast"/>
              <w:rPr>
                <w:rFonts w:ascii="Arial Narrow" w:hAnsi="Arial Narrow"/>
                <w:sz w:val="20"/>
                <w:lang w:eastAsia="en-AU"/>
              </w:rPr>
            </w:pPr>
            <w:r w:rsidRPr="00202C7E">
              <w:rPr>
                <w:rFonts w:ascii="Arial Narrow" w:hAnsi="Arial Narrow"/>
                <w:sz w:val="20"/>
                <w:lang w:eastAsia="en-AU"/>
              </w:rPr>
              <w:t>The treatment must be limited to a maximum duration of 24 weeks,</w:t>
            </w:r>
          </w:p>
          <w:p w:rsidR="00F4481C" w:rsidRPr="00202C7E" w:rsidRDefault="00F4481C" w:rsidP="00113E30">
            <w:pPr>
              <w:snapToGrid w:val="0"/>
              <w:spacing w:line="20" w:lineRule="atLeast"/>
              <w:rPr>
                <w:rFonts w:ascii="Arial Narrow" w:hAnsi="Arial Narrow"/>
                <w:sz w:val="20"/>
                <w:lang w:eastAsia="en-AU"/>
              </w:rPr>
            </w:pPr>
            <w:r w:rsidRPr="00202C7E">
              <w:rPr>
                <w:rFonts w:ascii="Arial Narrow" w:hAnsi="Arial Narrow"/>
                <w:sz w:val="20"/>
                <w:lang w:eastAsia="en-AU"/>
              </w:rPr>
              <w:t>The treatment must cease if the results of an HCV RNA quantitative assay at Week 8 show that the plasma HCV RNA is greater than 1000IU/mL,</w:t>
            </w:r>
          </w:p>
          <w:p w:rsidR="00F4481C" w:rsidRPr="00202C7E" w:rsidRDefault="00F4481C" w:rsidP="00113E30">
            <w:pPr>
              <w:snapToGrid w:val="0"/>
              <w:spacing w:line="20" w:lineRule="atLeast"/>
              <w:rPr>
                <w:rFonts w:ascii="Arial Narrow" w:hAnsi="Arial Narrow"/>
                <w:sz w:val="20"/>
                <w:lang w:eastAsia="en-AU"/>
              </w:rPr>
            </w:pPr>
            <w:r w:rsidRPr="00202C7E">
              <w:rPr>
                <w:rFonts w:ascii="Arial Narrow" w:hAnsi="Arial Narrow"/>
                <w:sz w:val="20"/>
                <w:lang w:eastAsia="en-AU"/>
              </w:rPr>
              <w:t>The treatment must be given with asunaprevir (genotype 1b only) or sofosbuvir</w:t>
            </w:r>
          </w:p>
          <w:p w:rsidR="00F4481C" w:rsidRPr="00202C7E" w:rsidRDefault="00F4481C" w:rsidP="00113E30">
            <w:pPr>
              <w:snapToGrid w:val="0"/>
              <w:spacing w:line="20" w:lineRule="atLeast"/>
              <w:rPr>
                <w:rFonts w:ascii="Arial Narrow" w:hAnsi="Arial Narrow"/>
                <w:sz w:val="20"/>
                <w:u w:val="single"/>
                <w:lang w:eastAsia="en-AU"/>
              </w:rPr>
            </w:pPr>
            <w:r w:rsidRPr="00202C7E">
              <w:rPr>
                <w:rFonts w:ascii="Arial Narrow" w:hAnsi="Arial Narrow"/>
                <w:sz w:val="20"/>
                <w:u w:val="single"/>
                <w:lang w:eastAsia="en-AU"/>
              </w:rPr>
              <w:t>30mg tablet</w:t>
            </w:r>
          </w:p>
          <w:p w:rsidR="00F4481C" w:rsidRPr="00202C7E" w:rsidRDefault="00F4481C" w:rsidP="00113E30">
            <w:pPr>
              <w:snapToGrid w:val="0"/>
              <w:spacing w:line="20" w:lineRule="atLeast"/>
              <w:rPr>
                <w:rFonts w:ascii="Arial Narrow" w:hAnsi="Arial Narrow"/>
                <w:sz w:val="20"/>
                <w:lang w:eastAsia="en-AU"/>
              </w:rPr>
            </w:pPr>
            <w:r w:rsidRPr="00202C7E">
              <w:rPr>
                <w:rFonts w:ascii="Arial Narrow" w:hAnsi="Arial Narrow"/>
                <w:sz w:val="20"/>
                <w:lang w:eastAsia="en-AU"/>
              </w:rPr>
              <w:t>Patient must have compensated liver disease requiring dose adjustment due to CYP3A4 inhibitors or inducers,</w:t>
            </w:r>
          </w:p>
          <w:p w:rsidR="00F4481C" w:rsidRPr="00202C7E" w:rsidRDefault="00F4481C" w:rsidP="00113E30">
            <w:pPr>
              <w:snapToGrid w:val="0"/>
              <w:spacing w:line="20" w:lineRule="atLeast"/>
              <w:rPr>
                <w:rFonts w:ascii="Arial Narrow" w:hAnsi="Arial Narrow"/>
                <w:sz w:val="20"/>
                <w:lang w:eastAsia="en-AU"/>
              </w:rPr>
            </w:pPr>
            <w:r w:rsidRPr="00202C7E">
              <w:rPr>
                <w:rFonts w:ascii="Arial Narrow" w:hAnsi="Arial Narrow"/>
                <w:sz w:val="20"/>
                <w:lang w:eastAsia="en-AU"/>
              </w:rPr>
              <w:t>The treatment must be limited to a maximum duration of 12 weeks,</w:t>
            </w:r>
          </w:p>
          <w:p w:rsidR="00F4481C" w:rsidRPr="00202C7E" w:rsidRDefault="00F4481C" w:rsidP="00113E30">
            <w:pPr>
              <w:snapToGrid w:val="0"/>
              <w:spacing w:line="20" w:lineRule="atLeast"/>
              <w:rPr>
                <w:rFonts w:ascii="Arial Narrow" w:hAnsi="Arial Narrow"/>
                <w:sz w:val="20"/>
                <w:lang w:eastAsia="en-AU"/>
              </w:rPr>
            </w:pPr>
            <w:r w:rsidRPr="00202C7E">
              <w:rPr>
                <w:rFonts w:ascii="Arial Narrow" w:hAnsi="Arial Narrow"/>
                <w:sz w:val="20"/>
                <w:lang w:eastAsia="en-AU"/>
              </w:rPr>
              <w:t>The treatment must cease if the results of an HCV RNA quantitative assay at Week 8 show that the plasma HCV RNA is greater than 1000IU/mL,</w:t>
            </w:r>
          </w:p>
          <w:p w:rsidR="00F4481C" w:rsidRPr="00337169" w:rsidRDefault="00F4481C" w:rsidP="00113E30">
            <w:pPr>
              <w:snapToGrid w:val="0"/>
              <w:spacing w:line="20" w:lineRule="atLeast"/>
              <w:rPr>
                <w:rFonts w:ascii="Arial Narrow" w:hAnsi="Arial Narrow"/>
                <w:sz w:val="20"/>
                <w:vertAlign w:val="superscript"/>
                <w:lang w:eastAsia="en-AU"/>
              </w:rPr>
            </w:pPr>
            <w:r w:rsidRPr="00202C7E">
              <w:rPr>
                <w:rFonts w:ascii="Arial Narrow" w:hAnsi="Arial Narrow"/>
                <w:sz w:val="20"/>
                <w:lang w:eastAsia="en-AU"/>
              </w:rPr>
              <w:t xml:space="preserve">The treatment must be given with </w:t>
            </w:r>
            <w:proofErr w:type="spellStart"/>
            <w:r w:rsidRPr="00202C7E">
              <w:rPr>
                <w:rFonts w:ascii="Arial Narrow" w:hAnsi="Arial Narrow"/>
                <w:sz w:val="20"/>
                <w:lang w:eastAsia="en-AU"/>
              </w:rPr>
              <w:t>sofosbuvir</w:t>
            </w:r>
            <w:r w:rsidR="00337169">
              <w:rPr>
                <w:rFonts w:ascii="Arial Narrow" w:hAnsi="Arial Narrow"/>
                <w:sz w:val="20"/>
                <w:vertAlign w:val="superscript"/>
                <w:lang w:eastAsia="en-AU"/>
              </w:rPr>
              <w:t>a</w:t>
            </w:r>
            <w:proofErr w:type="spellEnd"/>
          </w:p>
        </w:tc>
      </w:tr>
      <w:tr w:rsidR="00F4481C" w:rsidRPr="00731E48" w:rsidTr="00337169">
        <w:tblPrEx>
          <w:tblLook w:val="04A0" w:firstRow="1" w:lastRow="0" w:firstColumn="1" w:lastColumn="0" w:noHBand="0" w:noVBand="1"/>
        </w:tblPrEx>
        <w:trPr>
          <w:trHeight w:val="20"/>
        </w:trPr>
        <w:tc>
          <w:tcPr>
            <w:tcW w:w="957" w:type="pct"/>
            <w:tcBorders>
              <w:top w:val="single" w:sz="4" w:space="0" w:color="auto"/>
              <w:left w:val="single" w:sz="4" w:space="0" w:color="auto"/>
              <w:bottom w:val="single" w:sz="4" w:space="0" w:color="auto"/>
              <w:right w:val="single" w:sz="4" w:space="0" w:color="auto"/>
            </w:tcBorders>
            <w:hideMark/>
          </w:tcPr>
          <w:p w:rsidR="00F4481C" w:rsidRPr="00202C7E" w:rsidRDefault="00F4481C" w:rsidP="00113E30">
            <w:pPr>
              <w:snapToGrid w:val="0"/>
              <w:spacing w:line="20" w:lineRule="atLeast"/>
              <w:rPr>
                <w:sz w:val="20"/>
                <w:lang w:eastAsia="en-AU"/>
              </w:rPr>
            </w:pPr>
            <w:r w:rsidRPr="00202C7E">
              <w:rPr>
                <w:rFonts w:ascii="Arial Narrow" w:hAnsi="Arial Narrow"/>
                <w:sz w:val="20"/>
                <w:lang w:eastAsia="en-AU"/>
              </w:rPr>
              <w:t>Population criteria</w:t>
            </w:r>
          </w:p>
        </w:tc>
        <w:tc>
          <w:tcPr>
            <w:tcW w:w="4043" w:type="pct"/>
            <w:gridSpan w:val="6"/>
            <w:tcBorders>
              <w:top w:val="single" w:sz="4" w:space="0" w:color="auto"/>
              <w:left w:val="single" w:sz="4" w:space="0" w:color="auto"/>
              <w:bottom w:val="single" w:sz="4" w:space="0" w:color="auto"/>
              <w:right w:val="single" w:sz="4" w:space="0" w:color="auto"/>
            </w:tcBorders>
          </w:tcPr>
          <w:p w:rsidR="00F4481C" w:rsidRPr="00202C7E" w:rsidRDefault="00F4481C" w:rsidP="00113E30">
            <w:pPr>
              <w:adjustRightInd w:val="0"/>
              <w:spacing w:line="20" w:lineRule="atLeast"/>
              <w:rPr>
                <w:rFonts w:ascii="Arial Narrow" w:hAnsi="Arial Narrow"/>
                <w:color w:val="000000"/>
                <w:sz w:val="20"/>
                <w:lang w:eastAsia="en-AU"/>
              </w:rPr>
            </w:pPr>
            <w:r w:rsidRPr="00202C7E">
              <w:rPr>
                <w:rFonts w:ascii="Arial Narrow" w:hAnsi="Arial Narrow"/>
                <w:color w:val="000000"/>
                <w:sz w:val="20"/>
                <w:lang w:eastAsia="en-AU"/>
              </w:rPr>
              <w:t>Patient must be 18 years or older</w:t>
            </w:r>
          </w:p>
        </w:tc>
      </w:tr>
    </w:tbl>
    <w:p w:rsidR="00337169" w:rsidRDefault="00337169" w:rsidP="00337169">
      <w:pPr>
        <w:pStyle w:val="TableFooter"/>
        <w:ind w:left="709"/>
      </w:pPr>
      <w:proofErr w:type="spellStart"/>
      <w:proofErr w:type="gramStart"/>
      <w:r>
        <w:rPr>
          <w:vertAlign w:val="superscript"/>
        </w:rPr>
        <w:t>a</w:t>
      </w:r>
      <w:proofErr w:type="spellEnd"/>
      <w:proofErr w:type="gramEnd"/>
      <w:r>
        <w:t xml:space="preserve"> The 30mg tablet is for use in patients receiving concomitant therapies </w:t>
      </w:r>
      <w:r w:rsidR="00BE211F">
        <w:t>which strongly inhibit</w:t>
      </w:r>
      <w:r w:rsidR="00BF6C17">
        <w:t xml:space="preserve"> </w:t>
      </w:r>
      <w:r>
        <w:t>the CYP3A4 enzyme; asunaprevir is contraindicated in these patients.</w:t>
      </w:r>
    </w:p>
    <w:p w:rsidR="007435E0" w:rsidRPr="00416C99" w:rsidRDefault="007435E0" w:rsidP="00416C99">
      <w:pPr>
        <w:widowControl/>
        <w:rPr>
          <w:szCs w:val="22"/>
        </w:rPr>
      </w:pPr>
    </w:p>
    <w:p w:rsidR="00E470C1" w:rsidRPr="00E470C1" w:rsidRDefault="00E470C1" w:rsidP="00E470C1">
      <w:pPr>
        <w:pStyle w:val="ListParagraph"/>
        <w:widowControl/>
        <w:numPr>
          <w:ilvl w:val="1"/>
          <w:numId w:val="1"/>
        </w:numPr>
        <w:rPr>
          <w:szCs w:val="22"/>
        </w:rPr>
      </w:pPr>
      <w:r w:rsidRPr="00464929">
        <w:rPr>
          <w:szCs w:val="22"/>
        </w:rPr>
        <w:t xml:space="preserve">The current listings for the protease inhibitors are Section 100 Highly Specialised Drug Program. </w:t>
      </w:r>
    </w:p>
    <w:p w:rsidR="00E470C1" w:rsidRPr="00464929" w:rsidRDefault="00E470C1" w:rsidP="00E470C1">
      <w:pPr>
        <w:pStyle w:val="PBACHeading1"/>
        <w:numPr>
          <w:ilvl w:val="0"/>
          <w:numId w:val="0"/>
        </w:numPr>
        <w:ind w:left="720" w:hanging="720"/>
      </w:pPr>
    </w:p>
    <w:p w:rsidR="009A2A9A" w:rsidRPr="00F81E66" w:rsidRDefault="009A2A9A" w:rsidP="00C768A3">
      <w:pPr>
        <w:pStyle w:val="ListParagraph"/>
        <w:widowControl/>
        <w:numPr>
          <w:ilvl w:val="1"/>
          <w:numId w:val="1"/>
        </w:numPr>
        <w:rPr>
          <w:szCs w:val="22"/>
        </w:rPr>
      </w:pPr>
      <w:r>
        <w:rPr>
          <w:szCs w:val="22"/>
        </w:rPr>
        <w:t xml:space="preserve">The submission proposed a treatment regimen of </w:t>
      </w:r>
      <w:r w:rsidR="003000DB" w:rsidRPr="00F81E66">
        <w:rPr>
          <w:szCs w:val="22"/>
        </w:rPr>
        <w:t>daclatasvir in combination with sofosbuvir</w:t>
      </w:r>
      <w:r w:rsidR="003000DB">
        <w:rPr>
          <w:szCs w:val="22"/>
        </w:rPr>
        <w:t xml:space="preserve"> for 12 weeks (</w:t>
      </w:r>
      <w:r>
        <w:rPr>
          <w:szCs w:val="22"/>
        </w:rPr>
        <w:t>DCV</w:t>
      </w:r>
      <w:r w:rsidR="003000DB">
        <w:rPr>
          <w:szCs w:val="22"/>
        </w:rPr>
        <w:t>12</w:t>
      </w:r>
      <w:r>
        <w:rPr>
          <w:szCs w:val="22"/>
        </w:rPr>
        <w:t>+SOF</w:t>
      </w:r>
      <w:r w:rsidR="003000DB">
        <w:rPr>
          <w:szCs w:val="22"/>
        </w:rPr>
        <w:t>12)</w:t>
      </w:r>
      <w:r>
        <w:rPr>
          <w:szCs w:val="22"/>
        </w:rPr>
        <w:t xml:space="preserve"> for patients with all HCV genotypes. </w:t>
      </w:r>
      <w:r w:rsidRPr="00464929">
        <w:rPr>
          <w:szCs w:val="22"/>
        </w:rPr>
        <w:t xml:space="preserve">This duration was consistent with the draft daclatasvir Product Information (PI). However the proposed restriction for daclatasvir 60mg tablet stipulated </w:t>
      </w:r>
      <w:proofErr w:type="gramStart"/>
      <w:r w:rsidRPr="00464929">
        <w:rPr>
          <w:szCs w:val="22"/>
        </w:rPr>
        <w:t>a maximum</w:t>
      </w:r>
      <w:proofErr w:type="gramEnd"/>
      <w:r w:rsidRPr="00464929">
        <w:rPr>
          <w:szCs w:val="22"/>
        </w:rPr>
        <w:t xml:space="preserve"> treatment duration of 24 weeks</w:t>
      </w:r>
      <w:r w:rsidR="00FE7BFC" w:rsidRPr="00464929">
        <w:rPr>
          <w:szCs w:val="22"/>
        </w:rPr>
        <w:t xml:space="preserve"> </w:t>
      </w:r>
      <w:r w:rsidR="001340CC" w:rsidRPr="00464929">
        <w:rPr>
          <w:szCs w:val="22"/>
        </w:rPr>
        <w:t xml:space="preserve">but </w:t>
      </w:r>
      <w:r w:rsidRPr="00464929">
        <w:rPr>
          <w:szCs w:val="22"/>
        </w:rPr>
        <w:t xml:space="preserve">the maximum quantity (3x28) and lack of repeats in the </w:t>
      </w:r>
      <w:r w:rsidRPr="00464929">
        <w:rPr>
          <w:szCs w:val="22"/>
        </w:rPr>
        <w:lastRenderedPageBreak/>
        <w:t xml:space="preserve">proposed listing only allowed for 12 weeks supply of daclatasvir. The submission noted that the proposed listing of daclatasvir when combined with asunaprevir allows for 24 weeks supply of daclatasvir </w:t>
      </w:r>
      <w:r w:rsidR="00FC207C">
        <w:rPr>
          <w:szCs w:val="22"/>
        </w:rPr>
        <w:t>(see item 5.03</w:t>
      </w:r>
      <w:r w:rsidR="00A90408">
        <w:rPr>
          <w:szCs w:val="22"/>
        </w:rPr>
        <w:t xml:space="preserve"> of the March 2015 meeting</w:t>
      </w:r>
      <w:r w:rsidR="00FC207C">
        <w:rPr>
          <w:szCs w:val="22"/>
        </w:rPr>
        <w:t>)</w:t>
      </w:r>
      <w:r w:rsidRPr="00464929">
        <w:rPr>
          <w:szCs w:val="22"/>
        </w:rPr>
        <w:t xml:space="preserve"> Patients may access 24 weeks of DCV+SOF via that listing. However, this problem with the restriction would be addressed if two PBS listings were proposed for each of the daclatasvir combinations (</w:t>
      </w:r>
      <w:proofErr w:type="spellStart"/>
      <w:r w:rsidRPr="00464929">
        <w:rPr>
          <w:szCs w:val="22"/>
        </w:rPr>
        <w:t>ie</w:t>
      </w:r>
      <w:proofErr w:type="spellEnd"/>
      <w:r w:rsidRPr="00464929">
        <w:rPr>
          <w:szCs w:val="22"/>
        </w:rPr>
        <w:t xml:space="preserve"> with SOF or ASV).</w:t>
      </w:r>
      <w:r w:rsidR="005B675B">
        <w:rPr>
          <w:szCs w:val="22"/>
        </w:rPr>
        <w:t xml:space="preserve"> </w:t>
      </w:r>
      <w:r w:rsidR="008033B9" w:rsidRPr="00D24544">
        <w:rPr>
          <w:szCs w:val="22"/>
        </w:rPr>
        <w:t>The ESC noted that the updated draft PI (</w:t>
      </w:r>
      <w:proofErr w:type="spellStart"/>
      <w:r w:rsidR="008033B9" w:rsidRPr="00D24544">
        <w:rPr>
          <w:szCs w:val="22"/>
        </w:rPr>
        <w:t>pg</w:t>
      </w:r>
      <w:proofErr w:type="spellEnd"/>
      <w:r w:rsidR="008033B9" w:rsidRPr="00D24544">
        <w:rPr>
          <w:szCs w:val="22"/>
        </w:rPr>
        <w:t xml:space="preserve"> 24), provided with the PSCR, stated  ‘Consider adding ribavirin to the DAKLINZA/sofosbuvir 12-week regimen or prolonging treatment duration to 24 weeks for patients with cirrhosis or with other negative prognostic factors such as prior treatment experience (</w:t>
      </w:r>
      <w:proofErr w:type="spellStart"/>
      <w:r w:rsidR="008033B9" w:rsidRPr="00D24544">
        <w:rPr>
          <w:szCs w:val="22"/>
        </w:rPr>
        <w:t>eg</w:t>
      </w:r>
      <w:proofErr w:type="spellEnd"/>
      <w:r w:rsidR="008033B9" w:rsidRPr="00D24544">
        <w:rPr>
          <w:szCs w:val="22"/>
        </w:rPr>
        <w:t xml:space="preserve">, protease inhibitor, </w:t>
      </w:r>
      <w:proofErr w:type="spellStart"/>
      <w:r w:rsidR="008033B9" w:rsidRPr="00D24544">
        <w:rPr>
          <w:szCs w:val="22"/>
        </w:rPr>
        <w:t>peginterferon</w:t>
      </w:r>
      <w:proofErr w:type="spellEnd"/>
      <w:r w:rsidR="008033B9" w:rsidRPr="00D24544">
        <w:rPr>
          <w:szCs w:val="22"/>
        </w:rPr>
        <w:t xml:space="preserve"> alfa and ribavirin)’. </w:t>
      </w:r>
      <w:r w:rsidR="005B675B" w:rsidRPr="00D24544">
        <w:rPr>
          <w:szCs w:val="22"/>
        </w:rPr>
        <w:t>The ESC noted that the proposed restriction does not explicitly exclude combination of DCV+SOF with RBV which might not be cost-effective.</w:t>
      </w:r>
      <w:r w:rsidR="008033B9" w:rsidRPr="00F81E66">
        <w:rPr>
          <w:szCs w:val="22"/>
        </w:rPr>
        <w:t xml:space="preserve"> </w:t>
      </w:r>
    </w:p>
    <w:p w:rsidR="0069613C" w:rsidRPr="0087402B" w:rsidRDefault="0069613C" w:rsidP="00F81E66">
      <w:pPr>
        <w:pStyle w:val="ListParagraph"/>
        <w:widowControl/>
        <w:rPr>
          <w:szCs w:val="22"/>
        </w:rPr>
      </w:pPr>
    </w:p>
    <w:p w:rsidR="008C6410" w:rsidRDefault="008C6410" w:rsidP="00C768A3">
      <w:pPr>
        <w:pStyle w:val="ListParagraph"/>
        <w:widowControl/>
        <w:numPr>
          <w:ilvl w:val="1"/>
          <w:numId w:val="1"/>
        </w:numPr>
        <w:rPr>
          <w:szCs w:val="22"/>
        </w:rPr>
      </w:pPr>
      <w:r w:rsidRPr="000D14A3">
        <w:rPr>
          <w:szCs w:val="22"/>
        </w:rPr>
        <w:t xml:space="preserve">Listing </w:t>
      </w:r>
      <w:r w:rsidR="00DE6D9F">
        <w:rPr>
          <w:szCs w:val="22"/>
        </w:rPr>
        <w:t>wa</w:t>
      </w:r>
      <w:r>
        <w:rPr>
          <w:szCs w:val="22"/>
        </w:rPr>
        <w:t xml:space="preserve">s sought on a cost </w:t>
      </w:r>
      <w:r w:rsidRPr="00D91EF5">
        <w:rPr>
          <w:szCs w:val="22"/>
        </w:rPr>
        <w:t xml:space="preserve">effectiveness basis of daclatasvir in combination with sofosbuvir for 12 weeks compared to </w:t>
      </w:r>
      <w:r w:rsidR="0069613C" w:rsidRPr="00D91EF5">
        <w:rPr>
          <w:szCs w:val="22"/>
        </w:rPr>
        <w:t>a mixture of no treatment and active treatment.</w:t>
      </w:r>
      <w:r w:rsidR="0069613C">
        <w:rPr>
          <w:szCs w:val="22"/>
        </w:rPr>
        <w:t xml:space="preserve"> </w:t>
      </w:r>
    </w:p>
    <w:p w:rsidR="00117197" w:rsidRPr="00927341" w:rsidRDefault="00117197" w:rsidP="00F81E66">
      <w:pPr>
        <w:pStyle w:val="ListParagraph"/>
        <w:widowControl/>
        <w:rPr>
          <w:szCs w:val="22"/>
        </w:rPr>
      </w:pPr>
    </w:p>
    <w:p w:rsidR="00117197" w:rsidRDefault="00117197" w:rsidP="00C768A3">
      <w:pPr>
        <w:pStyle w:val="ListParagraph"/>
        <w:widowControl/>
        <w:numPr>
          <w:ilvl w:val="1"/>
          <w:numId w:val="1"/>
        </w:numPr>
        <w:rPr>
          <w:szCs w:val="22"/>
        </w:rPr>
      </w:pPr>
      <w:r w:rsidRPr="00927341">
        <w:rPr>
          <w:szCs w:val="22"/>
        </w:rPr>
        <w:t>The DUSC considered that it is uncertain whether and when the current model of care involving specialist treatment centres will change to a greater involvement of primary care in HCV prescribing with a subsequent broader access to treatment.</w:t>
      </w:r>
    </w:p>
    <w:p w:rsidR="00927341" w:rsidRPr="00927341" w:rsidRDefault="00927341" w:rsidP="00F81E66">
      <w:pPr>
        <w:pStyle w:val="ListParagraph"/>
        <w:widowControl/>
        <w:rPr>
          <w:szCs w:val="22"/>
        </w:rPr>
      </w:pPr>
    </w:p>
    <w:p w:rsidR="00700E7D" w:rsidRPr="00F81E66" w:rsidRDefault="00700E7D" w:rsidP="00F81E66">
      <w:pPr>
        <w:pStyle w:val="ListParagraph"/>
        <w:widowControl/>
        <w:numPr>
          <w:ilvl w:val="1"/>
          <w:numId w:val="1"/>
        </w:numPr>
        <w:rPr>
          <w:szCs w:val="22"/>
        </w:rPr>
      </w:pPr>
      <w:r w:rsidRPr="00F81E66">
        <w:rPr>
          <w:szCs w:val="22"/>
        </w:rPr>
        <w:t>The PBAC recalled the discussion at the Stakeholder meeting (New oral antivirals for the Treatment of Hepatitis C, February 2014) about the setting patients should be treated in. The PBAC considered that it was appropriate that the new all oral treatment regimens be listed in the General Schedule, to facilitated the longer term objectives for access to treatment, increase treatment rates and outcomes with a view to treat all patients with CHC over time.</w:t>
      </w:r>
    </w:p>
    <w:p w:rsidR="003673C1" w:rsidRPr="00F81E66" w:rsidRDefault="003673C1" w:rsidP="00F81E66">
      <w:pPr>
        <w:pStyle w:val="ListParagraph"/>
        <w:widowControl/>
        <w:rPr>
          <w:szCs w:val="22"/>
        </w:rPr>
      </w:pPr>
    </w:p>
    <w:p w:rsidR="003673C1" w:rsidRPr="00F81E66" w:rsidRDefault="003673C1" w:rsidP="00F81E66">
      <w:pPr>
        <w:pStyle w:val="ListParagraph"/>
        <w:widowControl/>
        <w:numPr>
          <w:ilvl w:val="1"/>
          <w:numId w:val="1"/>
        </w:numPr>
        <w:rPr>
          <w:szCs w:val="22"/>
        </w:rPr>
      </w:pPr>
      <w:r w:rsidRPr="00F81E66">
        <w:rPr>
          <w:szCs w:val="22"/>
        </w:rPr>
        <w:t xml:space="preserve">General schedule listing is in line with initiatives such as The Fourth National Hepatitis C Strategy 2014-2017 and NSW Hepatitis C Strategy 2014-2020 to support a greater role of primary care in the prescribing and monitoring of the newer generation of antivirals, that have reduced side effects and more simplified dosing schedules. The PBAC noted that treatment of patients would initially remain in tertiary settings but expand as clinician experience grows. </w:t>
      </w:r>
    </w:p>
    <w:p w:rsidR="003673C1" w:rsidRPr="00F81E66" w:rsidRDefault="003673C1" w:rsidP="00F81E66">
      <w:pPr>
        <w:pStyle w:val="ListParagraph"/>
        <w:widowControl/>
        <w:rPr>
          <w:szCs w:val="22"/>
        </w:rPr>
      </w:pPr>
    </w:p>
    <w:p w:rsidR="003673C1" w:rsidRPr="00F81E66" w:rsidRDefault="003673C1" w:rsidP="00F81E66">
      <w:pPr>
        <w:pStyle w:val="ListParagraph"/>
        <w:widowControl/>
        <w:numPr>
          <w:ilvl w:val="1"/>
          <w:numId w:val="1"/>
        </w:numPr>
        <w:rPr>
          <w:szCs w:val="22"/>
        </w:rPr>
      </w:pPr>
      <w:r w:rsidRPr="00F81E66">
        <w:rPr>
          <w:szCs w:val="22"/>
        </w:rPr>
        <w:t xml:space="preserve">The PBAC considered that the Department in consultation with clinical experts should explore </w:t>
      </w:r>
      <w:r w:rsidR="001D7B0D" w:rsidRPr="00F81E66">
        <w:rPr>
          <w:szCs w:val="22"/>
        </w:rPr>
        <w:t>whether</w:t>
      </w:r>
      <w:r w:rsidRPr="00F81E66">
        <w:rPr>
          <w:szCs w:val="22"/>
        </w:rPr>
        <w:t xml:space="preserve"> primary care prescribing should be available to practitioners who have gained accreditation (as occurs currently for Section 100 prescribing) or in a Share Care Model (namely, in consultation with a clinician with experience of prescribing treatment for CHC, such as a </w:t>
      </w:r>
      <w:proofErr w:type="spellStart"/>
      <w:r w:rsidRPr="00F81E66">
        <w:rPr>
          <w:szCs w:val="22"/>
        </w:rPr>
        <w:t>hepatologist</w:t>
      </w:r>
      <w:proofErr w:type="spellEnd"/>
      <w:r w:rsidRPr="00F81E66">
        <w:rPr>
          <w:szCs w:val="22"/>
        </w:rPr>
        <w:t xml:space="preserve"> or infectious disease physician). The PBAC considered that an Authority </w:t>
      </w:r>
      <w:proofErr w:type="gramStart"/>
      <w:r w:rsidRPr="00F81E66">
        <w:rPr>
          <w:szCs w:val="22"/>
        </w:rPr>
        <w:t>Required</w:t>
      </w:r>
      <w:proofErr w:type="gramEnd"/>
      <w:r w:rsidRPr="00F81E66">
        <w:rPr>
          <w:szCs w:val="22"/>
        </w:rPr>
        <w:t xml:space="preserve"> listing was appropriate, but whether this Authority is written, telephone or streamlined remains to be finalised.</w:t>
      </w:r>
      <w:r w:rsidR="00CA44C3" w:rsidRPr="00F81E66">
        <w:rPr>
          <w:szCs w:val="22"/>
        </w:rPr>
        <w:t xml:space="preserve"> The conditions of the listing would also depend on the final registered</w:t>
      </w:r>
      <w:r w:rsidR="00BC1FB2" w:rsidRPr="00F81E66">
        <w:rPr>
          <w:szCs w:val="22"/>
        </w:rPr>
        <w:t xml:space="preserve"> Product</w:t>
      </w:r>
      <w:r w:rsidR="00CA44C3" w:rsidRPr="00F81E66">
        <w:rPr>
          <w:szCs w:val="22"/>
        </w:rPr>
        <w:t xml:space="preserve"> Information.</w:t>
      </w:r>
    </w:p>
    <w:p w:rsidR="00D24544" w:rsidRPr="00F81E66" w:rsidRDefault="00D24544" w:rsidP="00F81E66">
      <w:pPr>
        <w:rPr>
          <w:szCs w:val="22"/>
        </w:rPr>
      </w:pPr>
    </w:p>
    <w:p w:rsidR="008C6410" w:rsidRPr="008C6410" w:rsidRDefault="00D24544" w:rsidP="008C6410">
      <w:pPr>
        <w:pStyle w:val="ListParagraph"/>
        <w:widowControl/>
        <w:rPr>
          <w:szCs w:val="22"/>
        </w:rPr>
      </w:pPr>
      <w:r w:rsidRPr="00B77894">
        <w:rPr>
          <w:i/>
          <w:szCs w:val="22"/>
        </w:rPr>
        <w:t>For more detail on PBAC’s view, see section 7 “PBAC outcome</w:t>
      </w:r>
      <w:r w:rsidR="00B77894" w:rsidRPr="00B77894">
        <w:rPr>
          <w:i/>
          <w:szCs w:val="22"/>
        </w:rPr>
        <w:t>”</w:t>
      </w:r>
      <w:r w:rsidR="00BB2672">
        <w:rPr>
          <w:i/>
          <w:szCs w:val="22"/>
        </w:rPr>
        <w:t>.</w:t>
      </w:r>
    </w:p>
    <w:p w:rsidR="00DA7682" w:rsidRDefault="00DA7682" w:rsidP="004B1CB4"/>
    <w:p w:rsidR="00E91BF7" w:rsidRDefault="00E91BF7" w:rsidP="004B1CB4"/>
    <w:p w:rsidR="00E91BF7" w:rsidRDefault="00E91BF7" w:rsidP="004B1CB4"/>
    <w:p w:rsidR="00E91BF7" w:rsidRDefault="00E91BF7" w:rsidP="004B1CB4"/>
    <w:p w:rsidR="00F253E9" w:rsidRPr="00882085" w:rsidRDefault="00F253E9" w:rsidP="004B1CB4"/>
    <w:p w:rsidR="00B50DB8" w:rsidRPr="00407F2D" w:rsidRDefault="00B50DB8" w:rsidP="00BD6CF3">
      <w:pPr>
        <w:pStyle w:val="PBACHeading1"/>
      </w:pPr>
      <w:bookmarkStart w:id="3" w:name="_Toc409610861"/>
      <w:r w:rsidRPr="00407F2D">
        <w:lastRenderedPageBreak/>
        <w:t>Background</w:t>
      </w:r>
      <w:bookmarkEnd w:id="3"/>
    </w:p>
    <w:p w:rsidR="00B60939" w:rsidRPr="00882085" w:rsidRDefault="00B60939" w:rsidP="00B60939">
      <w:pPr>
        <w:rPr>
          <w:szCs w:val="22"/>
        </w:rPr>
      </w:pPr>
    </w:p>
    <w:p w:rsidR="00CF50A4" w:rsidRPr="00FC207C" w:rsidRDefault="004B0BED" w:rsidP="00C768A3">
      <w:pPr>
        <w:pStyle w:val="ListParagraph"/>
        <w:widowControl/>
        <w:numPr>
          <w:ilvl w:val="1"/>
          <w:numId w:val="1"/>
        </w:numPr>
      </w:pPr>
      <w:r w:rsidRPr="00FC207C">
        <w:rPr>
          <w:b/>
        </w:rPr>
        <w:t xml:space="preserve">TGA status at time of </w:t>
      </w:r>
      <w:r w:rsidR="002D6284">
        <w:rPr>
          <w:b/>
        </w:rPr>
        <w:t>PBAC consideration</w:t>
      </w:r>
      <w:r w:rsidRPr="00FC207C">
        <w:t xml:space="preserve">: </w:t>
      </w:r>
      <w:r w:rsidR="00CF50A4" w:rsidRPr="00FC207C">
        <w:t xml:space="preserve">The submission was made under TGA/PBAC Parallel Process. </w:t>
      </w:r>
      <w:r w:rsidR="00FC207C" w:rsidRPr="00D24544">
        <w:t>The clinical evaluation report for daclatasvir was provided on 30 January 2015</w:t>
      </w:r>
      <w:r w:rsidR="00CF50A4" w:rsidRPr="00D24544">
        <w:t xml:space="preserve">. </w:t>
      </w:r>
      <w:r w:rsidR="00CF50A4" w:rsidRPr="00FC207C">
        <w:t xml:space="preserve">The TGA delegate’s overview was </w:t>
      </w:r>
      <w:r w:rsidR="00D24544">
        <w:t>provided on 3</w:t>
      </w:r>
      <w:r w:rsidR="00D24544" w:rsidRPr="008F507E">
        <w:rPr>
          <w:vertAlign w:val="superscript"/>
        </w:rPr>
        <w:t>rd</w:t>
      </w:r>
      <w:r w:rsidR="00D24544">
        <w:t xml:space="preserve"> March 2015</w:t>
      </w:r>
      <w:r w:rsidR="00CF50A4" w:rsidRPr="00FC207C">
        <w:t>, and would be considered at the ACPM meeting to be held on 15</w:t>
      </w:r>
      <w:r w:rsidR="00CF50A4" w:rsidRPr="00FC207C">
        <w:rPr>
          <w:vertAlign w:val="superscript"/>
        </w:rPr>
        <w:t>th</w:t>
      </w:r>
      <w:r w:rsidR="00CF50A4" w:rsidRPr="00FC207C">
        <w:t xml:space="preserve"> May 2015.</w:t>
      </w:r>
    </w:p>
    <w:p w:rsidR="00CF50A4" w:rsidRPr="00882085" w:rsidRDefault="00CF50A4" w:rsidP="00CF50A4">
      <w:pPr>
        <w:pStyle w:val="ListParagraph"/>
        <w:rPr>
          <w:szCs w:val="22"/>
        </w:rPr>
      </w:pPr>
    </w:p>
    <w:p w:rsidR="00CF50A4" w:rsidRPr="00F63892" w:rsidRDefault="00CF50A4" w:rsidP="00C768A3">
      <w:pPr>
        <w:pStyle w:val="ListParagraph"/>
        <w:widowControl/>
        <w:numPr>
          <w:ilvl w:val="1"/>
          <w:numId w:val="1"/>
        </w:numPr>
        <w:rPr>
          <w:szCs w:val="22"/>
        </w:rPr>
      </w:pPr>
      <w:r>
        <w:rPr>
          <w:szCs w:val="22"/>
        </w:rPr>
        <w:t>Daclatasvir</w:t>
      </w:r>
      <w:r w:rsidRPr="00F63892">
        <w:rPr>
          <w:szCs w:val="22"/>
        </w:rPr>
        <w:t xml:space="preserve"> had not </w:t>
      </w:r>
      <w:r>
        <w:rPr>
          <w:szCs w:val="22"/>
        </w:rPr>
        <w:t xml:space="preserve">been </w:t>
      </w:r>
      <w:r w:rsidRPr="00F63892">
        <w:rPr>
          <w:szCs w:val="22"/>
        </w:rPr>
        <w:t>previously considered by the PBAC</w:t>
      </w:r>
      <w:r w:rsidR="007D448D" w:rsidRPr="00F63892">
        <w:rPr>
          <w:szCs w:val="22"/>
        </w:rPr>
        <w:t>.</w:t>
      </w:r>
    </w:p>
    <w:p w:rsidR="001F6F48" w:rsidRDefault="001F6F48" w:rsidP="004B1CB4"/>
    <w:p w:rsidR="00F253E9" w:rsidRPr="00882085" w:rsidRDefault="00F253E9" w:rsidP="004B1CB4"/>
    <w:p w:rsidR="00B50DB8" w:rsidRPr="00407F2D" w:rsidRDefault="00B50DB8" w:rsidP="00BD6CF3">
      <w:pPr>
        <w:pStyle w:val="PBACHeading1"/>
      </w:pPr>
      <w:bookmarkStart w:id="4" w:name="_Toc409610862"/>
      <w:r w:rsidRPr="00407F2D">
        <w:t>Clinical place for the proposed therapy</w:t>
      </w:r>
      <w:bookmarkEnd w:id="4"/>
    </w:p>
    <w:p w:rsidR="00B60939" w:rsidRPr="00882085" w:rsidRDefault="00B60939" w:rsidP="00B60939">
      <w:pPr>
        <w:rPr>
          <w:szCs w:val="22"/>
        </w:rPr>
      </w:pPr>
    </w:p>
    <w:p w:rsidR="00B60939" w:rsidRPr="00D14882" w:rsidRDefault="00D14882" w:rsidP="00C768A3">
      <w:pPr>
        <w:pStyle w:val="ListParagraph"/>
        <w:widowControl/>
        <w:numPr>
          <w:ilvl w:val="1"/>
          <w:numId w:val="1"/>
        </w:numPr>
        <w:rPr>
          <w:szCs w:val="22"/>
        </w:rPr>
      </w:pPr>
      <w:r w:rsidRPr="00D14882">
        <w:t xml:space="preserve">HCV infection is a major cause of chronic liver disease. The cycle of viral reproduction within hepatic cells and the response by the host immune system to the infection results in damage to the host’s liver. Chronic infection can lead to scarring of the liver and ultimately to cirrhosis. In some cases, patients with liver cirrhosis develop liver failure, liver cancer or life-threatening oesophageal and gastric HCV. Currently, Genotype 1 or Genotype 3 </w:t>
      </w:r>
      <w:r w:rsidR="00CF50A4">
        <w:t xml:space="preserve">HCV </w:t>
      </w:r>
      <w:r w:rsidRPr="00D14882">
        <w:t>account for 88-92% of infections in Australia.</w:t>
      </w:r>
    </w:p>
    <w:p w:rsidR="00D14882" w:rsidRPr="00D14882" w:rsidRDefault="00D14882" w:rsidP="00D14882">
      <w:pPr>
        <w:pStyle w:val="ListParagraph"/>
        <w:widowControl/>
        <w:rPr>
          <w:szCs w:val="22"/>
        </w:rPr>
      </w:pPr>
    </w:p>
    <w:p w:rsidR="00CF50A4" w:rsidRDefault="00CF50A4" w:rsidP="00C768A3">
      <w:pPr>
        <w:pStyle w:val="ListParagraph"/>
        <w:widowControl/>
        <w:numPr>
          <w:ilvl w:val="1"/>
          <w:numId w:val="1"/>
        </w:numPr>
        <w:rPr>
          <w:szCs w:val="22"/>
        </w:rPr>
      </w:pPr>
      <w:r w:rsidRPr="00D14882">
        <w:rPr>
          <w:szCs w:val="22"/>
        </w:rPr>
        <w:t>Currently, the PBS reimburses direct acting antivira</w:t>
      </w:r>
      <w:r w:rsidR="00AF42C2">
        <w:rPr>
          <w:szCs w:val="22"/>
        </w:rPr>
        <w:t xml:space="preserve">ls (DAAs), including </w:t>
      </w:r>
      <w:proofErr w:type="spellStart"/>
      <w:r w:rsidR="00AF42C2">
        <w:rPr>
          <w:szCs w:val="22"/>
        </w:rPr>
        <w:t>boceprevir</w:t>
      </w:r>
      <w:proofErr w:type="spellEnd"/>
      <w:r w:rsidR="00AF42C2">
        <w:rPr>
          <w:szCs w:val="22"/>
        </w:rPr>
        <w:t xml:space="preserve">, </w:t>
      </w:r>
      <w:r w:rsidRPr="00D14882">
        <w:rPr>
          <w:szCs w:val="22"/>
        </w:rPr>
        <w:t xml:space="preserve">telaprevir </w:t>
      </w:r>
      <w:r w:rsidR="00AF42C2">
        <w:rPr>
          <w:szCs w:val="22"/>
        </w:rPr>
        <w:t xml:space="preserve">and </w:t>
      </w:r>
      <w:proofErr w:type="spellStart"/>
      <w:r w:rsidR="00AF42C2">
        <w:rPr>
          <w:szCs w:val="22"/>
        </w:rPr>
        <w:t>simeprevir</w:t>
      </w:r>
      <w:proofErr w:type="spellEnd"/>
      <w:r w:rsidR="00AF42C2">
        <w:rPr>
          <w:szCs w:val="22"/>
        </w:rPr>
        <w:t xml:space="preserve"> (three</w:t>
      </w:r>
      <w:r w:rsidRPr="00D14882">
        <w:rPr>
          <w:szCs w:val="22"/>
        </w:rPr>
        <w:t xml:space="preserve"> HCV NS3/4A inhibitors, </w:t>
      </w:r>
      <w:r w:rsidR="00AF42C2">
        <w:rPr>
          <w:szCs w:val="22"/>
        </w:rPr>
        <w:t>all</w:t>
      </w:r>
      <w:r w:rsidRPr="00D14882">
        <w:rPr>
          <w:szCs w:val="22"/>
        </w:rPr>
        <w:t xml:space="preserve"> of which must be used in combination with PR), for the treatment of HCV </w:t>
      </w:r>
      <w:r>
        <w:rPr>
          <w:szCs w:val="22"/>
        </w:rPr>
        <w:t>g</w:t>
      </w:r>
      <w:r w:rsidRPr="00D14882">
        <w:rPr>
          <w:szCs w:val="22"/>
        </w:rPr>
        <w:t xml:space="preserve">enotype 1. In addition, the PBS reimburses </w:t>
      </w:r>
      <w:proofErr w:type="spellStart"/>
      <w:r w:rsidRPr="00D14882">
        <w:rPr>
          <w:szCs w:val="22"/>
        </w:rPr>
        <w:t>peginterferon</w:t>
      </w:r>
      <w:proofErr w:type="spellEnd"/>
      <w:r w:rsidRPr="00D14882">
        <w:rPr>
          <w:szCs w:val="22"/>
        </w:rPr>
        <w:t xml:space="preserve"> alfa-2a or alfa-2b in combination with ribavirin for the treatment of </w:t>
      </w:r>
      <w:r>
        <w:rPr>
          <w:szCs w:val="22"/>
        </w:rPr>
        <w:t>g</w:t>
      </w:r>
      <w:r w:rsidRPr="00D14882">
        <w:rPr>
          <w:szCs w:val="22"/>
        </w:rPr>
        <w:t>enotypes 1-6 HCV.</w:t>
      </w:r>
    </w:p>
    <w:p w:rsidR="00DE6D9F" w:rsidRDefault="00DE6D9F" w:rsidP="00DE6D9F">
      <w:pPr>
        <w:pStyle w:val="ListParagraph"/>
        <w:widowControl/>
        <w:rPr>
          <w:szCs w:val="22"/>
        </w:rPr>
      </w:pPr>
    </w:p>
    <w:p w:rsidR="0078749F" w:rsidRPr="0078749F" w:rsidRDefault="00CF50A4" w:rsidP="00C768A3">
      <w:pPr>
        <w:pStyle w:val="ListParagraph"/>
        <w:widowControl/>
        <w:numPr>
          <w:ilvl w:val="1"/>
          <w:numId w:val="1"/>
        </w:numPr>
        <w:rPr>
          <w:szCs w:val="22"/>
        </w:rPr>
      </w:pPr>
      <w:r>
        <w:rPr>
          <w:szCs w:val="22"/>
        </w:rPr>
        <w:t xml:space="preserve">The proposed treatment regimen of DCV+SOF provides an all-oral, interferon and ribavirin free option for HCV patients of all genotypes, regardless of their previous treatment history. Daclatasvir </w:t>
      </w:r>
      <w:r w:rsidRPr="00D610EE">
        <w:rPr>
          <w:szCs w:val="22"/>
        </w:rPr>
        <w:t>is a</w:t>
      </w:r>
      <w:r>
        <w:rPr>
          <w:szCs w:val="22"/>
        </w:rPr>
        <w:t>n oral DAA and a</w:t>
      </w:r>
      <w:r w:rsidRPr="00D610EE">
        <w:rPr>
          <w:szCs w:val="22"/>
        </w:rPr>
        <w:t xml:space="preserve"> pan-genotypic inhibitor of NS5A, a multifunctional protein that is an essential component of </w:t>
      </w:r>
      <w:r>
        <w:rPr>
          <w:szCs w:val="22"/>
        </w:rPr>
        <w:t xml:space="preserve">the </w:t>
      </w:r>
      <w:r w:rsidRPr="00D610EE">
        <w:rPr>
          <w:szCs w:val="22"/>
        </w:rPr>
        <w:t>HCV replication complex.</w:t>
      </w:r>
      <w:r>
        <w:rPr>
          <w:szCs w:val="22"/>
        </w:rPr>
        <w:t xml:space="preserve"> Sofosbuvir is also an oral DAA that can be used to treat HCV genotypes 1-6. </w:t>
      </w:r>
      <w:r w:rsidRPr="00C12F5F">
        <w:rPr>
          <w:szCs w:val="22"/>
        </w:rPr>
        <w:t>The dose regimen proposed in the submission was daclatasvir 60mg once daily, in combination with sofosbuvir 400mg once daily with food, for 12 weeks.</w:t>
      </w:r>
    </w:p>
    <w:p w:rsidR="00E55BB5" w:rsidRDefault="00E55BB5" w:rsidP="00B60939">
      <w:pPr>
        <w:pStyle w:val="Header"/>
        <w:rPr>
          <w:szCs w:val="22"/>
        </w:rPr>
      </w:pPr>
    </w:p>
    <w:p w:rsidR="001F6F48" w:rsidRPr="00882085" w:rsidRDefault="001F6F48" w:rsidP="00B60939">
      <w:pPr>
        <w:pStyle w:val="Header"/>
        <w:rPr>
          <w:szCs w:val="22"/>
        </w:rPr>
      </w:pPr>
    </w:p>
    <w:p w:rsidR="00B50DB8" w:rsidRPr="00407F2D" w:rsidRDefault="00B50DB8" w:rsidP="003B2A3C">
      <w:pPr>
        <w:pStyle w:val="Header"/>
        <w:widowControl/>
        <w:numPr>
          <w:ilvl w:val="0"/>
          <w:numId w:val="1"/>
        </w:numPr>
        <w:tabs>
          <w:tab w:val="clear" w:pos="4513"/>
          <w:tab w:val="clear" w:pos="9026"/>
        </w:tabs>
        <w:ind w:left="709" w:hanging="709"/>
        <w:jc w:val="left"/>
        <w:rPr>
          <w:b/>
          <w:szCs w:val="22"/>
        </w:rPr>
      </w:pPr>
      <w:r w:rsidRPr="00407F2D">
        <w:rPr>
          <w:b/>
          <w:szCs w:val="22"/>
        </w:rPr>
        <w:t>Comparator</w:t>
      </w:r>
    </w:p>
    <w:p w:rsidR="00B60939" w:rsidRPr="00882085" w:rsidRDefault="00B60939" w:rsidP="004B1CB4"/>
    <w:p w:rsidR="007D448D" w:rsidRDefault="00CF50A4" w:rsidP="003673C1">
      <w:pPr>
        <w:pStyle w:val="ListParagraph"/>
        <w:widowControl/>
        <w:numPr>
          <w:ilvl w:val="1"/>
          <w:numId w:val="7"/>
        </w:numPr>
        <w:rPr>
          <w:szCs w:val="22"/>
        </w:rPr>
      </w:pPr>
      <w:r w:rsidRPr="00665DA1">
        <w:t>The submission nominate</w:t>
      </w:r>
      <w:r>
        <w:t>d</w:t>
      </w:r>
      <w:r w:rsidRPr="00665DA1">
        <w:t xml:space="preserve"> a protease inhibitor plus PR as the main comparator for DCV+SOF in HCV genotype 1 </w:t>
      </w:r>
      <w:proofErr w:type="gramStart"/>
      <w:r w:rsidRPr="00665DA1">
        <w:t>patients,</w:t>
      </w:r>
      <w:proofErr w:type="gramEnd"/>
      <w:r w:rsidRPr="00665DA1">
        <w:t xml:space="preserve"> and PR as the main comparator in HCV genotype 2-6 patients</w:t>
      </w:r>
      <w:r w:rsidRPr="00464929">
        <w:t xml:space="preserve">. These may be appropriate comparators for those patients who are currently seeking active HCV treatment. </w:t>
      </w:r>
      <w:r w:rsidR="003673C1" w:rsidRPr="003673C1">
        <w:t>However many HCV patients are not undertaking therapy because current interferon-based therapies are often not tolerated well.</w:t>
      </w:r>
      <w:r w:rsidR="00567127">
        <w:t xml:space="preserve"> </w:t>
      </w:r>
      <w:r w:rsidRPr="00464929">
        <w:t>At the July 2014 PBAC meeting the Committee considered that the appropriate comparator should be ‘no treatment’ (</w:t>
      </w:r>
      <w:r w:rsidRPr="00464929">
        <w:rPr>
          <w:szCs w:val="22"/>
        </w:rPr>
        <w:t xml:space="preserve">Paragraph 7.5, 5.17 Sofosbuvir, PSD – July 2014 PBAC meeting). </w:t>
      </w:r>
    </w:p>
    <w:p w:rsidR="00790214" w:rsidRPr="00790214" w:rsidRDefault="00790214" w:rsidP="00790214">
      <w:pPr>
        <w:pStyle w:val="PBACHeading1"/>
        <w:numPr>
          <w:ilvl w:val="0"/>
          <w:numId w:val="0"/>
        </w:numPr>
        <w:ind w:left="720" w:hanging="720"/>
      </w:pPr>
    </w:p>
    <w:p w:rsidR="00B60939" w:rsidRPr="00567127" w:rsidRDefault="000C036B" w:rsidP="003673C1">
      <w:pPr>
        <w:pStyle w:val="ListParagraph"/>
        <w:widowControl/>
        <w:numPr>
          <w:ilvl w:val="1"/>
          <w:numId w:val="7"/>
        </w:numPr>
        <w:rPr>
          <w:szCs w:val="22"/>
        </w:rPr>
      </w:pPr>
      <w:r w:rsidRPr="00567127">
        <w:rPr>
          <w:szCs w:val="22"/>
        </w:rPr>
        <w:t>The ESC noted that in the context of the growing preference for IFN-free therapy, the most relevant comparator was no treatment</w:t>
      </w:r>
      <w:r w:rsidR="00D24544" w:rsidRPr="00567127">
        <w:rPr>
          <w:szCs w:val="22"/>
        </w:rPr>
        <w:t>.</w:t>
      </w:r>
      <w:r w:rsidR="00CF50A4" w:rsidRPr="00567127">
        <w:rPr>
          <w:szCs w:val="22"/>
        </w:rPr>
        <w:t xml:space="preserve"> </w:t>
      </w:r>
    </w:p>
    <w:p w:rsidR="001F6F48" w:rsidRDefault="001F6F48" w:rsidP="00DF5D2B">
      <w:pPr>
        <w:rPr>
          <w:szCs w:val="22"/>
        </w:rPr>
      </w:pPr>
    </w:p>
    <w:p w:rsidR="00F253E9" w:rsidRPr="00DF5D2B" w:rsidRDefault="00F253E9" w:rsidP="00DF5D2B">
      <w:pPr>
        <w:rPr>
          <w:szCs w:val="22"/>
        </w:rPr>
      </w:pPr>
    </w:p>
    <w:p w:rsidR="00B50DB8" w:rsidRPr="00407F2D" w:rsidRDefault="00BD6CF3" w:rsidP="00BD6CF3">
      <w:pPr>
        <w:pStyle w:val="PBACHeading1"/>
      </w:pPr>
      <w:bookmarkStart w:id="5" w:name="_Toc409610863"/>
      <w:r>
        <w:t>C</w:t>
      </w:r>
      <w:r w:rsidR="00B50DB8" w:rsidRPr="00407F2D">
        <w:t>onsideration of the evidence</w:t>
      </w:r>
      <w:bookmarkEnd w:id="5"/>
    </w:p>
    <w:p w:rsidR="00D24544" w:rsidRDefault="00D24544" w:rsidP="00D24544">
      <w:pPr>
        <w:rPr>
          <w:b/>
          <w:i/>
          <w:szCs w:val="22"/>
        </w:rPr>
      </w:pPr>
    </w:p>
    <w:p w:rsidR="00D24544" w:rsidRPr="00F253E9" w:rsidRDefault="00D24544" w:rsidP="00E91BF7">
      <w:pPr>
        <w:pStyle w:val="Heading2"/>
      </w:pPr>
      <w:r w:rsidRPr="00F253E9">
        <w:t>Sponsor hearing</w:t>
      </w:r>
    </w:p>
    <w:p w:rsidR="00D24544" w:rsidRPr="00882085" w:rsidRDefault="00D24544" w:rsidP="00D24544">
      <w:pPr>
        <w:ind w:left="709"/>
        <w:rPr>
          <w:b/>
          <w:szCs w:val="22"/>
        </w:rPr>
      </w:pPr>
    </w:p>
    <w:p w:rsidR="00D24544" w:rsidRDefault="00927341" w:rsidP="00927341">
      <w:pPr>
        <w:pStyle w:val="ListParagraph"/>
        <w:widowControl/>
        <w:numPr>
          <w:ilvl w:val="1"/>
          <w:numId w:val="1"/>
        </w:numPr>
        <w:rPr>
          <w:szCs w:val="22"/>
        </w:rPr>
      </w:pPr>
      <w:r w:rsidRPr="00927341">
        <w:rPr>
          <w:szCs w:val="22"/>
        </w:rPr>
        <w:t>There was no hearing for this treatment combination.</w:t>
      </w:r>
    </w:p>
    <w:p w:rsidR="00B77894" w:rsidRDefault="00B77894" w:rsidP="00B77894">
      <w:pPr>
        <w:pStyle w:val="PBACHeading1"/>
        <w:numPr>
          <w:ilvl w:val="0"/>
          <w:numId w:val="0"/>
        </w:numPr>
        <w:ind w:left="720" w:hanging="720"/>
      </w:pPr>
    </w:p>
    <w:p w:rsidR="00D24544" w:rsidRPr="00F253E9" w:rsidRDefault="00D24544" w:rsidP="00E91BF7">
      <w:pPr>
        <w:pStyle w:val="Heading2"/>
      </w:pPr>
      <w:r w:rsidRPr="00F253E9">
        <w:t>Consumer comments</w:t>
      </w:r>
    </w:p>
    <w:p w:rsidR="00D24544" w:rsidRDefault="00D24544" w:rsidP="00D24544">
      <w:pPr>
        <w:pStyle w:val="ListParagraph"/>
        <w:ind w:left="709"/>
        <w:rPr>
          <w:szCs w:val="22"/>
        </w:rPr>
      </w:pPr>
    </w:p>
    <w:p w:rsidR="00D24544" w:rsidRDefault="008C3416" w:rsidP="008C3416">
      <w:pPr>
        <w:pStyle w:val="ListParagraph"/>
        <w:widowControl/>
        <w:numPr>
          <w:ilvl w:val="1"/>
          <w:numId w:val="1"/>
        </w:numPr>
        <w:rPr>
          <w:szCs w:val="22"/>
        </w:rPr>
      </w:pPr>
      <w:r w:rsidRPr="008C3416">
        <w:rPr>
          <w:szCs w:val="22"/>
        </w:rPr>
        <w:t>The PBAC noted and welcomed the input from individuals (</w:t>
      </w:r>
      <w:r>
        <w:rPr>
          <w:szCs w:val="22"/>
        </w:rPr>
        <w:t>172</w:t>
      </w:r>
      <w:r w:rsidRPr="008C3416">
        <w:rPr>
          <w:szCs w:val="22"/>
        </w:rPr>
        <w:t>), health care professionals (</w:t>
      </w:r>
      <w:r>
        <w:rPr>
          <w:szCs w:val="22"/>
        </w:rPr>
        <w:t>16</w:t>
      </w:r>
      <w:r w:rsidRPr="008C3416">
        <w:rPr>
          <w:szCs w:val="22"/>
        </w:rPr>
        <w:t>) and organisations (</w:t>
      </w:r>
      <w:r>
        <w:rPr>
          <w:szCs w:val="22"/>
        </w:rPr>
        <w:t>18</w:t>
      </w:r>
      <w:r w:rsidRPr="008C3416">
        <w:rPr>
          <w:szCs w:val="22"/>
        </w:rPr>
        <w:t>) via the Consumer Comments facility on the PBS website.</w:t>
      </w:r>
      <w:r w:rsidR="00976D9E">
        <w:rPr>
          <w:szCs w:val="22"/>
        </w:rPr>
        <w:t xml:space="preserve"> </w:t>
      </w:r>
      <w:r w:rsidRPr="008C3416">
        <w:rPr>
          <w:szCs w:val="22"/>
        </w:rPr>
        <w:t xml:space="preserve">The PBAC noted the correspondence from </w:t>
      </w:r>
      <w:r w:rsidR="00976D9E">
        <w:rPr>
          <w:szCs w:val="22"/>
        </w:rPr>
        <w:t>the Gastroenterological Society of Australia (</w:t>
      </w:r>
      <w:r w:rsidRPr="008C3416">
        <w:rPr>
          <w:szCs w:val="22"/>
        </w:rPr>
        <w:t>GESA</w:t>
      </w:r>
      <w:r w:rsidR="00976D9E">
        <w:rPr>
          <w:szCs w:val="22"/>
        </w:rPr>
        <w:t>)</w:t>
      </w:r>
      <w:r w:rsidRPr="008C3416">
        <w:rPr>
          <w:szCs w:val="22"/>
        </w:rPr>
        <w:t xml:space="preserve"> on use of D</w:t>
      </w:r>
      <w:r w:rsidR="00976D9E">
        <w:rPr>
          <w:szCs w:val="22"/>
        </w:rPr>
        <w:t>A</w:t>
      </w:r>
      <w:r w:rsidRPr="008C3416">
        <w:rPr>
          <w:szCs w:val="22"/>
        </w:rPr>
        <w:t>As in the treatment of patients with liver cirrhosis and severe portal hypertension, decompensated liver disease, or patients post liver transplant. The large number of comments highlighted the benefit of the availability of a curative treatment that should be made available for all infected individual</w:t>
      </w:r>
      <w:r w:rsidR="00A77EDF">
        <w:rPr>
          <w:szCs w:val="22"/>
        </w:rPr>
        <w:t>s and</w:t>
      </w:r>
      <w:r w:rsidRPr="008C3416">
        <w:rPr>
          <w:szCs w:val="22"/>
        </w:rPr>
        <w:t xml:space="preserve"> the improved quality of life as well as the side effects associated with the current treatments</w:t>
      </w:r>
      <w:r w:rsidR="00A77EDF">
        <w:rPr>
          <w:szCs w:val="22"/>
        </w:rPr>
        <w:t xml:space="preserve"> that would be </w:t>
      </w:r>
      <w:r w:rsidR="00A77EDF" w:rsidRPr="00A77EDF">
        <w:rPr>
          <w:szCs w:val="22"/>
        </w:rPr>
        <w:t>avoided</w:t>
      </w:r>
      <w:r w:rsidRPr="008C3416">
        <w:rPr>
          <w:szCs w:val="22"/>
        </w:rPr>
        <w:t xml:space="preserve">. The PBAC noted the patient preference for treatments with shorter durations, such </w:t>
      </w:r>
      <w:r w:rsidR="00A77EDF">
        <w:rPr>
          <w:szCs w:val="22"/>
        </w:rPr>
        <w:t xml:space="preserve">as </w:t>
      </w:r>
      <w:r w:rsidRPr="008C3416">
        <w:rPr>
          <w:szCs w:val="22"/>
        </w:rPr>
        <w:t xml:space="preserve">12 weeks compared to 24 weeks.  </w:t>
      </w:r>
    </w:p>
    <w:p w:rsidR="00513264" w:rsidRDefault="00513264" w:rsidP="00513264">
      <w:pPr>
        <w:pStyle w:val="PBACHeading1"/>
        <w:numPr>
          <w:ilvl w:val="0"/>
          <w:numId w:val="0"/>
        </w:numPr>
        <w:ind w:left="720" w:hanging="720"/>
      </w:pPr>
    </w:p>
    <w:p w:rsidR="003673C1" w:rsidRDefault="00F37D60" w:rsidP="003673C1">
      <w:pPr>
        <w:pStyle w:val="ListParagraph"/>
        <w:widowControl/>
        <w:numPr>
          <w:ilvl w:val="1"/>
          <w:numId w:val="1"/>
        </w:numPr>
      </w:pPr>
      <w:r>
        <w:t xml:space="preserve">Representatives of the PBAC met with </w:t>
      </w:r>
      <w:r w:rsidR="003673C1">
        <w:t xml:space="preserve">Hepatitis Australia, Hepatitis NSW, the Australian Injecting and the Illicit Drug User’s League </w:t>
      </w:r>
      <w:r>
        <w:t>prior to the PBAC meeting, and reported the following key points to the PBAC in relation to the agenda items for the treatment of Hepatitis C:</w:t>
      </w:r>
      <w:r w:rsidR="003673C1">
        <w:t xml:space="preserve"> </w:t>
      </w:r>
    </w:p>
    <w:p w:rsidR="003673C1" w:rsidRDefault="003673C1" w:rsidP="003673C1">
      <w:pPr>
        <w:pStyle w:val="ListParagraph"/>
        <w:widowControl/>
        <w:numPr>
          <w:ilvl w:val="1"/>
          <w:numId w:val="22"/>
        </w:numPr>
      </w:pPr>
      <w:r>
        <w:t xml:space="preserve">The high burden of disease associated with </w:t>
      </w:r>
      <w:r w:rsidR="00790214">
        <w:t>HCV</w:t>
      </w:r>
      <w:r>
        <w:t xml:space="preserve"> infection was noted, and the urgent need for new treatments acknowledged.  The significant adverse reactions associated with interferon-based therapies effectively eliminate these regimens as an option for some patients.</w:t>
      </w:r>
    </w:p>
    <w:p w:rsidR="003673C1" w:rsidRDefault="003673C1" w:rsidP="0063710F">
      <w:pPr>
        <w:pStyle w:val="ListParagraph"/>
        <w:widowControl/>
        <w:numPr>
          <w:ilvl w:val="1"/>
          <w:numId w:val="22"/>
        </w:numPr>
        <w:spacing w:before="240"/>
      </w:pPr>
      <w:r>
        <w:t xml:space="preserve">Concern about not having any treatment (the so-called “warehousing” practice adopted by clinicians), lack of access to transient </w:t>
      </w:r>
      <w:proofErr w:type="spellStart"/>
      <w:r>
        <w:t>elastography</w:t>
      </w:r>
      <w:proofErr w:type="spellEnd"/>
      <w:r w:rsidR="00F37D60">
        <w:t xml:space="preserve"> </w:t>
      </w:r>
      <w:r w:rsidR="001D7B0D">
        <w:t xml:space="preserve">(including </w:t>
      </w:r>
      <w:proofErr w:type="spellStart"/>
      <w:r w:rsidR="001D7B0D" w:rsidRPr="00F37D60">
        <w:t>FibroScan</w:t>
      </w:r>
      <w:proofErr w:type="spellEnd"/>
      <w:r w:rsidR="001D7B0D" w:rsidRPr="00F37D60">
        <w:rPr>
          <w:vertAlign w:val="superscript"/>
        </w:rPr>
        <w:t>®</w:t>
      </w:r>
      <w:r w:rsidR="001D7B0D">
        <w:t>)</w:t>
      </w:r>
      <w:r w:rsidR="0063710F">
        <w:t xml:space="preserve"> </w:t>
      </w:r>
      <w:r>
        <w:t xml:space="preserve">and the lack of adequate follow-up for patients that are “warehoused” (i.e. where the patient is monitored but treatment is delayed).  A complex referral system does not work for many groups of Hepatitis C patients – for example, it was quoted in the meeting that in the ACT only 28 patients have had access to treatment in the previous 12 months. </w:t>
      </w:r>
    </w:p>
    <w:p w:rsidR="003673C1" w:rsidRDefault="003673C1" w:rsidP="003673C1">
      <w:pPr>
        <w:pStyle w:val="ListParagraph"/>
        <w:widowControl/>
        <w:numPr>
          <w:ilvl w:val="1"/>
          <w:numId w:val="22"/>
        </w:numPr>
      </w:pPr>
      <w:r>
        <w:t xml:space="preserve">Community expectation with regard to the new drugs for Hepatitis C is high, and there is a high level of anticipation with patients keenly aware that these drugs are available in markets outside Australia.  It was noted that these expectations were in place for a significant time before the sponsors chose to make reimbursement submissions to the PBAC.  </w:t>
      </w:r>
    </w:p>
    <w:p w:rsidR="003673C1" w:rsidRDefault="003673C1" w:rsidP="003673C1">
      <w:pPr>
        <w:pStyle w:val="ListParagraph"/>
        <w:widowControl/>
        <w:numPr>
          <w:ilvl w:val="1"/>
          <w:numId w:val="22"/>
        </w:numPr>
      </w:pPr>
      <w:r>
        <w:t xml:space="preserve">Co-ordinated treatment of HCV, particularly moving towards the control (and potentially </w:t>
      </w:r>
      <w:r w:rsidR="007143B7">
        <w:t>elimination</w:t>
      </w:r>
      <w:r>
        <w:t xml:space="preserve">) of the virus, would require health-system-wide approaches that are outside the remit of the PBAC.  </w:t>
      </w:r>
    </w:p>
    <w:p w:rsidR="003673C1" w:rsidRDefault="003673C1" w:rsidP="003673C1">
      <w:pPr>
        <w:pStyle w:val="ListParagraph"/>
        <w:widowControl/>
        <w:numPr>
          <w:ilvl w:val="1"/>
          <w:numId w:val="22"/>
        </w:numPr>
      </w:pPr>
      <w:r>
        <w:t>As the PBAC</w:t>
      </w:r>
      <w:r w:rsidR="00A77EDF">
        <w:t xml:space="preserve"> can recommend </w:t>
      </w:r>
      <w:r>
        <w:t xml:space="preserve">the circumstances under which PBS subsidy may be granted, elements such as whether to limit prescribing to specialists would be considered in potentially widening access.  The PBAC particularly noted the advice of consumer groups that a PBS listing </w:t>
      </w:r>
      <w:r w:rsidR="00A77EDF">
        <w:t>that li</w:t>
      </w:r>
      <w:r>
        <w:t>mit</w:t>
      </w:r>
      <w:r w:rsidR="00A77EDF">
        <w:t>ed</w:t>
      </w:r>
      <w:r>
        <w:t xml:space="preserve"> access based on disease severity would not be supported</w:t>
      </w:r>
      <w:r w:rsidR="00A77EDF">
        <w:t>.</w:t>
      </w:r>
      <w:r>
        <w:t xml:space="preserve">  </w:t>
      </w:r>
      <w:r w:rsidR="00A77EDF">
        <w:t>A listing that allowed</w:t>
      </w:r>
      <w:r>
        <w:t xml:space="preserve"> broad</w:t>
      </w:r>
      <w:r w:rsidR="00A77EDF">
        <w:t xml:space="preserve"> </w:t>
      </w:r>
      <w:r>
        <w:t xml:space="preserve">access was favoured.  </w:t>
      </w:r>
    </w:p>
    <w:p w:rsidR="003673C1" w:rsidRDefault="003673C1" w:rsidP="003673C1">
      <w:pPr>
        <w:pStyle w:val="ListParagraph"/>
        <w:widowControl/>
        <w:numPr>
          <w:ilvl w:val="1"/>
          <w:numId w:val="22"/>
        </w:numPr>
      </w:pPr>
      <w:r>
        <w:lastRenderedPageBreak/>
        <w:t>It was also noted that representatives felt that these drugs should be assessed for their capacity for providing a cure within a 12 week period, not as longer term treatment strategies.</w:t>
      </w:r>
    </w:p>
    <w:p w:rsidR="00F37D60" w:rsidRDefault="00F37D60" w:rsidP="00F37D60">
      <w:pPr>
        <w:widowControl/>
      </w:pPr>
    </w:p>
    <w:p w:rsidR="00513264" w:rsidRDefault="00F37D60" w:rsidP="00F37D60">
      <w:pPr>
        <w:pStyle w:val="ListParagraph"/>
        <w:widowControl/>
        <w:numPr>
          <w:ilvl w:val="1"/>
          <w:numId w:val="1"/>
        </w:numPr>
        <w:rPr>
          <w:szCs w:val="22"/>
        </w:rPr>
      </w:pPr>
      <w:r>
        <w:t>The PBAC noted and welcomed this input.</w:t>
      </w:r>
    </w:p>
    <w:p w:rsidR="008C3416" w:rsidRPr="008C3416" w:rsidRDefault="008C3416" w:rsidP="008C3416">
      <w:pPr>
        <w:pStyle w:val="PBACHeading1"/>
        <w:numPr>
          <w:ilvl w:val="0"/>
          <w:numId w:val="0"/>
        </w:numPr>
        <w:ind w:left="720" w:hanging="720"/>
      </w:pPr>
    </w:p>
    <w:p w:rsidR="00B77894" w:rsidRDefault="00B77894" w:rsidP="00B77894">
      <w:pPr>
        <w:ind w:firstLine="709"/>
        <w:rPr>
          <w:i/>
          <w:szCs w:val="22"/>
        </w:rPr>
      </w:pPr>
      <w:r w:rsidRPr="008C3416">
        <w:rPr>
          <w:i/>
          <w:szCs w:val="22"/>
        </w:rPr>
        <w:t>For more detail on PBAC’s view, see section 7 “PBAC outcome”</w:t>
      </w:r>
    </w:p>
    <w:p w:rsidR="00D24544" w:rsidRPr="00882085" w:rsidRDefault="00D24544" w:rsidP="00D24544"/>
    <w:p w:rsidR="00B60939" w:rsidRPr="00E91BF7" w:rsidRDefault="00B60939" w:rsidP="00E91BF7">
      <w:pPr>
        <w:pStyle w:val="Heading2"/>
      </w:pPr>
      <w:bookmarkStart w:id="6" w:name="_Toc409610864"/>
      <w:r w:rsidRPr="00E91BF7">
        <w:t xml:space="preserve">Clinical </w:t>
      </w:r>
      <w:r w:rsidR="001E0918" w:rsidRPr="00E91BF7">
        <w:t>study</w:t>
      </w:r>
      <w:bookmarkEnd w:id="6"/>
    </w:p>
    <w:p w:rsidR="00B60939" w:rsidRPr="00882085" w:rsidRDefault="00B60939" w:rsidP="00B60939">
      <w:pPr>
        <w:rPr>
          <w:szCs w:val="22"/>
        </w:rPr>
      </w:pPr>
    </w:p>
    <w:p w:rsidR="007F1017" w:rsidRPr="00790214" w:rsidRDefault="00C872A9" w:rsidP="00790214">
      <w:pPr>
        <w:pStyle w:val="ListParagraph"/>
        <w:widowControl/>
        <w:numPr>
          <w:ilvl w:val="1"/>
          <w:numId w:val="1"/>
        </w:numPr>
      </w:pPr>
      <w:r>
        <w:t>The submission wa</w:t>
      </w:r>
      <w:r w:rsidR="00BD17E4" w:rsidRPr="00BD17E4">
        <w:t xml:space="preserve">s based on one open-label randomised trial (Study 4040) comparing various dose regimens of DCV+SOF±R in </w:t>
      </w:r>
      <w:r w:rsidR="00922990">
        <w:t>treatment-n</w:t>
      </w:r>
      <w:r w:rsidR="00BD17E4" w:rsidRPr="00BD17E4">
        <w:t>aïve patients with</w:t>
      </w:r>
      <w:r w:rsidR="00DA2359">
        <w:t xml:space="preserve"> genotype 1</w:t>
      </w:r>
      <w:r w:rsidR="003C2B72">
        <w:t xml:space="preserve">, 2 and </w:t>
      </w:r>
      <w:r w:rsidR="00DA2359">
        <w:t xml:space="preserve">3 HCV </w:t>
      </w:r>
      <w:r>
        <w:t>as well as</w:t>
      </w:r>
      <w:r w:rsidR="00DA2359">
        <w:t xml:space="preserve"> </w:t>
      </w:r>
      <w:r w:rsidR="00922990">
        <w:t>treatment-experienced</w:t>
      </w:r>
      <w:r w:rsidR="00BD17E4" w:rsidRPr="00BD17E4">
        <w:t xml:space="preserve"> patients with genotype 1 HCV</w:t>
      </w:r>
      <w:r w:rsidR="00BD17E4">
        <w:t xml:space="preserve">. </w:t>
      </w:r>
      <w:r w:rsidR="00930EC2">
        <w:t xml:space="preserve">Study 4040 was an open-label study </w:t>
      </w:r>
      <w:r>
        <w:t xml:space="preserve">that </w:t>
      </w:r>
      <w:r w:rsidR="00930EC2">
        <w:t>in</w:t>
      </w:r>
      <w:r>
        <w:t>cluded</w:t>
      </w:r>
      <w:r w:rsidR="00930EC2" w:rsidRPr="00492E8C">
        <w:t xml:space="preserve"> 10 treatment groups (Groups A-J). The study design for Study 4040 is presented in</w:t>
      </w:r>
      <w:r w:rsidR="00695285">
        <w:t xml:space="preserve"> </w:t>
      </w:r>
      <w:r w:rsidR="00BB2672">
        <w:t>the figure below</w:t>
      </w:r>
      <w:r w:rsidR="00930EC2">
        <w:t xml:space="preserve">. </w:t>
      </w:r>
      <w:r w:rsidR="00BD17E4" w:rsidRPr="00464929">
        <w:t xml:space="preserve">As there was no relevant comparator arm in this open-label study, </w:t>
      </w:r>
      <w:r w:rsidR="00D23735">
        <w:t>it</w:t>
      </w:r>
      <w:r w:rsidR="00BD17E4" w:rsidRPr="00464929">
        <w:t xml:space="preserve"> </w:t>
      </w:r>
      <w:r w:rsidRPr="00464929">
        <w:t>was</w:t>
      </w:r>
      <w:r w:rsidR="00BD17E4" w:rsidRPr="00464929">
        <w:t xml:space="preserve"> considered as a non-comparative study for the purposes of the evaluation. </w:t>
      </w:r>
    </w:p>
    <w:p w:rsidR="00D63214" w:rsidRDefault="00D63214" w:rsidP="00D63214"/>
    <w:p w:rsidR="001F6F48" w:rsidRDefault="001F6F48" w:rsidP="00695285">
      <w:pPr>
        <w:pStyle w:val="Caption"/>
        <w:ind w:left="709"/>
      </w:pPr>
      <w:bookmarkStart w:id="7" w:name="_Ref406236783"/>
    </w:p>
    <w:bookmarkEnd w:id="7"/>
    <w:p w:rsidR="00D63214" w:rsidRPr="00532BDF" w:rsidRDefault="00D63214" w:rsidP="00695285">
      <w:pPr>
        <w:pStyle w:val="Caption"/>
        <w:ind w:left="709"/>
        <w:rPr>
          <w:rStyle w:val="CommentReference"/>
          <w:b/>
        </w:rPr>
      </w:pPr>
      <w:r w:rsidRPr="00532BDF">
        <w:rPr>
          <w:rStyle w:val="CommentReference"/>
          <w:b/>
        </w:rPr>
        <w:t>The design of Study 4040</w:t>
      </w:r>
    </w:p>
    <w:p w:rsidR="00930EC2" w:rsidRDefault="00930EC2" w:rsidP="001E0918">
      <w:pPr>
        <w:keepNext/>
        <w:widowControl/>
        <w:ind w:left="720"/>
        <w:rPr>
          <w:szCs w:val="22"/>
        </w:rPr>
      </w:pPr>
      <w:r>
        <w:rPr>
          <w:noProof/>
          <w:lang w:eastAsia="en-AU"/>
        </w:rPr>
        <w:drawing>
          <wp:inline distT="0" distB="0" distL="0" distR="0" wp14:anchorId="2487DBD3" wp14:editId="5365C2D2">
            <wp:extent cx="4605285" cy="2898901"/>
            <wp:effectExtent l="19050" t="19050" r="24130" b="15875"/>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2830" cy="2916240"/>
                    </a:xfrm>
                    <a:prstGeom prst="rect">
                      <a:avLst/>
                    </a:prstGeom>
                    <a:noFill/>
                    <a:ln w="3175">
                      <a:solidFill>
                        <a:sysClr val="windowText" lastClr="000000"/>
                      </a:solidFill>
                    </a:ln>
                  </pic:spPr>
                </pic:pic>
              </a:graphicData>
            </a:graphic>
          </wp:inline>
        </w:drawing>
      </w:r>
    </w:p>
    <w:p w:rsidR="00930EC2" w:rsidRPr="00930EC2" w:rsidRDefault="00930EC2" w:rsidP="001E0918">
      <w:pPr>
        <w:pStyle w:val="TableFooter"/>
        <w:keepNext/>
      </w:pPr>
      <w:r>
        <w:rPr>
          <w:szCs w:val="22"/>
        </w:rPr>
        <w:tab/>
      </w:r>
      <w:r w:rsidRPr="00930EC2">
        <w:t>d = days; DCV = daclatasvir; GT = genotype; PI = protease inhibitor; RBV = ribavirin; SOF = sofosbuvir;</w:t>
      </w:r>
    </w:p>
    <w:p w:rsidR="00930EC2" w:rsidRPr="00930EC2" w:rsidRDefault="00930EC2" w:rsidP="001E0918">
      <w:pPr>
        <w:pStyle w:val="TableFooter"/>
        <w:keepNext/>
        <w:ind w:firstLine="720"/>
        <w:rPr>
          <w:sz w:val="20"/>
        </w:rPr>
      </w:pPr>
      <w:r w:rsidRPr="00930EC2">
        <w:t>Source:</w:t>
      </w:r>
      <w:r w:rsidR="00CC1B6C" w:rsidRPr="00CC1B6C">
        <w:rPr>
          <w:szCs w:val="18"/>
        </w:rPr>
        <w:t xml:space="preserve"> </w:t>
      </w:r>
      <w:r w:rsidR="00CC1B6C" w:rsidRPr="00AE1653">
        <w:rPr>
          <w:szCs w:val="18"/>
        </w:rPr>
        <w:t>Figure 18, p72 of the submission</w:t>
      </w:r>
      <w:r w:rsidR="00CC1B6C">
        <w:rPr>
          <w:szCs w:val="18"/>
        </w:rPr>
        <w:t>.</w:t>
      </w:r>
    </w:p>
    <w:p w:rsidR="00930EC2" w:rsidRDefault="00930EC2" w:rsidP="00862502">
      <w:pPr>
        <w:widowControl/>
        <w:rPr>
          <w:szCs w:val="22"/>
        </w:rPr>
      </w:pPr>
    </w:p>
    <w:p w:rsidR="004B78F7" w:rsidRPr="00D24544" w:rsidRDefault="00862502" w:rsidP="00C768A3">
      <w:pPr>
        <w:pStyle w:val="ListParagraph"/>
        <w:widowControl/>
        <w:numPr>
          <w:ilvl w:val="1"/>
          <w:numId w:val="1"/>
        </w:numPr>
        <w:rPr>
          <w:szCs w:val="22"/>
        </w:rPr>
      </w:pPr>
      <w:r w:rsidRPr="00D24544">
        <w:rPr>
          <w:szCs w:val="22"/>
        </w:rPr>
        <w:t xml:space="preserve">Details of the </w:t>
      </w:r>
      <w:r w:rsidR="008B4240" w:rsidRPr="00D24544">
        <w:rPr>
          <w:szCs w:val="22"/>
        </w:rPr>
        <w:t>study</w:t>
      </w:r>
      <w:r w:rsidRPr="00D24544">
        <w:rPr>
          <w:szCs w:val="22"/>
        </w:rPr>
        <w:t xml:space="preserve"> presented in the submission</w:t>
      </w:r>
      <w:r w:rsidR="000522E8" w:rsidRPr="00D24544">
        <w:rPr>
          <w:szCs w:val="22"/>
        </w:rPr>
        <w:t xml:space="preserve"> (Study 4040)</w:t>
      </w:r>
      <w:r w:rsidRPr="00D24544">
        <w:rPr>
          <w:szCs w:val="22"/>
        </w:rPr>
        <w:t xml:space="preserve"> </w:t>
      </w:r>
      <w:r w:rsidR="00447919" w:rsidRPr="00D24544">
        <w:rPr>
          <w:szCs w:val="22"/>
        </w:rPr>
        <w:t xml:space="preserve">and the details of other trials provided in the PSCR </w:t>
      </w:r>
      <w:r w:rsidRPr="00D24544">
        <w:rPr>
          <w:szCs w:val="22"/>
        </w:rPr>
        <w:t xml:space="preserve">are provided in </w:t>
      </w:r>
      <w:r w:rsidR="00BB2672">
        <w:rPr>
          <w:szCs w:val="22"/>
        </w:rPr>
        <w:t>the t</w:t>
      </w:r>
      <w:r w:rsidR="00FC123D" w:rsidRPr="00D24544">
        <w:rPr>
          <w:szCs w:val="22"/>
        </w:rPr>
        <w:t xml:space="preserve">able </w:t>
      </w:r>
      <w:r w:rsidR="00BB2672">
        <w:rPr>
          <w:szCs w:val="22"/>
        </w:rPr>
        <w:t>below</w:t>
      </w:r>
      <w:r w:rsidR="009E4AB2" w:rsidRPr="00D24544">
        <w:rPr>
          <w:szCs w:val="22"/>
        </w:rPr>
        <w:t>.</w:t>
      </w:r>
    </w:p>
    <w:p w:rsidR="009E4AB2" w:rsidRPr="009E4AB2" w:rsidRDefault="009E4AB2" w:rsidP="009E4AB2">
      <w:pPr>
        <w:pStyle w:val="ListParagraph"/>
        <w:widowControl/>
        <w:rPr>
          <w:szCs w:val="22"/>
        </w:rPr>
      </w:pPr>
    </w:p>
    <w:p w:rsidR="008F120A" w:rsidRPr="00D63214" w:rsidRDefault="001F6F48" w:rsidP="00F253E9">
      <w:pPr>
        <w:widowControl/>
        <w:ind w:firstLine="709"/>
        <w:jc w:val="left"/>
        <w:rPr>
          <w:rStyle w:val="CommentReference"/>
        </w:rPr>
      </w:pPr>
      <w:bookmarkStart w:id="8" w:name="_Ref406232525"/>
      <w:r>
        <w:br w:type="page"/>
      </w:r>
      <w:r w:rsidR="00E64984" w:rsidRPr="00832D80">
        <w:rPr>
          <w:rStyle w:val="CommentReference"/>
        </w:rPr>
        <w:lastRenderedPageBreak/>
        <w:t xml:space="preserve"> </w:t>
      </w:r>
      <w:r w:rsidR="00F2596C" w:rsidRPr="00503A4F">
        <w:rPr>
          <w:rStyle w:val="CommentReference"/>
        </w:rPr>
        <w:t>The study</w:t>
      </w:r>
      <w:r w:rsidR="008F120A" w:rsidRPr="00503A4F">
        <w:rPr>
          <w:rStyle w:val="CommentReference"/>
        </w:rPr>
        <w:t xml:space="preserve"> and associated reports presented in the submission</w:t>
      </w:r>
      <w:bookmarkEnd w:id="8"/>
    </w:p>
    <w:tbl>
      <w:tblPr>
        <w:tblW w:w="4647"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studies and associated reports presented in the submission"/>
      </w:tblPr>
      <w:tblGrid>
        <w:gridCol w:w="1109"/>
        <w:gridCol w:w="3172"/>
        <w:gridCol w:w="4160"/>
      </w:tblGrid>
      <w:tr w:rsidR="008B4240" w:rsidRPr="00D24544" w:rsidTr="00447919">
        <w:tc>
          <w:tcPr>
            <w:tcW w:w="657" w:type="pct"/>
          </w:tcPr>
          <w:p w:rsidR="008B4240" w:rsidRPr="00D24544" w:rsidRDefault="007F61EE" w:rsidP="000570F8">
            <w:pPr>
              <w:jc w:val="left"/>
              <w:rPr>
                <w:rFonts w:ascii="Arial Narrow" w:hAnsi="Arial Narrow"/>
                <w:sz w:val="20"/>
              </w:rPr>
            </w:pPr>
            <w:r w:rsidRPr="00D24544">
              <w:rPr>
                <w:rFonts w:ascii="Arial Narrow" w:hAnsi="Arial Narrow"/>
                <w:sz w:val="20"/>
              </w:rPr>
              <w:t>Study</w:t>
            </w:r>
            <w:r w:rsidR="008B4240" w:rsidRPr="00D24544">
              <w:rPr>
                <w:rFonts w:ascii="Arial Narrow" w:hAnsi="Arial Narrow"/>
                <w:sz w:val="20"/>
              </w:rPr>
              <w:t xml:space="preserve"> ID</w:t>
            </w:r>
          </w:p>
        </w:tc>
        <w:tc>
          <w:tcPr>
            <w:tcW w:w="1879" w:type="pct"/>
          </w:tcPr>
          <w:p w:rsidR="008B4240" w:rsidRPr="00D24544" w:rsidRDefault="008B4240" w:rsidP="000570F8">
            <w:pPr>
              <w:jc w:val="center"/>
              <w:rPr>
                <w:rFonts w:ascii="Arial Narrow" w:hAnsi="Arial Narrow"/>
                <w:sz w:val="20"/>
              </w:rPr>
            </w:pPr>
            <w:r w:rsidRPr="00D24544">
              <w:rPr>
                <w:rFonts w:ascii="Arial Narrow" w:hAnsi="Arial Narrow"/>
                <w:sz w:val="20"/>
              </w:rPr>
              <w:t>Protocol title/ Publication title</w:t>
            </w:r>
          </w:p>
        </w:tc>
        <w:tc>
          <w:tcPr>
            <w:tcW w:w="2464" w:type="pct"/>
          </w:tcPr>
          <w:p w:rsidR="008B4240" w:rsidRPr="00D24544" w:rsidRDefault="008B4240" w:rsidP="000570F8">
            <w:pPr>
              <w:jc w:val="center"/>
              <w:rPr>
                <w:rFonts w:ascii="Arial Narrow" w:hAnsi="Arial Narrow"/>
                <w:sz w:val="20"/>
              </w:rPr>
            </w:pPr>
            <w:r w:rsidRPr="00D24544">
              <w:rPr>
                <w:rFonts w:ascii="Arial Narrow" w:hAnsi="Arial Narrow"/>
                <w:sz w:val="20"/>
              </w:rPr>
              <w:t>Publication citation</w:t>
            </w:r>
          </w:p>
        </w:tc>
      </w:tr>
      <w:tr w:rsidR="008B4240" w:rsidRPr="00D24544" w:rsidTr="008B4240">
        <w:tc>
          <w:tcPr>
            <w:tcW w:w="5000" w:type="pct"/>
            <w:gridSpan w:val="3"/>
            <w:tcBorders>
              <w:bottom w:val="single" w:sz="4" w:space="0" w:color="auto"/>
            </w:tcBorders>
          </w:tcPr>
          <w:p w:rsidR="008B4240" w:rsidRPr="00D24544" w:rsidRDefault="008B4240" w:rsidP="000570F8">
            <w:pPr>
              <w:jc w:val="left"/>
              <w:rPr>
                <w:rFonts w:ascii="Arial Narrow" w:hAnsi="Arial Narrow"/>
                <w:sz w:val="20"/>
              </w:rPr>
            </w:pPr>
            <w:r w:rsidRPr="00D24544">
              <w:rPr>
                <w:rFonts w:ascii="Arial Narrow" w:hAnsi="Arial Narrow"/>
                <w:sz w:val="20"/>
              </w:rPr>
              <w:t>DCV+SOF</w:t>
            </w:r>
          </w:p>
        </w:tc>
      </w:tr>
      <w:tr w:rsidR="008B4240" w:rsidRPr="00D24544" w:rsidTr="00447919">
        <w:tc>
          <w:tcPr>
            <w:tcW w:w="657" w:type="pct"/>
            <w:tcBorders>
              <w:bottom w:val="nil"/>
            </w:tcBorders>
          </w:tcPr>
          <w:p w:rsidR="008B4240" w:rsidRPr="00D24544" w:rsidRDefault="008B4240" w:rsidP="000570F8">
            <w:pPr>
              <w:jc w:val="left"/>
              <w:rPr>
                <w:rFonts w:ascii="Arial Narrow" w:hAnsi="Arial Narrow"/>
                <w:sz w:val="20"/>
              </w:rPr>
            </w:pPr>
            <w:r w:rsidRPr="00D24544">
              <w:rPr>
                <w:rFonts w:ascii="Arial Narrow" w:hAnsi="Arial Narrow"/>
                <w:sz w:val="20"/>
              </w:rPr>
              <w:t>Study 4040</w:t>
            </w:r>
          </w:p>
        </w:tc>
        <w:tc>
          <w:tcPr>
            <w:tcW w:w="1879" w:type="pct"/>
            <w:tcBorders>
              <w:bottom w:val="nil"/>
            </w:tcBorders>
          </w:tcPr>
          <w:p w:rsidR="008B4240" w:rsidRPr="00D24544" w:rsidRDefault="008B4240" w:rsidP="000570F8">
            <w:pPr>
              <w:jc w:val="left"/>
              <w:rPr>
                <w:rFonts w:ascii="Arial Narrow" w:hAnsi="Arial Narrow"/>
                <w:sz w:val="20"/>
              </w:rPr>
            </w:pPr>
            <w:r w:rsidRPr="00D24544">
              <w:rPr>
                <w:rFonts w:ascii="Arial Narrow" w:hAnsi="Arial Narrow"/>
                <w:sz w:val="20"/>
              </w:rPr>
              <w:t xml:space="preserve">Final Clinical Study Report for Study AI444040: Parallel open-label, randomized study to evaluate the safety, pharmacokinetics, and pharmacodynamics of PSI-7977 in combination with BMS-790052 with or without ribavirin in </w:t>
            </w:r>
            <w:r w:rsidR="00922990" w:rsidRPr="00D24544">
              <w:rPr>
                <w:rFonts w:ascii="Arial Narrow" w:hAnsi="Arial Narrow"/>
                <w:sz w:val="20"/>
              </w:rPr>
              <w:t>treatment-n</w:t>
            </w:r>
            <w:r w:rsidRPr="00D24544">
              <w:rPr>
                <w:rFonts w:ascii="Arial Narrow" w:hAnsi="Arial Narrow"/>
                <w:sz w:val="20"/>
              </w:rPr>
              <w:t>aïve subjects chronically infected with hepatitis C virus genotypes 1, 2, or 3.</w:t>
            </w:r>
          </w:p>
        </w:tc>
        <w:tc>
          <w:tcPr>
            <w:tcW w:w="2464" w:type="pct"/>
            <w:tcBorders>
              <w:bottom w:val="nil"/>
            </w:tcBorders>
          </w:tcPr>
          <w:p w:rsidR="008B4240" w:rsidRPr="00D24544" w:rsidRDefault="008B4240" w:rsidP="000570F8">
            <w:pPr>
              <w:jc w:val="left"/>
              <w:rPr>
                <w:rFonts w:ascii="Arial Narrow" w:hAnsi="Arial Narrow"/>
                <w:sz w:val="20"/>
              </w:rPr>
            </w:pPr>
            <w:r w:rsidRPr="00D24544">
              <w:rPr>
                <w:rFonts w:ascii="Arial Narrow" w:hAnsi="Arial Narrow"/>
                <w:sz w:val="20"/>
              </w:rPr>
              <w:t>Date: September 2013</w:t>
            </w:r>
          </w:p>
          <w:p w:rsidR="008B4240" w:rsidRPr="00D24544" w:rsidRDefault="008B4240" w:rsidP="000570F8">
            <w:pPr>
              <w:jc w:val="left"/>
              <w:rPr>
                <w:rFonts w:ascii="Arial Narrow" w:hAnsi="Arial Narrow"/>
                <w:sz w:val="20"/>
              </w:rPr>
            </w:pPr>
          </w:p>
        </w:tc>
      </w:tr>
      <w:tr w:rsidR="008B4240" w:rsidRPr="00D24544" w:rsidTr="00447919">
        <w:tc>
          <w:tcPr>
            <w:tcW w:w="657" w:type="pct"/>
            <w:tcBorders>
              <w:top w:val="nil"/>
              <w:bottom w:val="single" w:sz="4" w:space="0" w:color="auto"/>
            </w:tcBorders>
          </w:tcPr>
          <w:p w:rsidR="008B4240" w:rsidRPr="00D24544" w:rsidRDefault="008B4240" w:rsidP="000570F8">
            <w:pPr>
              <w:jc w:val="left"/>
              <w:rPr>
                <w:rFonts w:ascii="Arial Narrow" w:hAnsi="Arial Narrow"/>
                <w:sz w:val="20"/>
              </w:rPr>
            </w:pPr>
          </w:p>
        </w:tc>
        <w:tc>
          <w:tcPr>
            <w:tcW w:w="1879" w:type="pct"/>
            <w:tcBorders>
              <w:top w:val="nil"/>
              <w:bottom w:val="single" w:sz="4" w:space="0" w:color="auto"/>
            </w:tcBorders>
          </w:tcPr>
          <w:p w:rsidR="008B4240" w:rsidRPr="00D24544" w:rsidRDefault="008B4240" w:rsidP="000570F8">
            <w:pPr>
              <w:jc w:val="left"/>
              <w:rPr>
                <w:rFonts w:ascii="Arial Narrow" w:hAnsi="Arial Narrow"/>
                <w:sz w:val="20"/>
              </w:rPr>
            </w:pPr>
            <w:proofErr w:type="spellStart"/>
            <w:r w:rsidRPr="00D24544">
              <w:rPr>
                <w:rFonts w:ascii="Arial Narrow" w:hAnsi="Arial Narrow"/>
                <w:sz w:val="20"/>
                <w:lang w:val="fr-FR"/>
              </w:rPr>
              <w:t>Sulkowski</w:t>
            </w:r>
            <w:proofErr w:type="spellEnd"/>
            <w:r w:rsidRPr="00D24544">
              <w:rPr>
                <w:rFonts w:ascii="Arial Narrow" w:hAnsi="Arial Narrow"/>
                <w:sz w:val="20"/>
                <w:lang w:val="fr-FR"/>
              </w:rPr>
              <w:t xml:space="preserve">, M.S. et al. </w:t>
            </w:r>
            <w:r w:rsidRPr="00D24544">
              <w:rPr>
                <w:rFonts w:ascii="Arial Narrow" w:hAnsi="Arial Narrow"/>
                <w:sz w:val="20"/>
              </w:rPr>
              <w:t>Daclatasvir plus sofosbuvir for previously treated or untreated chronic HCV infection." </w:t>
            </w:r>
          </w:p>
        </w:tc>
        <w:tc>
          <w:tcPr>
            <w:tcW w:w="2464" w:type="pct"/>
            <w:tcBorders>
              <w:top w:val="nil"/>
              <w:bottom w:val="single" w:sz="4" w:space="0" w:color="auto"/>
            </w:tcBorders>
          </w:tcPr>
          <w:p w:rsidR="008B4240" w:rsidRPr="00D24544" w:rsidRDefault="008B4240" w:rsidP="000570F8">
            <w:pPr>
              <w:jc w:val="left"/>
              <w:rPr>
                <w:rFonts w:ascii="Arial Narrow" w:hAnsi="Arial Narrow"/>
                <w:sz w:val="20"/>
              </w:rPr>
            </w:pPr>
            <w:r w:rsidRPr="00D24544">
              <w:rPr>
                <w:rFonts w:ascii="Arial Narrow" w:hAnsi="Arial Narrow"/>
                <w:sz w:val="20"/>
              </w:rPr>
              <w:t>New England Journal of Medicine 2014; 370 (3): 211-221.</w:t>
            </w:r>
          </w:p>
        </w:tc>
      </w:tr>
      <w:tr w:rsidR="008E0FB6" w:rsidRPr="00D24544" w:rsidTr="00447919">
        <w:tc>
          <w:tcPr>
            <w:tcW w:w="657" w:type="pct"/>
            <w:tcBorders>
              <w:top w:val="single" w:sz="4" w:space="0" w:color="auto"/>
              <w:left w:val="single" w:sz="4" w:space="0" w:color="auto"/>
              <w:bottom w:val="single" w:sz="4" w:space="0" w:color="auto"/>
              <w:right w:val="single" w:sz="4" w:space="0" w:color="auto"/>
            </w:tcBorders>
          </w:tcPr>
          <w:p w:rsidR="008E0FB6" w:rsidRPr="00D24544" w:rsidRDefault="008E0FB6" w:rsidP="001F6F48">
            <w:pPr>
              <w:jc w:val="left"/>
              <w:rPr>
                <w:rFonts w:ascii="Arial Narrow" w:hAnsi="Arial Narrow"/>
                <w:sz w:val="20"/>
              </w:rPr>
            </w:pPr>
            <w:r w:rsidRPr="00D24544">
              <w:rPr>
                <w:rFonts w:ascii="Arial Narrow" w:hAnsi="Arial Narrow"/>
                <w:sz w:val="20"/>
              </w:rPr>
              <w:t>ALLY1</w:t>
            </w:r>
          </w:p>
          <w:p w:rsidR="008E0FB6" w:rsidRPr="00D24544" w:rsidRDefault="008E0FB6" w:rsidP="001F6F48">
            <w:pPr>
              <w:jc w:val="left"/>
              <w:rPr>
                <w:rFonts w:ascii="Arial Narrow" w:hAnsi="Arial Narrow"/>
                <w:sz w:val="20"/>
              </w:rPr>
            </w:pPr>
            <w:r w:rsidRPr="00D24544">
              <w:rPr>
                <w:rFonts w:ascii="Arial Narrow" w:hAnsi="Arial Narrow"/>
                <w:sz w:val="20"/>
              </w:rPr>
              <w:t>ALLY2</w:t>
            </w:r>
          </w:p>
          <w:p w:rsidR="008E0FB6" w:rsidRPr="00D24544" w:rsidRDefault="008E0FB6" w:rsidP="001F6F48">
            <w:pPr>
              <w:jc w:val="left"/>
              <w:rPr>
                <w:rFonts w:ascii="Arial Narrow" w:hAnsi="Arial Narrow"/>
                <w:sz w:val="20"/>
              </w:rPr>
            </w:pPr>
            <w:r w:rsidRPr="00D24544">
              <w:rPr>
                <w:rFonts w:ascii="Arial Narrow" w:hAnsi="Arial Narrow"/>
                <w:sz w:val="20"/>
              </w:rPr>
              <w:t>ALLY3</w:t>
            </w:r>
          </w:p>
          <w:p w:rsidR="008E0FB6" w:rsidRPr="00D24544" w:rsidRDefault="008E0FB6" w:rsidP="001F6F48">
            <w:pPr>
              <w:jc w:val="left"/>
              <w:rPr>
                <w:rFonts w:ascii="Arial Narrow" w:hAnsi="Arial Narrow"/>
                <w:sz w:val="20"/>
              </w:rPr>
            </w:pPr>
            <w:r w:rsidRPr="00D24544">
              <w:rPr>
                <w:rFonts w:ascii="Arial Narrow" w:hAnsi="Arial Narrow"/>
                <w:sz w:val="20"/>
              </w:rPr>
              <w:t xml:space="preserve">(information provided in the PSCR, not </w:t>
            </w:r>
            <w:r w:rsidR="00447919" w:rsidRPr="00D24544">
              <w:rPr>
                <w:rFonts w:ascii="Arial Narrow" w:hAnsi="Arial Narrow"/>
                <w:sz w:val="20"/>
              </w:rPr>
              <w:t>evaluated in the Commentary)</w:t>
            </w:r>
          </w:p>
        </w:tc>
        <w:tc>
          <w:tcPr>
            <w:tcW w:w="1879" w:type="pct"/>
            <w:tcBorders>
              <w:top w:val="single" w:sz="4" w:space="0" w:color="auto"/>
              <w:left w:val="single" w:sz="4" w:space="0" w:color="auto"/>
              <w:bottom w:val="single" w:sz="4" w:space="0" w:color="auto"/>
              <w:right w:val="single" w:sz="4" w:space="0" w:color="auto"/>
            </w:tcBorders>
          </w:tcPr>
          <w:p w:rsidR="00447919" w:rsidRPr="00D24544" w:rsidRDefault="00447919" w:rsidP="001F6F48">
            <w:pPr>
              <w:jc w:val="left"/>
              <w:rPr>
                <w:rFonts w:ascii="Arial Narrow" w:hAnsi="Arial Narrow"/>
                <w:sz w:val="20"/>
                <w:lang w:val="fr-FR"/>
              </w:rPr>
            </w:pPr>
            <w:r w:rsidRPr="00D24544">
              <w:rPr>
                <w:rFonts w:ascii="Arial Narrow" w:hAnsi="Arial Narrow"/>
                <w:sz w:val="20"/>
                <w:lang w:val="fr-FR"/>
              </w:rPr>
              <w:t xml:space="preserve">ALLY 1 (AI444-215) </w:t>
            </w:r>
            <w:proofErr w:type="spellStart"/>
            <w:r w:rsidRPr="00D24544">
              <w:rPr>
                <w:rFonts w:ascii="Arial Narrow" w:hAnsi="Arial Narrow"/>
                <w:sz w:val="20"/>
                <w:lang w:val="fr-FR"/>
              </w:rPr>
              <w:t>was</w:t>
            </w:r>
            <w:proofErr w:type="spellEnd"/>
            <w:r w:rsidRPr="00D24544">
              <w:rPr>
                <w:rFonts w:ascii="Arial Narrow" w:hAnsi="Arial Narrow"/>
                <w:sz w:val="20"/>
                <w:lang w:val="fr-FR"/>
              </w:rPr>
              <w:t xml:space="preserve"> a phase 3, open-label </w:t>
            </w:r>
            <w:proofErr w:type="spellStart"/>
            <w:r w:rsidRPr="00D24544">
              <w:rPr>
                <w:rFonts w:ascii="Arial Narrow" w:hAnsi="Arial Narrow"/>
                <w:sz w:val="20"/>
                <w:lang w:val="fr-FR"/>
              </w:rPr>
              <w:t>study</w:t>
            </w:r>
            <w:proofErr w:type="spellEnd"/>
            <w:r w:rsidRPr="00D24544">
              <w:rPr>
                <w:rFonts w:ascii="Arial Narrow" w:hAnsi="Arial Narrow"/>
                <w:sz w:val="20"/>
                <w:lang w:val="fr-FR"/>
              </w:rPr>
              <w:t xml:space="preserve"> of DCV + SOF for 12 </w:t>
            </w:r>
            <w:proofErr w:type="spellStart"/>
            <w:r w:rsidRPr="00D24544">
              <w:rPr>
                <w:rFonts w:ascii="Arial Narrow" w:hAnsi="Arial Narrow"/>
                <w:sz w:val="20"/>
                <w:lang w:val="fr-FR"/>
              </w:rPr>
              <w:t>weeks</w:t>
            </w:r>
            <w:proofErr w:type="spellEnd"/>
            <w:r w:rsidRPr="00D24544">
              <w:rPr>
                <w:rFonts w:ascii="Arial Narrow" w:hAnsi="Arial Narrow"/>
                <w:sz w:val="20"/>
                <w:lang w:val="fr-FR"/>
              </w:rPr>
              <w:t xml:space="preserve"> in patients </w:t>
            </w:r>
            <w:proofErr w:type="spellStart"/>
            <w:r w:rsidRPr="00D24544">
              <w:rPr>
                <w:rFonts w:ascii="Arial Narrow" w:hAnsi="Arial Narrow"/>
                <w:sz w:val="20"/>
                <w:lang w:val="fr-FR"/>
              </w:rPr>
              <w:t>with</w:t>
            </w:r>
            <w:proofErr w:type="spellEnd"/>
            <w:r w:rsidRPr="00D24544">
              <w:rPr>
                <w:rFonts w:ascii="Arial Narrow" w:hAnsi="Arial Narrow"/>
                <w:sz w:val="20"/>
                <w:lang w:val="fr-FR"/>
              </w:rPr>
              <w:t xml:space="preserve"> </w:t>
            </w:r>
            <w:proofErr w:type="spellStart"/>
            <w:r w:rsidRPr="00D24544">
              <w:rPr>
                <w:rFonts w:ascii="Arial Narrow" w:hAnsi="Arial Narrow"/>
                <w:sz w:val="20"/>
                <w:lang w:val="fr-FR"/>
              </w:rPr>
              <w:t>cirrhosis</w:t>
            </w:r>
            <w:proofErr w:type="spellEnd"/>
            <w:r w:rsidRPr="00D24544">
              <w:rPr>
                <w:rFonts w:ascii="Arial Narrow" w:hAnsi="Arial Narrow"/>
                <w:sz w:val="20"/>
                <w:lang w:val="fr-FR"/>
              </w:rPr>
              <w:t xml:space="preserve"> or post-</w:t>
            </w:r>
            <w:proofErr w:type="spellStart"/>
            <w:r w:rsidRPr="00D24544">
              <w:rPr>
                <w:rFonts w:ascii="Arial Narrow" w:hAnsi="Arial Narrow"/>
                <w:sz w:val="20"/>
                <w:lang w:val="fr-FR"/>
              </w:rPr>
              <w:t>liver</w:t>
            </w:r>
            <w:proofErr w:type="spellEnd"/>
            <w:r w:rsidRPr="00D24544">
              <w:rPr>
                <w:rFonts w:ascii="Arial Narrow" w:hAnsi="Arial Narrow"/>
                <w:sz w:val="20"/>
                <w:lang w:val="fr-FR"/>
              </w:rPr>
              <w:t xml:space="preserve"> transplant. </w:t>
            </w:r>
          </w:p>
          <w:p w:rsidR="00447919" w:rsidRPr="00D24544" w:rsidRDefault="00447919" w:rsidP="001F6F48">
            <w:pPr>
              <w:jc w:val="left"/>
              <w:rPr>
                <w:rFonts w:ascii="Arial Narrow" w:hAnsi="Arial Narrow"/>
                <w:sz w:val="20"/>
                <w:lang w:val="fr-FR"/>
              </w:rPr>
            </w:pPr>
          </w:p>
          <w:p w:rsidR="00447919" w:rsidRPr="00D24544" w:rsidRDefault="00447919" w:rsidP="001F6F48">
            <w:pPr>
              <w:jc w:val="left"/>
              <w:rPr>
                <w:rFonts w:ascii="Arial Narrow" w:hAnsi="Arial Narrow"/>
                <w:sz w:val="20"/>
                <w:lang w:val="fr-FR"/>
              </w:rPr>
            </w:pPr>
            <w:r w:rsidRPr="00D24544">
              <w:rPr>
                <w:rFonts w:ascii="Arial Narrow" w:hAnsi="Arial Narrow"/>
                <w:sz w:val="20"/>
                <w:lang w:val="fr-FR"/>
              </w:rPr>
              <w:t xml:space="preserve">ALLY2 (AI444-216) </w:t>
            </w:r>
            <w:proofErr w:type="spellStart"/>
            <w:r w:rsidRPr="00D24544">
              <w:rPr>
                <w:rFonts w:ascii="Arial Narrow" w:hAnsi="Arial Narrow"/>
                <w:sz w:val="20"/>
                <w:lang w:val="fr-FR"/>
              </w:rPr>
              <w:t>was</w:t>
            </w:r>
            <w:proofErr w:type="spellEnd"/>
            <w:r w:rsidRPr="00D24544">
              <w:rPr>
                <w:rFonts w:ascii="Arial Narrow" w:hAnsi="Arial Narrow"/>
                <w:sz w:val="20"/>
                <w:lang w:val="fr-FR"/>
              </w:rPr>
              <w:t xml:space="preserve"> a phase 3, </w:t>
            </w:r>
            <w:proofErr w:type="spellStart"/>
            <w:r w:rsidRPr="00D24544">
              <w:rPr>
                <w:rFonts w:ascii="Arial Narrow" w:hAnsi="Arial Narrow"/>
                <w:sz w:val="20"/>
                <w:lang w:val="fr-FR"/>
              </w:rPr>
              <w:t>randomized</w:t>
            </w:r>
            <w:proofErr w:type="spellEnd"/>
            <w:r w:rsidRPr="00D24544">
              <w:rPr>
                <w:rFonts w:ascii="Arial Narrow" w:hAnsi="Arial Narrow"/>
                <w:sz w:val="20"/>
                <w:lang w:val="fr-FR"/>
              </w:rPr>
              <w:t xml:space="preserve">, open-label </w:t>
            </w:r>
            <w:proofErr w:type="spellStart"/>
            <w:r w:rsidRPr="00D24544">
              <w:rPr>
                <w:rFonts w:ascii="Arial Narrow" w:hAnsi="Arial Narrow"/>
                <w:sz w:val="20"/>
                <w:lang w:val="fr-FR"/>
              </w:rPr>
              <w:t>study</w:t>
            </w:r>
            <w:proofErr w:type="spellEnd"/>
            <w:r w:rsidRPr="00D24544">
              <w:rPr>
                <w:rFonts w:ascii="Arial Narrow" w:hAnsi="Arial Narrow"/>
                <w:sz w:val="20"/>
                <w:lang w:val="fr-FR"/>
              </w:rPr>
              <w:t xml:space="preserve"> of DCV + SOF for 8 or 12 </w:t>
            </w:r>
            <w:proofErr w:type="spellStart"/>
            <w:r w:rsidRPr="00D24544">
              <w:rPr>
                <w:rFonts w:ascii="Arial Narrow" w:hAnsi="Arial Narrow"/>
                <w:sz w:val="20"/>
                <w:lang w:val="fr-FR"/>
              </w:rPr>
              <w:t>weeks</w:t>
            </w:r>
            <w:proofErr w:type="spellEnd"/>
            <w:r w:rsidRPr="00D24544">
              <w:rPr>
                <w:rFonts w:ascii="Arial Narrow" w:hAnsi="Arial Narrow"/>
                <w:sz w:val="20"/>
                <w:lang w:val="fr-FR"/>
              </w:rPr>
              <w:t xml:space="preserve"> in </w:t>
            </w:r>
            <w:proofErr w:type="spellStart"/>
            <w:r w:rsidRPr="00D24544">
              <w:rPr>
                <w:rFonts w:ascii="Arial Narrow" w:hAnsi="Arial Narrow"/>
                <w:sz w:val="20"/>
                <w:lang w:val="fr-FR"/>
              </w:rPr>
              <w:t>treatment</w:t>
            </w:r>
            <w:proofErr w:type="spellEnd"/>
            <w:r w:rsidRPr="00D24544">
              <w:rPr>
                <w:rFonts w:ascii="Arial Narrow" w:hAnsi="Arial Narrow"/>
                <w:sz w:val="20"/>
                <w:lang w:val="fr-FR"/>
              </w:rPr>
              <w:t xml:space="preserve"> naïve and </w:t>
            </w:r>
            <w:proofErr w:type="spellStart"/>
            <w:r w:rsidRPr="00D24544">
              <w:rPr>
                <w:rFonts w:ascii="Arial Narrow" w:hAnsi="Arial Narrow"/>
                <w:sz w:val="20"/>
                <w:lang w:val="fr-FR"/>
              </w:rPr>
              <w:t>treatment</w:t>
            </w:r>
            <w:proofErr w:type="spellEnd"/>
            <w:r w:rsidRPr="00D24544">
              <w:rPr>
                <w:rFonts w:ascii="Arial Narrow" w:hAnsi="Arial Narrow"/>
                <w:sz w:val="20"/>
                <w:lang w:val="fr-FR"/>
              </w:rPr>
              <w:t xml:space="preserve"> </w:t>
            </w:r>
            <w:proofErr w:type="spellStart"/>
            <w:r w:rsidRPr="00D24544">
              <w:rPr>
                <w:rFonts w:ascii="Arial Narrow" w:hAnsi="Arial Narrow"/>
                <w:sz w:val="20"/>
                <w:lang w:val="fr-FR"/>
              </w:rPr>
              <w:t>experienced</w:t>
            </w:r>
            <w:proofErr w:type="spellEnd"/>
            <w:r w:rsidRPr="00D24544">
              <w:rPr>
                <w:rFonts w:ascii="Arial Narrow" w:hAnsi="Arial Narrow"/>
                <w:sz w:val="20"/>
                <w:lang w:val="fr-FR"/>
              </w:rPr>
              <w:t xml:space="preserve"> patients </w:t>
            </w:r>
            <w:proofErr w:type="spellStart"/>
            <w:r w:rsidRPr="00D24544">
              <w:rPr>
                <w:rFonts w:ascii="Arial Narrow" w:hAnsi="Arial Narrow"/>
                <w:sz w:val="20"/>
                <w:lang w:val="fr-FR"/>
              </w:rPr>
              <w:t>with</w:t>
            </w:r>
            <w:proofErr w:type="spellEnd"/>
            <w:r w:rsidRPr="00D24544">
              <w:rPr>
                <w:rFonts w:ascii="Arial Narrow" w:hAnsi="Arial Narrow"/>
                <w:sz w:val="20"/>
                <w:lang w:val="fr-FR"/>
              </w:rPr>
              <w:t xml:space="preserve"> HIV </w:t>
            </w:r>
            <w:proofErr w:type="spellStart"/>
            <w:r w:rsidRPr="00D24544">
              <w:rPr>
                <w:rFonts w:ascii="Arial Narrow" w:hAnsi="Arial Narrow"/>
                <w:sz w:val="20"/>
                <w:lang w:val="fr-FR"/>
              </w:rPr>
              <w:t>co-infection</w:t>
            </w:r>
            <w:proofErr w:type="spellEnd"/>
            <w:r w:rsidRPr="00D24544">
              <w:rPr>
                <w:rFonts w:ascii="Arial Narrow" w:hAnsi="Arial Narrow"/>
                <w:sz w:val="20"/>
                <w:lang w:val="fr-FR"/>
              </w:rPr>
              <w:t>.</w:t>
            </w:r>
          </w:p>
          <w:p w:rsidR="00447919" w:rsidRPr="00D24544" w:rsidRDefault="00447919" w:rsidP="001F6F48">
            <w:pPr>
              <w:jc w:val="left"/>
              <w:rPr>
                <w:rFonts w:ascii="Arial Narrow" w:hAnsi="Arial Narrow"/>
                <w:sz w:val="20"/>
                <w:lang w:val="fr-FR"/>
              </w:rPr>
            </w:pPr>
            <w:r w:rsidRPr="00D24544">
              <w:rPr>
                <w:rFonts w:ascii="Arial Narrow" w:hAnsi="Arial Narrow"/>
                <w:sz w:val="20"/>
                <w:lang w:val="fr-FR"/>
              </w:rPr>
              <w:t xml:space="preserve"> </w:t>
            </w:r>
          </w:p>
          <w:p w:rsidR="00447919" w:rsidRPr="00D24544" w:rsidRDefault="00447919" w:rsidP="001F6F48">
            <w:pPr>
              <w:jc w:val="left"/>
              <w:rPr>
                <w:rFonts w:ascii="Arial Narrow" w:hAnsi="Arial Narrow"/>
                <w:sz w:val="20"/>
                <w:lang w:val="fr-FR"/>
              </w:rPr>
            </w:pPr>
            <w:r w:rsidRPr="00D24544">
              <w:rPr>
                <w:rFonts w:ascii="Arial Narrow" w:hAnsi="Arial Narrow"/>
                <w:sz w:val="20"/>
                <w:lang w:val="fr-FR"/>
              </w:rPr>
              <w:t xml:space="preserve">ALLY 3 (AI444-218) </w:t>
            </w:r>
            <w:proofErr w:type="spellStart"/>
            <w:r w:rsidRPr="00D24544">
              <w:rPr>
                <w:rFonts w:ascii="Arial Narrow" w:hAnsi="Arial Narrow"/>
                <w:sz w:val="20"/>
                <w:lang w:val="fr-FR"/>
              </w:rPr>
              <w:t>was</w:t>
            </w:r>
            <w:proofErr w:type="spellEnd"/>
            <w:r w:rsidRPr="00D24544">
              <w:rPr>
                <w:rFonts w:ascii="Arial Narrow" w:hAnsi="Arial Narrow"/>
                <w:sz w:val="20"/>
                <w:lang w:val="fr-FR"/>
              </w:rPr>
              <w:t xml:space="preserve"> a phase 3, open-label </w:t>
            </w:r>
            <w:proofErr w:type="spellStart"/>
            <w:r w:rsidRPr="00D24544">
              <w:rPr>
                <w:rFonts w:ascii="Arial Narrow" w:hAnsi="Arial Narrow"/>
                <w:sz w:val="20"/>
                <w:lang w:val="fr-FR"/>
              </w:rPr>
              <w:t>study</w:t>
            </w:r>
            <w:proofErr w:type="spellEnd"/>
            <w:r w:rsidRPr="00D24544">
              <w:rPr>
                <w:rFonts w:ascii="Arial Narrow" w:hAnsi="Arial Narrow"/>
                <w:sz w:val="20"/>
                <w:lang w:val="fr-FR"/>
              </w:rPr>
              <w:t xml:space="preserve"> of DCV + SOF for 12 </w:t>
            </w:r>
            <w:proofErr w:type="spellStart"/>
            <w:r w:rsidRPr="00D24544">
              <w:rPr>
                <w:rFonts w:ascii="Arial Narrow" w:hAnsi="Arial Narrow"/>
                <w:sz w:val="20"/>
                <w:lang w:val="fr-FR"/>
              </w:rPr>
              <w:t>weeks</w:t>
            </w:r>
            <w:proofErr w:type="spellEnd"/>
            <w:r w:rsidRPr="00D24544">
              <w:rPr>
                <w:rFonts w:ascii="Arial Narrow" w:hAnsi="Arial Narrow"/>
                <w:sz w:val="20"/>
                <w:lang w:val="fr-FR"/>
              </w:rPr>
              <w:t xml:space="preserve"> in </w:t>
            </w:r>
            <w:proofErr w:type="spellStart"/>
            <w:r w:rsidRPr="00D24544">
              <w:rPr>
                <w:rFonts w:ascii="Arial Narrow" w:hAnsi="Arial Narrow"/>
                <w:sz w:val="20"/>
                <w:lang w:val="fr-FR"/>
              </w:rPr>
              <w:t>treatment</w:t>
            </w:r>
            <w:proofErr w:type="spellEnd"/>
            <w:r w:rsidRPr="00D24544">
              <w:rPr>
                <w:rFonts w:ascii="Arial Narrow" w:hAnsi="Arial Narrow"/>
                <w:sz w:val="20"/>
                <w:lang w:val="fr-FR"/>
              </w:rPr>
              <w:t xml:space="preserve"> naïve and </w:t>
            </w:r>
            <w:proofErr w:type="spellStart"/>
            <w:r w:rsidRPr="00D24544">
              <w:rPr>
                <w:rFonts w:ascii="Arial Narrow" w:hAnsi="Arial Narrow"/>
                <w:sz w:val="20"/>
                <w:lang w:val="fr-FR"/>
              </w:rPr>
              <w:t>treatment</w:t>
            </w:r>
            <w:proofErr w:type="spellEnd"/>
            <w:r w:rsidRPr="00D24544">
              <w:rPr>
                <w:rFonts w:ascii="Arial Narrow" w:hAnsi="Arial Narrow"/>
                <w:sz w:val="20"/>
                <w:lang w:val="fr-FR"/>
              </w:rPr>
              <w:t xml:space="preserve"> </w:t>
            </w:r>
            <w:proofErr w:type="spellStart"/>
            <w:r w:rsidRPr="00D24544">
              <w:rPr>
                <w:rFonts w:ascii="Arial Narrow" w:hAnsi="Arial Narrow"/>
                <w:sz w:val="20"/>
                <w:lang w:val="fr-FR"/>
              </w:rPr>
              <w:t>experienced</w:t>
            </w:r>
            <w:proofErr w:type="spellEnd"/>
            <w:r w:rsidRPr="00D24544">
              <w:rPr>
                <w:rFonts w:ascii="Arial Narrow" w:hAnsi="Arial Narrow"/>
                <w:sz w:val="20"/>
                <w:lang w:val="fr-FR"/>
              </w:rPr>
              <w:t xml:space="preserve"> patients </w:t>
            </w:r>
            <w:proofErr w:type="spellStart"/>
            <w:r w:rsidRPr="00D24544">
              <w:rPr>
                <w:rFonts w:ascii="Arial Narrow" w:hAnsi="Arial Narrow"/>
                <w:sz w:val="20"/>
                <w:lang w:val="fr-FR"/>
              </w:rPr>
              <w:t>with</w:t>
            </w:r>
            <w:proofErr w:type="spellEnd"/>
            <w:r w:rsidRPr="00D24544">
              <w:rPr>
                <w:rFonts w:ascii="Arial Narrow" w:hAnsi="Arial Narrow"/>
                <w:sz w:val="20"/>
                <w:lang w:val="fr-FR"/>
              </w:rPr>
              <w:t xml:space="preserve"> HCV GT 3 infection. </w:t>
            </w:r>
          </w:p>
          <w:p w:rsidR="008E0FB6" w:rsidRPr="00D24544" w:rsidRDefault="00447919" w:rsidP="001F6F48">
            <w:pPr>
              <w:jc w:val="left"/>
              <w:rPr>
                <w:rFonts w:ascii="Arial Narrow" w:hAnsi="Arial Narrow"/>
                <w:sz w:val="20"/>
                <w:lang w:val="fr-FR"/>
              </w:rPr>
            </w:pPr>
            <w:r w:rsidRPr="00D24544">
              <w:rPr>
                <w:rFonts w:ascii="Arial Narrow" w:hAnsi="Arial Narrow"/>
                <w:sz w:val="20"/>
              </w:rPr>
              <w:t>Nelson, D.R. et al.</w:t>
            </w:r>
          </w:p>
        </w:tc>
        <w:tc>
          <w:tcPr>
            <w:tcW w:w="2464" w:type="pct"/>
            <w:tcBorders>
              <w:top w:val="single" w:sz="4" w:space="0" w:color="auto"/>
              <w:left w:val="single" w:sz="4" w:space="0" w:color="auto"/>
              <w:bottom w:val="single" w:sz="4" w:space="0" w:color="auto"/>
              <w:right w:val="single" w:sz="4" w:space="0" w:color="auto"/>
            </w:tcBorders>
          </w:tcPr>
          <w:p w:rsidR="008E0FB6" w:rsidRPr="00D24544" w:rsidRDefault="008E0FB6" w:rsidP="001F6F48">
            <w:pPr>
              <w:jc w:val="left"/>
              <w:rPr>
                <w:rFonts w:ascii="Arial Narrow" w:hAnsi="Arial Narrow"/>
                <w:sz w:val="20"/>
              </w:rPr>
            </w:pPr>
          </w:p>
          <w:p w:rsidR="00447919" w:rsidRPr="00D24544" w:rsidRDefault="00447919" w:rsidP="001F6F48">
            <w:pPr>
              <w:jc w:val="left"/>
              <w:rPr>
                <w:rFonts w:ascii="Arial Narrow" w:hAnsi="Arial Narrow"/>
                <w:sz w:val="20"/>
              </w:rPr>
            </w:pPr>
          </w:p>
          <w:p w:rsidR="00447919" w:rsidRPr="00D24544" w:rsidRDefault="00447919" w:rsidP="001F6F48">
            <w:pPr>
              <w:jc w:val="left"/>
              <w:rPr>
                <w:rFonts w:ascii="Arial Narrow" w:hAnsi="Arial Narrow"/>
                <w:sz w:val="20"/>
              </w:rPr>
            </w:pPr>
          </w:p>
          <w:p w:rsidR="00447919" w:rsidRPr="00D24544" w:rsidRDefault="00447919" w:rsidP="001F6F48">
            <w:pPr>
              <w:jc w:val="left"/>
              <w:rPr>
                <w:rFonts w:ascii="Arial Narrow" w:hAnsi="Arial Narrow"/>
                <w:sz w:val="20"/>
              </w:rPr>
            </w:pPr>
          </w:p>
          <w:p w:rsidR="00447919" w:rsidRPr="00D24544" w:rsidRDefault="00447919" w:rsidP="001F6F48">
            <w:pPr>
              <w:jc w:val="left"/>
              <w:rPr>
                <w:rFonts w:ascii="Arial Narrow" w:hAnsi="Arial Narrow"/>
                <w:sz w:val="20"/>
              </w:rPr>
            </w:pPr>
          </w:p>
          <w:p w:rsidR="00447919" w:rsidRPr="00D24544" w:rsidRDefault="00447919" w:rsidP="001F6F48">
            <w:pPr>
              <w:jc w:val="left"/>
              <w:rPr>
                <w:rFonts w:ascii="Arial Narrow" w:hAnsi="Arial Narrow"/>
                <w:sz w:val="20"/>
              </w:rPr>
            </w:pPr>
          </w:p>
          <w:p w:rsidR="00447919" w:rsidRPr="00D24544" w:rsidRDefault="00447919" w:rsidP="001F6F48">
            <w:pPr>
              <w:jc w:val="left"/>
              <w:rPr>
                <w:rFonts w:ascii="Arial Narrow" w:hAnsi="Arial Narrow"/>
                <w:sz w:val="20"/>
              </w:rPr>
            </w:pPr>
          </w:p>
          <w:p w:rsidR="00447919" w:rsidRPr="00D24544" w:rsidRDefault="00447919" w:rsidP="001F6F48">
            <w:pPr>
              <w:jc w:val="left"/>
              <w:rPr>
                <w:rFonts w:ascii="Arial Narrow" w:hAnsi="Arial Narrow"/>
                <w:sz w:val="20"/>
              </w:rPr>
            </w:pPr>
          </w:p>
          <w:p w:rsidR="00447919" w:rsidRPr="00D24544" w:rsidRDefault="00447919" w:rsidP="001F6F48">
            <w:pPr>
              <w:jc w:val="left"/>
              <w:rPr>
                <w:rFonts w:ascii="Arial Narrow" w:hAnsi="Arial Narrow"/>
                <w:sz w:val="20"/>
              </w:rPr>
            </w:pPr>
          </w:p>
          <w:p w:rsidR="00447919" w:rsidRPr="00D24544" w:rsidRDefault="00447919" w:rsidP="001F6F48">
            <w:pPr>
              <w:jc w:val="left"/>
              <w:rPr>
                <w:rFonts w:ascii="Arial Narrow" w:hAnsi="Arial Narrow"/>
                <w:sz w:val="20"/>
              </w:rPr>
            </w:pPr>
          </w:p>
          <w:p w:rsidR="00447919" w:rsidRPr="00D24544" w:rsidRDefault="00447919" w:rsidP="001F6F48">
            <w:pPr>
              <w:jc w:val="left"/>
              <w:rPr>
                <w:rFonts w:ascii="Arial Narrow" w:hAnsi="Arial Narrow"/>
                <w:sz w:val="20"/>
              </w:rPr>
            </w:pPr>
          </w:p>
          <w:p w:rsidR="00447919" w:rsidRPr="00D24544" w:rsidRDefault="00447919" w:rsidP="001F6F48">
            <w:pPr>
              <w:jc w:val="left"/>
              <w:rPr>
                <w:rFonts w:ascii="Arial Narrow" w:hAnsi="Arial Narrow"/>
                <w:sz w:val="20"/>
              </w:rPr>
            </w:pPr>
            <w:proofErr w:type="spellStart"/>
            <w:r w:rsidRPr="00D24544">
              <w:rPr>
                <w:rFonts w:ascii="Arial Narrow" w:hAnsi="Arial Narrow"/>
                <w:sz w:val="20"/>
              </w:rPr>
              <w:t>Hepatology</w:t>
            </w:r>
            <w:proofErr w:type="spellEnd"/>
            <w:r w:rsidRPr="00D24544">
              <w:rPr>
                <w:rFonts w:ascii="Arial Narrow" w:hAnsi="Arial Narrow"/>
                <w:sz w:val="20"/>
              </w:rPr>
              <w:t xml:space="preserve"> (2015). Accepted online ahead of print: http://onlinelibrary.wiley.com/doi/10.1002/hep.27726/pdf.</w:t>
            </w:r>
          </w:p>
        </w:tc>
      </w:tr>
    </w:tbl>
    <w:p w:rsidR="000D1776" w:rsidRDefault="000D1776" w:rsidP="00E22A0D">
      <w:pPr>
        <w:pStyle w:val="TableFooter"/>
        <w:ind w:firstLine="720"/>
      </w:pPr>
      <w:r>
        <w:t>HCV = hepatitis C virus</w:t>
      </w:r>
    </w:p>
    <w:p w:rsidR="00862502" w:rsidRPr="00862502" w:rsidRDefault="008F120A" w:rsidP="00E22A0D">
      <w:pPr>
        <w:pStyle w:val="TableFooter"/>
        <w:ind w:firstLine="720"/>
        <w:rPr>
          <w:szCs w:val="22"/>
        </w:rPr>
      </w:pPr>
      <w:r w:rsidRPr="00C42326">
        <w:t xml:space="preserve">Source: </w:t>
      </w:r>
      <w:r w:rsidR="008B4240" w:rsidRPr="00C42326">
        <w:t>Table 23</w:t>
      </w:r>
      <w:r w:rsidR="008B4240" w:rsidRPr="00AE1653">
        <w:t>, p71 of the submission</w:t>
      </w:r>
      <w:r w:rsidR="00447919">
        <w:t xml:space="preserve"> and page 2 of the PSCR </w:t>
      </w:r>
    </w:p>
    <w:p w:rsidR="00862502" w:rsidRPr="008F120A" w:rsidRDefault="00862502" w:rsidP="008F120A">
      <w:pPr>
        <w:widowControl/>
        <w:rPr>
          <w:szCs w:val="22"/>
        </w:rPr>
      </w:pPr>
    </w:p>
    <w:p w:rsidR="00862502" w:rsidRPr="00F54FEB" w:rsidRDefault="00F54FEB" w:rsidP="00C768A3">
      <w:pPr>
        <w:pStyle w:val="ListParagraph"/>
        <w:widowControl/>
        <w:numPr>
          <w:ilvl w:val="1"/>
          <w:numId w:val="1"/>
        </w:numPr>
        <w:rPr>
          <w:szCs w:val="22"/>
        </w:rPr>
      </w:pPr>
      <w:r>
        <w:rPr>
          <w:szCs w:val="22"/>
        </w:rPr>
        <w:t>Study 4040 was a</w:t>
      </w:r>
      <w:r w:rsidRPr="00B50DB8">
        <w:rPr>
          <w:szCs w:val="22"/>
        </w:rPr>
        <w:t xml:space="preserve"> </w:t>
      </w:r>
      <w:r>
        <w:rPr>
          <w:szCs w:val="22"/>
        </w:rPr>
        <w:t>non-comparative study. Other key features</w:t>
      </w:r>
      <w:r w:rsidRPr="00B50DB8">
        <w:rPr>
          <w:szCs w:val="22"/>
        </w:rPr>
        <w:t xml:space="preserve"> are summarised in </w:t>
      </w:r>
      <w:r w:rsidR="00BB2672">
        <w:rPr>
          <w:szCs w:val="22"/>
        </w:rPr>
        <w:t>the table below</w:t>
      </w:r>
      <w:r w:rsidR="00A77EDF">
        <w:rPr>
          <w:szCs w:val="22"/>
        </w:rPr>
        <w:t>.</w:t>
      </w:r>
    </w:p>
    <w:p w:rsidR="007F1017" w:rsidRDefault="007F1017" w:rsidP="007F1017">
      <w:pPr>
        <w:widowControl/>
        <w:rPr>
          <w:szCs w:val="22"/>
        </w:rPr>
      </w:pPr>
    </w:p>
    <w:p w:rsidR="007F1017" w:rsidRPr="00D91EF5" w:rsidRDefault="007F1017" w:rsidP="00841A6B">
      <w:pPr>
        <w:pStyle w:val="Caption"/>
        <w:ind w:left="709"/>
        <w:rPr>
          <w:rStyle w:val="CommentReference"/>
          <w:b/>
        </w:rPr>
      </w:pPr>
      <w:bookmarkStart w:id="9" w:name="_Ref406237130"/>
      <w:r w:rsidRPr="00D91EF5">
        <w:rPr>
          <w:rStyle w:val="CommentReference"/>
          <w:b/>
        </w:rPr>
        <w:t>Key features of the included evidence</w:t>
      </w:r>
      <w:bookmarkEnd w:id="9"/>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from study 4040"/>
      </w:tblPr>
      <w:tblGrid>
        <w:gridCol w:w="1133"/>
        <w:gridCol w:w="711"/>
        <w:gridCol w:w="1843"/>
        <w:gridCol w:w="991"/>
        <w:gridCol w:w="1417"/>
        <w:gridCol w:w="1133"/>
        <w:gridCol w:w="1117"/>
      </w:tblGrid>
      <w:tr w:rsidR="00E22A0D" w:rsidRPr="00E2771E" w:rsidTr="00E22A0D">
        <w:tc>
          <w:tcPr>
            <w:tcW w:w="679" w:type="pct"/>
            <w:shd w:val="clear" w:color="auto" w:fill="auto"/>
            <w:vAlign w:val="center"/>
          </w:tcPr>
          <w:p w:rsidR="007F1017" w:rsidRPr="00E2771E" w:rsidRDefault="007F61EE" w:rsidP="007F1017">
            <w:pPr>
              <w:jc w:val="left"/>
              <w:rPr>
                <w:rFonts w:ascii="Arial Narrow" w:hAnsi="Arial Narrow"/>
                <w:b/>
                <w:sz w:val="20"/>
                <w:lang w:val="en-US"/>
              </w:rPr>
            </w:pPr>
            <w:r>
              <w:rPr>
                <w:rFonts w:ascii="Arial Narrow" w:hAnsi="Arial Narrow"/>
                <w:b/>
                <w:sz w:val="20"/>
                <w:lang w:val="en-US"/>
              </w:rPr>
              <w:t>Study</w:t>
            </w:r>
          </w:p>
        </w:tc>
        <w:tc>
          <w:tcPr>
            <w:tcW w:w="426"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N</w:t>
            </w:r>
          </w:p>
        </w:tc>
        <w:tc>
          <w:tcPr>
            <w:tcW w:w="1104"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Design/ duration</w:t>
            </w:r>
          </w:p>
        </w:tc>
        <w:tc>
          <w:tcPr>
            <w:tcW w:w="594"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Risk of bias</w:t>
            </w:r>
          </w:p>
        </w:tc>
        <w:tc>
          <w:tcPr>
            <w:tcW w:w="849"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Patient population</w:t>
            </w:r>
          </w:p>
        </w:tc>
        <w:tc>
          <w:tcPr>
            <w:tcW w:w="679"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Outcome(s)</w:t>
            </w:r>
          </w:p>
        </w:tc>
        <w:tc>
          <w:tcPr>
            <w:tcW w:w="669" w:type="pct"/>
            <w:shd w:val="clear" w:color="auto" w:fill="auto"/>
            <w:vAlign w:val="center"/>
          </w:tcPr>
          <w:p w:rsidR="007F1017" w:rsidRPr="00E2771E" w:rsidRDefault="007F1017" w:rsidP="007F1017">
            <w:pPr>
              <w:jc w:val="center"/>
              <w:rPr>
                <w:rFonts w:ascii="Arial Narrow" w:hAnsi="Arial Narrow"/>
                <w:b/>
                <w:sz w:val="20"/>
                <w:lang w:val="en-US"/>
              </w:rPr>
            </w:pPr>
            <w:r w:rsidRPr="00E2771E">
              <w:rPr>
                <w:rFonts w:ascii="Arial Narrow" w:hAnsi="Arial Narrow"/>
                <w:b/>
                <w:sz w:val="20"/>
                <w:lang w:val="en-US"/>
              </w:rPr>
              <w:t>Use in modelled evaluation</w:t>
            </w:r>
          </w:p>
        </w:tc>
      </w:tr>
      <w:tr w:rsidR="007F1017" w:rsidRPr="00E2771E" w:rsidTr="00E22A0D">
        <w:tc>
          <w:tcPr>
            <w:tcW w:w="5000" w:type="pct"/>
            <w:gridSpan w:val="7"/>
            <w:shd w:val="clear" w:color="auto" w:fill="auto"/>
            <w:vAlign w:val="center"/>
          </w:tcPr>
          <w:p w:rsidR="007F1017" w:rsidRPr="00E2771E" w:rsidRDefault="00DD5CDD" w:rsidP="007F1017">
            <w:pPr>
              <w:jc w:val="left"/>
              <w:rPr>
                <w:rFonts w:ascii="Arial Narrow" w:hAnsi="Arial Narrow"/>
                <w:b/>
                <w:sz w:val="20"/>
                <w:lang w:val="en-US"/>
              </w:rPr>
            </w:pPr>
            <w:r>
              <w:rPr>
                <w:rFonts w:ascii="Arial Narrow" w:hAnsi="Arial Narrow"/>
                <w:b/>
                <w:sz w:val="20"/>
                <w:lang w:val="en-US"/>
              </w:rPr>
              <w:t xml:space="preserve">Non-comparative study </w:t>
            </w:r>
          </w:p>
        </w:tc>
      </w:tr>
      <w:tr w:rsidR="00E22A0D" w:rsidRPr="00E2771E" w:rsidTr="00E22A0D">
        <w:tc>
          <w:tcPr>
            <w:tcW w:w="679" w:type="pct"/>
            <w:shd w:val="clear" w:color="auto" w:fill="auto"/>
            <w:vAlign w:val="center"/>
          </w:tcPr>
          <w:p w:rsidR="007F1017" w:rsidRPr="00E2771E" w:rsidRDefault="00447834" w:rsidP="007F1017">
            <w:pPr>
              <w:jc w:val="left"/>
              <w:rPr>
                <w:rFonts w:ascii="Arial Narrow" w:hAnsi="Arial Narrow"/>
                <w:sz w:val="20"/>
                <w:lang w:val="en-US"/>
              </w:rPr>
            </w:pPr>
            <w:r>
              <w:rPr>
                <w:rFonts w:ascii="Arial Narrow" w:hAnsi="Arial Narrow"/>
                <w:sz w:val="20"/>
                <w:lang w:val="en-US"/>
              </w:rPr>
              <w:t>Study 4040</w:t>
            </w:r>
          </w:p>
        </w:tc>
        <w:tc>
          <w:tcPr>
            <w:tcW w:w="426" w:type="pct"/>
            <w:shd w:val="clear" w:color="auto" w:fill="auto"/>
            <w:vAlign w:val="center"/>
          </w:tcPr>
          <w:p w:rsidR="007F1017" w:rsidRPr="00E2771E" w:rsidRDefault="007F1017" w:rsidP="00447834">
            <w:pPr>
              <w:jc w:val="center"/>
              <w:rPr>
                <w:rFonts w:ascii="Arial Narrow" w:hAnsi="Arial Narrow"/>
                <w:sz w:val="20"/>
                <w:lang w:val="en-US"/>
              </w:rPr>
            </w:pPr>
            <w:r w:rsidRPr="00E2771E">
              <w:rPr>
                <w:rFonts w:ascii="Arial Narrow" w:hAnsi="Arial Narrow"/>
                <w:sz w:val="20"/>
                <w:lang w:val="en-US"/>
              </w:rPr>
              <w:t>2</w:t>
            </w:r>
            <w:r w:rsidR="00447834">
              <w:rPr>
                <w:rFonts w:ascii="Arial Narrow" w:hAnsi="Arial Narrow"/>
                <w:sz w:val="20"/>
                <w:lang w:val="en-US"/>
              </w:rPr>
              <w:t>11</w:t>
            </w:r>
          </w:p>
        </w:tc>
        <w:tc>
          <w:tcPr>
            <w:tcW w:w="1104" w:type="pct"/>
            <w:shd w:val="clear" w:color="auto" w:fill="auto"/>
            <w:vAlign w:val="center"/>
          </w:tcPr>
          <w:p w:rsidR="007F1017" w:rsidRPr="00E2771E" w:rsidRDefault="00447834" w:rsidP="007F1017">
            <w:pPr>
              <w:jc w:val="center"/>
              <w:rPr>
                <w:rFonts w:ascii="Arial Narrow" w:hAnsi="Arial Narrow"/>
                <w:sz w:val="20"/>
                <w:lang w:val="en-US"/>
              </w:rPr>
            </w:pPr>
            <w:r>
              <w:rPr>
                <w:rFonts w:ascii="Arial Narrow" w:hAnsi="Arial Narrow"/>
                <w:sz w:val="20"/>
                <w:lang w:val="en-US"/>
              </w:rPr>
              <w:t xml:space="preserve">Single arms of </w:t>
            </w:r>
            <w:r w:rsidR="007F1017" w:rsidRPr="00E2771E">
              <w:rPr>
                <w:rFonts w:ascii="Arial Narrow" w:hAnsi="Arial Narrow"/>
                <w:sz w:val="20"/>
                <w:lang w:val="en-US"/>
              </w:rPr>
              <w:t xml:space="preserve">R, </w:t>
            </w:r>
            <w:r>
              <w:rPr>
                <w:rFonts w:ascii="Arial Narrow" w:hAnsi="Arial Narrow"/>
                <w:sz w:val="20"/>
                <w:lang w:val="en-US"/>
              </w:rPr>
              <w:t>OL</w:t>
            </w:r>
          </w:p>
          <w:p w:rsidR="007F1017" w:rsidRPr="00E2771E" w:rsidRDefault="004C34EB" w:rsidP="007F1017">
            <w:pPr>
              <w:jc w:val="center"/>
              <w:rPr>
                <w:rFonts w:ascii="Arial Narrow" w:hAnsi="Arial Narrow"/>
                <w:sz w:val="20"/>
                <w:lang w:val="en-US"/>
              </w:rPr>
            </w:pPr>
            <w:r>
              <w:rPr>
                <w:rFonts w:ascii="Arial Narrow" w:hAnsi="Arial Narrow"/>
                <w:sz w:val="20"/>
                <w:lang w:val="en-US"/>
              </w:rPr>
              <w:t>24</w:t>
            </w:r>
            <w:r w:rsidR="00447834">
              <w:rPr>
                <w:rFonts w:ascii="Arial Narrow" w:hAnsi="Arial Narrow"/>
                <w:sz w:val="20"/>
                <w:lang w:val="en-US"/>
              </w:rPr>
              <w:t xml:space="preserve"> weeks</w:t>
            </w:r>
            <w:r>
              <w:rPr>
                <w:rFonts w:ascii="Arial Narrow" w:hAnsi="Arial Narrow"/>
                <w:sz w:val="20"/>
                <w:lang w:val="en-US"/>
              </w:rPr>
              <w:t xml:space="preserve"> after last dose</w:t>
            </w:r>
          </w:p>
        </w:tc>
        <w:tc>
          <w:tcPr>
            <w:tcW w:w="594" w:type="pct"/>
            <w:shd w:val="clear" w:color="auto" w:fill="auto"/>
            <w:vAlign w:val="center"/>
          </w:tcPr>
          <w:p w:rsidR="007F1017" w:rsidRPr="00E2771E" w:rsidRDefault="00447834" w:rsidP="00062A6F">
            <w:pPr>
              <w:jc w:val="center"/>
              <w:rPr>
                <w:rFonts w:ascii="Arial Narrow" w:hAnsi="Arial Narrow"/>
                <w:sz w:val="20"/>
                <w:lang w:val="en-US"/>
              </w:rPr>
            </w:pPr>
            <w:proofErr w:type="spellStart"/>
            <w:r>
              <w:rPr>
                <w:rFonts w:ascii="Arial Narrow" w:hAnsi="Arial Narrow"/>
                <w:sz w:val="20"/>
                <w:lang w:val="en-US"/>
              </w:rPr>
              <w:t>Medium</w:t>
            </w:r>
            <w:r w:rsidR="00062A6F">
              <w:rPr>
                <w:rFonts w:ascii="Arial Narrow" w:hAnsi="Arial Narrow"/>
                <w:sz w:val="20"/>
                <w:vertAlign w:val="superscript"/>
                <w:lang w:val="en-US"/>
              </w:rPr>
              <w:t>a</w:t>
            </w:r>
            <w:proofErr w:type="spellEnd"/>
          </w:p>
        </w:tc>
        <w:tc>
          <w:tcPr>
            <w:tcW w:w="849" w:type="pct"/>
            <w:shd w:val="clear" w:color="auto" w:fill="auto"/>
            <w:vAlign w:val="center"/>
          </w:tcPr>
          <w:p w:rsidR="007F1017" w:rsidRPr="00E2771E" w:rsidRDefault="00447834" w:rsidP="00062A6F">
            <w:pPr>
              <w:jc w:val="center"/>
              <w:rPr>
                <w:rFonts w:ascii="Arial Narrow" w:hAnsi="Arial Narrow"/>
                <w:sz w:val="20"/>
                <w:lang w:val="en-US"/>
              </w:rPr>
            </w:pPr>
            <w:r>
              <w:rPr>
                <w:rFonts w:ascii="Arial Narrow" w:hAnsi="Arial Narrow"/>
                <w:sz w:val="20"/>
                <w:lang w:val="en-US"/>
              </w:rPr>
              <w:t xml:space="preserve">GT 1,2 3 </w:t>
            </w:r>
            <w:r w:rsidR="00922990">
              <w:rPr>
                <w:rFonts w:ascii="Arial Narrow" w:hAnsi="Arial Narrow"/>
                <w:sz w:val="20"/>
                <w:lang w:val="en-US"/>
              </w:rPr>
              <w:t>treatment-n</w:t>
            </w:r>
            <w:r>
              <w:rPr>
                <w:rFonts w:ascii="Arial Narrow" w:hAnsi="Arial Narrow"/>
                <w:sz w:val="20"/>
                <w:lang w:val="en-US"/>
              </w:rPr>
              <w:t xml:space="preserve">aïve and G1 </w:t>
            </w:r>
            <w:r w:rsidR="00922990">
              <w:rPr>
                <w:rFonts w:ascii="Arial Narrow" w:hAnsi="Arial Narrow"/>
                <w:sz w:val="20"/>
                <w:lang w:val="en-US"/>
              </w:rPr>
              <w:t>treatment-</w:t>
            </w:r>
            <w:proofErr w:type="spellStart"/>
            <w:r w:rsidR="00922990">
              <w:rPr>
                <w:rFonts w:ascii="Arial Narrow" w:hAnsi="Arial Narrow"/>
                <w:sz w:val="20"/>
                <w:lang w:val="en-US"/>
              </w:rPr>
              <w:t>experienced</w:t>
            </w:r>
            <w:r w:rsidR="00062A6F">
              <w:rPr>
                <w:rFonts w:ascii="Arial Narrow" w:hAnsi="Arial Narrow"/>
                <w:sz w:val="20"/>
                <w:vertAlign w:val="superscript"/>
                <w:lang w:val="en-US"/>
              </w:rPr>
              <w:t>b</w:t>
            </w:r>
            <w:proofErr w:type="spellEnd"/>
          </w:p>
        </w:tc>
        <w:tc>
          <w:tcPr>
            <w:tcW w:w="679" w:type="pct"/>
            <w:shd w:val="clear" w:color="auto" w:fill="auto"/>
            <w:vAlign w:val="center"/>
          </w:tcPr>
          <w:p w:rsidR="007F1017" w:rsidRPr="00E2771E" w:rsidRDefault="00447834" w:rsidP="007F1017">
            <w:pPr>
              <w:jc w:val="center"/>
              <w:rPr>
                <w:rFonts w:ascii="Arial Narrow" w:hAnsi="Arial Narrow"/>
                <w:sz w:val="20"/>
                <w:lang w:val="en-US"/>
              </w:rPr>
            </w:pPr>
            <w:r>
              <w:rPr>
                <w:rFonts w:ascii="Arial Narrow" w:hAnsi="Arial Narrow"/>
                <w:sz w:val="20"/>
                <w:lang w:val="en-US"/>
              </w:rPr>
              <w:t>SVR</w:t>
            </w:r>
          </w:p>
        </w:tc>
        <w:tc>
          <w:tcPr>
            <w:tcW w:w="669" w:type="pct"/>
            <w:shd w:val="clear" w:color="auto" w:fill="auto"/>
            <w:vAlign w:val="center"/>
          </w:tcPr>
          <w:p w:rsidR="007F1017" w:rsidRPr="00E2771E" w:rsidRDefault="00447834" w:rsidP="007F1017">
            <w:pPr>
              <w:jc w:val="center"/>
              <w:rPr>
                <w:rFonts w:ascii="Arial Narrow" w:hAnsi="Arial Narrow"/>
                <w:sz w:val="20"/>
                <w:lang w:val="en-US"/>
              </w:rPr>
            </w:pPr>
            <w:r>
              <w:rPr>
                <w:rFonts w:ascii="Arial Narrow" w:hAnsi="Arial Narrow"/>
                <w:sz w:val="20"/>
                <w:lang w:val="en-US"/>
              </w:rPr>
              <w:t>U</w:t>
            </w:r>
            <w:r w:rsidR="007F1017" w:rsidRPr="00E2771E">
              <w:rPr>
                <w:rFonts w:ascii="Arial Narrow" w:hAnsi="Arial Narrow"/>
                <w:sz w:val="20"/>
                <w:lang w:val="en-US"/>
              </w:rPr>
              <w:t>sed</w:t>
            </w:r>
          </w:p>
        </w:tc>
      </w:tr>
    </w:tbl>
    <w:p w:rsidR="007F1017" w:rsidRDefault="007F1017" w:rsidP="00E22A0D">
      <w:pPr>
        <w:pStyle w:val="TableFooter"/>
        <w:ind w:firstLine="720"/>
      </w:pPr>
      <w:r w:rsidRPr="0072416F">
        <w:t xml:space="preserve">OL=open label; </w:t>
      </w:r>
      <w:r w:rsidR="00447834">
        <w:t xml:space="preserve">R=randomised; GT = genotype; SVR = sustained </w:t>
      </w:r>
      <w:proofErr w:type="spellStart"/>
      <w:r w:rsidR="00447834">
        <w:t>virologic</w:t>
      </w:r>
      <w:proofErr w:type="spellEnd"/>
      <w:r w:rsidR="00447834">
        <w:t xml:space="preserve"> response</w:t>
      </w:r>
    </w:p>
    <w:p w:rsidR="00447834" w:rsidRDefault="00062A6F" w:rsidP="00447834">
      <w:pPr>
        <w:pStyle w:val="TableFooter"/>
        <w:ind w:left="720"/>
      </w:pPr>
      <w:r w:rsidRPr="00062A6F">
        <w:rPr>
          <w:vertAlign w:val="superscript"/>
        </w:rPr>
        <w:t>a</w:t>
      </w:r>
      <w:r>
        <w:t xml:space="preserve"> </w:t>
      </w:r>
      <w:r w:rsidR="00447834" w:rsidRPr="00062A6F">
        <w:t>Given</w:t>
      </w:r>
      <w:r w:rsidR="00447834">
        <w:t xml:space="preserve"> the relevant comparator is </w:t>
      </w:r>
      <w:r w:rsidR="00606E43">
        <w:t>‘no treatment’</w:t>
      </w:r>
      <w:r w:rsidR="00447834">
        <w:t xml:space="preserve">, the assessment of SVR is at low risk, but the assessment of safety data may be at </w:t>
      </w:r>
      <w:r w:rsidR="00D93817">
        <w:t xml:space="preserve">a </w:t>
      </w:r>
      <w:r w:rsidR="00447834">
        <w:t>high risk due to the open label design.</w:t>
      </w:r>
    </w:p>
    <w:p w:rsidR="001C2B2C" w:rsidRPr="0072416F" w:rsidRDefault="00062A6F" w:rsidP="00447834">
      <w:pPr>
        <w:pStyle w:val="TableFooter"/>
        <w:ind w:left="720"/>
      </w:pPr>
      <w:proofErr w:type="gramStart"/>
      <w:r>
        <w:rPr>
          <w:vertAlign w:val="superscript"/>
        </w:rPr>
        <w:t>b</w:t>
      </w:r>
      <w:proofErr w:type="gramEnd"/>
      <w:r w:rsidR="001C2B2C">
        <w:t xml:space="preserve"> patients with</w:t>
      </w:r>
      <w:r w:rsidR="001F1566">
        <w:t xml:space="preserve"> documented</w:t>
      </w:r>
      <w:r w:rsidR="001C2B2C">
        <w:t xml:space="preserve"> cirrhosis have been excluded from the study.</w:t>
      </w:r>
    </w:p>
    <w:p w:rsidR="007F1017" w:rsidRPr="0072416F" w:rsidRDefault="007F1017" w:rsidP="00E22A0D">
      <w:pPr>
        <w:pStyle w:val="TableFooter"/>
        <w:ind w:firstLine="720"/>
      </w:pPr>
      <w:r w:rsidRPr="0072416F">
        <w:t>Source: compiled during the evaluation</w:t>
      </w:r>
    </w:p>
    <w:p w:rsidR="00B60939" w:rsidRPr="00882085" w:rsidRDefault="00B60939" w:rsidP="00B60939">
      <w:pPr>
        <w:rPr>
          <w:szCs w:val="22"/>
        </w:rPr>
      </w:pPr>
    </w:p>
    <w:p w:rsidR="00327DC1" w:rsidRPr="00464929" w:rsidRDefault="00F54FEB" w:rsidP="00C768A3">
      <w:pPr>
        <w:pStyle w:val="ListParagraph"/>
        <w:widowControl/>
        <w:numPr>
          <w:ilvl w:val="1"/>
          <w:numId w:val="1"/>
        </w:numPr>
        <w:rPr>
          <w:szCs w:val="22"/>
        </w:rPr>
      </w:pPr>
      <w:r w:rsidRPr="00D91EF5">
        <w:lastRenderedPageBreak/>
        <w:t>The su</w:t>
      </w:r>
      <w:r w:rsidR="008D7DC9" w:rsidRPr="00D91EF5">
        <w:t>bmission requested that DCV12+</w:t>
      </w:r>
      <w:r w:rsidRPr="00D91EF5">
        <w:t xml:space="preserve">SOF12 be listed for all HCV genotypes regardless of previous treatment history or cirrhosis status. </w:t>
      </w:r>
      <w:r w:rsidR="00861D0E" w:rsidRPr="00464929">
        <w:t>No e</w:t>
      </w:r>
      <w:r w:rsidRPr="00464929">
        <w:t xml:space="preserve">vidence relating to the therapeutic effectiveness of </w:t>
      </w:r>
      <w:r w:rsidR="009B350F" w:rsidRPr="00464929">
        <w:t>DCV+SOF</w:t>
      </w:r>
      <w:r w:rsidR="00861D0E" w:rsidRPr="00464929">
        <w:t xml:space="preserve"> </w:t>
      </w:r>
      <w:r w:rsidRPr="00464929">
        <w:t xml:space="preserve">was </w:t>
      </w:r>
      <w:r w:rsidR="00A77EDF">
        <w:t>provided</w:t>
      </w:r>
      <w:r w:rsidRPr="00464929">
        <w:t xml:space="preserve"> </w:t>
      </w:r>
      <w:r w:rsidR="00E40F80">
        <w:t xml:space="preserve">in the submission </w:t>
      </w:r>
      <w:r w:rsidRPr="00464929">
        <w:t>for the following population subgroups</w:t>
      </w:r>
      <w:r w:rsidR="00327DC1" w:rsidRPr="00464929">
        <w:rPr>
          <w:szCs w:val="22"/>
        </w:rPr>
        <w:t>:</w:t>
      </w:r>
    </w:p>
    <w:p w:rsidR="00327DC1" w:rsidRPr="00464929" w:rsidRDefault="00327DC1" w:rsidP="00C768A3">
      <w:pPr>
        <w:pStyle w:val="ListParagraph"/>
        <w:widowControl/>
        <w:numPr>
          <w:ilvl w:val="1"/>
          <w:numId w:val="3"/>
        </w:numPr>
        <w:rPr>
          <w:szCs w:val="22"/>
        </w:rPr>
      </w:pPr>
      <w:r w:rsidRPr="00464929">
        <w:rPr>
          <w:szCs w:val="22"/>
        </w:rPr>
        <w:t xml:space="preserve">Patients with </w:t>
      </w:r>
      <w:r w:rsidR="001F1566" w:rsidRPr="00464929">
        <w:rPr>
          <w:szCs w:val="22"/>
        </w:rPr>
        <w:t xml:space="preserve">documented </w:t>
      </w:r>
      <w:r w:rsidRPr="00464929">
        <w:rPr>
          <w:szCs w:val="22"/>
        </w:rPr>
        <w:t>cirrhosis;</w:t>
      </w:r>
    </w:p>
    <w:p w:rsidR="00327DC1" w:rsidRPr="00464929" w:rsidRDefault="00922990" w:rsidP="00C768A3">
      <w:pPr>
        <w:pStyle w:val="ListParagraph"/>
        <w:widowControl/>
        <w:numPr>
          <w:ilvl w:val="1"/>
          <w:numId w:val="3"/>
        </w:numPr>
        <w:rPr>
          <w:szCs w:val="22"/>
        </w:rPr>
      </w:pPr>
      <w:r w:rsidRPr="00464929">
        <w:rPr>
          <w:szCs w:val="22"/>
        </w:rPr>
        <w:t>Treatment-n</w:t>
      </w:r>
      <w:r w:rsidR="00327DC1" w:rsidRPr="00464929">
        <w:rPr>
          <w:szCs w:val="22"/>
        </w:rPr>
        <w:t>aïve patients with genotypes 4-6 HCV;</w:t>
      </w:r>
    </w:p>
    <w:p w:rsidR="00327DC1" w:rsidRPr="00464929" w:rsidRDefault="00922990" w:rsidP="00C768A3">
      <w:pPr>
        <w:pStyle w:val="ListParagraph"/>
        <w:widowControl/>
        <w:numPr>
          <w:ilvl w:val="1"/>
          <w:numId w:val="3"/>
        </w:numPr>
        <w:rPr>
          <w:szCs w:val="22"/>
        </w:rPr>
      </w:pPr>
      <w:r w:rsidRPr="00464929">
        <w:rPr>
          <w:szCs w:val="22"/>
        </w:rPr>
        <w:t>Treatment-experienced</w:t>
      </w:r>
      <w:r w:rsidR="00327DC1" w:rsidRPr="00464929">
        <w:rPr>
          <w:szCs w:val="22"/>
        </w:rPr>
        <w:t xml:space="preserve"> patients with genotypes 2-6 HCV;</w:t>
      </w:r>
    </w:p>
    <w:p w:rsidR="00327DC1" w:rsidRPr="00AB787A" w:rsidRDefault="00327DC1" w:rsidP="00C768A3">
      <w:pPr>
        <w:pStyle w:val="ListParagraph"/>
        <w:widowControl/>
        <w:numPr>
          <w:ilvl w:val="1"/>
          <w:numId w:val="3"/>
        </w:numPr>
        <w:rPr>
          <w:i/>
          <w:szCs w:val="22"/>
        </w:rPr>
      </w:pPr>
      <w:r w:rsidRPr="00464929">
        <w:rPr>
          <w:szCs w:val="22"/>
        </w:rPr>
        <w:t>Patients with HCV and</w:t>
      </w:r>
      <w:r w:rsidR="00AF42C2" w:rsidRPr="00464929">
        <w:rPr>
          <w:szCs w:val="22"/>
        </w:rPr>
        <w:t xml:space="preserve"> human immunodeficiency virus</w:t>
      </w:r>
      <w:r w:rsidRPr="00464929">
        <w:rPr>
          <w:szCs w:val="22"/>
        </w:rPr>
        <w:t xml:space="preserve"> </w:t>
      </w:r>
      <w:r w:rsidR="00AF42C2" w:rsidRPr="00464929">
        <w:rPr>
          <w:szCs w:val="22"/>
        </w:rPr>
        <w:t>(</w:t>
      </w:r>
      <w:r w:rsidRPr="00464929">
        <w:rPr>
          <w:szCs w:val="22"/>
        </w:rPr>
        <w:t>HIV</w:t>
      </w:r>
      <w:r w:rsidR="00AF42C2" w:rsidRPr="00464929">
        <w:rPr>
          <w:szCs w:val="22"/>
        </w:rPr>
        <w:t>)</w:t>
      </w:r>
      <w:r w:rsidRPr="00464929">
        <w:rPr>
          <w:szCs w:val="22"/>
        </w:rPr>
        <w:t xml:space="preserve"> or </w:t>
      </w:r>
      <w:r w:rsidR="00AF42C2" w:rsidRPr="00464929">
        <w:rPr>
          <w:szCs w:val="22"/>
        </w:rPr>
        <w:t>hepatitis B virus (</w:t>
      </w:r>
      <w:r w:rsidRPr="00464929">
        <w:rPr>
          <w:szCs w:val="22"/>
        </w:rPr>
        <w:t>HBV</w:t>
      </w:r>
      <w:r w:rsidR="00AF42C2" w:rsidRPr="00464929">
        <w:rPr>
          <w:szCs w:val="22"/>
        </w:rPr>
        <w:t>)</w:t>
      </w:r>
      <w:r w:rsidRPr="00464929">
        <w:rPr>
          <w:szCs w:val="22"/>
        </w:rPr>
        <w:t xml:space="preserve"> co-infection</w:t>
      </w:r>
      <w:r w:rsidR="00EB002B" w:rsidRPr="00464929">
        <w:rPr>
          <w:szCs w:val="22"/>
        </w:rPr>
        <w:t>.</w:t>
      </w:r>
    </w:p>
    <w:p w:rsidR="00DF764A" w:rsidRPr="00D91EF5" w:rsidRDefault="00DF764A" w:rsidP="00DF764A">
      <w:pPr>
        <w:widowControl/>
      </w:pPr>
    </w:p>
    <w:p w:rsidR="00A77EDF" w:rsidRPr="00A77EDF" w:rsidRDefault="000E3149" w:rsidP="00C768A3">
      <w:pPr>
        <w:pStyle w:val="ListParagraph"/>
        <w:widowControl/>
        <w:numPr>
          <w:ilvl w:val="1"/>
          <w:numId w:val="1"/>
        </w:numPr>
        <w:rPr>
          <w:i/>
        </w:rPr>
      </w:pPr>
      <w:r w:rsidRPr="00D91EF5">
        <w:t>Three additional clinical trials are currently being</w:t>
      </w:r>
      <w:r w:rsidR="008D7DC9" w:rsidRPr="00D91EF5">
        <w:t xml:space="preserve"> conducted: </w:t>
      </w:r>
    </w:p>
    <w:p w:rsidR="00A77EDF" w:rsidRDefault="008D7DC9" w:rsidP="00A77EDF">
      <w:pPr>
        <w:pStyle w:val="ListParagraph"/>
        <w:widowControl/>
        <w:numPr>
          <w:ilvl w:val="0"/>
          <w:numId w:val="26"/>
        </w:numPr>
      </w:pPr>
      <w:r w:rsidRPr="00D91EF5">
        <w:t>one assessing DCV12+</w:t>
      </w:r>
      <w:r w:rsidR="000E3149" w:rsidRPr="00D91EF5">
        <w:t xml:space="preserve">SOF12 in both </w:t>
      </w:r>
      <w:r w:rsidR="00922990" w:rsidRPr="00D91EF5">
        <w:t>treatment-n</w:t>
      </w:r>
      <w:r w:rsidR="000E3149" w:rsidRPr="00D91EF5">
        <w:t xml:space="preserve">aïve and </w:t>
      </w:r>
      <w:r w:rsidR="00922990" w:rsidRPr="00D91EF5">
        <w:t>treatment-experienced</w:t>
      </w:r>
      <w:r w:rsidR="000E3149" w:rsidRPr="00D91EF5">
        <w:t xml:space="preserve"> patients with genotype 3 HCV infection</w:t>
      </w:r>
      <w:r w:rsidR="0063295A">
        <w:t xml:space="preserve"> (ALLY 3)</w:t>
      </w:r>
      <w:r w:rsidR="000E3149" w:rsidRPr="00D91EF5">
        <w:t>;</w:t>
      </w:r>
      <w:r w:rsidRPr="00D91EF5">
        <w:t xml:space="preserve"> </w:t>
      </w:r>
    </w:p>
    <w:p w:rsidR="00A77EDF" w:rsidRDefault="008D7DC9" w:rsidP="00A77EDF">
      <w:pPr>
        <w:pStyle w:val="ListParagraph"/>
        <w:widowControl/>
        <w:numPr>
          <w:ilvl w:val="0"/>
          <w:numId w:val="26"/>
        </w:numPr>
      </w:pPr>
      <w:r w:rsidRPr="00D91EF5">
        <w:t>one assessing DCV12+SOF12</w:t>
      </w:r>
      <w:r w:rsidR="00697FE3" w:rsidRPr="00D91EF5">
        <w:t>+R</w:t>
      </w:r>
      <w:r w:rsidR="000E3149" w:rsidRPr="00D91EF5">
        <w:t xml:space="preserve">12 in cirrhotic or post-transplant </w:t>
      </w:r>
      <w:r w:rsidR="00AF42C2">
        <w:t>patients</w:t>
      </w:r>
      <w:r w:rsidR="0063295A">
        <w:t xml:space="preserve"> (ALLY 1)</w:t>
      </w:r>
      <w:r w:rsidR="00AF42C2">
        <w:t xml:space="preserve">; and </w:t>
      </w:r>
    </w:p>
    <w:p w:rsidR="00A77EDF" w:rsidRDefault="00AF42C2" w:rsidP="00A77EDF">
      <w:pPr>
        <w:pStyle w:val="ListParagraph"/>
        <w:widowControl/>
        <w:numPr>
          <w:ilvl w:val="0"/>
          <w:numId w:val="26"/>
        </w:numPr>
      </w:pPr>
      <w:proofErr w:type="gramStart"/>
      <w:r>
        <w:t>one</w:t>
      </w:r>
      <w:proofErr w:type="gramEnd"/>
      <w:r>
        <w:t xml:space="preserve"> assessing DCV+</w:t>
      </w:r>
      <w:r w:rsidR="000E3149" w:rsidRPr="00D91EF5">
        <w:t xml:space="preserve">SOF for either 8 or 12 weeks in patients with genotype 1-6 HCV and </w:t>
      </w:r>
      <w:r>
        <w:t xml:space="preserve">HIV </w:t>
      </w:r>
      <w:r w:rsidR="000E3149" w:rsidRPr="00D91EF5">
        <w:t>co-infection</w:t>
      </w:r>
      <w:r w:rsidR="0063295A">
        <w:t xml:space="preserve"> (ALLY 2)</w:t>
      </w:r>
      <w:r w:rsidR="000E3149" w:rsidRPr="00D91EF5">
        <w:t xml:space="preserve">. </w:t>
      </w:r>
    </w:p>
    <w:p w:rsidR="00EB002B" w:rsidRPr="00A77EDF" w:rsidRDefault="0063295A" w:rsidP="00F253E9">
      <w:pPr>
        <w:widowControl/>
        <w:ind w:left="720"/>
        <w:jc w:val="left"/>
      </w:pPr>
      <w:r>
        <w:t xml:space="preserve">The submission states that the SVR12 data from ALLY 3 is likely to be available in late 2014, with the results of the other two studies expected in early 2015. </w:t>
      </w:r>
      <w:r w:rsidR="00947F40" w:rsidRPr="00D24544">
        <w:t xml:space="preserve">The PSCR (p2) provided limited information about the results of ALLY1-3. </w:t>
      </w:r>
      <w:r w:rsidR="005B675B" w:rsidRPr="00D24544">
        <w:t xml:space="preserve">The ESC noted the additional data provided for GT3 patients </w:t>
      </w:r>
      <w:r w:rsidR="00947F40" w:rsidRPr="00D24544">
        <w:t>for</w:t>
      </w:r>
      <w:r w:rsidR="00082ADD" w:rsidRPr="00D24544">
        <w:t xml:space="preserve"> </w:t>
      </w:r>
      <w:r w:rsidR="005B675B" w:rsidRPr="00D24544">
        <w:t>ALLY-3</w:t>
      </w:r>
      <w:r w:rsidR="00DB5031" w:rsidRPr="00D24544">
        <w:t xml:space="preserve"> and publication</w:t>
      </w:r>
      <w:r w:rsidR="001A0E87" w:rsidRPr="00D24544">
        <w:t xml:space="preserve">: Nelson, D.R. et al. </w:t>
      </w:r>
      <w:proofErr w:type="spellStart"/>
      <w:r w:rsidR="00447919" w:rsidRPr="00D24544">
        <w:t>Hepatology</w:t>
      </w:r>
      <w:proofErr w:type="spellEnd"/>
      <w:r w:rsidR="00447919" w:rsidRPr="00D24544">
        <w:t xml:space="preserve"> </w:t>
      </w:r>
      <w:r w:rsidR="001A0E87" w:rsidRPr="00D24544">
        <w:t>(2015).</w:t>
      </w:r>
      <w:r w:rsidR="001A0E87" w:rsidRPr="00A77EDF">
        <w:rPr>
          <w:spacing w:val="-2"/>
        </w:rPr>
        <w:t xml:space="preserve"> </w:t>
      </w:r>
      <w:proofErr w:type="gramStart"/>
      <w:r w:rsidR="001A0E87" w:rsidRPr="00A77EDF">
        <w:rPr>
          <w:spacing w:val="-2"/>
        </w:rPr>
        <w:t>A</w:t>
      </w:r>
      <w:r w:rsidR="001A0E87" w:rsidRPr="00D24544">
        <w:t>ccep</w:t>
      </w:r>
      <w:r w:rsidR="001A0E87" w:rsidRPr="00A77EDF">
        <w:rPr>
          <w:spacing w:val="1"/>
        </w:rPr>
        <w:t>t</w:t>
      </w:r>
      <w:r w:rsidR="001A0E87" w:rsidRPr="00D24544">
        <w:t>ed o</w:t>
      </w:r>
      <w:r w:rsidR="001A0E87" w:rsidRPr="00A77EDF">
        <w:rPr>
          <w:spacing w:val="-3"/>
        </w:rPr>
        <w:t>n</w:t>
      </w:r>
      <w:r w:rsidR="001A0E87" w:rsidRPr="00A77EDF">
        <w:rPr>
          <w:spacing w:val="-2"/>
        </w:rPr>
        <w:t>l</w:t>
      </w:r>
      <w:r w:rsidR="001A0E87" w:rsidRPr="00A77EDF">
        <w:rPr>
          <w:spacing w:val="1"/>
        </w:rPr>
        <w:t>i</w:t>
      </w:r>
      <w:r w:rsidR="001A0E87" w:rsidRPr="00D24544">
        <w:t xml:space="preserve">ne </w:t>
      </w:r>
      <w:r w:rsidR="001A0E87" w:rsidRPr="00A77EDF">
        <w:rPr>
          <w:spacing w:val="-2"/>
        </w:rPr>
        <w:t>a</w:t>
      </w:r>
      <w:r w:rsidR="001A0E87" w:rsidRPr="00D24544">
        <w:t>he</w:t>
      </w:r>
      <w:r w:rsidR="001A0E87" w:rsidRPr="00A77EDF">
        <w:rPr>
          <w:spacing w:val="-2"/>
        </w:rPr>
        <w:t>a</w:t>
      </w:r>
      <w:r w:rsidR="001A0E87" w:rsidRPr="00D24544">
        <w:t>d of</w:t>
      </w:r>
      <w:r w:rsidR="001A0E87" w:rsidRPr="00A77EDF">
        <w:rPr>
          <w:spacing w:val="1"/>
        </w:rPr>
        <w:t xml:space="preserve"> </w:t>
      </w:r>
      <w:r w:rsidR="001A0E87" w:rsidRPr="00A77EDF">
        <w:rPr>
          <w:spacing w:val="-3"/>
        </w:rPr>
        <w:t>p</w:t>
      </w:r>
      <w:r w:rsidR="001A0E87" w:rsidRPr="00D24544">
        <w:t>r</w:t>
      </w:r>
      <w:r w:rsidR="001A0E87" w:rsidRPr="00A77EDF">
        <w:rPr>
          <w:spacing w:val="1"/>
        </w:rPr>
        <w:t>i</w:t>
      </w:r>
      <w:r w:rsidR="001A0E87" w:rsidRPr="00A77EDF">
        <w:rPr>
          <w:spacing w:val="-3"/>
        </w:rPr>
        <w:t>n</w:t>
      </w:r>
      <w:r w:rsidR="001A0E87" w:rsidRPr="00A77EDF">
        <w:rPr>
          <w:spacing w:val="1"/>
        </w:rPr>
        <w:t>t</w:t>
      </w:r>
      <w:r w:rsidR="001A0E87" w:rsidRPr="00D24544">
        <w:t xml:space="preserve">: </w:t>
      </w:r>
      <w:r w:rsidR="001A0E87" w:rsidRPr="00A77EDF">
        <w:rPr>
          <w:color w:val="0000FF"/>
          <w:u w:val="single" w:color="0000FF"/>
        </w:rPr>
        <w:t>h</w:t>
      </w:r>
      <w:r w:rsidR="001A0E87" w:rsidRPr="00A77EDF">
        <w:rPr>
          <w:color w:val="0000FF"/>
          <w:spacing w:val="1"/>
          <w:u w:val="single" w:color="0000FF"/>
        </w:rPr>
        <w:t>tt</w:t>
      </w:r>
      <w:r w:rsidR="001A0E87" w:rsidRPr="00A77EDF">
        <w:rPr>
          <w:color w:val="0000FF"/>
          <w:spacing w:val="-3"/>
          <w:u w:val="single" w:color="0000FF"/>
        </w:rPr>
        <w:t>p</w:t>
      </w:r>
      <w:r w:rsidR="001A0E87" w:rsidRPr="00A77EDF">
        <w:rPr>
          <w:color w:val="0000FF"/>
          <w:spacing w:val="1"/>
          <w:u w:val="single" w:color="0000FF"/>
        </w:rPr>
        <w:t>:</w:t>
      </w:r>
      <w:r w:rsidR="001A0E87" w:rsidRPr="00A77EDF">
        <w:rPr>
          <w:color w:val="0000FF"/>
          <w:spacing w:val="-2"/>
          <w:u w:val="single" w:color="0000FF"/>
        </w:rPr>
        <w:t>/</w:t>
      </w:r>
      <w:r w:rsidR="001A0E87" w:rsidRPr="00A77EDF">
        <w:rPr>
          <w:color w:val="0000FF"/>
          <w:spacing w:val="1"/>
          <w:u w:val="single" w:color="0000FF"/>
        </w:rPr>
        <w:t>/</w:t>
      </w:r>
      <w:r w:rsidR="001A0E87" w:rsidRPr="00A77EDF">
        <w:rPr>
          <w:color w:val="0000FF"/>
          <w:u w:val="single" w:color="0000FF"/>
        </w:rPr>
        <w:t>o</w:t>
      </w:r>
      <w:r w:rsidR="001A0E87" w:rsidRPr="00A77EDF">
        <w:rPr>
          <w:color w:val="0000FF"/>
          <w:spacing w:val="-3"/>
          <w:u w:val="single" w:color="0000FF"/>
        </w:rPr>
        <w:t>n</w:t>
      </w:r>
      <w:r w:rsidR="001A0E87" w:rsidRPr="00A77EDF">
        <w:rPr>
          <w:color w:val="0000FF"/>
          <w:spacing w:val="1"/>
          <w:u w:val="single" w:color="0000FF"/>
        </w:rPr>
        <w:t>l</w:t>
      </w:r>
      <w:r w:rsidR="001A0E87" w:rsidRPr="00A77EDF">
        <w:rPr>
          <w:color w:val="0000FF"/>
          <w:spacing w:val="-2"/>
          <w:u w:val="single" w:color="0000FF"/>
        </w:rPr>
        <w:t>i</w:t>
      </w:r>
      <w:r w:rsidR="001A0E87" w:rsidRPr="00A77EDF">
        <w:rPr>
          <w:color w:val="0000FF"/>
          <w:u w:val="single" w:color="0000FF"/>
        </w:rPr>
        <w:t>ne</w:t>
      </w:r>
      <w:r w:rsidR="001A0E87" w:rsidRPr="00A77EDF">
        <w:rPr>
          <w:color w:val="0000FF"/>
          <w:spacing w:val="-2"/>
          <w:u w:val="single" w:color="0000FF"/>
        </w:rPr>
        <w:t>l</w:t>
      </w:r>
      <w:r w:rsidR="001A0E87" w:rsidRPr="00A77EDF">
        <w:rPr>
          <w:color w:val="0000FF"/>
          <w:spacing w:val="1"/>
          <w:u w:val="single" w:color="0000FF"/>
        </w:rPr>
        <w:t>i</w:t>
      </w:r>
      <w:r w:rsidR="001A0E87" w:rsidRPr="00A77EDF">
        <w:rPr>
          <w:color w:val="0000FF"/>
          <w:spacing w:val="-3"/>
          <w:u w:val="single" w:color="0000FF"/>
        </w:rPr>
        <w:t>b</w:t>
      </w:r>
      <w:r w:rsidR="001A0E87" w:rsidRPr="00A77EDF">
        <w:rPr>
          <w:color w:val="0000FF"/>
          <w:u w:val="single" w:color="0000FF"/>
        </w:rPr>
        <w:t>rar</w:t>
      </w:r>
      <w:r w:rsidR="001A0E87" w:rsidRPr="00A77EDF">
        <w:rPr>
          <w:color w:val="0000FF"/>
          <w:spacing w:val="-3"/>
          <w:u w:val="single" w:color="0000FF"/>
        </w:rPr>
        <w:t>y</w:t>
      </w:r>
      <w:r w:rsidR="001A0E87" w:rsidRPr="00A77EDF">
        <w:rPr>
          <w:color w:val="0000FF"/>
          <w:u w:val="single" w:color="0000FF"/>
        </w:rPr>
        <w:t>.</w:t>
      </w:r>
      <w:r w:rsidR="001A0E87" w:rsidRPr="00A77EDF">
        <w:rPr>
          <w:color w:val="0000FF"/>
          <w:spacing w:val="-2"/>
          <w:u w:val="single" w:color="0000FF"/>
        </w:rPr>
        <w:t>w</w:t>
      </w:r>
      <w:r w:rsidR="001A0E87" w:rsidRPr="00A77EDF">
        <w:rPr>
          <w:color w:val="0000FF"/>
          <w:spacing w:val="1"/>
          <w:u w:val="single" w:color="0000FF"/>
        </w:rPr>
        <w:t>i</w:t>
      </w:r>
      <w:r w:rsidR="001A0E87" w:rsidRPr="00A77EDF">
        <w:rPr>
          <w:color w:val="0000FF"/>
          <w:spacing w:val="-2"/>
          <w:u w:val="single" w:color="0000FF"/>
        </w:rPr>
        <w:t>l</w:t>
      </w:r>
      <w:r w:rsidR="001A0E87" w:rsidRPr="00A77EDF">
        <w:rPr>
          <w:color w:val="0000FF"/>
          <w:u w:val="single" w:color="0000FF"/>
        </w:rPr>
        <w:t>e</w:t>
      </w:r>
      <w:r w:rsidR="001A0E87" w:rsidRPr="00A77EDF">
        <w:rPr>
          <w:color w:val="0000FF"/>
          <w:spacing w:val="-3"/>
          <w:u w:val="single" w:color="0000FF"/>
        </w:rPr>
        <w:t>y</w:t>
      </w:r>
      <w:r w:rsidR="001A0E87" w:rsidRPr="00A77EDF">
        <w:rPr>
          <w:color w:val="0000FF"/>
          <w:u w:val="single" w:color="0000FF"/>
        </w:rPr>
        <w:t>.co</w:t>
      </w:r>
      <w:r w:rsidR="001A0E87" w:rsidRPr="00A77EDF">
        <w:rPr>
          <w:color w:val="0000FF"/>
          <w:spacing w:val="-4"/>
          <w:u w:val="single" w:color="0000FF"/>
        </w:rPr>
        <w:t>m</w:t>
      </w:r>
      <w:r w:rsidR="001A0E87" w:rsidRPr="00A77EDF">
        <w:rPr>
          <w:color w:val="0000FF"/>
          <w:spacing w:val="1"/>
          <w:u w:val="single" w:color="0000FF"/>
        </w:rPr>
        <w:t>/</w:t>
      </w:r>
      <w:r w:rsidR="001A0E87" w:rsidRPr="00A77EDF">
        <w:rPr>
          <w:color w:val="0000FF"/>
          <w:u w:val="single" w:color="0000FF"/>
        </w:rPr>
        <w:t>do</w:t>
      </w:r>
      <w:r w:rsidR="001A0E87" w:rsidRPr="00A77EDF">
        <w:rPr>
          <w:color w:val="0000FF"/>
          <w:spacing w:val="1"/>
          <w:u w:val="single" w:color="0000FF"/>
        </w:rPr>
        <w:t>i/</w:t>
      </w:r>
      <w:r w:rsidR="001A0E87" w:rsidRPr="00A77EDF">
        <w:rPr>
          <w:color w:val="0000FF"/>
          <w:u w:val="single" w:color="0000FF"/>
        </w:rPr>
        <w:t>10.</w:t>
      </w:r>
      <w:r w:rsidR="001A0E87" w:rsidRPr="00A77EDF">
        <w:rPr>
          <w:color w:val="0000FF"/>
          <w:spacing w:val="-3"/>
          <w:u w:val="single" w:color="0000FF"/>
        </w:rPr>
        <w:t>1</w:t>
      </w:r>
      <w:r w:rsidR="001A0E87" w:rsidRPr="00A77EDF">
        <w:rPr>
          <w:color w:val="0000FF"/>
          <w:u w:val="single" w:color="0000FF"/>
        </w:rPr>
        <w:t>002</w:t>
      </w:r>
      <w:r w:rsidR="001A0E87" w:rsidRPr="00A77EDF">
        <w:rPr>
          <w:color w:val="0000FF"/>
          <w:spacing w:val="-2"/>
          <w:u w:val="single" w:color="0000FF"/>
        </w:rPr>
        <w:t>/</w:t>
      </w:r>
      <w:r w:rsidR="001A0E87" w:rsidRPr="00A77EDF">
        <w:rPr>
          <w:color w:val="0000FF"/>
          <w:u w:val="single" w:color="0000FF"/>
        </w:rPr>
        <w:t>hep.2</w:t>
      </w:r>
      <w:r w:rsidR="001A0E87" w:rsidRPr="00A77EDF">
        <w:rPr>
          <w:color w:val="0000FF"/>
          <w:spacing w:val="-3"/>
          <w:u w:val="single" w:color="0000FF"/>
        </w:rPr>
        <w:t>7</w:t>
      </w:r>
      <w:r w:rsidR="001A0E87" w:rsidRPr="00A77EDF">
        <w:rPr>
          <w:color w:val="0000FF"/>
          <w:u w:val="single" w:color="0000FF"/>
        </w:rPr>
        <w:t>726</w:t>
      </w:r>
      <w:r w:rsidR="001A0E87" w:rsidRPr="00A77EDF">
        <w:rPr>
          <w:color w:val="0000FF"/>
          <w:spacing w:val="-2"/>
          <w:u w:val="single" w:color="0000FF"/>
        </w:rPr>
        <w:t>/</w:t>
      </w:r>
      <w:r w:rsidR="001A0E87" w:rsidRPr="00A77EDF">
        <w:rPr>
          <w:color w:val="0000FF"/>
          <w:u w:val="single" w:color="0000FF"/>
        </w:rPr>
        <w:t>pdf.</w:t>
      </w:r>
      <w:proofErr w:type="gramEnd"/>
    </w:p>
    <w:p w:rsidR="00327DC1" w:rsidRDefault="00327DC1" w:rsidP="00EB002B">
      <w:pPr>
        <w:pStyle w:val="ListParagraph"/>
        <w:widowControl/>
      </w:pPr>
    </w:p>
    <w:p w:rsidR="00327DC1" w:rsidRPr="00F253E9" w:rsidRDefault="00327DC1" w:rsidP="00327DC1">
      <w:pPr>
        <w:pStyle w:val="Heading2"/>
      </w:pPr>
      <w:bookmarkStart w:id="10" w:name="_Toc409610865"/>
      <w:r w:rsidRPr="00F253E9">
        <w:t>Comparative</w:t>
      </w:r>
      <w:r w:rsidR="004264C5">
        <w:t xml:space="preserve"> effectiveness</w:t>
      </w:r>
      <w:bookmarkEnd w:id="10"/>
    </w:p>
    <w:p w:rsidR="00327DC1" w:rsidRDefault="00327DC1" w:rsidP="00327DC1">
      <w:pPr>
        <w:pStyle w:val="ListParagraph"/>
        <w:widowControl/>
        <w:rPr>
          <w:szCs w:val="22"/>
        </w:rPr>
      </w:pPr>
    </w:p>
    <w:p w:rsidR="007B672E" w:rsidRDefault="007B672E" w:rsidP="00C768A3">
      <w:pPr>
        <w:pStyle w:val="ListParagraph"/>
        <w:widowControl/>
        <w:numPr>
          <w:ilvl w:val="1"/>
          <w:numId w:val="1"/>
        </w:numPr>
        <w:rPr>
          <w:szCs w:val="22"/>
        </w:rPr>
      </w:pPr>
      <w:r w:rsidRPr="001B3E62">
        <w:rPr>
          <w:szCs w:val="22"/>
        </w:rPr>
        <w:t xml:space="preserve">The </w:t>
      </w:r>
      <w:r>
        <w:rPr>
          <w:szCs w:val="22"/>
        </w:rPr>
        <w:t xml:space="preserve">sustained </w:t>
      </w:r>
      <w:proofErr w:type="spellStart"/>
      <w:r>
        <w:rPr>
          <w:szCs w:val="22"/>
        </w:rPr>
        <w:t>virologic</w:t>
      </w:r>
      <w:proofErr w:type="spellEnd"/>
      <w:r>
        <w:rPr>
          <w:szCs w:val="22"/>
        </w:rPr>
        <w:t xml:space="preserve"> response (SVR) rate across each treatment regimen in Study 4040 is given in</w:t>
      </w:r>
      <w:r w:rsidR="00E64984">
        <w:rPr>
          <w:szCs w:val="22"/>
        </w:rPr>
        <w:t xml:space="preserve"> </w:t>
      </w:r>
      <w:r w:rsidR="00BB2672">
        <w:rPr>
          <w:szCs w:val="22"/>
        </w:rPr>
        <w:t>the table below</w:t>
      </w:r>
      <w:r w:rsidR="00FC123D">
        <w:rPr>
          <w:szCs w:val="22"/>
        </w:rPr>
        <w:t>.</w:t>
      </w:r>
    </w:p>
    <w:p w:rsidR="007F1017" w:rsidRPr="007B672E" w:rsidRDefault="007F1017" w:rsidP="0021223F">
      <w:pPr>
        <w:pStyle w:val="ListParagraph"/>
        <w:widowControl/>
        <w:rPr>
          <w:szCs w:val="22"/>
        </w:rPr>
      </w:pPr>
    </w:p>
    <w:p w:rsidR="007F1017" w:rsidRPr="00202ACB" w:rsidRDefault="007F1017" w:rsidP="00841A6B">
      <w:pPr>
        <w:pStyle w:val="Caption"/>
        <w:keepNext/>
        <w:ind w:left="709"/>
        <w:rPr>
          <w:rStyle w:val="CommentReference"/>
          <w:b/>
        </w:rPr>
      </w:pPr>
      <w:r w:rsidRPr="00202ACB">
        <w:rPr>
          <w:rStyle w:val="CommentReference"/>
          <w:b/>
        </w:rPr>
        <w:t xml:space="preserve">Results of </w:t>
      </w:r>
      <w:r w:rsidR="001B3E62" w:rsidRPr="00202ACB">
        <w:rPr>
          <w:rStyle w:val="CommentReference"/>
          <w:b/>
        </w:rPr>
        <w:t xml:space="preserve">sustained </w:t>
      </w:r>
      <w:proofErr w:type="spellStart"/>
      <w:r w:rsidR="001B3E62" w:rsidRPr="00202ACB">
        <w:rPr>
          <w:rStyle w:val="CommentReference"/>
          <w:b/>
        </w:rPr>
        <w:t>virologic</w:t>
      </w:r>
      <w:proofErr w:type="spellEnd"/>
      <w:r w:rsidR="001B3E62" w:rsidRPr="00202ACB">
        <w:rPr>
          <w:rStyle w:val="CommentReference"/>
          <w:b/>
        </w:rPr>
        <w:t xml:space="preserve"> response rate</w:t>
      </w:r>
      <w:r w:rsidRPr="00202ACB">
        <w:rPr>
          <w:rStyle w:val="CommentReference"/>
          <w:b/>
        </w:rPr>
        <w:t xml:space="preserve"> across the </w:t>
      </w:r>
      <w:r w:rsidR="001B3E62" w:rsidRPr="00202ACB">
        <w:rPr>
          <w:rStyle w:val="CommentReference"/>
          <w:b/>
        </w:rPr>
        <w:t>treatment regimens in Study 4040</w:t>
      </w:r>
      <w:r w:rsidRPr="00202ACB">
        <w:rPr>
          <w:rStyle w:val="CommentReference"/>
          <w:b/>
        </w:rPr>
        <w:t xml:space="preserve"> </w:t>
      </w:r>
    </w:p>
    <w:tbl>
      <w:tblPr>
        <w:tblW w:w="4584" w:type="pct"/>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effectiveness"/>
        <w:tblDescription w:val="Results from study 4040"/>
      </w:tblPr>
      <w:tblGrid>
        <w:gridCol w:w="849"/>
        <w:gridCol w:w="524"/>
        <w:gridCol w:w="610"/>
        <w:gridCol w:w="2354"/>
        <w:gridCol w:w="2027"/>
        <w:gridCol w:w="1962"/>
      </w:tblGrid>
      <w:tr w:rsidR="001B3E62" w:rsidRPr="00D24544" w:rsidTr="001B3E62">
        <w:trPr>
          <w:cantSplit/>
        </w:trPr>
        <w:tc>
          <w:tcPr>
            <w:tcW w:w="387" w:type="pct"/>
            <w:vAlign w:val="center"/>
          </w:tcPr>
          <w:p w:rsidR="001B3E62" w:rsidRPr="00D24544" w:rsidRDefault="00327DC1" w:rsidP="00327DC1">
            <w:pPr>
              <w:jc w:val="left"/>
              <w:rPr>
                <w:rFonts w:ascii="Arial Narrow" w:hAnsi="Arial Narrow"/>
                <w:b/>
                <w:sz w:val="20"/>
              </w:rPr>
            </w:pPr>
            <w:r w:rsidRPr="00D24544">
              <w:rPr>
                <w:rFonts w:ascii="Arial Narrow" w:hAnsi="Arial Narrow"/>
                <w:b/>
                <w:sz w:val="20"/>
              </w:rPr>
              <w:t>Treatment groups</w:t>
            </w:r>
          </w:p>
        </w:tc>
        <w:tc>
          <w:tcPr>
            <w:tcW w:w="339" w:type="pct"/>
            <w:vAlign w:val="center"/>
          </w:tcPr>
          <w:p w:rsidR="001B3E62" w:rsidRPr="00D24544" w:rsidRDefault="001B3E62" w:rsidP="001B3E62">
            <w:pPr>
              <w:jc w:val="center"/>
              <w:rPr>
                <w:rFonts w:ascii="Arial Narrow" w:hAnsi="Arial Narrow"/>
                <w:b/>
                <w:sz w:val="20"/>
              </w:rPr>
            </w:pPr>
            <w:r w:rsidRPr="00D24544">
              <w:rPr>
                <w:rFonts w:ascii="Arial Narrow" w:hAnsi="Arial Narrow"/>
                <w:b/>
                <w:sz w:val="20"/>
              </w:rPr>
              <w:t>GT</w:t>
            </w:r>
          </w:p>
        </w:tc>
        <w:tc>
          <w:tcPr>
            <w:tcW w:w="391" w:type="pct"/>
            <w:vAlign w:val="center"/>
          </w:tcPr>
          <w:p w:rsidR="001B3E62" w:rsidRPr="00D24544" w:rsidRDefault="001B3E62" w:rsidP="000570F8">
            <w:pPr>
              <w:jc w:val="center"/>
              <w:rPr>
                <w:rFonts w:ascii="Arial Narrow" w:hAnsi="Arial Narrow"/>
                <w:b/>
                <w:sz w:val="20"/>
              </w:rPr>
            </w:pPr>
            <w:r w:rsidRPr="00D24544">
              <w:rPr>
                <w:rFonts w:ascii="Arial Narrow" w:hAnsi="Arial Narrow"/>
                <w:b/>
                <w:sz w:val="20"/>
              </w:rPr>
              <w:t>N</w:t>
            </w:r>
          </w:p>
        </w:tc>
        <w:tc>
          <w:tcPr>
            <w:tcW w:w="1438" w:type="pct"/>
            <w:tcBorders>
              <w:bottom w:val="single" w:sz="4" w:space="0" w:color="auto"/>
            </w:tcBorders>
            <w:vAlign w:val="center"/>
          </w:tcPr>
          <w:p w:rsidR="001B3E62" w:rsidRPr="00D24544" w:rsidRDefault="001B3E62" w:rsidP="000570F8">
            <w:pPr>
              <w:jc w:val="center"/>
              <w:rPr>
                <w:rFonts w:ascii="Arial Narrow" w:hAnsi="Arial Narrow"/>
                <w:b/>
                <w:sz w:val="20"/>
              </w:rPr>
            </w:pPr>
            <w:r w:rsidRPr="00D24544">
              <w:rPr>
                <w:rFonts w:ascii="Arial Narrow" w:hAnsi="Arial Narrow"/>
                <w:b/>
                <w:sz w:val="20"/>
              </w:rPr>
              <w:t>Treatment regimen/duration</w:t>
            </w:r>
          </w:p>
        </w:tc>
        <w:tc>
          <w:tcPr>
            <w:tcW w:w="1242" w:type="pct"/>
            <w:tcBorders>
              <w:bottom w:val="single" w:sz="4" w:space="0" w:color="auto"/>
            </w:tcBorders>
            <w:vAlign w:val="center"/>
          </w:tcPr>
          <w:p w:rsidR="001B3E62" w:rsidRPr="00D24544" w:rsidRDefault="001B3E62" w:rsidP="000570F8">
            <w:pPr>
              <w:jc w:val="center"/>
              <w:rPr>
                <w:rFonts w:ascii="Arial Narrow" w:hAnsi="Arial Narrow"/>
                <w:b/>
                <w:sz w:val="20"/>
                <w:lang w:val="fr-FR"/>
              </w:rPr>
            </w:pPr>
            <w:r w:rsidRPr="00D24544">
              <w:rPr>
                <w:rFonts w:ascii="Arial Narrow" w:hAnsi="Arial Narrow"/>
                <w:b/>
                <w:sz w:val="20"/>
                <w:lang w:val="fr-FR"/>
              </w:rPr>
              <w:t>SVR12 (TND</w:t>
            </w:r>
            <w:proofErr w:type="gramStart"/>
            <w:r w:rsidRPr="00D24544">
              <w:rPr>
                <w:rFonts w:ascii="Arial Narrow" w:hAnsi="Arial Narrow"/>
                <w:b/>
                <w:sz w:val="20"/>
                <w:lang w:val="fr-FR"/>
              </w:rPr>
              <w:t>)</w:t>
            </w:r>
            <w:r w:rsidRPr="00D24544">
              <w:rPr>
                <w:rFonts w:ascii="Arial Narrow" w:hAnsi="Arial Narrow"/>
                <w:b/>
                <w:sz w:val="20"/>
                <w:vertAlign w:val="superscript"/>
                <w:lang w:val="fr-FR"/>
              </w:rPr>
              <w:t>a</w:t>
            </w:r>
            <w:proofErr w:type="gramEnd"/>
            <w:r w:rsidRPr="00D24544">
              <w:rPr>
                <w:rFonts w:ascii="Arial Narrow" w:hAnsi="Arial Narrow"/>
                <w:b/>
                <w:sz w:val="20"/>
                <w:lang w:val="fr-FR"/>
              </w:rPr>
              <w:t>, n/N</w:t>
            </w:r>
          </w:p>
          <w:p w:rsidR="001B3E62" w:rsidRPr="00D24544" w:rsidRDefault="001B3E62" w:rsidP="000570F8">
            <w:pPr>
              <w:jc w:val="center"/>
              <w:rPr>
                <w:rFonts w:ascii="Arial Narrow" w:hAnsi="Arial Narrow"/>
                <w:b/>
                <w:sz w:val="20"/>
                <w:lang w:val="fr-FR"/>
              </w:rPr>
            </w:pPr>
            <w:r w:rsidRPr="00D24544">
              <w:rPr>
                <w:rFonts w:ascii="Arial Narrow" w:hAnsi="Arial Narrow"/>
                <w:b/>
                <w:sz w:val="20"/>
                <w:lang w:val="fr-FR"/>
              </w:rPr>
              <w:t>% (95%CI)</w:t>
            </w:r>
          </w:p>
        </w:tc>
        <w:tc>
          <w:tcPr>
            <w:tcW w:w="1204" w:type="pct"/>
            <w:tcBorders>
              <w:bottom w:val="single" w:sz="4" w:space="0" w:color="auto"/>
            </w:tcBorders>
            <w:vAlign w:val="center"/>
          </w:tcPr>
          <w:p w:rsidR="001B3E62" w:rsidRPr="00D24544" w:rsidRDefault="001B3E62" w:rsidP="000570F8">
            <w:pPr>
              <w:jc w:val="center"/>
              <w:rPr>
                <w:rFonts w:ascii="Arial Narrow" w:hAnsi="Arial Narrow"/>
                <w:b/>
                <w:sz w:val="20"/>
                <w:lang w:val="fr-FR"/>
              </w:rPr>
            </w:pPr>
            <w:r w:rsidRPr="00D24544">
              <w:rPr>
                <w:rFonts w:ascii="Arial Narrow" w:hAnsi="Arial Narrow"/>
                <w:b/>
                <w:sz w:val="20"/>
                <w:lang w:val="fr-FR"/>
              </w:rPr>
              <w:t>SVR 24 (TND</w:t>
            </w:r>
            <w:proofErr w:type="gramStart"/>
            <w:r w:rsidRPr="00D24544">
              <w:rPr>
                <w:rFonts w:ascii="Arial Narrow" w:hAnsi="Arial Narrow"/>
                <w:b/>
                <w:sz w:val="20"/>
                <w:lang w:val="fr-FR"/>
              </w:rPr>
              <w:t>)</w:t>
            </w:r>
            <w:r w:rsidRPr="00D24544">
              <w:rPr>
                <w:rFonts w:ascii="Arial Narrow" w:hAnsi="Arial Narrow"/>
                <w:b/>
                <w:sz w:val="20"/>
                <w:vertAlign w:val="superscript"/>
                <w:lang w:val="fr-FR"/>
              </w:rPr>
              <w:t>a</w:t>
            </w:r>
            <w:proofErr w:type="gramEnd"/>
            <w:r w:rsidRPr="00D24544">
              <w:rPr>
                <w:rFonts w:ascii="Arial Narrow" w:hAnsi="Arial Narrow"/>
                <w:b/>
                <w:sz w:val="20"/>
                <w:lang w:val="fr-FR"/>
              </w:rPr>
              <w:t>, n/N</w:t>
            </w:r>
          </w:p>
          <w:p w:rsidR="001B3E62" w:rsidRPr="00D24544" w:rsidRDefault="001B3E62" w:rsidP="000570F8">
            <w:pPr>
              <w:jc w:val="center"/>
              <w:rPr>
                <w:rFonts w:ascii="Arial Narrow" w:hAnsi="Arial Narrow"/>
                <w:b/>
                <w:sz w:val="20"/>
                <w:lang w:val="fr-FR"/>
              </w:rPr>
            </w:pPr>
            <w:r w:rsidRPr="00D24544">
              <w:rPr>
                <w:rFonts w:ascii="Arial Narrow" w:hAnsi="Arial Narrow"/>
                <w:b/>
                <w:sz w:val="20"/>
                <w:lang w:val="fr-FR"/>
              </w:rPr>
              <w:t>% (95%CI)</w:t>
            </w:r>
          </w:p>
        </w:tc>
      </w:tr>
      <w:tr w:rsidR="001C2B2C" w:rsidRPr="00D24544" w:rsidTr="001B3E62">
        <w:trPr>
          <w:cantSplit/>
        </w:trPr>
        <w:tc>
          <w:tcPr>
            <w:tcW w:w="5000" w:type="pct"/>
            <w:gridSpan w:val="6"/>
            <w:vAlign w:val="center"/>
          </w:tcPr>
          <w:p w:rsidR="001C2B2C" w:rsidRPr="00D24544" w:rsidRDefault="00922990" w:rsidP="000570F8">
            <w:pPr>
              <w:jc w:val="left"/>
              <w:rPr>
                <w:rFonts w:ascii="Arial Narrow" w:hAnsi="Arial Narrow"/>
                <w:b/>
                <w:sz w:val="20"/>
              </w:rPr>
            </w:pPr>
            <w:r w:rsidRPr="00D24544">
              <w:rPr>
                <w:rFonts w:ascii="Arial Narrow" w:hAnsi="Arial Narrow"/>
                <w:b/>
                <w:sz w:val="20"/>
              </w:rPr>
              <w:t>Treatment-n</w:t>
            </w:r>
            <w:r w:rsidR="001C2B2C" w:rsidRPr="00D24544">
              <w:rPr>
                <w:rFonts w:ascii="Arial Narrow" w:hAnsi="Arial Narrow"/>
                <w:b/>
                <w:sz w:val="20"/>
              </w:rPr>
              <w:t>aive</w:t>
            </w:r>
          </w:p>
        </w:tc>
      </w:tr>
      <w:tr w:rsidR="001B3E62" w:rsidRPr="00D24544" w:rsidTr="001B3E62">
        <w:trPr>
          <w:cantSplit/>
        </w:trPr>
        <w:tc>
          <w:tcPr>
            <w:tcW w:w="387" w:type="pct"/>
            <w:vAlign w:val="center"/>
          </w:tcPr>
          <w:p w:rsidR="001B3E62" w:rsidRPr="00D24544" w:rsidRDefault="001B3E62" w:rsidP="000570F8">
            <w:pPr>
              <w:ind w:left="142"/>
              <w:jc w:val="left"/>
              <w:rPr>
                <w:rFonts w:ascii="Arial Narrow" w:hAnsi="Arial Narrow"/>
                <w:sz w:val="20"/>
              </w:rPr>
            </w:pPr>
            <w:r w:rsidRPr="00D24544">
              <w:rPr>
                <w:rFonts w:ascii="Arial Narrow" w:hAnsi="Arial Narrow"/>
                <w:sz w:val="20"/>
              </w:rPr>
              <w:t>G</w:t>
            </w:r>
          </w:p>
        </w:tc>
        <w:tc>
          <w:tcPr>
            <w:tcW w:w="339"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1</w:t>
            </w:r>
          </w:p>
        </w:tc>
        <w:tc>
          <w:tcPr>
            <w:tcW w:w="391"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41</w:t>
            </w:r>
          </w:p>
        </w:tc>
        <w:tc>
          <w:tcPr>
            <w:tcW w:w="1438" w:type="pct"/>
            <w:tcBorders>
              <w:bottom w:val="single" w:sz="4" w:space="0" w:color="auto"/>
            </w:tcBorders>
            <w:vAlign w:val="center"/>
          </w:tcPr>
          <w:p w:rsidR="001B3E62" w:rsidRPr="00D24544" w:rsidRDefault="001B3E62" w:rsidP="001B3E62">
            <w:pPr>
              <w:ind w:left="113"/>
              <w:jc w:val="center"/>
              <w:rPr>
                <w:rFonts w:ascii="Arial Narrow" w:hAnsi="Arial Narrow"/>
                <w:sz w:val="20"/>
              </w:rPr>
            </w:pPr>
            <w:r w:rsidRPr="00D24544">
              <w:rPr>
                <w:rFonts w:ascii="Arial Narrow" w:hAnsi="Arial Narrow"/>
                <w:sz w:val="20"/>
              </w:rPr>
              <w:t>DCV12+SOF12</w:t>
            </w:r>
          </w:p>
        </w:tc>
        <w:tc>
          <w:tcPr>
            <w:tcW w:w="1242" w:type="pct"/>
            <w:tcBorders>
              <w:bottom w:val="single" w:sz="4" w:space="0" w:color="auto"/>
            </w:tcBorders>
            <w:vAlign w:val="center"/>
          </w:tcPr>
          <w:p w:rsidR="001B3E62" w:rsidRPr="00D24544" w:rsidRDefault="001B3E62" w:rsidP="000570F8">
            <w:pPr>
              <w:spacing w:after="40"/>
              <w:jc w:val="center"/>
              <w:rPr>
                <w:rFonts w:ascii="Arial Narrow" w:hAnsi="Arial Narrow"/>
                <w:sz w:val="20"/>
              </w:rPr>
            </w:pPr>
            <w:r w:rsidRPr="00D24544">
              <w:rPr>
                <w:rFonts w:ascii="Arial Narrow" w:hAnsi="Arial Narrow"/>
                <w:sz w:val="20"/>
              </w:rPr>
              <w:t>41/41</w:t>
            </w:r>
          </w:p>
          <w:p w:rsidR="001B3E62" w:rsidRPr="00D24544" w:rsidRDefault="001B3E62" w:rsidP="000570F8">
            <w:pPr>
              <w:ind w:left="113"/>
              <w:jc w:val="center"/>
              <w:rPr>
                <w:rFonts w:ascii="Arial Narrow" w:hAnsi="Arial Narrow"/>
                <w:sz w:val="20"/>
                <w:vertAlign w:val="superscript"/>
              </w:rPr>
            </w:pPr>
            <w:r w:rsidRPr="00D24544">
              <w:rPr>
                <w:rFonts w:ascii="Arial Narrow" w:hAnsi="Arial Narrow"/>
                <w:sz w:val="20"/>
              </w:rPr>
              <w:t>100% (91.4%, 100%)</w:t>
            </w:r>
            <w:r w:rsidRPr="00D24544">
              <w:rPr>
                <w:rFonts w:ascii="Arial Narrow" w:hAnsi="Arial Narrow"/>
                <w:sz w:val="20"/>
                <w:vertAlign w:val="superscript"/>
              </w:rPr>
              <w:t>b</w:t>
            </w:r>
          </w:p>
        </w:tc>
        <w:tc>
          <w:tcPr>
            <w:tcW w:w="1204" w:type="pct"/>
            <w:tcBorders>
              <w:bottom w:val="single" w:sz="4" w:space="0" w:color="auto"/>
            </w:tcBorders>
            <w:vAlign w:val="center"/>
          </w:tcPr>
          <w:p w:rsidR="001B3E62" w:rsidRPr="00D24544" w:rsidRDefault="001B3E62" w:rsidP="000570F8">
            <w:pPr>
              <w:spacing w:after="40"/>
              <w:jc w:val="center"/>
              <w:rPr>
                <w:rFonts w:ascii="Arial Narrow" w:hAnsi="Arial Narrow"/>
                <w:sz w:val="20"/>
                <w:vertAlign w:val="superscript"/>
              </w:rPr>
            </w:pPr>
            <w:r w:rsidRPr="00D24544">
              <w:rPr>
                <w:rFonts w:ascii="Arial Narrow" w:hAnsi="Arial Narrow"/>
                <w:sz w:val="20"/>
              </w:rPr>
              <w:t>39/41</w:t>
            </w:r>
          </w:p>
          <w:p w:rsidR="001B3E62" w:rsidRPr="00D24544" w:rsidRDefault="001B3E62" w:rsidP="000570F8">
            <w:pPr>
              <w:jc w:val="center"/>
              <w:rPr>
                <w:rFonts w:ascii="Arial Narrow" w:hAnsi="Arial Narrow"/>
                <w:sz w:val="20"/>
              </w:rPr>
            </w:pPr>
            <w:r w:rsidRPr="00D24544">
              <w:rPr>
                <w:rFonts w:ascii="Arial Narrow" w:hAnsi="Arial Narrow"/>
                <w:sz w:val="20"/>
              </w:rPr>
              <w:t>95.1% (83.5%, 99.4%)</w:t>
            </w:r>
          </w:p>
        </w:tc>
      </w:tr>
      <w:tr w:rsidR="001B3E62" w:rsidRPr="00D24544" w:rsidTr="001B3E62">
        <w:trPr>
          <w:cantSplit/>
        </w:trPr>
        <w:tc>
          <w:tcPr>
            <w:tcW w:w="387" w:type="pct"/>
            <w:vAlign w:val="center"/>
          </w:tcPr>
          <w:p w:rsidR="001B3E62" w:rsidRPr="00D24544" w:rsidRDefault="001B3E62" w:rsidP="000570F8">
            <w:pPr>
              <w:ind w:left="142"/>
              <w:jc w:val="left"/>
              <w:rPr>
                <w:rFonts w:ascii="Arial Narrow" w:hAnsi="Arial Narrow"/>
                <w:sz w:val="20"/>
              </w:rPr>
            </w:pPr>
            <w:r w:rsidRPr="00D24544">
              <w:rPr>
                <w:rFonts w:ascii="Arial Narrow" w:hAnsi="Arial Narrow"/>
                <w:sz w:val="20"/>
              </w:rPr>
              <w:t>H</w:t>
            </w:r>
          </w:p>
        </w:tc>
        <w:tc>
          <w:tcPr>
            <w:tcW w:w="339"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1</w:t>
            </w:r>
          </w:p>
        </w:tc>
        <w:tc>
          <w:tcPr>
            <w:tcW w:w="391"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41</w:t>
            </w:r>
          </w:p>
        </w:tc>
        <w:tc>
          <w:tcPr>
            <w:tcW w:w="1438" w:type="pct"/>
            <w:tcBorders>
              <w:bottom w:val="single" w:sz="4" w:space="0" w:color="auto"/>
            </w:tcBorders>
            <w:vAlign w:val="center"/>
          </w:tcPr>
          <w:p w:rsidR="001B3E62" w:rsidRPr="00D24544" w:rsidRDefault="001B3E62" w:rsidP="001B3E62">
            <w:pPr>
              <w:ind w:left="113"/>
              <w:jc w:val="center"/>
              <w:rPr>
                <w:rFonts w:ascii="Arial Narrow" w:hAnsi="Arial Narrow"/>
                <w:sz w:val="20"/>
              </w:rPr>
            </w:pPr>
            <w:r w:rsidRPr="00D24544">
              <w:rPr>
                <w:rFonts w:ascii="Arial Narrow" w:hAnsi="Arial Narrow"/>
                <w:sz w:val="20"/>
              </w:rPr>
              <w:t>DCV12+SOF12+R12</w:t>
            </w:r>
          </w:p>
        </w:tc>
        <w:tc>
          <w:tcPr>
            <w:tcW w:w="1242" w:type="pct"/>
            <w:tcBorders>
              <w:bottom w:val="single" w:sz="4" w:space="0" w:color="auto"/>
            </w:tcBorders>
            <w:vAlign w:val="center"/>
          </w:tcPr>
          <w:p w:rsidR="001B3E62" w:rsidRPr="00D24544" w:rsidRDefault="001B3E62" w:rsidP="000570F8">
            <w:pPr>
              <w:spacing w:after="40"/>
              <w:jc w:val="center"/>
              <w:rPr>
                <w:rFonts w:ascii="Arial Narrow" w:hAnsi="Arial Narrow"/>
                <w:sz w:val="20"/>
              </w:rPr>
            </w:pPr>
            <w:r w:rsidRPr="00D24544">
              <w:rPr>
                <w:rFonts w:ascii="Arial Narrow" w:hAnsi="Arial Narrow"/>
                <w:sz w:val="20"/>
              </w:rPr>
              <w:t>39/41</w:t>
            </w:r>
          </w:p>
          <w:p w:rsidR="001B3E62" w:rsidRPr="00D24544" w:rsidRDefault="001B3E62" w:rsidP="000570F8">
            <w:pPr>
              <w:ind w:left="113"/>
              <w:jc w:val="center"/>
              <w:rPr>
                <w:rFonts w:ascii="Arial Narrow" w:hAnsi="Arial Narrow"/>
                <w:sz w:val="20"/>
              </w:rPr>
            </w:pPr>
            <w:r w:rsidRPr="00D24544">
              <w:rPr>
                <w:rFonts w:ascii="Arial Narrow" w:hAnsi="Arial Narrow"/>
                <w:sz w:val="20"/>
              </w:rPr>
              <w:t>95.1% (83.5%, 99.4%)</w:t>
            </w:r>
          </w:p>
        </w:tc>
        <w:tc>
          <w:tcPr>
            <w:tcW w:w="1204" w:type="pct"/>
            <w:tcBorders>
              <w:bottom w:val="single" w:sz="4" w:space="0" w:color="auto"/>
            </w:tcBorders>
            <w:vAlign w:val="center"/>
          </w:tcPr>
          <w:p w:rsidR="001B3E62" w:rsidRPr="00D24544" w:rsidRDefault="001B3E62" w:rsidP="000570F8">
            <w:pPr>
              <w:spacing w:after="40"/>
              <w:jc w:val="center"/>
              <w:rPr>
                <w:rFonts w:ascii="Arial Narrow" w:hAnsi="Arial Narrow"/>
                <w:sz w:val="20"/>
                <w:vertAlign w:val="superscript"/>
              </w:rPr>
            </w:pPr>
            <w:r w:rsidRPr="00D24544">
              <w:rPr>
                <w:rFonts w:ascii="Arial Narrow" w:hAnsi="Arial Narrow"/>
                <w:sz w:val="20"/>
              </w:rPr>
              <w:t>38/41</w:t>
            </w:r>
          </w:p>
          <w:p w:rsidR="001B3E62" w:rsidRPr="00D24544" w:rsidRDefault="001B3E62" w:rsidP="000570F8">
            <w:pPr>
              <w:jc w:val="center"/>
              <w:rPr>
                <w:rFonts w:ascii="Arial Narrow" w:hAnsi="Arial Narrow"/>
                <w:sz w:val="20"/>
              </w:rPr>
            </w:pPr>
            <w:r w:rsidRPr="00D24544">
              <w:rPr>
                <w:rFonts w:ascii="Arial Narrow" w:hAnsi="Arial Narrow"/>
                <w:sz w:val="20"/>
              </w:rPr>
              <w:t>92.7% (80.1%, 98.5%)</w:t>
            </w:r>
          </w:p>
        </w:tc>
      </w:tr>
      <w:tr w:rsidR="001B3E62" w:rsidRPr="00D24544" w:rsidTr="001B3E62">
        <w:trPr>
          <w:cantSplit/>
        </w:trPr>
        <w:tc>
          <w:tcPr>
            <w:tcW w:w="387" w:type="pct"/>
            <w:vAlign w:val="center"/>
          </w:tcPr>
          <w:p w:rsidR="001B3E62" w:rsidRPr="00D24544" w:rsidRDefault="001B3E62" w:rsidP="000570F8">
            <w:pPr>
              <w:ind w:left="142"/>
              <w:jc w:val="left"/>
              <w:rPr>
                <w:rFonts w:ascii="Arial Narrow" w:hAnsi="Arial Narrow"/>
                <w:sz w:val="20"/>
              </w:rPr>
            </w:pPr>
            <w:r w:rsidRPr="00D24544">
              <w:rPr>
                <w:rFonts w:ascii="Arial Narrow" w:hAnsi="Arial Narrow"/>
                <w:sz w:val="20"/>
              </w:rPr>
              <w:t>B</w:t>
            </w:r>
          </w:p>
        </w:tc>
        <w:tc>
          <w:tcPr>
            <w:tcW w:w="339"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2/3</w:t>
            </w:r>
          </w:p>
        </w:tc>
        <w:tc>
          <w:tcPr>
            <w:tcW w:w="391"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16</w:t>
            </w:r>
          </w:p>
        </w:tc>
        <w:tc>
          <w:tcPr>
            <w:tcW w:w="1438" w:type="pct"/>
            <w:tcBorders>
              <w:bottom w:val="single" w:sz="4" w:space="0" w:color="auto"/>
            </w:tcBorders>
            <w:vAlign w:val="center"/>
          </w:tcPr>
          <w:p w:rsidR="001B3E62" w:rsidRPr="00D24544" w:rsidRDefault="001B3E62" w:rsidP="001B3E62">
            <w:pPr>
              <w:jc w:val="center"/>
              <w:rPr>
                <w:rFonts w:ascii="Arial Narrow" w:hAnsi="Arial Narrow"/>
                <w:sz w:val="20"/>
              </w:rPr>
            </w:pPr>
            <w:r w:rsidRPr="00D24544">
              <w:rPr>
                <w:rFonts w:ascii="Arial Narrow" w:hAnsi="Arial Narrow"/>
                <w:sz w:val="20"/>
              </w:rPr>
              <w:t>SOF lead-in Week 1 (SOF1)+</w:t>
            </w:r>
            <w:r w:rsidRPr="00D24544">
              <w:rPr>
                <w:rFonts w:ascii="Arial Narrow" w:hAnsi="Arial Narrow"/>
                <w:sz w:val="20"/>
              </w:rPr>
              <w:br/>
              <w:t>DCV23+SOF23</w:t>
            </w:r>
          </w:p>
        </w:tc>
        <w:tc>
          <w:tcPr>
            <w:tcW w:w="1242" w:type="pct"/>
            <w:tcBorders>
              <w:bottom w:val="single" w:sz="4" w:space="0" w:color="auto"/>
            </w:tcBorders>
            <w:vAlign w:val="center"/>
          </w:tcPr>
          <w:p w:rsidR="001B3E62" w:rsidRPr="00D24544" w:rsidRDefault="001B3E62" w:rsidP="000570F8">
            <w:pPr>
              <w:spacing w:after="40"/>
              <w:jc w:val="center"/>
              <w:rPr>
                <w:rFonts w:ascii="Arial Narrow" w:hAnsi="Arial Narrow"/>
                <w:sz w:val="20"/>
                <w:vertAlign w:val="superscript"/>
              </w:rPr>
            </w:pPr>
            <w:r w:rsidRPr="00D24544">
              <w:rPr>
                <w:rFonts w:ascii="Arial Narrow" w:hAnsi="Arial Narrow"/>
                <w:sz w:val="20"/>
              </w:rPr>
              <w:t>14/16</w:t>
            </w:r>
            <w:r w:rsidR="00CB3583" w:rsidRPr="00D24544">
              <w:rPr>
                <w:rFonts w:ascii="Arial Narrow" w:hAnsi="Arial Narrow"/>
                <w:sz w:val="20"/>
                <w:vertAlign w:val="superscript"/>
              </w:rPr>
              <w:t>c</w:t>
            </w:r>
          </w:p>
          <w:p w:rsidR="001B3E62" w:rsidRPr="00D24544" w:rsidRDefault="001B3E62" w:rsidP="000570F8">
            <w:pPr>
              <w:ind w:left="113"/>
              <w:jc w:val="center"/>
              <w:rPr>
                <w:rFonts w:ascii="Arial Narrow" w:hAnsi="Arial Narrow"/>
                <w:sz w:val="20"/>
              </w:rPr>
            </w:pPr>
            <w:r w:rsidRPr="00D24544">
              <w:rPr>
                <w:rFonts w:ascii="Arial Narrow" w:hAnsi="Arial Narrow"/>
                <w:sz w:val="20"/>
              </w:rPr>
              <w:t>87.5% (61.7%, 98.4%)</w:t>
            </w:r>
          </w:p>
        </w:tc>
        <w:tc>
          <w:tcPr>
            <w:tcW w:w="1204" w:type="pct"/>
            <w:tcBorders>
              <w:bottom w:val="single" w:sz="4" w:space="0" w:color="auto"/>
            </w:tcBorders>
            <w:vAlign w:val="center"/>
          </w:tcPr>
          <w:p w:rsidR="001B3E62" w:rsidRPr="00D24544" w:rsidRDefault="001B3E62" w:rsidP="000570F8">
            <w:pPr>
              <w:spacing w:after="40"/>
              <w:jc w:val="center"/>
              <w:rPr>
                <w:rFonts w:ascii="Arial Narrow" w:hAnsi="Arial Narrow"/>
                <w:sz w:val="20"/>
                <w:vertAlign w:val="superscript"/>
              </w:rPr>
            </w:pPr>
            <w:r w:rsidRPr="00D24544">
              <w:rPr>
                <w:rFonts w:ascii="Arial Narrow" w:hAnsi="Arial Narrow"/>
                <w:sz w:val="20"/>
              </w:rPr>
              <w:t>14/16</w:t>
            </w:r>
            <w:r w:rsidR="00CB3583" w:rsidRPr="00D24544">
              <w:rPr>
                <w:rFonts w:ascii="Arial Narrow" w:hAnsi="Arial Narrow"/>
                <w:sz w:val="20"/>
                <w:vertAlign w:val="superscript"/>
              </w:rPr>
              <w:t>c</w:t>
            </w:r>
          </w:p>
          <w:p w:rsidR="001B3E62" w:rsidRPr="00D24544" w:rsidRDefault="001B3E62" w:rsidP="000570F8">
            <w:pPr>
              <w:jc w:val="center"/>
              <w:rPr>
                <w:rFonts w:ascii="Arial Narrow" w:hAnsi="Arial Narrow"/>
                <w:sz w:val="20"/>
              </w:rPr>
            </w:pPr>
            <w:r w:rsidRPr="00D24544">
              <w:rPr>
                <w:rFonts w:ascii="Arial Narrow" w:hAnsi="Arial Narrow"/>
                <w:sz w:val="20"/>
              </w:rPr>
              <w:t>87.5% (61.7%, 98.4%)</w:t>
            </w:r>
          </w:p>
        </w:tc>
      </w:tr>
      <w:tr w:rsidR="001B3E62" w:rsidRPr="00D24544" w:rsidTr="001B3E62">
        <w:trPr>
          <w:cantSplit/>
        </w:trPr>
        <w:tc>
          <w:tcPr>
            <w:tcW w:w="387" w:type="pct"/>
            <w:vAlign w:val="center"/>
          </w:tcPr>
          <w:p w:rsidR="001B3E62" w:rsidRPr="00D24544" w:rsidRDefault="001B3E62" w:rsidP="000570F8">
            <w:pPr>
              <w:ind w:left="142"/>
              <w:jc w:val="left"/>
              <w:rPr>
                <w:rFonts w:ascii="Arial Narrow" w:hAnsi="Arial Narrow"/>
                <w:sz w:val="20"/>
              </w:rPr>
            </w:pPr>
            <w:r w:rsidRPr="00D24544">
              <w:rPr>
                <w:rFonts w:ascii="Arial Narrow" w:hAnsi="Arial Narrow"/>
                <w:sz w:val="20"/>
              </w:rPr>
              <w:t>D</w:t>
            </w:r>
          </w:p>
        </w:tc>
        <w:tc>
          <w:tcPr>
            <w:tcW w:w="339"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2/3</w:t>
            </w:r>
          </w:p>
        </w:tc>
        <w:tc>
          <w:tcPr>
            <w:tcW w:w="391"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14</w:t>
            </w:r>
          </w:p>
        </w:tc>
        <w:tc>
          <w:tcPr>
            <w:tcW w:w="1438" w:type="pct"/>
            <w:tcBorders>
              <w:bottom w:val="single" w:sz="4" w:space="0" w:color="auto"/>
            </w:tcBorders>
            <w:vAlign w:val="center"/>
          </w:tcPr>
          <w:p w:rsidR="001B3E62" w:rsidRPr="00D24544" w:rsidRDefault="001B3E62" w:rsidP="001B3E62">
            <w:pPr>
              <w:ind w:left="113"/>
              <w:jc w:val="center"/>
              <w:rPr>
                <w:rFonts w:ascii="Arial Narrow" w:hAnsi="Arial Narrow"/>
                <w:sz w:val="20"/>
              </w:rPr>
            </w:pPr>
            <w:r w:rsidRPr="00D24544">
              <w:rPr>
                <w:rFonts w:ascii="Arial Narrow" w:hAnsi="Arial Narrow"/>
                <w:sz w:val="20"/>
              </w:rPr>
              <w:t>DCV24+SOF24</w:t>
            </w:r>
          </w:p>
        </w:tc>
        <w:tc>
          <w:tcPr>
            <w:tcW w:w="1242" w:type="pct"/>
            <w:tcBorders>
              <w:bottom w:val="single" w:sz="4" w:space="0" w:color="auto"/>
            </w:tcBorders>
            <w:vAlign w:val="center"/>
          </w:tcPr>
          <w:p w:rsidR="001B3E62" w:rsidRPr="00D24544" w:rsidRDefault="001B3E62" w:rsidP="000570F8">
            <w:pPr>
              <w:spacing w:after="40"/>
              <w:jc w:val="center"/>
              <w:rPr>
                <w:rFonts w:ascii="Arial Narrow" w:hAnsi="Arial Narrow"/>
                <w:sz w:val="20"/>
                <w:vertAlign w:val="superscript"/>
              </w:rPr>
            </w:pPr>
            <w:r w:rsidRPr="00D24544">
              <w:rPr>
                <w:rFonts w:ascii="Arial Narrow" w:hAnsi="Arial Narrow"/>
                <w:sz w:val="20"/>
              </w:rPr>
              <w:t>13/14</w:t>
            </w:r>
            <w:r w:rsidR="00CB3583" w:rsidRPr="00D24544">
              <w:rPr>
                <w:rFonts w:ascii="Arial Narrow" w:hAnsi="Arial Narrow"/>
                <w:sz w:val="20"/>
                <w:vertAlign w:val="superscript"/>
              </w:rPr>
              <w:t>d</w:t>
            </w:r>
          </w:p>
          <w:p w:rsidR="001B3E62" w:rsidRPr="00D24544" w:rsidRDefault="001B3E62" w:rsidP="000570F8">
            <w:pPr>
              <w:ind w:left="113"/>
              <w:jc w:val="center"/>
              <w:rPr>
                <w:rFonts w:ascii="Arial Narrow" w:hAnsi="Arial Narrow"/>
                <w:sz w:val="20"/>
              </w:rPr>
            </w:pPr>
            <w:r w:rsidRPr="00D24544">
              <w:rPr>
                <w:rFonts w:ascii="Arial Narrow" w:hAnsi="Arial Narrow"/>
                <w:sz w:val="20"/>
              </w:rPr>
              <w:t>92.9% (66.1%, 99.8%)</w:t>
            </w:r>
          </w:p>
        </w:tc>
        <w:tc>
          <w:tcPr>
            <w:tcW w:w="1204" w:type="pct"/>
            <w:tcBorders>
              <w:bottom w:val="single" w:sz="4" w:space="0" w:color="auto"/>
            </w:tcBorders>
            <w:vAlign w:val="center"/>
          </w:tcPr>
          <w:p w:rsidR="001B3E62" w:rsidRPr="00D24544" w:rsidRDefault="001B3E62" w:rsidP="000570F8">
            <w:pPr>
              <w:spacing w:after="40"/>
              <w:jc w:val="center"/>
              <w:rPr>
                <w:rFonts w:ascii="Arial Narrow" w:hAnsi="Arial Narrow"/>
                <w:sz w:val="20"/>
                <w:vertAlign w:val="superscript"/>
              </w:rPr>
            </w:pPr>
            <w:r w:rsidRPr="00D24544">
              <w:rPr>
                <w:rFonts w:ascii="Arial Narrow" w:hAnsi="Arial Narrow"/>
                <w:sz w:val="20"/>
              </w:rPr>
              <w:t>14/14</w:t>
            </w:r>
            <w:r w:rsidR="00CB3583" w:rsidRPr="00D24544">
              <w:rPr>
                <w:rFonts w:ascii="Arial Narrow" w:hAnsi="Arial Narrow"/>
                <w:sz w:val="20"/>
                <w:vertAlign w:val="superscript"/>
              </w:rPr>
              <w:t>d</w:t>
            </w:r>
          </w:p>
          <w:p w:rsidR="001B3E62" w:rsidRPr="00D24544" w:rsidRDefault="001B3E62" w:rsidP="000570F8">
            <w:pPr>
              <w:jc w:val="center"/>
              <w:rPr>
                <w:rFonts w:ascii="Arial Narrow" w:hAnsi="Arial Narrow"/>
                <w:sz w:val="20"/>
              </w:rPr>
            </w:pPr>
            <w:r w:rsidRPr="00D24544">
              <w:rPr>
                <w:rFonts w:ascii="Arial Narrow" w:hAnsi="Arial Narrow"/>
                <w:sz w:val="20"/>
              </w:rPr>
              <w:t>100% (76.8%, 100%)</w:t>
            </w:r>
          </w:p>
        </w:tc>
      </w:tr>
      <w:tr w:rsidR="001B3E62" w:rsidRPr="00D24544" w:rsidTr="001B3E62">
        <w:trPr>
          <w:cantSplit/>
        </w:trPr>
        <w:tc>
          <w:tcPr>
            <w:tcW w:w="387" w:type="pct"/>
            <w:vAlign w:val="center"/>
          </w:tcPr>
          <w:p w:rsidR="001B3E62" w:rsidRPr="00D24544" w:rsidRDefault="001B3E62" w:rsidP="000570F8">
            <w:pPr>
              <w:ind w:left="142"/>
              <w:jc w:val="left"/>
              <w:rPr>
                <w:rFonts w:ascii="Arial Narrow" w:hAnsi="Arial Narrow"/>
                <w:sz w:val="20"/>
              </w:rPr>
            </w:pPr>
            <w:r w:rsidRPr="00D24544">
              <w:rPr>
                <w:rFonts w:ascii="Arial Narrow" w:hAnsi="Arial Narrow"/>
                <w:sz w:val="20"/>
              </w:rPr>
              <w:t>F</w:t>
            </w:r>
          </w:p>
        </w:tc>
        <w:tc>
          <w:tcPr>
            <w:tcW w:w="339"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2/3</w:t>
            </w:r>
          </w:p>
        </w:tc>
        <w:tc>
          <w:tcPr>
            <w:tcW w:w="391"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14</w:t>
            </w:r>
          </w:p>
        </w:tc>
        <w:tc>
          <w:tcPr>
            <w:tcW w:w="1438" w:type="pct"/>
            <w:tcBorders>
              <w:bottom w:val="single" w:sz="4" w:space="0" w:color="auto"/>
            </w:tcBorders>
            <w:vAlign w:val="center"/>
          </w:tcPr>
          <w:p w:rsidR="001B3E62" w:rsidRPr="00D24544" w:rsidRDefault="001B3E62" w:rsidP="001B3E62">
            <w:pPr>
              <w:ind w:left="113"/>
              <w:jc w:val="center"/>
              <w:rPr>
                <w:rFonts w:ascii="Arial Narrow" w:hAnsi="Arial Narrow"/>
                <w:sz w:val="20"/>
              </w:rPr>
            </w:pPr>
            <w:r w:rsidRPr="00D24544">
              <w:rPr>
                <w:rFonts w:ascii="Arial Narrow" w:hAnsi="Arial Narrow"/>
                <w:sz w:val="20"/>
              </w:rPr>
              <w:t>DCV24+SOF24+R24</w:t>
            </w:r>
          </w:p>
        </w:tc>
        <w:tc>
          <w:tcPr>
            <w:tcW w:w="1242" w:type="pct"/>
            <w:tcBorders>
              <w:bottom w:val="single" w:sz="4" w:space="0" w:color="auto"/>
            </w:tcBorders>
            <w:vAlign w:val="center"/>
          </w:tcPr>
          <w:p w:rsidR="001B3E62" w:rsidRPr="00D24544" w:rsidRDefault="001B3E62" w:rsidP="000570F8">
            <w:pPr>
              <w:spacing w:after="40"/>
              <w:jc w:val="center"/>
              <w:rPr>
                <w:rFonts w:ascii="Arial Narrow" w:hAnsi="Arial Narrow"/>
                <w:sz w:val="20"/>
                <w:vertAlign w:val="superscript"/>
              </w:rPr>
            </w:pPr>
            <w:r w:rsidRPr="00D24544">
              <w:rPr>
                <w:rFonts w:ascii="Arial Narrow" w:hAnsi="Arial Narrow"/>
                <w:sz w:val="20"/>
              </w:rPr>
              <w:t>12/14</w:t>
            </w:r>
          </w:p>
          <w:p w:rsidR="001B3E62" w:rsidRPr="00D24544" w:rsidRDefault="001B3E62" w:rsidP="000570F8">
            <w:pPr>
              <w:ind w:left="113"/>
              <w:jc w:val="center"/>
              <w:rPr>
                <w:rFonts w:ascii="Arial Narrow" w:hAnsi="Arial Narrow"/>
                <w:sz w:val="20"/>
              </w:rPr>
            </w:pPr>
            <w:r w:rsidRPr="00D24544">
              <w:rPr>
                <w:rFonts w:ascii="Arial Narrow" w:hAnsi="Arial Narrow"/>
                <w:sz w:val="20"/>
              </w:rPr>
              <w:t>85.7% (57.2%, 98.2%)</w:t>
            </w:r>
          </w:p>
        </w:tc>
        <w:tc>
          <w:tcPr>
            <w:tcW w:w="1204" w:type="pct"/>
            <w:tcBorders>
              <w:bottom w:val="single" w:sz="4" w:space="0" w:color="auto"/>
            </w:tcBorders>
            <w:vAlign w:val="center"/>
          </w:tcPr>
          <w:p w:rsidR="001B3E62" w:rsidRPr="00D24544" w:rsidRDefault="001B3E62" w:rsidP="000570F8">
            <w:pPr>
              <w:spacing w:after="40"/>
              <w:jc w:val="center"/>
              <w:rPr>
                <w:rFonts w:ascii="Arial Narrow" w:hAnsi="Arial Narrow"/>
                <w:sz w:val="20"/>
                <w:vertAlign w:val="superscript"/>
              </w:rPr>
            </w:pPr>
            <w:r w:rsidRPr="00D24544">
              <w:rPr>
                <w:rFonts w:ascii="Arial Narrow" w:hAnsi="Arial Narrow"/>
                <w:sz w:val="20"/>
              </w:rPr>
              <w:t>13/14</w:t>
            </w:r>
          </w:p>
          <w:p w:rsidR="001B3E62" w:rsidRPr="00D24544" w:rsidRDefault="001B3E62" w:rsidP="000570F8">
            <w:pPr>
              <w:jc w:val="center"/>
              <w:rPr>
                <w:rFonts w:ascii="Arial Narrow" w:hAnsi="Arial Narrow"/>
                <w:sz w:val="20"/>
              </w:rPr>
            </w:pPr>
            <w:r w:rsidRPr="00D24544">
              <w:rPr>
                <w:rFonts w:ascii="Arial Narrow" w:hAnsi="Arial Narrow"/>
                <w:sz w:val="20"/>
              </w:rPr>
              <w:t>92.9% (66.1%, 99.8%)</w:t>
            </w:r>
          </w:p>
        </w:tc>
      </w:tr>
      <w:tr w:rsidR="001C2B2C" w:rsidRPr="00D24544" w:rsidTr="001B3E62">
        <w:trPr>
          <w:cantSplit/>
        </w:trPr>
        <w:tc>
          <w:tcPr>
            <w:tcW w:w="5000" w:type="pct"/>
            <w:gridSpan w:val="6"/>
            <w:vAlign w:val="center"/>
          </w:tcPr>
          <w:p w:rsidR="001C2B2C" w:rsidRPr="00D24544" w:rsidRDefault="00922990" w:rsidP="00327DC1">
            <w:pPr>
              <w:jc w:val="left"/>
              <w:rPr>
                <w:rFonts w:ascii="Arial Narrow" w:hAnsi="Arial Narrow"/>
                <w:b/>
                <w:sz w:val="20"/>
              </w:rPr>
            </w:pPr>
            <w:r w:rsidRPr="00D24544">
              <w:rPr>
                <w:rFonts w:ascii="Arial Narrow" w:hAnsi="Arial Narrow"/>
                <w:b/>
                <w:sz w:val="20"/>
              </w:rPr>
              <w:t>Treatment-experienced</w:t>
            </w:r>
          </w:p>
        </w:tc>
      </w:tr>
      <w:tr w:rsidR="001B3E62" w:rsidRPr="00D24544" w:rsidTr="001B3E62">
        <w:trPr>
          <w:cantSplit/>
        </w:trPr>
        <w:tc>
          <w:tcPr>
            <w:tcW w:w="387" w:type="pct"/>
            <w:vAlign w:val="center"/>
          </w:tcPr>
          <w:p w:rsidR="001B3E62" w:rsidRPr="00D24544" w:rsidRDefault="00772F65" w:rsidP="000570F8">
            <w:pPr>
              <w:ind w:left="142"/>
              <w:jc w:val="left"/>
              <w:rPr>
                <w:rFonts w:ascii="Arial Narrow" w:hAnsi="Arial Narrow"/>
                <w:sz w:val="20"/>
              </w:rPr>
            </w:pPr>
            <w:r>
              <w:rPr>
                <w:rFonts w:ascii="Arial Narrow" w:hAnsi="Arial Narrow"/>
                <w:sz w:val="20"/>
              </w:rPr>
              <w:t>I</w:t>
            </w:r>
          </w:p>
        </w:tc>
        <w:tc>
          <w:tcPr>
            <w:tcW w:w="339"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1</w:t>
            </w:r>
          </w:p>
        </w:tc>
        <w:tc>
          <w:tcPr>
            <w:tcW w:w="391"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21</w:t>
            </w:r>
          </w:p>
        </w:tc>
        <w:tc>
          <w:tcPr>
            <w:tcW w:w="1438" w:type="pct"/>
            <w:tcBorders>
              <w:bottom w:val="single" w:sz="4" w:space="0" w:color="auto"/>
            </w:tcBorders>
            <w:vAlign w:val="center"/>
          </w:tcPr>
          <w:p w:rsidR="001B3E62" w:rsidRPr="00D24544" w:rsidRDefault="001B3E62" w:rsidP="001B3E62">
            <w:pPr>
              <w:ind w:left="113"/>
              <w:jc w:val="center"/>
              <w:rPr>
                <w:rFonts w:ascii="Arial Narrow" w:hAnsi="Arial Narrow"/>
                <w:sz w:val="20"/>
              </w:rPr>
            </w:pPr>
            <w:r w:rsidRPr="00D24544">
              <w:rPr>
                <w:rFonts w:ascii="Arial Narrow" w:hAnsi="Arial Narrow"/>
                <w:sz w:val="20"/>
              </w:rPr>
              <w:t>DCV24+SOF24</w:t>
            </w:r>
          </w:p>
        </w:tc>
        <w:tc>
          <w:tcPr>
            <w:tcW w:w="1242" w:type="pct"/>
            <w:tcBorders>
              <w:bottom w:val="single" w:sz="4" w:space="0" w:color="auto"/>
            </w:tcBorders>
            <w:vAlign w:val="center"/>
          </w:tcPr>
          <w:p w:rsidR="001B3E62" w:rsidRPr="00D24544" w:rsidRDefault="001B3E62" w:rsidP="000570F8">
            <w:pPr>
              <w:spacing w:after="40"/>
              <w:jc w:val="center"/>
              <w:rPr>
                <w:rFonts w:ascii="Arial Narrow" w:hAnsi="Arial Narrow"/>
                <w:sz w:val="20"/>
              </w:rPr>
            </w:pPr>
            <w:r w:rsidRPr="00D24544">
              <w:rPr>
                <w:rFonts w:ascii="Arial Narrow" w:hAnsi="Arial Narrow"/>
                <w:sz w:val="20"/>
              </w:rPr>
              <w:t>21/21</w:t>
            </w:r>
          </w:p>
          <w:p w:rsidR="001B3E62" w:rsidRPr="00D24544" w:rsidRDefault="001B3E62" w:rsidP="000570F8">
            <w:pPr>
              <w:ind w:left="113"/>
              <w:jc w:val="center"/>
              <w:rPr>
                <w:rFonts w:ascii="Arial Narrow" w:hAnsi="Arial Narrow"/>
                <w:sz w:val="20"/>
                <w:vertAlign w:val="superscript"/>
              </w:rPr>
            </w:pPr>
            <w:r w:rsidRPr="00D24544">
              <w:rPr>
                <w:rFonts w:ascii="Arial Narrow" w:hAnsi="Arial Narrow"/>
                <w:sz w:val="20"/>
              </w:rPr>
              <w:t>100% (83.9%, 100%)</w:t>
            </w:r>
            <w:r w:rsidRPr="00D24544">
              <w:rPr>
                <w:rFonts w:ascii="Arial Narrow" w:hAnsi="Arial Narrow"/>
                <w:sz w:val="20"/>
                <w:vertAlign w:val="superscript"/>
              </w:rPr>
              <w:t>b</w:t>
            </w:r>
          </w:p>
        </w:tc>
        <w:tc>
          <w:tcPr>
            <w:tcW w:w="1204" w:type="pct"/>
            <w:tcBorders>
              <w:bottom w:val="single" w:sz="4" w:space="0" w:color="auto"/>
            </w:tcBorders>
            <w:vAlign w:val="center"/>
          </w:tcPr>
          <w:p w:rsidR="001B3E62" w:rsidRPr="00D24544" w:rsidRDefault="001B3E62" w:rsidP="000570F8">
            <w:pPr>
              <w:jc w:val="center"/>
              <w:rPr>
                <w:rFonts w:ascii="Arial Narrow" w:hAnsi="Arial Narrow"/>
                <w:sz w:val="20"/>
              </w:rPr>
            </w:pPr>
            <w:r w:rsidRPr="00D24544">
              <w:rPr>
                <w:rFonts w:ascii="Arial Narrow" w:hAnsi="Arial Narrow"/>
                <w:sz w:val="20"/>
              </w:rPr>
              <w:t>NR</w:t>
            </w:r>
          </w:p>
        </w:tc>
      </w:tr>
      <w:tr w:rsidR="001B3E62" w:rsidRPr="00D24544" w:rsidTr="001B3E62">
        <w:trPr>
          <w:cantSplit/>
        </w:trPr>
        <w:tc>
          <w:tcPr>
            <w:tcW w:w="387" w:type="pct"/>
            <w:vAlign w:val="center"/>
          </w:tcPr>
          <w:p w:rsidR="001B3E62" w:rsidRPr="00D24544" w:rsidRDefault="00772F65" w:rsidP="000570F8">
            <w:pPr>
              <w:ind w:left="142"/>
              <w:jc w:val="left"/>
              <w:rPr>
                <w:rFonts w:ascii="Arial Narrow" w:hAnsi="Arial Narrow"/>
                <w:sz w:val="20"/>
              </w:rPr>
            </w:pPr>
            <w:r>
              <w:rPr>
                <w:rFonts w:ascii="Arial Narrow" w:hAnsi="Arial Narrow"/>
                <w:sz w:val="20"/>
              </w:rPr>
              <w:t>J</w:t>
            </w:r>
          </w:p>
        </w:tc>
        <w:tc>
          <w:tcPr>
            <w:tcW w:w="339"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1</w:t>
            </w:r>
          </w:p>
        </w:tc>
        <w:tc>
          <w:tcPr>
            <w:tcW w:w="391" w:type="pct"/>
            <w:vAlign w:val="center"/>
          </w:tcPr>
          <w:p w:rsidR="001B3E62" w:rsidRPr="00D24544" w:rsidRDefault="001B3E62" w:rsidP="000570F8">
            <w:pPr>
              <w:jc w:val="center"/>
              <w:rPr>
                <w:rFonts w:ascii="Arial Narrow" w:hAnsi="Arial Narrow"/>
                <w:sz w:val="20"/>
              </w:rPr>
            </w:pPr>
            <w:r w:rsidRPr="00D24544">
              <w:rPr>
                <w:rFonts w:ascii="Arial Narrow" w:hAnsi="Arial Narrow"/>
                <w:sz w:val="20"/>
              </w:rPr>
              <w:t>20</w:t>
            </w:r>
          </w:p>
        </w:tc>
        <w:tc>
          <w:tcPr>
            <w:tcW w:w="1438" w:type="pct"/>
            <w:tcBorders>
              <w:bottom w:val="single" w:sz="4" w:space="0" w:color="auto"/>
            </w:tcBorders>
            <w:vAlign w:val="center"/>
          </w:tcPr>
          <w:p w:rsidR="001B3E62" w:rsidRPr="00D24544" w:rsidRDefault="001B3E62" w:rsidP="001B3E62">
            <w:pPr>
              <w:ind w:left="113"/>
              <w:jc w:val="center"/>
              <w:rPr>
                <w:rFonts w:ascii="Arial Narrow" w:hAnsi="Arial Narrow"/>
                <w:sz w:val="20"/>
              </w:rPr>
            </w:pPr>
            <w:r w:rsidRPr="00D24544">
              <w:rPr>
                <w:rFonts w:ascii="Arial Narrow" w:hAnsi="Arial Narrow"/>
                <w:sz w:val="20"/>
              </w:rPr>
              <w:t>DCV24+SOF24+R24</w:t>
            </w:r>
          </w:p>
        </w:tc>
        <w:tc>
          <w:tcPr>
            <w:tcW w:w="1242" w:type="pct"/>
            <w:tcBorders>
              <w:bottom w:val="single" w:sz="4" w:space="0" w:color="auto"/>
            </w:tcBorders>
            <w:vAlign w:val="center"/>
          </w:tcPr>
          <w:p w:rsidR="001B3E62" w:rsidRPr="00D24544" w:rsidRDefault="001B3E62" w:rsidP="000570F8">
            <w:pPr>
              <w:spacing w:after="40"/>
              <w:jc w:val="center"/>
              <w:rPr>
                <w:rFonts w:ascii="Arial Narrow" w:hAnsi="Arial Narrow"/>
                <w:sz w:val="20"/>
                <w:vertAlign w:val="superscript"/>
              </w:rPr>
            </w:pPr>
            <w:r w:rsidRPr="00D24544">
              <w:rPr>
                <w:rFonts w:ascii="Arial Narrow" w:hAnsi="Arial Narrow"/>
                <w:sz w:val="20"/>
              </w:rPr>
              <w:t>19/20</w:t>
            </w:r>
            <w:r w:rsidRPr="00D24544">
              <w:rPr>
                <w:rFonts w:ascii="Arial Narrow" w:hAnsi="Arial Narrow"/>
                <w:sz w:val="20"/>
                <w:vertAlign w:val="superscript"/>
              </w:rPr>
              <w:t>h</w:t>
            </w:r>
          </w:p>
          <w:p w:rsidR="001B3E62" w:rsidRPr="00D24544" w:rsidRDefault="001B3E62" w:rsidP="000570F8">
            <w:pPr>
              <w:ind w:left="113"/>
              <w:jc w:val="center"/>
              <w:rPr>
                <w:rFonts w:ascii="Arial Narrow" w:hAnsi="Arial Narrow"/>
                <w:sz w:val="20"/>
              </w:rPr>
            </w:pPr>
            <w:r w:rsidRPr="00D24544">
              <w:rPr>
                <w:rFonts w:ascii="Arial Narrow" w:hAnsi="Arial Narrow"/>
                <w:sz w:val="20"/>
              </w:rPr>
              <w:t>95.0% (75.1%, 99.9%)</w:t>
            </w:r>
          </w:p>
        </w:tc>
        <w:tc>
          <w:tcPr>
            <w:tcW w:w="1204" w:type="pct"/>
            <w:tcBorders>
              <w:bottom w:val="single" w:sz="4" w:space="0" w:color="auto"/>
            </w:tcBorders>
            <w:vAlign w:val="center"/>
          </w:tcPr>
          <w:p w:rsidR="001B3E62" w:rsidRPr="00D24544" w:rsidRDefault="001B3E62" w:rsidP="000570F8">
            <w:pPr>
              <w:jc w:val="center"/>
              <w:rPr>
                <w:rFonts w:ascii="Arial Narrow" w:hAnsi="Arial Narrow"/>
                <w:sz w:val="20"/>
              </w:rPr>
            </w:pPr>
            <w:r w:rsidRPr="00D24544">
              <w:rPr>
                <w:rFonts w:ascii="Arial Narrow" w:hAnsi="Arial Narrow"/>
                <w:sz w:val="20"/>
              </w:rPr>
              <w:t>NR</w:t>
            </w:r>
          </w:p>
        </w:tc>
      </w:tr>
    </w:tbl>
    <w:p w:rsidR="001B3E62" w:rsidRPr="00CB3583" w:rsidRDefault="001B3E62" w:rsidP="00CB3583">
      <w:pPr>
        <w:pStyle w:val="TableFooter"/>
        <w:ind w:left="720"/>
      </w:pPr>
      <w:r w:rsidRPr="00CB3583">
        <w:t xml:space="preserve">GT = genotype; </w:t>
      </w:r>
      <w:r w:rsidR="001C2B2C" w:rsidRPr="00CB3583">
        <w:t xml:space="preserve">CI = confidence interval; DCV = daclatasvir; NR = not reported; R = ribavirin; SOF = sofosbuvir; </w:t>
      </w:r>
      <w:r w:rsidR="00CB3583" w:rsidRPr="00CB3583">
        <w:t xml:space="preserve">SVR = sustained </w:t>
      </w:r>
      <w:proofErr w:type="spellStart"/>
      <w:r w:rsidR="00CB3583" w:rsidRPr="00CB3583">
        <w:t>virologic</w:t>
      </w:r>
      <w:proofErr w:type="spellEnd"/>
      <w:r w:rsidR="00CB3583" w:rsidRPr="00CB3583">
        <w:t xml:space="preserve"> response; TND = target not detected</w:t>
      </w:r>
    </w:p>
    <w:p w:rsidR="001B3E62" w:rsidRPr="00CB3583" w:rsidRDefault="001B3E62" w:rsidP="001B3E62">
      <w:pPr>
        <w:pStyle w:val="TableFooter"/>
        <w:ind w:left="720"/>
      </w:pPr>
      <w:r w:rsidRPr="00CB3583">
        <w:lastRenderedPageBreak/>
        <w:t>The numbers following each drug indicate the number of weeks treated;</w:t>
      </w:r>
    </w:p>
    <w:p w:rsidR="001C2B2C" w:rsidRPr="00CB3583" w:rsidRDefault="001C2B2C" w:rsidP="001B3E62">
      <w:pPr>
        <w:pStyle w:val="TableFooter"/>
        <w:ind w:left="720"/>
      </w:pPr>
      <w:proofErr w:type="gramStart"/>
      <w:r w:rsidRPr="00CB3583">
        <w:rPr>
          <w:vertAlign w:val="superscript"/>
        </w:rPr>
        <w:t>a</w:t>
      </w:r>
      <w:proofErr w:type="gramEnd"/>
      <w:r w:rsidRPr="00CB3583">
        <w:t xml:space="preserve"> SVR defined as undetectable HCV RNA</w:t>
      </w:r>
    </w:p>
    <w:p w:rsidR="001C2B2C" w:rsidRDefault="001C2B2C" w:rsidP="001B3E62">
      <w:pPr>
        <w:pStyle w:val="TableFooter"/>
        <w:ind w:left="720"/>
      </w:pPr>
      <w:proofErr w:type="gramStart"/>
      <w:r w:rsidRPr="00CB3583">
        <w:rPr>
          <w:vertAlign w:val="superscript"/>
        </w:rPr>
        <w:t>b</w:t>
      </w:r>
      <w:proofErr w:type="gramEnd"/>
      <w:r w:rsidRPr="00CB3583">
        <w:t xml:space="preserve"> 1-sided 97.5% confidence interval</w:t>
      </w:r>
    </w:p>
    <w:p w:rsidR="001C2B2C" w:rsidRPr="00CB3583" w:rsidRDefault="00CB3583" w:rsidP="001B3E62">
      <w:pPr>
        <w:pStyle w:val="TableFooter"/>
        <w:ind w:left="720"/>
      </w:pPr>
      <w:proofErr w:type="gramStart"/>
      <w:r w:rsidRPr="00CB3583">
        <w:rPr>
          <w:vertAlign w:val="superscript"/>
        </w:rPr>
        <w:t>c</w:t>
      </w:r>
      <w:proofErr w:type="gramEnd"/>
      <w:r w:rsidRPr="00CB3583">
        <w:rPr>
          <w:vertAlign w:val="superscript"/>
        </w:rPr>
        <w:t xml:space="preserve"> </w:t>
      </w:r>
      <w:r w:rsidR="00FE7BFC">
        <w:t>In</w:t>
      </w:r>
      <w:r w:rsidR="001C2B2C" w:rsidRPr="00CB3583">
        <w:t xml:space="preserve"> Group B, 1 patient had viral breakthrough and 1 patient had relapse</w:t>
      </w:r>
    </w:p>
    <w:p w:rsidR="001C2B2C" w:rsidRPr="00CB3583" w:rsidRDefault="00CB3583" w:rsidP="001B3E62">
      <w:pPr>
        <w:pStyle w:val="TableFooter"/>
        <w:ind w:left="720"/>
      </w:pPr>
      <w:proofErr w:type="gramStart"/>
      <w:r w:rsidRPr="00CB3583">
        <w:rPr>
          <w:vertAlign w:val="superscript"/>
        </w:rPr>
        <w:t>d</w:t>
      </w:r>
      <w:proofErr w:type="gramEnd"/>
      <w:r w:rsidR="001C2B2C" w:rsidRPr="00CB3583">
        <w:t xml:space="preserve"> In Group D, the SVR 12 (TD or TND) was 14/14 (100%)</w:t>
      </w:r>
    </w:p>
    <w:p w:rsidR="00CB3583" w:rsidRPr="00CB3583" w:rsidRDefault="00CB3583" w:rsidP="001B3E62">
      <w:pPr>
        <w:pStyle w:val="TableFooter"/>
        <w:ind w:left="720"/>
      </w:pPr>
      <w:r w:rsidRPr="00CB3583">
        <w:t>Note: all other discrepancies between SVR12 and SVR 24 were due to missing data.</w:t>
      </w:r>
    </w:p>
    <w:p w:rsidR="001C2B2C" w:rsidRPr="00D24544" w:rsidRDefault="001C2B2C" w:rsidP="001B3E62">
      <w:pPr>
        <w:pStyle w:val="TableFooter"/>
        <w:ind w:left="720"/>
      </w:pPr>
      <w:r w:rsidRPr="00D24544">
        <w:t>The exact binomial confidence intervals were calculated during the evaluation.</w:t>
      </w:r>
    </w:p>
    <w:p w:rsidR="001C2B2C" w:rsidRPr="001C2B2C" w:rsidRDefault="001C2B2C" w:rsidP="001B3E62">
      <w:pPr>
        <w:pStyle w:val="TableFooter"/>
        <w:ind w:left="720"/>
      </w:pPr>
      <w:r w:rsidRPr="001C2B2C">
        <w:t xml:space="preserve">Source: </w:t>
      </w:r>
      <w:r w:rsidRPr="00AE1653">
        <w:t>Table 39, p113 and Table 40, p115 of the submission.</w:t>
      </w:r>
    </w:p>
    <w:p w:rsidR="007F1017" w:rsidRPr="007F1017" w:rsidRDefault="007F1017" w:rsidP="00E22A0D">
      <w:pPr>
        <w:pStyle w:val="TableFooter"/>
        <w:ind w:firstLine="720"/>
      </w:pPr>
    </w:p>
    <w:p w:rsidR="005753A2" w:rsidRPr="00D24544" w:rsidRDefault="009C222A" w:rsidP="00C768A3">
      <w:pPr>
        <w:pStyle w:val="ListParagraph"/>
        <w:widowControl/>
        <w:numPr>
          <w:ilvl w:val="1"/>
          <w:numId w:val="1"/>
        </w:numPr>
        <w:rPr>
          <w:szCs w:val="22"/>
        </w:rPr>
      </w:pPr>
      <w:r w:rsidRPr="00464929">
        <w:rPr>
          <w:szCs w:val="22"/>
        </w:rPr>
        <w:t xml:space="preserve">The SVR rate was high in all treatment groups. </w:t>
      </w:r>
      <w:r w:rsidR="00DB5031">
        <w:rPr>
          <w:szCs w:val="22"/>
        </w:rPr>
        <w:t>I</w:t>
      </w:r>
      <w:r w:rsidRPr="00464929">
        <w:rPr>
          <w:szCs w:val="22"/>
        </w:rPr>
        <w:t xml:space="preserve">t should be noted that hard-to-treat patients, such as those with documented cirrhosis or </w:t>
      </w:r>
      <w:r w:rsidR="003C6603" w:rsidRPr="00464929">
        <w:rPr>
          <w:szCs w:val="22"/>
        </w:rPr>
        <w:t>treatment-experienced</w:t>
      </w:r>
      <w:r w:rsidRPr="00464929">
        <w:rPr>
          <w:szCs w:val="22"/>
        </w:rPr>
        <w:t xml:space="preserve"> patients with HCV genotypes 2</w:t>
      </w:r>
      <w:r w:rsidR="007143B7">
        <w:rPr>
          <w:szCs w:val="22"/>
        </w:rPr>
        <w:t xml:space="preserve"> to </w:t>
      </w:r>
      <w:r w:rsidRPr="00464929">
        <w:rPr>
          <w:szCs w:val="22"/>
        </w:rPr>
        <w:t xml:space="preserve">6, were not included in the study. In addition, the sample size in many patient subgroups was small </w:t>
      </w:r>
      <w:r w:rsidR="00CC28B5">
        <w:rPr>
          <w:szCs w:val="22"/>
        </w:rPr>
        <w:t xml:space="preserve">and may not </w:t>
      </w:r>
      <w:r w:rsidRPr="00464929">
        <w:rPr>
          <w:szCs w:val="22"/>
        </w:rPr>
        <w:t>accurate</w:t>
      </w:r>
      <w:r w:rsidR="00CC28B5">
        <w:rPr>
          <w:szCs w:val="22"/>
        </w:rPr>
        <w:t>ly</w:t>
      </w:r>
      <w:r w:rsidRPr="00464929">
        <w:rPr>
          <w:szCs w:val="22"/>
        </w:rPr>
        <w:t xml:space="preserve"> estimate of the </w:t>
      </w:r>
      <w:r w:rsidR="00EF3BFC" w:rsidRPr="00464929">
        <w:rPr>
          <w:szCs w:val="22"/>
        </w:rPr>
        <w:t xml:space="preserve">magnitude of the </w:t>
      </w:r>
      <w:r w:rsidRPr="00464929">
        <w:rPr>
          <w:szCs w:val="22"/>
        </w:rPr>
        <w:t>clinical benefit</w:t>
      </w:r>
      <w:r w:rsidR="00CC28B5">
        <w:rPr>
          <w:szCs w:val="22"/>
        </w:rPr>
        <w:t xml:space="preserve">. </w:t>
      </w:r>
      <w:r w:rsidR="0053128A" w:rsidRPr="00D24544">
        <w:rPr>
          <w:szCs w:val="22"/>
        </w:rPr>
        <w:t>The ESC noted the numerically lower SVR rate of DCV24+SOF24 +/- RBV among treatment naïve GT2/3 patients, compared with the SVR rate of DCV12-24+SOF12-24 +/- RBV for treatment naïve GT1 patients.</w:t>
      </w:r>
    </w:p>
    <w:p w:rsidR="005753A2" w:rsidRPr="00464929" w:rsidRDefault="005753A2" w:rsidP="005753A2">
      <w:pPr>
        <w:pStyle w:val="ListParagraph"/>
        <w:widowControl/>
        <w:rPr>
          <w:szCs w:val="22"/>
        </w:rPr>
      </w:pPr>
    </w:p>
    <w:p w:rsidR="00A77EDF" w:rsidRPr="00A77EDF" w:rsidRDefault="005753A2" w:rsidP="00C768A3">
      <w:pPr>
        <w:pStyle w:val="ListParagraph"/>
        <w:widowControl/>
        <w:numPr>
          <w:ilvl w:val="1"/>
          <w:numId w:val="1"/>
        </w:numPr>
      </w:pPr>
      <w:r w:rsidRPr="00464929">
        <w:rPr>
          <w:szCs w:val="22"/>
        </w:rPr>
        <w:t xml:space="preserve">There was no evidence for the proposed treatment regimen (DCV12+SOF12) in </w:t>
      </w:r>
      <w:r w:rsidR="003C6603" w:rsidRPr="00464929">
        <w:rPr>
          <w:szCs w:val="22"/>
        </w:rPr>
        <w:t>treatment-naïve</w:t>
      </w:r>
      <w:r w:rsidRPr="00464929">
        <w:rPr>
          <w:szCs w:val="22"/>
        </w:rPr>
        <w:t xml:space="preserve"> genotype </w:t>
      </w:r>
      <w:r w:rsidR="007143B7">
        <w:rPr>
          <w:szCs w:val="22"/>
        </w:rPr>
        <w:t>2 to 6</w:t>
      </w:r>
      <w:r w:rsidRPr="00464929">
        <w:rPr>
          <w:szCs w:val="22"/>
        </w:rPr>
        <w:t xml:space="preserve"> HCV and </w:t>
      </w:r>
      <w:r w:rsidR="003C6603" w:rsidRPr="00464929">
        <w:rPr>
          <w:szCs w:val="22"/>
        </w:rPr>
        <w:t>treatment-experienced</w:t>
      </w:r>
      <w:r w:rsidRPr="00464929">
        <w:rPr>
          <w:szCs w:val="22"/>
        </w:rPr>
        <w:t xml:space="preserve"> patients. </w:t>
      </w:r>
      <w:r w:rsidR="00A77EDF">
        <w:rPr>
          <w:szCs w:val="22"/>
        </w:rPr>
        <w:t xml:space="preserve">Twenty-four </w:t>
      </w:r>
      <w:r w:rsidRPr="00464929">
        <w:rPr>
          <w:szCs w:val="22"/>
        </w:rPr>
        <w:t>week</w:t>
      </w:r>
      <w:r w:rsidR="00A77EDF">
        <w:rPr>
          <w:szCs w:val="22"/>
        </w:rPr>
        <w:t xml:space="preserve">s of </w:t>
      </w:r>
      <w:r w:rsidRPr="00464929">
        <w:rPr>
          <w:szCs w:val="22"/>
        </w:rPr>
        <w:t xml:space="preserve">treatment was given to genotypes 2 and 3 </w:t>
      </w:r>
      <w:r w:rsidR="003C6603" w:rsidRPr="00464929">
        <w:rPr>
          <w:szCs w:val="22"/>
        </w:rPr>
        <w:t>treatment-naïve</w:t>
      </w:r>
      <w:r w:rsidRPr="00464929">
        <w:rPr>
          <w:szCs w:val="22"/>
        </w:rPr>
        <w:t xml:space="preserve"> and genotype 1 </w:t>
      </w:r>
      <w:r w:rsidR="003C6603" w:rsidRPr="00464929">
        <w:rPr>
          <w:szCs w:val="22"/>
        </w:rPr>
        <w:t>treatment-experienced</w:t>
      </w:r>
      <w:r w:rsidRPr="00464929">
        <w:rPr>
          <w:szCs w:val="22"/>
        </w:rPr>
        <w:t xml:space="preserve"> </w:t>
      </w:r>
      <w:proofErr w:type="gramStart"/>
      <w:r w:rsidRPr="00464929">
        <w:rPr>
          <w:szCs w:val="22"/>
        </w:rPr>
        <w:t>patients</w:t>
      </w:r>
      <w:proofErr w:type="gramEnd"/>
      <w:r w:rsidRPr="00464929">
        <w:rPr>
          <w:szCs w:val="22"/>
        </w:rPr>
        <w:t xml:space="preserve"> in Study 4040. </w:t>
      </w:r>
      <w:r w:rsidR="00251DB7" w:rsidRPr="00464929">
        <w:rPr>
          <w:szCs w:val="22"/>
        </w:rPr>
        <w:t>As t</w:t>
      </w:r>
      <w:r w:rsidRPr="00464929">
        <w:rPr>
          <w:szCs w:val="22"/>
        </w:rPr>
        <w:t xml:space="preserve">he viral susceptibility to daclatasvir is lower in genotypes 2 and 3 compared to genotypes 1 and </w:t>
      </w:r>
      <w:r w:rsidR="00B77894">
        <w:rPr>
          <w:szCs w:val="22"/>
        </w:rPr>
        <w:t>4</w:t>
      </w:r>
      <w:r w:rsidR="00251DB7" w:rsidRPr="00464929">
        <w:rPr>
          <w:szCs w:val="22"/>
        </w:rPr>
        <w:t xml:space="preserve">, </w:t>
      </w:r>
      <w:r w:rsidRPr="00464929">
        <w:rPr>
          <w:szCs w:val="22"/>
        </w:rPr>
        <w:t xml:space="preserve">it </w:t>
      </w:r>
      <w:r w:rsidR="00B77894">
        <w:rPr>
          <w:szCs w:val="22"/>
        </w:rPr>
        <w:t>may</w:t>
      </w:r>
      <w:r w:rsidRPr="00464929">
        <w:rPr>
          <w:szCs w:val="22"/>
        </w:rPr>
        <w:t xml:space="preserve"> not</w:t>
      </w:r>
      <w:r w:rsidR="00B77894">
        <w:rPr>
          <w:szCs w:val="22"/>
        </w:rPr>
        <w:t xml:space="preserve"> be</w:t>
      </w:r>
      <w:r w:rsidRPr="00464929">
        <w:rPr>
          <w:szCs w:val="22"/>
        </w:rPr>
        <w:t xml:space="preserve"> appropriate to assume that 12 weeks of treatment will be as effective in patients with these genotypes as it is in genotype 1 patients.</w:t>
      </w:r>
      <w:r w:rsidR="0042048E" w:rsidRPr="00464929">
        <w:rPr>
          <w:szCs w:val="22"/>
        </w:rPr>
        <w:t xml:space="preserve"> </w:t>
      </w:r>
      <w:r w:rsidR="00B67CB2" w:rsidRPr="00464929">
        <w:rPr>
          <w:szCs w:val="22"/>
        </w:rPr>
        <w:t>Given the proposed listing did not preclude 24 weeks o</w:t>
      </w:r>
      <w:r w:rsidRPr="00464929">
        <w:rPr>
          <w:szCs w:val="22"/>
        </w:rPr>
        <w:t>f treatment with DCV+SOF, DCV24+</w:t>
      </w:r>
      <w:r w:rsidR="00B67CB2" w:rsidRPr="00464929">
        <w:rPr>
          <w:szCs w:val="22"/>
        </w:rPr>
        <w:t>SOF24 might be used in clinical practice if listed.</w:t>
      </w:r>
      <w:r w:rsidR="005B675B">
        <w:rPr>
          <w:szCs w:val="22"/>
        </w:rPr>
        <w:t xml:space="preserve"> </w:t>
      </w:r>
    </w:p>
    <w:p w:rsidR="00A77EDF" w:rsidRPr="00A77EDF" w:rsidRDefault="00A77EDF" w:rsidP="00A77EDF">
      <w:pPr>
        <w:pStyle w:val="ListParagraph"/>
        <w:widowControl/>
      </w:pPr>
    </w:p>
    <w:p w:rsidR="00FC207C" w:rsidRPr="00D24544" w:rsidRDefault="005B675B" w:rsidP="00C768A3">
      <w:pPr>
        <w:pStyle w:val="ListParagraph"/>
        <w:widowControl/>
        <w:numPr>
          <w:ilvl w:val="1"/>
          <w:numId w:val="1"/>
        </w:numPr>
      </w:pPr>
      <w:r w:rsidRPr="00D24544">
        <w:rPr>
          <w:szCs w:val="22"/>
        </w:rPr>
        <w:t xml:space="preserve">The ESC noted that results from ALLY-3 open label trial of DCV/SOF12 for treatment naïve and experienced patients with GT3 became available after submission. In ALLY-3, SVR rates for </w:t>
      </w:r>
      <w:r w:rsidR="00790214">
        <w:rPr>
          <w:szCs w:val="22"/>
        </w:rPr>
        <w:t>DCV+SOF</w:t>
      </w:r>
      <w:r w:rsidRPr="00D24544">
        <w:rPr>
          <w:szCs w:val="22"/>
        </w:rPr>
        <w:t>12 were high among naïve (73/75) and experienced (32/34) GT3 patients without cirrhosis. However, among the small number of GT3 patients with cirrhosis, SVR was low among both naïve (11/19) and experienced (9/13) patients.</w:t>
      </w:r>
      <w:r w:rsidR="00FC207C" w:rsidRPr="00D24544">
        <w:t xml:space="preserve"> The ESC also noted the unpublished point estimates of efficacy from ALLY-1 and ALLY-2 provided in confidence in the PSCR and considered that the data </w:t>
      </w:r>
      <w:r w:rsidR="0053128A" w:rsidRPr="00D24544">
        <w:t xml:space="preserve">provided no additional </w:t>
      </w:r>
      <w:r w:rsidR="00A77EDF">
        <w:t xml:space="preserve">certainty </w:t>
      </w:r>
      <w:r w:rsidR="00FC207C" w:rsidRPr="00D24544">
        <w:t xml:space="preserve">about the efficacy of </w:t>
      </w:r>
      <w:r w:rsidR="00790214">
        <w:t>DCV+SOF</w:t>
      </w:r>
      <w:r w:rsidR="00FC207C" w:rsidRPr="00D24544">
        <w:t>12 among GT1 and GT3 cirrhotic patients.</w:t>
      </w:r>
    </w:p>
    <w:p w:rsidR="00B67CB2" w:rsidRPr="00FC207C" w:rsidRDefault="00B67CB2" w:rsidP="00FC207C">
      <w:pPr>
        <w:widowControl/>
        <w:ind w:left="360"/>
        <w:rPr>
          <w:szCs w:val="22"/>
        </w:rPr>
      </w:pPr>
    </w:p>
    <w:p w:rsidR="00A52A58" w:rsidRPr="00464929" w:rsidRDefault="00A52A58" w:rsidP="00C768A3">
      <w:pPr>
        <w:pStyle w:val="ListParagraph"/>
        <w:widowControl/>
        <w:numPr>
          <w:ilvl w:val="1"/>
          <w:numId w:val="1"/>
        </w:numPr>
        <w:rPr>
          <w:szCs w:val="22"/>
        </w:rPr>
      </w:pPr>
      <w:r w:rsidRPr="00A52A58">
        <w:rPr>
          <w:szCs w:val="22"/>
        </w:rPr>
        <w:t>The submission presented the results of two</w:t>
      </w:r>
      <w:r w:rsidR="00A77EDF">
        <w:rPr>
          <w:szCs w:val="22"/>
        </w:rPr>
        <w:t>,</w:t>
      </w:r>
      <w:r w:rsidRPr="00A52A58">
        <w:rPr>
          <w:szCs w:val="22"/>
        </w:rPr>
        <w:t xml:space="preserve"> matching-adjusted</w:t>
      </w:r>
      <w:r w:rsidR="00A77EDF">
        <w:rPr>
          <w:szCs w:val="22"/>
        </w:rPr>
        <w:t>,</w:t>
      </w:r>
      <w:r w:rsidRPr="00A52A58">
        <w:rPr>
          <w:szCs w:val="22"/>
        </w:rPr>
        <w:t xml:space="preserve"> indirect comparisons (MAICs), firstly between DCV+SOF and TVR+PR and, secondly, between DCV+SOF</w:t>
      </w:r>
      <w:r w:rsidRPr="00A52A58">
        <w:rPr>
          <w:i/>
          <w:szCs w:val="22"/>
        </w:rPr>
        <w:t xml:space="preserve"> </w:t>
      </w:r>
      <w:r w:rsidRPr="00A52A58">
        <w:rPr>
          <w:szCs w:val="22"/>
        </w:rPr>
        <w:t xml:space="preserve">and SOF+PR, in treatment-naïve patients with genotype 1 HCV. The results are reported </w:t>
      </w:r>
      <w:r w:rsidR="00790214">
        <w:rPr>
          <w:szCs w:val="22"/>
        </w:rPr>
        <w:t>below</w:t>
      </w:r>
      <w:r w:rsidRPr="00A52A58">
        <w:rPr>
          <w:szCs w:val="22"/>
        </w:rPr>
        <w:t xml:space="preserve">. </w:t>
      </w:r>
      <w:r w:rsidRPr="00464929">
        <w:rPr>
          <w:szCs w:val="22"/>
        </w:rPr>
        <w:t>For all other patient subgroups, the submission only provided a ‘qualitative indirect comparison’ of DCV+SOF and the comparators nominated in Section B; no statistical analyses were provided. The SVR rates presented for the comparators in both the MAICs and the ‘qualitative’ comparisons were biased, as they included cirrhotic patients, in contrast to Study 4040 which excluded this hard-to-treat subgroup.</w:t>
      </w:r>
      <w:r w:rsidR="00C300DC" w:rsidRPr="00464929">
        <w:t xml:space="preserve"> Subjects in Study 4040 and those in the comparator trials were comparable in terms of some prognostic factors, for example age and baseline RNA level. Data on other baseline characteristics, such as time duration between diagnosis and treatment were not available</w:t>
      </w:r>
      <w:r w:rsidR="00790214">
        <w:t xml:space="preserve"> in the submission</w:t>
      </w:r>
      <w:r w:rsidR="00C300DC" w:rsidRPr="00464929">
        <w:t>.</w:t>
      </w:r>
    </w:p>
    <w:p w:rsidR="00A52A58" w:rsidRPr="00961A07" w:rsidRDefault="00A52A58" w:rsidP="00A52A58">
      <w:pPr>
        <w:pStyle w:val="ListParagraph"/>
        <w:rPr>
          <w:b/>
          <w:i/>
          <w:szCs w:val="22"/>
        </w:rPr>
      </w:pPr>
    </w:p>
    <w:p w:rsidR="00A52A58" w:rsidRPr="00961A07" w:rsidRDefault="00A52A58" w:rsidP="00961A07">
      <w:pPr>
        <w:widowControl/>
        <w:ind w:left="720"/>
        <w:jc w:val="left"/>
        <w:rPr>
          <w:rStyle w:val="CommentReference"/>
        </w:rPr>
      </w:pPr>
      <w:r w:rsidRPr="00961A07">
        <w:rPr>
          <w:rStyle w:val="CommentReference"/>
        </w:rPr>
        <w:t>Indirect comparison of DCV+SOF and comparator treatment regimes in treatment-naïve genotype 1 patients, as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effectiveness"/>
        <w:tblDescription w:val="Indirect comparison"/>
      </w:tblPr>
      <w:tblGrid>
        <w:gridCol w:w="1699"/>
        <w:gridCol w:w="1477"/>
        <w:gridCol w:w="1641"/>
        <w:gridCol w:w="1701"/>
        <w:gridCol w:w="1845"/>
      </w:tblGrid>
      <w:tr w:rsidR="00A52A58" w:rsidRPr="00A52A58" w:rsidTr="00981FC9">
        <w:tc>
          <w:tcPr>
            <w:tcW w:w="1016" w:type="pct"/>
            <w:vAlign w:val="center"/>
          </w:tcPr>
          <w:p w:rsidR="00A52A58" w:rsidRPr="00A52A58" w:rsidRDefault="00A52A58" w:rsidP="00A52A58">
            <w:pPr>
              <w:keepNext/>
              <w:keepLines/>
              <w:jc w:val="left"/>
              <w:rPr>
                <w:rFonts w:ascii="Arial Narrow" w:hAnsi="Arial Narrow"/>
                <w:b/>
                <w:sz w:val="20"/>
              </w:rPr>
            </w:pPr>
            <w:r w:rsidRPr="00A52A58">
              <w:rPr>
                <w:rFonts w:ascii="Arial Narrow" w:hAnsi="Arial Narrow"/>
                <w:b/>
                <w:sz w:val="20"/>
              </w:rPr>
              <w:lastRenderedPageBreak/>
              <w:t>Comparison</w:t>
            </w:r>
          </w:p>
        </w:tc>
        <w:tc>
          <w:tcPr>
            <w:tcW w:w="883" w:type="pct"/>
            <w:vAlign w:val="center"/>
          </w:tcPr>
          <w:p w:rsidR="00A52A58" w:rsidRPr="00A52A58" w:rsidRDefault="00A52A58" w:rsidP="00A52A58">
            <w:pPr>
              <w:keepNext/>
              <w:keepLines/>
              <w:jc w:val="center"/>
              <w:rPr>
                <w:rFonts w:ascii="Arial Narrow" w:hAnsi="Arial Narrow"/>
                <w:b/>
                <w:sz w:val="20"/>
              </w:rPr>
            </w:pPr>
            <w:r w:rsidRPr="00A52A58">
              <w:rPr>
                <w:rFonts w:ascii="Arial Narrow" w:hAnsi="Arial Narrow"/>
                <w:b/>
                <w:sz w:val="20"/>
              </w:rPr>
              <w:t>Outcome</w:t>
            </w:r>
          </w:p>
        </w:tc>
        <w:tc>
          <w:tcPr>
            <w:tcW w:w="981" w:type="pct"/>
            <w:vAlign w:val="center"/>
          </w:tcPr>
          <w:p w:rsidR="00A52A58" w:rsidRPr="00A52A58" w:rsidRDefault="00A52A58" w:rsidP="00A52A58">
            <w:pPr>
              <w:keepNext/>
              <w:keepLines/>
              <w:jc w:val="center"/>
              <w:rPr>
                <w:rFonts w:ascii="Arial Narrow" w:hAnsi="Arial Narrow"/>
                <w:b/>
                <w:sz w:val="20"/>
                <w:vertAlign w:val="superscript"/>
              </w:rPr>
            </w:pPr>
            <w:proofErr w:type="spellStart"/>
            <w:r w:rsidRPr="00A52A58">
              <w:rPr>
                <w:rFonts w:ascii="Arial Narrow" w:hAnsi="Arial Narrow"/>
                <w:b/>
                <w:sz w:val="20"/>
              </w:rPr>
              <w:t>DCV+SOF</w:t>
            </w:r>
            <w:r w:rsidRPr="00A52A58">
              <w:rPr>
                <w:rFonts w:ascii="Arial Narrow" w:hAnsi="Arial Narrow"/>
                <w:b/>
                <w:sz w:val="20"/>
                <w:vertAlign w:val="superscript"/>
              </w:rPr>
              <w:t>a</w:t>
            </w:r>
            <w:proofErr w:type="spellEnd"/>
          </w:p>
          <w:p w:rsidR="00A52A58" w:rsidRPr="00A52A58" w:rsidRDefault="00A52A58" w:rsidP="00A52A58">
            <w:pPr>
              <w:keepNext/>
              <w:keepLines/>
              <w:jc w:val="center"/>
              <w:rPr>
                <w:rFonts w:ascii="Arial Narrow" w:hAnsi="Arial Narrow"/>
                <w:sz w:val="20"/>
              </w:rPr>
            </w:pPr>
            <w:r w:rsidRPr="00A52A58">
              <w:rPr>
                <w:rFonts w:ascii="Arial Narrow" w:hAnsi="Arial Narrow"/>
                <w:b/>
                <w:sz w:val="20"/>
              </w:rPr>
              <w:t>n/N, %</w:t>
            </w:r>
          </w:p>
        </w:tc>
        <w:tc>
          <w:tcPr>
            <w:tcW w:w="1017" w:type="pct"/>
            <w:vAlign w:val="center"/>
          </w:tcPr>
          <w:p w:rsidR="00A52A58" w:rsidRPr="00A52A58" w:rsidRDefault="00A52A58" w:rsidP="00A52A58">
            <w:pPr>
              <w:keepNext/>
              <w:keepLines/>
              <w:jc w:val="center"/>
              <w:rPr>
                <w:rFonts w:ascii="Arial Narrow" w:hAnsi="Arial Narrow"/>
                <w:b/>
                <w:sz w:val="20"/>
              </w:rPr>
            </w:pPr>
            <w:r w:rsidRPr="00A52A58">
              <w:rPr>
                <w:rFonts w:ascii="Arial Narrow" w:hAnsi="Arial Narrow"/>
                <w:b/>
                <w:sz w:val="20"/>
              </w:rPr>
              <w:t>Comparator</w:t>
            </w:r>
          </w:p>
          <w:p w:rsidR="00A52A58" w:rsidRPr="00A52A58" w:rsidRDefault="00A52A58" w:rsidP="00A52A58">
            <w:pPr>
              <w:keepNext/>
              <w:keepLines/>
              <w:jc w:val="center"/>
              <w:rPr>
                <w:rFonts w:ascii="Arial Narrow" w:hAnsi="Arial Narrow"/>
                <w:b/>
                <w:sz w:val="20"/>
              </w:rPr>
            </w:pPr>
            <w:r w:rsidRPr="00A52A58">
              <w:rPr>
                <w:rFonts w:ascii="Arial Narrow" w:hAnsi="Arial Narrow"/>
                <w:b/>
                <w:sz w:val="20"/>
              </w:rPr>
              <w:t>n/N, %</w:t>
            </w:r>
          </w:p>
        </w:tc>
        <w:tc>
          <w:tcPr>
            <w:tcW w:w="1102" w:type="pct"/>
            <w:vAlign w:val="center"/>
          </w:tcPr>
          <w:p w:rsidR="00A52A58" w:rsidRPr="00A52A58" w:rsidRDefault="00A52A58" w:rsidP="00A52A58">
            <w:pPr>
              <w:keepNext/>
              <w:keepLines/>
              <w:jc w:val="center"/>
              <w:rPr>
                <w:rFonts w:ascii="Arial Narrow" w:hAnsi="Arial Narrow"/>
                <w:b/>
                <w:sz w:val="20"/>
              </w:rPr>
            </w:pPr>
            <w:r w:rsidRPr="00A52A58">
              <w:rPr>
                <w:rFonts w:ascii="Arial Narrow" w:hAnsi="Arial Narrow"/>
                <w:b/>
                <w:sz w:val="20"/>
              </w:rPr>
              <w:t>Absolute difference</w:t>
            </w:r>
          </w:p>
          <w:p w:rsidR="00A52A58" w:rsidRPr="00A52A58" w:rsidRDefault="00A52A58" w:rsidP="00A52A58">
            <w:pPr>
              <w:keepNext/>
              <w:keepLines/>
              <w:jc w:val="center"/>
              <w:rPr>
                <w:rFonts w:ascii="Arial Narrow" w:hAnsi="Arial Narrow"/>
                <w:sz w:val="20"/>
              </w:rPr>
            </w:pPr>
            <w:r w:rsidRPr="00A52A58">
              <w:rPr>
                <w:rFonts w:ascii="Arial Narrow" w:hAnsi="Arial Narrow"/>
                <w:b/>
                <w:sz w:val="20"/>
              </w:rPr>
              <w:t>(95% CI)</w:t>
            </w:r>
          </w:p>
        </w:tc>
      </w:tr>
      <w:tr w:rsidR="00A52A58" w:rsidRPr="0021501D" w:rsidTr="00981FC9">
        <w:tc>
          <w:tcPr>
            <w:tcW w:w="5000" w:type="pct"/>
            <w:gridSpan w:val="5"/>
            <w:vAlign w:val="center"/>
          </w:tcPr>
          <w:p w:rsidR="00A52A58" w:rsidRPr="00A52A58" w:rsidRDefault="00A52A58" w:rsidP="00A52A58">
            <w:pPr>
              <w:jc w:val="left"/>
              <w:rPr>
                <w:rFonts w:ascii="Arial Narrow" w:hAnsi="Arial Narrow"/>
                <w:sz w:val="20"/>
                <w:lang w:val="fr-FR"/>
              </w:rPr>
            </w:pPr>
            <w:r w:rsidRPr="00A52A58">
              <w:rPr>
                <w:rFonts w:ascii="Arial Narrow" w:hAnsi="Arial Narrow"/>
                <w:b/>
                <w:sz w:val="20"/>
                <w:lang w:val="fr-FR"/>
              </w:rPr>
              <w:t>DCV+SOF vs TVR+PR</w:t>
            </w:r>
          </w:p>
        </w:tc>
      </w:tr>
      <w:tr w:rsidR="00A52A58" w:rsidRPr="00A52A58" w:rsidTr="00981FC9">
        <w:tc>
          <w:tcPr>
            <w:tcW w:w="1016" w:type="pct"/>
            <w:vAlign w:val="center"/>
          </w:tcPr>
          <w:p w:rsidR="00A52A58" w:rsidRPr="00A52A58" w:rsidRDefault="00A52A58" w:rsidP="00A52A58">
            <w:pPr>
              <w:jc w:val="left"/>
              <w:rPr>
                <w:rFonts w:ascii="Arial Narrow" w:hAnsi="Arial Narrow"/>
                <w:sz w:val="20"/>
              </w:rPr>
            </w:pPr>
            <w:proofErr w:type="spellStart"/>
            <w:r w:rsidRPr="00A52A58">
              <w:rPr>
                <w:rFonts w:ascii="Arial Narrow" w:hAnsi="Arial Narrow"/>
                <w:sz w:val="20"/>
              </w:rPr>
              <w:t>Unweighted</w:t>
            </w:r>
            <w:r w:rsidRPr="00A52A58">
              <w:rPr>
                <w:rFonts w:ascii="Arial Narrow" w:hAnsi="Arial Narrow"/>
                <w:sz w:val="20"/>
                <w:vertAlign w:val="superscript"/>
              </w:rPr>
              <w:t>g</w:t>
            </w:r>
            <w:proofErr w:type="spellEnd"/>
          </w:p>
        </w:tc>
        <w:tc>
          <w:tcPr>
            <w:tcW w:w="883" w:type="pct"/>
            <w:vAlign w:val="center"/>
          </w:tcPr>
          <w:p w:rsidR="00A52A58" w:rsidRPr="00A52A58" w:rsidRDefault="00A52A58" w:rsidP="00A52A58">
            <w:pPr>
              <w:jc w:val="center"/>
              <w:rPr>
                <w:rFonts w:ascii="Arial Narrow" w:hAnsi="Arial Narrow"/>
                <w:sz w:val="20"/>
                <w:vertAlign w:val="superscript"/>
              </w:rPr>
            </w:pPr>
            <w:r w:rsidRPr="00A52A58">
              <w:rPr>
                <w:rFonts w:ascii="Arial Narrow" w:hAnsi="Arial Narrow"/>
                <w:sz w:val="20"/>
              </w:rPr>
              <w:t>SVR24</w:t>
            </w:r>
            <w:r w:rsidRPr="00A52A58">
              <w:rPr>
                <w:rFonts w:ascii="Arial Narrow" w:hAnsi="Arial Narrow"/>
                <w:sz w:val="20"/>
                <w:vertAlign w:val="superscript"/>
              </w:rPr>
              <w:t>b</w:t>
            </w:r>
          </w:p>
        </w:tc>
        <w:tc>
          <w:tcPr>
            <w:tcW w:w="981" w:type="pct"/>
            <w:vAlign w:val="center"/>
          </w:tcPr>
          <w:p w:rsidR="00A52A58" w:rsidRPr="00E70598" w:rsidRDefault="00E70598" w:rsidP="00A52A58">
            <w:pPr>
              <w:jc w:val="center"/>
              <w:rPr>
                <w:rFonts w:ascii="Arial Narrow" w:hAnsi="Arial Narrow"/>
                <w:sz w:val="20"/>
                <w:highlight w:val="black"/>
              </w:rPr>
            </w:pPr>
            <w:r>
              <w:rPr>
                <w:rFonts w:ascii="Arial Narrow" w:hAnsi="Arial Narrow"/>
                <w:noProof/>
                <w:color w:val="000000"/>
                <w:sz w:val="20"/>
                <w:highlight w:val="black"/>
              </w:rPr>
              <w:t>''''''''''''''''</w:t>
            </w:r>
          </w:p>
        </w:tc>
        <w:tc>
          <w:tcPr>
            <w:tcW w:w="1017" w:type="pct"/>
            <w:vAlign w:val="center"/>
          </w:tcPr>
          <w:p w:rsidR="00A52A58" w:rsidRPr="00A52A58" w:rsidRDefault="00A52A58" w:rsidP="00A52A58">
            <w:pPr>
              <w:jc w:val="center"/>
              <w:rPr>
                <w:rFonts w:ascii="Arial Narrow" w:hAnsi="Arial Narrow"/>
                <w:sz w:val="20"/>
                <w:vertAlign w:val="superscript"/>
              </w:rPr>
            </w:pPr>
            <w:r w:rsidRPr="00A52A58">
              <w:rPr>
                <w:rFonts w:ascii="Arial Narrow" w:hAnsi="Arial Narrow"/>
                <w:sz w:val="20"/>
              </w:rPr>
              <w:t>73.0%</w:t>
            </w:r>
            <w:r w:rsidRPr="00A52A58">
              <w:rPr>
                <w:rFonts w:ascii="Arial Narrow" w:hAnsi="Arial Narrow"/>
                <w:sz w:val="20"/>
                <w:vertAlign w:val="superscript"/>
              </w:rPr>
              <w:t>c</w:t>
            </w:r>
          </w:p>
        </w:tc>
        <w:tc>
          <w:tcPr>
            <w:tcW w:w="1102" w:type="pct"/>
            <w:vAlign w:val="center"/>
          </w:tcPr>
          <w:p w:rsidR="00A52A58" w:rsidRPr="00A52A58" w:rsidRDefault="00E70598" w:rsidP="00A52A58">
            <w:pPr>
              <w:jc w:val="center"/>
              <w:rPr>
                <w:rFonts w:ascii="Arial Narrow" w:hAnsi="Arial Narrow"/>
                <w:sz w:val="20"/>
              </w:rPr>
            </w:pPr>
            <w:r>
              <w:rPr>
                <w:rFonts w:ascii="Arial Narrow" w:hAnsi="Arial Narrow"/>
                <w:noProof/>
                <w:color w:val="000000"/>
                <w:sz w:val="20"/>
                <w:highlight w:val="black"/>
              </w:rPr>
              <w:t>'''''''''' '''''''''''''' ''''''''''''</w:t>
            </w:r>
          </w:p>
        </w:tc>
      </w:tr>
      <w:tr w:rsidR="00A52A58" w:rsidRPr="00A52A58" w:rsidTr="00981FC9">
        <w:tc>
          <w:tcPr>
            <w:tcW w:w="1016" w:type="pct"/>
            <w:vAlign w:val="center"/>
          </w:tcPr>
          <w:p w:rsidR="00A52A58" w:rsidRPr="00A52A58" w:rsidRDefault="00A52A58" w:rsidP="00A52A58">
            <w:pPr>
              <w:jc w:val="left"/>
              <w:rPr>
                <w:rFonts w:ascii="Arial Narrow" w:hAnsi="Arial Narrow"/>
                <w:sz w:val="20"/>
              </w:rPr>
            </w:pPr>
            <w:proofErr w:type="spellStart"/>
            <w:r w:rsidRPr="00A52A58">
              <w:rPr>
                <w:rFonts w:ascii="Arial Narrow" w:hAnsi="Arial Narrow"/>
                <w:sz w:val="20"/>
              </w:rPr>
              <w:t>Weighted</w:t>
            </w:r>
            <w:r w:rsidRPr="00A52A58">
              <w:rPr>
                <w:rFonts w:ascii="Arial Narrow" w:hAnsi="Arial Narrow"/>
                <w:sz w:val="20"/>
                <w:vertAlign w:val="superscript"/>
              </w:rPr>
              <w:t>h</w:t>
            </w:r>
            <w:proofErr w:type="spellEnd"/>
            <w:r w:rsidRPr="00A52A58">
              <w:rPr>
                <w:rFonts w:ascii="Arial Narrow" w:hAnsi="Arial Narrow"/>
                <w:sz w:val="20"/>
                <w:vertAlign w:val="superscript"/>
              </w:rPr>
              <w:t xml:space="preserve"> </w:t>
            </w:r>
          </w:p>
        </w:tc>
        <w:tc>
          <w:tcPr>
            <w:tcW w:w="883" w:type="pct"/>
            <w:vAlign w:val="center"/>
          </w:tcPr>
          <w:p w:rsidR="00A52A58" w:rsidRPr="00A52A58" w:rsidRDefault="00A52A58" w:rsidP="00A52A58">
            <w:pPr>
              <w:jc w:val="center"/>
              <w:rPr>
                <w:rFonts w:ascii="Arial Narrow" w:hAnsi="Arial Narrow"/>
                <w:sz w:val="20"/>
                <w:vertAlign w:val="superscript"/>
              </w:rPr>
            </w:pPr>
            <w:r w:rsidRPr="00A52A58">
              <w:rPr>
                <w:rFonts w:ascii="Arial Narrow" w:hAnsi="Arial Narrow"/>
                <w:sz w:val="20"/>
              </w:rPr>
              <w:t>SVR24</w:t>
            </w:r>
            <w:r w:rsidRPr="00A52A58">
              <w:rPr>
                <w:rFonts w:ascii="Arial Narrow" w:hAnsi="Arial Narrow"/>
                <w:sz w:val="20"/>
                <w:vertAlign w:val="superscript"/>
              </w:rPr>
              <w:t>b</w:t>
            </w:r>
          </w:p>
        </w:tc>
        <w:tc>
          <w:tcPr>
            <w:tcW w:w="981" w:type="pct"/>
            <w:vAlign w:val="center"/>
          </w:tcPr>
          <w:p w:rsidR="00A52A58" w:rsidRPr="00E70598" w:rsidRDefault="00E70598" w:rsidP="00A52A58">
            <w:pPr>
              <w:jc w:val="center"/>
              <w:rPr>
                <w:rFonts w:ascii="Arial Narrow" w:hAnsi="Arial Narrow"/>
                <w:sz w:val="20"/>
                <w:highlight w:val="black"/>
              </w:rPr>
            </w:pPr>
            <w:r>
              <w:rPr>
                <w:rFonts w:ascii="Arial Narrow" w:hAnsi="Arial Narrow"/>
                <w:noProof/>
                <w:color w:val="000000"/>
                <w:sz w:val="20"/>
                <w:highlight w:val="black"/>
              </w:rPr>
              <w:t>''''''''''''''''</w:t>
            </w:r>
          </w:p>
        </w:tc>
        <w:tc>
          <w:tcPr>
            <w:tcW w:w="1017" w:type="pct"/>
            <w:vAlign w:val="center"/>
          </w:tcPr>
          <w:p w:rsidR="00A52A58" w:rsidRPr="00A52A58" w:rsidRDefault="00A52A58" w:rsidP="00A52A58">
            <w:pPr>
              <w:jc w:val="center"/>
              <w:rPr>
                <w:rFonts w:ascii="Arial Narrow" w:hAnsi="Arial Narrow"/>
                <w:sz w:val="20"/>
              </w:rPr>
            </w:pPr>
            <w:r w:rsidRPr="00A52A58">
              <w:rPr>
                <w:rFonts w:ascii="Arial Narrow" w:hAnsi="Arial Narrow"/>
                <w:sz w:val="20"/>
              </w:rPr>
              <w:t>73.0%</w:t>
            </w:r>
          </w:p>
        </w:tc>
        <w:tc>
          <w:tcPr>
            <w:tcW w:w="1102" w:type="pct"/>
            <w:vAlign w:val="center"/>
          </w:tcPr>
          <w:p w:rsidR="00A52A58" w:rsidRPr="00A52A58" w:rsidRDefault="00E70598" w:rsidP="00A52A58">
            <w:pPr>
              <w:jc w:val="center"/>
              <w:rPr>
                <w:rFonts w:ascii="Arial Narrow" w:hAnsi="Arial Narrow"/>
                <w:sz w:val="20"/>
              </w:rPr>
            </w:pPr>
            <w:r>
              <w:rPr>
                <w:rFonts w:ascii="Arial Narrow" w:hAnsi="Arial Narrow"/>
                <w:noProof/>
                <w:color w:val="000000"/>
                <w:sz w:val="20"/>
                <w:highlight w:val="black"/>
              </w:rPr>
              <w:t>''''''''''' ''''''''''''' ''''''''''''</w:t>
            </w:r>
          </w:p>
        </w:tc>
      </w:tr>
      <w:tr w:rsidR="00A52A58" w:rsidRPr="00A52A58" w:rsidTr="00981FC9">
        <w:tc>
          <w:tcPr>
            <w:tcW w:w="5000" w:type="pct"/>
            <w:gridSpan w:val="5"/>
            <w:vAlign w:val="center"/>
          </w:tcPr>
          <w:p w:rsidR="00A52A58" w:rsidRPr="00A52A58" w:rsidRDefault="00A52A58" w:rsidP="00A52A58">
            <w:pPr>
              <w:jc w:val="left"/>
              <w:rPr>
                <w:rFonts w:ascii="Arial Narrow" w:hAnsi="Arial Narrow"/>
                <w:sz w:val="20"/>
              </w:rPr>
            </w:pPr>
            <w:r w:rsidRPr="00A52A58">
              <w:rPr>
                <w:rFonts w:ascii="Arial Narrow" w:hAnsi="Arial Narrow"/>
                <w:b/>
                <w:sz w:val="20"/>
              </w:rPr>
              <w:t>DCV+SOF vs SOF+PR</w:t>
            </w:r>
          </w:p>
        </w:tc>
      </w:tr>
      <w:tr w:rsidR="00A52A58" w:rsidRPr="00A52A58" w:rsidTr="00981FC9">
        <w:tc>
          <w:tcPr>
            <w:tcW w:w="1016" w:type="pct"/>
            <w:vAlign w:val="center"/>
          </w:tcPr>
          <w:p w:rsidR="00A52A58" w:rsidRPr="00A52A58" w:rsidRDefault="00A52A58" w:rsidP="00A52A58">
            <w:pPr>
              <w:jc w:val="left"/>
              <w:rPr>
                <w:rFonts w:ascii="Arial Narrow" w:hAnsi="Arial Narrow"/>
                <w:sz w:val="20"/>
              </w:rPr>
            </w:pPr>
            <w:proofErr w:type="spellStart"/>
            <w:r w:rsidRPr="00A52A58">
              <w:rPr>
                <w:rFonts w:ascii="Arial Narrow" w:hAnsi="Arial Narrow"/>
                <w:sz w:val="20"/>
              </w:rPr>
              <w:t>Unweighted</w:t>
            </w:r>
            <w:r w:rsidRPr="00A52A58">
              <w:rPr>
                <w:rFonts w:ascii="Arial Narrow" w:hAnsi="Arial Narrow"/>
                <w:sz w:val="20"/>
                <w:vertAlign w:val="superscript"/>
              </w:rPr>
              <w:t>g</w:t>
            </w:r>
            <w:proofErr w:type="spellEnd"/>
          </w:p>
        </w:tc>
        <w:tc>
          <w:tcPr>
            <w:tcW w:w="883" w:type="pct"/>
            <w:vAlign w:val="center"/>
          </w:tcPr>
          <w:p w:rsidR="00A52A58" w:rsidRPr="00A52A58" w:rsidRDefault="00A52A58" w:rsidP="00A52A58">
            <w:pPr>
              <w:jc w:val="center"/>
              <w:rPr>
                <w:rFonts w:ascii="Arial Narrow" w:hAnsi="Arial Narrow"/>
                <w:sz w:val="20"/>
                <w:vertAlign w:val="superscript"/>
              </w:rPr>
            </w:pPr>
            <w:r w:rsidRPr="00A52A58">
              <w:rPr>
                <w:rFonts w:ascii="Arial Narrow" w:hAnsi="Arial Narrow"/>
                <w:sz w:val="20"/>
              </w:rPr>
              <w:t>SVR12</w:t>
            </w:r>
            <w:r w:rsidRPr="00A52A58">
              <w:rPr>
                <w:rFonts w:ascii="Arial Narrow" w:hAnsi="Arial Narrow"/>
                <w:sz w:val="20"/>
                <w:vertAlign w:val="superscript"/>
              </w:rPr>
              <w:t>d</w:t>
            </w:r>
          </w:p>
        </w:tc>
        <w:tc>
          <w:tcPr>
            <w:tcW w:w="981" w:type="pct"/>
            <w:vAlign w:val="center"/>
          </w:tcPr>
          <w:p w:rsidR="00A52A58" w:rsidRPr="00E70598" w:rsidRDefault="00E70598" w:rsidP="00A52A58">
            <w:pPr>
              <w:jc w:val="center"/>
              <w:rPr>
                <w:rFonts w:ascii="Arial Narrow" w:hAnsi="Arial Narrow"/>
                <w:sz w:val="20"/>
                <w:highlight w:val="black"/>
              </w:rPr>
            </w:pPr>
            <w:r>
              <w:rPr>
                <w:rFonts w:ascii="Arial Narrow" w:hAnsi="Arial Narrow"/>
                <w:noProof/>
                <w:color w:val="000000"/>
                <w:sz w:val="20"/>
                <w:highlight w:val="black"/>
              </w:rPr>
              <w:t>'''''''''''''''</w:t>
            </w:r>
          </w:p>
        </w:tc>
        <w:tc>
          <w:tcPr>
            <w:tcW w:w="1017" w:type="pct"/>
            <w:vAlign w:val="center"/>
          </w:tcPr>
          <w:p w:rsidR="00A52A58" w:rsidRPr="00A52A58" w:rsidRDefault="00A52A58" w:rsidP="00A52A58">
            <w:pPr>
              <w:jc w:val="center"/>
              <w:rPr>
                <w:rFonts w:ascii="Arial Narrow" w:hAnsi="Arial Narrow"/>
                <w:sz w:val="20"/>
                <w:vertAlign w:val="superscript"/>
              </w:rPr>
            </w:pPr>
            <w:r w:rsidRPr="00A52A58">
              <w:rPr>
                <w:rFonts w:ascii="Arial Narrow" w:hAnsi="Arial Narrow"/>
                <w:sz w:val="20"/>
              </w:rPr>
              <w:t>89.6%</w:t>
            </w:r>
            <w:r w:rsidRPr="00A52A58">
              <w:rPr>
                <w:rFonts w:ascii="Arial Narrow" w:hAnsi="Arial Narrow"/>
                <w:sz w:val="20"/>
                <w:vertAlign w:val="superscript"/>
              </w:rPr>
              <w:t>f</w:t>
            </w:r>
          </w:p>
        </w:tc>
        <w:tc>
          <w:tcPr>
            <w:tcW w:w="1102" w:type="pct"/>
            <w:vAlign w:val="center"/>
          </w:tcPr>
          <w:p w:rsidR="00A52A58" w:rsidRPr="00E70598" w:rsidRDefault="00E70598" w:rsidP="00A52A58">
            <w:pPr>
              <w:jc w:val="center"/>
              <w:rPr>
                <w:rFonts w:ascii="Arial Narrow" w:hAnsi="Arial Narrow"/>
                <w:sz w:val="20"/>
                <w:highlight w:val="black"/>
              </w:rPr>
            </w:pPr>
            <w:r>
              <w:rPr>
                <w:rFonts w:ascii="Arial Narrow" w:hAnsi="Arial Narrow"/>
                <w:noProof/>
                <w:color w:val="000000"/>
                <w:sz w:val="20"/>
                <w:highlight w:val="black"/>
              </w:rPr>
              <w:t>'''''''''' '''''''''''' '''''''''''</w:t>
            </w:r>
          </w:p>
        </w:tc>
      </w:tr>
      <w:tr w:rsidR="00A52A58" w:rsidRPr="00A52A58" w:rsidTr="00981FC9">
        <w:tc>
          <w:tcPr>
            <w:tcW w:w="1016" w:type="pct"/>
            <w:vAlign w:val="center"/>
          </w:tcPr>
          <w:p w:rsidR="00A52A58" w:rsidRPr="00A52A58" w:rsidRDefault="00A52A58" w:rsidP="00A52A58">
            <w:pPr>
              <w:jc w:val="left"/>
              <w:rPr>
                <w:rFonts w:ascii="Arial Narrow" w:hAnsi="Arial Narrow"/>
                <w:sz w:val="20"/>
              </w:rPr>
            </w:pPr>
            <w:proofErr w:type="spellStart"/>
            <w:r w:rsidRPr="00A52A58">
              <w:rPr>
                <w:rFonts w:ascii="Arial Narrow" w:hAnsi="Arial Narrow"/>
                <w:sz w:val="20"/>
              </w:rPr>
              <w:t>Weighted</w:t>
            </w:r>
            <w:r w:rsidRPr="00A52A58">
              <w:rPr>
                <w:rFonts w:ascii="Arial Narrow" w:hAnsi="Arial Narrow"/>
                <w:sz w:val="20"/>
                <w:vertAlign w:val="superscript"/>
              </w:rPr>
              <w:t>i</w:t>
            </w:r>
            <w:proofErr w:type="spellEnd"/>
            <w:r w:rsidRPr="00A52A58">
              <w:rPr>
                <w:rFonts w:ascii="Arial Narrow" w:hAnsi="Arial Narrow"/>
                <w:sz w:val="20"/>
              </w:rPr>
              <w:t xml:space="preserve"> </w:t>
            </w:r>
          </w:p>
        </w:tc>
        <w:tc>
          <w:tcPr>
            <w:tcW w:w="883" w:type="pct"/>
            <w:vAlign w:val="center"/>
          </w:tcPr>
          <w:p w:rsidR="00A52A58" w:rsidRPr="00A52A58" w:rsidRDefault="00A52A58" w:rsidP="00A52A58">
            <w:pPr>
              <w:jc w:val="center"/>
              <w:rPr>
                <w:rFonts w:ascii="Arial Narrow" w:hAnsi="Arial Narrow"/>
                <w:sz w:val="20"/>
              </w:rPr>
            </w:pPr>
            <w:r w:rsidRPr="00A52A58">
              <w:rPr>
                <w:rFonts w:ascii="Arial Narrow" w:hAnsi="Arial Narrow"/>
                <w:sz w:val="20"/>
              </w:rPr>
              <w:t>SVR12</w:t>
            </w:r>
            <w:r w:rsidRPr="00A52A58">
              <w:rPr>
                <w:rFonts w:ascii="Arial Narrow" w:hAnsi="Arial Narrow"/>
                <w:sz w:val="20"/>
                <w:vertAlign w:val="superscript"/>
              </w:rPr>
              <w:t>d</w:t>
            </w:r>
          </w:p>
        </w:tc>
        <w:tc>
          <w:tcPr>
            <w:tcW w:w="981" w:type="pct"/>
            <w:vAlign w:val="center"/>
          </w:tcPr>
          <w:p w:rsidR="00A52A58" w:rsidRPr="00E70598" w:rsidRDefault="00E70598" w:rsidP="00A52A58">
            <w:pPr>
              <w:jc w:val="center"/>
              <w:rPr>
                <w:rFonts w:ascii="Arial Narrow" w:hAnsi="Arial Narrow"/>
                <w:sz w:val="20"/>
                <w:highlight w:val="black"/>
              </w:rPr>
            </w:pPr>
            <w:r>
              <w:rPr>
                <w:rFonts w:ascii="Arial Narrow" w:hAnsi="Arial Narrow"/>
                <w:noProof/>
                <w:color w:val="000000"/>
                <w:sz w:val="20"/>
                <w:highlight w:val="black"/>
              </w:rPr>
              <w:t>''''''''''''''''</w:t>
            </w:r>
          </w:p>
        </w:tc>
        <w:tc>
          <w:tcPr>
            <w:tcW w:w="1017" w:type="pct"/>
            <w:vAlign w:val="center"/>
          </w:tcPr>
          <w:p w:rsidR="00A52A58" w:rsidRPr="00A52A58" w:rsidRDefault="00A52A58" w:rsidP="00A52A58">
            <w:pPr>
              <w:jc w:val="center"/>
              <w:rPr>
                <w:rFonts w:ascii="Arial Narrow" w:hAnsi="Arial Narrow"/>
                <w:sz w:val="20"/>
                <w:vertAlign w:val="superscript"/>
              </w:rPr>
            </w:pPr>
            <w:r w:rsidRPr="00A52A58">
              <w:rPr>
                <w:rFonts w:ascii="Arial Narrow" w:hAnsi="Arial Narrow"/>
                <w:sz w:val="20"/>
              </w:rPr>
              <w:t>89.6%</w:t>
            </w:r>
            <w:r w:rsidRPr="00A52A58">
              <w:rPr>
                <w:rFonts w:ascii="Arial Narrow" w:hAnsi="Arial Narrow"/>
                <w:sz w:val="20"/>
                <w:vertAlign w:val="superscript"/>
              </w:rPr>
              <w:t>f</w:t>
            </w:r>
          </w:p>
        </w:tc>
        <w:tc>
          <w:tcPr>
            <w:tcW w:w="1102" w:type="pct"/>
            <w:vAlign w:val="center"/>
          </w:tcPr>
          <w:p w:rsidR="00A52A58" w:rsidRPr="00E70598" w:rsidRDefault="00E70598" w:rsidP="00A52A58">
            <w:pPr>
              <w:jc w:val="center"/>
              <w:rPr>
                <w:rFonts w:ascii="Arial Narrow" w:hAnsi="Arial Narrow"/>
                <w:sz w:val="20"/>
                <w:highlight w:val="black"/>
              </w:rPr>
            </w:pPr>
            <w:r>
              <w:rPr>
                <w:rFonts w:ascii="Arial Narrow" w:hAnsi="Arial Narrow"/>
                <w:noProof/>
                <w:color w:val="000000"/>
                <w:sz w:val="20"/>
                <w:highlight w:val="black"/>
              </w:rPr>
              <w:t>'''''''''' '''''''''' ''''''''''''</w:t>
            </w:r>
          </w:p>
        </w:tc>
      </w:tr>
    </w:tbl>
    <w:p w:rsidR="00A52A58" w:rsidRPr="00A52A58" w:rsidRDefault="00A52A58" w:rsidP="00A52A58">
      <w:pPr>
        <w:pStyle w:val="TableFooter"/>
        <w:ind w:left="709"/>
      </w:pPr>
      <w:r w:rsidRPr="00A52A58">
        <w:t xml:space="preserve">CI = confidence interval; DCV = daclatasvir, PR = </w:t>
      </w:r>
      <w:proofErr w:type="spellStart"/>
      <w:r w:rsidRPr="00A52A58">
        <w:t>peginterferon</w:t>
      </w:r>
      <w:proofErr w:type="spellEnd"/>
      <w:r w:rsidRPr="00A52A58">
        <w:t xml:space="preserve"> and ribavirin; SOF = sofosbuvir; TVR = telaprevir</w:t>
      </w:r>
    </w:p>
    <w:p w:rsidR="00A52A58" w:rsidRPr="00A52A58" w:rsidRDefault="00A52A58" w:rsidP="00A52A58">
      <w:pPr>
        <w:pStyle w:val="TableFooter"/>
        <w:ind w:left="709"/>
      </w:pPr>
      <w:proofErr w:type="gramStart"/>
      <w:r w:rsidRPr="00A52A58">
        <w:rPr>
          <w:vertAlign w:val="superscript"/>
        </w:rPr>
        <w:t>a</w:t>
      </w:r>
      <w:proofErr w:type="gramEnd"/>
      <w:r w:rsidRPr="00A52A58">
        <w:t xml:space="preserve"> Group G, treatment-naïve genotype 1 patients treated with DCV12+SOF12</w:t>
      </w:r>
    </w:p>
    <w:p w:rsidR="00A52A58" w:rsidRPr="00A52A58" w:rsidRDefault="00A52A58" w:rsidP="00A52A58">
      <w:pPr>
        <w:pStyle w:val="TableFooter"/>
        <w:ind w:left="709"/>
      </w:pPr>
      <w:proofErr w:type="gramStart"/>
      <w:r w:rsidRPr="00A52A58">
        <w:rPr>
          <w:vertAlign w:val="superscript"/>
        </w:rPr>
        <w:t>b</w:t>
      </w:r>
      <w:proofErr w:type="gramEnd"/>
      <w:r w:rsidRPr="00A52A58">
        <w:t xml:space="preserve"> Defined as undetectable HCV RNA at follow-up Week 24</w:t>
      </w:r>
    </w:p>
    <w:p w:rsidR="00A52A58" w:rsidRPr="00A52A58" w:rsidRDefault="00A52A58" w:rsidP="00A52A58">
      <w:pPr>
        <w:pStyle w:val="TableFooter"/>
        <w:ind w:left="709"/>
      </w:pPr>
      <w:proofErr w:type="gramStart"/>
      <w:r w:rsidRPr="00A52A58">
        <w:rPr>
          <w:vertAlign w:val="superscript"/>
        </w:rPr>
        <w:t>c</w:t>
      </w:r>
      <w:proofErr w:type="gramEnd"/>
      <w:r w:rsidRPr="00A52A58">
        <w:t xml:space="preserve"> Sourced from ADVANCE and ILLUMINATE. </w:t>
      </w:r>
      <w:proofErr w:type="gramStart"/>
      <w:r w:rsidRPr="00A52A58">
        <w:t>Includes 9% cirrhotic patients.</w:t>
      </w:r>
      <w:proofErr w:type="gramEnd"/>
    </w:p>
    <w:p w:rsidR="00A52A58" w:rsidRPr="00A52A58" w:rsidRDefault="00A52A58" w:rsidP="00A52A58">
      <w:pPr>
        <w:pStyle w:val="TableFooter"/>
        <w:ind w:left="709"/>
      </w:pPr>
      <w:proofErr w:type="gramStart"/>
      <w:r w:rsidRPr="00A52A58">
        <w:rPr>
          <w:vertAlign w:val="superscript"/>
        </w:rPr>
        <w:t>d</w:t>
      </w:r>
      <w:proofErr w:type="gramEnd"/>
      <w:r w:rsidRPr="00A52A58">
        <w:t xml:space="preserve"> Defined as HCV RNA &lt;25IU/mL at follow-up week 12</w:t>
      </w:r>
    </w:p>
    <w:p w:rsidR="00A52A58" w:rsidRPr="00A52A58" w:rsidRDefault="00A52A58" w:rsidP="00A52A58">
      <w:pPr>
        <w:pStyle w:val="TableFooter"/>
        <w:ind w:left="709"/>
      </w:pPr>
      <w:proofErr w:type="gramStart"/>
      <w:r w:rsidRPr="00A52A58">
        <w:rPr>
          <w:vertAlign w:val="superscript"/>
        </w:rPr>
        <w:t>f</w:t>
      </w:r>
      <w:proofErr w:type="gramEnd"/>
      <w:r w:rsidRPr="00A52A58">
        <w:t xml:space="preserve"> Sourced from NEUTRINO trial, genotype 1. </w:t>
      </w:r>
      <w:proofErr w:type="gramStart"/>
      <w:r w:rsidRPr="00A52A58">
        <w:t>Includes ~16% cirrhotic patients.</w:t>
      </w:r>
      <w:proofErr w:type="gramEnd"/>
    </w:p>
    <w:p w:rsidR="00A52A58" w:rsidRPr="00A52A58" w:rsidRDefault="00A52A58" w:rsidP="00A52A58">
      <w:pPr>
        <w:pStyle w:val="TableFooter"/>
        <w:ind w:left="709"/>
      </w:pPr>
      <w:proofErr w:type="gramStart"/>
      <w:r w:rsidRPr="00A52A58">
        <w:rPr>
          <w:vertAlign w:val="superscript"/>
        </w:rPr>
        <w:t>g</w:t>
      </w:r>
      <w:proofErr w:type="gramEnd"/>
      <w:r w:rsidRPr="00A52A58">
        <w:t xml:space="preserve"> Using SVRs reported in Study 0404</w:t>
      </w:r>
    </w:p>
    <w:p w:rsidR="00A52A58" w:rsidRPr="00D24544" w:rsidRDefault="00A52A58" w:rsidP="00A52A58">
      <w:pPr>
        <w:pStyle w:val="TableFooter"/>
        <w:ind w:left="709"/>
      </w:pPr>
      <w:r w:rsidRPr="00D24544">
        <w:rPr>
          <w:vertAlign w:val="superscript"/>
        </w:rPr>
        <w:t>h</w:t>
      </w:r>
      <w:r w:rsidRPr="00D24544">
        <w:t xml:space="preserve"> Patients in Study 4040 were weighed by their estimated odds of enrolment in Trials ADVANCE and ILLUMINATE as opposed to enrolment in Study 4040</w:t>
      </w:r>
      <w:r w:rsidR="0021501D" w:rsidRPr="00D24544">
        <w:t xml:space="preserve"> in an attempt to balance baseline characteristics between trial subjects when comparing the treatment effect of DCV+SOF vs TVR+PR.</w:t>
      </w:r>
      <w:r w:rsidRPr="00D24544">
        <w:t xml:space="preserve"> This analysis could not be verified during the evaluation.</w:t>
      </w:r>
    </w:p>
    <w:p w:rsidR="00A52A58" w:rsidRPr="00D24544" w:rsidRDefault="00A52A58" w:rsidP="00A52A58">
      <w:pPr>
        <w:pStyle w:val="TableFooter"/>
        <w:ind w:left="709"/>
      </w:pPr>
      <w:proofErr w:type="spellStart"/>
      <w:r w:rsidRPr="00D24544">
        <w:rPr>
          <w:vertAlign w:val="superscript"/>
        </w:rPr>
        <w:t>i</w:t>
      </w:r>
      <w:proofErr w:type="spellEnd"/>
      <w:r w:rsidRPr="00D24544">
        <w:t xml:space="preserve"> Patients in Study 4040 were weighed by their estimated odds of enrolment in Trial NEURTRINO as opposed to enrolment in Study 4040</w:t>
      </w:r>
      <w:r w:rsidR="0021501D" w:rsidRPr="00D24544">
        <w:t xml:space="preserve"> </w:t>
      </w:r>
      <w:r w:rsidR="00A95B85" w:rsidRPr="00D24544">
        <w:t xml:space="preserve">in </w:t>
      </w:r>
      <w:r w:rsidR="0021501D" w:rsidRPr="00D24544">
        <w:t>an attempt to balance baseline characteristics between trial subjects when comparing the treatment effect of DCV+SOF vs SOF+PR.</w:t>
      </w:r>
      <w:r w:rsidRPr="00D24544">
        <w:t xml:space="preserve"> </w:t>
      </w:r>
      <w:r w:rsidRPr="0096183A">
        <w:t>This analysis could not be verified during the evaluation.</w:t>
      </w:r>
    </w:p>
    <w:p w:rsidR="00A52A58" w:rsidRPr="00D24544" w:rsidRDefault="00A52A58" w:rsidP="00A52A58">
      <w:pPr>
        <w:pStyle w:val="TableFooter"/>
        <w:ind w:left="709"/>
      </w:pPr>
      <w:r w:rsidRPr="00D24544">
        <w:t>Source: Table 11, Attachment C to the submission</w:t>
      </w:r>
    </w:p>
    <w:p w:rsidR="0021223F" w:rsidRPr="00EE4E22" w:rsidRDefault="0021223F" w:rsidP="00EE4E22">
      <w:pPr>
        <w:pStyle w:val="ListParagraph"/>
        <w:rPr>
          <w:i/>
          <w:szCs w:val="22"/>
        </w:rPr>
      </w:pPr>
    </w:p>
    <w:p w:rsidR="00C8519E" w:rsidRPr="00464929" w:rsidRDefault="00C8519E" w:rsidP="00C768A3">
      <w:pPr>
        <w:pStyle w:val="ListParagraph"/>
        <w:widowControl/>
        <w:numPr>
          <w:ilvl w:val="1"/>
          <w:numId w:val="1"/>
        </w:numPr>
        <w:rPr>
          <w:szCs w:val="22"/>
        </w:rPr>
      </w:pPr>
      <w:r w:rsidRPr="00464929">
        <w:rPr>
          <w:szCs w:val="22"/>
        </w:rPr>
        <w:t xml:space="preserve">An </w:t>
      </w:r>
      <w:r w:rsidRPr="00464929">
        <w:rPr>
          <w:szCs w:val="22"/>
          <w:u w:val="single"/>
        </w:rPr>
        <w:t>unadjusted</w:t>
      </w:r>
      <w:r w:rsidRPr="00464929">
        <w:rPr>
          <w:szCs w:val="22"/>
        </w:rPr>
        <w:t xml:space="preserve"> single arm comparison of DCV+SOF versus TVR+PR, based on non-cirrhotic patients in the telaprevir ADVANCE trial, was conducted during the evaluation. It should be noted that, due to exchangeability issues between studies, the results of these unadjusted indirect comparisons were highly </w:t>
      </w:r>
      <w:r w:rsidR="00961A07">
        <w:rPr>
          <w:szCs w:val="22"/>
        </w:rPr>
        <w:t>imprecise</w:t>
      </w:r>
      <w:r w:rsidRPr="00464929">
        <w:rPr>
          <w:szCs w:val="22"/>
        </w:rPr>
        <w:t xml:space="preserve">. </w:t>
      </w:r>
    </w:p>
    <w:p w:rsidR="008A4B9A" w:rsidRPr="00940060" w:rsidRDefault="008A4B9A" w:rsidP="00E42E7F">
      <w:pPr>
        <w:pStyle w:val="ListParagraph"/>
        <w:rPr>
          <w:i/>
          <w:color w:val="000000" w:themeColor="text1"/>
          <w:szCs w:val="22"/>
        </w:rPr>
      </w:pPr>
    </w:p>
    <w:p w:rsidR="00CB5B1B" w:rsidRPr="00940060" w:rsidRDefault="00CB5B1B" w:rsidP="00EB62EE">
      <w:pPr>
        <w:pStyle w:val="Caption"/>
        <w:ind w:left="709"/>
        <w:rPr>
          <w:rStyle w:val="CommentReference"/>
        </w:rPr>
      </w:pPr>
      <w:r w:rsidRPr="00940060">
        <w:rPr>
          <w:rStyle w:val="CommentReference"/>
          <w:b/>
        </w:rPr>
        <w:t xml:space="preserve">Indirect comparison of </w:t>
      </w:r>
      <w:r w:rsidR="00986113" w:rsidRPr="00940060">
        <w:rPr>
          <w:rStyle w:val="CommentReference"/>
          <w:b/>
        </w:rPr>
        <w:t xml:space="preserve">SVR24 for </w:t>
      </w:r>
      <w:r w:rsidRPr="00940060">
        <w:rPr>
          <w:rStyle w:val="CommentReference"/>
          <w:b/>
        </w:rPr>
        <w:t xml:space="preserve">DCV+SOF and </w:t>
      </w:r>
      <w:r w:rsidR="0049162F" w:rsidRPr="00940060">
        <w:rPr>
          <w:rStyle w:val="CommentReference"/>
          <w:b/>
        </w:rPr>
        <w:t xml:space="preserve">TVR+PR </w:t>
      </w:r>
      <w:r w:rsidRPr="00940060">
        <w:rPr>
          <w:rStyle w:val="CommentReference"/>
          <w:b/>
        </w:rPr>
        <w:t xml:space="preserve">in </w:t>
      </w:r>
      <w:r w:rsidR="0049162F" w:rsidRPr="00940060">
        <w:rPr>
          <w:rStyle w:val="CommentReference"/>
          <w:b/>
        </w:rPr>
        <w:t xml:space="preserve">non-cirrhotic </w:t>
      </w:r>
      <w:r w:rsidR="00922990" w:rsidRPr="00940060">
        <w:rPr>
          <w:rStyle w:val="CommentReference"/>
          <w:b/>
        </w:rPr>
        <w:t>treatment-n</w:t>
      </w:r>
      <w:r w:rsidRPr="00940060">
        <w:rPr>
          <w:rStyle w:val="CommentReference"/>
          <w:b/>
        </w:rPr>
        <w:t>aïve genotype 1 patients</w:t>
      </w:r>
    </w:p>
    <w:tbl>
      <w:tblPr>
        <w:tblW w:w="462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effectiveness"/>
        <w:tblDescription w:val="indirect comparison"/>
      </w:tblPr>
      <w:tblGrid>
        <w:gridCol w:w="2269"/>
        <w:gridCol w:w="2041"/>
        <w:gridCol w:w="1984"/>
        <w:gridCol w:w="2107"/>
      </w:tblGrid>
      <w:tr w:rsidR="00986113" w:rsidRPr="00D24544" w:rsidTr="00986113">
        <w:tc>
          <w:tcPr>
            <w:tcW w:w="1350" w:type="pct"/>
            <w:vAlign w:val="center"/>
          </w:tcPr>
          <w:p w:rsidR="00986113" w:rsidRPr="00D24544" w:rsidRDefault="00986113" w:rsidP="004E50C1">
            <w:pPr>
              <w:keepNext/>
              <w:keepLines/>
              <w:jc w:val="left"/>
              <w:rPr>
                <w:rFonts w:ascii="Arial Narrow" w:hAnsi="Arial Narrow"/>
                <w:b/>
                <w:sz w:val="20"/>
              </w:rPr>
            </w:pPr>
          </w:p>
        </w:tc>
        <w:tc>
          <w:tcPr>
            <w:tcW w:w="1215" w:type="pct"/>
            <w:vAlign w:val="center"/>
          </w:tcPr>
          <w:p w:rsidR="00986113" w:rsidRPr="00D24544" w:rsidRDefault="00986113" w:rsidP="004E50C1">
            <w:pPr>
              <w:keepNext/>
              <w:keepLines/>
              <w:jc w:val="center"/>
              <w:rPr>
                <w:rFonts w:ascii="Arial Narrow" w:hAnsi="Arial Narrow"/>
                <w:b/>
                <w:sz w:val="20"/>
                <w:vertAlign w:val="superscript"/>
                <w:lang w:val="fr-FR"/>
              </w:rPr>
            </w:pPr>
            <w:proofErr w:type="spellStart"/>
            <w:r w:rsidRPr="00D24544">
              <w:rPr>
                <w:rFonts w:ascii="Arial Narrow" w:hAnsi="Arial Narrow"/>
                <w:b/>
                <w:sz w:val="20"/>
                <w:lang w:val="fr-FR"/>
              </w:rPr>
              <w:t>DCV+SOF</w:t>
            </w:r>
            <w:r w:rsidRPr="00D24544">
              <w:rPr>
                <w:rFonts w:ascii="Arial Narrow" w:hAnsi="Arial Narrow"/>
                <w:b/>
                <w:sz w:val="20"/>
                <w:vertAlign w:val="superscript"/>
                <w:lang w:val="fr-FR"/>
              </w:rPr>
              <w:t>a</w:t>
            </w:r>
            <w:proofErr w:type="spellEnd"/>
          </w:p>
          <w:p w:rsidR="00986113" w:rsidRPr="00D24544" w:rsidRDefault="00986113" w:rsidP="004E50C1">
            <w:pPr>
              <w:keepNext/>
              <w:keepLines/>
              <w:jc w:val="center"/>
              <w:rPr>
                <w:rFonts w:ascii="Arial Narrow" w:hAnsi="Arial Narrow"/>
                <w:b/>
                <w:sz w:val="20"/>
                <w:lang w:val="fr-FR"/>
              </w:rPr>
            </w:pPr>
            <w:r w:rsidRPr="00D24544">
              <w:rPr>
                <w:rFonts w:ascii="Arial Narrow" w:hAnsi="Arial Narrow"/>
                <w:b/>
                <w:sz w:val="20"/>
                <w:lang w:val="fr-FR"/>
              </w:rPr>
              <w:t xml:space="preserve">n/N </w:t>
            </w:r>
          </w:p>
          <w:p w:rsidR="00986113" w:rsidRPr="00D24544" w:rsidRDefault="00986113" w:rsidP="004E50C1">
            <w:pPr>
              <w:keepNext/>
              <w:keepLines/>
              <w:jc w:val="center"/>
              <w:rPr>
                <w:rFonts w:ascii="Arial Narrow" w:hAnsi="Arial Narrow"/>
                <w:sz w:val="20"/>
                <w:lang w:val="fr-FR"/>
              </w:rPr>
            </w:pPr>
            <w:r w:rsidRPr="00D24544">
              <w:rPr>
                <w:rFonts w:ascii="Arial Narrow" w:hAnsi="Arial Narrow"/>
                <w:b/>
                <w:sz w:val="20"/>
                <w:lang w:val="fr-FR"/>
              </w:rPr>
              <w:t>% (95%CI)</w:t>
            </w:r>
          </w:p>
        </w:tc>
        <w:tc>
          <w:tcPr>
            <w:tcW w:w="1181" w:type="pct"/>
            <w:vAlign w:val="center"/>
          </w:tcPr>
          <w:p w:rsidR="00986113" w:rsidRPr="00D24544" w:rsidRDefault="00986113" w:rsidP="004E50C1">
            <w:pPr>
              <w:keepNext/>
              <w:keepLines/>
              <w:jc w:val="center"/>
              <w:rPr>
                <w:rFonts w:ascii="Arial Narrow" w:hAnsi="Arial Narrow"/>
                <w:b/>
                <w:sz w:val="20"/>
                <w:vertAlign w:val="superscript"/>
                <w:lang w:val="fr-FR"/>
              </w:rPr>
            </w:pPr>
            <w:proofErr w:type="spellStart"/>
            <w:r w:rsidRPr="00D24544">
              <w:rPr>
                <w:rFonts w:ascii="Arial Narrow" w:hAnsi="Arial Narrow"/>
                <w:b/>
                <w:sz w:val="20"/>
                <w:lang w:val="fr-FR"/>
              </w:rPr>
              <w:t>TVR+PR</w:t>
            </w:r>
            <w:r w:rsidR="00AB06FA" w:rsidRPr="00D24544">
              <w:rPr>
                <w:rFonts w:ascii="Arial Narrow" w:hAnsi="Arial Narrow"/>
                <w:b/>
                <w:sz w:val="20"/>
                <w:vertAlign w:val="superscript"/>
                <w:lang w:val="fr-FR"/>
              </w:rPr>
              <w:t>b</w:t>
            </w:r>
            <w:proofErr w:type="spellEnd"/>
          </w:p>
          <w:p w:rsidR="00986113" w:rsidRPr="00D24544" w:rsidRDefault="00986113" w:rsidP="004E50C1">
            <w:pPr>
              <w:keepNext/>
              <w:keepLines/>
              <w:jc w:val="center"/>
              <w:rPr>
                <w:rFonts w:ascii="Arial Narrow" w:hAnsi="Arial Narrow"/>
                <w:b/>
                <w:sz w:val="20"/>
                <w:lang w:val="fr-FR"/>
              </w:rPr>
            </w:pPr>
            <w:r w:rsidRPr="00D24544">
              <w:rPr>
                <w:rFonts w:ascii="Arial Narrow" w:hAnsi="Arial Narrow"/>
                <w:b/>
                <w:sz w:val="20"/>
                <w:lang w:val="fr-FR"/>
              </w:rPr>
              <w:t xml:space="preserve">n/N </w:t>
            </w:r>
          </w:p>
          <w:p w:rsidR="00986113" w:rsidRPr="00D24544" w:rsidRDefault="00986113" w:rsidP="004E50C1">
            <w:pPr>
              <w:keepNext/>
              <w:keepLines/>
              <w:jc w:val="center"/>
              <w:rPr>
                <w:rFonts w:ascii="Arial Narrow" w:hAnsi="Arial Narrow"/>
                <w:b/>
                <w:sz w:val="20"/>
                <w:lang w:val="fr-FR"/>
              </w:rPr>
            </w:pPr>
            <w:r w:rsidRPr="00D24544">
              <w:rPr>
                <w:rFonts w:ascii="Arial Narrow" w:hAnsi="Arial Narrow"/>
                <w:b/>
                <w:sz w:val="20"/>
                <w:lang w:val="fr-FR"/>
              </w:rPr>
              <w:t>% (95%CI)</w:t>
            </w:r>
          </w:p>
        </w:tc>
        <w:tc>
          <w:tcPr>
            <w:tcW w:w="1254" w:type="pct"/>
            <w:vAlign w:val="center"/>
          </w:tcPr>
          <w:p w:rsidR="00986113" w:rsidRPr="00D24544" w:rsidRDefault="00986113" w:rsidP="004E50C1">
            <w:pPr>
              <w:keepNext/>
              <w:keepLines/>
              <w:jc w:val="center"/>
              <w:rPr>
                <w:rFonts w:ascii="Arial Narrow" w:hAnsi="Arial Narrow"/>
                <w:b/>
                <w:sz w:val="20"/>
              </w:rPr>
            </w:pPr>
            <w:r w:rsidRPr="00D24544">
              <w:rPr>
                <w:rFonts w:ascii="Arial Narrow" w:hAnsi="Arial Narrow"/>
                <w:b/>
                <w:sz w:val="20"/>
              </w:rPr>
              <w:t>Absolute difference</w:t>
            </w:r>
          </w:p>
          <w:p w:rsidR="00986113" w:rsidRPr="00D24544" w:rsidRDefault="00986113" w:rsidP="004E50C1">
            <w:pPr>
              <w:keepNext/>
              <w:keepLines/>
              <w:jc w:val="center"/>
              <w:rPr>
                <w:rFonts w:ascii="Arial Narrow" w:hAnsi="Arial Narrow"/>
                <w:sz w:val="20"/>
              </w:rPr>
            </w:pPr>
            <w:r w:rsidRPr="00D24544">
              <w:rPr>
                <w:rFonts w:ascii="Arial Narrow" w:hAnsi="Arial Narrow"/>
                <w:b/>
                <w:sz w:val="20"/>
              </w:rPr>
              <w:t>(95% CI)</w:t>
            </w:r>
          </w:p>
        </w:tc>
      </w:tr>
      <w:tr w:rsidR="00986113" w:rsidRPr="00D24544" w:rsidTr="00986113">
        <w:tc>
          <w:tcPr>
            <w:tcW w:w="1350" w:type="pct"/>
            <w:vAlign w:val="center"/>
          </w:tcPr>
          <w:p w:rsidR="00986113" w:rsidRPr="00D24544" w:rsidRDefault="00986113" w:rsidP="00986113">
            <w:pPr>
              <w:jc w:val="left"/>
              <w:rPr>
                <w:rFonts w:ascii="Arial Narrow" w:hAnsi="Arial Narrow"/>
                <w:sz w:val="20"/>
              </w:rPr>
            </w:pPr>
            <w:r w:rsidRPr="00D24544">
              <w:rPr>
                <w:rFonts w:ascii="Arial Narrow" w:hAnsi="Arial Narrow"/>
                <w:sz w:val="20"/>
              </w:rPr>
              <w:t>Genotype 1 non-cirrhotic patients</w:t>
            </w:r>
          </w:p>
        </w:tc>
        <w:tc>
          <w:tcPr>
            <w:tcW w:w="1215" w:type="pct"/>
            <w:vAlign w:val="center"/>
          </w:tcPr>
          <w:p w:rsidR="00986113" w:rsidRPr="00D24544" w:rsidRDefault="00986113" w:rsidP="004E50C1">
            <w:pPr>
              <w:jc w:val="center"/>
              <w:rPr>
                <w:rFonts w:ascii="Arial Narrow" w:hAnsi="Arial Narrow"/>
                <w:sz w:val="20"/>
              </w:rPr>
            </w:pPr>
            <w:r w:rsidRPr="00D24544">
              <w:rPr>
                <w:rFonts w:ascii="Arial Narrow" w:hAnsi="Arial Narrow"/>
                <w:sz w:val="20"/>
              </w:rPr>
              <w:t xml:space="preserve">39/41 </w:t>
            </w:r>
          </w:p>
          <w:p w:rsidR="00986113" w:rsidRPr="00D24544" w:rsidRDefault="00986113" w:rsidP="004E50C1">
            <w:pPr>
              <w:jc w:val="center"/>
              <w:rPr>
                <w:rFonts w:ascii="Arial Narrow" w:hAnsi="Arial Narrow"/>
                <w:sz w:val="20"/>
              </w:rPr>
            </w:pPr>
            <w:r w:rsidRPr="00D24544">
              <w:rPr>
                <w:rFonts w:ascii="Arial Narrow" w:hAnsi="Arial Narrow"/>
                <w:sz w:val="20"/>
              </w:rPr>
              <w:t>95.1% (83.5%, 99.4%)</w:t>
            </w:r>
          </w:p>
        </w:tc>
        <w:tc>
          <w:tcPr>
            <w:tcW w:w="1181" w:type="pct"/>
            <w:vAlign w:val="center"/>
          </w:tcPr>
          <w:p w:rsidR="00986113" w:rsidRPr="00D24544" w:rsidRDefault="00986113" w:rsidP="004E50C1">
            <w:pPr>
              <w:jc w:val="center"/>
              <w:rPr>
                <w:rFonts w:ascii="Arial Narrow" w:hAnsi="Arial Narrow"/>
                <w:sz w:val="20"/>
              </w:rPr>
            </w:pPr>
            <w:r w:rsidRPr="00D24544">
              <w:rPr>
                <w:rFonts w:ascii="Arial Narrow" w:hAnsi="Arial Narrow"/>
                <w:sz w:val="20"/>
              </w:rPr>
              <w:t>270/342</w:t>
            </w:r>
          </w:p>
          <w:p w:rsidR="00986113" w:rsidRPr="00D24544" w:rsidRDefault="00986113" w:rsidP="004E50C1">
            <w:pPr>
              <w:jc w:val="center"/>
              <w:rPr>
                <w:rFonts w:ascii="Arial Narrow" w:hAnsi="Arial Narrow"/>
                <w:sz w:val="20"/>
              </w:rPr>
            </w:pPr>
            <w:r w:rsidRPr="00D24544">
              <w:rPr>
                <w:rFonts w:ascii="Arial Narrow" w:hAnsi="Arial Narrow"/>
                <w:sz w:val="20"/>
              </w:rPr>
              <w:t>78.9% (74.2%, 83.1%)</w:t>
            </w:r>
          </w:p>
        </w:tc>
        <w:tc>
          <w:tcPr>
            <w:tcW w:w="1254" w:type="pct"/>
            <w:vAlign w:val="center"/>
          </w:tcPr>
          <w:p w:rsidR="00986113" w:rsidRPr="00D24544" w:rsidRDefault="00986113" w:rsidP="004E50C1">
            <w:pPr>
              <w:jc w:val="center"/>
              <w:rPr>
                <w:rFonts w:ascii="Arial Narrow" w:hAnsi="Arial Narrow"/>
                <w:sz w:val="20"/>
              </w:rPr>
            </w:pPr>
            <w:r w:rsidRPr="00D24544">
              <w:rPr>
                <w:rFonts w:ascii="Arial Narrow" w:hAnsi="Arial Narrow"/>
                <w:sz w:val="20"/>
              </w:rPr>
              <w:t>16.2% (8.3%, 24.1%)</w:t>
            </w:r>
          </w:p>
        </w:tc>
      </w:tr>
    </w:tbl>
    <w:p w:rsidR="00CB5B1B" w:rsidRPr="00940060" w:rsidRDefault="00CB5B1B" w:rsidP="00CB5B1B">
      <w:pPr>
        <w:pStyle w:val="TableFooter"/>
        <w:ind w:left="709"/>
      </w:pPr>
      <w:r w:rsidRPr="00940060">
        <w:t xml:space="preserve">CI = confidence interval; DCV = daclatasvir, PR = </w:t>
      </w:r>
      <w:proofErr w:type="spellStart"/>
      <w:r w:rsidRPr="00940060">
        <w:t>peginterferon</w:t>
      </w:r>
      <w:proofErr w:type="spellEnd"/>
      <w:r w:rsidRPr="00940060">
        <w:t xml:space="preserve"> and ribavirin; SOF = sofosbuvir; TVR = telaprevir</w:t>
      </w:r>
    </w:p>
    <w:p w:rsidR="00CB5B1B" w:rsidRPr="00940060" w:rsidRDefault="00CB5B1B" w:rsidP="00CB5B1B">
      <w:pPr>
        <w:pStyle w:val="TableFooter"/>
        <w:ind w:left="709"/>
      </w:pPr>
      <w:proofErr w:type="gramStart"/>
      <w:r w:rsidRPr="00940060">
        <w:rPr>
          <w:vertAlign w:val="superscript"/>
        </w:rPr>
        <w:t>a</w:t>
      </w:r>
      <w:proofErr w:type="gramEnd"/>
      <w:r w:rsidRPr="00940060">
        <w:t xml:space="preserve"> Group G, </w:t>
      </w:r>
      <w:r w:rsidR="00922990" w:rsidRPr="00940060">
        <w:t>treatment-n</w:t>
      </w:r>
      <w:r w:rsidRPr="00940060">
        <w:t>aïve genotype 1 patients treated with DCV</w:t>
      </w:r>
      <w:r w:rsidR="005D3658" w:rsidRPr="00940060">
        <w:t>12</w:t>
      </w:r>
      <w:r w:rsidRPr="00940060">
        <w:t>+SOF</w:t>
      </w:r>
      <w:r w:rsidR="005D3658" w:rsidRPr="00940060">
        <w:t>12</w:t>
      </w:r>
    </w:p>
    <w:p w:rsidR="00CB5B1B" w:rsidRPr="00284D77" w:rsidRDefault="00AB06FA" w:rsidP="00284D77">
      <w:pPr>
        <w:pStyle w:val="TableFooter"/>
        <w:ind w:left="709"/>
      </w:pPr>
      <w:proofErr w:type="gramStart"/>
      <w:r w:rsidRPr="00940060">
        <w:rPr>
          <w:vertAlign w:val="superscript"/>
        </w:rPr>
        <w:t>b</w:t>
      </w:r>
      <w:proofErr w:type="gramEnd"/>
      <w:r w:rsidR="00CB5B1B" w:rsidRPr="00940060">
        <w:t xml:space="preserve"> SVR24 for non-cirrhotic </w:t>
      </w:r>
      <w:r w:rsidR="00922990" w:rsidRPr="00940060">
        <w:t>treatment-n</w:t>
      </w:r>
      <w:r w:rsidR="00CB5B1B" w:rsidRPr="00940060">
        <w:t>aïve genotype 1 patients in the ADVANCE trial, as reported in the PI for telaprevir</w:t>
      </w:r>
    </w:p>
    <w:p w:rsidR="000E53A3" w:rsidRPr="00882085" w:rsidRDefault="000E53A3" w:rsidP="00B60939">
      <w:pPr>
        <w:rPr>
          <w:szCs w:val="22"/>
        </w:rPr>
      </w:pPr>
    </w:p>
    <w:p w:rsidR="00B60939" w:rsidRPr="00BB2672" w:rsidRDefault="00B60939" w:rsidP="002C2775">
      <w:pPr>
        <w:pStyle w:val="Heading2"/>
      </w:pPr>
      <w:bookmarkStart w:id="11" w:name="_Toc409610866"/>
      <w:r w:rsidRPr="00BB2672">
        <w:t>Comparative harms</w:t>
      </w:r>
      <w:bookmarkEnd w:id="11"/>
    </w:p>
    <w:p w:rsidR="000D120C" w:rsidRDefault="000D120C" w:rsidP="00CD19E1">
      <w:pPr>
        <w:pStyle w:val="Caption"/>
      </w:pPr>
    </w:p>
    <w:p w:rsidR="00B119AC" w:rsidRPr="00620DA5" w:rsidRDefault="00620DA5" w:rsidP="00C768A3">
      <w:pPr>
        <w:pStyle w:val="ListParagraph"/>
        <w:widowControl/>
        <w:numPr>
          <w:ilvl w:val="1"/>
          <w:numId w:val="1"/>
        </w:numPr>
        <w:rPr>
          <w:szCs w:val="22"/>
        </w:rPr>
      </w:pPr>
      <w:r>
        <w:rPr>
          <w:szCs w:val="22"/>
        </w:rPr>
        <w:t>The safety data from Study 4</w:t>
      </w:r>
      <w:r w:rsidR="0094516A">
        <w:rPr>
          <w:szCs w:val="22"/>
        </w:rPr>
        <w:t>040 a</w:t>
      </w:r>
      <w:r>
        <w:rPr>
          <w:szCs w:val="22"/>
        </w:rPr>
        <w:t xml:space="preserve">re presented in </w:t>
      </w:r>
      <w:r w:rsidR="00BB2672">
        <w:rPr>
          <w:szCs w:val="22"/>
        </w:rPr>
        <w:t>the table below</w:t>
      </w:r>
      <w:r w:rsidR="006F0109">
        <w:rPr>
          <w:szCs w:val="22"/>
        </w:rPr>
        <w:t>.</w:t>
      </w:r>
    </w:p>
    <w:p w:rsidR="00B119AC" w:rsidRDefault="00B119AC" w:rsidP="00B119AC">
      <w:pPr>
        <w:pStyle w:val="ListParagraph"/>
        <w:widowControl/>
        <w:rPr>
          <w:szCs w:val="22"/>
        </w:rPr>
      </w:pPr>
    </w:p>
    <w:p w:rsidR="001F6F48" w:rsidRDefault="001F6F48">
      <w:pPr>
        <w:widowControl/>
        <w:jc w:val="left"/>
        <w:rPr>
          <w:rFonts w:ascii="Arial Narrow" w:hAnsi="Arial Narrow"/>
          <w:b/>
          <w:bCs/>
          <w:sz w:val="20"/>
          <w:szCs w:val="18"/>
        </w:rPr>
      </w:pPr>
      <w:r>
        <w:br w:type="page"/>
      </w:r>
    </w:p>
    <w:p w:rsidR="00B119AC" w:rsidRPr="00D63214" w:rsidRDefault="00B119AC" w:rsidP="00303878">
      <w:pPr>
        <w:pStyle w:val="Caption"/>
        <w:ind w:left="709"/>
        <w:rPr>
          <w:rStyle w:val="CommentReference"/>
        </w:rPr>
      </w:pPr>
      <w:r w:rsidRPr="00303878">
        <w:rPr>
          <w:rStyle w:val="CommentReference"/>
          <w:b/>
        </w:rPr>
        <w:lastRenderedPageBreak/>
        <w:t xml:space="preserve">Summary of key </w:t>
      </w:r>
      <w:r w:rsidR="0045277F">
        <w:rPr>
          <w:rStyle w:val="CommentReference"/>
          <w:b/>
        </w:rPr>
        <w:t xml:space="preserve">on-treatment </w:t>
      </w:r>
      <w:r w:rsidRPr="00303878">
        <w:rPr>
          <w:rStyle w:val="CommentReference"/>
          <w:b/>
        </w:rPr>
        <w:t>adverse events in Study 4040</w:t>
      </w:r>
    </w:p>
    <w:tbl>
      <w:tblPr>
        <w:tblW w:w="4576"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harms"/>
        <w:tblDescription w:val="Adverse events in Study 4040"/>
      </w:tblPr>
      <w:tblGrid>
        <w:gridCol w:w="3375"/>
        <w:gridCol w:w="4937"/>
      </w:tblGrid>
      <w:tr w:rsidR="00B119AC" w:rsidRPr="00B119AC" w:rsidTr="00B119AC">
        <w:tc>
          <w:tcPr>
            <w:tcW w:w="2030" w:type="pct"/>
            <w:vAlign w:val="center"/>
          </w:tcPr>
          <w:p w:rsidR="00B119AC" w:rsidRPr="00B119AC" w:rsidRDefault="00B119AC" w:rsidP="00B119AC">
            <w:pPr>
              <w:tabs>
                <w:tab w:val="left" w:pos="150"/>
              </w:tabs>
              <w:jc w:val="left"/>
              <w:rPr>
                <w:rFonts w:ascii="Arial Narrow" w:hAnsi="Arial Narrow"/>
                <w:sz w:val="20"/>
              </w:rPr>
            </w:pPr>
            <w:r w:rsidRPr="00B119AC">
              <w:rPr>
                <w:rFonts w:ascii="Arial Narrow" w:hAnsi="Arial Narrow"/>
                <w:b/>
                <w:sz w:val="20"/>
              </w:rPr>
              <w:t>Study 4040</w:t>
            </w:r>
          </w:p>
        </w:tc>
        <w:tc>
          <w:tcPr>
            <w:tcW w:w="2970" w:type="pct"/>
            <w:vAlign w:val="center"/>
          </w:tcPr>
          <w:p w:rsidR="00B119AC" w:rsidRPr="00B119AC" w:rsidRDefault="00B119AC" w:rsidP="00B119AC">
            <w:pPr>
              <w:jc w:val="center"/>
              <w:rPr>
                <w:rFonts w:ascii="Arial Narrow" w:hAnsi="Arial Narrow"/>
                <w:b/>
                <w:sz w:val="20"/>
              </w:rPr>
            </w:pPr>
            <w:r w:rsidRPr="00B119AC">
              <w:rPr>
                <w:rFonts w:ascii="Arial Narrow" w:hAnsi="Arial Narrow"/>
                <w:b/>
                <w:sz w:val="20"/>
              </w:rPr>
              <w:t>Proposed drug</w:t>
            </w:r>
          </w:p>
          <w:p w:rsidR="00B119AC" w:rsidRPr="00B119AC" w:rsidRDefault="00B119AC" w:rsidP="00B119AC">
            <w:pPr>
              <w:jc w:val="center"/>
              <w:rPr>
                <w:rFonts w:ascii="Arial Narrow" w:hAnsi="Arial Narrow"/>
                <w:sz w:val="20"/>
              </w:rPr>
            </w:pPr>
            <w:proofErr w:type="gramStart"/>
            <w:r w:rsidRPr="00B119AC">
              <w:rPr>
                <w:rFonts w:ascii="Arial Narrow" w:hAnsi="Arial Narrow"/>
                <w:b/>
                <w:sz w:val="20"/>
              </w:rPr>
              <w:t>n</w:t>
            </w:r>
            <w:proofErr w:type="gramEnd"/>
            <w:r w:rsidRPr="00B119AC">
              <w:rPr>
                <w:rFonts w:ascii="Arial Narrow" w:hAnsi="Arial Narrow"/>
                <w:b/>
                <w:sz w:val="20"/>
              </w:rPr>
              <w:t xml:space="preserve"> with event/N (%)</w:t>
            </w:r>
          </w:p>
        </w:tc>
      </w:tr>
      <w:tr w:rsidR="00B119AC" w:rsidRPr="00B119AC" w:rsidTr="00B119AC">
        <w:tc>
          <w:tcPr>
            <w:tcW w:w="2030" w:type="pct"/>
          </w:tcPr>
          <w:p w:rsidR="00B119AC" w:rsidRPr="00B119AC" w:rsidRDefault="00B119AC" w:rsidP="00B119AC">
            <w:pPr>
              <w:tabs>
                <w:tab w:val="left" w:pos="150"/>
              </w:tabs>
              <w:jc w:val="left"/>
              <w:rPr>
                <w:rFonts w:ascii="Arial Narrow" w:hAnsi="Arial Narrow"/>
                <w:sz w:val="20"/>
              </w:rPr>
            </w:pPr>
            <w:r w:rsidRPr="00B119AC">
              <w:rPr>
                <w:rFonts w:ascii="Arial Narrow" w:hAnsi="Arial Narrow"/>
                <w:sz w:val="20"/>
              </w:rPr>
              <w:tab/>
              <w:t>Treatment related AEs</w:t>
            </w:r>
          </w:p>
          <w:p w:rsidR="00B119AC" w:rsidRPr="00935CC7" w:rsidRDefault="00B119AC" w:rsidP="00B119AC">
            <w:pPr>
              <w:tabs>
                <w:tab w:val="left" w:pos="150"/>
              </w:tabs>
              <w:jc w:val="left"/>
              <w:rPr>
                <w:rFonts w:ascii="Arial Narrow" w:hAnsi="Arial Narrow"/>
                <w:sz w:val="20"/>
                <w:vertAlign w:val="superscript"/>
              </w:rPr>
            </w:pPr>
            <w:r w:rsidRPr="00B119AC">
              <w:rPr>
                <w:rFonts w:ascii="Arial Narrow" w:hAnsi="Arial Narrow"/>
                <w:sz w:val="20"/>
              </w:rPr>
              <w:tab/>
              <w:t xml:space="preserve">Serious </w:t>
            </w:r>
            <w:proofErr w:type="spellStart"/>
            <w:r w:rsidRPr="00B119AC">
              <w:rPr>
                <w:rFonts w:ascii="Arial Narrow" w:hAnsi="Arial Narrow"/>
                <w:sz w:val="20"/>
              </w:rPr>
              <w:t>AEs</w:t>
            </w:r>
            <w:r w:rsidR="00935CC7">
              <w:rPr>
                <w:rFonts w:ascii="Arial Narrow" w:hAnsi="Arial Narrow"/>
                <w:sz w:val="20"/>
                <w:vertAlign w:val="superscript"/>
              </w:rPr>
              <w:t>a</w:t>
            </w:r>
            <w:proofErr w:type="spellEnd"/>
          </w:p>
          <w:p w:rsidR="00B119AC" w:rsidRPr="00B119AC" w:rsidRDefault="00B119AC" w:rsidP="00B119AC">
            <w:pPr>
              <w:tabs>
                <w:tab w:val="left" w:pos="150"/>
              </w:tabs>
              <w:jc w:val="left"/>
              <w:rPr>
                <w:rFonts w:ascii="Arial Narrow" w:hAnsi="Arial Narrow"/>
                <w:sz w:val="20"/>
              </w:rPr>
            </w:pPr>
            <w:r w:rsidRPr="00B119AC">
              <w:rPr>
                <w:rFonts w:ascii="Arial Narrow" w:hAnsi="Arial Narrow"/>
                <w:sz w:val="20"/>
              </w:rPr>
              <w:tab/>
              <w:t>Grade 3/4 AEs</w:t>
            </w:r>
          </w:p>
          <w:p w:rsidR="00B119AC" w:rsidRPr="00B119AC" w:rsidRDefault="00B119AC" w:rsidP="00B119AC">
            <w:pPr>
              <w:tabs>
                <w:tab w:val="left" w:pos="150"/>
              </w:tabs>
              <w:jc w:val="left"/>
              <w:rPr>
                <w:rFonts w:ascii="Arial Narrow" w:hAnsi="Arial Narrow"/>
                <w:sz w:val="20"/>
              </w:rPr>
            </w:pPr>
            <w:r w:rsidRPr="00B119AC">
              <w:rPr>
                <w:rFonts w:ascii="Arial Narrow" w:hAnsi="Arial Narrow"/>
                <w:sz w:val="20"/>
              </w:rPr>
              <w:tab/>
              <w:t>Number discontinued</w:t>
            </w:r>
          </w:p>
          <w:p w:rsidR="00B119AC" w:rsidRPr="00B119AC" w:rsidRDefault="00B119AC" w:rsidP="00B119AC">
            <w:pPr>
              <w:tabs>
                <w:tab w:val="left" w:pos="150"/>
              </w:tabs>
              <w:jc w:val="left"/>
              <w:rPr>
                <w:rFonts w:ascii="Arial Narrow" w:hAnsi="Arial Narrow"/>
                <w:sz w:val="20"/>
              </w:rPr>
            </w:pPr>
            <w:r w:rsidRPr="00B119AC">
              <w:rPr>
                <w:rFonts w:ascii="Arial Narrow" w:hAnsi="Arial Narrow"/>
                <w:sz w:val="20"/>
              </w:rPr>
              <w:tab/>
              <w:t>Number died</w:t>
            </w:r>
          </w:p>
        </w:tc>
        <w:tc>
          <w:tcPr>
            <w:tcW w:w="2970" w:type="pct"/>
          </w:tcPr>
          <w:p w:rsidR="00B119AC" w:rsidRPr="00B119AC" w:rsidRDefault="00B119AC" w:rsidP="00B119AC">
            <w:pPr>
              <w:jc w:val="center"/>
              <w:rPr>
                <w:rFonts w:ascii="Arial Narrow" w:hAnsi="Arial Narrow"/>
                <w:sz w:val="20"/>
              </w:rPr>
            </w:pPr>
            <w:r w:rsidRPr="00B119AC">
              <w:rPr>
                <w:rFonts w:ascii="Arial Narrow" w:hAnsi="Arial Narrow"/>
                <w:sz w:val="20"/>
              </w:rPr>
              <w:t>130/211 (61.6%)</w:t>
            </w:r>
          </w:p>
          <w:p w:rsidR="00B119AC" w:rsidRPr="00B119AC" w:rsidRDefault="00B119AC" w:rsidP="00B119AC">
            <w:pPr>
              <w:jc w:val="center"/>
              <w:rPr>
                <w:rFonts w:ascii="Arial Narrow" w:hAnsi="Arial Narrow"/>
                <w:sz w:val="20"/>
              </w:rPr>
            </w:pPr>
            <w:r w:rsidRPr="00B119AC">
              <w:rPr>
                <w:rFonts w:ascii="Arial Narrow" w:hAnsi="Arial Narrow"/>
                <w:sz w:val="20"/>
              </w:rPr>
              <w:t>15/211 (7.1%)</w:t>
            </w:r>
          </w:p>
          <w:p w:rsidR="00B119AC" w:rsidRPr="00B119AC" w:rsidRDefault="00B119AC" w:rsidP="00B119AC">
            <w:pPr>
              <w:jc w:val="center"/>
              <w:rPr>
                <w:rFonts w:ascii="Arial Narrow" w:hAnsi="Arial Narrow"/>
                <w:sz w:val="20"/>
              </w:rPr>
            </w:pPr>
            <w:r w:rsidRPr="00B119AC">
              <w:rPr>
                <w:rFonts w:ascii="Arial Narrow" w:hAnsi="Arial Narrow"/>
                <w:sz w:val="20"/>
              </w:rPr>
              <w:t>7/211 (3.3%)</w:t>
            </w:r>
          </w:p>
          <w:p w:rsidR="00B119AC" w:rsidRPr="00B119AC" w:rsidRDefault="00B119AC" w:rsidP="00B119AC">
            <w:pPr>
              <w:jc w:val="center"/>
              <w:rPr>
                <w:rFonts w:ascii="Arial Narrow" w:hAnsi="Arial Narrow"/>
                <w:sz w:val="20"/>
              </w:rPr>
            </w:pPr>
            <w:r w:rsidRPr="00B119AC">
              <w:rPr>
                <w:rFonts w:ascii="Arial Narrow" w:hAnsi="Arial Narrow"/>
                <w:sz w:val="20"/>
              </w:rPr>
              <w:t>2 /211 (0.9%)</w:t>
            </w:r>
          </w:p>
          <w:p w:rsidR="00B119AC" w:rsidRPr="00B119AC" w:rsidRDefault="00B119AC" w:rsidP="00B119AC">
            <w:pPr>
              <w:jc w:val="center"/>
              <w:rPr>
                <w:rFonts w:ascii="Arial Narrow" w:hAnsi="Arial Narrow"/>
                <w:sz w:val="20"/>
              </w:rPr>
            </w:pPr>
            <w:r w:rsidRPr="00B119AC">
              <w:rPr>
                <w:rFonts w:ascii="Arial Narrow" w:hAnsi="Arial Narrow"/>
                <w:sz w:val="20"/>
              </w:rPr>
              <w:t>0</w:t>
            </w:r>
          </w:p>
        </w:tc>
      </w:tr>
    </w:tbl>
    <w:p w:rsidR="00E00BFA" w:rsidRDefault="00E00BFA" w:rsidP="00F83D12">
      <w:pPr>
        <w:pStyle w:val="TableFooter"/>
        <w:ind w:left="720"/>
      </w:pPr>
      <w:r>
        <w:t>AE = adverse event</w:t>
      </w:r>
    </w:p>
    <w:p w:rsidR="00935CC7" w:rsidRDefault="00935CC7" w:rsidP="00935CC7">
      <w:pPr>
        <w:pStyle w:val="TableFooter"/>
        <w:ind w:left="709"/>
      </w:pPr>
      <w:proofErr w:type="gramStart"/>
      <w:r w:rsidRPr="00524A28">
        <w:rPr>
          <w:vertAlign w:val="superscript"/>
        </w:rPr>
        <w:t>a</w:t>
      </w:r>
      <w:proofErr w:type="gramEnd"/>
      <w:r w:rsidRPr="00524A28">
        <w:t xml:space="preserve"> Defined as any untoward medical occurrence that at any dose resulted in death, was life-threatening, required inpatient hospitalisation or prolongation of existing hospitalisation, resulted in persistent or significant disability/incapacity, was a congenital anomaly/birth defect, or was an important medical event.</w:t>
      </w:r>
      <w:r w:rsidR="00A95B85">
        <w:t xml:space="preserve"> </w:t>
      </w:r>
      <w:proofErr w:type="gramStart"/>
      <w:r w:rsidR="00A95B85" w:rsidRPr="00A95B85">
        <w:t>On-treatment SAEs, which may not be related to treatments.</w:t>
      </w:r>
      <w:proofErr w:type="gramEnd"/>
    </w:p>
    <w:p w:rsidR="00B119AC" w:rsidRPr="00B119AC" w:rsidRDefault="00B119AC" w:rsidP="00F83D12">
      <w:pPr>
        <w:pStyle w:val="TableFooter"/>
        <w:ind w:left="720"/>
      </w:pPr>
      <w:r w:rsidRPr="00B119AC">
        <w:t xml:space="preserve">Source: </w:t>
      </w:r>
      <w:r w:rsidRPr="00F60566">
        <w:t xml:space="preserve">Table 44 p123, Table 45, p 124, Table 46, p125 of the submission; Table S.6.6.3, p622 Study 4040 </w:t>
      </w:r>
      <w:r w:rsidR="00F83D12" w:rsidRPr="00F60566">
        <w:t>clinical study report</w:t>
      </w:r>
    </w:p>
    <w:p w:rsidR="00B119AC" w:rsidRDefault="00B119AC" w:rsidP="00B119AC">
      <w:pPr>
        <w:pStyle w:val="ListParagraph"/>
        <w:widowControl/>
        <w:rPr>
          <w:szCs w:val="22"/>
        </w:rPr>
      </w:pPr>
    </w:p>
    <w:p w:rsidR="00CC7CEA" w:rsidRPr="00464929" w:rsidRDefault="00620DA5" w:rsidP="00C768A3">
      <w:pPr>
        <w:pStyle w:val="ListParagraph"/>
        <w:widowControl/>
        <w:numPr>
          <w:ilvl w:val="1"/>
          <w:numId w:val="1"/>
        </w:numPr>
      </w:pPr>
      <w:r w:rsidRPr="001A0E87">
        <w:rPr>
          <w:szCs w:val="22"/>
        </w:rPr>
        <w:t xml:space="preserve">No </w:t>
      </w:r>
      <w:r w:rsidR="00ED3310" w:rsidRPr="001A0E87">
        <w:rPr>
          <w:szCs w:val="22"/>
        </w:rPr>
        <w:t xml:space="preserve">serious </w:t>
      </w:r>
      <w:r w:rsidRPr="001A0E87">
        <w:rPr>
          <w:szCs w:val="22"/>
        </w:rPr>
        <w:t>adverse events that were considered to be specifically related to daclatasvir were observed in the study</w:t>
      </w:r>
      <w:r w:rsidR="00CC7CEA" w:rsidRPr="001A0E87">
        <w:rPr>
          <w:szCs w:val="22"/>
        </w:rPr>
        <w:t xml:space="preserve"> apart from four cases of overdose which did not result in treatment intervention or clinical symptoms</w:t>
      </w:r>
      <w:r w:rsidRPr="001A0E87">
        <w:rPr>
          <w:szCs w:val="22"/>
        </w:rPr>
        <w:t xml:space="preserve">. </w:t>
      </w:r>
      <w:r w:rsidR="00CC7CEA" w:rsidRPr="001A0E87">
        <w:t xml:space="preserve">The most common on-treatment adverse events in Study 4040 were fatigue (37.0%), headache (28.9%), nausea (19.4%), arthralgia (10.0%) and diarrhoea (10.0%). Anaemia was only reported in patients receiving concomitant ribavirin. Two patients discontinued therapy due to adverse events: one had a cerebrovascular accident (Grade 2) at week 22, and one had an AE of fibromyalgia (Grade 3) at week 10. Both events were considered by the investigator not to </w:t>
      </w:r>
      <w:r w:rsidR="00790214">
        <w:t>be related to study drug</w:t>
      </w:r>
      <w:r w:rsidR="00CC7CEA" w:rsidRPr="001A0E87">
        <w:t>.</w:t>
      </w:r>
      <w:r w:rsidR="00CC7CEA" w:rsidRPr="00464929">
        <w:t xml:space="preserve"> </w:t>
      </w:r>
    </w:p>
    <w:p w:rsidR="00CC7CEA" w:rsidRPr="00464929" w:rsidRDefault="00CC7CEA" w:rsidP="00CC7CEA"/>
    <w:p w:rsidR="00620DA5" w:rsidRPr="00AB4B1B" w:rsidRDefault="00620DA5" w:rsidP="00C768A3">
      <w:pPr>
        <w:pStyle w:val="ListParagraph"/>
        <w:widowControl/>
        <w:numPr>
          <w:ilvl w:val="1"/>
          <w:numId w:val="1"/>
        </w:numPr>
        <w:rPr>
          <w:i/>
          <w:szCs w:val="22"/>
        </w:rPr>
      </w:pPr>
      <w:r w:rsidRPr="00464929">
        <w:rPr>
          <w:szCs w:val="22"/>
        </w:rPr>
        <w:t>There were insufficient data to reliably determine the safety profile of DCV+SOF, especially in terms of uncommon or rare treatment-related adverse events.</w:t>
      </w:r>
      <w:r w:rsidRPr="00AB4B1B">
        <w:rPr>
          <w:i/>
          <w:szCs w:val="22"/>
        </w:rPr>
        <w:t xml:space="preserve"> </w:t>
      </w:r>
    </w:p>
    <w:p w:rsidR="00B60939" w:rsidRPr="0082740F" w:rsidRDefault="00B60939" w:rsidP="00B119AC">
      <w:pPr>
        <w:pStyle w:val="ListParagraph"/>
        <w:widowControl/>
        <w:rPr>
          <w:szCs w:val="22"/>
        </w:rPr>
      </w:pPr>
    </w:p>
    <w:p w:rsidR="007F1017" w:rsidRPr="00BB2672" w:rsidRDefault="007F1017" w:rsidP="002C2775">
      <w:pPr>
        <w:pStyle w:val="Heading2"/>
        <w:rPr>
          <w:szCs w:val="22"/>
        </w:rPr>
      </w:pPr>
      <w:bookmarkStart w:id="12" w:name="_Toc409610867"/>
      <w:r w:rsidRPr="00BB2672">
        <w:t>Benefits/harms</w:t>
      </w:r>
      <w:bookmarkEnd w:id="12"/>
    </w:p>
    <w:p w:rsidR="007F1017" w:rsidRPr="007F1017" w:rsidRDefault="007F1017" w:rsidP="007F1017">
      <w:pPr>
        <w:pStyle w:val="ListParagraph"/>
        <w:ind w:left="0"/>
        <w:rPr>
          <w:szCs w:val="22"/>
        </w:rPr>
      </w:pPr>
    </w:p>
    <w:p w:rsidR="004F1A2B" w:rsidRDefault="004F1A2B" w:rsidP="00C768A3">
      <w:pPr>
        <w:pStyle w:val="ListParagraph"/>
        <w:widowControl/>
        <w:numPr>
          <w:ilvl w:val="1"/>
          <w:numId w:val="1"/>
        </w:numPr>
        <w:rPr>
          <w:szCs w:val="22"/>
        </w:rPr>
      </w:pPr>
      <w:r w:rsidRPr="00B50DB8">
        <w:rPr>
          <w:szCs w:val="22"/>
        </w:rPr>
        <w:t xml:space="preserve">A summary of the comparative benefits and harms for </w:t>
      </w:r>
      <w:r>
        <w:rPr>
          <w:szCs w:val="22"/>
        </w:rPr>
        <w:t xml:space="preserve">DCV + SOF </w:t>
      </w:r>
      <w:r w:rsidRPr="00B50DB8">
        <w:rPr>
          <w:szCs w:val="22"/>
        </w:rPr>
        <w:t xml:space="preserve">versus </w:t>
      </w:r>
      <w:r>
        <w:rPr>
          <w:szCs w:val="22"/>
        </w:rPr>
        <w:t>‘no treatment’</w:t>
      </w:r>
      <w:r w:rsidRPr="00B50DB8">
        <w:rPr>
          <w:szCs w:val="22"/>
        </w:rPr>
        <w:t xml:space="preserve"> </w:t>
      </w:r>
      <w:r w:rsidR="0094516A">
        <w:rPr>
          <w:szCs w:val="22"/>
        </w:rPr>
        <w:t>i</w:t>
      </w:r>
      <w:r w:rsidRPr="00B50DB8">
        <w:rPr>
          <w:szCs w:val="22"/>
        </w:rPr>
        <w:t xml:space="preserve">s presented in </w:t>
      </w:r>
      <w:r w:rsidR="002838D5">
        <w:rPr>
          <w:szCs w:val="22"/>
        </w:rPr>
        <w:t>the table below</w:t>
      </w:r>
      <w:r w:rsidR="00B15B58">
        <w:rPr>
          <w:szCs w:val="22"/>
        </w:rPr>
        <w:t>,</w:t>
      </w:r>
      <w:r>
        <w:rPr>
          <w:szCs w:val="22"/>
        </w:rPr>
        <w:t xml:space="preserve"> based on the evidence provided in the submission</w:t>
      </w:r>
      <w:r w:rsidR="00447919">
        <w:rPr>
          <w:szCs w:val="22"/>
        </w:rPr>
        <w:t xml:space="preserve"> </w:t>
      </w:r>
      <w:r w:rsidR="00447919" w:rsidRPr="00214F99">
        <w:rPr>
          <w:szCs w:val="22"/>
        </w:rPr>
        <w:t>and in the PSCR</w:t>
      </w:r>
      <w:r w:rsidRPr="00B50DB8">
        <w:rPr>
          <w:szCs w:val="22"/>
        </w:rPr>
        <w:t xml:space="preserve">. </w:t>
      </w:r>
    </w:p>
    <w:p w:rsidR="0074398F" w:rsidRPr="00B50DB8" w:rsidRDefault="0074398F" w:rsidP="0074398F">
      <w:pPr>
        <w:pStyle w:val="ListParagraph"/>
        <w:widowControl/>
        <w:rPr>
          <w:szCs w:val="22"/>
        </w:rPr>
      </w:pPr>
    </w:p>
    <w:p w:rsidR="00B62715" w:rsidRPr="00D63214" w:rsidRDefault="00B62715" w:rsidP="00E366F8">
      <w:pPr>
        <w:pStyle w:val="Caption"/>
        <w:keepNext/>
        <w:keepLines/>
        <w:ind w:left="709"/>
        <w:rPr>
          <w:rStyle w:val="CommentReference"/>
        </w:rPr>
      </w:pPr>
      <w:r w:rsidRPr="00303878">
        <w:rPr>
          <w:rStyle w:val="CommentReference"/>
          <w:b/>
        </w:rPr>
        <w:lastRenderedPageBreak/>
        <w:t xml:space="preserve">Summary of comparative benefits and harms for </w:t>
      </w:r>
      <w:r w:rsidR="000C25CB" w:rsidRPr="00303878">
        <w:rPr>
          <w:rStyle w:val="CommentReference"/>
          <w:b/>
        </w:rPr>
        <w:t>DCV + SOF ± R</w:t>
      </w:r>
      <w:r w:rsidRPr="00303878">
        <w:rPr>
          <w:rStyle w:val="CommentReference"/>
          <w:b/>
        </w:rPr>
        <w:t xml:space="preserve"> </w:t>
      </w:r>
      <w:r w:rsidR="004F1A2B" w:rsidRPr="00303878">
        <w:rPr>
          <w:rStyle w:val="CommentReference"/>
          <w:b/>
        </w:rPr>
        <w:t>relative to</w:t>
      </w:r>
      <w:r w:rsidRPr="00303878">
        <w:rPr>
          <w:rStyle w:val="CommentReference"/>
          <w:b/>
        </w:rPr>
        <w:t xml:space="preserve"> </w:t>
      </w:r>
      <w:r w:rsidR="000C25CB" w:rsidRPr="00303878">
        <w:rPr>
          <w:rStyle w:val="CommentReference"/>
          <w:b/>
        </w:rPr>
        <w:t>No treatment</w:t>
      </w:r>
    </w:p>
    <w:tbl>
      <w:tblPr>
        <w:tblStyle w:val="TableGrid"/>
        <w:tblW w:w="0" w:type="auto"/>
        <w:tblInd w:w="817" w:type="dxa"/>
        <w:tblLook w:val="04A0" w:firstRow="1" w:lastRow="0" w:firstColumn="1" w:lastColumn="0" w:noHBand="0" w:noVBand="1"/>
        <w:tblCaption w:val="Comparative benefits and harms"/>
      </w:tblPr>
      <w:tblGrid>
        <w:gridCol w:w="1195"/>
        <w:gridCol w:w="2022"/>
        <w:gridCol w:w="2953"/>
        <w:gridCol w:w="2255"/>
      </w:tblGrid>
      <w:tr w:rsidR="003B7F94" w:rsidRPr="00712EFA" w:rsidTr="000B24A3">
        <w:tc>
          <w:tcPr>
            <w:tcW w:w="1195" w:type="dxa"/>
          </w:tcPr>
          <w:p w:rsidR="003B7F94" w:rsidRPr="00712EFA" w:rsidRDefault="003B7F94" w:rsidP="00E366F8">
            <w:pPr>
              <w:keepNext/>
              <w:keepLines/>
              <w:widowControl/>
              <w:rPr>
                <w:rFonts w:ascii="Arial Narrow" w:hAnsi="Arial Narrow"/>
                <w:b/>
                <w:snapToGrid/>
                <w:sz w:val="20"/>
                <w:lang w:eastAsia="en-AU"/>
              </w:rPr>
            </w:pPr>
            <w:r w:rsidRPr="00712EFA">
              <w:rPr>
                <w:rFonts w:ascii="Arial Narrow" w:hAnsi="Arial Narrow"/>
                <w:b/>
                <w:snapToGrid/>
                <w:sz w:val="20"/>
                <w:lang w:eastAsia="en-AU"/>
              </w:rPr>
              <w:t>Patient group</w:t>
            </w:r>
          </w:p>
        </w:tc>
        <w:tc>
          <w:tcPr>
            <w:tcW w:w="2022" w:type="dxa"/>
          </w:tcPr>
          <w:p w:rsidR="003B7F94" w:rsidRPr="00712EFA" w:rsidRDefault="003B7F94" w:rsidP="00E366F8">
            <w:pPr>
              <w:keepNext/>
              <w:keepLines/>
              <w:widowControl/>
              <w:rPr>
                <w:rFonts w:ascii="Arial Narrow" w:hAnsi="Arial Narrow"/>
                <w:b/>
                <w:snapToGrid/>
                <w:sz w:val="20"/>
                <w:lang w:eastAsia="en-AU"/>
              </w:rPr>
            </w:pPr>
            <w:r w:rsidRPr="00712EFA">
              <w:rPr>
                <w:rFonts w:ascii="Arial Narrow" w:hAnsi="Arial Narrow"/>
                <w:b/>
                <w:snapToGrid/>
                <w:sz w:val="20"/>
                <w:lang w:eastAsia="en-AU"/>
              </w:rPr>
              <w:t>Comparison</w:t>
            </w:r>
          </w:p>
        </w:tc>
        <w:tc>
          <w:tcPr>
            <w:tcW w:w="2953" w:type="dxa"/>
          </w:tcPr>
          <w:p w:rsidR="003B7F94" w:rsidRPr="00712EFA" w:rsidRDefault="003B7F94" w:rsidP="00E366F8">
            <w:pPr>
              <w:keepNext/>
              <w:keepLines/>
              <w:widowControl/>
              <w:rPr>
                <w:rFonts w:ascii="Arial Narrow" w:hAnsi="Arial Narrow"/>
                <w:b/>
                <w:snapToGrid/>
                <w:sz w:val="20"/>
                <w:lang w:eastAsia="en-AU"/>
              </w:rPr>
            </w:pPr>
            <w:r w:rsidRPr="00712EFA">
              <w:rPr>
                <w:rFonts w:ascii="Arial Narrow" w:hAnsi="Arial Narrow"/>
                <w:b/>
                <w:snapToGrid/>
                <w:sz w:val="20"/>
                <w:lang w:eastAsia="en-AU"/>
              </w:rPr>
              <w:t>Benefits</w:t>
            </w:r>
            <w:r w:rsidR="007270F2">
              <w:rPr>
                <w:rFonts w:ascii="Arial Narrow" w:hAnsi="Arial Narrow"/>
                <w:b/>
                <w:snapToGrid/>
                <w:sz w:val="20"/>
                <w:lang w:eastAsia="en-AU"/>
              </w:rPr>
              <w:t xml:space="preserve"> (SVR12)</w:t>
            </w:r>
            <w:r w:rsidR="00826C22" w:rsidRPr="00712EFA">
              <w:rPr>
                <w:rFonts w:ascii="Arial Narrow" w:hAnsi="Arial Narrow"/>
                <w:b/>
                <w:snapToGrid/>
                <w:sz w:val="20"/>
                <w:lang w:eastAsia="en-AU"/>
              </w:rPr>
              <w:t>*</w:t>
            </w:r>
          </w:p>
        </w:tc>
        <w:tc>
          <w:tcPr>
            <w:tcW w:w="2255" w:type="dxa"/>
          </w:tcPr>
          <w:p w:rsidR="003B7F94" w:rsidRDefault="003B7F94" w:rsidP="00E366F8">
            <w:pPr>
              <w:keepNext/>
              <w:keepLines/>
              <w:widowControl/>
              <w:rPr>
                <w:rFonts w:ascii="Arial Narrow" w:hAnsi="Arial Narrow"/>
                <w:b/>
                <w:snapToGrid/>
                <w:sz w:val="20"/>
                <w:vertAlign w:val="superscript"/>
                <w:lang w:eastAsia="en-AU"/>
              </w:rPr>
            </w:pPr>
            <w:r w:rsidRPr="00712EFA">
              <w:rPr>
                <w:rFonts w:ascii="Arial Narrow" w:hAnsi="Arial Narrow"/>
                <w:b/>
                <w:snapToGrid/>
                <w:sz w:val="20"/>
                <w:lang w:eastAsia="en-AU"/>
              </w:rPr>
              <w:t>Harm</w:t>
            </w:r>
            <w:r w:rsidR="0045277F">
              <w:rPr>
                <w:rFonts w:ascii="Arial Narrow" w:hAnsi="Arial Narrow"/>
                <w:b/>
                <w:snapToGrid/>
                <w:sz w:val="20"/>
                <w:vertAlign w:val="superscript"/>
                <w:lang w:eastAsia="en-AU"/>
              </w:rPr>
              <w:t>**</w:t>
            </w:r>
          </w:p>
          <w:p w:rsidR="00C42326" w:rsidRDefault="00C42326" w:rsidP="00E366F8">
            <w:pPr>
              <w:keepNext/>
              <w:keepLines/>
              <w:widowControl/>
              <w:rPr>
                <w:rFonts w:ascii="Arial Narrow" w:hAnsi="Arial Narrow"/>
                <w:b/>
                <w:snapToGrid/>
                <w:sz w:val="20"/>
                <w:vertAlign w:val="superscript"/>
                <w:lang w:eastAsia="en-AU"/>
              </w:rPr>
            </w:pPr>
          </w:p>
          <w:p w:rsidR="00C42326" w:rsidRPr="0045277F" w:rsidRDefault="00C42326" w:rsidP="00C42326">
            <w:pPr>
              <w:keepNext/>
              <w:keepLines/>
              <w:widowControl/>
              <w:rPr>
                <w:rFonts w:ascii="Arial Narrow" w:hAnsi="Arial Narrow"/>
                <w:b/>
                <w:snapToGrid/>
                <w:sz w:val="20"/>
                <w:vertAlign w:val="superscript"/>
                <w:lang w:eastAsia="en-AU"/>
              </w:rPr>
            </w:pPr>
          </w:p>
        </w:tc>
      </w:tr>
      <w:tr w:rsidR="001D1B2D" w:rsidRPr="003B7F94" w:rsidTr="000B24A3">
        <w:tc>
          <w:tcPr>
            <w:tcW w:w="1195" w:type="dxa"/>
          </w:tcPr>
          <w:p w:rsidR="001D1B2D" w:rsidRDefault="001D1B2D" w:rsidP="00E366F8">
            <w:pPr>
              <w:keepNext/>
              <w:keepLines/>
              <w:widowControl/>
              <w:rPr>
                <w:rFonts w:ascii="Arial Narrow" w:hAnsi="Arial Narrow"/>
                <w:b/>
                <w:snapToGrid/>
                <w:sz w:val="20"/>
                <w:lang w:eastAsia="en-AU"/>
              </w:rPr>
            </w:pPr>
            <w:r w:rsidRPr="003B7F94">
              <w:rPr>
                <w:rFonts w:ascii="Arial Narrow" w:hAnsi="Arial Narrow"/>
                <w:b/>
                <w:snapToGrid/>
                <w:sz w:val="20"/>
                <w:lang w:eastAsia="en-AU"/>
              </w:rPr>
              <w:t xml:space="preserve">Genotype 1, </w:t>
            </w:r>
            <w:r>
              <w:rPr>
                <w:rFonts w:ascii="Arial Narrow" w:hAnsi="Arial Narrow"/>
                <w:b/>
                <w:snapToGrid/>
                <w:sz w:val="20"/>
                <w:lang w:eastAsia="en-AU"/>
              </w:rPr>
              <w:t>treatment-n</w:t>
            </w:r>
            <w:r w:rsidRPr="003B7F94">
              <w:rPr>
                <w:rFonts w:ascii="Arial Narrow" w:hAnsi="Arial Narrow"/>
                <w:b/>
                <w:snapToGrid/>
                <w:sz w:val="20"/>
                <w:lang w:eastAsia="en-AU"/>
              </w:rPr>
              <w:t xml:space="preserve">aïve </w:t>
            </w:r>
          </w:p>
          <w:p w:rsidR="001D1B2D" w:rsidRPr="003B7F94" w:rsidRDefault="001D1B2D" w:rsidP="00E366F8">
            <w:pPr>
              <w:keepNext/>
              <w:keepLines/>
              <w:widowControl/>
              <w:rPr>
                <w:rFonts w:ascii="Arial Narrow" w:hAnsi="Arial Narrow"/>
                <w:b/>
                <w:snapToGrid/>
                <w:sz w:val="20"/>
                <w:lang w:eastAsia="en-AU"/>
              </w:rPr>
            </w:pPr>
            <w:r>
              <w:rPr>
                <w:rFonts w:ascii="Arial Narrow" w:hAnsi="Arial Narrow"/>
                <w:b/>
                <w:snapToGrid/>
                <w:sz w:val="20"/>
                <w:lang w:eastAsia="en-AU"/>
              </w:rPr>
              <w:t>Non-cirrhotic</w:t>
            </w:r>
          </w:p>
        </w:tc>
        <w:tc>
          <w:tcPr>
            <w:tcW w:w="2022" w:type="dxa"/>
          </w:tcPr>
          <w:p w:rsidR="001D1B2D" w:rsidRPr="003B7F94" w:rsidRDefault="001D1B2D" w:rsidP="00E366F8">
            <w:pPr>
              <w:keepNext/>
              <w:keepLines/>
              <w:widowControl/>
              <w:jc w:val="left"/>
              <w:rPr>
                <w:rFonts w:ascii="Arial Narrow" w:hAnsi="Arial Narrow"/>
                <w:snapToGrid/>
                <w:sz w:val="20"/>
                <w:lang w:eastAsia="en-AU"/>
              </w:rPr>
            </w:pPr>
            <w:r>
              <w:rPr>
                <w:rFonts w:ascii="Arial Narrow" w:hAnsi="Arial Narrow"/>
                <w:sz w:val="20"/>
              </w:rPr>
              <w:t xml:space="preserve">for every 100 patients treated with </w:t>
            </w:r>
            <w:r w:rsidRPr="003B7F94">
              <w:rPr>
                <w:rFonts w:ascii="Arial Narrow" w:hAnsi="Arial Narrow"/>
                <w:sz w:val="20"/>
                <w:u w:val="single"/>
              </w:rPr>
              <w:t>DCV12+SOF12</w:t>
            </w:r>
            <w:r>
              <w:rPr>
                <w:rFonts w:ascii="Arial Narrow" w:hAnsi="Arial Narrow"/>
                <w:sz w:val="20"/>
              </w:rPr>
              <w:t xml:space="preserve"> in comparison to </w:t>
            </w:r>
            <w:r w:rsidRPr="000B24A3">
              <w:rPr>
                <w:rFonts w:ascii="Arial Narrow" w:hAnsi="Arial Narrow"/>
                <w:sz w:val="20"/>
                <w:u w:val="single"/>
              </w:rPr>
              <w:t>no treatment</w:t>
            </w:r>
          </w:p>
        </w:tc>
        <w:tc>
          <w:tcPr>
            <w:tcW w:w="2953" w:type="dxa"/>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r w:rsidRPr="003B7F94">
              <w:rPr>
                <w:rFonts w:ascii="Arial Narrow" w:hAnsi="Arial Narrow"/>
                <w:snapToGrid/>
                <w:sz w:val="20"/>
                <w:lang w:eastAsia="en-AU"/>
              </w:rPr>
              <w:t xml:space="preserve">Approximately </w:t>
            </w:r>
            <w:r w:rsidRPr="000B24A3">
              <w:rPr>
                <w:rFonts w:ascii="Arial Narrow" w:hAnsi="Arial Narrow"/>
                <w:snapToGrid/>
                <w:sz w:val="20"/>
                <w:lang w:eastAsia="en-AU"/>
              </w:rPr>
              <w:t>100</w:t>
            </w:r>
            <w:r w:rsidRPr="003B7F94">
              <w:rPr>
                <w:rFonts w:ascii="Arial Narrow" w:hAnsi="Arial Narrow"/>
                <w:snapToGrid/>
                <w:sz w:val="20"/>
                <w:lang w:eastAsia="en-AU"/>
              </w:rPr>
              <w:t xml:space="preserve"> additional patients would be expected to achieve an SVR</w:t>
            </w:r>
            <w:r w:rsidRPr="000B24A3">
              <w:rPr>
                <w:rFonts w:ascii="Arial Narrow" w:hAnsi="Arial Narrow"/>
                <w:snapToGrid/>
                <w:sz w:val="20"/>
                <w:lang w:eastAsia="en-AU"/>
              </w:rPr>
              <w:t xml:space="preserve"> </w:t>
            </w:r>
          </w:p>
        </w:tc>
        <w:tc>
          <w:tcPr>
            <w:tcW w:w="2255" w:type="dxa"/>
            <w:vMerge w:val="restart"/>
          </w:tcPr>
          <w:p w:rsidR="00CA50A6" w:rsidRDefault="001D1B2D" w:rsidP="00CA50A6">
            <w:pPr>
              <w:keepNext/>
              <w:keepLines/>
              <w:widowControl/>
              <w:numPr>
                <w:ilvl w:val="0"/>
                <w:numId w:val="4"/>
              </w:numPr>
              <w:ind w:left="218" w:hanging="142"/>
              <w:contextualSpacing/>
              <w:jc w:val="left"/>
              <w:rPr>
                <w:rFonts w:ascii="Arial Narrow" w:hAnsi="Arial Narrow"/>
                <w:snapToGrid/>
                <w:sz w:val="20"/>
                <w:lang w:eastAsia="en-AU"/>
              </w:rPr>
            </w:pPr>
            <w:r w:rsidRPr="003B7F94">
              <w:rPr>
                <w:rFonts w:ascii="Arial Narrow" w:hAnsi="Arial Narrow"/>
                <w:snapToGrid/>
                <w:sz w:val="20"/>
                <w:lang w:eastAsia="en-AU"/>
              </w:rPr>
              <w:t xml:space="preserve">Approximately </w:t>
            </w:r>
            <w:r>
              <w:rPr>
                <w:rFonts w:ascii="Arial Narrow" w:hAnsi="Arial Narrow"/>
                <w:snapToGrid/>
                <w:sz w:val="20"/>
                <w:lang w:eastAsia="en-AU"/>
              </w:rPr>
              <w:t>7</w:t>
            </w:r>
            <w:r w:rsidRPr="003B7F94">
              <w:rPr>
                <w:rFonts w:ascii="Arial Narrow" w:hAnsi="Arial Narrow"/>
                <w:snapToGrid/>
                <w:sz w:val="20"/>
                <w:lang w:eastAsia="en-AU"/>
              </w:rPr>
              <w:t xml:space="preserve"> additional patients would </w:t>
            </w:r>
            <w:r>
              <w:rPr>
                <w:rFonts w:ascii="Arial Narrow" w:hAnsi="Arial Narrow"/>
                <w:snapToGrid/>
                <w:sz w:val="20"/>
                <w:lang w:eastAsia="en-AU"/>
              </w:rPr>
              <w:t>experience a serious AE</w:t>
            </w:r>
          </w:p>
          <w:p w:rsidR="001D1B2D" w:rsidRPr="00CA50A6" w:rsidRDefault="001D1B2D" w:rsidP="00CA50A6">
            <w:pPr>
              <w:keepNext/>
              <w:keepLines/>
              <w:widowControl/>
              <w:numPr>
                <w:ilvl w:val="0"/>
                <w:numId w:val="4"/>
              </w:numPr>
              <w:ind w:left="218" w:hanging="142"/>
              <w:contextualSpacing/>
              <w:jc w:val="left"/>
              <w:rPr>
                <w:rFonts w:ascii="Arial Narrow" w:hAnsi="Arial Narrow"/>
                <w:snapToGrid/>
                <w:sz w:val="20"/>
                <w:lang w:eastAsia="en-AU"/>
              </w:rPr>
            </w:pPr>
            <w:r w:rsidRPr="00CA50A6">
              <w:rPr>
                <w:rFonts w:ascii="Arial Narrow" w:hAnsi="Arial Narrow"/>
                <w:snapToGrid/>
                <w:sz w:val="20"/>
                <w:lang w:eastAsia="en-AU"/>
              </w:rPr>
              <w:t xml:space="preserve">Approximately </w:t>
            </w:r>
            <w:r w:rsidR="00CA50A6" w:rsidRPr="00CA50A6">
              <w:rPr>
                <w:rFonts w:ascii="Arial Narrow" w:hAnsi="Arial Narrow"/>
                <w:snapToGrid/>
                <w:sz w:val="20"/>
                <w:lang w:eastAsia="en-AU"/>
              </w:rPr>
              <w:t xml:space="preserve">2 </w:t>
            </w:r>
            <w:r w:rsidRPr="00CA50A6">
              <w:rPr>
                <w:rFonts w:ascii="Arial Narrow" w:hAnsi="Arial Narrow"/>
                <w:snapToGrid/>
                <w:sz w:val="20"/>
                <w:lang w:eastAsia="en-AU"/>
              </w:rPr>
              <w:t>additional patients would experience a Grade 3/4 AE</w:t>
            </w:r>
          </w:p>
        </w:tc>
      </w:tr>
      <w:tr w:rsidR="001D1B2D" w:rsidRPr="003B7F94" w:rsidTr="000B24A3">
        <w:tc>
          <w:tcPr>
            <w:tcW w:w="1195" w:type="dxa"/>
          </w:tcPr>
          <w:p w:rsidR="001D1B2D" w:rsidRPr="00AF42C2" w:rsidRDefault="001D1B2D" w:rsidP="00F13757">
            <w:pPr>
              <w:keepNext/>
              <w:keepLines/>
              <w:widowControl/>
              <w:rPr>
                <w:rFonts w:ascii="Arial Narrow" w:hAnsi="Arial Narrow"/>
                <w:b/>
                <w:snapToGrid/>
                <w:sz w:val="20"/>
                <w:lang w:eastAsia="en-AU"/>
              </w:rPr>
            </w:pPr>
            <w:r w:rsidRPr="003B7F94">
              <w:rPr>
                <w:rFonts w:ascii="Arial Narrow" w:eastAsiaTheme="majorEastAsia" w:hAnsi="Arial Narrow"/>
                <w:b/>
                <w:bCs/>
                <w:snapToGrid/>
                <w:sz w:val="20"/>
                <w:lang w:eastAsia="en-AU"/>
              </w:rPr>
              <w:t xml:space="preserve">Genotype </w:t>
            </w:r>
            <w:r>
              <w:rPr>
                <w:rFonts w:ascii="Arial Narrow" w:eastAsiaTheme="majorEastAsia" w:hAnsi="Arial Narrow"/>
                <w:b/>
                <w:bCs/>
                <w:snapToGrid/>
                <w:sz w:val="20"/>
                <w:lang w:eastAsia="en-AU"/>
              </w:rPr>
              <w:t>2/</w:t>
            </w:r>
            <w:r w:rsidRPr="003B7F94">
              <w:rPr>
                <w:rFonts w:ascii="Arial Narrow" w:eastAsiaTheme="majorEastAsia" w:hAnsi="Arial Narrow"/>
                <w:b/>
                <w:bCs/>
                <w:snapToGrid/>
                <w:sz w:val="20"/>
                <w:lang w:eastAsia="en-AU"/>
              </w:rPr>
              <w:t xml:space="preserve">3, </w:t>
            </w:r>
            <w:r w:rsidRPr="00AF42C2">
              <w:rPr>
                <w:rFonts w:ascii="Arial Narrow" w:hAnsi="Arial Narrow"/>
                <w:b/>
                <w:snapToGrid/>
                <w:sz w:val="20"/>
                <w:lang w:eastAsia="en-AU"/>
              </w:rPr>
              <w:t>treatment-naïve</w:t>
            </w:r>
          </w:p>
          <w:p w:rsidR="001D1B2D" w:rsidRPr="003B7F94" w:rsidRDefault="001D1B2D" w:rsidP="00AF42C2">
            <w:pPr>
              <w:keepNext/>
              <w:keepLines/>
              <w:widowControl/>
              <w:rPr>
                <w:rFonts w:ascii="Arial Narrow" w:eastAsiaTheme="majorEastAsia" w:hAnsi="Arial Narrow"/>
                <w:b/>
                <w:bCs/>
                <w:snapToGrid/>
                <w:sz w:val="20"/>
                <w:lang w:eastAsia="en-AU"/>
              </w:rPr>
            </w:pPr>
            <w:r w:rsidRPr="00AF42C2">
              <w:rPr>
                <w:rFonts w:ascii="Arial Narrow" w:hAnsi="Arial Narrow"/>
                <w:b/>
                <w:snapToGrid/>
                <w:sz w:val="20"/>
                <w:lang w:eastAsia="en-AU"/>
              </w:rPr>
              <w:t>Non-c</w:t>
            </w:r>
            <w:r>
              <w:rPr>
                <w:rFonts w:ascii="Arial Narrow" w:hAnsi="Arial Narrow"/>
                <w:b/>
                <w:snapToGrid/>
                <w:sz w:val="20"/>
                <w:lang w:eastAsia="en-AU"/>
              </w:rPr>
              <w:t>irrhotic</w:t>
            </w:r>
          </w:p>
        </w:tc>
        <w:tc>
          <w:tcPr>
            <w:tcW w:w="2022" w:type="dxa"/>
          </w:tcPr>
          <w:p w:rsidR="001D1B2D" w:rsidRPr="003B7F94" w:rsidRDefault="001D1B2D" w:rsidP="00754ECB">
            <w:pPr>
              <w:keepNext/>
              <w:keepLines/>
              <w:widowControl/>
              <w:rPr>
                <w:rFonts w:ascii="Arial Narrow" w:hAnsi="Arial Narrow"/>
                <w:snapToGrid/>
                <w:sz w:val="20"/>
                <w:lang w:eastAsia="en-AU"/>
              </w:rPr>
            </w:pPr>
            <w:r w:rsidRPr="003B7F94">
              <w:rPr>
                <w:rFonts w:ascii="Arial Narrow" w:hAnsi="Arial Narrow"/>
                <w:snapToGrid/>
                <w:sz w:val="20"/>
                <w:lang w:eastAsia="en-AU"/>
              </w:rPr>
              <w:t xml:space="preserve">for every 100 patients treated with </w:t>
            </w:r>
            <w:r w:rsidRPr="00A46684">
              <w:rPr>
                <w:rFonts w:ascii="Arial Narrow" w:hAnsi="Arial Narrow"/>
                <w:snapToGrid/>
                <w:sz w:val="20"/>
                <w:u w:val="single"/>
                <w:lang w:eastAsia="en-AU"/>
              </w:rPr>
              <w:t>DCV24 + SOF24</w:t>
            </w:r>
            <w:r w:rsidRPr="003B7F94">
              <w:rPr>
                <w:rFonts w:ascii="Arial Narrow" w:hAnsi="Arial Narrow"/>
                <w:snapToGrid/>
                <w:sz w:val="20"/>
                <w:lang w:eastAsia="en-AU"/>
              </w:rPr>
              <w:t xml:space="preserve"> in comparison to</w:t>
            </w:r>
            <w:r w:rsidRPr="003B7F94">
              <w:rPr>
                <w:rFonts w:ascii="Arial Narrow" w:hAnsi="Arial Narrow"/>
                <w:snapToGrid/>
                <w:sz w:val="20"/>
                <w:u w:val="single"/>
                <w:lang w:eastAsia="en-AU"/>
              </w:rPr>
              <w:t xml:space="preserve"> </w:t>
            </w:r>
            <w:r>
              <w:rPr>
                <w:rFonts w:ascii="Arial Narrow" w:hAnsi="Arial Narrow"/>
                <w:snapToGrid/>
                <w:sz w:val="20"/>
                <w:u w:val="single"/>
                <w:lang w:eastAsia="en-AU"/>
              </w:rPr>
              <w:t>no treatment</w:t>
            </w:r>
          </w:p>
        </w:tc>
        <w:tc>
          <w:tcPr>
            <w:tcW w:w="2953" w:type="dxa"/>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r w:rsidRPr="003B7F94">
              <w:rPr>
                <w:rFonts w:ascii="Arial Narrow" w:hAnsi="Arial Narrow"/>
                <w:snapToGrid/>
                <w:sz w:val="20"/>
                <w:lang w:eastAsia="en-AU"/>
              </w:rPr>
              <w:t xml:space="preserve">Approximately </w:t>
            </w:r>
            <w:r>
              <w:rPr>
                <w:rFonts w:ascii="Arial Narrow" w:hAnsi="Arial Narrow"/>
                <w:snapToGrid/>
                <w:sz w:val="20"/>
                <w:lang w:eastAsia="en-AU"/>
              </w:rPr>
              <w:t>93</w:t>
            </w:r>
            <w:r w:rsidRPr="003B7F94">
              <w:rPr>
                <w:rFonts w:ascii="Arial Narrow" w:hAnsi="Arial Narrow"/>
                <w:snapToGrid/>
                <w:sz w:val="20"/>
                <w:lang w:eastAsia="en-AU"/>
              </w:rPr>
              <w:t xml:space="preserve"> additional patients would be expected to achieve </w:t>
            </w:r>
            <w:r>
              <w:rPr>
                <w:rFonts w:ascii="Arial Narrow" w:hAnsi="Arial Narrow"/>
                <w:snapToGrid/>
                <w:sz w:val="20"/>
                <w:lang w:eastAsia="en-AU"/>
              </w:rPr>
              <w:t xml:space="preserve">an </w:t>
            </w:r>
            <w:r w:rsidRPr="003B7F94">
              <w:rPr>
                <w:rFonts w:ascii="Arial Narrow" w:hAnsi="Arial Narrow"/>
                <w:snapToGrid/>
                <w:sz w:val="20"/>
                <w:lang w:eastAsia="en-AU"/>
              </w:rPr>
              <w:t xml:space="preserve">SVR </w:t>
            </w:r>
          </w:p>
        </w:tc>
        <w:tc>
          <w:tcPr>
            <w:tcW w:w="2255" w:type="dxa"/>
            <w:vMerge/>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p>
        </w:tc>
      </w:tr>
      <w:tr w:rsidR="001D1B2D" w:rsidRPr="003B7F94" w:rsidTr="000B24A3">
        <w:tc>
          <w:tcPr>
            <w:tcW w:w="1195" w:type="dxa"/>
          </w:tcPr>
          <w:p w:rsidR="001D1B2D" w:rsidRPr="00AF42C2" w:rsidRDefault="001D1B2D" w:rsidP="00F13757">
            <w:pPr>
              <w:keepNext/>
              <w:keepLines/>
              <w:widowControl/>
              <w:rPr>
                <w:rFonts w:ascii="Arial Narrow" w:hAnsi="Arial Narrow"/>
                <w:b/>
                <w:snapToGrid/>
                <w:sz w:val="20"/>
                <w:lang w:eastAsia="en-AU"/>
              </w:rPr>
            </w:pPr>
            <w:r w:rsidRPr="003B7F94">
              <w:rPr>
                <w:rFonts w:ascii="Arial Narrow" w:eastAsiaTheme="majorEastAsia" w:hAnsi="Arial Narrow"/>
                <w:b/>
                <w:bCs/>
                <w:snapToGrid/>
                <w:sz w:val="20"/>
                <w:lang w:eastAsia="en-AU"/>
              </w:rPr>
              <w:t xml:space="preserve">Genotype 3, </w:t>
            </w:r>
            <w:r w:rsidRPr="00AF42C2">
              <w:rPr>
                <w:rFonts w:ascii="Arial Narrow" w:hAnsi="Arial Narrow"/>
                <w:b/>
                <w:snapToGrid/>
                <w:sz w:val="20"/>
                <w:lang w:eastAsia="en-AU"/>
              </w:rPr>
              <w:t>treatment-naïve</w:t>
            </w:r>
          </w:p>
          <w:p w:rsidR="001D1B2D" w:rsidRPr="003B7F94" w:rsidRDefault="001D1B2D" w:rsidP="00AF42C2">
            <w:pPr>
              <w:keepNext/>
              <w:keepLines/>
              <w:widowControl/>
              <w:rPr>
                <w:rFonts w:ascii="Arial Narrow" w:eastAsiaTheme="majorEastAsia" w:hAnsi="Arial Narrow"/>
                <w:b/>
                <w:bCs/>
                <w:snapToGrid/>
                <w:sz w:val="20"/>
                <w:lang w:eastAsia="en-AU"/>
              </w:rPr>
            </w:pPr>
            <w:r w:rsidRPr="00AF42C2">
              <w:rPr>
                <w:rFonts w:ascii="Arial Narrow" w:hAnsi="Arial Narrow"/>
                <w:b/>
                <w:snapToGrid/>
                <w:sz w:val="20"/>
                <w:lang w:eastAsia="en-AU"/>
              </w:rPr>
              <w:t>Non-c</w:t>
            </w:r>
            <w:r>
              <w:rPr>
                <w:rFonts w:ascii="Arial Narrow" w:hAnsi="Arial Narrow"/>
                <w:b/>
                <w:snapToGrid/>
                <w:sz w:val="20"/>
                <w:lang w:eastAsia="en-AU"/>
              </w:rPr>
              <w:t>irrhotic</w:t>
            </w:r>
          </w:p>
        </w:tc>
        <w:tc>
          <w:tcPr>
            <w:tcW w:w="2022" w:type="dxa"/>
          </w:tcPr>
          <w:p w:rsidR="001D1B2D" w:rsidRPr="003B7F94" w:rsidRDefault="001D1B2D" w:rsidP="001D1B2D">
            <w:pPr>
              <w:keepNext/>
              <w:keepLines/>
              <w:widowControl/>
              <w:rPr>
                <w:rFonts w:ascii="Arial Narrow" w:hAnsi="Arial Narrow"/>
                <w:snapToGrid/>
                <w:sz w:val="20"/>
                <w:lang w:eastAsia="en-AU"/>
              </w:rPr>
            </w:pPr>
            <w:r w:rsidRPr="003B7F94">
              <w:rPr>
                <w:rFonts w:ascii="Arial Narrow" w:hAnsi="Arial Narrow"/>
                <w:snapToGrid/>
                <w:sz w:val="20"/>
                <w:lang w:eastAsia="en-AU"/>
              </w:rPr>
              <w:t xml:space="preserve">for every 100 patients treated with </w:t>
            </w:r>
            <w:r w:rsidRPr="00A46684">
              <w:rPr>
                <w:rFonts w:ascii="Arial Narrow" w:hAnsi="Arial Narrow"/>
                <w:snapToGrid/>
                <w:sz w:val="20"/>
                <w:u w:val="single"/>
                <w:lang w:eastAsia="en-AU"/>
              </w:rPr>
              <w:t>DCV</w:t>
            </w:r>
            <w:r>
              <w:rPr>
                <w:rFonts w:ascii="Arial Narrow" w:hAnsi="Arial Narrow"/>
                <w:snapToGrid/>
                <w:sz w:val="20"/>
                <w:u w:val="single"/>
                <w:lang w:eastAsia="en-AU"/>
              </w:rPr>
              <w:t>12</w:t>
            </w:r>
            <w:r w:rsidRPr="00A46684">
              <w:rPr>
                <w:rFonts w:ascii="Arial Narrow" w:hAnsi="Arial Narrow"/>
                <w:snapToGrid/>
                <w:sz w:val="20"/>
                <w:u w:val="single"/>
                <w:lang w:eastAsia="en-AU"/>
              </w:rPr>
              <w:t xml:space="preserve"> + SOF</w:t>
            </w:r>
            <w:r>
              <w:rPr>
                <w:rFonts w:ascii="Arial Narrow" w:hAnsi="Arial Narrow"/>
                <w:snapToGrid/>
                <w:sz w:val="20"/>
                <w:u w:val="single"/>
                <w:lang w:eastAsia="en-AU"/>
              </w:rPr>
              <w:t>12</w:t>
            </w:r>
            <w:r w:rsidRPr="003B7F94">
              <w:rPr>
                <w:rFonts w:ascii="Arial Narrow" w:hAnsi="Arial Narrow"/>
                <w:snapToGrid/>
                <w:sz w:val="20"/>
                <w:lang w:eastAsia="en-AU"/>
              </w:rPr>
              <w:t xml:space="preserve"> in comparison to</w:t>
            </w:r>
            <w:r w:rsidRPr="003B7F94">
              <w:rPr>
                <w:rFonts w:ascii="Arial Narrow" w:hAnsi="Arial Narrow"/>
                <w:snapToGrid/>
                <w:sz w:val="20"/>
                <w:u w:val="single"/>
                <w:lang w:eastAsia="en-AU"/>
              </w:rPr>
              <w:t xml:space="preserve"> </w:t>
            </w:r>
            <w:r>
              <w:rPr>
                <w:rFonts w:ascii="Arial Narrow" w:hAnsi="Arial Narrow"/>
                <w:snapToGrid/>
                <w:sz w:val="20"/>
                <w:u w:val="single"/>
                <w:lang w:eastAsia="en-AU"/>
              </w:rPr>
              <w:t>no treatment</w:t>
            </w:r>
          </w:p>
        </w:tc>
        <w:tc>
          <w:tcPr>
            <w:tcW w:w="2953" w:type="dxa"/>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r w:rsidRPr="003B7F94">
              <w:rPr>
                <w:rFonts w:ascii="Arial Narrow" w:hAnsi="Arial Narrow"/>
                <w:snapToGrid/>
                <w:sz w:val="20"/>
                <w:lang w:eastAsia="en-AU"/>
              </w:rPr>
              <w:t xml:space="preserve">Approximately </w:t>
            </w:r>
            <w:r>
              <w:rPr>
                <w:rFonts w:ascii="Arial Narrow" w:hAnsi="Arial Narrow"/>
                <w:snapToGrid/>
                <w:sz w:val="20"/>
                <w:lang w:eastAsia="en-AU"/>
              </w:rPr>
              <w:t>97</w:t>
            </w:r>
            <w:r w:rsidRPr="003B7F94">
              <w:rPr>
                <w:rFonts w:ascii="Arial Narrow" w:hAnsi="Arial Narrow"/>
                <w:snapToGrid/>
                <w:sz w:val="20"/>
                <w:lang w:eastAsia="en-AU"/>
              </w:rPr>
              <w:t xml:space="preserve"> additional patients would be expected to achieve </w:t>
            </w:r>
            <w:r>
              <w:rPr>
                <w:rFonts w:ascii="Arial Narrow" w:hAnsi="Arial Narrow"/>
                <w:snapToGrid/>
                <w:sz w:val="20"/>
                <w:lang w:eastAsia="en-AU"/>
              </w:rPr>
              <w:t xml:space="preserve">an </w:t>
            </w:r>
            <w:r w:rsidRPr="003B7F94">
              <w:rPr>
                <w:rFonts w:ascii="Arial Narrow" w:hAnsi="Arial Narrow"/>
                <w:snapToGrid/>
                <w:sz w:val="20"/>
                <w:lang w:eastAsia="en-AU"/>
              </w:rPr>
              <w:t xml:space="preserve">SVR </w:t>
            </w:r>
            <w:r w:rsidRPr="001D1B2D">
              <w:rPr>
                <w:rFonts w:ascii="Arial Narrow" w:hAnsi="Arial Narrow"/>
                <w:snapToGrid/>
                <w:sz w:val="18"/>
                <w:lang w:eastAsia="en-AU"/>
              </w:rPr>
              <w:t>^</w:t>
            </w:r>
          </w:p>
        </w:tc>
        <w:tc>
          <w:tcPr>
            <w:tcW w:w="2255" w:type="dxa"/>
            <w:vMerge/>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p>
        </w:tc>
      </w:tr>
      <w:tr w:rsidR="001D1B2D" w:rsidRPr="003B7F94" w:rsidTr="000B24A3">
        <w:tc>
          <w:tcPr>
            <w:tcW w:w="1195" w:type="dxa"/>
          </w:tcPr>
          <w:p w:rsidR="001D1B2D" w:rsidRPr="00AF42C2" w:rsidRDefault="001D1B2D" w:rsidP="00F13757">
            <w:pPr>
              <w:keepNext/>
              <w:keepLines/>
              <w:widowControl/>
              <w:rPr>
                <w:rFonts w:ascii="Arial Narrow" w:hAnsi="Arial Narrow"/>
                <w:b/>
                <w:snapToGrid/>
                <w:sz w:val="20"/>
                <w:lang w:eastAsia="en-AU"/>
              </w:rPr>
            </w:pPr>
            <w:r w:rsidRPr="003B7F94">
              <w:rPr>
                <w:rFonts w:ascii="Arial Narrow" w:eastAsiaTheme="majorEastAsia" w:hAnsi="Arial Narrow"/>
                <w:b/>
                <w:bCs/>
                <w:snapToGrid/>
                <w:sz w:val="20"/>
                <w:lang w:eastAsia="en-AU"/>
              </w:rPr>
              <w:t xml:space="preserve">Genotype 3, </w:t>
            </w:r>
            <w:r w:rsidRPr="00AF42C2">
              <w:rPr>
                <w:rFonts w:ascii="Arial Narrow" w:hAnsi="Arial Narrow"/>
                <w:b/>
                <w:snapToGrid/>
                <w:sz w:val="20"/>
                <w:lang w:eastAsia="en-AU"/>
              </w:rPr>
              <w:t>treatment-naïve</w:t>
            </w:r>
          </w:p>
          <w:p w:rsidR="001D1B2D" w:rsidRPr="003B7F94" w:rsidRDefault="001D1B2D" w:rsidP="00AF42C2">
            <w:pPr>
              <w:keepNext/>
              <w:keepLines/>
              <w:widowControl/>
              <w:rPr>
                <w:rFonts w:ascii="Arial Narrow" w:eastAsiaTheme="majorEastAsia" w:hAnsi="Arial Narrow"/>
                <w:b/>
                <w:bCs/>
                <w:snapToGrid/>
                <w:sz w:val="20"/>
                <w:lang w:eastAsia="en-AU"/>
              </w:rPr>
            </w:pPr>
            <w:r>
              <w:rPr>
                <w:rFonts w:ascii="Arial Narrow" w:hAnsi="Arial Narrow"/>
                <w:b/>
                <w:snapToGrid/>
                <w:sz w:val="20"/>
                <w:lang w:eastAsia="en-AU"/>
              </w:rPr>
              <w:t>Cirrhotic</w:t>
            </w:r>
          </w:p>
        </w:tc>
        <w:tc>
          <w:tcPr>
            <w:tcW w:w="2022" w:type="dxa"/>
          </w:tcPr>
          <w:p w:rsidR="001D1B2D" w:rsidRPr="003B7F94" w:rsidRDefault="001D1B2D" w:rsidP="00754ECB">
            <w:pPr>
              <w:keepNext/>
              <w:keepLines/>
              <w:widowControl/>
              <w:rPr>
                <w:rFonts w:ascii="Arial Narrow" w:hAnsi="Arial Narrow"/>
                <w:snapToGrid/>
                <w:sz w:val="20"/>
                <w:lang w:eastAsia="en-AU"/>
              </w:rPr>
            </w:pPr>
            <w:r w:rsidRPr="003B7F94">
              <w:rPr>
                <w:rFonts w:ascii="Arial Narrow" w:hAnsi="Arial Narrow"/>
                <w:snapToGrid/>
                <w:sz w:val="20"/>
                <w:lang w:eastAsia="en-AU"/>
              </w:rPr>
              <w:t xml:space="preserve">for every 100 patients treated with </w:t>
            </w:r>
            <w:r w:rsidRPr="00A46684">
              <w:rPr>
                <w:rFonts w:ascii="Arial Narrow" w:hAnsi="Arial Narrow"/>
                <w:snapToGrid/>
                <w:sz w:val="20"/>
                <w:u w:val="single"/>
                <w:lang w:eastAsia="en-AU"/>
              </w:rPr>
              <w:t>DCV</w:t>
            </w:r>
            <w:r>
              <w:rPr>
                <w:rFonts w:ascii="Arial Narrow" w:hAnsi="Arial Narrow"/>
                <w:snapToGrid/>
                <w:sz w:val="20"/>
                <w:u w:val="single"/>
                <w:lang w:eastAsia="en-AU"/>
              </w:rPr>
              <w:t>12</w:t>
            </w:r>
            <w:r w:rsidRPr="00A46684">
              <w:rPr>
                <w:rFonts w:ascii="Arial Narrow" w:hAnsi="Arial Narrow"/>
                <w:snapToGrid/>
                <w:sz w:val="20"/>
                <w:u w:val="single"/>
                <w:lang w:eastAsia="en-AU"/>
              </w:rPr>
              <w:t xml:space="preserve"> + SOF</w:t>
            </w:r>
            <w:r>
              <w:rPr>
                <w:rFonts w:ascii="Arial Narrow" w:hAnsi="Arial Narrow"/>
                <w:snapToGrid/>
                <w:sz w:val="20"/>
                <w:u w:val="single"/>
                <w:lang w:eastAsia="en-AU"/>
              </w:rPr>
              <w:t>12</w:t>
            </w:r>
            <w:r w:rsidRPr="003B7F94">
              <w:rPr>
                <w:rFonts w:ascii="Arial Narrow" w:hAnsi="Arial Narrow"/>
                <w:snapToGrid/>
                <w:sz w:val="20"/>
                <w:lang w:eastAsia="en-AU"/>
              </w:rPr>
              <w:t xml:space="preserve"> in comparison to</w:t>
            </w:r>
            <w:r w:rsidRPr="003B7F94">
              <w:rPr>
                <w:rFonts w:ascii="Arial Narrow" w:hAnsi="Arial Narrow"/>
                <w:snapToGrid/>
                <w:sz w:val="20"/>
                <w:u w:val="single"/>
                <w:lang w:eastAsia="en-AU"/>
              </w:rPr>
              <w:t xml:space="preserve"> </w:t>
            </w:r>
            <w:r>
              <w:rPr>
                <w:rFonts w:ascii="Arial Narrow" w:hAnsi="Arial Narrow"/>
                <w:snapToGrid/>
                <w:sz w:val="20"/>
                <w:u w:val="single"/>
                <w:lang w:eastAsia="en-AU"/>
              </w:rPr>
              <w:t>no treatment</w:t>
            </w:r>
          </w:p>
        </w:tc>
        <w:tc>
          <w:tcPr>
            <w:tcW w:w="2953" w:type="dxa"/>
          </w:tcPr>
          <w:p w:rsidR="001D1B2D" w:rsidRPr="003B7F94" w:rsidRDefault="001D1B2D" w:rsidP="00C768A3">
            <w:pPr>
              <w:keepNext/>
              <w:keepLines/>
              <w:widowControl/>
              <w:numPr>
                <w:ilvl w:val="0"/>
                <w:numId w:val="4"/>
              </w:numPr>
              <w:contextualSpacing/>
              <w:jc w:val="left"/>
              <w:rPr>
                <w:rFonts w:ascii="Arial Narrow" w:hAnsi="Arial Narrow"/>
                <w:snapToGrid/>
                <w:sz w:val="20"/>
                <w:lang w:eastAsia="en-AU"/>
              </w:rPr>
            </w:pPr>
            <w:r w:rsidRPr="003B7F94">
              <w:rPr>
                <w:rFonts w:ascii="Arial Narrow" w:hAnsi="Arial Narrow"/>
                <w:snapToGrid/>
                <w:sz w:val="20"/>
                <w:lang w:eastAsia="en-AU"/>
              </w:rPr>
              <w:t xml:space="preserve">Approximately </w:t>
            </w:r>
            <w:r w:rsidRPr="001D1B2D">
              <w:rPr>
                <w:rFonts w:ascii="Arial Narrow" w:hAnsi="Arial Narrow"/>
                <w:snapToGrid/>
                <w:sz w:val="20"/>
                <w:lang w:eastAsia="en-AU"/>
              </w:rPr>
              <w:t>58</w:t>
            </w:r>
            <w:r w:rsidRPr="003B7F94">
              <w:rPr>
                <w:rFonts w:ascii="Arial Narrow" w:hAnsi="Arial Narrow"/>
                <w:snapToGrid/>
                <w:sz w:val="20"/>
                <w:lang w:eastAsia="en-AU"/>
              </w:rPr>
              <w:t xml:space="preserve"> additional patients would be expected to achieve </w:t>
            </w:r>
            <w:r>
              <w:rPr>
                <w:rFonts w:ascii="Arial Narrow" w:hAnsi="Arial Narrow"/>
                <w:snapToGrid/>
                <w:sz w:val="20"/>
                <w:lang w:eastAsia="en-AU"/>
              </w:rPr>
              <w:t xml:space="preserve">an </w:t>
            </w:r>
            <w:r w:rsidRPr="003B7F94">
              <w:rPr>
                <w:rFonts w:ascii="Arial Narrow" w:hAnsi="Arial Narrow"/>
                <w:snapToGrid/>
                <w:sz w:val="20"/>
                <w:lang w:eastAsia="en-AU"/>
              </w:rPr>
              <w:t xml:space="preserve">SVR </w:t>
            </w:r>
            <w:r w:rsidRPr="001D1B2D">
              <w:rPr>
                <w:rFonts w:ascii="Arial Narrow" w:hAnsi="Arial Narrow"/>
                <w:snapToGrid/>
                <w:sz w:val="18"/>
                <w:lang w:eastAsia="en-AU"/>
              </w:rPr>
              <w:t>^</w:t>
            </w:r>
          </w:p>
        </w:tc>
        <w:tc>
          <w:tcPr>
            <w:tcW w:w="2255" w:type="dxa"/>
            <w:vMerge/>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p>
        </w:tc>
      </w:tr>
      <w:tr w:rsidR="001D1B2D" w:rsidRPr="003B7F94" w:rsidTr="000B24A3">
        <w:tc>
          <w:tcPr>
            <w:tcW w:w="1195" w:type="dxa"/>
          </w:tcPr>
          <w:p w:rsidR="001D1B2D" w:rsidRPr="003B7F94" w:rsidRDefault="001D1B2D" w:rsidP="000B24A3">
            <w:pPr>
              <w:keepNext/>
              <w:keepLines/>
              <w:widowControl/>
              <w:spacing w:before="200"/>
              <w:jc w:val="left"/>
              <w:outlineLvl w:val="2"/>
              <w:rPr>
                <w:rFonts w:ascii="Arial Narrow" w:eastAsiaTheme="majorEastAsia" w:hAnsi="Arial Narrow"/>
                <w:b/>
                <w:bCs/>
                <w:snapToGrid/>
                <w:sz w:val="20"/>
                <w:lang w:eastAsia="en-AU"/>
              </w:rPr>
            </w:pPr>
            <w:r w:rsidRPr="003B7F94">
              <w:rPr>
                <w:rFonts w:ascii="Arial Narrow" w:eastAsiaTheme="majorEastAsia" w:hAnsi="Arial Narrow"/>
                <w:b/>
                <w:bCs/>
                <w:snapToGrid/>
                <w:sz w:val="20"/>
                <w:lang w:eastAsia="en-AU"/>
              </w:rPr>
              <w:t xml:space="preserve">Genotype 1, </w:t>
            </w:r>
            <w:r>
              <w:rPr>
                <w:rFonts w:ascii="Arial Narrow" w:eastAsiaTheme="majorEastAsia" w:hAnsi="Arial Narrow"/>
                <w:b/>
                <w:bCs/>
                <w:snapToGrid/>
                <w:sz w:val="20"/>
                <w:lang w:eastAsia="en-AU"/>
              </w:rPr>
              <w:t>treatment-experienced</w:t>
            </w:r>
          </w:p>
          <w:p w:rsidR="001D1B2D" w:rsidRPr="003B7F94" w:rsidRDefault="001D1B2D" w:rsidP="000B24A3">
            <w:pPr>
              <w:keepNext/>
              <w:keepLines/>
              <w:widowControl/>
              <w:rPr>
                <w:rFonts w:ascii="Arial Narrow" w:hAnsi="Arial Narrow"/>
                <w:b/>
                <w:snapToGrid/>
                <w:sz w:val="20"/>
                <w:lang w:eastAsia="en-AU"/>
              </w:rPr>
            </w:pPr>
            <w:r w:rsidRPr="00AF42C2">
              <w:rPr>
                <w:rFonts w:ascii="Arial Narrow" w:hAnsi="Arial Narrow"/>
                <w:b/>
                <w:snapToGrid/>
                <w:sz w:val="20"/>
                <w:lang w:eastAsia="en-AU"/>
              </w:rPr>
              <w:t>Non-c</w:t>
            </w:r>
            <w:r>
              <w:rPr>
                <w:rFonts w:ascii="Arial Narrow" w:hAnsi="Arial Narrow"/>
                <w:b/>
                <w:snapToGrid/>
                <w:sz w:val="20"/>
                <w:lang w:eastAsia="en-AU"/>
              </w:rPr>
              <w:t>irrhotic</w:t>
            </w:r>
          </w:p>
        </w:tc>
        <w:tc>
          <w:tcPr>
            <w:tcW w:w="2022" w:type="dxa"/>
          </w:tcPr>
          <w:p w:rsidR="001D1B2D" w:rsidRPr="003B7F94" w:rsidRDefault="001D1B2D" w:rsidP="000B24A3">
            <w:pPr>
              <w:keepNext/>
              <w:keepLines/>
              <w:widowControl/>
              <w:jc w:val="left"/>
              <w:rPr>
                <w:rFonts w:ascii="Arial Narrow" w:hAnsi="Arial Narrow"/>
                <w:snapToGrid/>
                <w:sz w:val="20"/>
                <w:lang w:eastAsia="en-AU"/>
              </w:rPr>
            </w:pPr>
            <w:r w:rsidRPr="003B7F94">
              <w:rPr>
                <w:rFonts w:ascii="Arial Narrow" w:hAnsi="Arial Narrow"/>
                <w:snapToGrid/>
                <w:sz w:val="20"/>
                <w:lang w:eastAsia="en-AU"/>
              </w:rPr>
              <w:t xml:space="preserve">for every 100 patients treated with </w:t>
            </w:r>
            <w:r w:rsidRPr="00A46684">
              <w:rPr>
                <w:rFonts w:ascii="Arial Narrow" w:hAnsi="Arial Narrow"/>
                <w:snapToGrid/>
                <w:sz w:val="20"/>
                <w:u w:val="single"/>
                <w:lang w:eastAsia="en-AU"/>
              </w:rPr>
              <w:t>DCV24 + SOF24</w:t>
            </w:r>
            <w:r w:rsidRPr="003B7F94">
              <w:rPr>
                <w:rFonts w:ascii="Arial Narrow" w:hAnsi="Arial Narrow"/>
                <w:snapToGrid/>
                <w:sz w:val="20"/>
                <w:u w:val="single"/>
                <w:lang w:eastAsia="en-AU"/>
              </w:rPr>
              <w:t xml:space="preserve"> i</w:t>
            </w:r>
            <w:r w:rsidRPr="003B7F94">
              <w:rPr>
                <w:rFonts w:ascii="Arial Narrow" w:hAnsi="Arial Narrow"/>
                <w:snapToGrid/>
                <w:sz w:val="20"/>
                <w:lang w:eastAsia="en-AU"/>
              </w:rPr>
              <w:t xml:space="preserve">n comparison to </w:t>
            </w:r>
            <w:r w:rsidRPr="003B7F94">
              <w:rPr>
                <w:rFonts w:ascii="Arial Narrow" w:hAnsi="Arial Narrow"/>
                <w:snapToGrid/>
                <w:sz w:val="20"/>
                <w:u w:val="single"/>
                <w:lang w:eastAsia="en-AU"/>
              </w:rPr>
              <w:t>no treatment</w:t>
            </w:r>
            <w:r w:rsidRPr="003B7F94">
              <w:rPr>
                <w:rFonts w:ascii="Arial Narrow" w:hAnsi="Arial Narrow"/>
                <w:snapToGrid/>
                <w:sz w:val="20"/>
                <w:lang w:eastAsia="en-AU"/>
              </w:rPr>
              <w:t>:</w:t>
            </w:r>
          </w:p>
          <w:p w:rsidR="001D1B2D" w:rsidRPr="003B7F94" w:rsidRDefault="001D1B2D" w:rsidP="000B24A3">
            <w:pPr>
              <w:keepNext/>
              <w:keepLines/>
              <w:widowControl/>
              <w:rPr>
                <w:rFonts w:ascii="Arial Narrow" w:hAnsi="Arial Narrow"/>
                <w:snapToGrid/>
                <w:sz w:val="20"/>
                <w:lang w:eastAsia="en-AU"/>
              </w:rPr>
            </w:pPr>
          </w:p>
        </w:tc>
        <w:tc>
          <w:tcPr>
            <w:tcW w:w="2953" w:type="dxa"/>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r w:rsidRPr="003B7F94">
              <w:rPr>
                <w:rFonts w:ascii="Arial Narrow" w:hAnsi="Arial Narrow"/>
                <w:snapToGrid/>
                <w:sz w:val="20"/>
                <w:lang w:eastAsia="en-AU"/>
              </w:rPr>
              <w:t xml:space="preserve">Approximately </w:t>
            </w:r>
            <w:r>
              <w:rPr>
                <w:rFonts w:ascii="Arial Narrow" w:hAnsi="Arial Narrow"/>
                <w:snapToGrid/>
                <w:sz w:val="20"/>
                <w:lang w:eastAsia="en-AU"/>
              </w:rPr>
              <w:t>100</w:t>
            </w:r>
            <w:r w:rsidRPr="003B7F94">
              <w:rPr>
                <w:rFonts w:ascii="Arial Narrow" w:hAnsi="Arial Narrow"/>
                <w:snapToGrid/>
                <w:sz w:val="20"/>
                <w:lang w:eastAsia="en-AU"/>
              </w:rPr>
              <w:t xml:space="preserve"> additional patients would be expected to achieve an SVR</w:t>
            </w:r>
          </w:p>
        </w:tc>
        <w:tc>
          <w:tcPr>
            <w:tcW w:w="2255" w:type="dxa"/>
            <w:vMerge/>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p>
        </w:tc>
      </w:tr>
      <w:tr w:rsidR="001D1B2D" w:rsidRPr="003B7F94" w:rsidTr="000B24A3">
        <w:tc>
          <w:tcPr>
            <w:tcW w:w="1195" w:type="dxa"/>
          </w:tcPr>
          <w:p w:rsidR="001D1B2D" w:rsidRPr="00AF42C2" w:rsidRDefault="001D1B2D" w:rsidP="00F13757">
            <w:pPr>
              <w:keepNext/>
              <w:keepLines/>
              <w:widowControl/>
              <w:rPr>
                <w:rFonts w:ascii="Arial Narrow" w:hAnsi="Arial Narrow"/>
                <w:b/>
                <w:snapToGrid/>
                <w:sz w:val="20"/>
                <w:lang w:eastAsia="en-AU"/>
              </w:rPr>
            </w:pPr>
            <w:r w:rsidRPr="003B7F94">
              <w:rPr>
                <w:rFonts w:ascii="Arial Narrow" w:eastAsiaTheme="majorEastAsia" w:hAnsi="Arial Narrow"/>
                <w:b/>
                <w:bCs/>
                <w:snapToGrid/>
                <w:sz w:val="20"/>
                <w:lang w:eastAsia="en-AU"/>
              </w:rPr>
              <w:t xml:space="preserve">Genotype 3, </w:t>
            </w:r>
            <w:r w:rsidRPr="00AF42C2">
              <w:rPr>
                <w:rFonts w:ascii="Arial Narrow" w:hAnsi="Arial Narrow"/>
                <w:b/>
                <w:snapToGrid/>
                <w:sz w:val="20"/>
                <w:lang w:eastAsia="en-AU"/>
              </w:rPr>
              <w:t>treatment-</w:t>
            </w:r>
            <w:r>
              <w:rPr>
                <w:rFonts w:ascii="Arial Narrow" w:eastAsiaTheme="majorEastAsia" w:hAnsi="Arial Narrow"/>
                <w:b/>
                <w:bCs/>
                <w:snapToGrid/>
                <w:sz w:val="20"/>
                <w:lang w:eastAsia="en-AU"/>
              </w:rPr>
              <w:t xml:space="preserve"> experienced</w:t>
            </w:r>
          </w:p>
          <w:p w:rsidR="001D1B2D" w:rsidRPr="003B7F94" w:rsidRDefault="001D1B2D" w:rsidP="000B24A3">
            <w:pPr>
              <w:keepNext/>
              <w:keepLines/>
              <w:widowControl/>
              <w:spacing w:before="200"/>
              <w:jc w:val="left"/>
              <w:outlineLvl w:val="2"/>
              <w:rPr>
                <w:rFonts w:ascii="Arial Narrow" w:eastAsiaTheme="majorEastAsia" w:hAnsi="Arial Narrow"/>
                <w:b/>
                <w:bCs/>
                <w:snapToGrid/>
                <w:sz w:val="20"/>
                <w:lang w:eastAsia="en-AU"/>
              </w:rPr>
            </w:pPr>
            <w:r w:rsidRPr="00AF42C2">
              <w:rPr>
                <w:rFonts w:ascii="Arial Narrow" w:hAnsi="Arial Narrow"/>
                <w:b/>
                <w:snapToGrid/>
                <w:sz w:val="20"/>
                <w:lang w:eastAsia="en-AU"/>
              </w:rPr>
              <w:t>Non-c</w:t>
            </w:r>
            <w:r>
              <w:rPr>
                <w:rFonts w:ascii="Arial Narrow" w:hAnsi="Arial Narrow"/>
                <w:b/>
                <w:snapToGrid/>
                <w:sz w:val="20"/>
                <w:lang w:eastAsia="en-AU"/>
              </w:rPr>
              <w:t>irrhotic</w:t>
            </w:r>
          </w:p>
        </w:tc>
        <w:tc>
          <w:tcPr>
            <w:tcW w:w="2022" w:type="dxa"/>
          </w:tcPr>
          <w:p w:rsidR="001D1B2D" w:rsidRPr="003B7F94" w:rsidRDefault="001D1B2D" w:rsidP="000B24A3">
            <w:pPr>
              <w:keepNext/>
              <w:keepLines/>
              <w:widowControl/>
              <w:jc w:val="left"/>
              <w:rPr>
                <w:rFonts w:ascii="Arial Narrow" w:hAnsi="Arial Narrow"/>
                <w:snapToGrid/>
                <w:sz w:val="20"/>
                <w:lang w:eastAsia="en-AU"/>
              </w:rPr>
            </w:pPr>
            <w:r w:rsidRPr="003B7F94">
              <w:rPr>
                <w:rFonts w:ascii="Arial Narrow" w:hAnsi="Arial Narrow"/>
                <w:snapToGrid/>
                <w:sz w:val="20"/>
                <w:lang w:eastAsia="en-AU"/>
              </w:rPr>
              <w:t xml:space="preserve">for every 100 patients treated with </w:t>
            </w:r>
            <w:r w:rsidRPr="00A46684">
              <w:rPr>
                <w:rFonts w:ascii="Arial Narrow" w:hAnsi="Arial Narrow"/>
                <w:snapToGrid/>
                <w:sz w:val="20"/>
                <w:u w:val="single"/>
                <w:lang w:eastAsia="en-AU"/>
              </w:rPr>
              <w:t>DCV</w:t>
            </w:r>
            <w:r>
              <w:rPr>
                <w:rFonts w:ascii="Arial Narrow" w:hAnsi="Arial Narrow"/>
                <w:snapToGrid/>
                <w:sz w:val="20"/>
                <w:u w:val="single"/>
                <w:lang w:eastAsia="en-AU"/>
              </w:rPr>
              <w:t>12</w:t>
            </w:r>
            <w:r w:rsidRPr="00A46684">
              <w:rPr>
                <w:rFonts w:ascii="Arial Narrow" w:hAnsi="Arial Narrow"/>
                <w:snapToGrid/>
                <w:sz w:val="20"/>
                <w:u w:val="single"/>
                <w:lang w:eastAsia="en-AU"/>
              </w:rPr>
              <w:t xml:space="preserve"> + SOF</w:t>
            </w:r>
            <w:r>
              <w:rPr>
                <w:rFonts w:ascii="Arial Narrow" w:hAnsi="Arial Narrow"/>
                <w:snapToGrid/>
                <w:sz w:val="20"/>
                <w:u w:val="single"/>
                <w:lang w:eastAsia="en-AU"/>
              </w:rPr>
              <w:t>12</w:t>
            </w:r>
            <w:r w:rsidRPr="003B7F94">
              <w:rPr>
                <w:rFonts w:ascii="Arial Narrow" w:hAnsi="Arial Narrow"/>
                <w:snapToGrid/>
                <w:sz w:val="20"/>
                <w:lang w:eastAsia="en-AU"/>
              </w:rPr>
              <w:t xml:space="preserve"> in comparison to</w:t>
            </w:r>
            <w:r w:rsidRPr="003B7F94">
              <w:rPr>
                <w:rFonts w:ascii="Arial Narrow" w:hAnsi="Arial Narrow"/>
                <w:snapToGrid/>
                <w:sz w:val="20"/>
                <w:u w:val="single"/>
                <w:lang w:eastAsia="en-AU"/>
              </w:rPr>
              <w:t xml:space="preserve"> </w:t>
            </w:r>
            <w:r>
              <w:rPr>
                <w:rFonts w:ascii="Arial Narrow" w:hAnsi="Arial Narrow"/>
                <w:snapToGrid/>
                <w:sz w:val="20"/>
                <w:u w:val="single"/>
                <w:lang w:eastAsia="en-AU"/>
              </w:rPr>
              <w:t>no treatment</w:t>
            </w:r>
          </w:p>
        </w:tc>
        <w:tc>
          <w:tcPr>
            <w:tcW w:w="2953" w:type="dxa"/>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r w:rsidRPr="003B7F94">
              <w:rPr>
                <w:rFonts w:ascii="Arial Narrow" w:hAnsi="Arial Narrow"/>
                <w:snapToGrid/>
                <w:sz w:val="20"/>
                <w:lang w:eastAsia="en-AU"/>
              </w:rPr>
              <w:t xml:space="preserve">Approximately </w:t>
            </w:r>
            <w:r>
              <w:rPr>
                <w:rFonts w:ascii="Arial Narrow" w:hAnsi="Arial Narrow"/>
                <w:snapToGrid/>
                <w:sz w:val="20"/>
                <w:lang w:eastAsia="en-AU"/>
              </w:rPr>
              <w:t>94</w:t>
            </w:r>
            <w:r w:rsidRPr="003B7F94">
              <w:rPr>
                <w:rFonts w:ascii="Arial Narrow" w:hAnsi="Arial Narrow"/>
                <w:snapToGrid/>
                <w:sz w:val="20"/>
                <w:lang w:eastAsia="en-AU"/>
              </w:rPr>
              <w:t xml:space="preserve"> additional patients would be expected to achieve </w:t>
            </w:r>
            <w:r>
              <w:rPr>
                <w:rFonts w:ascii="Arial Narrow" w:hAnsi="Arial Narrow"/>
                <w:snapToGrid/>
                <w:sz w:val="20"/>
                <w:lang w:eastAsia="en-AU"/>
              </w:rPr>
              <w:t xml:space="preserve">an </w:t>
            </w:r>
            <w:r w:rsidRPr="003B7F94">
              <w:rPr>
                <w:rFonts w:ascii="Arial Narrow" w:hAnsi="Arial Narrow"/>
                <w:snapToGrid/>
                <w:sz w:val="20"/>
                <w:lang w:eastAsia="en-AU"/>
              </w:rPr>
              <w:t xml:space="preserve">SVR </w:t>
            </w:r>
            <w:r w:rsidRPr="001D1B2D">
              <w:rPr>
                <w:rFonts w:ascii="Arial Narrow" w:hAnsi="Arial Narrow"/>
                <w:snapToGrid/>
                <w:sz w:val="18"/>
                <w:lang w:eastAsia="en-AU"/>
              </w:rPr>
              <w:t>^</w:t>
            </w:r>
          </w:p>
        </w:tc>
        <w:tc>
          <w:tcPr>
            <w:tcW w:w="2255" w:type="dxa"/>
            <w:vMerge/>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p>
        </w:tc>
      </w:tr>
      <w:tr w:rsidR="001D1B2D" w:rsidRPr="003B7F94" w:rsidTr="000B24A3">
        <w:tc>
          <w:tcPr>
            <w:tcW w:w="1195" w:type="dxa"/>
          </w:tcPr>
          <w:p w:rsidR="001D1B2D" w:rsidRPr="00AF42C2" w:rsidRDefault="001D1B2D" w:rsidP="00F13757">
            <w:pPr>
              <w:keepNext/>
              <w:keepLines/>
              <w:widowControl/>
              <w:rPr>
                <w:rFonts w:ascii="Arial Narrow" w:hAnsi="Arial Narrow"/>
                <w:b/>
                <w:snapToGrid/>
                <w:sz w:val="20"/>
                <w:lang w:eastAsia="en-AU"/>
              </w:rPr>
            </w:pPr>
            <w:r w:rsidRPr="003B7F94">
              <w:rPr>
                <w:rFonts w:ascii="Arial Narrow" w:eastAsiaTheme="majorEastAsia" w:hAnsi="Arial Narrow"/>
                <w:b/>
                <w:bCs/>
                <w:snapToGrid/>
                <w:sz w:val="20"/>
                <w:lang w:eastAsia="en-AU"/>
              </w:rPr>
              <w:t xml:space="preserve">Genotype 3, </w:t>
            </w:r>
            <w:r w:rsidRPr="00AF42C2">
              <w:rPr>
                <w:rFonts w:ascii="Arial Narrow" w:hAnsi="Arial Narrow"/>
                <w:b/>
                <w:snapToGrid/>
                <w:sz w:val="20"/>
                <w:lang w:eastAsia="en-AU"/>
              </w:rPr>
              <w:t>treatment-</w:t>
            </w:r>
            <w:r>
              <w:rPr>
                <w:rFonts w:ascii="Arial Narrow" w:eastAsiaTheme="majorEastAsia" w:hAnsi="Arial Narrow"/>
                <w:b/>
                <w:bCs/>
                <w:snapToGrid/>
                <w:sz w:val="20"/>
                <w:lang w:eastAsia="en-AU"/>
              </w:rPr>
              <w:t xml:space="preserve"> experienced</w:t>
            </w:r>
          </w:p>
          <w:p w:rsidR="001D1B2D" w:rsidRPr="003B7F94" w:rsidRDefault="001D1B2D" w:rsidP="000B24A3">
            <w:pPr>
              <w:keepNext/>
              <w:keepLines/>
              <w:widowControl/>
              <w:spacing w:before="200"/>
              <w:jc w:val="left"/>
              <w:outlineLvl w:val="2"/>
              <w:rPr>
                <w:rFonts w:ascii="Arial Narrow" w:eastAsiaTheme="majorEastAsia" w:hAnsi="Arial Narrow"/>
                <w:b/>
                <w:bCs/>
                <w:snapToGrid/>
                <w:sz w:val="20"/>
                <w:lang w:eastAsia="en-AU"/>
              </w:rPr>
            </w:pPr>
            <w:r>
              <w:rPr>
                <w:rFonts w:ascii="Arial Narrow" w:hAnsi="Arial Narrow"/>
                <w:b/>
                <w:snapToGrid/>
                <w:sz w:val="20"/>
                <w:lang w:eastAsia="en-AU"/>
              </w:rPr>
              <w:t>Cirrhotic</w:t>
            </w:r>
          </w:p>
        </w:tc>
        <w:tc>
          <w:tcPr>
            <w:tcW w:w="2022" w:type="dxa"/>
          </w:tcPr>
          <w:p w:rsidR="001D1B2D" w:rsidRPr="003B7F94" w:rsidRDefault="001D1B2D" w:rsidP="000B24A3">
            <w:pPr>
              <w:keepNext/>
              <w:keepLines/>
              <w:widowControl/>
              <w:jc w:val="left"/>
              <w:rPr>
                <w:rFonts w:ascii="Arial Narrow" w:hAnsi="Arial Narrow"/>
                <w:snapToGrid/>
                <w:sz w:val="20"/>
                <w:lang w:eastAsia="en-AU"/>
              </w:rPr>
            </w:pPr>
            <w:r w:rsidRPr="003B7F94">
              <w:rPr>
                <w:rFonts w:ascii="Arial Narrow" w:hAnsi="Arial Narrow"/>
                <w:snapToGrid/>
                <w:sz w:val="20"/>
                <w:lang w:eastAsia="en-AU"/>
              </w:rPr>
              <w:t xml:space="preserve">for every 100 patients treated with </w:t>
            </w:r>
            <w:r w:rsidRPr="00A46684">
              <w:rPr>
                <w:rFonts w:ascii="Arial Narrow" w:hAnsi="Arial Narrow"/>
                <w:snapToGrid/>
                <w:sz w:val="20"/>
                <w:u w:val="single"/>
                <w:lang w:eastAsia="en-AU"/>
              </w:rPr>
              <w:t>DCV</w:t>
            </w:r>
            <w:r>
              <w:rPr>
                <w:rFonts w:ascii="Arial Narrow" w:hAnsi="Arial Narrow"/>
                <w:snapToGrid/>
                <w:sz w:val="20"/>
                <w:u w:val="single"/>
                <w:lang w:eastAsia="en-AU"/>
              </w:rPr>
              <w:t>12</w:t>
            </w:r>
            <w:r w:rsidRPr="00A46684">
              <w:rPr>
                <w:rFonts w:ascii="Arial Narrow" w:hAnsi="Arial Narrow"/>
                <w:snapToGrid/>
                <w:sz w:val="20"/>
                <w:u w:val="single"/>
                <w:lang w:eastAsia="en-AU"/>
              </w:rPr>
              <w:t xml:space="preserve"> + SOF</w:t>
            </w:r>
            <w:r>
              <w:rPr>
                <w:rFonts w:ascii="Arial Narrow" w:hAnsi="Arial Narrow"/>
                <w:snapToGrid/>
                <w:sz w:val="20"/>
                <w:u w:val="single"/>
                <w:lang w:eastAsia="en-AU"/>
              </w:rPr>
              <w:t>12</w:t>
            </w:r>
            <w:r w:rsidRPr="003B7F94">
              <w:rPr>
                <w:rFonts w:ascii="Arial Narrow" w:hAnsi="Arial Narrow"/>
                <w:snapToGrid/>
                <w:sz w:val="20"/>
                <w:lang w:eastAsia="en-AU"/>
              </w:rPr>
              <w:t xml:space="preserve"> in comparison to</w:t>
            </w:r>
            <w:r w:rsidRPr="003B7F94">
              <w:rPr>
                <w:rFonts w:ascii="Arial Narrow" w:hAnsi="Arial Narrow"/>
                <w:snapToGrid/>
                <w:sz w:val="20"/>
                <w:u w:val="single"/>
                <w:lang w:eastAsia="en-AU"/>
              </w:rPr>
              <w:t xml:space="preserve"> </w:t>
            </w:r>
            <w:r>
              <w:rPr>
                <w:rFonts w:ascii="Arial Narrow" w:hAnsi="Arial Narrow"/>
                <w:snapToGrid/>
                <w:sz w:val="20"/>
                <w:u w:val="single"/>
                <w:lang w:eastAsia="en-AU"/>
              </w:rPr>
              <w:t>no treatment</w:t>
            </w:r>
          </w:p>
        </w:tc>
        <w:tc>
          <w:tcPr>
            <w:tcW w:w="2953" w:type="dxa"/>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r w:rsidRPr="003B7F94">
              <w:rPr>
                <w:rFonts w:ascii="Arial Narrow" w:hAnsi="Arial Narrow"/>
                <w:snapToGrid/>
                <w:sz w:val="20"/>
                <w:lang w:eastAsia="en-AU"/>
              </w:rPr>
              <w:t xml:space="preserve">Approximately </w:t>
            </w:r>
            <w:r>
              <w:rPr>
                <w:rFonts w:ascii="Arial Narrow" w:hAnsi="Arial Narrow"/>
                <w:snapToGrid/>
                <w:sz w:val="20"/>
                <w:lang w:eastAsia="en-AU"/>
              </w:rPr>
              <w:t>69</w:t>
            </w:r>
            <w:r w:rsidRPr="003B7F94">
              <w:rPr>
                <w:rFonts w:ascii="Arial Narrow" w:hAnsi="Arial Narrow"/>
                <w:snapToGrid/>
                <w:sz w:val="20"/>
                <w:lang w:eastAsia="en-AU"/>
              </w:rPr>
              <w:t xml:space="preserve"> additional patients would be expected to achieve </w:t>
            </w:r>
            <w:r>
              <w:rPr>
                <w:rFonts w:ascii="Arial Narrow" w:hAnsi="Arial Narrow"/>
                <w:snapToGrid/>
                <w:sz w:val="20"/>
                <w:lang w:eastAsia="en-AU"/>
              </w:rPr>
              <w:t xml:space="preserve">an </w:t>
            </w:r>
            <w:r w:rsidRPr="003B7F94">
              <w:rPr>
                <w:rFonts w:ascii="Arial Narrow" w:hAnsi="Arial Narrow"/>
                <w:snapToGrid/>
                <w:sz w:val="20"/>
                <w:lang w:eastAsia="en-AU"/>
              </w:rPr>
              <w:t xml:space="preserve">SVR </w:t>
            </w:r>
            <w:r w:rsidRPr="001D1B2D">
              <w:rPr>
                <w:rFonts w:ascii="Arial Narrow" w:hAnsi="Arial Narrow"/>
                <w:snapToGrid/>
                <w:sz w:val="18"/>
                <w:lang w:eastAsia="en-AU"/>
              </w:rPr>
              <w:t>^</w:t>
            </w:r>
          </w:p>
        </w:tc>
        <w:tc>
          <w:tcPr>
            <w:tcW w:w="2255" w:type="dxa"/>
            <w:vMerge/>
          </w:tcPr>
          <w:p w:rsidR="001D1B2D" w:rsidRPr="003B7F94" w:rsidRDefault="001D1B2D" w:rsidP="00C768A3">
            <w:pPr>
              <w:keepNext/>
              <w:keepLines/>
              <w:widowControl/>
              <w:numPr>
                <w:ilvl w:val="0"/>
                <w:numId w:val="4"/>
              </w:numPr>
              <w:ind w:left="218" w:hanging="142"/>
              <w:contextualSpacing/>
              <w:jc w:val="left"/>
              <w:rPr>
                <w:rFonts w:ascii="Arial Narrow" w:hAnsi="Arial Narrow"/>
                <w:snapToGrid/>
                <w:sz w:val="20"/>
                <w:lang w:eastAsia="en-AU"/>
              </w:rPr>
            </w:pPr>
          </w:p>
        </w:tc>
      </w:tr>
    </w:tbl>
    <w:p w:rsidR="00B62715" w:rsidRDefault="00B62715" w:rsidP="00552BD3">
      <w:pPr>
        <w:pStyle w:val="TableFooter"/>
        <w:ind w:left="720"/>
      </w:pPr>
      <w:r w:rsidRPr="0072416F">
        <w:t xml:space="preserve">* </w:t>
      </w:r>
      <w:r w:rsidR="00826C22">
        <w:t xml:space="preserve">SVR = sustained </w:t>
      </w:r>
      <w:proofErr w:type="spellStart"/>
      <w:r w:rsidR="00826C22">
        <w:t>virologic</w:t>
      </w:r>
      <w:proofErr w:type="spellEnd"/>
      <w:r w:rsidR="00826C22">
        <w:t xml:space="preserve"> response, defined as undetectable HCV RNA at Week 12 after completion of treatment</w:t>
      </w:r>
    </w:p>
    <w:p w:rsidR="0045277F" w:rsidRDefault="0045277F" w:rsidP="00552BD3">
      <w:pPr>
        <w:pStyle w:val="TableFooter"/>
        <w:ind w:left="720"/>
      </w:pPr>
      <w:r>
        <w:t>** Based on on-treatment adverse events</w:t>
      </w:r>
    </w:p>
    <w:p w:rsidR="001D1B2D" w:rsidRPr="001D1B2D" w:rsidRDefault="001D1B2D" w:rsidP="00552BD3">
      <w:pPr>
        <w:pStyle w:val="TableFooter"/>
        <w:ind w:left="720"/>
        <w:rPr>
          <w:sz w:val="16"/>
        </w:rPr>
      </w:pPr>
      <w:r w:rsidRPr="001D1B2D">
        <w:rPr>
          <w:snapToGrid/>
          <w:lang w:eastAsia="en-AU"/>
        </w:rPr>
        <w:t>^</w:t>
      </w:r>
      <w:r w:rsidRPr="001D1B2D">
        <w:rPr>
          <w:sz w:val="16"/>
        </w:rPr>
        <w:t xml:space="preserve"> </w:t>
      </w:r>
      <w:r w:rsidRPr="001D1B2D">
        <w:rPr>
          <w:snapToGrid/>
          <w:lang w:eastAsia="en-AU"/>
        </w:rPr>
        <w:t xml:space="preserve">Sourced from Nelson, D.R. et al. </w:t>
      </w:r>
      <w:proofErr w:type="spellStart"/>
      <w:r w:rsidR="00447919" w:rsidRPr="00447919">
        <w:rPr>
          <w:snapToGrid/>
          <w:lang w:eastAsia="en-AU"/>
        </w:rPr>
        <w:t>Hepatology</w:t>
      </w:r>
      <w:proofErr w:type="spellEnd"/>
      <w:r w:rsidR="00447919" w:rsidRPr="00447919">
        <w:rPr>
          <w:snapToGrid/>
          <w:lang w:eastAsia="en-AU"/>
        </w:rPr>
        <w:t xml:space="preserve"> </w:t>
      </w:r>
      <w:r w:rsidRPr="001D1B2D">
        <w:rPr>
          <w:snapToGrid/>
          <w:lang w:eastAsia="en-AU"/>
        </w:rPr>
        <w:t xml:space="preserve">(2015). </w:t>
      </w:r>
      <w:proofErr w:type="gramStart"/>
      <w:r w:rsidRPr="001D1B2D">
        <w:rPr>
          <w:snapToGrid/>
          <w:lang w:eastAsia="en-AU"/>
        </w:rPr>
        <w:t>Accepted online ahead of print: http://onlinelibrary.wiley.com/doi/10.1002/hep.27726/pdf.</w:t>
      </w:r>
      <w:proofErr w:type="gramEnd"/>
    </w:p>
    <w:p w:rsidR="00B62715" w:rsidRPr="0072416F" w:rsidRDefault="00826C22" w:rsidP="00552BD3">
      <w:pPr>
        <w:pStyle w:val="TableFooter"/>
        <w:ind w:firstLine="720"/>
      </w:pPr>
      <w:r>
        <w:t>DCV = daclatasvir; SOF = sofosbuvir; R = ribavirin; AE = adverse event</w:t>
      </w:r>
    </w:p>
    <w:p w:rsidR="00B62715" w:rsidRPr="0072416F" w:rsidRDefault="00B62715" w:rsidP="00552BD3">
      <w:pPr>
        <w:pStyle w:val="TableFooter"/>
        <w:ind w:firstLine="720"/>
      </w:pPr>
      <w:r w:rsidRPr="0072416F">
        <w:t>Source: Compiled during the evaluation</w:t>
      </w:r>
      <w:r w:rsidR="001D1B2D">
        <w:t xml:space="preserve"> and preparation of the ESC ADV</w:t>
      </w:r>
    </w:p>
    <w:p w:rsidR="00420492" w:rsidRDefault="00420492">
      <w:pPr>
        <w:widowControl/>
        <w:jc w:val="left"/>
      </w:pPr>
      <w:r>
        <w:br w:type="page"/>
      </w:r>
    </w:p>
    <w:p w:rsidR="00B60939" w:rsidRPr="00F253E9" w:rsidRDefault="00B60939" w:rsidP="002C2775">
      <w:pPr>
        <w:pStyle w:val="Heading2"/>
      </w:pPr>
      <w:bookmarkStart w:id="13" w:name="_Toc409610868"/>
      <w:r w:rsidRPr="00F253E9">
        <w:lastRenderedPageBreak/>
        <w:t>Clinical claim</w:t>
      </w:r>
      <w:bookmarkEnd w:id="13"/>
    </w:p>
    <w:p w:rsidR="00B60939" w:rsidRPr="00882085" w:rsidRDefault="00B60939" w:rsidP="00B60939">
      <w:pPr>
        <w:ind w:left="720" w:hanging="720"/>
        <w:rPr>
          <w:szCs w:val="22"/>
        </w:rPr>
      </w:pPr>
    </w:p>
    <w:p w:rsidR="00F62FC0" w:rsidRPr="00464929" w:rsidRDefault="00F62FC0" w:rsidP="00C768A3">
      <w:pPr>
        <w:pStyle w:val="ListParagraph"/>
        <w:widowControl/>
        <w:numPr>
          <w:ilvl w:val="1"/>
          <w:numId w:val="1"/>
        </w:numPr>
      </w:pPr>
      <w:r w:rsidRPr="00826C22">
        <w:t>The submission describe</w:t>
      </w:r>
      <w:r>
        <w:t>d</w:t>
      </w:r>
      <w:r w:rsidRPr="00826C22">
        <w:t xml:space="preserve"> DCV+SOF as superior in terms of </w:t>
      </w:r>
      <w:r>
        <w:t xml:space="preserve">both </w:t>
      </w:r>
      <w:r w:rsidRPr="00826C22">
        <w:t>comparative effectiveness and comparative safety over TVR+PR in patients with genotype 1 HCV, and superior in terms of both effectiveness and safety to PR in patients with genotype</w:t>
      </w:r>
      <w:r>
        <w:t>s</w:t>
      </w:r>
      <w:r w:rsidRPr="00826C22">
        <w:t xml:space="preserve"> 2 and 3 HCV. </w:t>
      </w:r>
      <w:r w:rsidRPr="00464929">
        <w:t xml:space="preserve">This claim was only relevant to the minority of patients </w:t>
      </w:r>
      <w:r w:rsidR="007143B7">
        <w:t>seeking</w:t>
      </w:r>
      <w:r w:rsidRPr="00464929">
        <w:t xml:space="preserve"> treatment with interferon-based treatments rather than waiting for the all-oral, interferon-free regimens to become available. Although the results of the matching-adjusted indirect comparison relative to TVR+PR indicated that DCV+SOF had superior SVR rates, this benefit was likely over-estimated due to the inclusion of cirrhotic patients in the comparator arm but not the intervention arm. With regard to the ‘qualitative’ comparisons and the unadjusted comparisons against the active comparators, exchangeability concerns precluded any confidence </w:t>
      </w:r>
      <w:r w:rsidR="00DB5031">
        <w:t xml:space="preserve">in the estimate of </w:t>
      </w:r>
      <w:r w:rsidRPr="00464929">
        <w:t>the magnitude of the differences in the treatment effect.</w:t>
      </w:r>
      <w:r w:rsidR="00EA289A" w:rsidRPr="00464929">
        <w:t xml:space="preserve"> The claim of superiority in terms of comparative safety is reasonable</w:t>
      </w:r>
      <w:r w:rsidR="005F14B4" w:rsidRPr="00464929">
        <w:t>,</w:t>
      </w:r>
      <w:r w:rsidR="00EA289A" w:rsidRPr="00464929">
        <w:t xml:space="preserve"> given </w:t>
      </w:r>
      <w:r w:rsidR="00E5506F" w:rsidRPr="00464929">
        <w:t xml:space="preserve">that no AEs specifically related to daclatasvir were identified in Study 4040, while </w:t>
      </w:r>
      <w:r w:rsidR="00EA289A" w:rsidRPr="00464929">
        <w:t>the adverse events associated with PR therapy</w:t>
      </w:r>
      <w:r w:rsidR="005F14B4" w:rsidRPr="00464929">
        <w:t xml:space="preserve"> are considerable</w:t>
      </w:r>
      <w:r w:rsidR="00EA289A" w:rsidRPr="00464929">
        <w:t>.</w:t>
      </w:r>
    </w:p>
    <w:p w:rsidR="00826C22" w:rsidRPr="00464929" w:rsidRDefault="00826C22" w:rsidP="00826C22">
      <w:pPr>
        <w:pStyle w:val="ListParagraph"/>
        <w:widowControl/>
      </w:pPr>
    </w:p>
    <w:p w:rsidR="00B343BF" w:rsidRPr="00464929" w:rsidRDefault="00B343BF" w:rsidP="00C768A3">
      <w:pPr>
        <w:pStyle w:val="ListParagraph"/>
        <w:widowControl/>
        <w:numPr>
          <w:ilvl w:val="1"/>
          <w:numId w:val="1"/>
        </w:numPr>
        <w:rPr>
          <w:szCs w:val="22"/>
        </w:rPr>
      </w:pPr>
      <w:r w:rsidRPr="00464929">
        <w:t xml:space="preserve">With regard to the comparator considered appropriate by the PBAC, DCV+SOF was superior to ‘no treatment’ in terms of therapeutic effectiveness and inferior in terms of safety in both </w:t>
      </w:r>
      <w:r w:rsidR="003C6603" w:rsidRPr="00464929">
        <w:t>treatment-naïve</w:t>
      </w:r>
      <w:r w:rsidRPr="00464929">
        <w:t xml:space="preserve"> and </w:t>
      </w:r>
      <w:r w:rsidR="003C6603" w:rsidRPr="00464929">
        <w:t>treatment-experienced</w:t>
      </w:r>
      <w:r w:rsidRPr="00464929">
        <w:t xml:space="preserve"> patients of all genotypes.</w:t>
      </w:r>
    </w:p>
    <w:p w:rsidR="00B343BF" w:rsidRPr="00464929" w:rsidRDefault="00B343BF" w:rsidP="00B343BF">
      <w:pPr>
        <w:ind w:left="709"/>
        <w:rPr>
          <w:szCs w:val="22"/>
        </w:rPr>
      </w:pPr>
    </w:p>
    <w:p w:rsidR="00B343BF" w:rsidRPr="00464929" w:rsidRDefault="00B343BF" w:rsidP="00C768A3">
      <w:pPr>
        <w:pStyle w:val="ListParagraph"/>
        <w:widowControl/>
        <w:numPr>
          <w:ilvl w:val="1"/>
          <w:numId w:val="1"/>
        </w:numPr>
        <w:rPr>
          <w:szCs w:val="22"/>
        </w:rPr>
      </w:pPr>
      <w:r w:rsidRPr="00464929">
        <w:rPr>
          <w:szCs w:val="22"/>
        </w:rPr>
        <w:t>Based on the evidence provided in the submission, the following issues remained un</w:t>
      </w:r>
      <w:r w:rsidR="00961A07">
        <w:rPr>
          <w:szCs w:val="22"/>
        </w:rPr>
        <w:t>resolved</w:t>
      </w:r>
      <w:r w:rsidRPr="00464929">
        <w:rPr>
          <w:szCs w:val="22"/>
        </w:rPr>
        <w:t>:</w:t>
      </w:r>
    </w:p>
    <w:p w:rsidR="00B343BF" w:rsidRPr="003F546E" w:rsidRDefault="00B343BF" w:rsidP="00C768A3">
      <w:pPr>
        <w:pStyle w:val="ListParagraph"/>
        <w:widowControl/>
        <w:numPr>
          <w:ilvl w:val="0"/>
          <w:numId w:val="6"/>
        </w:numPr>
        <w:ind w:left="1080"/>
        <w:rPr>
          <w:szCs w:val="22"/>
        </w:rPr>
      </w:pPr>
      <w:r w:rsidRPr="003F546E">
        <w:rPr>
          <w:szCs w:val="22"/>
        </w:rPr>
        <w:t>Whether the proposed treatment duration of 12 weeks in all genotypes</w:t>
      </w:r>
      <w:r w:rsidR="00961A07" w:rsidRPr="003F546E">
        <w:rPr>
          <w:szCs w:val="22"/>
        </w:rPr>
        <w:t xml:space="preserve"> was appropriate,</w:t>
      </w:r>
      <w:r w:rsidRPr="003F546E">
        <w:rPr>
          <w:szCs w:val="22"/>
        </w:rPr>
        <w:t xml:space="preserve"> regardless of treatment history or cirrhosis status, given that there were no data supporting this regimen in any patient subgroup other than non-cirrhotic </w:t>
      </w:r>
      <w:r w:rsidR="003C6603" w:rsidRPr="003F546E">
        <w:rPr>
          <w:szCs w:val="22"/>
        </w:rPr>
        <w:t>treatment-naïve</w:t>
      </w:r>
      <w:r w:rsidRPr="003F546E">
        <w:rPr>
          <w:szCs w:val="22"/>
        </w:rPr>
        <w:t xml:space="preserve"> patients with genotype 1 HCV infection;</w:t>
      </w:r>
    </w:p>
    <w:p w:rsidR="00B343BF" w:rsidRPr="003F546E" w:rsidRDefault="00B343BF" w:rsidP="00C768A3">
      <w:pPr>
        <w:pStyle w:val="ListParagraph"/>
        <w:numPr>
          <w:ilvl w:val="0"/>
          <w:numId w:val="5"/>
        </w:numPr>
        <w:ind w:left="1080"/>
      </w:pPr>
      <w:r w:rsidRPr="003F546E">
        <w:t>There was no evidence provided on DCV+SOF treatment</w:t>
      </w:r>
      <w:r w:rsidR="00AF42C2" w:rsidRPr="003F546E">
        <w:t>,</w:t>
      </w:r>
      <w:r w:rsidRPr="003F546E">
        <w:t xml:space="preserve"> </w:t>
      </w:r>
      <w:r w:rsidR="00AF42C2" w:rsidRPr="003F546E">
        <w:t xml:space="preserve">of any duration, </w:t>
      </w:r>
      <w:r w:rsidRPr="003F546E">
        <w:t>in the following patients:</w:t>
      </w:r>
    </w:p>
    <w:p w:rsidR="00B343BF" w:rsidRPr="003F546E" w:rsidRDefault="003C6603" w:rsidP="00C768A3">
      <w:pPr>
        <w:pStyle w:val="ListParagraph"/>
        <w:numPr>
          <w:ilvl w:val="1"/>
          <w:numId w:val="5"/>
        </w:numPr>
      </w:pPr>
      <w:r w:rsidRPr="003F546E">
        <w:t>Treatment-experienced</w:t>
      </w:r>
      <w:r w:rsidR="00B343BF" w:rsidRPr="003F546E">
        <w:t xml:space="preserve"> patients with genotype 2</w:t>
      </w:r>
      <w:r w:rsidR="00970392" w:rsidRPr="003F546E">
        <w:t>,3, 4, 5 and</w:t>
      </w:r>
      <w:r w:rsidR="00790214">
        <w:t xml:space="preserve"> </w:t>
      </w:r>
      <w:r w:rsidR="00B343BF" w:rsidRPr="003F546E">
        <w:t>6 HCV;</w:t>
      </w:r>
    </w:p>
    <w:p w:rsidR="00B343BF" w:rsidRPr="003F546E" w:rsidRDefault="00B343BF" w:rsidP="00C768A3">
      <w:pPr>
        <w:pStyle w:val="ListParagraph"/>
        <w:numPr>
          <w:ilvl w:val="1"/>
          <w:numId w:val="5"/>
        </w:numPr>
      </w:pPr>
      <w:r w:rsidRPr="003F546E">
        <w:t>Patients with documented cirrhosis</w:t>
      </w:r>
      <w:r w:rsidR="00284D77" w:rsidRPr="003F546E">
        <w:t xml:space="preserve"> </w:t>
      </w:r>
      <w:r w:rsidRPr="003F546E">
        <w:t>;</w:t>
      </w:r>
      <w:r w:rsidR="000507F6" w:rsidRPr="003F546E">
        <w:t xml:space="preserve"> </w:t>
      </w:r>
    </w:p>
    <w:p w:rsidR="008714C6" w:rsidRPr="003F546E" w:rsidRDefault="003C6603" w:rsidP="00C768A3">
      <w:pPr>
        <w:pStyle w:val="ListParagraph"/>
        <w:numPr>
          <w:ilvl w:val="1"/>
          <w:numId w:val="5"/>
        </w:numPr>
      </w:pPr>
      <w:r w:rsidRPr="003F546E">
        <w:t>Treatment-naïve</w:t>
      </w:r>
      <w:r w:rsidR="000507F6" w:rsidRPr="003F546E">
        <w:t xml:space="preserve"> patients with genotype 4</w:t>
      </w:r>
      <w:r w:rsidR="00970392" w:rsidRPr="003F546E">
        <w:t xml:space="preserve">, 5 and </w:t>
      </w:r>
      <w:r w:rsidR="000507F6" w:rsidRPr="003F546E">
        <w:t>6 HCV</w:t>
      </w:r>
      <w:r w:rsidR="008714C6" w:rsidRPr="003F546E">
        <w:t>; and</w:t>
      </w:r>
    </w:p>
    <w:p w:rsidR="008714C6" w:rsidRPr="003F546E" w:rsidRDefault="008714C6" w:rsidP="00C768A3">
      <w:pPr>
        <w:pStyle w:val="ListParagraph"/>
        <w:widowControl/>
        <w:numPr>
          <w:ilvl w:val="1"/>
          <w:numId w:val="5"/>
        </w:numPr>
        <w:rPr>
          <w:i/>
          <w:szCs w:val="22"/>
        </w:rPr>
      </w:pPr>
      <w:r w:rsidRPr="003F546E">
        <w:rPr>
          <w:szCs w:val="22"/>
        </w:rPr>
        <w:t>Patients with HCV and HIV or HBV co-infection.</w:t>
      </w:r>
    </w:p>
    <w:p w:rsidR="00B343BF" w:rsidRDefault="00B343BF" w:rsidP="008714C6">
      <w:pPr>
        <w:ind w:left="1080"/>
        <w:rPr>
          <w:i/>
        </w:rPr>
      </w:pPr>
    </w:p>
    <w:p w:rsidR="005B675B" w:rsidRPr="00F27FA5" w:rsidRDefault="005B675B" w:rsidP="00C768A3">
      <w:pPr>
        <w:pStyle w:val="ListParagraph"/>
        <w:widowControl/>
        <w:numPr>
          <w:ilvl w:val="1"/>
          <w:numId w:val="1"/>
        </w:numPr>
      </w:pPr>
      <w:r w:rsidRPr="00214F99">
        <w:rPr>
          <w:szCs w:val="22"/>
        </w:rPr>
        <w:t xml:space="preserve">The ESC noted that results from ALLY-3 open label trial of </w:t>
      </w:r>
      <w:r w:rsidR="00790214">
        <w:rPr>
          <w:szCs w:val="22"/>
        </w:rPr>
        <w:t>DCV+SOF</w:t>
      </w:r>
      <w:r w:rsidRPr="00214F99">
        <w:rPr>
          <w:szCs w:val="22"/>
        </w:rPr>
        <w:t xml:space="preserve">12 for GT3 patients became available after submission. While the study confirmed high rates of SVR with </w:t>
      </w:r>
      <w:r w:rsidR="00790214">
        <w:rPr>
          <w:szCs w:val="22"/>
        </w:rPr>
        <w:t>DCV+SOF</w:t>
      </w:r>
      <w:r w:rsidRPr="00214F99">
        <w:rPr>
          <w:szCs w:val="22"/>
        </w:rPr>
        <w:t>12 for GT3 naïve and experienced patients without cirrhosis, observed SVR was lower among the small number of naïve and experienced patients with cirrhosis.</w:t>
      </w:r>
    </w:p>
    <w:p w:rsidR="00F27FA5" w:rsidRPr="00F27FA5" w:rsidRDefault="00F27FA5" w:rsidP="00F27FA5">
      <w:pPr>
        <w:pStyle w:val="PBACHeading1"/>
        <w:numPr>
          <w:ilvl w:val="0"/>
          <w:numId w:val="0"/>
        </w:numPr>
        <w:ind w:left="720" w:hanging="720"/>
      </w:pPr>
    </w:p>
    <w:p w:rsidR="00F27FA5" w:rsidRDefault="00F27FA5" w:rsidP="00F27FA5">
      <w:pPr>
        <w:pStyle w:val="ListParagraph"/>
        <w:widowControl/>
        <w:numPr>
          <w:ilvl w:val="1"/>
          <w:numId w:val="1"/>
        </w:numPr>
      </w:pPr>
      <w:r>
        <w:t xml:space="preserve">The PBAC considered that the claim of superior comparative effectiveness and inferior comparative safety to no treatment was reasonable for GT1 naïve non-cirrhotic patients and for GT3 naïve/experienced cirrhotic/non-cirrhotic patients. </w:t>
      </w:r>
    </w:p>
    <w:p w:rsidR="00F27FA5" w:rsidRDefault="00F27FA5" w:rsidP="00F27FA5">
      <w:pPr>
        <w:pStyle w:val="ListParagraph"/>
        <w:widowControl/>
      </w:pPr>
    </w:p>
    <w:p w:rsidR="00F27FA5" w:rsidRDefault="00F27FA5" w:rsidP="00F27FA5">
      <w:pPr>
        <w:pStyle w:val="ListParagraph"/>
        <w:widowControl/>
        <w:numPr>
          <w:ilvl w:val="1"/>
          <w:numId w:val="1"/>
        </w:numPr>
      </w:pPr>
      <w:r>
        <w:t xml:space="preserve">Based on the evidence provided in the submission, the PBAC considered that </w:t>
      </w:r>
      <w:r w:rsidR="00D23735">
        <w:t xml:space="preserve">the </w:t>
      </w:r>
      <w:r>
        <w:t xml:space="preserve">clinical efficacy of </w:t>
      </w:r>
      <w:r w:rsidR="00D23735">
        <w:t xml:space="preserve">12 weeks of treatment with </w:t>
      </w:r>
      <w:r w:rsidR="00C77515">
        <w:t>daclatasvir</w:t>
      </w:r>
      <w:r>
        <w:t xml:space="preserve"> in combination with sofosbuvir was not supported in the following gro</w:t>
      </w:r>
      <w:r w:rsidR="00D23735">
        <w:t xml:space="preserve">ups: </w:t>
      </w:r>
      <w:r>
        <w:t xml:space="preserve">treatment experienced Genotype 1 CHC patients, treatment naïve cirrhotic Genotype 1 CHC patients, </w:t>
      </w:r>
      <w:r>
        <w:lastRenderedPageBreak/>
        <w:t xml:space="preserve">Genotype 2 CHC patients, Genotype 4 CHC patients, Genotype 5 CHC patients and Genotype 6 CHC patients. </w:t>
      </w:r>
    </w:p>
    <w:p w:rsidR="00F27FA5" w:rsidRDefault="00F27FA5" w:rsidP="00F27FA5">
      <w:pPr>
        <w:pStyle w:val="ListParagraph"/>
        <w:widowControl/>
      </w:pPr>
    </w:p>
    <w:p w:rsidR="0008509D" w:rsidRDefault="00F27FA5" w:rsidP="0008509D">
      <w:pPr>
        <w:pStyle w:val="ListParagraph"/>
        <w:widowControl/>
        <w:numPr>
          <w:ilvl w:val="1"/>
          <w:numId w:val="1"/>
        </w:numPr>
      </w:pPr>
      <w:r>
        <w:t>The PBAC noted the SVR12 reported in publications of HCV treatment</w:t>
      </w:r>
      <w:r w:rsidR="0008509D">
        <w:t xml:space="preserve"> with </w:t>
      </w:r>
      <w:r>
        <w:t>sofosbuvir</w:t>
      </w:r>
      <w:r w:rsidR="0008509D">
        <w:t xml:space="preserve"> in combination with </w:t>
      </w:r>
      <w:proofErr w:type="spellStart"/>
      <w:r w:rsidR="0008509D">
        <w:t>ribarivin</w:t>
      </w:r>
      <w:proofErr w:type="spellEnd"/>
      <w:r w:rsidR="00682E23">
        <w:t xml:space="preserve"> (SOF+R)</w:t>
      </w:r>
      <w:r>
        <w:t xml:space="preserve"> and </w:t>
      </w:r>
      <w:proofErr w:type="spellStart"/>
      <w:r>
        <w:t>ledipasvir</w:t>
      </w:r>
      <w:proofErr w:type="spellEnd"/>
      <w:r>
        <w:t>/sofosbuvir</w:t>
      </w:r>
      <w:r w:rsidR="00CD1F25">
        <w:t xml:space="preserve"> (LDV/SOF).</w:t>
      </w:r>
      <w:r w:rsidR="0008509D" w:rsidRPr="0008509D">
        <w:t xml:space="preserve"> T</w:t>
      </w:r>
      <w:r w:rsidR="00284D77">
        <w:t xml:space="preserve">hough based on </w:t>
      </w:r>
      <w:r w:rsidR="00284D77" w:rsidRPr="00A52A58">
        <w:t>unadjusted comparison of SVR results</w:t>
      </w:r>
      <w:r w:rsidR="00284D77">
        <w:t>, t</w:t>
      </w:r>
      <w:r w:rsidR="0008509D" w:rsidRPr="0008509D">
        <w:t xml:space="preserve">he PBAC considered that it was reasonable to accept that DCV12 +SOF12 was non-inferior for comparative efficacy  with </w:t>
      </w:r>
    </w:p>
    <w:p w:rsidR="00F27FA5" w:rsidRDefault="00F27FA5" w:rsidP="0008509D">
      <w:pPr>
        <w:pStyle w:val="ListParagraph"/>
        <w:widowControl/>
        <w:numPr>
          <w:ilvl w:val="0"/>
          <w:numId w:val="5"/>
        </w:numPr>
      </w:pPr>
      <w:r>
        <w:t xml:space="preserve">LDV/SOF in treatment naive non-cirrhotic Genotype 1 patients. </w:t>
      </w:r>
    </w:p>
    <w:p w:rsidR="00F27FA5" w:rsidRPr="004107DB" w:rsidRDefault="00F27FA5" w:rsidP="00F27FA5">
      <w:pPr>
        <w:pStyle w:val="ListParagraph"/>
        <w:widowControl/>
        <w:numPr>
          <w:ilvl w:val="0"/>
          <w:numId w:val="5"/>
        </w:numPr>
      </w:pPr>
      <w:r>
        <w:t xml:space="preserve">SOF24 +R24 </w:t>
      </w:r>
      <w:r w:rsidRPr="004107DB">
        <w:t>in treatment naive non-cirrhotic Genotype 3 patients.</w:t>
      </w:r>
    </w:p>
    <w:p w:rsidR="0008509D" w:rsidRPr="004107DB" w:rsidRDefault="0008509D" w:rsidP="0008509D">
      <w:pPr>
        <w:widowControl/>
      </w:pPr>
    </w:p>
    <w:p w:rsidR="0008509D" w:rsidRPr="004107DB" w:rsidRDefault="004107DB" w:rsidP="0008509D">
      <w:pPr>
        <w:pStyle w:val="ListParagraph"/>
        <w:widowControl/>
        <w:numPr>
          <w:ilvl w:val="1"/>
          <w:numId w:val="1"/>
        </w:numPr>
      </w:pPr>
      <w:r w:rsidRPr="004107DB">
        <w:t xml:space="preserve">Based on </w:t>
      </w:r>
      <w:r w:rsidR="009E720B">
        <w:t>the available data</w:t>
      </w:r>
      <w:r w:rsidRPr="004107DB">
        <w:t xml:space="preserve">, the Committee considered that it was reasonable to consider that the combination of DCV + SOF had a similar safety profile as LDV/SOF </w:t>
      </w:r>
      <w:r w:rsidR="00861329">
        <w:t xml:space="preserve">in </w:t>
      </w:r>
      <w:r w:rsidRPr="004107DB">
        <w:t>treatment naive non-cir</w:t>
      </w:r>
      <w:r w:rsidR="00C77515">
        <w:t xml:space="preserve">rhotic Genotype 1 patients and </w:t>
      </w:r>
      <w:r w:rsidRPr="004107DB">
        <w:t xml:space="preserve">SOF24 +R24 </w:t>
      </w:r>
      <w:r w:rsidR="00861329">
        <w:t xml:space="preserve">in </w:t>
      </w:r>
      <w:r w:rsidRPr="004107DB">
        <w:t>treatment naive non-cirrhotic Genotype 3 patients.</w:t>
      </w:r>
    </w:p>
    <w:p w:rsidR="00D605C4" w:rsidRPr="00F27FA5" w:rsidRDefault="00D605C4" w:rsidP="00D605C4">
      <w:pPr>
        <w:ind w:firstLine="709"/>
        <w:rPr>
          <w:i/>
          <w:szCs w:val="22"/>
        </w:rPr>
      </w:pPr>
    </w:p>
    <w:p w:rsidR="00D605C4" w:rsidRDefault="00D605C4" w:rsidP="00D605C4">
      <w:pPr>
        <w:ind w:firstLine="709"/>
        <w:rPr>
          <w:i/>
          <w:szCs w:val="22"/>
        </w:rPr>
      </w:pPr>
      <w:r w:rsidRPr="00F27FA5">
        <w:rPr>
          <w:i/>
          <w:szCs w:val="22"/>
        </w:rPr>
        <w:t>For more detail on PBAC’s view, see section 7 “PBAC outcome”</w:t>
      </w:r>
    </w:p>
    <w:p w:rsidR="00E720E3" w:rsidRPr="00882085" w:rsidRDefault="00E720E3" w:rsidP="00B60939">
      <w:pPr>
        <w:ind w:left="720" w:hanging="720"/>
        <w:rPr>
          <w:szCs w:val="22"/>
        </w:rPr>
      </w:pPr>
    </w:p>
    <w:p w:rsidR="00B60939" w:rsidRPr="00F253E9" w:rsidRDefault="00B60939" w:rsidP="002C2775">
      <w:pPr>
        <w:pStyle w:val="Heading2"/>
      </w:pPr>
      <w:bookmarkStart w:id="14" w:name="_Toc409610869"/>
      <w:r w:rsidRPr="00F253E9">
        <w:t>Economic analysis</w:t>
      </w:r>
      <w:bookmarkEnd w:id="14"/>
      <w:r w:rsidR="00491B3A" w:rsidRPr="00F253E9">
        <w:t xml:space="preserve"> </w:t>
      </w:r>
    </w:p>
    <w:p w:rsidR="00B60939" w:rsidRPr="00882085" w:rsidRDefault="00B60939" w:rsidP="00B60939">
      <w:pPr>
        <w:ind w:left="720" w:hanging="720"/>
        <w:rPr>
          <w:szCs w:val="22"/>
        </w:rPr>
      </w:pPr>
    </w:p>
    <w:p w:rsidR="00A52A58" w:rsidRPr="00F13757" w:rsidRDefault="00A52A58" w:rsidP="00C768A3">
      <w:pPr>
        <w:pStyle w:val="ListParagraph"/>
        <w:widowControl/>
        <w:numPr>
          <w:ilvl w:val="1"/>
          <w:numId w:val="1"/>
        </w:numPr>
        <w:rPr>
          <w:szCs w:val="22"/>
        </w:rPr>
      </w:pPr>
      <w:r w:rsidRPr="00C103C9">
        <w:t>Results of the economic evaluation of DCV+SOF presented in the section below</w:t>
      </w:r>
      <w:r w:rsidRPr="000D45A6">
        <w:t xml:space="preserve"> were based on the sofosbuvir price assumed by the submission (DPMQ: $</w:t>
      </w:r>
      <w:r w:rsidR="00E70598">
        <w:rPr>
          <w:noProof/>
          <w:color w:val="000000"/>
          <w:highlight w:val="black"/>
        </w:rPr>
        <w:t>''''''''''''''''''</w:t>
      </w:r>
      <w:r w:rsidRPr="000D45A6">
        <w:t xml:space="preserve"> for 12-week treatment), not the sofosbuvir price proposed by the sofosbuvir sponsor.</w:t>
      </w:r>
      <w:r w:rsidRPr="00C103C9">
        <w:rPr>
          <w:b/>
        </w:rPr>
        <w:t xml:space="preserve"> </w:t>
      </w:r>
    </w:p>
    <w:p w:rsidR="00F13757" w:rsidRPr="00C103C9" w:rsidRDefault="00F13757" w:rsidP="00F13757">
      <w:pPr>
        <w:pStyle w:val="PBACHeading1"/>
        <w:numPr>
          <w:ilvl w:val="0"/>
          <w:numId w:val="0"/>
        </w:numPr>
        <w:ind w:left="720" w:hanging="720"/>
      </w:pPr>
    </w:p>
    <w:p w:rsidR="00C103C9" w:rsidRPr="00F13757" w:rsidRDefault="00A52A58" w:rsidP="00C768A3">
      <w:pPr>
        <w:pStyle w:val="ListParagraph"/>
        <w:widowControl/>
        <w:numPr>
          <w:ilvl w:val="1"/>
          <w:numId w:val="1"/>
        </w:numPr>
        <w:rPr>
          <w:szCs w:val="22"/>
        </w:rPr>
      </w:pPr>
      <w:r w:rsidRPr="00A52A58">
        <w:t>The submission presented a modelled economic evaluation based on an unadjusted comparison of SVR results from single arms of different studies</w:t>
      </w:r>
      <w:r w:rsidR="00C103C9">
        <w:t>.</w:t>
      </w:r>
    </w:p>
    <w:p w:rsidR="00F13757" w:rsidRPr="00C103C9" w:rsidRDefault="00F13757" w:rsidP="00284D77">
      <w:pPr>
        <w:pStyle w:val="PBACHeading1"/>
        <w:numPr>
          <w:ilvl w:val="0"/>
          <w:numId w:val="0"/>
        </w:numPr>
      </w:pPr>
    </w:p>
    <w:p w:rsidR="00A52A58" w:rsidRPr="00A52A58" w:rsidRDefault="00A52A58" w:rsidP="00C768A3">
      <w:pPr>
        <w:pStyle w:val="ListParagraph"/>
        <w:widowControl/>
        <w:numPr>
          <w:ilvl w:val="1"/>
          <w:numId w:val="1"/>
        </w:numPr>
        <w:rPr>
          <w:szCs w:val="22"/>
        </w:rPr>
      </w:pPr>
      <w:r w:rsidRPr="00A52A58">
        <w:t xml:space="preserve"> The structure consisted of a Markov state-transition model, with 16 health states that described the progression of disease over a lifetime. Patients with chronic genotypes 1-4 HCV infection entered the model at 51 years of age and were stratified by various fibrosis stages (F0-F4). Patients would receive HCV therapy or no treatment. Treatment effects were incorporated into the model in the form of SVR rates relevant to the specific HCV therapies. After HCV treatment, a proportion of patients transited from chronic HCV infection disease states (</w:t>
      </w:r>
      <w:proofErr w:type="spellStart"/>
      <w:r w:rsidRPr="00A52A58">
        <w:t>ie</w:t>
      </w:r>
      <w:proofErr w:type="spellEnd"/>
      <w:r w:rsidRPr="00A52A58">
        <w:t xml:space="preserve"> F0 to F4) to the corresponding SVR health state. Once in the SVR states, the patient remained there until death, but with small risks of re-infection (</w:t>
      </w:r>
      <w:proofErr w:type="spellStart"/>
      <w:r w:rsidRPr="00A52A58">
        <w:t>ie</w:t>
      </w:r>
      <w:proofErr w:type="spellEnd"/>
      <w:r w:rsidRPr="00A52A58">
        <w:t xml:space="preserve"> relapsing back into chronic HCV health states) or transition from compensated cirrhotic disease with SVR to a hepatocellular carcinoma health state. If patients did not achieve a</w:t>
      </w:r>
      <w:r w:rsidR="00EF7A56">
        <w:t>n</w:t>
      </w:r>
      <w:r w:rsidRPr="00A52A58">
        <w:t xml:space="preserve"> SVR, they remained in their current health states or progressed to more severe health states through various fibrosis stages in a sequential order (F0 to F4) and, subsequently, to complications. These complications included decompensated cirrhosis, hepatocellular carcinoma, liver transplant and disease-related mortality.  </w:t>
      </w:r>
    </w:p>
    <w:p w:rsidR="00A52A58" w:rsidRPr="00A52A58" w:rsidRDefault="00A52A58" w:rsidP="00A52A58"/>
    <w:p w:rsidR="00A52A58" w:rsidRPr="00A52A58" w:rsidRDefault="00A52A58" w:rsidP="00A52A58">
      <w:pPr>
        <w:pStyle w:val="Caption"/>
        <w:keepNext/>
        <w:keepLines/>
        <w:ind w:left="709"/>
      </w:pPr>
      <w:r w:rsidRPr="00A52A58">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structure"/>
      </w:tblPr>
      <w:tblGrid>
        <w:gridCol w:w="2552"/>
        <w:gridCol w:w="5793"/>
      </w:tblGrid>
      <w:tr w:rsidR="00A52A58" w:rsidRPr="00A52A58" w:rsidTr="00981FC9">
        <w:tc>
          <w:tcPr>
            <w:tcW w:w="1529" w:type="pct"/>
            <w:shd w:val="clear" w:color="auto" w:fill="auto"/>
          </w:tcPr>
          <w:p w:rsidR="00A52A58" w:rsidRPr="00A52A58" w:rsidRDefault="00A52A58" w:rsidP="00981FC9">
            <w:pPr>
              <w:jc w:val="left"/>
              <w:rPr>
                <w:rFonts w:ascii="Arial Narrow" w:hAnsi="Arial Narrow"/>
                <w:b/>
                <w:sz w:val="20"/>
              </w:rPr>
            </w:pPr>
            <w:r w:rsidRPr="00A52A58">
              <w:rPr>
                <w:rFonts w:ascii="Arial Narrow" w:hAnsi="Arial Narrow"/>
                <w:sz w:val="20"/>
              </w:rPr>
              <w:t>Time horizon</w:t>
            </w:r>
          </w:p>
        </w:tc>
        <w:tc>
          <w:tcPr>
            <w:tcW w:w="3471" w:type="pct"/>
            <w:shd w:val="clear" w:color="auto" w:fill="auto"/>
          </w:tcPr>
          <w:p w:rsidR="00A52A58" w:rsidRPr="00464929" w:rsidRDefault="00A52A58" w:rsidP="00981FC9">
            <w:pPr>
              <w:jc w:val="left"/>
              <w:rPr>
                <w:rFonts w:ascii="Arial Narrow" w:hAnsi="Arial Narrow"/>
                <w:b/>
                <w:sz w:val="20"/>
              </w:rPr>
            </w:pPr>
            <w:r w:rsidRPr="00464929">
              <w:rPr>
                <w:rFonts w:ascii="Arial Narrow" w:hAnsi="Arial Narrow"/>
                <w:sz w:val="20"/>
              </w:rPr>
              <w:t>Lifetime (cycles until cohort reaches 100 years of age – 49 years in the base case). This was longer than the PBAC’s recommendation of a 30 year time horizon (7.10, Item 5.17 PSD, July 2014 PBAC).</w:t>
            </w:r>
          </w:p>
        </w:tc>
      </w:tr>
      <w:tr w:rsidR="00A52A58" w:rsidRPr="00A52A58" w:rsidTr="00981FC9">
        <w:tc>
          <w:tcPr>
            <w:tcW w:w="1529" w:type="pct"/>
            <w:shd w:val="clear" w:color="auto" w:fill="auto"/>
          </w:tcPr>
          <w:p w:rsidR="00A52A58" w:rsidRPr="00A52A58" w:rsidRDefault="00A52A58" w:rsidP="00981FC9">
            <w:pPr>
              <w:jc w:val="left"/>
              <w:rPr>
                <w:rFonts w:ascii="Arial Narrow" w:hAnsi="Arial Narrow"/>
                <w:sz w:val="20"/>
              </w:rPr>
            </w:pPr>
            <w:r w:rsidRPr="00A52A58">
              <w:rPr>
                <w:rFonts w:ascii="Arial Narrow" w:hAnsi="Arial Narrow"/>
                <w:sz w:val="20"/>
              </w:rPr>
              <w:t>Outcomes</w:t>
            </w:r>
          </w:p>
        </w:tc>
        <w:tc>
          <w:tcPr>
            <w:tcW w:w="3471" w:type="pct"/>
            <w:shd w:val="clear" w:color="auto" w:fill="auto"/>
          </w:tcPr>
          <w:p w:rsidR="00A52A58" w:rsidRPr="00464929" w:rsidRDefault="00A52A58" w:rsidP="00981FC9">
            <w:pPr>
              <w:jc w:val="left"/>
              <w:rPr>
                <w:rFonts w:ascii="Arial Narrow" w:hAnsi="Arial Narrow"/>
                <w:sz w:val="20"/>
              </w:rPr>
            </w:pPr>
            <w:r w:rsidRPr="00464929">
              <w:rPr>
                <w:rFonts w:ascii="Arial Narrow" w:hAnsi="Arial Narrow"/>
                <w:sz w:val="20"/>
              </w:rPr>
              <w:t>QALYs</w:t>
            </w:r>
          </w:p>
        </w:tc>
      </w:tr>
      <w:tr w:rsidR="00A52A58" w:rsidRPr="00A52A58" w:rsidTr="00981FC9">
        <w:tc>
          <w:tcPr>
            <w:tcW w:w="1529" w:type="pct"/>
            <w:shd w:val="clear" w:color="auto" w:fill="auto"/>
          </w:tcPr>
          <w:p w:rsidR="00A52A58" w:rsidRPr="00A52A58" w:rsidRDefault="00A52A58" w:rsidP="00981FC9">
            <w:pPr>
              <w:jc w:val="left"/>
              <w:rPr>
                <w:rFonts w:ascii="Arial Narrow" w:hAnsi="Arial Narrow"/>
                <w:sz w:val="20"/>
              </w:rPr>
            </w:pPr>
            <w:r w:rsidRPr="00A52A58">
              <w:rPr>
                <w:rFonts w:ascii="Arial Narrow" w:hAnsi="Arial Narrow"/>
                <w:sz w:val="20"/>
              </w:rPr>
              <w:t>Methods used to generate results</w:t>
            </w:r>
          </w:p>
        </w:tc>
        <w:tc>
          <w:tcPr>
            <w:tcW w:w="3471" w:type="pct"/>
            <w:shd w:val="clear" w:color="auto" w:fill="auto"/>
          </w:tcPr>
          <w:p w:rsidR="00A52A58" w:rsidRPr="00464929" w:rsidRDefault="00A52A58" w:rsidP="00981FC9">
            <w:pPr>
              <w:jc w:val="left"/>
              <w:rPr>
                <w:rFonts w:ascii="Arial Narrow" w:hAnsi="Arial Narrow"/>
                <w:sz w:val="20"/>
              </w:rPr>
            </w:pPr>
            <w:r w:rsidRPr="00464929">
              <w:rPr>
                <w:rFonts w:ascii="Arial Narrow" w:hAnsi="Arial Narrow"/>
                <w:sz w:val="20"/>
              </w:rPr>
              <w:t>Cohort expected value analysis</w:t>
            </w:r>
          </w:p>
        </w:tc>
      </w:tr>
      <w:tr w:rsidR="00A52A58" w:rsidRPr="00A52A58" w:rsidTr="00981FC9">
        <w:tc>
          <w:tcPr>
            <w:tcW w:w="1529" w:type="pct"/>
            <w:shd w:val="clear" w:color="auto" w:fill="auto"/>
          </w:tcPr>
          <w:p w:rsidR="00A52A58" w:rsidRPr="00A52A58" w:rsidRDefault="00A52A58" w:rsidP="00981FC9">
            <w:pPr>
              <w:jc w:val="left"/>
              <w:rPr>
                <w:rFonts w:ascii="Arial Narrow" w:hAnsi="Arial Narrow"/>
                <w:sz w:val="20"/>
              </w:rPr>
            </w:pPr>
            <w:r w:rsidRPr="00A52A58">
              <w:rPr>
                <w:rFonts w:ascii="Arial Narrow" w:hAnsi="Arial Narrow"/>
                <w:sz w:val="20"/>
              </w:rPr>
              <w:t>Cycle length</w:t>
            </w:r>
          </w:p>
        </w:tc>
        <w:tc>
          <w:tcPr>
            <w:tcW w:w="3471" w:type="pct"/>
            <w:shd w:val="clear" w:color="auto" w:fill="auto"/>
          </w:tcPr>
          <w:p w:rsidR="00A52A58" w:rsidRPr="00464929" w:rsidRDefault="00A52A58" w:rsidP="00981FC9">
            <w:pPr>
              <w:jc w:val="left"/>
              <w:rPr>
                <w:rFonts w:ascii="Arial Narrow" w:hAnsi="Arial Narrow"/>
                <w:sz w:val="20"/>
              </w:rPr>
            </w:pPr>
            <w:r w:rsidRPr="00464929">
              <w:rPr>
                <w:rFonts w:ascii="Arial Narrow" w:hAnsi="Arial Narrow"/>
                <w:sz w:val="20"/>
              </w:rPr>
              <w:t>1 year</w:t>
            </w:r>
          </w:p>
        </w:tc>
      </w:tr>
      <w:tr w:rsidR="00A52A58" w:rsidRPr="00A52A58" w:rsidTr="00981FC9">
        <w:tc>
          <w:tcPr>
            <w:tcW w:w="1529" w:type="pct"/>
            <w:shd w:val="clear" w:color="auto" w:fill="auto"/>
          </w:tcPr>
          <w:p w:rsidR="00A52A58" w:rsidRPr="00A52A58" w:rsidRDefault="00A52A58" w:rsidP="00981FC9">
            <w:pPr>
              <w:jc w:val="left"/>
              <w:rPr>
                <w:rFonts w:ascii="Arial Narrow" w:hAnsi="Arial Narrow"/>
                <w:sz w:val="20"/>
              </w:rPr>
            </w:pPr>
            <w:r w:rsidRPr="00A52A58">
              <w:rPr>
                <w:rFonts w:ascii="Arial Narrow" w:hAnsi="Arial Narrow"/>
                <w:sz w:val="20"/>
              </w:rPr>
              <w:lastRenderedPageBreak/>
              <w:t>Transition probabilities</w:t>
            </w:r>
          </w:p>
        </w:tc>
        <w:tc>
          <w:tcPr>
            <w:tcW w:w="3471" w:type="pct"/>
            <w:shd w:val="clear" w:color="auto" w:fill="auto"/>
          </w:tcPr>
          <w:p w:rsidR="00A52A58" w:rsidRPr="00464929" w:rsidRDefault="00A52A58" w:rsidP="00C103C9">
            <w:pPr>
              <w:jc w:val="left"/>
              <w:rPr>
                <w:rFonts w:ascii="Arial Narrow" w:hAnsi="Arial Narrow"/>
                <w:sz w:val="20"/>
              </w:rPr>
            </w:pPr>
            <w:r w:rsidRPr="00464929">
              <w:rPr>
                <w:rFonts w:ascii="Arial Narrow" w:hAnsi="Arial Narrow"/>
                <w:sz w:val="20"/>
              </w:rPr>
              <w:t>Based on literature review</w:t>
            </w:r>
            <w:r w:rsidR="00C103C9">
              <w:rPr>
                <w:rFonts w:ascii="Arial Narrow" w:hAnsi="Arial Narrow"/>
                <w:sz w:val="20"/>
              </w:rPr>
              <w:t>.</w:t>
            </w:r>
          </w:p>
        </w:tc>
      </w:tr>
      <w:tr w:rsidR="00A52A58" w:rsidRPr="00A52A58" w:rsidTr="00981FC9">
        <w:tc>
          <w:tcPr>
            <w:tcW w:w="1529" w:type="pct"/>
            <w:shd w:val="clear" w:color="auto" w:fill="auto"/>
          </w:tcPr>
          <w:p w:rsidR="00A52A58" w:rsidRPr="00A52A58" w:rsidRDefault="00A52A58" w:rsidP="00981FC9">
            <w:pPr>
              <w:jc w:val="left"/>
              <w:rPr>
                <w:rFonts w:ascii="Arial Narrow" w:hAnsi="Arial Narrow"/>
                <w:sz w:val="20"/>
              </w:rPr>
            </w:pPr>
            <w:r w:rsidRPr="00A52A58">
              <w:rPr>
                <w:rFonts w:ascii="Arial Narrow" w:hAnsi="Arial Narrow"/>
                <w:sz w:val="20"/>
              </w:rPr>
              <w:t>Discount rate</w:t>
            </w:r>
          </w:p>
        </w:tc>
        <w:tc>
          <w:tcPr>
            <w:tcW w:w="3471" w:type="pct"/>
            <w:shd w:val="clear" w:color="auto" w:fill="auto"/>
          </w:tcPr>
          <w:p w:rsidR="00A52A58" w:rsidRPr="00464929" w:rsidRDefault="00A52A58" w:rsidP="00981FC9">
            <w:pPr>
              <w:jc w:val="left"/>
              <w:rPr>
                <w:rFonts w:ascii="Arial Narrow" w:hAnsi="Arial Narrow"/>
                <w:sz w:val="20"/>
              </w:rPr>
            </w:pPr>
            <w:r w:rsidRPr="00464929">
              <w:rPr>
                <w:rFonts w:ascii="Arial Narrow" w:hAnsi="Arial Narrow"/>
                <w:sz w:val="20"/>
              </w:rPr>
              <w:t>5% for costs and outcomes</w:t>
            </w:r>
          </w:p>
        </w:tc>
      </w:tr>
      <w:tr w:rsidR="00A52A58" w:rsidRPr="00A52A58" w:rsidTr="00981FC9">
        <w:tc>
          <w:tcPr>
            <w:tcW w:w="1529" w:type="pct"/>
            <w:shd w:val="clear" w:color="auto" w:fill="auto"/>
          </w:tcPr>
          <w:p w:rsidR="00A52A58" w:rsidRPr="00A52A58" w:rsidRDefault="00A52A58" w:rsidP="00981FC9">
            <w:pPr>
              <w:jc w:val="left"/>
              <w:rPr>
                <w:rFonts w:ascii="Arial Narrow" w:hAnsi="Arial Narrow"/>
                <w:sz w:val="20"/>
              </w:rPr>
            </w:pPr>
            <w:r w:rsidRPr="00A52A58">
              <w:rPr>
                <w:rFonts w:ascii="Arial Narrow" w:hAnsi="Arial Narrow"/>
                <w:sz w:val="20"/>
              </w:rPr>
              <w:t>Software package</w:t>
            </w:r>
          </w:p>
        </w:tc>
        <w:tc>
          <w:tcPr>
            <w:tcW w:w="3471" w:type="pct"/>
            <w:shd w:val="clear" w:color="auto" w:fill="auto"/>
          </w:tcPr>
          <w:p w:rsidR="00A52A58" w:rsidRPr="00464929" w:rsidRDefault="00A52A58" w:rsidP="00981FC9">
            <w:pPr>
              <w:jc w:val="left"/>
              <w:rPr>
                <w:rFonts w:ascii="Arial Narrow" w:hAnsi="Arial Narrow"/>
                <w:sz w:val="20"/>
              </w:rPr>
            </w:pPr>
            <w:r w:rsidRPr="00464929">
              <w:rPr>
                <w:rFonts w:ascii="Arial Narrow" w:hAnsi="Arial Narrow"/>
                <w:sz w:val="20"/>
              </w:rPr>
              <w:t>Excel 2010</w:t>
            </w:r>
          </w:p>
        </w:tc>
      </w:tr>
    </w:tbl>
    <w:p w:rsidR="00A52A58" w:rsidRPr="00A52A58" w:rsidRDefault="00A52A58" w:rsidP="00A52A58">
      <w:pPr>
        <w:pStyle w:val="TableFooter"/>
        <w:ind w:firstLine="720"/>
      </w:pPr>
      <w:r w:rsidRPr="00A52A58">
        <w:t xml:space="preserve">PSD = public summary document; QALY = quality-adjusted life year; SVR = sustained </w:t>
      </w:r>
      <w:proofErr w:type="spellStart"/>
      <w:r w:rsidRPr="00A52A58">
        <w:t>virologic</w:t>
      </w:r>
      <w:proofErr w:type="spellEnd"/>
      <w:r w:rsidRPr="00A52A58">
        <w:t xml:space="preserve"> response.</w:t>
      </w:r>
    </w:p>
    <w:p w:rsidR="00A52A58" w:rsidRPr="00A52A58" w:rsidRDefault="00A52A58" w:rsidP="00A52A58">
      <w:pPr>
        <w:pStyle w:val="TableFooter"/>
        <w:ind w:firstLine="720"/>
      </w:pPr>
      <w:r w:rsidRPr="00A52A58">
        <w:t>Source: compiled during the evaluation</w:t>
      </w:r>
    </w:p>
    <w:p w:rsidR="00A52A58" w:rsidRPr="00A52A58" w:rsidRDefault="00A52A58" w:rsidP="00A52A58">
      <w:pPr>
        <w:widowControl/>
        <w:rPr>
          <w:szCs w:val="22"/>
        </w:rPr>
      </w:pPr>
    </w:p>
    <w:p w:rsidR="00A52A58" w:rsidRPr="00464929" w:rsidRDefault="00A52A58" w:rsidP="00C768A3">
      <w:pPr>
        <w:pStyle w:val="ListParagraph"/>
        <w:widowControl/>
        <w:numPr>
          <w:ilvl w:val="1"/>
          <w:numId w:val="1"/>
        </w:numPr>
        <w:rPr>
          <w:szCs w:val="22"/>
        </w:rPr>
      </w:pPr>
      <w:r w:rsidRPr="00A52A58">
        <w:rPr>
          <w:szCs w:val="22"/>
        </w:rPr>
        <w:t xml:space="preserve">The model assumed that 100% of patients were treatment-naïve. </w:t>
      </w:r>
      <w:r w:rsidRPr="00464929">
        <w:rPr>
          <w:szCs w:val="22"/>
        </w:rPr>
        <w:t xml:space="preserve">Although this </w:t>
      </w:r>
      <w:r w:rsidR="00961A07">
        <w:rPr>
          <w:szCs w:val="22"/>
        </w:rPr>
        <w:t xml:space="preserve">is most consistent with the trial data, </w:t>
      </w:r>
      <w:r w:rsidRPr="00464929">
        <w:rPr>
          <w:szCs w:val="22"/>
        </w:rPr>
        <w:t xml:space="preserve">the modelled population was not representative of the population for whom the PBS listing was sought. </w:t>
      </w:r>
    </w:p>
    <w:p w:rsidR="00A52A58" w:rsidRPr="00464929" w:rsidRDefault="00A52A58" w:rsidP="00A52A58">
      <w:pPr>
        <w:pStyle w:val="ListParagraph"/>
        <w:widowControl/>
        <w:rPr>
          <w:szCs w:val="22"/>
        </w:rPr>
      </w:pPr>
    </w:p>
    <w:p w:rsidR="00A52A58" w:rsidRPr="00214F99" w:rsidRDefault="00A52A58" w:rsidP="00C768A3">
      <w:pPr>
        <w:pStyle w:val="ListParagraph"/>
        <w:widowControl/>
        <w:numPr>
          <w:ilvl w:val="1"/>
          <w:numId w:val="1"/>
        </w:numPr>
        <w:rPr>
          <w:szCs w:val="22"/>
        </w:rPr>
      </w:pPr>
      <w:r w:rsidRPr="00464929">
        <w:rPr>
          <w:szCs w:val="22"/>
        </w:rPr>
        <w:t>No data on SVR rates were available for cirrhotic patients as Study 4040 excluded patients with documented cirrhosis</w:t>
      </w:r>
      <w:r w:rsidR="00961A07">
        <w:rPr>
          <w:szCs w:val="22"/>
        </w:rPr>
        <w:t>. The assumption that</w:t>
      </w:r>
      <w:r w:rsidRPr="00464929">
        <w:rPr>
          <w:szCs w:val="22"/>
        </w:rPr>
        <w:t xml:space="preserve"> the SVR rates were the same </w:t>
      </w:r>
      <w:r w:rsidR="00961A07">
        <w:rPr>
          <w:szCs w:val="22"/>
        </w:rPr>
        <w:t xml:space="preserve">in </w:t>
      </w:r>
      <w:r w:rsidRPr="00464929">
        <w:rPr>
          <w:szCs w:val="22"/>
        </w:rPr>
        <w:t>non-cirrhotic and cirrhotic patients</w:t>
      </w:r>
      <w:r w:rsidR="00961A07">
        <w:rPr>
          <w:szCs w:val="22"/>
        </w:rPr>
        <w:t xml:space="preserve"> </w:t>
      </w:r>
      <w:r w:rsidRPr="00464929">
        <w:rPr>
          <w:szCs w:val="22"/>
        </w:rPr>
        <w:t>would have biased the results in favour of DCV+SOF when applied to the whole treatment-naïve HCV population</w:t>
      </w:r>
      <w:r w:rsidRPr="00214F99">
        <w:rPr>
          <w:szCs w:val="22"/>
        </w:rPr>
        <w:t>.</w:t>
      </w:r>
      <w:r w:rsidR="0096183A">
        <w:rPr>
          <w:szCs w:val="22"/>
        </w:rPr>
        <w:t xml:space="preserve"> The ESC noted the PSCR </w:t>
      </w:r>
      <w:r w:rsidR="00C44145" w:rsidRPr="00214F99">
        <w:rPr>
          <w:szCs w:val="22"/>
        </w:rPr>
        <w:t>(p4)</w:t>
      </w:r>
      <w:r w:rsidR="005B675B" w:rsidRPr="00214F99">
        <w:rPr>
          <w:szCs w:val="22"/>
        </w:rPr>
        <w:t xml:space="preserve"> that the ICER </w:t>
      </w:r>
      <w:r w:rsidR="00E94852" w:rsidRPr="00214F99">
        <w:rPr>
          <w:szCs w:val="22"/>
        </w:rPr>
        <w:t>might</w:t>
      </w:r>
      <w:r w:rsidR="005B675B" w:rsidRPr="00214F99">
        <w:rPr>
          <w:szCs w:val="22"/>
        </w:rPr>
        <w:t xml:space="preserve"> be lower in a population including cirrhotic patients, despite lower SVR rates, because of the greater risk of HCV complications. Nonetheless, the ESC considered the reduced and</w:t>
      </w:r>
      <w:r w:rsidR="007B6B7B">
        <w:rPr>
          <w:szCs w:val="22"/>
        </w:rPr>
        <w:t xml:space="preserve"> imprecise</w:t>
      </w:r>
      <w:r w:rsidR="005B675B" w:rsidRPr="00214F99">
        <w:rPr>
          <w:szCs w:val="22"/>
        </w:rPr>
        <w:t xml:space="preserve"> SVR rates observed among cirrhotic patients with </w:t>
      </w:r>
      <w:r w:rsidR="00790214">
        <w:rPr>
          <w:szCs w:val="22"/>
        </w:rPr>
        <w:t>DCV+SOF</w:t>
      </w:r>
      <w:r w:rsidR="005B675B" w:rsidRPr="00214F99">
        <w:rPr>
          <w:szCs w:val="22"/>
        </w:rPr>
        <w:t xml:space="preserve">12 remained </w:t>
      </w:r>
      <w:r w:rsidR="00E94852" w:rsidRPr="00214F99">
        <w:rPr>
          <w:szCs w:val="22"/>
        </w:rPr>
        <w:t>a</w:t>
      </w:r>
      <w:r w:rsidR="005B675B" w:rsidRPr="00214F99">
        <w:rPr>
          <w:szCs w:val="22"/>
        </w:rPr>
        <w:t xml:space="preserve"> source of uncertainty in the economic analysis.</w:t>
      </w:r>
      <w:r w:rsidR="00A33EB1" w:rsidRPr="00214F99">
        <w:rPr>
          <w:szCs w:val="22"/>
        </w:rPr>
        <w:t xml:space="preserve"> </w:t>
      </w:r>
      <w:r w:rsidR="005F5B14" w:rsidRPr="00214F99">
        <w:rPr>
          <w:szCs w:val="22"/>
        </w:rPr>
        <w:t>Alternatively, if all patients were assumed to have non-cirrhotic disease (with the relative proportions of patients with F0-F3 disease remaining the same as the base case), t</w:t>
      </w:r>
      <w:r w:rsidR="00A33EB1" w:rsidRPr="00214F99">
        <w:rPr>
          <w:szCs w:val="22"/>
        </w:rPr>
        <w:t xml:space="preserve">he ESC noted that </w:t>
      </w:r>
      <w:r w:rsidR="005F5B14" w:rsidRPr="00214F99">
        <w:rPr>
          <w:szCs w:val="22"/>
        </w:rPr>
        <w:t xml:space="preserve">ICER for GT1 rose from the </w:t>
      </w:r>
      <w:r w:rsidR="00405285">
        <w:rPr>
          <w:szCs w:val="22"/>
        </w:rPr>
        <w:t xml:space="preserve">$15,000/QALY - $45,000/QALY </w:t>
      </w:r>
      <w:r w:rsidR="005F5B14" w:rsidRPr="00214F99">
        <w:rPr>
          <w:szCs w:val="22"/>
        </w:rPr>
        <w:t xml:space="preserve">to </w:t>
      </w:r>
      <w:r w:rsidR="001336FF" w:rsidRPr="001336FF">
        <w:rPr>
          <w:szCs w:val="22"/>
        </w:rPr>
        <w:t>$15,000/QALY - $45,000/QALY</w:t>
      </w:r>
      <w:r w:rsidR="005F5B14" w:rsidRPr="00214F99">
        <w:rPr>
          <w:szCs w:val="22"/>
        </w:rPr>
        <w:t xml:space="preserve">. </w:t>
      </w:r>
    </w:p>
    <w:p w:rsidR="00A52A58" w:rsidRPr="00464929" w:rsidRDefault="00A52A58" w:rsidP="00A52A58">
      <w:pPr>
        <w:pStyle w:val="ListParagraph"/>
        <w:widowControl/>
        <w:rPr>
          <w:szCs w:val="22"/>
        </w:rPr>
      </w:pPr>
    </w:p>
    <w:p w:rsidR="00A52A58" w:rsidRPr="00A52A58" w:rsidRDefault="00A52A58" w:rsidP="00C768A3">
      <w:pPr>
        <w:pStyle w:val="ListParagraph"/>
        <w:widowControl/>
        <w:numPr>
          <w:ilvl w:val="1"/>
          <w:numId w:val="1"/>
        </w:numPr>
        <w:rPr>
          <w:szCs w:val="22"/>
        </w:rPr>
      </w:pPr>
      <w:r w:rsidRPr="00A52A58">
        <w:t xml:space="preserve">A summary of the key drivers of </w:t>
      </w:r>
      <w:r w:rsidR="001F6F48">
        <w:t xml:space="preserve">the model is presented in </w:t>
      </w:r>
      <w:r w:rsidR="00BB2672">
        <w:t>the table below.</w:t>
      </w:r>
      <w:r w:rsidRPr="00A52A58">
        <w:t xml:space="preserve">  </w:t>
      </w:r>
    </w:p>
    <w:p w:rsidR="00A52A58" w:rsidRPr="00A52A58" w:rsidRDefault="00A52A58" w:rsidP="00A52A58">
      <w:pPr>
        <w:widowControl/>
        <w:rPr>
          <w:szCs w:val="22"/>
        </w:rPr>
      </w:pPr>
    </w:p>
    <w:p w:rsidR="00A52A58" w:rsidRPr="00A52A58" w:rsidRDefault="00A52A58" w:rsidP="00A52A58">
      <w:pPr>
        <w:pStyle w:val="Caption"/>
        <w:keepNext/>
        <w:keepLines/>
        <w:ind w:left="709"/>
      </w:pPr>
      <w:r w:rsidRPr="00A52A58">
        <w:t>Key drivers of the DCV+SOF model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economic model"/>
      </w:tblPr>
      <w:tblGrid>
        <w:gridCol w:w="2694"/>
        <w:gridCol w:w="3404"/>
        <w:gridCol w:w="2265"/>
      </w:tblGrid>
      <w:tr w:rsidR="00A52A58" w:rsidRPr="001D20D4" w:rsidTr="00F253E9">
        <w:trPr>
          <w:tblHeader/>
        </w:trPr>
        <w:tc>
          <w:tcPr>
            <w:tcW w:w="1611" w:type="pct"/>
            <w:shd w:val="clear" w:color="auto" w:fill="auto"/>
            <w:vAlign w:val="center"/>
          </w:tcPr>
          <w:p w:rsidR="00A52A58" w:rsidRPr="001D20D4" w:rsidRDefault="00A52A58" w:rsidP="00981FC9">
            <w:pPr>
              <w:ind w:left="114"/>
              <w:jc w:val="left"/>
              <w:rPr>
                <w:rFonts w:ascii="Arial Narrow" w:hAnsi="Arial Narrow"/>
                <w:b/>
                <w:sz w:val="20"/>
                <w:lang w:val="en-US"/>
              </w:rPr>
            </w:pPr>
            <w:r w:rsidRPr="001D20D4">
              <w:rPr>
                <w:rFonts w:ascii="Arial Narrow" w:hAnsi="Arial Narrow"/>
                <w:b/>
                <w:sz w:val="20"/>
                <w:lang w:val="en-US"/>
              </w:rPr>
              <w:t>Description</w:t>
            </w:r>
          </w:p>
        </w:tc>
        <w:tc>
          <w:tcPr>
            <w:tcW w:w="2035" w:type="pct"/>
            <w:shd w:val="clear" w:color="auto" w:fill="auto"/>
            <w:vAlign w:val="center"/>
          </w:tcPr>
          <w:p w:rsidR="00A52A58" w:rsidRPr="001D20D4" w:rsidRDefault="00A52A58" w:rsidP="00981FC9">
            <w:pPr>
              <w:ind w:left="113"/>
              <w:jc w:val="center"/>
              <w:rPr>
                <w:rFonts w:ascii="Arial Narrow" w:hAnsi="Arial Narrow"/>
                <w:b/>
                <w:sz w:val="20"/>
                <w:lang w:val="en-US"/>
              </w:rPr>
            </w:pPr>
            <w:r w:rsidRPr="001D20D4">
              <w:rPr>
                <w:rFonts w:ascii="Arial Narrow" w:hAnsi="Arial Narrow"/>
                <w:b/>
                <w:sz w:val="20"/>
                <w:lang w:val="en-US"/>
              </w:rPr>
              <w:t>Method/Value</w:t>
            </w:r>
          </w:p>
        </w:tc>
        <w:tc>
          <w:tcPr>
            <w:tcW w:w="1355" w:type="pct"/>
            <w:shd w:val="clear" w:color="auto" w:fill="auto"/>
            <w:vAlign w:val="center"/>
          </w:tcPr>
          <w:p w:rsidR="00A52A58" w:rsidRPr="001D20D4" w:rsidRDefault="00A52A58" w:rsidP="00981FC9">
            <w:pPr>
              <w:jc w:val="center"/>
              <w:rPr>
                <w:rFonts w:ascii="Arial Narrow" w:hAnsi="Arial Narrow"/>
                <w:b/>
                <w:sz w:val="20"/>
                <w:lang w:val="en-US"/>
              </w:rPr>
            </w:pPr>
            <w:r w:rsidRPr="001D20D4">
              <w:rPr>
                <w:rFonts w:ascii="Arial Narrow" w:hAnsi="Arial Narrow"/>
                <w:b/>
                <w:sz w:val="20"/>
                <w:lang w:val="en-US"/>
              </w:rPr>
              <w:t>Impact</w:t>
            </w:r>
          </w:p>
        </w:tc>
      </w:tr>
      <w:tr w:rsidR="00A52A58" w:rsidRPr="001D20D4" w:rsidTr="00F253E9">
        <w:tc>
          <w:tcPr>
            <w:tcW w:w="1611" w:type="pct"/>
            <w:shd w:val="clear" w:color="auto" w:fill="auto"/>
            <w:vAlign w:val="center"/>
          </w:tcPr>
          <w:p w:rsidR="00A52A58" w:rsidRPr="001D20D4" w:rsidRDefault="00A52A58" w:rsidP="00981FC9">
            <w:pPr>
              <w:ind w:left="114"/>
              <w:jc w:val="left"/>
              <w:rPr>
                <w:rFonts w:ascii="Arial Narrow" w:hAnsi="Arial Narrow"/>
                <w:sz w:val="20"/>
                <w:lang w:val="en-US"/>
              </w:rPr>
            </w:pPr>
            <w:r w:rsidRPr="001D20D4">
              <w:rPr>
                <w:rFonts w:ascii="Arial Narrow" w:hAnsi="Arial Narrow"/>
                <w:sz w:val="20"/>
                <w:lang w:val="en-US"/>
              </w:rPr>
              <w:t>Treatment duration of DCV+SOF therapy for genotype 2/3 HCV</w:t>
            </w:r>
          </w:p>
        </w:tc>
        <w:tc>
          <w:tcPr>
            <w:tcW w:w="2035" w:type="pct"/>
            <w:shd w:val="clear" w:color="auto" w:fill="auto"/>
            <w:vAlign w:val="center"/>
          </w:tcPr>
          <w:p w:rsidR="00A52A58" w:rsidRPr="001D20D4" w:rsidRDefault="00A52A58" w:rsidP="00981FC9">
            <w:pPr>
              <w:ind w:left="113"/>
              <w:jc w:val="left"/>
              <w:rPr>
                <w:rFonts w:ascii="Arial Narrow" w:hAnsi="Arial Narrow"/>
                <w:sz w:val="20"/>
                <w:lang w:val="en-US"/>
              </w:rPr>
            </w:pPr>
            <w:r w:rsidRPr="001D20D4">
              <w:rPr>
                <w:rFonts w:ascii="Arial Narrow" w:hAnsi="Arial Narrow"/>
                <w:sz w:val="20"/>
                <w:lang w:val="en-US"/>
              </w:rPr>
              <w:t>12 weeks. The submission assumed that the treatment effect from a 12-week treatment would be equivalent to a 24-week DCV+SOF treatment as observed from Study 4040. This was not justified in the submission.</w:t>
            </w:r>
          </w:p>
        </w:tc>
        <w:tc>
          <w:tcPr>
            <w:tcW w:w="1355" w:type="pct"/>
            <w:shd w:val="clear" w:color="auto" w:fill="auto"/>
            <w:vAlign w:val="center"/>
          </w:tcPr>
          <w:p w:rsidR="00A52A58" w:rsidRPr="001D20D4" w:rsidRDefault="00A52A58" w:rsidP="00981FC9">
            <w:pPr>
              <w:jc w:val="center"/>
              <w:rPr>
                <w:rFonts w:ascii="Arial Narrow" w:hAnsi="Arial Narrow"/>
                <w:sz w:val="20"/>
                <w:lang w:val="en-US"/>
              </w:rPr>
            </w:pPr>
            <w:r w:rsidRPr="001D20D4">
              <w:rPr>
                <w:rFonts w:ascii="Arial Narrow" w:hAnsi="Arial Narrow"/>
                <w:sz w:val="20"/>
                <w:lang w:val="en-US"/>
              </w:rPr>
              <w:t xml:space="preserve">High, </w:t>
            </w:r>
            <w:proofErr w:type="spellStart"/>
            <w:r w:rsidRPr="001D20D4">
              <w:rPr>
                <w:rFonts w:ascii="Arial Narrow" w:hAnsi="Arial Narrow"/>
                <w:sz w:val="20"/>
                <w:lang w:val="en-US"/>
              </w:rPr>
              <w:t>favours</w:t>
            </w:r>
            <w:proofErr w:type="spellEnd"/>
            <w:r w:rsidRPr="001D20D4">
              <w:rPr>
                <w:rFonts w:ascii="Arial Narrow" w:hAnsi="Arial Narrow"/>
                <w:sz w:val="20"/>
                <w:lang w:val="en-US"/>
              </w:rPr>
              <w:t xml:space="preserve"> DCV+SOF</w:t>
            </w:r>
          </w:p>
        </w:tc>
      </w:tr>
      <w:tr w:rsidR="00A52A58" w:rsidRPr="001D20D4" w:rsidTr="00F253E9">
        <w:tc>
          <w:tcPr>
            <w:tcW w:w="1611" w:type="pct"/>
            <w:shd w:val="clear" w:color="auto" w:fill="auto"/>
            <w:vAlign w:val="center"/>
          </w:tcPr>
          <w:p w:rsidR="00A52A58" w:rsidRPr="001D20D4" w:rsidRDefault="00A52A58" w:rsidP="00981FC9">
            <w:pPr>
              <w:ind w:left="114"/>
              <w:jc w:val="left"/>
              <w:rPr>
                <w:rFonts w:ascii="Arial Narrow" w:hAnsi="Arial Narrow"/>
                <w:sz w:val="20"/>
                <w:lang w:val="en-US"/>
              </w:rPr>
            </w:pPr>
            <w:r w:rsidRPr="001D20D4">
              <w:rPr>
                <w:rFonts w:ascii="Arial Narrow" w:hAnsi="Arial Narrow"/>
                <w:sz w:val="20"/>
                <w:lang w:val="en-US"/>
              </w:rPr>
              <w:t>Utility increment due to patients achieving SVR</w:t>
            </w:r>
          </w:p>
        </w:tc>
        <w:tc>
          <w:tcPr>
            <w:tcW w:w="2035" w:type="pct"/>
            <w:shd w:val="clear" w:color="auto" w:fill="auto"/>
            <w:vAlign w:val="center"/>
          </w:tcPr>
          <w:p w:rsidR="00A52A58" w:rsidRPr="001D20D4" w:rsidRDefault="00A52A58" w:rsidP="00981FC9">
            <w:pPr>
              <w:ind w:left="113"/>
              <w:jc w:val="left"/>
              <w:rPr>
                <w:rFonts w:ascii="Arial Narrow" w:hAnsi="Arial Narrow"/>
                <w:sz w:val="20"/>
                <w:lang w:val="en-US"/>
              </w:rPr>
            </w:pPr>
            <w:r w:rsidRPr="001D20D4">
              <w:rPr>
                <w:rFonts w:ascii="Arial Narrow" w:hAnsi="Arial Narrow"/>
                <w:sz w:val="20"/>
                <w:lang w:val="en-US"/>
              </w:rPr>
              <w:t>0.05. Although this was used in some other HCV models, the PBAC considered this as a source of uncertainty when the listing of telaprevir was considered (Telaprevir PSD, November 2011 PBAC meeting)</w:t>
            </w:r>
          </w:p>
        </w:tc>
        <w:tc>
          <w:tcPr>
            <w:tcW w:w="1355" w:type="pct"/>
            <w:shd w:val="clear" w:color="auto" w:fill="auto"/>
            <w:vAlign w:val="center"/>
          </w:tcPr>
          <w:p w:rsidR="00A52A58" w:rsidRPr="001D20D4" w:rsidRDefault="00A52A58" w:rsidP="00981FC9">
            <w:pPr>
              <w:jc w:val="center"/>
              <w:rPr>
                <w:rFonts w:ascii="Arial Narrow" w:hAnsi="Arial Narrow"/>
                <w:sz w:val="20"/>
                <w:lang w:val="en-US"/>
              </w:rPr>
            </w:pPr>
            <w:r w:rsidRPr="001D20D4">
              <w:rPr>
                <w:rFonts w:ascii="Arial Narrow" w:hAnsi="Arial Narrow"/>
                <w:sz w:val="20"/>
                <w:lang w:val="en-US"/>
              </w:rPr>
              <w:t xml:space="preserve">High, </w:t>
            </w:r>
            <w:proofErr w:type="spellStart"/>
            <w:r w:rsidRPr="001D20D4">
              <w:rPr>
                <w:rFonts w:ascii="Arial Narrow" w:hAnsi="Arial Narrow"/>
                <w:sz w:val="20"/>
                <w:lang w:val="en-US"/>
              </w:rPr>
              <w:t>favours</w:t>
            </w:r>
            <w:proofErr w:type="spellEnd"/>
            <w:r w:rsidRPr="001D20D4">
              <w:rPr>
                <w:rFonts w:ascii="Arial Narrow" w:hAnsi="Arial Narrow"/>
                <w:sz w:val="20"/>
                <w:lang w:val="en-US"/>
              </w:rPr>
              <w:t xml:space="preserve"> DCV+SOF</w:t>
            </w:r>
          </w:p>
        </w:tc>
      </w:tr>
      <w:tr w:rsidR="00A52A58" w:rsidRPr="001D20D4" w:rsidTr="00F253E9">
        <w:tc>
          <w:tcPr>
            <w:tcW w:w="1611" w:type="pct"/>
            <w:shd w:val="clear" w:color="auto" w:fill="auto"/>
            <w:vAlign w:val="center"/>
          </w:tcPr>
          <w:p w:rsidR="00A52A58" w:rsidRPr="001D20D4" w:rsidRDefault="00A52A58" w:rsidP="00981FC9">
            <w:pPr>
              <w:ind w:left="114"/>
              <w:jc w:val="left"/>
              <w:rPr>
                <w:rFonts w:ascii="Arial Narrow" w:hAnsi="Arial Narrow"/>
                <w:sz w:val="20"/>
                <w:lang w:val="en-US"/>
              </w:rPr>
            </w:pPr>
            <w:r w:rsidRPr="001D20D4">
              <w:rPr>
                <w:rFonts w:ascii="Arial Narrow" w:hAnsi="Arial Narrow"/>
                <w:sz w:val="20"/>
                <w:lang w:val="en-US"/>
              </w:rPr>
              <w:t>SVR rate associated with DCV+SOF in the proposed PBS population</w:t>
            </w:r>
          </w:p>
        </w:tc>
        <w:tc>
          <w:tcPr>
            <w:tcW w:w="2035" w:type="pct"/>
            <w:shd w:val="clear" w:color="auto" w:fill="auto"/>
            <w:vAlign w:val="center"/>
          </w:tcPr>
          <w:p w:rsidR="00A52A58" w:rsidRPr="001D20D4" w:rsidRDefault="00A52A58" w:rsidP="00981FC9">
            <w:pPr>
              <w:ind w:left="113"/>
              <w:jc w:val="left"/>
              <w:rPr>
                <w:rFonts w:ascii="Arial Narrow" w:hAnsi="Arial Narrow"/>
                <w:sz w:val="20"/>
                <w:lang w:val="en-US"/>
              </w:rPr>
            </w:pPr>
            <w:r w:rsidRPr="001D20D4">
              <w:rPr>
                <w:rFonts w:ascii="Arial Narrow" w:hAnsi="Arial Narrow"/>
                <w:sz w:val="20"/>
                <w:lang w:val="en-US"/>
              </w:rPr>
              <w:t>95.1% for genotype 1/4 and 93.3% for genotype 2/3. SVR rates were sourced from results of relevant genotype subgroups in Study 4040, where treatment-experienced patients and patients with documented cirrhotic disease were not represented.</w:t>
            </w:r>
          </w:p>
        </w:tc>
        <w:tc>
          <w:tcPr>
            <w:tcW w:w="1355" w:type="pct"/>
            <w:shd w:val="clear" w:color="auto" w:fill="auto"/>
            <w:vAlign w:val="center"/>
          </w:tcPr>
          <w:p w:rsidR="00A52A58" w:rsidRPr="001D20D4" w:rsidRDefault="00A52A58" w:rsidP="00981FC9">
            <w:pPr>
              <w:jc w:val="center"/>
              <w:rPr>
                <w:rFonts w:ascii="Arial Narrow" w:hAnsi="Arial Narrow"/>
                <w:sz w:val="20"/>
                <w:lang w:val="en-US"/>
              </w:rPr>
            </w:pPr>
            <w:r w:rsidRPr="001D20D4">
              <w:rPr>
                <w:rFonts w:ascii="Arial Narrow" w:hAnsi="Arial Narrow"/>
                <w:sz w:val="20"/>
                <w:lang w:val="en-US"/>
              </w:rPr>
              <w:t xml:space="preserve">Moderate, </w:t>
            </w:r>
            <w:proofErr w:type="spellStart"/>
            <w:r w:rsidRPr="001D20D4">
              <w:rPr>
                <w:rFonts w:ascii="Arial Narrow" w:hAnsi="Arial Narrow"/>
                <w:sz w:val="20"/>
                <w:lang w:val="en-US"/>
              </w:rPr>
              <w:t>favours</w:t>
            </w:r>
            <w:proofErr w:type="spellEnd"/>
            <w:r w:rsidRPr="001D20D4">
              <w:rPr>
                <w:rFonts w:ascii="Arial Narrow" w:hAnsi="Arial Narrow"/>
                <w:sz w:val="20"/>
                <w:lang w:val="en-US"/>
              </w:rPr>
              <w:t xml:space="preserve"> DCV+SOF</w:t>
            </w:r>
          </w:p>
        </w:tc>
      </w:tr>
      <w:tr w:rsidR="00A52A58" w:rsidRPr="001D20D4" w:rsidTr="00F253E9">
        <w:tc>
          <w:tcPr>
            <w:tcW w:w="1611" w:type="pct"/>
            <w:shd w:val="clear" w:color="auto" w:fill="auto"/>
            <w:vAlign w:val="center"/>
          </w:tcPr>
          <w:p w:rsidR="00A52A58" w:rsidRPr="001D20D4" w:rsidRDefault="00A52A58" w:rsidP="00981FC9">
            <w:pPr>
              <w:ind w:left="114"/>
              <w:jc w:val="left"/>
              <w:rPr>
                <w:rFonts w:ascii="Arial Narrow" w:hAnsi="Arial Narrow"/>
                <w:sz w:val="20"/>
                <w:lang w:val="en-US"/>
              </w:rPr>
            </w:pPr>
            <w:r w:rsidRPr="001D20D4">
              <w:rPr>
                <w:rFonts w:ascii="Arial Narrow" w:hAnsi="Arial Narrow"/>
                <w:sz w:val="20"/>
                <w:lang w:val="en-US"/>
              </w:rPr>
              <w:t>Time horizon</w:t>
            </w:r>
          </w:p>
        </w:tc>
        <w:tc>
          <w:tcPr>
            <w:tcW w:w="2035" w:type="pct"/>
            <w:shd w:val="clear" w:color="auto" w:fill="auto"/>
            <w:vAlign w:val="center"/>
          </w:tcPr>
          <w:p w:rsidR="00A52A58" w:rsidRPr="001D20D4" w:rsidRDefault="00A52A58" w:rsidP="00981FC9">
            <w:pPr>
              <w:ind w:left="113"/>
              <w:jc w:val="left"/>
              <w:rPr>
                <w:rFonts w:ascii="Arial Narrow" w:hAnsi="Arial Narrow"/>
                <w:sz w:val="20"/>
                <w:lang w:val="en-US"/>
              </w:rPr>
            </w:pPr>
            <w:r w:rsidRPr="001D20D4">
              <w:rPr>
                <w:rFonts w:ascii="Arial Narrow" w:hAnsi="Arial Narrow"/>
                <w:sz w:val="20"/>
                <w:lang w:val="en-US"/>
              </w:rPr>
              <w:t xml:space="preserve">49 years. This was longer than the PBAC advice of a 30 year time horizon for economic models in other HCV submissions (Sofosbuvir draft PSD, July 2014 PBAC meeting) </w:t>
            </w:r>
          </w:p>
        </w:tc>
        <w:tc>
          <w:tcPr>
            <w:tcW w:w="1355" w:type="pct"/>
            <w:shd w:val="clear" w:color="auto" w:fill="auto"/>
            <w:vAlign w:val="center"/>
          </w:tcPr>
          <w:p w:rsidR="00A52A58" w:rsidRPr="001D20D4" w:rsidRDefault="00A52A58" w:rsidP="00981FC9">
            <w:pPr>
              <w:jc w:val="center"/>
              <w:rPr>
                <w:rFonts w:ascii="Arial Narrow" w:hAnsi="Arial Narrow"/>
                <w:sz w:val="20"/>
                <w:lang w:val="en-US"/>
              </w:rPr>
            </w:pPr>
            <w:r w:rsidRPr="001D20D4">
              <w:rPr>
                <w:rFonts w:ascii="Arial Narrow" w:hAnsi="Arial Narrow"/>
                <w:sz w:val="20"/>
                <w:lang w:val="en-US"/>
              </w:rPr>
              <w:t xml:space="preserve">Moderate, </w:t>
            </w:r>
            <w:proofErr w:type="spellStart"/>
            <w:r w:rsidRPr="001D20D4">
              <w:rPr>
                <w:rFonts w:ascii="Arial Narrow" w:hAnsi="Arial Narrow"/>
                <w:sz w:val="20"/>
                <w:lang w:val="en-US"/>
              </w:rPr>
              <w:t>favours</w:t>
            </w:r>
            <w:proofErr w:type="spellEnd"/>
            <w:r w:rsidRPr="001D20D4">
              <w:rPr>
                <w:rFonts w:ascii="Arial Narrow" w:hAnsi="Arial Narrow"/>
                <w:sz w:val="20"/>
                <w:lang w:val="en-US"/>
              </w:rPr>
              <w:t xml:space="preserve"> DCV+SOF</w:t>
            </w:r>
          </w:p>
        </w:tc>
      </w:tr>
      <w:tr w:rsidR="00A52A58" w:rsidRPr="001D20D4" w:rsidTr="00F253E9">
        <w:tc>
          <w:tcPr>
            <w:tcW w:w="1611" w:type="pct"/>
            <w:shd w:val="clear" w:color="auto" w:fill="auto"/>
            <w:vAlign w:val="center"/>
          </w:tcPr>
          <w:p w:rsidR="00A52A58" w:rsidRPr="001D20D4" w:rsidRDefault="00A52A58" w:rsidP="00981FC9">
            <w:pPr>
              <w:ind w:left="114"/>
              <w:jc w:val="left"/>
              <w:rPr>
                <w:rFonts w:ascii="Arial Narrow" w:hAnsi="Arial Narrow"/>
                <w:sz w:val="20"/>
                <w:lang w:val="en-US"/>
              </w:rPr>
            </w:pPr>
            <w:r w:rsidRPr="001D20D4">
              <w:rPr>
                <w:rFonts w:ascii="Arial Narrow" w:hAnsi="Arial Narrow"/>
                <w:sz w:val="20"/>
                <w:lang w:val="en-US"/>
              </w:rPr>
              <w:t>Transition probabilities</w:t>
            </w:r>
          </w:p>
        </w:tc>
        <w:tc>
          <w:tcPr>
            <w:tcW w:w="2035" w:type="pct"/>
            <w:shd w:val="clear" w:color="auto" w:fill="auto"/>
            <w:vAlign w:val="center"/>
          </w:tcPr>
          <w:p w:rsidR="00A52A58" w:rsidRPr="001D20D4" w:rsidRDefault="00A52A58" w:rsidP="00981FC9">
            <w:pPr>
              <w:ind w:left="113"/>
              <w:jc w:val="left"/>
              <w:rPr>
                <w:rFonts w:ascii="Arial Narrow" w:hAnsi="Arial Narrow"/>
                <w:sz w:val="20"/>
                <w:lang w:val="en-US"/>
              </w:rPr>
            </w:pPr>
            <w:r w:rsidRPr="001D20D4">
              <w:rPr>
                <w:rFonts w:ascii="Arial Narrow" w:hAnsi="Arial Narrow"/>
                <w:sz w:val="20"/>
                <w:lang w:val="en-US"/>
              </w:rPr>
              <w:t>The model applied the transition probabilities used in the BCG report (2012).</w:t>
            </w:r>
            <w:r w:rsidRPr="001D20D4">
              <w:t xml:space="preserve"> </w:t>
            </w:r>
            <w:r w:rsidRPr="001D20D4">
              <w:rPr>
                <w:rFonts w:ascii="Arial Narrow" w:hAnsi="Arial Narrow"/>
                <w:sz w:val="20"/>
                <w:lang w:val="en-US"/>
              </w:rPr>
              <w:t xml:space="preserve">Many transition probabilities used in the </w:t>
            </w:r>
            <w:r w:rsidRPr="001D20D4">
              <w:rPr>
                <w:rFonts w:ascii="Arial Narrow" w:hAnsi="Arial Narrow"/>
                <w:sz w:val="20"/>
                <w:lang w:val="en-US"/>
              </w:rPr>
              <w:lastRenderedPageBreak/>
              <w:t xml:space="preserve">BCG model were derived from older longitudinal studies. The PBAC considered that the data from old studies to estimate transition probabilities was likely to overestimate the likelihood of progression compared to present rates (Telaprevir PSD March 2012 PBAC meeting) </w:t>
            </w:r>
          </w:p>
        </w:tc>
        <w:tc>
          <w:tcPr>
            <w:tcW w:w="1355" w:type="pct"/>
            <w:shd w:val="clear" w:color="auto" w:fill="auto"/>
            <w:vAlign w:val="center"/>
          </w:tcPr>
          <w:p w:rsidR="00A52A58" w:rsidRPr="001D20D4" w:rsidRDefault="00A52A58" w:rsidP="00981FC9">
            <w:pPr>
              <w:jc w:val="center"/>
              <w:rPr>
                <w:rFonts w:ascii="Arial Narrow" w:hAnsi="Arial Narrow"/>
                <w:sz w:val="20"/>
                <w:lang w:val="en-US"/>
              </w:rPr>
            </w:pPr>
            <w:r w:rsidRPr="001D20D4">
              <w:rPr>
                <w:rFonts w:ascii="Arial Narrow" w:hAnsi="Arial Narrow"/>
                <w:sz w:val="20"/>
                <w:lang w:val="en-US"/>
              </w:rPr>
              <w:lastRenderedPageBreak/>
              <w:t xml:space="preserve">Moderate, </w:t>
            </w:r>
            <w:proofErr w:type="spellStart"/>
            <w:r w:rsidRPr="001D20D4">
              <w:rPr>
                <w:rFonts w:ascii="Arial Narrow" w:hAnsi="Arial Narrow"/>
                <w:sz w:val="20"/>
                <w:lang w:val="en-US"/>
              </w:rPr>
              <w:t>favours</w:t>
            </w:r>
            <w:proofErr w:type="spellEnd"/>
            <w:r w:rsidRPr="001D20D4">
              <w:rPr>
                <w:rFonts w:ascii="Arial Narrow" w:hAnsi="Arial Narrow"/>
                <w:sz w:val="20"/>
                <w:lang w:val="en-US"/>
              </w:rPr>
              <w:t xml:space="preserve"> DCV+SOF</w:t>
            </w:r>
          </w:p>
        </w:tc>
      </w:tr>
    </w:tbl>
    <w:p w:rsidR="00A52A58" w:rsidRPr="001D20D4" w:rsidRDefault="00A52A58" w:rsidP="00A52A58">
      <w:pPr>
        <w:pStyle w:val="TableFooter"/>
        <w:ind w:left="709"/>
      </w:pPr>
      <w:r w:rsidRPr="001D20D4">
        <w:lastRenderedPageBreak/>
        <w:t xml:space="preserve">BCG = Boston Consulting Group; DCV = daclatasvir; HCV = hepatitis C virus; SOF = sofosbuvir; SVR = sustained </w:t>
      </w:r>
      <w:proofErr w:type="spellStart"/>
      <w:r w:rsidRPr="001D20D4">
        <w:t>virologic</w:t>
      </w:r>
      <w:proofErr w:type="spellEnd"/>
      <w:r w:rsidRPr="001D20D4">
        <w:t xml:space="preserve"> rate; PSD = public summary document.</w:t>
      </w:r>
    </w:p>
    <w:p w:rsidR="00A52A58" w:rsidRPr="001D20D4" w:rsidRDefault="00A52A58" w:rsidP="00A52A58">
      <w:pPr>
        <w:pStyle w:val="TableFooter"/>
        <w:ind w:left="709"/>
      </w:pPr>
      <w:r w:rsidRPr="001D20D4">
        <w:t>Source: compiled during the evaluation</w:t>
      </w:r>
    </w:p>
    <w:p w:rsidR="00A52A58" w:rsidRPr="00A52A58" w:rsidRDefault="00A52A58" w:rsidP="00A52A58">
      <w:pPr>
        <w:widowControl/>
        <w:rPr>
          <w:szCs w:val="22"/>
        </w:rPr>
      </w:pPr>
    </w:p>
    <w:p w:rsidR="00A52A58" w:rsidRPr="0010798D" w:rsidRDefault="00A52A58" w:rsidP="00C768A3">
      <w:pPr>
        <w:pStyle w:val="ListParagraph"/>
        <w:widowControl/>
        <w:numPr>
          <w:ilvl w:val="1"/>
          <w:numId w:val="1"/>
        </w:numPr>
        <w:ind w:left="709" w:hanging="709"/>
        <w:rPr>
          <w:szCs w:val="22"/>
        </w:rPr>
      </w:pPr>
      <w:r w:rsidRPr="00A52A58">
        <w:rPr>
          <w:szCs w:val="22"/>
        </w:rPr>
        <w:t>The submission presented an economic model of DCV+SOF compared with a mixture of active treatment and no treatment (67% of patients were assumed to be treated with TVR12+PR24/48 for genotype 1, PR24 for genotype 2/3, and PR48 for genotype 4 HCV; and the remaining 33% receiving no treatment).</w:t>
      </w:r>
      <w:r w:rsidR="0010798D">
        <w:rPr>
          <w:szCs w:val="22"/>
        </w:rPr>
        <w:t xml:space="preserve"> </w:t>
      </w:r>
      <w:r w:rsidR="0010798D" w:rsidRPr="00214F99">
        <w:rPr>
          <w:szCs w:val="22"/>
        </w:rPr>
        <w:t>The ESC noted that in the context of the growing preference for IFN-free therapy, the most relevant comparator was no treatment</w:t>
      </w:r>
      <w:r w:rsidR="00214F99" w:rsidRPr="00214F99">
        <w:rPr>
          <w:szCs w:val="22"/>
        </w:rPr>
        <w:t>.</w:t>
      </w:r>
    </w:p>
    <w:p w:rsidR="00A52A58" w:rsidRPr="00A52A58" w:rsidRDefault="00A52A58" w:rsidP="00A52A58">
      <w:pPr>
        <w:widowControl/>
        <w:rPr>
          <w:szCs w:val="22"/>
        </w:rPr>
      </w:pPr>
    </w:p>
    <w:p w:rsidR="00A52A58" w:rsidRPr="00A52A58" w:rsidRDefault="00A52A58" w:rsidP="00C768A3">
      <w:pPr>
        <w:pStyle w:val="ListParagraph"/>
        <w:widowControl/>
        <w:numPr>
          <w:ilvl w:val="1"/>
          <w:numId w:val="1"/>
        </w:numPr>
        <w:rPr>
          <w:szCs w:val="22"/>
        </w:rPr>
      </w:pPr>
      <w:r w:rsidRPr="00A52A58">
        <w:t>The results of economic evaluation of DCV</w:t>
      </w:r>
      <w:r w:rsidRPr="00D23735">
        <w:t xml:space="preserve">+SOF </w:t>
      </w:r>
      <w:r w:rsidR="00793FD9" w:rsidRPr="00D23735">
        <w:t>compared to</w:t>
      </w:r>
      <w:r w:rsidRPr="00D23735">
        <w:t xml:space="preserve"> no treatment</w:t>
      </w:r>
      <w:r w:rsidRPr="00A52A58">
        <w:t xml:space="preserve"> and </w:t>
      </w:r>
      <w:r w:rsidR="00793FD9">
        <w:t xml:space="preserve">compared to </w:t>
      </w:r>
      <w:r w:rsidRPr="00A52A58">
        <w:t xml:space="preserve">current HCV therapies (TVR+PR for genotype 1 and PR for genotypes </w:t>
      </w:r>
      <w:r w:rsidR="00C44145">
        <w:t xml:space="preserve">2-4) are summarised in </w:t>
      </w:r>
      <w:r w:rsidR="00BB2672">
        <w:t>the tables below</w:t>
      </w:r>
      <w:r w:rsidR="00AD5D28">
        <w:t xml:space="preserve">. The </w:t>
      </w:r>
      <w:r w:rsidRPr="001D20D4">
        <w:t xml:space="preserve">cost of sofosbuvir was assumed by </w:t>
      </w:r>
      <w:r w:rsidR="007D448D" w:rsidRPr="001D20D4">
        <w:t>th</w:t>
      </w:r>
      <w:r w:rsidR="007D448D">
        <w:t>is</w:t>
      </w:r>
      <w:r w:rsidR="007D448D" w:rsidRPr="001D20D4">
        <w:t xml:space="preserve"> </w:t>
      </w:r>
      <w:r w:rsidRPr="001D20D4">
        <w:t>submi</w:t>
      </w:r>
      <w:r w:rsidR="00C44145">
        <w:t>ssion</w:t>
      </w:r>
      <w:r w:rsidR="007D448D">
        <w:t xml:space="preserve"> and not as proposed by the sponsor of sofosbuvir</w:t>
      </w:r>
      <w:r w:rsidR="00C44145">
        <w:t>.</w:t>
      </w:r>
    </w:p>
    <w:p w:rsidR="00A52A58" w:rsidRPr="00A52A58" w:rsidRDefault="00A52A58" w:rsidP="00D605C4">
      <w:pPr>
        <w:widowControl/>
        <w:jc w:val="left"/>
      </w:pPr>
    </w:p>
    <w:p w:rsidR="00A52A58" w:rsidRPr="00A52A58" w:rsidRDefault="00A52A58" w:rsidP="00A52A58">
      <w:pPr>
        <w:pStyle w:val="Caption"/>
        <w:keepNext/>
        <w:keepLines/>
        <w:ind w:left="709"/>
      </w:pPr>
      <w:r w:rsidRPr="00A52A58">
        <w:t xml:space="preserve">Results of the DCV+SOF economic evaluation (genotype 1 </w:t>
      </w:r>
      <w:r w:rsidRPr="00A52A58">
        <w:rPr>
          <w:rFonts w:hint="eastAsia"/>
        </w:rPr>
        <w:t>HCV</w:t>
      </w:r>
      <w:r w:rsidRPr="00A52A58">
        <w:t>)</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Economic analysis"/>
      </w:tblPr>
      <w:tblGrid>
        <w:gridCol w:w="2271"/>
        <w:gridCol w:w="2124"/>
        <w:gridCol w:w="2009"/>
        <w:gridCol w:w="1959"/>
      </w:tblGrid>
      <w:tr w:rsidR="00A52A58" w:rsidRPr="001D20D4" w:rsidTr="00F253E9">
        <w:tc>
          <w:tcPr>
            <w:tcW w:w="1358" w:type="pct"/>
            <w:shd w:val="clear" w:color="auto" w:fill="D9D9D9" w:themeFill="background1" w:themeFillShade="D9"/>
          </w:tcPr>
          <w:p w:rsidR="00A52A58" w:rsidRPr="001D20D4" w:rsidRDefault="00A52A58" w:rsidP="00981FC9">
            <w:pPr>
              <w:ind w:left="709"/>
              <w:rPr>
                <w:rFonts w:ascii="Arial Narrow" w:hAnsi="Arial Narrow"/>
                <w:b/>
                <w:sz w:val="20"/>
              </w:rPr>
            </w:pPr>
          </w:p>
        </w:tc>
        <w:tc>
          <w:tcPr>
            <w:tcW w:w="1270"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DCV12+SOF12</w:t>
            </w:r>
          </w:p>
        </w:tc>
        <w:tc>
          <w:tcPr>
            <w:tcW w:w="1201"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No treatment</w:t>
            </w:r>
          </w:p>
        </w:tc>
        <w:tc>
          <w:tcPr>
            <w:tcW w:w="1171"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Increment</w:t>
            </w:r>
          </w:p>
        </w:tc>
      </w:tr>
      <w:tr w:rsidR="00A52A58" w:rsidRPr="001D20D4" w:rsidTr="00F253E9">
        <w:tc>
          <w:tcPr>
            <w:tcW w:w="1358" w:type="pct"/>
          </w:tcPr>
          <w:p w:rsidR="00A52A58" w:rsidRPr="001D20D4" w:rsidRDefault="00A52A58" w:rsidP="00981FC9">
            <w:pPr>
              <w:rPr>
                <w:rFonts w:ascii="Arial Narrow" w:hAnsi="Arial Narrow"/>
                <w:sz w:val="20"/>
              </w:rPr>
            </w:pPr>
            <w:r w:rsidRPr="001D20D4">
              <w:rPr>
                <w:rFonts w:ascii="Arial Narrow" w:hAnsi="Arial Narrow"/>
                <w:sz w:val="20"/>
              </w:rPr>
              <w:t>Costs</w:t>
            </w:r>
          </w:p>
        </w:tc>
        <w:tc>
          <w:tcPr>
            <w:tcW w:w="1270" w:type="pct"/>
          </w:tcPr>
          <w:p w:rsidR="00A52A58" w:rsidRPr="001D20D4" w:rsidRDefault="00A52A58" w:rsidP="00981FC9">
            <w:pPr>
              <w:ind w:left="709"/>
              <w:jc w:val="right"/>
              <w:rPr>
                <w:rFonts w:ascii="Arial Narrow" w:hAnsi="Arial Narrow"/>
                <w:sz w:val="20"/>
              </w:rPr>
            </w:pPr>
            <w:r w:rsidRPr="001D20D4">
              <w:rPr>
                <w:rFonts w:ascii="Arial Narrow" w:hAnsi="Arial Narrow"/>
                <w:sz w:val="20"/>
              </w:rPr>
              <w:t>$</w:t>
            </w:r>
            <w:r w:rsidR="00E70598">
              <w:rPr>
                <w:rFonts w:ascii="Arial Narrow" w:hAnsi="Arial Narrow"/>
                <w:noProof/>
                <w:color w:val="000000"/>
                <w:sz w:val="20"/>
                <w:highlight w:val="black"/>
              </w:rPr>
              <w:t>''''''''''''''''</w:t>
            </w:r>
          </w:p>
        </w:tc>
        <w:tc>
          <w:tcPr>
            <w:tcW w:w="1201" w:type="pct"/>
          </w:tcPr>
          <w:p w:rsidR="00A52A58" w:rsidRPr="001D20D4" w:rsidRDefault="00A52A58" w:rsidP="00981FC9">
            <w:pPr>
              <w:ind w:left="709"/>
              <w:jc w:val="right"/>
              <w:rPr>
                <w:rFonts w:ascii="Arial Narrow" w:hAnsi="Arial Narrow"/>
                <w:sz w:val="20"/>
              </w:rPr>
            </w:pPr>
            <w:r w:rsidRPr="001D20D4">
              <w:rPr>
                <w:rFonts w:ascii="Arial Narrow" w:hAnsi="Arial Narrow"/>
                <w:sz w:val="20"/>
              </w:rPr>
              <w:t>$</w:t>
            </w:r>
            <w:r w:rsidR="00E70598">
              <w:rPr>
                <w:rFonts w:ascii="Arial Narrow" w:hAnsi="Arial Narrow"/>
                <w:noProof/>
                <w:color w:val="000000"/>
                <w:sz w:val="20"/>
                <w:highlight w:val="black"/>
              </w:rPr>
              <w:t>'''''''''''''''''</w:t>
            </w:r>
          </w:p>
        </w:tc>
        <w:tc>
          <w:tcPr>
            <w:tcW w:w="1171" w:type="pct"/>
          </w:tcPr>
          <w:p w:rsidR="00A52A58" w:rsidRPr="001D20D4" w:rsidRDefault="00A52A58" w:rsidP="00981FC9">
            <w:pPr>
              <w:ind w:left="709"/>
              <w:jc w:val="right"/>
              <w:rPr>
                <w:rFonts w:ascii="Arial Narrow" w:hAnsi="Arial Narrow"/>
                <w:sz w:val="20"/>
              </w:rPr>
            </w:pPr>
            <w:r w:rsidRPr="001D20D4">
              <w:rPr>
                <w:rFonts w:ascii="Arial Narrow" w:hAnsi="Arial Narrow"/>
                <w:sz w:val="20"/>
              </w:rPr>
              <w:t>$</w:t>
            </w:r>
            <w:r w:rsidR="00E70598">
              <w:rPr>
                <w:rFonts w:ascii="Arial Narrow" w:hAnsi="Arial Narrow"/>
                <w:noProof/>
                <w:color w:val="000000"/>
                <w:sz w:val="20"/>
                <w:highlight w:val="black"/>
              </w:rPr>
              <w:t>''''''''''''''''</w:t>
            </w:r>
          </w:p>
        </w:tc>
      </w:tr>
      <w:tr w:rsidR="00A52A58" w:rsidRPr="001D20D4" w:rsidTr="00F253E9">
        <w:tc>
          <w:tcPr>
            <w:tcW w:w="1358" w:type="pct"/>
          </w:tcPr>
          <w:p w:rsidR="00A52A58" w:rsidRPr="001D20D4" w:rsidRDefault="00A52A58" w:rsidP="00981FC9">
            <w:pPr>
              <w:rPr>
                <w:rFonts w:ascii="Arial Narrow" w:hAnsi="Arial Narrow"/>
                <w:sz w:val="20"/>
              </w:rPr>
            </w:pPr>
            <w:proofErr w:type="spellStart"/>
            <w:r w:rsidRPr="001D20D4">
              <w:rPr>
                <w:rFonts w:ascii="Arial Narrow" w:hAnsi="Arial Narrow"/>
                <w:sz w:val="20"/>
              </w:rPr>
              <w:t>QALYs</w:t>
            </w:r>
            <w:r w:rsidRPr="001D20D4">
              <w:rPr>
                <w:rFonts w:ascii="Arial Narrow" w:hAnsi="Arial Narrow"/>
                <w:sz w:val="20"/>
                <w:vertAlign w:val="superscript"/>
              </w:rPr>
              <w:t>a</w:t>
            </w:r>
            <w:proofErr w:type="spellEnd"/>
          </w:p>
        </w:tc>
        <w:tc>
          <w:tcPr>
            <w:tcW w:w="1270"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11.643</w:t>
            </w:r>
          </w:p>
        </w:tc>
        <w:tc>
          <w:tcPr>
            <w:tcW w:w="1201"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sz w:val="20"/>
              </w:rPr>
              <w:t>9.883</w:t>
            </w:r>
          </w:p>
        </w:tc>
        <w:tc>
          <w:tcPr>
            <w:tcW w:w="1171"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1.760</w:t>
            </w:r>
          </w:p>
        </w:tc>
      </w:tr>
      <w:tr w:rsidR="00A52A58" w:rsidRPr="001D20D4" w:rsidTr="00F253E9">
        <w:tc>
          <w:tcPr>
            <w:tcW w:w="3829" w:type="pct"/>
            <w:gridSpan w:val="3"/>
            <w:tcBorders>
              <w:bottom w:val="single" w:sz="4" w:space="0" w:color="auto"/>
            </w:tcBorders>
          </w:tcPr>
          <w:p w:rsidR="00A52A58" w:rsidRPr="001D20D4" w:rsidRDefault="00A52A58" w:rsidP="00981FC9">
            <w:pPr>
              <w:rPr>
                <w:rFonts w:ascii="Arial Narrow" w:hAnsi="Arial Narrow"/>
                <w:b/>
                <w:sz w:val="20"/>
              </w:rPr>
            </w:pPr>
            <w:r w:rsidRPr="001D20D4">
              <w:rPr>
                <w:rFonts w:ascii="Arial Narrow" w:hAnsi="Arial Narrow"/>
                <w:b/>
                <w:sz w:val="20"/>
              </w:rPr>
              <w:t>Incremental cost/extra QALY gained</w:t>
            </w:r>
          </w:p>
        </w:tc>
        <w:tc>
          <w:tcPr>
            <w:tcW w:w="1171" w:type="pct"/>
            <w:tcBorders>
              <w:bottom w:val="single" w:sz="4" w:space="0" w:color="auto"/>
            </w:tcBorders>
          </w:tcPr>
          <w:p w:rsidR="00A52A58" w:rsidRPr="001D20D4" w:rsidRDefault="00A52A58" w:rsidP="00981FC9">
            <w:pPr>
              <w:ind w:left="709"/>
              <w:jc w:val="right"/>
              <w:rPr>
                <w:rFonts w:ascii="Arial Narrow" w:hAnsi="Arial Narrow"/>
                <w:b/>
                <w:sz w:val="20"/>
              </w:rPr>
            </w:pPr>
            <w:r w:rsidRPr="001D20D4">
              <w:rPr>
                <w:rFonts w:ascii="Arial Narrow" w:hAnsi="Arial Narrow"/>
                <w:b/>
                <w:sz w:val="20"/>
              </w:rPr>
              <w:t>$</w:t>
            </w:r>
            <w:r w:rsidR="00E70598">
              <w:rPr>
                <w:rFonts w:ascii="Arial Narrow" w:hAnsi="Arial Narrow"/>
                <w:b/>
                <w:noProof/>
                <w:color w:val="000000"/>
                <w:sz w:val="20"/>
                <w:highlight w:val="black"/>
              </w:rPr>
              <w:t>''''''''''''''</w:t>
            </w:r>
          </w:p>
        </w:tc>
      </w:tr>
      <w:tr w:rsidR="00A52A58" w:rsidRPr="001D20D4" w:rsidTr="00F253E9">
        <w:tc>
          <w:tcPr>
            <w:tcW w:w="1358" w:type="pct"/>
            <w:shd w:val="clear" w:color="auto" w:fill="D9D9D9" w:themeFill="background1" w:themeFillShade="D9"/>
          </w:tcPr>
          <w:p w:rsidR="00A52A58" w:rsidRPr="001D20D4" w:rsidRDefault="00A52A58" w:rsidP="00981FC9">
            <w:pPr>
              <w:ind w:left="709"/>
              <w:rPr>
                <w:rFonts w:ascii="Arial Narrow" w:hAnsi="Arial Narrow"/>
                <w:b/>
                <w:sz w:val="20"/>
              </w:rPr>
            </w:pPr>
          </w:p>
        </w:tc>
        <w:tc>
          <w:tcPr>
            <w:tcW w:w="1270"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DCV12+SOF12</w:t>
            </w:r>
          </w:p>
        </w:tc>
        <w:tc>
          <w:tcPr>
            <w:tcW w:w="1201" w:type="pct"/>
            <w:shd w:val="clear" w:color="auto" w:fill="D9D9D9" w:themeFill="background1" w:themeFillShade="D9"/>
          </w:tcPr>
          <w:p w:rsidR="00A52A58" w:rsidRPr="001D20D4" w:rsidRDefault="00A52A58" w:rsidP="00981FC9">
            <w:pPr>
              <w:jc w:val="center"/>
              <w:rPr>
                <w:rFonts w:ascii="Arial Narrow" w:hAnsi="Arial Narrow"/>
                <w:b/>
                <w:sz w:val="20"/>
              </w:rPr>
            </w:pPr>
            <w:r w:rsidRPr="001D20D4">
              <w:rPr>
                <w:rFonts w:ascii="Arial Narrow" w:hAnsi="Arial Narrow"/>
                <w:b/>
                <w:sz w:val="20"/>
              </w:rPr>
              <w:t>TVR12+PR24/48</w:t>
            </w:r>
            <w:r w:rsidRPr="001D20D4">
              <w:rPr>
                <w:rFonts w:ascii="Arial Narrow" w:hAnsi="Arial Narrow"/>
                <w:b/>
                <w:sz w:val="20"/>
                <w:vertAlign w:val="superscript"/>
              </w:rPr>
              <w:t>b</w:t>
            </w:r>
          </w:p>
        </w:tc>
        <w:tc>
          <w:tcPr>
            <w:tcW w:w="1171"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Increment</w:t>
            </w:r>
          </w:p>
        </w:tc>
      </w:tr>
      <w:tr w:rsidR="00A52A58" w:rsidRPr="001D20D4" w:rsidTr="00F253E9">
        <w:tc>
          <w:tcPr>
            <w:tcW w:w="1358" w:type="pct"/>
          </w:tcPr>
          <w:p w:rsidR="00A52A58" w:rsidRPr="001D20D4" w:rsidRDefault="00A52A58" w:rsidP="00981FC9">
            <w:pPr>
              <w:rPr>
                <w:rFonts w:ascii="Arial Narrow" w:hAnsi="Arial Narrow"/>
                <w:sz w:val="20"/>
              </w:rPr>
            </w:pPr>
            <w:r w:rsidRPr="001D20D4">
              <w:rPr>
                <w:rFonts w:ascii="Arial Narrow" w:hAnsi="Arial Narrow"/>
                <w:sz w:val="20"/>
              </w:rPr>
              <w:t>Costs</w:t>
            </w:r>
          </w:p>
        </w:tc>
        <w:tc>
          <w:tcPr>
            <w:tcW w:w="1270" w:type="pct"/>
          </w:tcPr>
          <w:p w:rsidR="00A52A58" w:rsidRPr="001D20D4" w:rsidRDefault="00A52A58" w:rsidP="00981FC9">
            <w:pPr>
              <w:ind w:left="709"/>
              <w:jc w:val="right"/>
              <w:rPr>
                <w:rFonts w:ascii="Arial Narrow" w:hAnsi="Arial Narrow"/>
                <w:sz w:val="20"/>
              </w:rPr>
            </w:pPr>
            <w:r w:rsidRPr="001D20D4">
              <w:rPr>
                <w:rFonts w:ascii="Arial Narrow" w:hAnsi="Arial Narrow"/>
                <w:sz w:val="20"/>
              </w:rPr>
              <w:t>$</w:t>
            </w:r>
            <w:r w:rsidR="00E70598">
              <w:rPr>
                <w:rFonts w:ascii="Arial Narrow" w:hAnsi="Arial Narrow"/>
                <w:noProof/>
                <w:color w:val="000000"/>
                <w:sz w:val="20"/>
                <w:highlight w:val="black"/>
              </w:rPr>
              <w:t>'''''''''''''''</w:t>
            </w:r>
          </w:p>
        </w:tc>
        <w:tc>
          <w:tcPr>
            <w:tcW w:w="1201" w:type="pct"/>
            <w:vAlign w:val="bottom"/>
          </w:tcPr>
          <w:p w:rsidR="00A52A58" w:rsidRPr="001D20D4" w:rsidRDefault="00A52A58" w:rsidP="00981FC9">
            <w:pPr>
              <w:ind w:left="709"/>
              <w:jc w:val="right"/>
              <w:rPr>
                <w:rFonts w:ascii="Arial Narrow" w:hAnsi="Arial Narrow"/>
                <w:sz w:val="20"/>
              </w:rPr>
            </w:pPr>
            <w:r w:rsidRPr="001D20D4">
              <w:rPr>
                <w:rFonts w:ascii="Arial Narrow" w:hAnsi="Arial Narrow"/>
                <w:color w:val="000000"/>
                <w:sz w:val="20"/>
              </w:rPr>
              <w:t>$</w:t>
            </w:r>
            <w:r w:rsidR="00E70598">
              <w:rPr>
                <w:rFonts w:ascii="Arial Narrow" w:hAnsi="Arial Narrow"/>
                <w:noProof/>
                <w:color w:val="000000"/>
                <w:sz w:val="20"/>
                <w:highlight w:val="black"/>
              </w:rPr>
              <w:t>'''''''''''''''''</w:t>
            </w:r>
          </w:p>
        </w:tc>
        <w:tc>
          <w:tcPr>
            <w:tcW w:w="1171" w:type="pct"/>
            <w:vAlign w:val="bottom"/>
          </w:tcPr>
          <w:p w:rsidR="00A52A58" w:rsidRPr="001D20D4" w:rsidRDefault="00A52A58" w:rsidP="00981FC9">
            <w:pPr>
              <w:ind w:left="709"/>
              <w:jc w:val="right"/>
              <w:rPr>
                <w:rFonts w:ascii="Arial Narrow" w:hAnsi="Arial Narrow"/>
                <w:sz w:val="20"/>
              </w:rPr>
            </w:pPr>
            <w:r w:rsidRPr="001D20D4">
              <w:rPr>
                <w:rFonts w:ascii="Arial Narrow" w:hAnsi="Arial Narrow"/>
                <w:color w:val="000000"/>
                <w:sz w:val="20"/>
              </w:rPr>
              <w:t>$</w:t>
            </w:r>
            <w:r w:rsidR="00E70598">
              <w:rPr>
                <w:rFonts w:ascii="Arial Narrow" w:hAnsi="Arial Narrow"/>
                <w:noProof/>
                <w:color w:val="000000"/>
                <w:sz w:val="20"/>
                <w:highlight w:val="black"/>
              </w:rPr>
              <w:t>'''''''''''''</w:t>
            </w:r>
          </w:p>
        </w:tc>
      </w:tr>
      <w:tr w:rsidR="00A52A58" w:rsidRPr="001D20D4" w:rsidTr="00F253E9">
        <w:tc>
          <w:tcPr>
            <w:tcW w:w="1358" w:type="pct"/>
          </w:tcPr>
          <w:p w:rsidR="00A52A58" w:rsidRPr="001D20D4" w:rsidRDefault="00A52A58" w:rsidP="00981FC9">
            <w:pPr>
              <w:rPr>
                <w:rFonts w:ascii="Arial Narrow" w:hAnsi="Arial Narrow"/>
                <w:sz w:val="20"/>
              </w:rPr>
            </w:pPr>
            <w:proofErr w:type="spellStart"/>
            <w:r w:rsidRPr="001D20D4">
              <w:rPr>
                <w:rFonts w:ascii="Arial Narrow" w:hAnsi="Arial Narrow"/>
                <w:sz w:val="20"/>
              </w:rPr>
              <w:t>QALYs</w:t>
            </w:r>
            <w:r w:rsidRPr="001D20D4">
              <w:rPr>
                <w:rFonts w:ascii="Arial Narrow" w:hAnsi="Arial Narrow"/>
                <w:sz w:val="20"/>
                <w:vertAlign w:val="superscript"/>
              </w:rPr>
              <w:t>a</w:t>
            </w:r>
            <w:proofErr w:type="spellEnd"/>
          </w:p>
        </w:tc>
        <w:tc>
          <w:tcPr>
            <w:tcW w:w="1270"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11.643</w:t>
            </w:r>
          </w:p>
        </w:tc>
        <w:tc>
          <w:tcPr>
            <w:tcW w:w="1201"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11.343</w:t>
            </w:r>
          </w:p>
        </w:tc>
        <w:tc>
          <w:tcPr>
            <w:tcW w:w="1171"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0.300</w:t>
            </w:r>
          </w:p>
        </w:tc>
      </w:tr>
      <w:tr w:rsidR="00A52A58" w:rsidRPr="001D20D4" w:rsidTr="00F253E9">
        <w:tc>
          <w:tcPr>
            <w:tcW w:w="3829" w:type="pct"/>
            <w:gridSpan w:val="3"/>
          </w:tcPr>
          <w:p w:rsidR="00A52A58" w:rsidRPr="001D20D4" w:rsidRDefault="00A52A58" w:rsidP="00981FC9">
            <w:pPr>
              <w:rPr>
                <w:rFonts w:ascii="Arial Narrow" w:hAnsi="Arial Narrow"/>
                <w:b/>
                <w:sz w:val="20"/>
              </w:rPr>
            </w:pPr>
            <w:r w:rsidRPr="001D20D4">
              <w:rPr>
                <w:rFonts w:ascii="Arial Narrow" w:hAnsi="Arial Narrow"/>
                <w:b/>
                <w:sz w:val="20"/>
              </w:rPr>
              <w:t>Incremental cost/extra QALY gained</w:t>
            </w:r>
          </w:p>
        </w:tc>
        <w:tc>
          <w:tcPr>
            <w:tcW w:w="1171" w:type="pct"/>
          </w:tcPr>
          <w:p w:rsidR="00A52A58" w:rsidRPr="001D20D4" w:rsidRDefault="00A52A58" w:rsidP="00981FC9">
            <w:pPr>
              <w:ind w:left="709"/>
              <w:jc w:val="right"/>
              <w:rPr>
                <w:rFonts w:ascii="Arial Narrow" w:hAnsi="Arial Narrow"/>
                <w:b/>
                <w:color w:val="000000"/>
                <w:sz w:val="20"/>
              </w:rPr>
            </w:pPr>
            <w:r w:rsidRPr="001D20D4">
              <w:rPr>
                <w:rFonts w:ascii="Arial Narrow" w:hAnsi="Arial Narrow"/>
                <w:b/>
                <w:color w:val="000000"/>
                <w:sz w:val="20"/>
              </w:rPr>
              <w:t>$</w:t>
            </w:r>
            <w:r w:rsidR="00E70598">
              <w:rPr>
                <w:rFonts w:ascii="Arial Narrow" w:hAnsi="Arial Narrow"/>
                <w:b/>
                <w:noProof/>
                <w:color w:val="000000"/>
                <w:sz w:val="20"/>
                <w:highlight w:val="black"/>
              </w:rPr>
              <w:t>'''''''''''''''</w:t>
            </w:r>
          </w:p>
        </w:tc>
      </w:tr>
    </w:tbl>
    <w:p w:rsidR="00A52A58" w:rsidRPr="00214F99" w:rsidRDefault="00A52A58" w:rsidP="00A52A58">
      <w:pPr>
        <w:pStyle w:val="TableFooter"/>
        <w:ind w:left="709"/>
      </w:pPr>
      <w:r w:rsidRPr="00214F99">
        <w:t xml:space="preserve">DCV = daclatasvir; HCV = hepatitis C virus; PR = </w:t>
      </w:r>
      <w:proofErr w:type="spellStart"/>
      <w:r w:rsidRPr="00214F99">
        <w:t>peginterferon</w:t>
      </w:r>
      <w:proofErr w:type="spellEnd"/>
      <w:r w:rsidRPr="00214F99">
        <w:t xml:space="preserve"> and ribavirin; QALY = quality-adjusted life year; SOF = sofosbuvir; TVR = telaprevir</w:t>
      </w:r>
    </w:p>
    <w:p w:rsidR="00A52A58" w:rsidRPr="00214F99" w:rsidRDefault="00A52A58" w:rsidP="00A52A58">
      <w:pPr>
        <w:pStyle w:val="TableFooter"/>
        <w:ind w:left="709"/>
        <w:rPr>
          <w:snapToGrid/>
          <w:lang w:eastAsia="en-AU"/>
        </w:rPr>
      </w:pPr>
      <w:proofErr w:type="spellStart"/>
      <w:proofErr w:type="gramStart"/>
      <w:r w:rsidRPr="00214F99">
        <w:rPr>
          <w:snapToGrid/>
          <w:vertAlign w:val="superscript"/>
          <w:lang w:eastAsia="en-AU"/>
        </w:rPr>
        <w:t>a</w:t>
      </w:r>
      <w:proofErr w:type="spellEnd"/>
      <w:proofErr w:type="gramEnd"/>
      <w:r w:rsidRPr="00214F99">
        <w:rPr>
          <w:snapToGrid/>
          <w:lang w:eastAsia="en-AU"/>
        </w:rPr>
        <w:t xml:space="preserve"> Using a utility value of 0.60 for the F4(SVR) health state. The submission assumed identical utility values (0.720) for patients achieving SVR from moderate disease (F2/F3 (SVR)) and those achieving SVR from compensated cirrhosis (</w:t>
      </w:r>
      <w:proofErr w:type="gramStart"/>
      <w:r w:rsidRPr="00214F99">
        <w:rPr>
          <w:snapToGrid/>
          <w:lang w:eastAsia="en-AU"/>
        </w:rPr>
        <w:t>F4(</w:t>
      </w:r>
      <w:proofErr w:type="gramEnd"/>
      <w:r w:rsidRPr="00214F99">
        <w:rPr>
          <w:snapToGrid/>
          <w:lang w:eastAsia="en-AU"/>
        </w:rPr>
        <w:t xml:space="preserve">SVR)). This was unreasonable. Based on the submission’s assumption of a utility gain of 0.05 in patients achieving SVR, the utility for </w:t>
      </w:r>
      <w:proofErr w:type="gramStart"/>
      <w:r w:rsidRPr="00214F99">
        <w:rPr>
          <w:snapToGrid/>
          <w:lang w:eastAsia="en-AU"/>
        </w:rPr>
        <w:t>F4(</w:t>
      </w:r>
      <w:proofErr w:type="gramEnd"/>
      <w:r w:rsidRPr="00214F99">
        <w:rPr>
          <w:snapToGrid/>
          <w:lang w:eastAsia="en-AU"/>
        </w:rPr>
        <w:t>SVR) health state should be 0.60 (= 0.55 (utility value for F4) + 0.05).</w:t>
      </w:r>
    </w:p>
    <w:p w:rsidR="00A52A58" w:rsidRPr="00214F99" w:rsidRDefault="00A52A58" w:rsidP="00A52A58">
      <w:pPr>
        <w:pStyle w:val="TableFooter"/>
        <w:ind w:left="709"/>
        <w:rPr>
          <w:snapToGrid/>
          <w:lang w:eastAsia="en-AU"/>
        </w:rPr>
      </w:pPr>
      <w:proofErr w:type="gramStart"/>
      <w:r w:rsidRPr="00214F99">
        <w:rPr>
          <w:snapToGrid/>
          <w:vertAlign w:val="superscript"/>
          <w:lang w:eastAsia="en-AU"/>
        </w:rPr>
        <w:t>b</w:t>
      </w:r>
      <w:proofErr w:type="gramEnd"/>
      <w:r w:rsidRPr="00214F99">
        <w:rPr>
          <w:snapToGrid/>
          <w:lang w:eastAsia="en-AU"/>
        </w:rPr>
        <w:t xml:space="preserve"> Assuming an SVR rate of 78.9% (SVR rate in non-cirrhotic treatment-naïve patients in ADVANCE trial) for patients treated with TVR+PR</w:t>
      </w:r>
    </w:p>
    <w:p w:rsidR="00A52A58" w:rsidRPr="00214F99" w:rsidRDefault="00A52A58" w:rsidP="00A52A58">
      <w:pPr>
        <w:pStyle w:val="TableFooter"/>
        <w:ind w:left="709"/>
      </w:pPr>
      <w:r w:rsidRPr="00214F99">
        <w:t xml:space="preserve">Source: </w:t>
      </w:r>
      <w:r w:rsidRPr="00214F99">
        <w:rPr>
          <w:snapToGrid/>
          <w:lang w:eastAsia="en-AU"/>
        </w:rPr>
        <w:t>Compiled during the evaluation from “DCV Economic Evaluation.xlsx” workbook</w:t>
      </w:r>
    </w:p>
    <w:p w:rsidR="00A52A58" w:rsidRPr="00A52A58" w:rsidRDefault="00A52A58" w:rsidP="00A52A58">
      <w:pPr>
        <w:ind w:left="709"/>
      </w:pPr>
    </w:p>
    <w:p w:rsidR="00A52A58" w:rsidRPr="00A52A58" w:rsidRDefault="00A52A58" w:rsidP="00A52A58">
      <w:pPr>
        <w:pStyle w:val="Caption"/>
        <w:keepNext/>
        <w:keepLines/>
        <w:ind w:left="709"/>
      </w:pPr>
      <w:r w:rsidRPr="00A52A58">
        <w:t>Results of the DCV+SOF economic evaluation (genotypes 2 and 3</w:t>
      </w:r>
      <w:r w:rsidRPr="00A52A58">
        <w:rPr>
          <w:rFonts w:hint="eastAsia"/>
        </w:rPr>
        <w:t xml:space="preserve"> HCV</w:t>
      </w:r>
      <w:r w:rsidRPr="00A52A58">
        <w:t>)</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Economic analysis"/>
      </w:tblPr>
      <w:tblGrid>
        <w:gridCol w:w="2269"/>
        <w:gridCol w:w="1982"/>
        <w:gridCol w:w="2128"/>
        <w:gridCol w:w="1984"/>
      </w:tblGrid>
      <w:tr w:rsidR="00A52A58" w:rsidRPr="001D20D4" w:rsidTr="00F253E9">
        <w:trPr>
          <w:cantSplit/>
        </w:trPr>
        <w:tc>
          <w:tcPr>
            <w:tcW w:w="1357" w:type="pct"/>
            <w:shd w:val="clear" w:color="auto" w:fill="D9D9D9" w:themeFill="background1" w:themeFillShade="D9"/>
          </w:tcPr>
          <w:p w:rsidR="00A52A58" w:rsidRPr="001D20D4" w:rsidRDefault="00A52A58" w:rsidP="00981FC9">
            <w:pPr>
              <w:ind w:left="114"/>
              <w:rPr>
                <w:rFonts w:ascii="Arial Narrow" w:hAnsi="Arial Narrow"/>
                <w:b/>
                <w:sz w:val="20"/>
              </w:rPr>
            </w:pPr>
          </w:p>
        </w:tc>
        <w:tc>
          <w:tcPr>
            <w:tcW w:w="1185"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DCV12+SOF12</w:t>
            </w:r>
          </w:p>
        </w:tc>
        <w:tc>
          <w:tcPr>
            <w:tcW w:w="1272"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No treatment</w:t>
            </w:r>
          </w:p>
        </w:tc>
        <w:tc>
          <w:tcPr>
            <w:tcW w:w="1186"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Increment</w:t>
            </w:r>
          </w:p>
        </w:tc>
      </w:tr>
      <w:tr w:rsidR="00A52A58" w:rsidRPr="001D20D4" w:rsidTr="00F253E9">
        <w:trPr>
          <w:cantSplit/>
        </w:trPr>
        <w:tc>
          <w:tcPr>
            <w:tcW w:w="1357" w:type="pct"/>
          </w:tcPr>
          <w:p w:rsidR="00A52A58" w:rsidRPr="001D20D4" w:rsidRDefault="00A52A58" w:rsidP="00981FC9">
            <w:pPr>
              <w:rPr>
                <w:rFonts w:ascii="Arial Narrow" w:hAnsi="Arial Narrow"/>
                <w:sz w:val="20"/>
              </w:rPr>
            </w:pPr>
            <w:r w:rsidRPr="001D20D4">
              <w:rPr>
                <w:rFonts w:ascii="Arial Narrow" w:hAnsi="Arial Narrow"/>
                <w:sz w:val="20"/>
              </w:rPr>
              <w:t>Costs</w:t>
            </w:r>
          </w:p>
        </w:tc>
        <w:tc>
          <w:tcPr>
            <w:tcW w:w="1185" w:type="pct"/>
          </w:tcPr>
          <w:p w:rsidR="00A52A58" w:rsidRPr="001D20D4" w:rsidRDefault="00A52A58" w:rsidP="00981FC9">
            <w:pPr>
              <w:ind w:left="709"/>
              <w:jc w:val="right"/>
              <w:rPr>
                <w:rFonts w:ascii="Arial Narrow" w:hAnsi="Arial Narrow"/>
                <w:sz w:val="20"/>
              </w:rPr>
            </w:pPr>
            <w:r w:rsidRPr="001D20D4">
              <w:rPr>
                <w:rFonts w:ascii="Arial Narrow" w:hAnsi="Arial Narrow"/>
                <w:sz w:val="20"/>
              </w:rPr>
              <w:t>$</w:t>
            </w:r>
            <w:r w:rsidR="00E70598">
              <w:rPr>
                <w:rFonts w:ascii="Arial Narrow" w:hAnsi="Arial Narrow"/>
                <w:noProof/>
                <w:color w:val="000000"/>
                <w:sz w:val="20"/>
                <w:highlight w:val="black"/>
              </w:rPr>
              <w:t>''''''''''''''''</w:t>
            </w:r>
          </w:p>
        </w:tc>
        <w:tc>
          <w:tcPr>
            <w:tcW w:w="1272" w:type="pct"/>
          </w:tcPr>
          <w:p w:rsidR="00A52A58" w:rsidRPr="001D20D4" w:rsidRDefault="00A52A58" w:rsidP="00981FC9">
            <w:pPr>
              <w:ind w:left="709"/>
              <w:jc w:val="right"/>
              <w:rPr>
                <w:rFonts w:ascii="Arial Narrow" w:hAnsi="Arial Narrow"/>
                <w:sz w:val="20"/>
              </w:rPr>
            </w:pPr>
            <w:r w:rsidRPr="001D20D4">
              <w:rPr>
                <w:rFonts w:ascii="Arial Narrow" w:hAnsi="Arial Narrow"/>
                <w:snapToGrid/>
                <w:color w:val="000000"/>
                <w:sz w:val="20"/>
                <w:lang w:eastAsia="en-AU"/>
              </w:rPr>
              <w:t>$</w:t>
            </w:r>
            <w:r w:rsidR="00E70598">
              <w:rPr>
                <w:rFonts w:ascii="Arial Narrow" w:hAnsi="Arial Narrow"/>
                <w:noProof/>
                <w:snapToGrid/>
                <w:color w:val="000000"/>
                <w:sz w:val="20"/>
                <w:highlight w:val="black"/>
                <w:lang w:eastAsia="en-AU"/>
              </w:rPr>
              <w:t>''''''''''''''''''</w:t>
            </w:r>
          </w:p>
        </w:tc>
        <w:tc>
          <w:tcPr>
            <w:tcW w:w="1186" w:type="pct"/>
          </w:tcPr>
          <w:p w:rsidR="00A52A58" w:rsidRPr="001D20D4" w:rsidRDefault="00A52A58" w:rsidP="00981FC9">
            <w:pPr>
              <w:ind w:left="709"/>
              <w:jc w:val="right"/>
              <w:rPr>
                <w:rFonts w:ascii="Arial Narrow" w:hAnsi="Arial Narrow"/>
                <w:sz w:val="20"/>
              </w:rPr>
            </w:pPr>
            <w:r w:rsidRPr="001D20D4">
              <w:rPr>
                <w:rFonts w:ascii="Arial Narrow" w:hAnsi="Arial Narrow"/>
                <w:snapToGrid/>
                <w:color w:val="000000"/>
                <w:sz w:val="20"/>
                <w:lang w:eastAsia="en-AU"/>
              </w:rPr>
              <w:t>$</w:t>
            </w:r>
            <w:r w:rsidR="00E70598">
              <w:rPr>
                <w:rFonts w:ascii="Arial Narrow" w:hAnsi="Arial Narrow"/>
                <w:noProof/>
                <w:snapToGrid/>
                <w:color w:val="000000"/>
                <w:sz w:val="20"/>
                <w:highlight w:val="black"/>
                <w:lang w:eastAsia="en-AU"/>
              </w:rPr>
              <w:t>'''''''''''''''</w:t>
            </w:r>
          </w:p>
        </w:tc>
      </w:tr>
      <w:tr w:rsidR="00A52A58" w:rsidRPr="001D20D4" w:rsidTr="00F253E9">
        <w:trPr>
          <w:cantSplit/>
        </w:trPr>
        <w:tc>
          <w:tcPr>
            <w:tcW w:w="1357" w:type="pct"/>
          </w:tcPr>
          <w:p w:rsidR="00A52A58" w:rsidRPr="001D20D4" w:rsidRDefault="00A52A58" w:rsidP="00981FC9">
            <w:pPr>
              <w:rPr>
                <w:rFonts w:ascii="Arial Narrow" w:hAnsi="Arial Narrow"/>
                <w:sz w:val="20"/>
              </w:rPr>
            </w:pPr>
            <w:proofErr w:type="spellStart"/>
            <w:r w:rsidRPr="001D20D4">
              <w:rPr>
                <w:rFonts w:ascii="Arial Narrow" w:hAnsi="Arial Narrow"/>
                <w:sz w:val="20"/>
              </w:rPr>
              <w:t>QALYs</w:t>
            </w:r>
            <w:r w:rsidRPr="001D20D4">
              <w:rPr>
                <w:rFonts w:ascii="Arial Narrow" w:hAnsi="Arial Narrow"/>
                <w:sz w:val="20"/>
                <w:vertAlign w:val="superscript"/>
              </w:rPr>
              <w:t>a</w:t>
            </w:r>
            <w:proofErr w:type="spellEnd"/>
          </w:p>
        </w:tc>
        <w:tc>
          <w:tcPr>
            <w:tcW w:w="1185"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11.610</w:t>
            </w:r>
          </w:p>
        </w:tc>
        <w:tc>
          <w:tcPr>
            <w:tcW w:w="1272"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9.883</w:t>
            </w:r>
          </w:p>
        </w:tc>
        <w:tc>
          <w:tcPr>
            <w:tcW w:w="1186"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1.727</w:t>
            </w:r>
          </w:p>
        </w:tc>
      </w:tr>
      <w:tr w:rsidR="00A52A58" w:rsidRPr="001D20D4" w:rsidTr="00F253E9">
        <w:trPr>
          <w:cantSplit/>
        </w:trPr>
        <w:tc>
          <w:tcPr>
            <w:tcW w:w="3814" w:type="pct"/>
            <w:gridSpan w:val="3"/>
            <w:tcBorders>
              <w:bottom w:val="single" w:sz="4" w:space="0" w:color="auto"/>
            </w:tcBorders>
          </w:tcPr>
          <w:p w:rsidR="00A52A58" w:rsidRPr="001D20D4" w:rsidRDefault="00A52A58" w:rsidP="00981FC9">
            <w:pPr>
              <w:rPr>
                <w:rFonts w:ascii="Arial Narrow" w:hAnsi="Arial Narrow"/>
                <w:b/>
                <w:sz w:val="20"/>
              </w:rPr>
            </w:pPr>
            <w:r w:rsidRPr="001D20D4">
              <w:rPr>
                <w:rFonts w:ascii="Arial Narrow" w:hAnsi="Arial Narrow"/>
                <w:b/>
                <w:sz w:val="20"/>
              </w:rPr>
              <w:t>Incremental cost/extra QALY gained</w:t>
            </w:r>
          </w:p>
        </w:tc>
        <w:tc>
          <w:tcPr>
            <w:tcW w:w="1186" w:type="pct"/>
            <w:tcBorders>
              <w:bottom w:val="single" w:sz="4" w:space="0" w:color="auto"/>
            </w:tcBorders>
          </w:tcPr>
          <w:p w:rsidR="00A52A58" w:rsidRPr="001D20D4" w:rsidRDefault="00A52A58" w:rsidP="00981FC9">
            <w:pPr>
              <w:ind w:left="709"/>
              <w:jc w:val="right"/>
              <w:rPr>
                <w:rFonts w:ascii="Arial Narrow" w:hAnsi="Arial Narrow"/>
                <w:b/>
                <w:sz w:val="20"/>
              </w:rPr>
            </w:pPr>
            <w:r w:rsidRPr="001D20D4">
              <w:rPr>
                <w:rFonts w:ascii="Arial Narrow" w:hAnsi="Arial Narrow"/>
                <w:b/>
                <w:sz w:val="20"/>
              </w:rPr>
              <w:t>$</w:t>
            </w:r>
            <w:r w:rsidR="00E70598">
              <w:rPr>
                <w:rFonts w:ascii="Arial Narrow" w:hAnsi="Arial Narrow"/>
                <w:b/>
                <w:noProof/>
                <w:color w:val="000000"/>
                <w:sz w:val="20"/>
                <w:highlight w:val="black"/>
              </w:rPr>
              <w:t>'''''''''''''</w:t>
            </w:r>
          </w:p>
        </w:tc>
      </w:tr>
      <w:tr w:rsidR="00A52A58" w:rsidRPr="001D20D4" w:rsidTr="00F253E9">
        <w:trPr>
          <w:cantSplit/>
        </w:trPr>
        <w:tc>
          <w:tcPr>
            <w:tcW w:w="1357" w:type="pct"/>
            <w:shd w:val="clear" w:color="auto" w:fill="D9D9D9" w:themeFill="background1" w:themeFillShade="D9"/>
          </w:tcPr>
          <w:p w:rsidR="00A52A58" w:rsidRPr="001D20D4" w:rsidRDefault="00A52A58" w:rsidP="00981FC9">
            <w:pPr>
              <w:rPr>
                <w:rFonts w:ascii="Arial Narrow" w:hAnsi="Arial Narrow"/>
                <w:b/>
                <w:sz w:val="20"/>
              </w:rPr>
            </w:pPr>
          </w:p>
        </w:tc>
        <w:tc>
          <w:tcPr>
            <w:tcW w:w="1185"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DCV12+SOF12</w:t>
            </w:r>
          </w:p>
        </w:tc>
        <w:tc>
          <w:tcPr>
            <w:tcW w:w="1272"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PR24</w:t>
            </w:r>
          </w:p>
        </w:tc>
        <w:tc>
          <w:tcPr>
            <w:tcW w:w="1186"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Increment</w:t>
            </w:r>
          </w:p>
        </w:tc>
      </w:tr>
      <w:tr w:rsidR="00A52A58" w:rsidRPr="001D20D4" w:rsidTr="00F253E9">
        <w:trPr>
          <w:cantSplit/>
        </w:trPr>
        <w:tc>
          <w:tcPr>
            <w:tcW w:w="1357" w:type="pct"/>
          </w:tcPr>
          <w:p w:rsidR="00A52A58" w:rsidRPr="001D20D4" w:rsidRDefault="00A52A58" w:rsidP="00981FC9">
            <w:pPr>
              <w:rPr>
                <w:rFonts w:ascii="Arial Narrow" w:hAnsi="Arial Narrow"/>
                <w:sz w:val="20"/>
              </w:rPr>
            </w:pPr>
            <w:r w:rsidRPr="001D20D4">
              <w:rPr>
                <w:rFonts w:ascii="Arial Narrow" w:hAnsi="Arial Narrow"/>
                <w:sz w:val="20"/>
              </w:rPr>
              <w:t>Costs</w:t>
            </w:r>
          </w:p>
        </w:tc>
        <w:tc>
          <w:tcPr>
            <w:tcW w:w="1185" w:type="pct"/>
          </w:tcPr>
          <w:p w:rsidR="00A52A58" w:rsidRPr="001D20D4" w:rsidRDefault="00A52A58" w:rsidP="00981FC9">
            <w:pPr>
              <w:ind w:left="709"/>
              <w:jc w:val="right"/>
              <w:rPr>
                <w:rFonts w:ascii="Arial Narrow" w:hAnsi="Arial Narrow"/>
                <w:sz w:val="20"/>
              </w:rPr>
            </w:pPr>
            <w:r w:rsidRPr="001D20D4">
              <w:rPr>
                <w:rFonts w:ascii="Arial Narrow" w:hAnsi="Arial Narrow"/>
                <w:sz w:val="20"/>
              </w:rPr>
              <w:t>$</w:t>
            </w:r>
            <w:r w:rsidR="00E70598">
              <w:rPr>
                <w:rFonts w:ascii="Arial Narrow" w:hAnsi="Arial Narrow"/>
                <w:noProof/>
                <w:color w:val="000000"/>
                <w:sz w:val="20"/>
                <w:highlight w:val="black"/>
              </w:rPr>
              <w:t>''''''''''''''''''</w:t>
            </w:r>
          </w:p>
        </w:tc>
        <w:tc>
          <w:tcPr>
            <w:tcW w:w="1272" w:type="pct"/>
            <w:vAlign w:val="bottom"/>
          </w:tcPr>
          <w:p w:rsidR="00A52A58" w:rsidRPr="001D20D4" w:rsidRDefault="00A52A58" w:rsidP="00981FC9">
            <w:pPr>
              <w:ind w:left="709"/>
              <w:jc w:val="right"/>
              <w:rPr>
                <w:rFonts w:ascii="Arial Narrow" w:hAnsi="Arial Narrow"/>
                <w:sz w:val="20"/>
              </w:rPr>
            </w:pPr>
            <w:r w:rsidRPr="001D20D4">
              <w:rPr>
                <w:rFonts w:ascii="Arial Narrow" w:hAnsi="Arial Narrow"/>
                <w:color w:val="000000"/>
                <w:sz w:val="20"/>
              </w:rPr>
              <w:t>$</w:t>
            </w:r>
            <w:r w:rsidR="00E70598">
              <w:rPr>
                <w:rFonts w:ascii="Arial Narrow" w:hAnsi="Arial Narrow"/>
                <w:noProof/>
                <w:color w:val="000000"/>
                <w:sz w:val="20"/>
                <w:highlight w:val="black"/>
              </w:rPr>
              <w:t>''''''''''''''''''</w:t>
            </w:r>
          </w:p>
        </w:tc>
        <w:tc>
          <w:tcPr>
            <w:tcW w:w="1186" w:type="pct"/>
            <w:vAlign w:val="bottom"/>
          </w:tcPr>
          <w:p w:rsidR="00A52A58" w:rsidRPr="001D20D4" w:rsidRDefault="00A52A58" w:rsidP="00981FC9">
            <w:pPr>
              <w:ind w:left="709"/>
              <w:jc w:val="right"/>
              <w:rPr>
                <w:rFonts w:ascii="Arial Narrow" w:hAnsi="Arial Narrow"/>
                <w:sz w:val="20"/>
              </w:rPr>
            </w:pPr>
            <w:r w:rsidRPr="001D20D4">
              <w:rPr>
                <w:rFonts w:ascii="Arial Narrow" w:hAnsi="Arial Narrow"/>
                <w:color w:val="000000"/>
                <w:sz w:val="20"/>
              </w:rPr>
              <w:t>$</w:t>
            </w:r>
            <w:r w:rsidR="00E70598">
              <w:rPr>
                <w:rFonts w:ascii="Arial Narrow" w:hAnsi="Arial Narrow"/>
                <w:noProof/>
                <w:color w:val="000000"/>
                <w:sz w:val="20"/>
                <w:highlight w:val="black"/>
              </w:rPr>
              <w:t>''''''''''''''''</w:t>
            </w:r>
          </w:p>
        </w:tc>
      </w:tr>
      <w:tr w:rsidR="00A52A58" w:rsidRPr="001D20D4" w:rsidTr="00F253E9">
        <w:trPr>
          <w:cantSplit/>
        </w:trPr>
        <w:tc>
          <w:tcPr>
            <w:tcW w:w="1357" w:type="pct"/>
          </w:tcPr>
          <w:p w:rsidR="00A52A58" w:rsidRPr="001D20D4" w:rsidRDefault="00A52A58" w:rsidP="00981FC9">
            <w:pPr>
              <w:rPr>
                <w:rFonts w:ascii="Arial Narrow" w:hAnsi="Arial Narrow"/>
                <w:sz w:val="20"/>
              </w:rPr>
            </w:pPr>
            <w:proofErr w:type="spellStart"/>
            <w:r w:rsidRPr="001D20D4">
              <w:rPr>
                <w:rFonts w:ascii="Arial Narrow" w:hAnsi="Arial Narrow"/>
                <w:sz w:val="20"/>
              </w:rPr>
              <w:t>QALYs</w:t>
            </w:r>
            <w:r w:rsidRPr="001D20D4">
              <w:rPr>
                <w:rFonts w:ascii="Arial Narrow" w:hAnsi="Arial Narrow"/>
                <w:sz w:val="20"/>
                <w:vertAlign w:val="superscript"/>
              </w:rPr>
              <w:t>a</w:t>
            </w:r>
            <w:proofErr w:type="spellEnd"/>
          </w:p>
        </w:tc>
        <w:tc>
          <w:tcPr>
            <w:tcW w:w="1185"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11.610</w:t>
            </w:r>
          </w:p>
        </w:tc>
        <w:tc>
          <w:tcPr>
            <w:tcW w:w="1272"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11.139</w:t>
            </w:r>
          </w:p>
        </w:tc>
        <w:tc>
          <w:tcPr>
            <w:tcW w:w="1186"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0.471</w:t>
            </w:r>
          </w:p>
        </w:tc>
      </w:tr>
      <w:tr w:rsidR="00A52A58" w:rsidRPr="001D20D4" w:rsidTr="00F253E9">
        <w:trPr>
          <w:cantSplit/>
        </w:trPr>
        <w:tc>
          <w:tcPr>
            <w:tcW w:w="3814" w:type="pct"/>
            <w:gridSpan w:val="3"/>
          </w:tcPr>
          <w:p w:rsidR="00A52A58" w:rsidRPr="001D20D4" w:rsidRDefault="00A52A58" w:rsidP="00981FC9">
            <w:pPr>
              <w:rPr>
                <w:rFonts w:ascii="Arial Narrow" w:hAnsi="Arial Narrow"/>
                <w:b/>
                <w:sz w:val="20"/>
              </w:rPr>
            </w:pPr>
            <w:r w:rsidRPr="001D20D4">
              <w:rPr>
                <w:rFonts w:ascii="Arial Narrow" w:hAnsi="Arial Narrow"/>
                <w:b/>
                <w:sz w:val="20"/>
              </w:rPr>
              <w:t>Incremental cost/extra QALY gained</w:t>
            </w:r>
          </w:p>
        </w:tc>
        <w:tc>
          <w:tcPr>
            <w:tcW w:w="1186" w:type="pct"/>
          </w:tcPr>
          <w:p w:rsidR="00A52A58" w:rsidRPr="001D20D4" w:rsidRDefault="00A52A58" w:rsidP="00981FC9">
            <w:pPr>
              <w:ind w:left="709"/>
              <w:jc w:val="right"/>
              <w:rPr>
                <w:rFonts w:ascii="Arial Narrow" w:hAnsi="Arial Narrow"/>
                <w:b/>
                <w:sz w:val="20"/>
              </w:rPr>
            </w:pPr>
            <w:r w:rsidRPr="001D20D4">
              <w:rPr>
                <w:rFonts w:ascii="Arial Narrow" w:hAnsi="Arial Narrow"/>
                <w:b/>
                <w:sz w:val="20"/>
              </w:rPr>
              <w:t>$</w:t>
            </w:r>
            <w:r w:rsidR="00E70598">
              <w:rPr>
                <w:rFonts w:ascii="Arial Narrow" w:hAnsi="Arial Narrow"/>
                <w:b/>
                <w:noProof/>
                <w:color w:val="000000"/>
                <w:sz w:val="20"/>
                <w:highlight w:val="black"/>
              </w:rPr>
              <w:t>''''''''''''''</w:t>
            </w:r>
          </w:p>
        </w:tc>
      </w:tr>
    </w:tbl>
    <w:p w:rsidR="00A52A58" w:rsidRPr="00A52A58" w:rsidRDefault="00A52A58" w:rsidP="00A52A58">
      <w:pPr>
        <w:pStyle w:val="TableFooter"/>
        <w:ind w:left="709"/>
      </w:pPr>
      <w:r w:rsidRPr="00A52A58">
        <w:t xml:space="preserve">DCV = daclatasvir; HCV = hepatitis C virus; PR = </w:t>
      </w:r>
      <w:proofErr w:type="spellStart"/>
      <w:r w:rsidRPr="00A52A58">
        <w:t>peginterferon</w:t>
      </w:r>
      <w:proofErr w:type="spellEnd"/>
      <w:r w:rsidRPr="00A52A58">
        <w:t xml:space="preserve"> and ribavirin; QALY = quality-adjusted life year; SOF = sofosbuvir</w:t>
      </w:r>
    </w:p>
    <w:p w:rsidR="00A52A58" w:rsidRPr="00A52A58" w:rsidRDefault="00A52A58" w:rsidP="00A52A58">
      <w:pPr>
        <w:pStyle w:val="TableFooter"/>
        <w:ind w:left="709"/>
        <w:rPr>
          <w:i/>
          <w:snapToGrid/>
          <w:lang w:eastAsia="en-AU"/>
        </w:rPr>
      </w:pPr>
      <w:proofErr w:type="spellStart"/>
      <w:proofErr w:type="gramStart"/>
      <w:r w:rsidRPr="00A52A58">
        <w:rPr>
          <w:i/>
          <w:snapToGrid/>
          <w:vertAlign w:val="superscript"/>
          <w:lang w:eastAsia="en-AU"/>
        </w:rPr>
        <w:lastRenderedPageBreak/>
        <w:t>a</w:t>
      </w:r>
      <w:proofErr w:type="spellEnd"/>
      <w:proofErr w:type="gramEnd"/>
      <w:r w:rsidRPr="00A52A58">
        <w:rPr>
          <w:i/>
          <w:snapToGrid/>
          <w:lang w:eastAsia="en-AU"/>
        </w:rPr>
        <w:t xml:space="preserve"> Using a utility value of 0.60 for the F4(SVR) health state. </w:t>
      </w:r>
    </w:p>
    <w:p w:rsidR="00A52A58" w:rsidRPr="00A52A58" w:rsidRDefault="00A52A58" w:rsidP="00A52A58">
      <w:pPr>
        <w:pStyle w:val="TableFooter"/>
        <w:ind w:left="709"/>
      </w:pPr>
      <w:r w:rsidRPr="00A52A58">
        <w:t xml:space="preserve">Source: </w:t>
      </w:r>
      <w:r w:rsidRPr="00A52A58">
        <w:rPr>
          <w:snapToGrid/>
          <w:lang w:eastAsia="en-AU"/>
        </w:rPr>
        <w:t>Compiled during the evaluation from “DCV Economic Evaluation.xlsx” workbook</w:t>
      </w:r>
    </w:p>
    <w:p w:rsidR="00A52A58" w:rsidRPr="00A52A58" w:rsidRDefault="00A52A58" w:rsidP="00A52A58">
      <w:pPr>
        <w:ind w:left="709"/>
      </w:pPr>
    </w:p>
    <w:p w:rsidR="00A52A58" w:rsidRPr="00A52A58" w:rsidRDefault="00A52A58" w:rsidP="00A52A58">
      <w:pPr>
        <w:pStyle w:val="Caption"/>
        <w:keepNext/>
        <w:keepLines/>
        <w:ind w:left="709"/>
      </w:pPr>
      <w:r w:rsidRPr="00A52A58">
        <w:t xml:space="preserve">Results of the DCV+SOF economic evaluation (genotype 4 </w:t>
      </w:r>
      <w:r w:rsidRPr="00A52A58">
        <w:rPr>
          <w:rFonts w:hint="eastAsia"/>
        </w:rPr>
        <w:t>HCV</w:t>
      </w:r>
      <w:r w:rsidRPr="00A52A58">
        <w:t>)</w:t>
      </w:r>
    </w:p>
    <w:tbl>
      <w:tblPr>
        <w:tblW w:w="464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Economic analysis"/>
      </w:tblPr>
      <w:tblGrid>
        <w:gridCol w:w="2270"/>
        <w:gridCol w:w="1984"/>
        <w:gridCol w:w="2127"/>
        <w:gridCol w:w="2053"/>
      </w:tblGrid>
      <w:tr w:rsidR="00A52A58" w:rsidRPr="001D20D4" w:rsidTr="00981FC9">
        <w:tc>
          <w:tcPr>
            <w:tcW w:w="1346" w:type="pct"/>
            <w:shd w:val="clear" w:color="auto" w:fill="D9D9D9" w:themeFill="background1" w:themeFillShade="D9"/>
          </w:tcPr>
          <w:p w:rsidR="00A52A58" w:rsidRPr="001D20D4" w:rsidRDefault="00A52A58" w:rsidP="00981FC9">
            <w:pPr>
              <w:ind w:left="709"/>
              <w:rPr>
                <w:rFonts w:ascii="Arial Narrow" w:hAnsi="Arial Narrow"/>
                <w:b/>
                <w:sz w:val="20"/>
              </w:rPr>
            </w:pPr>
          </w:p>
        </w:tc>
        <w:tc>
          <w:tcPr>
            <w:tcW w:w="1176"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DCV12+SOF12</w:t>
            </w:r>
          </w:p>
        </w:tc>
        <w:tc>
          <w:tcPr>
            <w:tcW w:w="1261"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No treatment</w:t>
            </w:r>
          </w:p>
        </w:tc>
        <w:tc>
          <w:tcPr>
            <w:tcW w:w="1218"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Increment</w:t>
            </w:r>
          </w:p>
        </w:tc>
      </w:tr>
      <w:tr w:rsidR="00A52A58" w:rsidRPr="001D20D4" w:rsidTr="00981FC9">
        <w:tc>
          <w:tcPr>
            <w:tcW w:w="1346" w:type="pct"/>
          </w:tcPr>
          <w:p w:rsidR="00A52A58" w:rsidRPr="001D20D4" w:rsidRDefault="00A52A58" w:rsidP="00981FC9">
            <w:pPr>
              <w:rPr>
                <w:rFonts w:ascii="Arial Narrow" w:hAnsi="Arial Narrow"/>
                <w:sz w:val="20"/>
              </w:rPr>
            </w:pPr>
            <w:r w:rsidRPr="001D20D4">
              <w:rPr>
                <w:rFonts w:ascii="Arial Narrow" w:hAnsi="Arial Narrow"/>
                <w:sz w:val="20"/>
              </w:rPr>
              <w:t>Costs</w:t>
            </w:r>
          </w:p>
        </w:tc>
        <w:tc>
          <w:tcPr>
            <w:tcW w:w="1176" w:type="pct"/>
          </w:tcPr>
          <w:p w:rsidR="00A52A58" w:rsidRPr="001D20D4" w:rsidRDefault="00A52A58" w:rsidP="00981FC9">
            <w:pPr>
              <w:ind w:left="709"/>
              <w:jc w:val="right"/>
              <w:rPr>
                <w:rFonts w:ascii="Arial Narrow" w:hAnsi="Arial Narrow"/>
                <w:sz w:val="20"/>
              </w:rPr>
            </w:pPr>
            <w:r w:rsidRPr="001D20D4">
              <w:rPr>
                <w:rFonts w:ascii="Arial Narrow" w:hAnsi="Arial Narrow"/>
                <w:sz w:val="20"/>
              </w:rPr>
              <w:t>$</w:t>
            </w:r>
            <w:r w:rsidR="00E70598">
              <w:rPr>
                <w:rFonts w:ascii="Arial Narrow" w:hAnsi="Arial Narrow"/>
                <w:noProof/>
                <w:color w:val="000000"/>
                <w:sz w:val="20"/>
                <w:highlight w:val="black"/>
              </w:rPr>
              <w:t>''''''''''''''''</w:t>
            </w:r>
          </w:p>
        </w:tc>
        <w:tc>
          <w:tcPr>
            <w:tcW w:w="1261" w:type="pct"/>
          </w:tcPr>
          <w:p w:rsidR="00A52A58" w:rsidRPr="001D20D4" w:rsidRDefault="00A52A58" w:rsidP="00981FC9">
            <w:pPr>
              <w:ind w:left="709"/>
              <w:jc w:val="right"/>
              <w:rPr>
                <w:rFonts w:ascii="Arial Narrow" w:hAnsi="Arial Narrow"/>
                <w:sz w:val="20"/>
              </w:rPr>
            </w:pPr>
            <w:r w:rsidRPr="001D20D4">
              <w:rPr>
                <w:rFonts w:ascii="Arial Narrow" w:hAnsi="Arial Narrow"/>
                <w:sz w:val="20"/>
              </w:rPr>
              <w:t>$</w:t>
            </w:r>
            <w:r w:rsidR="00E70598">
              <w:rPr>
                <w:rFonts w:ascii="Arial Narrow" w:hAnsi="Arial Narrow"/>
                <w:noProof/>
                <w:color w:val="000000"/>
                <w:sz w:val="20"/>
                <w:highlight w:val="black"/>
              </w:rPr>
              <w:t>''''''''''''''''</w:t>
            </w:r>
          </w:p>
        </w:tc>
        <w:tc>
          <w:tcPr>
            <w:tcW w:w="1218" w:type="pct"/>
          </w:tcPr>
          <w:p w:rsidR="00A52A58" w:rsidRPr="001D20D4" w:rsidRDefault="00A52A58" w:rsidP="00981FC9">
            <w:pPr>
              <w:ind w:left="709"/>
              <w:jc w:val="right"/>
              <w:rPr>
                <w:rFonts w:ascii="Arial Narrow" w:hAnsi="Arial Narrow"/>
                <w:sz w:val="20"/>
              </w:rPr>
            </w:pPr>
            <w:r w:rsidRPr="001D20D4">
              <w:rPr>
                <w:rFonts w:ascii="Arial Narrow" w:hAnsi="Arial Narrow"/>
                <w:sz w:val="20"/>
              </w:rPr>
              <w:t>$</w:t>
            </w:r>
            <w:r w:rsidR="00E70598">
              <w:rPr>
                <w:rFonts w:ascii="Arial Narrow" w:hAnsi="Arial Narrow"/>
                <w:noProof/>
                <w:color w:val="000000"/>
                <w:sz w:val="20"/>
                <w:highlight w:val="black"/>
              </w:rPr>
              <w:t>''''''''''''''''</w:t>
            </w:r>
          </w:p>
        </w:tc>
      </w:tr>
      <w:tr w:rsidR="00A52A58" w:rsidRPr="001D20D4" w:rsidTr="00981FC9">
        <w:tc>
          <w:tcPr>
            <w:tcW w:w="1346" w:type="pct"/>
          </w:tcPr>
          <w:p w:rsidR="00A52A58" w:rsidRPr="001D20D4" w:rsidRDefault="00A52A58" w:rsidP="00981FC9">
            <w:pPr>
              <w:rPr>
                <w:rFonts w:ascii="Arial Narrow" w:hAnsi="Arial Narrow"/>
                <w:sz w:val="20"/>
              </w:rPr>
            </w:pPr>
            <w:proofErr w:type="spellStart"/>
            <w:r w:rsidRPr="001D20D4">
              <w:rPr>
                <w:rFonts w:ascii="Arial Narrow" w:hAnsi="Arial Narrow"/>
                <w:sz w:val="20"/>
              </w:rPr>
              <w:t>QALYs</w:t>
            </w:r>
            <w:r w:rsidRPr="001D20D4">
              <w:rPr>
                <w:rFonts w:ascii="Arial Narrow" w:hAnsi="Arial Narrow"/>
                <w:sz w:val="20"/>
                <w:vertAlign w:val="superscript"/>
              </w:rPr>
              <w:t>a</w:t>
            </w:r>
            <w:proofErr w:type="spellEnd"/>
          </w:p>
        </w:tc>
        <w:tc>
          <w:tcPr>
            <w:tcW w:w="1176"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11.643</w:t>
            </w:r>
          </w:p>
        </w:tc>
        <w:tc>
          <w:tcPr>
            <w:tcW w:w="1261"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sz w:val="20"/>
              </w:rPr>
              <w:t>9.883</w:t>
            </w:r>
          </w:p>
        </w:tc>
        <w:tc>
          <w:tcPr>
            <w:tcW w:w="1218"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1.760</w:t>
            </w:r>
          </w:p>
        </w:tc>
      </w:tr>
      <w:tr w:rsidR="00A52A58" w:rsidRPr="001D20D4" w:rsidTr="00981FC9">
        <w:tc>
          <w:tcPr>
            <w:tcW w:w="3782" w:type="pct"/>
            <w:gridSpan w:val="3"/>
            <w:tcBorders>
              <w:bottom w:val="single" w:sz="4" w:space="0" w:color="auto"/>
            </w:tcBorders>
          </w:tcPr>
          <w:p w:rsidR="00A52A58" w:rsidRPr="001D20D4" w:rsidRDefault="00A52A58" w:rsidP="00981FC9">
            <w:pPr>
              <w:rPr>
                <w:rFonts w:ascii="Arial Narrow" w:hAnsi="Arial Narrow"/>
                <w:b/>
                <w:sz w:val="20"/>
              </w:rPr>
            </w:pPr>
            <w:r w:rsidRPr="001D20D4">
              <w:rPr>
                <w:rFonts w:ascii="Arial Narrow" w:hAnsi="Arial Narrow"/>
                <w:b/>
                <w:sz w:val="20"/>
              </w:rPr>
              <w:t>Incremental cost/extra QALY gained</w:t>
            </w:r>
          </w:p>
        </w:tc>
        <w:tc>
          <w:tcPr>
            <w:tcW w:w="1218" w:type="pct"/>
            <w:tcBorders>
              <w:bottom w:val="single" w:sz="4" w:space="0" w:color="auto"/>
            </w:tcBorders>
          </w:tcPr>
          <w:p w:rsidR="00A52A58" w:rsidRPr="001D20D4" w:rsidRDefault="00A52A58" w:rsidP="00981FC9">
            <w:pPr>
              <w:ind w:left="709"/>
              <w:jc w:val="right"/>
              <w:rPr>
                <w:rFonts w:ascii="Arial Narrow" w:hAnsi="Arial Narrow"/>
                <w:b/>
                <w:sz w:val="20"/>
              </w:rPr>
            </w:pPr>
            <w:r w:rsidRPr="001D20D4">
              <w:rPr>
                <w:rFonts w:ascii="Arial Narrow" w:hAnsi="Arial Narrow"/>
                <w:b/>
                <w:sz w:val="20"/>
              </w:rPr>
              <w:t>$</w:t>
            </w:r>
            <w:r w:rsidR="00E70598">
              <w:rPr>
                <w:rFonts w:ascii="Arial Narrow" w:hAnsi="Arial Narrow"/>
                <w:b/>
                <w:noProof/>
                <w:color w:val="000000"/>
                <w:sz w:val="20"/>
                <w:highlight w:val="black"/>
              </w:rPr>
              <w:t>''''''''''''''</w:t>
            </w:r>
          </w:p>
        </w:tc>
      </w:tr>
      <w:tr w:rsidR="00A52A58" w:rsidRPr="001D20D4" w:rsidTr="00981FC9">
        <w:tc>
          <w:tcPr>
            <w:tcW w:w="1346" w:type="pct"/>
            <w:shd w:val="clear" w:color="auto" w:fill="D9D9D9" w:themeFill="background1" w:themeFillShade="D9"/>
          </w:tcPr>
          <w:p w:rsidR="00A52A58" w:rsidRPr="001D20D4" w:rsidRDefault="00A52A58" w:rsidP="00981FC9">
            <w:pPr>
              <w:ind w:left="709"/>
              <w:rPr>
                <w:rFonts w:ascii="Arial Narrow" w:hAnsi="Arial Narrow"/>
                <w:b/>
                <w:sz w:val="20"/>
              </w:rPr>
            </w:pPr>
          </w:p>
        </w:tc>
        <w:tc>
          <w:tcPr>
            <w:tcW w:w="1176"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DCV12+SOF12</w:t>
            </w:r>
          </w:p>
        </w:tc>
        <w:tc>
          <w:tcPr>
            <w:tcW w:w="1261"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PR48</w:t>
            </w:r>
          </w:p>
        </w:tc>
        <w:tc>
          <w:tcPr>
            <w:tcW w:w="1218" w:type="pct"/>
            <w:shd w:val="clear" w:color="auto" w:fill="D9D9D9" w:themeFill="background1" w:themeFillShade="D9"/>
          </w:tcPr>
          <w:p w:rsidR="00A52A58" w:rsidRPr="001D20D4" w:rsidRDefault="00A52A58" w:rsidP="00981FC9">
            <w:pPr>
              <w:ind w:left="-31"/>
              <w:jc w:val="center"/>
              <w:rPr>
                <w:rFonts w:ascii="Arial Narrow" w:hAnsi="Arial Narrow"/>
                <w:b/>
                <w:sz w:val="20"/>
              </w:rPr>
            </w:pPr>
            <w:r w:rsidRPr="001D20D4">
              <w:rPr>
                <w:rFonts w:ascii="Arial Narrow" w:hAnsi="Arial Narrow"/>
                <w:b/>
                <w:sz w:val="20"/>
              </w:rPr>
              <w:t>Increment</w:t>
            </w:r>
          </w:p>
        </w:tc>
      </w:tr>
      <w:tr w:rsidR="00A52A58" w:rsidRPr="001D20D4" w:rsidTr="00981FC9">
        <w:tc>
          <w:tcPr>
            <w:tcW w:w="1346" w:type="pct"/>
          </w:tcPr>
          <w:p w:rsidR="00A52A58" w:rsidRPr="001D20D4" w:rsidRDefault="00A52A58" w:rsidP="00981FC9">
            <w:pPr>
              <w:rPr>
                <w:rFonts w:ascii="Arial Narrow" w:hAnsi="Arial Narrow"/>
                <w:sz w:val="20"/>
              </w:rPr>
            </w:pPr>
            <w:r w:rsidRPr="001D20D4">
              <w:rPr>
                <w:rFonts w:ascii="Arial Narrow" w:hAnsi="Arial Narrow"/>
                <w:sz w:val="20"/>
              </w:rPr>
              <w:t>Costs</w:t>
            </w:r>
          </w:p>
        </w:tc>
        <w:tc>
          <w:tcPr>
            <w:tcW w:w="1176" w:type="pct"/>
          </w:tcPr>
          <w:p w:rsidR="00A52A58" w:rsidRPr="001D20D4" w:rsidRDefault="00A52A58" w:rsidP="00981FC9">
            <w:pPr>
              <w:ind w:left="709"/>
              <w:jc w:val="right"/>
              <w:rPr>
                <w:rFonts w:ascii="Arial Narrow" w:hAnsi="Arial Narrow"/>
                <w:sz w:val="20"/>
              </w:rPr>
            </w:pPr>
            <w:r w:rsidRPr="001D20D4">
              <w:rPr>
                <w:rFonts w:ascii="Arial Narrow" w:hAnsi="Arial Narrow"/>
                <w:sz w:val="20"/>
              </w:rPr>
              <w:t>$</w:t>
            </w:r>
            <w:r w:rsidR="00E70598">
              <w:rPr>
                <w:rFonts w:ascii="Arial Narrow" w:hAnsi="Arial Narrow"/>
                <w:noProof/>
                <w:color w:val="000000"/>
                <w:sz w:val="20"/>
                <w:highlight w:val="black"/>
              </w:rPr>
              <w:t>'''''''''''''''</w:t>
            </w:r>
          </w:p>
        </w:tc>
        <w:tc>
          <w:tcPr>
            <w:tcW w:w="1261" w:type="pct"/>
            <w:vAlign w:val="bottom"/>
          </w:tcPr>
          <w:p w:rsidR="00A52A58" w:rsidRPr="001D20D4" w:rsidRDefault="00A52A58" w:rsidP="00981FC9">
            <w:pPr>
              <w:ind w:left="709"/>
              <w:jc w:val="right"/>
              <w:rPr>
                <w:rFonts w:ascii="Arial Narrow" w:hAnsi="Arial Narrow"/>
                <w:sz w:val="20"/>
              </w:rPr>
            </w:pPr>
            <w:r w:rsidRPr="001D20D4">
              <w:rPr>
                <w:rFonts w:ascii="Arial Narrow" w:hAnsi="Arial Narrow"/>
                <w:color w:val="000000"/>
                <w:sz w:val="20"/>
              </w:rPr>
              <w:t>$</w:t>
            </w:r>
            <w:r w:rsidR="00E70598">
              <w:rPr>
                <w:rFonts w:ascii="Arial Narrow" w:hAnsi="Arial Narrow"/>
                <w:noProof/>
                <w:color w:val="000000"/>
                <w:sz w:val="20"/>
                <w:highlight w:val="black"/>
              </w:rPr>
              <w:t>'''''''''''''''''</w:t>
            </w:r>
          </w:p>
        </w:tc>
        <w:tc>
          <w:tcPr>
            <w:tcW w:w="1218" w:type="pct"/>
            <w:vAlign w:val="bottom"/>
          </w:tcPr>
          <w:p w:rsidR="00A52A58" w:rsidRPr="001D20D4" w:rsidRDefault="00A52A58" w:rsidP="00981FC9">
            <w:pPr>
              <w:ind w:left="709"/>
              <w:jc w:val="right"/>
              <w:rPr>
                <w:rFonts w:ascii="Arial Narrow" w:hAnsi="Arial Narrow"/>
                <w:sz w:val="20"/>
              </w:rPr>
            </w:pPr>
            <w:r w:rsidRPr="001D20D4">
              <w:rPr>
                <w:rFonts w:ascii="Arial Narrow" w:hAnsi="Arial Narrow"/>
                <w:color w:val="000000"/>
                <w:sz w:val="20"/>
              </w:rPr>
              <w:t>$</w:t>
            </w:r>
            <w:r w:rsidR="00E70598">
              <w:rPr>
                <w:rFonts w:ascii="Arial Narrow" w:hAnsi="Arial Narrow"/>
                <w:noProof/>
                <w:color w:val="000000"/>
                <w:sz w:val="20"/>
                <w:highlight w:val="black"/>
              </w:rPr>
              <w:t>'''''''''''''''''</w:t>
            </w:r>
          </w:p>
        </w:tc>
      </w:tr>
      <w:tr w:rsidR="00A52A58" w:rsidRPr="001D20D4" w:rsidTr="00981FC9">
        <w:tc>
          <w:tcPr>
            <w:tcW w:w="1346" w:type="pct"/>
          </w:tcPr>
          <w:p w:rsidR="00A52A58" w:rsidRPr="001D20D4" w:rsidRDefault="00A52A58" w:rsidP="00981FC9">
            <w:pPr>
              <w:rPr>
                <w:rFonts w:ascii="Arial Narrow" w:hAnsi="Arial Narrow"/>
                <w:sz w:val="20"/>
              </w:rPr>
            </w:pPr>
            <w:proofErr w:type="spellStart"/>
            <w:r w:rsidRPr="001D20D4">
              <w:rPr>
                <w:rFonts w:ascii="Arial Narrow" w:hAnsi="Arial Narrow"/>
                <w:sz w:val="20"/>
              </w:rPr>
              <w:t>QALYs</w:t>
            </w:r>
            <w:r w:rsidRPr="001D20D4">
              <w:rPr>
                <w:rFonts w:ascii="Arial Narrow" w:hAnsi="Arial Narrow"/>
                <w:sz w:val="20"/>
                <w:vertAlign w:val="superscript"/>
              </w:rPr>
              <w:t>a</w:t>
            </w:r>
            <w:proofErr w:type="spellEnd"/>
          </w:p>
        </w:tc>
        <w:tc>
          <w:tcPr>
            <w:tcW w:w="1176"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11.643</w:t>
            </w:r>
          </w:p>
        </w:tc>
        <w:tc>
          <w:tcPr>
            <w:tcW w:w="1261"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10.834</w:t>
            </w:r>
          </w:p>
        </w:tc>
        <w:tc>
          <w:tcPr>
            <w:tcW w:w="1218" w:type="pct"/>
            <w:vAlign w:val="bottom"/>
          </w:tcPr>
          <w:p w:rsidR="00A52A58" w:rsidRPr="001D20D4" w:rsidRDefault="00A52A58" w:rsidP="00BD0403">
            <w:pPr>
              <w:ind w:left="709"/>
              <w:jc w:val="right"/>
              <w:rPr>
                <w:rFonts w:ascii="Arial Narrow" w:hAnsi="Arial Narrow"/>
                <w:sz w:val="20"/>
              </w:rPr>
            </w:pPr>
            <w:r w:rsidRPr="001D20D4">
              <w:rPr>
                <w:rFonts w:ascii="Arial Narrow" w:hAnsi="Arial Narrow"/>
                <w:color w:val="000000"/>
                <w:sz w:val="20"/>
              </w:rPr>
              <w:t>0.809</w:t>
            </w:r>
          </w:p>
        </w:tc>
      </w:tr>
      <w:tr w:rsidR="00A52A58" w:rsidRPr="001D20D4" w:rsidTr="00981FC9">
        <w:tc>
          <w:tcPr>
            <w:tcW w:w="3782" w:type="pct"/>
            <w:gridSpan w:val="3"/>
          </w:tcPr>
          <w:p w:rsidR="00A52A58" w:rsidRPr="001D20D4" w:rsidRDefault="00A52A58" w:rsidP="00981FC9">
            <w:pPr>
              <w:rPr>
                <w:rFonts w:ascii="Arial Narrow" w:hAnsi="Arial Narrow"/>
                <w:b/>
                <w:sz w:val="20"/>
              </w:rPr>
            </w:pPr>
            <w:r w:rsidRPr="001D20D4">
              <w:rPr>
                <w:rFonts w:ascii="Arial Narrow" w:hAnsi="Arial Narrow"/>
                <w:b/>
                <w:sz w:val="20"/>
              </w:rPr>
              <w:t>Incremental cost/extra QALY gained</w:t>
            </w:r>
          </w:p>
        </w:tc>
        <w:tc>
          <w:tcPr>
            <w:tcW w:w="1218" w:type="pct"/>
          </w:tcPr>
          <w:p w:rsidR="00A52A58" w:rsidRPr="001D20D4" w:rsidRDefault="00A52A58" w:rsidP="00981FC9">
            <w:pPr>
              <w:ind w:left="709"/>
              <w:jc w:val="right"/>
              <w:rPr>
                <w:rFonts w:ascii="Arial Narrow" w:hAnsi="Arial Narrow"/>
                <w:b/>
                <w:color w:val="000000"/>
                <w:sz w:val="20"/>
              </w:rPr>
            </w:pPr>
            <w:r w:rsidRPr="001D20D4">
              <w:rPr>
                <w:rFonts w:ascii="Arial Narrow" w:hAnsi="Arial Narrow"/>
                <w:b/>
                <w:color w:val="000000"/>
                <w:sz w:val="20"/>
              </w:rPr>
              <w:t>$</w:t>
            </w:r>
            <w:r w:rsidR="00E70598">
              <w:rPr>
                <w:rFonts w:ascii="Arial Narrow" w:hAnsi="Arial Narrow"/>
                <w:b/>
                <w:noProof/>
                <w:color w:val="000000"/>
                <w:sz w:val="20"/>
                <w:highlight w:val="black"/>
              </w:rPr>
              <w:t>'''''''''''''</w:t>
            </w:r>
          </w:p>
        </w:tc>
      </w:tr>
    </w:tbl>
    <w:p w:rsidR="00A52A58" w:rsidRPr="00A52A58" w:rsidRDefault="00A52A58" w:rsidP="00A52A58">
      <w:pPr>
        <w:pStyle w:val="TableFooter"/>
        <w:ind w:left="709"/>
      </w:pPr>
      <w:r w:rsidRPr="00A52A58">
        <w:t xml:space="preserve">DCV = daclatasvir; HCV = hepatitis C virus; PR = </w:t>
      </w:r>
      <w:proofErr w:type="spellStart"/>
      <w:r w:rsidRPr="00A52A58">
        <w:t>peginterferon</w:t>
      </w:r>
      <w:proofErr w:type="spellEnd"/>
      <w:r w:rsidRPr="00A52A58">
        <w:t xml:space="preserve"> and ribavirin; QALY = quality-adjusted life year; SOF = sofosbuvir</w:t>
      </w:r>
      <w:r w:rsidR="00A9251F">
        <w:t>.</w:t>
      </w:r>
      <w:r w:rsidRPr="00A52A58">
        <w:t xml:space="preserve"> </w:t>
      </w:r>
    </w:p>
    <w:p w:rsidR="00A52A58" w:rsidRPr="00214F99" w:rsidRDefault="00A52A58" w:rsidP="00A52A58">
      <w:pPr>
        <w:pStyle w:val="TableFooter"/>
        <w:ind w:left="709"/>
        <w:rPr>
          <w:snapToGrid/>
          <w:lang w:eastAsia="en-AU"/>
        </w:rPr>
      </w:pPr>
      <w:proofErr w:type="spellStart"/>
      <w:proofErr w:type="gramStart"/>
      <w:r w:rsidRPr="00214F99">
        <w:rPr>
          <w:snapToGrid/>
          <w:vertAlign w:val="superscript"/>
          <w:lang w:eastAsia="en-AU"/>
        </w:rPr>
        <w:t>a</w:t>
      </w:r>
      <w:proofErr w:type="spellEnd"/>
      <w:proofErr w:type="gramEnd"/>
      <w:r w:rsidRPr="00214F99">
        <w:rPr>
          <w:snapToGrid/>
          <w:lang w:eastAsia="en-AU"/>
        </w:rPr>
        <w:t xml:space="preserve"> Using a utility value of 0.60 for the F4(SVR) health state.</w:t>
      </w:r>
    </w:p>
    <w:p w:rsidR="00A52A58" w:rsidRPr="00A52A58" w:rsidRDefault="00A52A58" w:rsidP="00A52A58">
      <w:pPr>
        <w:pStyle w:val="TableFooter"/>
        <w:ind w:left="709"/>
        <w:rPr>
          <w:snapToGrid/>
          <w:lang w:eastAsia="en-AU"/>
        </w:rPr>
      </w:pPr>
      <w:r w:rsidRPr="00A52A58">
        <w:t xml:space="preserve">Source: </w:t>
      </w:r>
      <w:r w:rsidRPr="00A52A58">
        <w:rPr>
          <w:snapToGrid/>
          <w:lang w:eastAsia="en-AU"/>
        </w:rPr>
        <w:t>Compiled during the evaluation from “DCV Economic Evaluation.xlsx” workbook</w:t>
      </w:r>
    </w:p>
    <w:p w:rsidR="00A52A58" w:rsidRPr="00A52A58" w:rsidRDefault="00A52A58" w:rsidP="00A52A58">
      <w:pPr>
        <w:ind w:firstLine="720"/>
        <w:rPr>
          <w:rStyle w:val="CommentReference"/>
        </w:rPr>
      </w:pPr>
    </w:p>
    <w:p w:rsidR="00A52A58" w:rsidRPr="001D20D4" w:rsidRDefault="00A52A58" w:rsidP="00C768A3">
      <w:pPr>
        <w:pStyle w:val="ListParagraph"/>
        <w:widowControl/>
        <w:numPr>
          <w:ilvl w:val="1"/>
          <w:numId w:val="1"/>
        </w:numPr>
      </w:pPr>
      <w:r w:rsidRPr="001D20D4">
        <w:t xml:space="preserve">In addition to the cost of sofosbuvir </w:t>
      </w:r>
      <w:r w:rsidR="00D23735">
        <w:t xml:space="preserve">in this submission </w:t>
      </w:r>
      <w:r w:rsidR="00BC1FB2">
        <w:t>not being</w:t>
      </w:r>
      <w:r w:rsidRPr="001D20D4">
        <w:t xml:space="preserve"> </w:t>
      </w:r>
      <w:r w:rsidR="00793FD9">
        <w:t xml:space="preserve">the </w:t>
      </w:r>
      <w:r w:rsidRPr="001D20D4">
        <w:t>sofosbuvir proposed price, the following concerns</w:t>
      </w:r>
      <w:r w:rsidR="00793FD9">
        <w:t xml:space="preserve"> </w:t>
      </w:r>
      <w:r w:rsidR="00C77515">
        <w:t>were noted</w:t>
      </w:r>
      <w:r w:rsidRPr="001D20D4">
        <w:t xml:space="preserve">: </w:t>
      </w:r>
    </w:p>
    <w:p w:rsidR="00A52A58" w:rsidRPr="001D20D4" w:rsidRDefault="00A52A58" w:rsidP="00C768A3">
      <w:pPr>
        <w:pStyle w:val="ListParagraph"/>
        <w:widowControl/>
        <w:numPr>
          <w:ilvl w:val="0"/>
          <w:numId w:val="8"/>
        </w:numPr>
      </w:pPr>
      <w:r w:rsidRPr="001D20D4">
        <w:t xml:space="preserve">The SVR rates associated with DCV+SOF in the model were likely overestimated (as patients with poor treatment response, </w:t>
      </w:r>
      <w:proofErr w:type="spellStart"/>
      <w:r w:rsidRPr="001D20D4">
        <w:t>eg</w:t>
      </w:r>
      <w:proofErr w:type="spellEnd"/>
      <w:r w:rsidRPr="001D20D4">
        <w:t xml:space="preserve"> cirrhotic patients, were excluded from Study 4040);</w:t>
      </w:r>
    </w:p>
    <w:p w:rsidR="00A52A58" w:rsidRPr="001D20D4" w:rsidRDefault="005126DB" w:rsidP="00C768A3">
      <w:pPr>
        <w:pStyle w:val="ListParagraph"/>
        <w:widowControl/>
        <w:numPr>
          <w:ilvl w:val="0"/>
          <w:numId w:val="8"/>
        </w:numPr>
      </w:pPr>
      <w:r>
        <w:t>U</w:t>
      </w:r>
      <w:r w:rsidRPr="00464929">
        <w:rPr>
          <w:szCs w:val="22"/>
        </w:rPr>
        <w:t xml:space="preserve">nadjusted </w:t>
      </w:r>
      <w:r>
        <w:rPr>
          <w:szCs w:val="22"/>
        </w:rPr>
        <w:t xml:space="preserve">single arm </w:t>
      </w:r>
      <w:r w:rsidRPr="00464929">
        <w:rPr>
          <w:szCs w:val="22"/>
        </w:rPr>
        <w:t>indirect comparisons</w:t>
      </w:r>
      <w:r>
        <w:rPr>
          <w:szCs w:val="22"/>
        </w:rPr>
        <w:t xml:space="preserve"> with</w:t>
      </w:r>
      <w:r w:rsidR="00A52A58" w:rsidRPr="001D20D4">
        <w:t xml:space="preserve"> the active treatment comparator arms </w:t>
      </w:r>
    </w:p>
    <w:p w:rsidR="00A52A58" w:rsidRPr="003F5BE5" w:rsidRDefault="00A52A58" w:rsidP="00C768A3">
      <w:pPr>
        <w:pStyle w:val="ListParagraph"/>
        <w:widowControl/>
        <w:numPr>
          <w:ilvl w:val="0"/>
          <w:numId w:val="8"/>
        </w:numPr>
      </w:pPr>
      <w:r w:rsidRPr="003F5BE5">
        <w:t>The time horizon of the model was longer than the PBAC had advised for other HCV models (49 years vs 30 years);</w:t>
      </w:r>
    </w:p>
    <w:p w:rsidR="00790214" w:rsidRDefault="00A52A58" w:rsidP="00790214">
      <w:pPr>
        <w:pStyle w:val="ListParagraph"/>
        <w:widowControl/>
        <w:numPr>
          <w:ilvl w:val="0"/>
          <w:numId w:val="8"/>
        </w:numPr>
      </w:pPr>
      <w:r w:rsidRPr="003F5BE5">
        <w:t>Transition probabilities between early health states of HCV infection (</w:t>
      </w:r>
      <w:proofErr w:type="spellStart"/>
      <w:r w:rsidRPr="003F5BE5">
        <w:t>eg</w:t>
      </w:r>
      <w:proofErr w:type="spellEnd"/>
      <w:r w:rsidRPr="003F5BE5">
        <w:t xml:space="preserve"> from mild to moderate HCV and from moderate HCV to compensated cirrhosis) were </w:t>
      </w:r>
      <w:r w:rsidR="00793FD9">
        <w:t>taken</w:t>
      </w:r>
      <w:r w:rsidRPr="003F5BE5">
        <w:t xml:space="preserve"> from old</w:t>
      </w:r>
      <w:r w:rsidR="005126DB">
        <w:t>er</w:t>
      </w:r>
      <w:r w:rsidRPr="003F5BE5">
        <w:t xml:space="preserve"> studies and likely to be overestimated The transition probabilities in </w:t>
      </w:r>
      <w:r w:rsidR="004846EE" w:rsidRPr="003F5BE5">
        <w:t>the</w:t>
      </w:r>
      <w:r w:rsidR="004846EE">
        <w:t xml:space="preserve"> National Institute of Health and Care Excellence </w:t>
      </w:r>
      <w:r w:rsidR="004846EE" w:rsidRPr="005156AC">
        <w:t>(NICE</w:t>
      </w:r>
      <w:r w:rsidR="004846EE">
        <w:t xml:space="preserve">) </w:t>
      </w:r>
      <w:r w:rsidR="004846EE" w:rsidRPr="00464929">
        <w:t>Health Technology Assessment report</w:t>
      </w:r>
      <w:r w:rsidR="004846EE" w:rsidRPr="005156AC">
        <w:t xml:space="preserve"> model </w:t>
      </w:r>
      <w:r w:rsidR="004846EE">
        <w:t xml:space="preserve">of assessing HCV medicines </w:t>
      </w:r>
      <w:r w:rsidRPr="003F5BE5">
        <w:t>were used in sensitivity analyses to address this issue; and</w:t>
      </w:r>
    </w:p>
    <w:p w:rsidR="00790214" w:rsidRDefault="00A52A58" w:rsidP="00790214">
      <w:pPr>
        <w:pStyle w:val="ListParagraph"/>
        <w:widowControl/>
        <w:numPr>
          <w:ilvl w:val="0"/>
          <w:numId w:val="8"/>
        </w:numPr>
      </w:pPr>
      <w:r w:rsidRPr="003F5BE5">
        <w:t>Utility increment as a consequence of having a</w:t>
      </w:r>
      <w:r w:rsidR="00EF7A56" w:rsidRPr="003F5BE5">
        <w:t>n</w:t>
      </w:r>
      <w:r w:rsidRPr="003F5BE5">
        <w:t xml:space="preserve"> </w:t>
      </w:r>
      <w:r w:rsidRPr="00632F5B">
        <w:t>SVR was assumed to be 0.05 in the submission</w:t>
      </w:r>
      <w:r w:rsidR="00632F5B" w:rsidRPr="00632F5B">
        <w:t>.</w:t>
      </w:r>
      <w:r w:rsidR="00632F5B">
        <w:t xml:space="preserve"> The assumption</w:t>
      </w:r>
      <w:r w:rsidR="00632F5B" w:rsidRPr="00632F5B">
        <w:t xml:space="preserve"> that patients in viral positive health states have a lower quality of life than those who achieve sustained virological response</w:t>
      </w:r>
      <w:r w:rsidR="00632F5B">
        <w:t xml:space="preserve"> was explored in sensitivity analysis. Assumptions included no utility gain from achieving an SVR</w:t>
      </w:r>
      <w:r w:rsidR="006E024A">
        <w:t xml:space="preserve"> (see table below)</w:t>
      </w:r>
      <w:r w:rsidR="00632F5B">
        <w:t xml:space="preserve"> and 0.041 as presented in the NICE report (PSCR, p4)</w:t>
      </w:r>
      <w:r w:rsidR="00790214">
        <w:t>.</w:t>
      </w:r>
    </w:p>
    <w:p w:rsidR="00A52A58" w:rsidRPr="00632F5B" w:rsidRDefault="00A52A58" w:rsidP="006E024A">
      <w:pPr>
        <w:pStyle w:val="ListParagraph"/>
        <w:widowControl/>
        <w:ind w:left="1440"/>
        <w:rPr>
          <w:szCs w:val="22"/>
        </w:rPr>
      </w:pPr>
      <w:r w:rsidRPr="00632F5B">
        <w:t xml:space="preserve"> </w:t>
      </w:r>
    </w:p>
    <w:p w:rsidR="00A52A58" w:rsidRPr="00214F99" w:rsidRDefault="00793FD9" w:rsidP="00C768A3">
      <w:pPr>
        <w:pStyle w:val="ListParagraph"/>
        <w:widowControl/>
        <w:numPr>
          <w:ilvl w:val="1"/>
          <w:numId w:val="1"/>
        </w:numPr>
        <w:rPr>
          <w:szCs w:val="22"/>
        </w:rPr>
      </w:pPr>
      <w:r>
        <w:t>T</w:t>
      </w:r>
      <w:r w:rsidR="00A52A58" w:rsidRPr="003F5BE5">
        <w:t xml:space="preserve">he SVR rate used in the model for genotype 2/3 HCV (93.3%) was </w:t>
      </w:r>
      <w:r>
        <w:t>taken</w:t>
      </w:r>
      <w:r w:rsidR="00A52A58" w:rsidRPr="003F5BE5">
        <w:t xml:space="preserve"> from Study 4040, where patients infected with genotype 2/3 HCV were treated </w:t>
      </w:r>
      <w:r w:rsidR="006E024A">
        <w:t>with 24 weeks of DCV+SOF.</w:t>
      </w:r>
      <w:r w:rsidR="00A52A58" w:rsidRPr="003F5BE5">
        <w:t xml:space="preserve"> The submission’s assumption that 12-weeks of DCV+SOF </w:t>
      </w:r>
      <w:proofErr w:type="gramStart"/>
      <w:r w:rsidR="00A52A58" w:rsidRPr="003F5BE5">
        <w:t>was</w:t>
      </w:r>
      <w:proofErr w:type="gramEnd"/>
      <w:r w:rsidR="00A52A58" w:rsidRPr="003F5BE5">
        <w:t xml:space="preserve"> as effective as a 24-week treatment with DCV+SOF in genotype 2/3 patients was not justified. If the costs for 24 weeks of DCV+SOF were used in the model, the ICER would have been </w:t>
      </w:r>
      <w:r w:rsidR="00740DC9" w:rsidRPr="00740DC9">
        <w:t>$45,000/QALY - $75,000/QALY</w:t>
      </w:r>
      <w:r w:rsidR="00A52A58" w:rsidRPr="003F5BE5">
        <w:t xml:space="preserve">, corresponding to a QALY gain of 1.727 at an additional cost of </w:t>
      </w:r>
      <w:r w:rsidR="00740DC9" w:rsidRPr="00740DC9">
        <w:t>$75,000/QALY - $105,000/QALY</w:t>
      </w:r>
      <w:r w:rsidR="00A52A58" w:rsidRPr="00214F99">
        <w:t>.</w:t>
      </w:r>
      <w:r w:rsidR="005B675B" w:rsidRPr="00214F99">
        <w:t xml:space="preserve"> The ESC noted that results from ALLY-3 open label trial of </w:t>
      </w:r>
      <w:r w:rsidR="00790214">
        <w:t>DCV+SOF</w:t>
      </w:r>
      <w:r w:rsidR="005B675B" w:rsidRPr="00214F99">
        <w:t>12 became available after submission, supporting a claim of high SVR for GT3 without cirrhosis, but more modest SVR in GT3 patients with cirrhosis.</w:t>
      </w:r>
    </w:p>
    <w:p w:rsidR="00A52A58" w:rsidRPr="003F5BE5" w:rsidRDefault="00A52A58" w:rsidP="00A52A58">
      <w:pPr>
        <w:pStyle w:val="ListParagraph"/>
        <w:rPr>
          <w:szCs w:val="22"/>
        </w:rPr>
      </w:pPr>
    </w:p>
    <w:p w:rsidR="00A52A58" w:rsidRPr="003F5BE5" w:rsidRDefault="00A52A58" w:rsidP="00C768A3">
      <w:pPr>
        <w:pStyle w:val="ListParagraph"/>
        <w:widowControl/>
        <w:numPr>
          <w:ilvl w:val="1"/>
          <w:numId w:val="1"/>
        </w:numPr>
        <w:rPr>
          <w:szCs w:val="22"/>
        </w:rPr>
      </w:pPr>
      <w:r w:rsidRPr="003F5BE5">
        <w:rPr>
          <w:szCs w:val="22"/>
        </w:rPr>
        <w:lastRenderedPageBreak/>
        <w:t>During the evaluation, additional sensitivity analyses were conducted for DCV+SOF versus no treatment</w:t>
      </w:r>
      <w:r w:rsidR="007E4885" w:rsidRPr="003F5BE5">
        <w:rPr>
          <w:szCs w:val="22"/>
        </w:rPr>
        <w:t xml:space="preserve"> in genotype 1 patients</w:t>
      </w:r>
      <w:r w:rsidRPr="003F5BE5">
        <w:rPr>
          <w:szCs w:val="22"/>
        </w:rPr>
        <w:t xml:space="preserve">. The results indicated that the model was very sensitive to the assumption of a utility gain in patients achieving SVR versus those not achieving SVR. The model was moderately sensitive in univariate analyses to the SVR rate associated with DCV+SOF treatment, time horizon and transition probabilities. If the model used a time horizon of 30 years, the NICE transition probabilities and </w:t>
      </w:r>
      <w:r w:rsidR="00EF7A56" w:rsidRPr="003F5BE5">
        <w:rPr>
          <w:szCs w:val="22"/>
        </w:rPr>
        <w:t>nil utility gain</w:t>
      </w:r>
      <w:r w:rsidRPr="003F5BE5">
        <w:rPr>
          <w:szCs w:val="22"/>
        </w:rPr>
        <w:t xml:space="preserve"> due to achieving an SVR, the ICER triple</w:t>
      </w:r>
      <w:r w:rsidR="00793FD9">
        <w:rPr>
          <w:szCs w:val="22"/>
        </w:rPr>
        <w:t>d</w:t>
      </w:r>
      <w:r w:rsidRPr="003F5BE5">
        <w:rPr>
          <w:szCs w:val="22"/>
        </w:rPr>
        <w:t xml:space="preserve">, increasing to </w:t>
      </w:r>
      <w:r w:rsidR="00026E56">
        <w:rPr>
          <w:szCs w:val="22"/>
        </w:rPr>
        <w:t xml:space="preserve">$45,000/QALY - $75,000/QALY </w:t>
      </w:r>
      <w:r w:rsidRPr="003F5BE5">
        <w:rPr>
          <w:szCs w:val="22"/>
        </w:rPr>
        <w:t xml:space="preserve">from a base case of </w:t>
      </w:r>
      <w:r w:rsidR="00026E56" w:rsidRPr="00026E56">
        <w:rPr>
          <w:szCs w:val="22"/>
        </w:rPr>
        <w:t>$15,000/QALY - $45,000/QALY</w:t>
      </w:r>
      <w:r w:rsidRPr="003F5BE5">
        <w:rPr>
          <w:szCs w:val="22"/>
        </w:rPr>
        <w:t>.</w:t>
      </w:r>
    </w:p>
    <w:p w:rsidR="00A52A58" w:rsidRPr="003F5BE5" w:rsidRDefault="00A52A58" w:rsidP="00A52A58">
      <w:pPr>
        <w:widowControl/>
        <w:rPr>
          <w:szCs w:val="22"/>
        </w:rPr>
      </w:pPr>
    </w:p>
    <w:p w:rsidR="00A52A58" w:rsidRPr="003F5BE5" w:rsidRDefault="00A52A58" w:rsidP="00A52A58">
      <w:pPr>
        <w:ind w:left="709"/>
        <w:rPr>
          <w:rStyle w:val="CommentReference"/>
        </w:rPr>
      </w:pPr>
      <w:r w:rsidRPr="003F5BE5">
        <w:rPr>
          <w:rStyle w:val="CommentReference"/>
        </w:rPr>
        <w:t>Results of sensitivity analyses performed during the evaluation (DCV+SOF versus no treatment) for genotype 1 HCV patients</w:t>
      </w:r>
    </w:p>
    <w:tbl>
      <w:tblPr>
        <w:tblW w:w="4603"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vised base case estimates"/>
      </w:tblPr>
      <w:tblGrid>
        <w:gridCol w:w="1876"/>
        <w:gridCol w:w="3087"/>
        <w:gridCol w:w="1231"/>
        <w:gridCol w:w="1231"/>
        <w:gridCol w:w="936"/>
      </w:tblGrid>
      <w:tr w:rsidR="00A52A58" w:rsidRPr="003F5BE5" w:rsidTr="00981FC9">
        <w:tc>
          <w:tcPr>
            <w:tcW w:w="1122"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rPr>
                <w:rFonts w:ascii="Arial Narrow" w:hAnsi="Arial Narrow"/>
                <w:b/>
                <w:sz w:val="20"/>
              </w:rPr>
            </w:pPr>
            <w:r w:rsidRPr="003F5BE5">
              <w:rPr>
                <w:rFonts w:ascii="Arial Narrow" w:hAnsi="Arial Narrow"/>
                <w:b/>
                <w:sz w:val="20"/>
              </w:rPr>
              <w:t>Variables</w:t>
            </w:r>
          </w:p>
        </w:tc>
        <w:tc>
          <w:tcPr>
            <w:tcW w:w="184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b/>
                <w:sz w:val="20"/>
              </w:rPr>
            </w:pPr>
            <w:r w:rsidRPr="003F5BE5">
              <w:rPr>
                <w:rFonts w:ascii="Arial Narrow" w:hAnsi="Arial Narrow"/>
                <w:b/>
                <w:sz w:val="20"/>
              </w:rPr>
              <w:t>Assumptions</w:t>
            </w:r>
          </w:p>
        </w:tc>
        <w:tc>
          <w:tcPr>
            <w:tcW w:w="73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981FC9">
            <w:pPr>
              <w:jc w:val="center"/>
              <w:rPr>
                <w:rFonts w:ascii="Arial Narrow" w:hAnsi="Arial Narrow"/>
                <w:b/>
                <w:sz w:val="20"/>
              </w:rPr>
            </w:pPr>
            <w:r w:rsidRPr="003F5BE5">
              <w:rPr>
                <w:rFonts w:ascii="Arial Narrow" w:hAnsi="Arial Narrow"/>
                <w:b/>
                <w:sz w:val="20"/>
              </w:rPr>
              <w:t>Incremental costs</w:t>
            </w:r>
          </w:p>
        </w:tc>
        <w:tc>
          <w:tcPr>
            <w:tcW w:w="73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981FC9">
            <w:pPr>
              <w:jc w:val="center"/>
              <w:rPr>
                <w:rFonts w:ascii="Arial Narrow" w:hAnsi="Arial Narrow"/>
                <w:b/>
                <w:sz w:val="20"/>
                <w:lang w:eastAsia="zh-CN"/>
              </w:rPr>
            </w:pPr>
            <w:r w:rsidRPr="003F5BE5">
              <w:rPr>
                <w:rFonts w:ascii="Arial Narrow" w:hAnsi="Arial Narrow"/>
                <w:b/>
                <w:sz w:val="20"/>
              </w:rPr>
              <w:t xml:space="preserve">Incremental </w:t>
            </w:r>
            <w:r w:rsidRPr="003F5BE5">
              <w:rPr>
                <w:rFonts w:ascii="Arial Narrow" w:hAnsi="Arial Narrow" w:hint="eastAsia"/>
                <w:b/>
                <w:sz w:val="20"/>
                <w:lang w:eastAsia="zh-CN"/>
              </w:rPr>
              <w:t>QALYs</w:t>
            </w:r>
          </w:p>
        </w:tc>
        <w:tc>
          <w:tcPr>
            <w:tcW w:w="560"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981FC9">
            <w:pPr>
              <w:jc w:val="center"/>
              <w:rPr>
                <w:rFonts w:ascii="Arial Narrow" w:hAnsi="Arial Narrow"/>
                <w:b/>
                <w:sz w:val="20"/>
              </w:rPr>
            </w:pPr>
            <w:r w:rsidRPr="003F5BE5">
              <w:rPr>
                <w:rFonts w:ascii="Arial Narrow" w:hAnsi="Arial Narrow"/>
                <w:b/>
                <w:sz w:val="20"/>
              </w:rPr>
              <w:t>ICERs</w:t>
            </w:r>
          </w:p>
        </w:tc>
      </w:tr>
      <w:tr w:rsidR="00A52A58" w:rsidRPr="003F5BE5" w:rsidTr="00981FC9">
        <w:tc>
          <w:tcPr>
            <w:tcW w:w="2968" w:type="pct"/>
            <w:gridSpan w:val="2"/>
            <w:tcBorders>
              <w:top w:val="single" w:sz="4" w:space="0" w:color="auto"/>
              <w:left w:val="single" w:sz="4" w:space="0" w:color="auto"/>
              <w:bottom w:val="single" w:sz="4" w:space="0" w:color="auto"/>
              <w:right w:val="single" w:sz="4" w:space="0" w:color="auto"/>
            </w:tcBorders>
          </w:tcPr>
          <w:p w:rsidR="00A52A58" w:rsidRPr="003F5BE5" w:rsidRDefault="00A52A58" w:rsidP="00981FC9">
            <w:pPr>
              <w:rPr>
                <w:rFonts w:ascii="Arial Narrow" w:hAnsi="Arial Narrow"/>
                <w:sz w:val="20"/>
              </w:rPr>
            </w:pPr>
            <w:r w:rsidRPr="003F5BE5">
              <w:rPr>
                <w:rFonts w:ascii="Arial Narrow" w:hAnsi="Arial Narrow"/>
                <w:sz w:val="20"/>
              </w:rPr>
              <w:t xml:space="preserve">Base case </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sz w:val="20"/>
              </w:rPr>
            </w:pPr>
            <w:r w:rsidRPr="003F5BE5">
              <w:rPr>
                <w:rFonts w:ascii="Arial Narrow" w:hAnsi="Arial Narrow"/>
                <w:color w:val="000000"/>
                <w:sz w:val="20"/>
              </w:rPr>
              <w:t>1.760</w:t>
            </w:r>
          </w:p>
        </w:tc>
        <w:tc>
          <w:tcPr>
            <w:tcW w:w="560"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r>
      <w:tr w:rsidR="00A52A58" w:rsidRPr="003F5BE5" w:rsidTr="00981FC9">
        <w:tc>
          <w:tcPr>
            <w:tcW w:w="5000" w:type="pct"/>
            <w:gridSpan w:val="5"/>
            <w:tcBorders>
              <w:top w:val="single" w:sz="4" w:space="0" w:color="auto"/>
              <w:left w:val="single" w:sz="4" w:space="0" w:color="auto"/>
              <w:bottom w:val="single" w:sz="4" w:space="0" w:color="auto"/>
              <w:right w:val="single" w:sz="4" w:space="0" w:color="auto"/>
            </w:tcBorders>
          </w:tcPr>
          <w:p w:rsidR="00A52A58" w:rsidRPr="003F5BE5" w:rsidRDefault="00A52A58" w:rsidP="00981FC9">
            <w:pPr>
              <w:rPr>
                <w:rFonts w:ascii="Arial Narrow" w:hAnsi="Arial Narrow"/>
                <w:color w:val="000000"/>
                <w:sz w:val="20"/>
              </w:rPr>
            </w:pPr>
            <w:r w:rsidRPr="003F5BE5">
              <w:rPr>
                <w:rFonts w:ascii="Arial Narrow" w:hAnsi="Arial Narrow"/>
                <w:sz w:val="20"/>
              </w:rPr>
              <w:t>Univariate sensitivity analyses</w:t>
            </w:r>
          </w:p>
        </w:tc>
      </w:tr>
      <w:tr w:rsidR="00A52A58" w:rsidRPr="003F5BE5" w:rsidTr="00981FC9">
        <w:tc>
          <w:tcPr>
            <w:tcW w:w="1122" w:type="pct"/>
            <w:vMerge w:val="restart"/>
            <w:tcBorders>
              <w:top w:val="single" w:sz="4" w:space="0" w:color="auto"/>
              <w:left w:val="single" w:sz="4" w:space="0" w:color="auto"/>
              <w:right w:val="single" w:sz="4" w:space="0" w:color="auto"/>
            </w:tcBorders>
          </w:tcPr>
          <w:p w:rsidR="00A52A58" w:rsidRPr="003F5BE5" w:rsidRDefault="00A52A58" w:rsidP="00981FC9">
            <w:pPr>
              <w:jc w:val="left"/>
              <w:rPr>
                <w:rFonts w:ascii="Arial Narrow" w:hAnsi="Arial Narrow"/>
                <w:sz w:val="20"/>
              </w:rPr>
            </w:pPr>
            <w:r w:rsidRPr="003F5BE5">
              <w:rPr>
                <w:rFonts w:ascii="Arial Narrow" w:hAnsi="Arial Narrow"/>
                <w:sz w:val="20"/>
              </w:rPr>
              <w:t>SVR rate associated with DCV+SOF (95.1%)</w:t>
            </w:r>
          </w:p>
        </w:tc>
        <w:tc>
          <w:tcPr>
            <w:tcW w:w="184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981FC9">
            <w:pPr>
              <w:rPr>
                <w:rFonts w:ascii="Arial Narrow" w:hAnsi="Arial Narrow"/>
                <w:sz w:val="20"/>
              </w:rPr>
            </w:pPr>
            <w:r w:rsidRPr="003F5BE5">
              <w:rPr>
                <w:rFonts w:ascii="Arial Narrow" w:hAnsi="Arial Narrow"/>
                <w:sz w:val="20"/>
              </w:rPr>
              <w:t>Upper 95% CI rate (99.4%)</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color w:val="000000"/>
                <w:sz w:val="20"/>
              </w:rPr>
            </w:pPr>
            <w:r w:rsidRPr="003F5BE5">
              <w:rPr>
                <w:rFonts w:ascii="Arial Narrow" w:hAnsi="Arial Narrow"/>
                <w:color w:val="000000"/>
                <w:sz w:val="20"/>
              </w:rPr>
              <w:t>1.839</w:t>
            </w:r>
          </w:p>
        </w:tc>
        <w:tc>
          <w:tcPr>
            <w:tcW w:w="560"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r>
      <w:tr w:rsidR="00A52A58" w:rsidRPr="003F5BE5" w:rsidTr="00981FC9">
        <w:tc>
          <w:tcPr>
            <w:tcW w:w="1122" w:type="pct"/>
            <w:vMerge/>
            <w:tcBorders>
              <w:left w:val="single" w:sz="4" w:space="0" w:color="auto"/>
              <w:bottom w:val="single" w:sz="4" w:space="0" w:color="auto"/>
              <w:right w:val="single" w:sz="4" w:space="0" w:color="auto"/>
            </w:tcBorders>
          </w:tcPr>
          <w:p w:rsidR="00A52A58" w:rsidRPr="003F5BE5" w:rsidRDefault="00A52A58" w:rsidP="00981FC9">
            <w:pPr>
              <w:jc w:val="left"/>
              <w:rPr>
                <w:rFonts w:ascii="Arial Narrow" w:hAnsi="Arial Narrow"/>
                <w:sz w:val="20"/>
              </w:rPr>
            </w:pPr>
          </w:p>
        </w:tc>
        <w:tc>
          <w:tcPr>
            <w:tcW w:w="184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981FC9">
            <w:pPr>
              <w:rPr>
                <w:rFonts w:ascii="Arial Narrow" w:hAnsi="Arial Narrow"/>
                <w:sz w:val="20"/>
              </w:rPr>
            </w:pPr>
            <w:r w:rsidRPr="003F5BE5">
              <w:rPr>
                <w:rFonts w:ascii="Arial Narrow" w:hAnsi="Arial Narrow"/>
                <w:sz w:val="20"/>
              </w:rPr>
              <w:t>Lower 95% CI of SVR rate (83.5%)</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color w:val="000000"/>
                <w:sz w:val="20"/>
              </w:rPr>
            </w:pPr>
            <w:r w:rsidRPr="003F5BE5">
              <w:rPr>
                <w:rFonts w:ascii="Arial Narrow" w:hAnsi="Arial Narrow"/>
                <w:color w:val="000000"/>
                <w:sz w:val="20"/>
              </w:rPr>
              <w:t>1.545</w:t>
            </w:r>
          </w:p>
        </w:tc>
        <w:tc>
          <w:tcPr>
            <w:tcW w:w="560"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r>
      <w:tr w:rsidR="00A52A58" w:rsidRPr="003F5BE5" w:rsidTr="00981FC9">
        <w:tc>
          <w:tcPr>
            <w:tcW w:w="1122"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left"/>
              <w:rPr>
                <w:rFonts w:ascii="Arial Narrow" w:hAnsi="Arial Narrow"/>
                <w:sz w:val="20"/>
              </w:rPr>
            </w:pPr>
            <w:r w:rsidRPr="003F5BE5">
              <w:rPr>
                <w:rFonts w:ascii="Arial Narrow" w:hAnsi="Arial Narrow"/>
                <w:sz w:val="20"/>
              </w:rPr>
              <w:t>Time horizon (base case: 49 years)</w:t>
            </w:r>
          </w:p>
        </w:tc>
        <w:tc>
          <w:tcPr>
            <w:tcW w:w="184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981FC9">
            <w:pPr>
              <w:rPr>
                <w:rFonts w:ascii="Arial Narrow" w:hAnsi="Arial Narrow"/>
                <w:sz w:val="20"/>
              </w:rPr>
            </w:pPr>
            <w:r w:rsidRPr="003F5BE5">
              <w:rPr>
                <w:rFonts w:ascii="Arial Narrow" w:hAnsi="Arial Narrow"/>
                <w:sz w:val="20"/>
              </w:rPr>
              <w:t>30 years (PBAC recommendation)</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color w:val="000000"/>
                <w:sz w:val="20"/>
              </w:rPr>
            </w:pPr>
            <w:r w:rsidRPr="003F5BE5">
              <w:rPr>
                <w:rFonts w:ascii="Arial Narrow" w:hAnsi="Arial Narrow"/>
                <w:color w:val="000000"/>
                <w:sz w:val="20"/>
              </w:rPr>
              <w:t>1.534</w:t>
            </w:r>
          </w:p>
        </w:tc>
        <w:tc>
          <w:tcPr>
            <w:tcW w:w="560"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r>
      <w:tr w:rsidR="00A52A58" w:rsidRPr="003F5BE5" w:rsidTr="00981FC9">
        <w:tc>
          <w:tcPr>
            <w:tcW w:w="1122" w:type="pct"/>
            <w:tcBorders>
              <w:top w:val="single" w:sz="4" w:space="0" w:color="auto"/>
              <w:left w:val="single" w:sz="4" w:space="0" w:color="auto"/>
              <w:right w:val="single" w:sz="4" w:space="0" w:color="auto"/>
            </w:tcBorders>
          </w:tcPr>
          <w:p w:rsidR="00A52A58" w:rsidRPr="003F5BE5" w:rsidRDefault="00A52A58" w:rsidP="00981FC9">
            <w:pPr>
              <w:jc w:val="left"/>
              <w:rPr>
                <w:rFonts w:ascii="Arial Narrow" w:hAnsi="Arial Narrow"/>
                <w:sz w:val="20"/>
              </w:rPr>
            </w:pPr>
            <w:r w:rsidRPr="003F5BE5">
              <w:rPr>
                <w:rFonts w:ascii="Arial Narrow" w:hAnsi="Arial Narrow"/>
                <w:sz w:val="20"/>
              </w:rPr>
              <w:t>Transition probabilities</w:t>
            </w:r>
          </w:p>
        </w:tc>
        <w:tc>
          <w:tcPr>
            <w:tcW w:w="184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B539E4">
            <w:pPr>
              <w:rPr>
                <w:rFonts w:ascii="Arial Narrow" w:hAnsi="Arial Narrow"/>
                <w:sz w:val="20"/>
              </w:rPr>
            </w:pPr>
            <w:r w:rsidRPr="003F5BE5">
              <w:rPr>
                <w:rFonts w:ascii="Arial Narrow" w:hAnsi="Arial Narrow"/>
                <w:sz w:val="20"/>
              </w:rPr>
              <w:t>Using inputs from the NICE model</w:t>
            </w:r>
            <w:r w:rsidR="00B539E4" w:rsidRPr="003F5BE5">
              <w:rPr>
                <w:rFonts w:ascii="Arial Narrow" w:hAnsi="Arial Narrow"/>
                <w:noProof/>
                <w:sz w:val="20"/>
                <w:vertAlign w:val="superscript"/>
              </w:rPr>
              <w:t>4</w:t>
            </w:r>
            <w:r w:rsidRPr="003F5BE5">
              <w:rPr>
                <w:rFonts w:ascii="Arial Narrow" w:hAnsi="Arial Narrow"/>
                <w:sz w:val="20"/>
                <w:vertAlign w:val="superscript"/>
              </w:rPr>
              <w:t>a</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color w:val="000000"/>
                <w:sz w:val="20"/>
              </w:rPr>
            </w:pPr>
            <w:r w:rsidRPr="003F5BE5">
              <w:rPr>
                <w:rFonts w:ascii="Arial Narrow" w:hAnsi="Arial Narrow"/>
                <w:color w:val="000000"/>
                <w:sz w:val="20"/>
              </w:rPr>
              <w:t>1.456</w:t>
            </w:r>
          </w:p>
        </w:tc>
        <w:tc>
          <w:tcPr>
            <w:tcW w:w="560"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r>
      <w:tr w:rsidR="00A52A58" w:rsidRPr="003F5BE5" w:rsidTr="00981FC9">
        <w:tc>
          <w:tcPr>
            <w:tcW w:w="1122" w:type="pct"/>
            <w:vMerge w:val="restart"/>
            <w:tcBorders>
              <w:top w:val="single" w:sz="4" w:space="0" w:color="auto"/>
              <w:left w:val="single" w:sz="4" w:space="0" w:color="auto"/>
              <w:right w:val="single" w:sz="4" w:space="0" w:color="auto"/>
            </w:tcBorders>
          </w:tcPr>
          <w:p w:rsidR="00A52A58" w:rsidRPr="003F5BE5" w:rsidRDefault="00A52A58" w:rsidP="00834745">
            <w:pPr>
              <w:jc w:val="left"/>
              <w:rPr>
                <w:rFonts w:ascii="Arial Narrow" w:hAnsi="Arial Narrow"/>
                <w:sz w:val="20"/>
              </w:rPr>
            </w:pPr>
            <w:r w:rsidRPr="003F5BE5">
              <w:rPr>
                <w:rFonts w:ascii="Arial Narrow" w:hAnsi="Arial Narrow"/>
                <w:sz w:val="20"/>
              </w:rPr>
              <w:t>Utilities (base case: sourced from Wright et al 2006)</w:t>
            </w:r>
          </w:p>
        </w:tc>
        <w:tc>
          <w:tcPr>
            <w:tcW w:w="184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834745">
            <w:pPr>
              <w:rPr>
                <w:rFonts w:ascii="Arial Narrow" w:hAnsi="Arial Narrow"/>
                <w:sz w:val="20"/>
              </w:rPr>
            </w:pPr>
            <w:r w:rsidRPr="003F5BE5">
              <w:rPr>
                <w:rFonts w:ascii="Arial Narrow" w:hAnsi="Arial Narrow"/>
                <w:sz w:val="20"/>
              </w:rPr>
              <w:t>Using Townsend utility values</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color w:val="000000"/>
                <w:sz w:val="20"/>
              </w:rPr>
            </w:pPr>
            <w:r w:rsidRPr="003F5BE5">
              <w:rPr>
                <w:rFonts w:ascii="Arial Narrow" w:hAnsi="Arial Narrow"/>
                <w:color w:val="000000"/>
                <w:sz w:val="20"/>
              </w:rPr>
              <w:t>1.228</w:t>
            </w:r>
          </w:p>
        </w:tc>
        <w:tc>
          <w:tcPr>
            <w:tcW w:w="560"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r>
      <w:tr w:rsidR="00A52A58" w:rsidRPr="003F5BE5" w:rsidTr="00981FC9">
        <w:tc>
          <w:tcPr>
            <w:tcW w:w="1122" w:type="pct"/>
            <w:vMerge/>
            <w:tcBorders>
              <w:top w:val="single" w:sz="4" w:space="0" w:color="auto"/>
              <w:left w:val="single" w:sz="4" w:space="0" w:color="auto"/>
              <w:right w:val="single" w:sz="4" w:space="0" w:color="auto"/>
            </w:tcBorders>
          </w:tcPr>
          <w:p w:rsidR="00A52A58" w:rsidRPr="003F5BE5" w:rsidRDefault="00A52A58" w:rsidP="00981FC9">
            <w:pPr>
              <w:jc w:val="left"/>
              <w:rPr>
                <w:rFonts w:ascii="Arial Narrow" w:hAnsi="Arial Narrow"/>
                <w:sz w:val="20"/>
              </w:rPr>
            </w:pPr>
          </w:p>
        </w:tc>
        <w:tc>
          <w:tcPr>
            <w:tcW w:w="184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981FC9">
            <w:pPr>
              <w:rPr>
                <w:rFonts w:ascii="Arial Narrow" w:hAnsi="Arial Narrow"/>
                <w:sz w:val="20"/>
              </w:rPr>
            </w:pPr>
            <w:r w:rsidRPr="003F5BE5">
              <w:rPr>
                <w:rFonts w:ascii="Arial Narrow" w:hAnsi="Arial Narrow"/>
                <w:sz w:val="20"/>
              </w:rPr>
              <w:t>Using Townsend utility values, but assuming a 0.05 utility gain due to achieving SVR</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color w:val="000000"/>
                <w:sz w:val="20"/>
              </w:rPr>
            </w:pPr>
            <w:r w:rsidRPr="003F5BE5">
              <w:rPr>
                <w:rFonts w:ascii="Arial Narrow" w:hAnsi="Arial Narrow"/>
                <w:color w:val="000000"/>
                <w:sz w:val="20"/>
              </w:rPr>
              <w:t>1.628</w:t>
            </w:r>
          </w:p>
        </w:tc>
        <w:tc>
          <w:tcPr>
            <w:tcW w:w="560"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r>
      <w:tr w:rsidR="00A52A58" w:rsidRPr="003F5BE5" w:rsidTr="00981FC9">
        <w:tc>
          <w:tcPr>
            <w:tcW w:w="1122" w:type="pct"/>
            <w:vMerge/>
            <w:tcBorders>
              <w:left w:val="single" w:sz="4" w:space="0" w:color="auto"/>
              <w:right w:val="single" w:sz="4" w:space="0" w:color="auto"/>
            </w:tcBorders>
          </w:tcPr>
          <w:p w:rsidR="00A52A58" w:rsidRPr="003F5BE5" w:rsidRDefault="00A52A58" w:rsidP="00981FC9">
            <w:pPr>
              <w:jc w:val="left"/>
              <w:rPr>
                <w:rFonts w:ascii="Arial Narrow" w:hAnsi="Arial Narrow"/>
                <w:sz w:val="20"/>
              </w:rPr>
            </w:pPr>
          </w:p>
        </w:tc>
        <w:tc>
          <w:tcPr>
            <w:tcW w:w="184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981FC9">
            <w:pPr>
              <w:rPr>
                <w:rFonts w:ascii="Arial Narrow" w:hAnsi="Arial Narrow"/>
                <w:sz w:val="20"/>
              </w:rPr>
            </w:pPr>
            <w:r w:rsidRPr="003F5BE5">
              <w:rPr>
                <w:rFonts w:ascii="Arial Narrow" w:hAnsi="Arial Narrow"/>
                <w:sz w:val="20"/>
              </w:rPr>
              <w:t>Using Wright utility values, but assuming no utility increment due to achieving SVR</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color w:val="000000"/>
                <w:sz w:val="20"/>
              </w:rPr>
            </w:pPr>
            <w:r w:rsidRPr="003F5BE5">
              <w:rPr>
                <w:rFonts w:ascii="Arial Narrow" w:hAnsi="Arial Narrow"/>
                <w:color w:val="000000"/>
                <w:sz w:val="20"/>
              </w:rPr>
              <w:t>1.100</w:t>
            </w:r>
          </w:p>
        </w:tc>
        <w:tc>
          <w:tcPr>
            <w:tcW w:w="560"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r>
      <w:tr w:rsidR="00A52A58" w:rsidRPr="003F5BE5" w:rsidTr="00981FC9">
        <w:tc>
          <w:tcPr>
            <w:tcW w:w="5000" w:type="pct"/>
            <w:gridSpan w:val="5"/>
            <w:tcBorders>
              <w:top w:val="single" w:sz="4" w:space="0" w:color="auto"/>
              <w:left w:val="single" w:sz="4" w:space="0" w:color="auto"/>
              <w:bottom w:val="single" w:sz="4" w:space="0" w:color="auto"/>
              <w:right w:val="single" w:sz="4" w:space="0" w:color="auto"/>
            </w:tcBorders>
          </w:tcPr>
          <w:p w:rsidR="00A52A58" w:rsidRPr="003F5BE5" w:rsidRDefault="00A52A58" w:rsidP="00981FC9">
            <w:pPr>
              <w:rPr>
                <w:rFonts w:ascii="Arial Narrow" w:hAnsi="Arial Narrow"/>
                <w:color w:val="000000"/>
                <w:sz w:val="20"/>
              </w:rPr>
            </w:pPr>
            <w:r w:rsidRPr="003F5BE5">
              <w:rPr>
                <w:rFonts w:ascii="Arial Narrow" w:hAnsi="Arial Narrow"/>
                <w:sz w:val="20"/>
              </w:rPr>
              <w:t>Multivariate sensitivity analyses</w:t>
            </w:r>
          </w:p>
        </w:tc>
      </w:tr>
      <w:tr w:rsidR="00A52A58" w:rsidRPr="003F5BE5" w:rsidTr="00981FC9">
        <w:tc>
          <w:tcPr>
            <w:tcW w:w="1122" w:type="pct"/>
            <w:tcBorders>
              <w:left w:val="single" w:sz="4" w:space="0" w:color="auto"/>
              <w:right w:val="single" w:sz="4" w:space="0" w:color="auto"/>
            </w:tcBorders>
          </w:tcPr>
          <w:p w:rsidR="00A52A58" w:rsidRPr="003F5BE5" w:rsidRDefault="00A52A58" w:rsidP="00981FC9">
            <w:pPr>
              <w:jc w:val="left"/>
              <w:rPr>
                <w:rFonts w:ascii="Arial Narrow" w:hAnsi="Arial Narrow"/>
                <w:sz w:val="20"/>
              </w:rPr>
            </w:pPr>
            <w:r w:rsidRPr="003F5BE5">
              <w:rPr>
                <w:rFonts w:ascii="Arial Narrow" w:hAnsi="Arial Narrow"/>
                <w:sz w:val="20"/>
              </w:rPr>
              <w:t xml:space="preserve">Time horizon </w:t>
            </w:r>
          </w:p>
          <w:p w:rsidR="00A52A58" w:rsidRPr="003F5BE5" w:rsidRDefault="00A52A58" w:rsidP="00981FC9">
            <w:pPr>
              <w:jc w:val="left"/>
              <w:rPr>
                <w:rFonts w:ascii="Arial Narrow" w:hAnsi="Arial Narrow"/>
                <w:sz w:val="20"/>
              </w:rPr>
            </w:pPr>
            <w:r w:rsidRPr="003F5BE5">
              <w:rPr>
                <w:rFonts w:ascii="Arial Narrow" w:hAnsi="Arial Narrow"/>
                <w:sz w:val="20"/>
              </w:rPr>
              <w:t>+Transition probabilities</w:t>
            </w:r>
          </w:p>
        </w:tc>
        <w:tc>
          <w:tcPr>
            <w:tcW w:w="184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981FC9">
            <w:pPr>
              <w:rPr>
                <w:rFonts w:ascii="Arial Narrow" w:hAnsi="Arial Narrow"/>
                <w:sz w:val="20"/>
              </w:rPr>
            </w:pPr>
            <w:r w:rsidRPr="003F5BE5">
              <w:rPr>
                <w:rFonts w:ascii="Arial Narrow" w:hAnsi="Arial Narrow"/>
                <w:sz w:val="20"/>
              </w:rPr>
              <w:t xml:space="preserve">30 years </w:t>
            </w:r>
          </w:p>
          <w:p w:rsidR="00A52A58" w:rsidRPr="003F5BE5" w:rsidRDefault="00A52A58" w:rsidP="00981FC9">
            <w:pPr>
              <w:rPr>
                <w:rFonts w:ascii="Arial Narrow" w:hAnsi="Arial Narrow"/>
                <w:sz w:val="20"/>
              </w:rPr>
            </w:pPr>
            <w:r w:rsidRPr="003F5BE5">
              <w:rPr>
                <w:rFonts w:ascii="Arial Narrow" w:hAnsi="Arial Narrow"/>
                <w:sz w:val="20"/>
              </w:rPr>
              <w:t xml:space="preserve">Using inputs from the NICE </w:t>
            </w:r>
            <w:proofErr w:type="spellStart"/>
            <w:r w:rsidRPr="003F5BE5">
              <w:rPr>
                <w:rFonts w:ascii="Arial Narrow" w:hAnsi="Arial Narrow"/>
                <w:sz w:val="20"/>
              </w:rPr>
              <w:t>model</w:t>
            </w:r>
            <w:r w:rsidRPr="003F5BE5">
              <w:rPr>
                <w:rFonts w:ascii="Arial Narrow" w:hAnsi="Arial Narrow"/>
                <w:sz w:val="20"/>
                <w:vertAlign w:val="superscript"/>
              </w:rPr>
              <w:t>a</w:t>
            </w:r>
            <w:proofErr w:type="spellEnd"/>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color w:val="000000"/>
                <w:sz w:val="20"/>
              </w:rPr>
            </w:pPr>
            <w:r w:rsidRPr="003F5BE5">
              <w:rPr>
                <w:rFonts w:ascii="Arial Narrow" w:hAnsi="Arial Narrow"/>
                <w:color w:val="000000"/>
                <w:sz w:val="20"/>
              </w:rPr>
              <w:t>1.280</w:t>
            </w:r>
          </w:p>
        </w:tc>
        <w:tc>
          <w:tcPr>
            <w:tcW w:w="560"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r>
      <w:tr w:rsidR="00A52A58" w:rsidRPr="003F5BE5" w:rsidTr="00981FC9">
        <w:tc>
          <w:tcPr>
            <w:tcW w:w="1122" w:type="pct"/>
            <w:tcBorders>
              <w:left w:val="single" w:sz="4" w:space="0" w:color="auto"/>
              <w:right w:val="single" w:sz="4" w:space="0" w:color="auto"/>
            </w:tcBorders>
          </w:tcPr>
          <w:p w:rsidR="00A52A58" w:rsidRPr="003F5BE5" w:rsidRDefault="00A52A58" w:rsidP="00981FC9">
            <w:pPr>
              <w:jc w:val="left"/>
              <w:rPr>
                <w:rFonts w:ascii="Arial Narrow" w:hAnsi="Arial Narrow"/>
                <w:sz w:val="20"/>
              </w:rPr>
            </w:pPr>
            <w:r w:rsidRPr="003F5BE5">
              <w:rPr>
                <w:rFonts w:ascii="Arial Narrow" w:hAnsi="Arial Narrow"/>
                <w:sz w:val="20"/>
              </w:rPr>
              <w:t xml:space="preserve">Time horizon </w:t>
            </w:r>
          </w:p>
          <w:p w:rsidR="00A52A58" w:rsidRPr="003F5BE5" w:rsidRDefault="00A52A58" w:rsidP="00981FC9">
            <w:pPr>
              <w:jc w:val="left"/>
              <w:rPr>
                <w:rFonts w:ascii="Arial Narrow" w:hAnsi="Arial Narrow"/>
                <w:sz w:val="20"/>
              </w:rPr>
            </w:pPr>
            <w:r w:rsidRPr="003F5BE5">
              <w:rPr>
                <w:rFonts w:ascii="Arial Narrow" w:hAnsi="Arial Narrow"/>
                <w:sz w:val="20"/>
              </w:rPr>
              <w:t>+Transition probabilities</w:t>
            </w:r>
          </w:p>
          <w:p w:rsidR="00A52A58" w:rsidRPr="003F5BE5" w:rsidRDefault="00A52A58" w:rsidP="00981FC9">
            <w:pPr>
              <w:jc w:val="left"/>
              <w:rPr>
                <w:rFonts w:ascii="Arial Narrow" w:hAnsi="Arial Narrow"/>
                <w:sz w:val="20"/>
              </w:rPr>
            </w:pPr>
            <w:r w:rsidRPr="003F5BE5">
              <w:rPr>
                <w:rFonts w:ascii="Arial Narrow" w:hAnsi="Arial Narrow"/>
                <w:sz w:val="20"/>
              </w:rPr>
              <w:t xml:space="preserve">+Utilities </w:t>
            </w:r>
          </w:p>
        </w:tc>
        <w:tc>
          <w:tcPr>
            <w:tcW w:w="184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981FC9">
            <w:pPr>
              <w:rPr>
                <w:rFonts w:ascii="Arial Narrow" w:hAnsi="Arial Narrow"/>
                <w:sz w:val="20"/>
              </w:rPr>
            </w:pPr>
            <w:r w:rsidRPr="003F5BE5">
              <w:rPr>
                <w:rFonts w:ascii="Arial Narrow" w:hAnsi="Arial Narrow"/>
                <w:sz w:val="20"/>
              </w:rPr>
              <w:t xml:space="preserve">30 years </w:t>
            </w:r>
          </w:p>
          <w:p w:rsidR="00A52A58" w:rsidRPr="003F5BE5" w:rsidRDefault="00A52A58" w:rsidP="00981FC9">
            <w:pPr>
              <w:rPr>
                <w:rFonts w:ascii="Arial Narrow" w:hAnsi="Arial Narrow"/>
                <w:sz w:val="20"/>
              </w:rPr>
            </w:pPr>
            <w:r w:rsidRPr="003F5BE5">
              <w:rPr>
                <w:rFonts w:ascii="Arial Narrow" w:hAnsi="Arial Narrow"/>
                <w:sz w:val="20"/>
              </w:rPr>
              <w:t xml:space="preserve">Using inputs from the NICE </w:t>
            </w:r>
            <w:proofErr w:type="spellStart"/>
            <w:r w:rsidRPr="003F5BE5">
              <w:rPr>
                <w:rFonts w:ascii="Arial Narrow" w:hAnsi="Arial Narrow"/>
                <w:sz w:val="20"/>
              </w:rPr>
              <w:t>model</w:t>
            </w:r>
            <w:r w:rsidRPr="003F5BE5">
              <w:rPr>
                <w:rFonts w:ascii="Arial Narrow" w:hAnsi="Arial Narrow"/>
                <w:sz w:val="20"/>
                <w:vertAlign w:val="superscript"/>
              </w:rPr>
              <w:t>a</w:t>
            </w:r>
            <w:proofErr w:type="spellEnd"/>
          </w:p>
          <w:p w:rsidR="00A52A58" w:rsidRPr="003F5BE5" w:rsidRDefault="00A52A58" w:rsidP="00981FC9">
            <w:pPr>
              <w:rPr>
                <w:rFonts w:ascii="Arial Narrow" w:hAnsi="Arial Narrow"/>
                <w:sz w:val="20"/>
              </w:rPr>
            </w:pPr>
            <w:r w:rsidRPr="003F5BE5">
              <w:rPr>
                <w:rFonts w:ascii="Arial Narrow" w:hAnsi="Arial Narrow"/>
                <w:sz w:val="20"/>
              </w:rPr>
              <w:t>Using Townsend utility values</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color w:val="000000"/>
                <w:sz w:val="20"/>
              </w:rPr>
            </w:pPr>
            <w:r w:rsidRPr="003F5BE5">
              <w:rPr>
                <w:rFonts w:ascii="Arial Narrow" w:hAnsi="Arial Narrow"/>
                <w:color w:val="000000"/>
                <w:sz w:val="20"/>
              </w:rPr>
              <w:t>0.813</w:t>
            </w:r>
          </w:p>
        </w:tc>
        <w:tc>
          <w:tcPr>
            <w:tcW w:w="560"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r>
      <w:tr w:rsidR="00A52A58" w:rsidRPr="003F5BE5" w:rsidTr="00981FC9">
        <w:tc>
          <w:tcPr>
            <w:tcW w:w="1122" w:type="pct"/>
            <w:tcBorders>
              <w:left w:val="single" w:sz="4" w:space="0" w:color="auto"/>
              <w:right w:val="single" w:sz="4" w:space="0" w:color="auto"/>
            </w:tcBorders>
          </w:tcPr>
          <w:p w:rsidR="00A52A58" w:rsidRPr="003F5BE5" w:rsidRDefault="00A52A58" w:rsidP="00981FC9">
            <w:pPr>
              <w:jc w:val="left"/>
              <w:rPr>
                <w:rFonts w:ascii="Arial Narrow" w:hAnsi="Arial Narrow"/>
                <w:sz w:val="20"/>
              </w:rPr>
            </w:pPr>
            <w:r w:rsidRPr="003F5BE5">
              <w:rPr>
                <w:rFonts w:ascii="Arial Narrow" w:hAnsi="Arial Narrow"/>
                <w:sz w:val="20"/>
              </w:rPr>
              <w:t xml:space="preserve">Time horizon </w:t>
            </w:r>
          </w:p>
          <w:p w:rsidR="00A52A58" w:rsidRPr="003F5BE5" w:rsidRDefault="00A52A58" w:rsidP="00981FC9">
            <w:pPr>
              <w:jc w:val="left"/>
              <w:rPr>
                <w:rFonts w:ascii="Arial Narrow" w:hAnsi="Arial Narrow"/>
                <w:sz w:val="20"/>
              </w:rPr>
            </w:pPr>
            <w:r w:rsidRPr="003F5BE5">
              <w:rPr>
                <w:rFonts w:ascii="Arial Narrow" w:hAnsi="Arial Narrow"/>
                <w:sz w:val="20"/>
              </w:rPr>
              <w:t>+Transition probabilities</w:t>
            </w:r>
          </w:p>
          <w:p w:rsidR="00A52A58" w:rsidRPr="003F5BE5" w:rsidRDefault="00A52A58" w:rsidP="00981FC9">
            <w:pPr>
              <w:jc w:val="left"/>
              <w:rPr>
                <w:rFonts w:ascii="Arial Narrow" w:hAnsi="Arial Narrow"/>
                <w:sz w:val="20"/>
              </w:rPr>
            </w:pPr>
            <w:r w:rsidRPr="003F5BE5">
              <w:rPr>
                <w:rFonts w:ascii="Arial Narrow" w:hAnsi="Arial Narrow"/>
                <w:sz w:val="20"/>
              </w:rPr>
              <w:t>+Utilities</w:t>
            </w:r>
          </w:p>
        </w:tc>
        <w:tc>
          <w:tcPr>
            <w:tcW w:w="1846" w:type="pct"/>
            <w:tcBorders>
              <w:top w:val="single" w:sz="4" w:space="0" w:color="auto"/>
              <w:left w:val="single" w:sz="4" w:space="0" w:color="auto"/>
              <w:bottom w:val="single" w:sz="4" w:space="0" w:color="auto"/>
              <w:right w:val="single" w:sz="4" w:space="0" w:color="auto"/>
            </w:tcBorders>
            <w:vAlign w:val="center"/>
          </w:tcPr>
          <w:p w:rsidR="00A52A58" w:rsidRPr="003F5BE5" w:rsidRDefault="00A52A58" w:rsidP="00981FC9">
            <w:pPr>
              <w:rPr>
                <w:rFonts w:ascii="Arial Narrow" w:hAnsi="Arial Narrow"/>
                <w:sz w:val="20"/>
              </w:rPr>
            </w:pPr>
            <w:r w:rsidRPr="003F5BE5">
              <w:rPr>
                <w:rFonts w:ascii="Arial Narrow" w:hAnsi="Arial Narrow"/>
                <w:sz w:val="20"/>
              </w:rPr>
              <w:t xml:space="preserve">30 years </w:t>
            </w:r>
          </w:p>
          <w:p w:rsidR="00A52A58" w:rsidRPr="003F5BE5" w:rsidRDefault="00A52A58" w:rsidP="00981FC9">
            <w:pPr>
              <w:rPr>
                <w:rFonts w:ascii="Arial Narrow" w:hAnsi="Arial Narrow"/>
                <w:sz w:val="20"/>
              </w:rPr>
            </w:pPr>
            <w:r w:rsidRPr="003F5BE5">
              <w:rPr>
                <w:rFonts w:ascii="Arial Narrow" w:hAnsi="Arial Narrow"/>
                <w:sz w:val="20"/>
              </w:rPr>
              <w:t xml:space="preserve">Using inputs from the NICE </w:t>
            </w:r>
            <w:proofErr w:type="spellStart"/>
            <w:r w:rsidRPr="003F5BE5">
              <w:rPr>
                <w:rFonts w:ascii="Arial Narrow" w:hAnsi="Arial Narrow"/>
                <w:sz w:val="20"/>
              </w:rPr>
              <w:t>model</w:t>
            </w:r>
            <w:r w:rsidRPr="003F5BE5">
              <w:rPr>
                <w:rFonts w:ascii="Arial Narrow" w:hAnsi="Arial Narrow"/>
                <w:sz w:val="20"/>
                <w:vertAlign w:val="superscript"/>
              </w:rPr>
              <w:t>a</w:t>
            </w:r>
            <w:proofErr w:type="spellEnd"/>
          </w:p>
          <w:p w:rsidR="00A52A58" w:rsidRPr="003F5BE5" w:rsidRDefault="00A52A58" w:rsidP="00981FC9">
            <w:pPr>
              <w:rPr>
                <w:rFonts w:ascii="Arial Narrow" w:hAnsi="Arial Narrow"/>
                <w:sz w:val="20"/>
              </w:rPr>
            </w:pPr>
            <w:r w:rsidRPr="003F5BE5">
              <w:rPr>
                <w:rFonts w:ascii="Arial Narrow" w:hAnsi="Arial Narrow"/>
                <w:sz w:val="20"/>
              </w:rPr>
              <w:t>Assuming no utilities increment due to SVR</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c>
          <w:tcPr>
            <w:tcW w:w="736"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center"/>
              <w:rPr>
                <w:rFonts w:ascii="Arial Narrow" w:hAnsi="Arial Narrow"/>
                <w:color w:val="000000"/>
                <w:sz w:val="20"/>
              </w:rPr>
            </w:pPr>
            <w:r w:rsidRPr="003F5BE5">
              <w:rPr>
                <w:rFonts w:ascii="Arial Narrow" w:hAnsi="Arial Narrow"/>
                <w:color w:val="000000"/>
                <w:sz w:val="20"/>
              </w:rPr>
              <w:t>0.648</w:t>
            </w:r>
          </w:p>
        </w:tc>
        <w:tc>
          <w:tcPr>
            <w:tcW w:w="560" w:type="pct"/>
            <w:tcBorders>
              <w:top w:val="single" w:sz="4" w:space="0" w:color="auto"/>
              <w:left w:val="single" w:sz="4" w:space="0" w:color="auto"/>
              <w:bottom w:val="single" w:sz="4" w:space="0" w:color="auto"/>
              <w:right w:val="single" w:sz="4" w:space="0" w:color="auto"/>
            </w:tcBorders>
          </w:tcPr>
          <w:p w:rsidR="00A52A58" w:rsidRPr="003F5BE5" w:rsidRDefault="00A52A58" w:rsidP="00981FC9">
            <w:pPr>
              <w:jc w:val="right"/>
              <w:rPr>
                <w:rFonts w:ascii="Arial Narrow" w:hAnsi="Arial Narrow"/>
                <w:color w:val="000000"/>
                <w:sz w:val="20"/>
              </w:rPr>
            </w:pPr>
            <w:r w:rsidRPr="003F5BE5">
              <w:rPr>
                <w:rFonts w:ascii="Arial Narrow" w:hAnsi="Arial Narrow"/>
                <w:color w:val="000000"/>
                <w:sz w:val="20"/>
              </w:rPr>
              <w:t>$</w:t>
            </w:r>
            <w:r w:rsidR="00E70598">
              <w:rPr>
                <w:rFonts w:ascii="Arial Narrow" w:hAnsi="Arial Narrow"/>
                <w:noProof/>
                <w:color w:val="000000"/>
                <w:sz w:val="20"/>
                <w:highlight w:val="black"/>
              </w:rPr>
              <w:t>''''''''''''''''</w:t>
            </w:r>
          </w:p>
        </w:tc>
      </w:tr>
    </w:tbl>
    <w:p w:rsidR="00A52A58" w:rsidRPr="003F5BE5" w:rsidRDefault="00A52A58" w:rsidP="00A52A58">
      <w:pPr>
        <w:pStyle w:val="TableFooter"/>
        <w:ind w:left="709"/>
      </w:pPr>
      <w:r w:rsidRPr="003F5BE5">
        <w:t xml:space="preserve">CI = confidence interval; DCV = daclatasvir; ICER = incremental cost-effectiveness ratio; QALY = quality-adjusted life year; SOF = sofosbuvir; SVR = sustained </w:t>
      </w:r>
      <w:proofErr w:type="spellStart"/>
      <w:r w:rsidRPr="003F5BE5">
        <w:t>virologic</w:t>
      </w:r>
      <w:proofErr w:type="spellEnd"/>
      <w:r w:rsidRPr="003F5BE5">
        <w:t xml:space="preserve"> response</w:t>
      </w:r>
    </w:p>
    <w:p w:rsidR="00A52A58" w:rsidRPr="001D20D4" w:rsidRDefault="00A52A58" w:rsidP="00A52A58">
      <w:pPr>
        <w:pStyle w:val="TableFooter"/>
        <w:ind w:leftChars="322" w:left="708"/>
      </w:pPr>
      <w:proofErr w:type="spellStart"/>
      <w:r w:rsidRPr="003F5BE5">
        <w:rPr>
          <w:vertAlign w:val="superscript"/>
        </w:rPr>
        <w:t>a</w:t>
      </w:r>
      <w:proofErr w:type="spellEnd"/>
      <w:r w:rsidRPr="003F5BE5">
        <w:t xml:space="preserve"> Using the transition probabilities as presented in Table D(I).4.3</w:t>
      </w:r>
      <w:r w:rsidR="003F5BE5" w:rsidRPr="003F5BE5">
        <w:t xml:space="preserve"> of the commentary</w:t>
      </w:r>
      <w:r w:rsidRPr="003F5BE5">
        <w:t xml:space="preserve"> and combining the F0 health state with the F1 health state and the F2 health state with the F3 health state.</w:t>
      </w:r>
    </w:p>
    <w:p w:rsidR="00A52A58" w:rsidRDefault="00A52A58" w:rsidP="00A52A58">
      <w:pPr>
        <w:pStyle w:val="TableFooter"/>
        <w:ind w:left="709"/>
      </w:pPr>
      <w:r w:rsidRPr="001D20D4">
        <w:t xml:space="preserve">Source: Sensitivity analyses conducted during the evaluation, using a utility value of 0.60 for the </w:t>
      </w:r>
      <w:proofErr w:type="gramStart"/>
      <w:r w:rsidRPr="001D20D4">
        <w:t>F4(</w:t>
      </w:r>
      <w:proofErr w:type="gramEnd"/>
      <w:r w:rsidRPr="001D20D4">
        <w:t>SVR) health state.</w:t>
      </w:r>
    </w:p>
    <w:p w:rsidR="00A33EB1" w:rsidRPr="00214F99" w:rsidRDefault="00A33EB1" w:rsidP="00A52A58">
      <w:pPr>
        <w:pStyle w:val="TableFooter"/>
        <w:ind w:left="709"/>
      </w:pPr>
    </w:p>
    <w:p w:rsidR="00AA44A6" w:rsidRPr="00214F99" w:rsidRDefault="00AA44A6" w:rsidP="00C768A3">
      <w:pPr>
        <w:pStyle w:val="ListParagraph"/>
        <w:widowControl/>
        <w:numPr>
          <w:ilvl w:val="1"/>
          <w:numId w:val="1"/>
        </w:numPr>
        <w:rPr>
          <w:szCs w:val="22"/>
        </w:rPr>
      </w:pPr>
      <w:r w:rsidRPr="00214F99">
        <w:rPr>
          <w:szCs w:val="22"/>
        </w:rPr>
        <w:t xml:space="preserve">The ESC noted the sensitivity analysis for GT1 patients presented in the PSCR (p4, presented below) resulting in an ICER of </w:t>
      </w:r>
      <w:r w:rsidR="00B53AA6" w:rsidRPr="00B53AA6">
        <w:rPr>
          <w:szCs w:val="22"/>
        </w:rPr>
        <w:t>$15,000/QALY - $45,000/QALY</w:t>
      </w:r>
      <w:r w:rsidRPr="00214F99">
        <w:rPr>
          <w:szCs w:val="22"/>
        </w:rPr>
        <w:t xml:space="preserve">. </w:t>
      </w:r>
    </w:p>
    <w:p w:rsidR="00A52A58" w:rsidRDefault="00A52A58" w:rsidP="00A52A58">
      <w:pPr>
        <w:widowControl/>
        <w:ind w:left="709"/>
        <w:rPr>
          <w:szCs w:val="22"/>
        </w:rPr>
      </w:pPr>
    </w:p>
    <w:p w:rsidR="001F6F48" w:rsidRDefault="001F6F48">
      <w:pPr>
        <w:widowControl/>
        <w:jc w:val="left"/>
        <w:rPr>
          <w:rFonts w:ascii="Arial Narrow" w:hAnsi="Arial Narrow"/>
          <w:b/>
          <w:i/>
          <w:sz w:val="20"/>
          <w:szCs w:val="16"/>
        </w:rPr>
      </w:pPr>
      <w:r>
        <w:rPr>
          <w:rFonts w:ascii="Arial Narrow" w:hAnsi="Arial Narrow"/>
          <w:b/>
          <w:i/>
          <w:sz w:val="20"/>
          <w:szCs w:val="16"/>
        </w:rPr>
        <w:br w:type="page"/>
      </w:r>
    </w:p>
    <w:p w:rsidR="001F6F48" w:rsidRPr="00DF49EC" w:rsidRDefault="00AA44A6" w:rsidP="00AA44A6">
      <w:pPr>
        <w:ind w:left="709"/>
        <w:rPr>
          <w:rFonts w:ascii="Arial Narrow" w:hAnsi="Arial Narrow"/>
          <w:b/>
          <w:i/>
          <w:sz w:val="20"/>
        </w:rPr>
      </w:pPr>
      <w:r w:rsidRPr="0028583C">
        <w:rPr>
          <w:rFonts w:ascii="Arial Narrow" w:hAnsi="Arial Narrow"/>
          <w:b/>
          <w:sz w:val="20"/>
        </w:rPr>
        <w:lastRenderedPageBreak/>
        <w:t xml:space="preserve">Revisions to base case estimates for DCV + </w:t>
      </w:r>
      <w:proofErr w:type="gramStart"/>
      <w:r w:rsidRPr="0028583C">
        <w:rPr>
          <w:rFonts w:ascii="Arial Narrow" w:hAnsi="Arial Narrow"/>
          <w:b/>
          <w:sz w:val="20"/>
        </w:rPr>
        <w:t>SOF  vs</w:t>
      </w:r>
      <w:proofErr w:type="gramEnd"/>
      <w:r w:rsidRPr="0028583C">
        <w:rPr>
          <w:rFonts w:ascii="Arial Narrow" w:hAnsi="Arial Narrow"/>
          <w:b/>
          <w:sz w:val="20"/>
        </w:rPr>
        <w:t>. no treatment in a HCV GT1 population (PSCR)</w:t>
      </w:r>
    </w:p>
    <w:tbl>
      <w:tblPr>
        <w:tblW w:w="4613" w:type="pct"/>
        <w:tblInd w:w="715" w:type="dxa"/>
        <w:tblCellMar>
          <w:left w:w="0" w:type="dxa"/>
          <w:right w:w="0" w:type="dxa"/>
        </w:tblCellMar>
        <w:tblLook w:val="01E0" w:firstRow="1" w:lastRow="1" w:firstColumn="1" w:lastColumn="1" w:noHBand="0" w:noVBand="0"/>
      </w:tblPr>
      <w:tblGrid>
        <w:gridCol w:w="1955"/>
        <w:gridCol w:w="1331"/>
        <w:gridCol w:w="1472"/>
        <w:gridCol w:w="1611"/>
        <w:gridCol w:w="1969"/>
      </w:tblGrid>
      <w:tr w:rsidR="001F6F48" w:rsidRPr="0028583C" w:rsidTr="001F6F48">
        <w:tc>
          <w:tcPr>
            <w:tcW w:w="1172"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8"/>
              <w:ind w:left="95" w:firstLine="7"/>
              <w:rPr>
                <w:rFonts w:ascii="Arial Narrow" w:eastAsia="Times New Roman" w:hAnsi="Arial Narrow" w:cs="Times New Roman"/>
                <w:sz w:val="20"/>
                <w:szCs w:val="20"/>
              </w:rPr>
            </w:pPr>
            <w:r w:rsidRPr="0028583C">
              <w:rPr>
                <w:rFonts w:ascii="Arial Narrow" w:eastAsia="Times New Roman" w:hAnsi="Arial Narrow" w:cs="Times New Roman"/>
                <w:b/>
                <w:bCs/>
                <w:sz w:val="20"/>
                <w:szCs w:val="20"/>
              </w:rPr>
              <w:t>V</w:t>
            </w:r>
            <w:r w:rsidRPr="0028583C">
              <w:rPr>
                <w:rFonts w:ascii="Arial Narrow" w:eastAsia="Times New Roman" w:hAnsi="Arial Narrow" w:cs="Times New Roman"/>
                <w:b/>
                <w:bCs/>
                <w:spacing w:val="1"/>
                <w:sz w:val="20"/>
                <w:szCs w:val="20"/>
              </w:rPr>
              <w:t>a</w:t>
            </w:r>
            <w:r w:rsidRPr="0028583C">
              <w:rPr>
                <w:rFonts w:ascii="Arial Narrow" w:eastAsia="Times New Roman" w:hAnsi="Arial Narrow" w:cs="Times New Roman"/>
                <w:b/>
                <w:bCs/>
                <w:sz w:val="20"/>
                <w:szCs w:val="20"/>
              </w:rPr>
              <w:t>ri</w:t>
            </w:r>
            <w:r w:rsidRPr="0028583C">
              <w:rPr>
                <w:rFonts w:ascii="Arial Narrow" w:eastAsia="Times New Roman" w:hAnsi="Arial Narrow" w:cs="Times New Roman"/>
                <w:b/>
                <w:bCs/>
                <w:spacing w:val="1"/>
                <w:sz w:val="20"/>
                <w:szCs w:val="20"/>
              </w:rPr>
              <w:t>a</w:t>
            </w:r>
            <w:r w:rsidRPr="0028583C">
              <w:rPr>
                <w:rFonts w:ascii="Arial Narrow" w:eastAsia="Times New Roman" w:hAnsi="Arial Narrow" w:cs="Times New Roman"/>
                <w:b/>
                <w:bCs/>
                <w:sz w:val="20"/>
                <w:szCs w:val="20"/>
              </w:rPr>
              <w:t>ble</w:t>
            </w:r>
            <w:r w:rsidRPr="0028583C">
              <w:rPr>
                <w:rFonts w:ascii="Arial Narrow" w:eastAsia="Times New Roman" w:hAnsi="Arial Narrow" w:cs="Times New Roman"/>
                <w:b/>
                <w:bCs/>
                <w:spacing w:val="-14"/>
                <w:sz w:val="20"/>
                <w:szCs w:val="20"/>
              </w:rPr>
              <w:t xml:space="preserve"> </w:t>
            </w:r>
            <w:r w:rsidRPr="0028583C">
              <w:rPr>
                <w:rFonts w:ascii="Arial Narrow" w:eastAsia="Times New Roman" w:hAnsi="Arial Narrow" w:cs="Times New Roman"/>
                <w:b/>
                <w:bCs/>
                <w:spacing w:val="1"/>
                <w:sz w:val="20"/>
                <w:szCs w:val="20"/>
              </w:rPr>
              <w:t>t</w:t>
            </w:r>
            <w:r w:rsidRPr="0028583C">
              <w:rPr>
                <w:rFonts w:ascii="Arial Narrow" w:eastAsia="Times New Roman" w:hAnsi="Arial Narrow" w:cs="Times New Roman"/>
                <w:b/>
                <w:bCs/>
                <w:sz w:val="20"/>
                <w:szCs w:val="20"/>
              </w:rPr>
              <w:t>ested</w:t>
            </w:r>
          </w:p>
        </w:tc>
        <w:tc>
          <w:tcPr>
            <w:tcW w:w="798"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8"/>
              <w:ind w:left="95" w:firstLine="7"/>
              <w:jc w:val="center"/>
              <w:rPr>
                <w:rFonts w:ascii="Arial Narrow" w:eastAsia="Times New Roman" w:hAnsi="Arial Narrow" w:cs="Times New Roman"/>
                <w:sz w:val="20"/>
                <w:szCs w:val="20"/>
              </w:rPr>
            </w:pPr>
            <w:r w:rsidRPr="0028583C">
              <w:rPr>
                <w:rFonts w:ascii="Arial Narrow" w:eastAsia="Times New Roman" w:hAnsi="Arial Narrow" w:cs="Times New Roman"/>
                <w:b/>
                <w:bCs/>
                <w:sz w:val="20"/>
                <w:szCs w:val="20"/>
              </w:rPr>
              <w:t>V</w:t>
            </w:r>
            <w:r w:rsidRPr="0028583C">
              <w:rPr>
                <w:rFonts w:ascii="Arial Narrow" w:eastAsia="Times New Roman" w:hAnsi="Arial Narrow" w:cs="Times New Roman"/>
                <w:b/>
                <w:bCs/>
                <w:spacing w:val="1"/>
                <w:sz w:val="20"/>
                <w:szCs w:val="20"/>
              </w:rPr>
              <w:t>a</w:t>
            </w:r>
            <w:r w:rsidRPr="0028583C">
              <w:rPr>
                <w:rFonts w:ascii="Arial Narrow" w:eastAsia="Times New Roman" w:hAnsi="Arial Narrow" w:cs="Times New Roman"/>
                <w:b/>
                <w:bCs/>
                <w:sz w:val="20"/>
                <w:szCs w:val="20"/>
              </w:rPr>
              <w:t>lue</w:t>
            </w:r>
          </w:p>
        </w:tc>
        <w:tc>
          <w:tcPr>
            <w:tcW w:w="883"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8"/>
              <w:ind w:left="94" w:firstLine="8"/>
              <w:jc w:val="center"/>
              <w:rPr>
                <w:rFonts w:ascii="Arial Narrow" w:eastAsia="Times New Roman" w:hAnsi="Arial Narrow" w:cs="Times New Roman"/>
                <w:b/>
                <w:bCs/>
                <w:spacing w:val="-15"/>
                <w:sz w:val="20"/>
                <w:szCs w:val="20"/>
              </w:rPr>
            </w:pPr>
            <w:r w:rsidRPr="0028583C">
              <w:rPr>
                <w:rFonts w:ascii="Arial Narrow" w:eastAsia="Times New Roman" w:hAnsi="Arial Narrow" w:cs="Times New Roman"/>
                <w:b/>
                <w:bCs/>
                <w:spacing w:val="-1"/>
                <w:sz w:val="20"/>
                <w:szCs w:val="20"/>
              </w:rPr>
              <w:t>I</w:t>
            </w:r>
            <w:r w:rsidRPr="0028583C">
              <w:rPr>
                <w:rFonts w:ascii="Arial Narrow" w:eastAsia="Times New Roman" w:hAnsi="Arial Narrow" w:cs="Times New Roman"/>
                <w:b/>
                <w:bCs/>
                <w:sz w:val="20"/>
                <w:szCs w:val="20"/>
              </w:rPr>
              <w:t>ncr</w:t>
            </w:r>
            <w:r w:rsidRPr="0028583C">
              <w:rPr>
                <w:rFonts w:ascii="Arial Narrow" w:eastAsia="Times New Roman" w:hAnsi="Arial Narrow" w:cs="Times New Roman"/>
                <w:b/>
                <w:bCs/>
                <w:spacing w:val="3"/>
                <w:sz w:val="20"/>
                <w:szCs w:val="20"/>
              </w:rPr>
              <w:t>e</w:t>
            </w:r>
            <w:r w:rsidRPr="0028583C">
              <w:rPr>
                <w:rFonts w:ascii="Arial Narrow" w:eastAsia="Times New Roman" w:hAnsi="Arial Narrow" w:cs="Times New Roman"/>
                <w:b/>
                <w:bCs/>
                <w:spacing w:val="-3"/>
                <w:sz w:val="20"/>
                <w:szCs w:val="20"/>
              </w:rPr>
              <w:t>m</w:t>
            </w:r>
            <w:r w:rsidRPr="0028583C">
              <w:rPr>
                <w:rFonts w:ascii="Arial Narrow" w:eastAsia="Times New Roman" w:hAnsi="Arial Narrow" w:cs="Times New Roman"/>
                <w:b/>
                <w:bCs/>
                <w:spacing w:val="2"/>
                <w:sz w:val="20"/>
                <w:szCs w:val="20"/>
              </w:rPr>
              <w:t>e</w:t>
            </w:r>
            <w:r w:rsidRPr="0028583C">
              <w:rPr>
                <w:rFonts w:ascii="Arial Narrow" w:eastAsia="Times New Roman" w:hAnsi="Arial Narrow" w:cs="Times New Roman"/>
                <w:b/>
                <w:bCs/>
                <w:sz w:val="20"/>
                <w:szCs w:val="20"/>
              </w:rPr>
              <w:t>nt</w:t>
            </w:r>
            <w:r w:rsidRPr="0028583C">
              <w:rPr>
                <w:rFonts w:ascii="Arial Narrow" w:eastAsia="Times New Roman" w:hAnsi="Arial Narrow" w:cs="Times New Roman"/>
                <w:b/>
                <w:bCs/>
                <w:spacing w:val="1"/>
                <w:sz w:val="20"/>
                <w:szCs w:val="20"/>
              </w:rPr>
              <w:t>a</w:t>
            </w:r>
            <w:r w:rsidRPr="0028583C">
              <w:rPr>
                <w:rFonts w:ascii="Arial Narrow" w:eastAsia="Times New Roman" w:hAnsi="Arial Narrow" w:cs="Times New Roman"/>
                <w:b/>
                <w:bCs/>
                <w:sz w:val="20"/>
                <w:szCs w:val="20"/>
              </w:rPr>
              <w:t>l</w:t>
            </w:r>
          </w:p>
          <w:p w:rsidR="00AA44A6" w:rsidRPr="0028583C" w:rsidRDefault="00AA44A6" w:rsidP="00082ADD">
            <w:pPr>
              <w:pStyle w:val="TableParagraph"/>
              <w:spacing w:before="38"/>
              <w:ind w:left="94" w:firstLine="8"/>
              <w:jc w:val="center"/>
              <w:rPr>
                <w:rFonts w:ascii="Arial Narrow" w:eastAsia="Times New Roman" w:hAnsi="Arial Narrow" w:cs="Times New Roman"/>
                <w:sz w:val="20"/>
                <w:szCs w:val="20"/>
              </w:rPr>
            </w:pPr>
            <w:r w:rsidRPr="0028583C">
              <w:rPr>
                <w:rFonts w:ascii="Arial Narrow" w:eastAsia="Times New Roman" w:hAnsi="Arial Narrow" w:cs="Times New Roman"/>
                <w:b/>
                <w:bCs/>
                <w:sz w:val="20"/>
                <w:szCs w:val="20"/>
              </w:rPr>
              <w:t>c</w:t>
            </w:r>
            <w:r w:rsidRPr="0028583C">
              <w:rPr>
                <w:rFonts w:ascii="Arial Narrow" w:eastAsia="Times New Roman" w:hAnsi="Arial Narrow" w:cs="Times New Roman"/>
                <w:b/>
                <w:bCs/>
                <w:spacing w:val="1"/>
                <w:sz w:val="20"/>
                <w:szCs w:val="20"/>
              </w:rPr>
              <w:t>o</w:t>
            </w:r>
            <w:r w:rsidRPr="0028583C">
              <w:rPr>
                <w:rFonts w:ascii="Arial Narrow" w:eastAsia="Times New Roman" w:hAnsi="Arial Narrow" w:cs="Times New Roman"/>
                <w:b/>
                <w:bCs/>
                <w:spacing w:val="-1"/>
                <w:sz w:val="20"/>
                <w:szCs w:val="20"/>
              </w:rPr>
              <w:t>s</w:t>
            </w:r>
            <w:r w:rsidRPr="0028583C">
              <w:rPr>
                <w:rFonts w:ascii="Arial Narrow" w:eastAsia="Times New Roman" w:hAnsi="Arial Narrow" w:cs="Times New Roman"/>
                <w:b/>
                <w:bCs/>
                <w:sz w:val="20"/>
                <w:szCs w:val="20"/>
              </w:rPr>
              <w:t>t</w:t>
            </w:r>
          </w:p>
        </w:tc>
        <w:tc>
          <w:tcPr>
            <w:tcW w:w="966"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8"/>
              <w:ind w:left="95" w:right="47" w:firstLine="7"/>
              <w:rPr>
                <w:rFonts w:ascii="Arial Narrow" w:eastAsia="Times New Roman" w:hAnsi="Arial Narrow" w:cs="Times New Roman"/>
                <w:sz w:val="20"/>
                <w:szCs w:val="20"/>
              </w:rPr>
            </w:pPr>
            <w:r w:rsidRPr="0028583C">
              <w:rPr>
                <w:rFonts w:ascii="Arial Narrow" w:eastAsia="Times New Roman" w:hAnsi="Arial Narrow" w:cs="Times New Roman"/>
                <w:b/>
                <w:bCs/>
                <w:spacing w:val="-1"/>
                <w:w w:val="95"/>
                <w:sz w:val="20"/>
                <w:szCs w:val="20"/>
              </w:rPr>
              <w:t>I</w:t>
            </w:r>
            <w:r w:rsidRPr="0028583C">
              <w:rPr>
                <w:rFonts w:ascii="Arial Narrow" w:eastAsia="Times New Roman" w:hAnsi="Arial Narrow" w:cs="Times New Roman"/>
                <w:b/>
                <w:bCs/>
                <w:w w:val="95"/>
                <w:sz w:val="20"/>
                <w:szCs w:val="20"/>
              </w:rPr>
              <w:t>ncr</w:t>
            </w:r>
            <w:r w:rsidRPr="0028583C">
              <w:rPr>
                <w:rFonts w:ascii="Arial Narrow" w:eastAsia="Times New Roman" w:hAnsi="Arial Narrow" w:cs="Times New Roman"/>
                <w:b/>
                <w:bCs/>
                <w:spacing w:val="2"/>
                <w:w w:val="95"/>
                <w:sz w:val="20"/>
                <w:szCs w:val="20"/>
              </w:rPr>
              <w:t>e</w:t>
            </w:r>
            <w:r w:rsidRPr="0028583C">
              <w:rPr>
                <w:rFonts w:ascii="Arial Narrow" w:eastAsia="Times New Roman" w:hAnsi="Arial Narrow" w:cs="Times New Roman"/>
                <w:b/>
                <w:bCs/>
                <w:spacing w:val="-3"/>
                <w:w w:val="95"/>
                <w:sz w:val="20"/>
                <w:szCs w:val="20"/>
              </w:rPr>
              <w:t>m</w:t>
            </w:r>
            <w:r w:rsidRPr="0028583C">
              <w:rPr>
                <w:rFonts w:ascii="Arial Narrow" w:eastAsia="Times New Roman" w:hAnsi="Arial Narrow" w:cs="Times New Roman"/>
                <w:b/>
                <w:bCs/>
                <w:spacing w:val="1"/>
                <w:w w:val="95"/>
                <w:sz w:val="20"/>
                <w:szCs w:val="20"/>
              </w:rPr>
              <w:t>e</w:t>
            </w:r>
            <w:r w:rsidRPr="0028583C">
              <w:rPr>
                <w:rFonts w:ascii="Arial Narrow" w:eastAsia="Times New Roman" w:hAnsi="Arial Narrow" w:cs="Times New Roman"/>
                <w:b/>
                <w:bCs/>
                <w:w w:val="95"/>
                <w:sz w:val="20"/>
                <w:szCs w:val="20"/>
              </w:rPr>
              <w:t>ntal</w:t>
            </w:r>
            <w:r w:rsidRPr="0028583C">
              <w:rPr>
                <w:rFonts w:ascii="Arial Narrow" w:eastAsia="Times New Roman" w:hAnsi="Arial Narrow" w:cs="Times New Roman"/>
                <w:b/>
                <w:bCs/>
                <w:w w:val="99"/>
                <w:sz w:val="20"/>
                <w:szCs w:val="20"/>
              </w:rPr>
              <w:t xml:space="preserve"> </w:t>
            </w:r>
            <w:r w:rsidRPr="0028583C">
              <w:rPr>
                <w:rFonts w:ascii="Arial Narrow" w:eastAsia="Times New Roman" w:hAnsi="Arial Narrow" w:cs="Times New Roman"/>
                <w:b/>
                <w:bCs/>
                <w:spacing w:val="-2"/>
                <w:sz w:val="20"/>
                <w:szCs w:val="20"/>
              </w:rPr>
              <w:t>Q</w:t>
            </w:r>
            <w:r w:rsidRPr="0028583C">
              <w:rPr>
                <w:rFonts w:ascii="Arial Narrow" w:eastAsia="Times New Roman" w:hAnsi="Arial Narrow" w:cs="Times New Roman"/>
                <w:b/>
                <w:bCs/>
                <w:spacing w:val="2"/>
                <w:sz w:val="20"/>
                <w:szCs w:val="20"/>
              </w:rPr>
              <w:t>A</w:t>
            </w:r>
            <w:r w:rsidRPr="0028583C">
              <w:rPr>
                <w:rFonts w:ascii="Arial Narrow" w:eastAsia="Times New Roman" w:hAnsi="Arial Narrow" w:cs="Times New Roman"/>
                <w:b/>
                <w:bCs/>
                <w:spacing w:val="-1"/>
                <w:sz w:val="20"/>
                <w:szCs w:val="20"/>
              </w:rPr>
              <w:t>L</w:t>
            </w:r>
            <w:r w:rsidRPr="0028583C">
              <w:rPr>
                <w:rFonts w:ascii="Arial Narrow" w:eastAsia="Times New Roman" w:hAnsi="Arial Narrow" w:cs="Times New Roman"/>
                <w:b/>
                <w:bCs/>
                <w:sz w:val="20"/>
                <w:szCs w:val="20"/>
              </w:rPr>
              <w:t>Y</w:t>
            </w:r>
          </w:p>
        </w:tc>
        <w:tc>
          <w:tcPr>
            <w:tcW w:w="1181"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8"/>
              <w:ind w:left="95" w:right="4" w:firstLine="7"/>
              <w:jc w:val="center"/>
              <w:rPr>
                <w:rFonts w:ascii="Arial Narrow" w:eastAsia="Times New Roman" w:hAnsi="Arial Narrow" w:cs="Times New Roman"/>
                <w:sz w:val="20"/>
                <w:szCs w:val="20"/>
              </w:rPr>
            </w:pPr>
            <w:r w:rsidRPr="0028583C">
              <w:rPr>
                <w:rFonts w:ascii="Arial Narrow" w:eastAsia="Times New Roman" w:hAnsi="Arial Narrow" w:cs="Times New Roman"/>
                <w:b/>
                <w:bCs/>
                <w:spacing w:val="-1"/>
                <w:sz w:val="20"/>
                <w:szCs w:val="20"/>
              </w:rPr>
              <w:t>I</w:t>
            </w:r>
            <w:r w:rsidRPr="0028583C">
              <w:rPr>
                <w:rFonts w:ascii="Arial Narrow" w:eastAsia="Times New Roman" w:hAnsi="Arial Narrow" w:cs="Times New Roman"/>
                <w:b/>
                <w:bCs/>
                <w:sz w:val="20"/>
                <w:szCs w:val="20"/>
              </w:rPr>
              <w:t>C</w:t>
            </w:r>
            <w:r w:rsidRPr="0028583C">
              <w:rPr>
                <w:rFonts w:ascii="Arial Narrow" w:eastAsia="Times New Roman" w:hAnsi="Arial Narrow" w:cs="Times New Roman"/>
                <w:b/>
                <w:bCs/>
                <w:spacing w:val="-1"/>
                <w:sz w:val="20"/>
                <w:szCs w:val="20"/>
              </w:rPr>
              <w:t>E</w:t>
            </w:r>
            <w:r w:rsidRPr="0028583C">
              <w:rPr>
                <w:rFonts w:ascii="Arial Narrow" w:eastAsia="Times New Roman" w:hAnsi="Arial Narrow" w:cs="Times New Roman"/>
                <w:b/>
                <w:bCs/>
                <w:sz w:val="20"/>
                <w:szCs w:val="20"/>
              </w:rPr>
              <w:t>R</w:t>
            </w:r>
          </w:p>
        </w:tc>
      </w:tr>
      <w:tr w:rsidR="001F6F48" w:rsidRPr="0028583C" w:rsidTr="001F6F48">
        <w:tc>
          <w:tcPr>
            <w:tcW w:w="1172" w:type="pct"/>
            <w:tcBorders>
              <w:top w:val="single" w:sz="5" w:space="0" w:color="000000"/>
              <w:left w:val="single" w:sz="5" w:space="0" w:color="000000"/>
              <w:bottom w:val="single" w:sz="5" w:space="0" w:color="000000"/>
              <w:right w:val="single" w:sz="5" w:space="0" w:color="000000"/>
            </w:tcBorders>
            <w:shd w:val="clear" w:color="auto" w:fill="D9D9D9"/>
          </w:tcPr>
          <w:p w:rsidR="00AA44A6" w:rsidRPr="0028583C" w:rsidRDefault="00AA44A6" w:rsidP="00082ADD">
            <w:pPr>
              <w:pStyle w:val="TableParagraph"/>
              <w:spacing w:before="33"/>
              <w:ind w:left="95" w:firstLine="7"/>
              <w:rPr>
                <w:rFonts w:ascii="Arial Narrow" w:eastAsia="Times New Roman" w:hAnsi="Arial Narrow" w:cs="Times New Roman"/>
                <w:sz w:val="20"/>
                <w:szCs w:val="20"/>
              </w:rPr>
            </w:pPr>
            <w:r w:rsidRPr="0028583C">
              <w:rPr>
                <w:rFonts w:ascii="Arial Narrow" w:eastAsia="Times New Roman" w:hAnsi="Arial Narrow" w:cs="Times New Roman"/>
                <w:spacing w:val="2"/>
                <w:sz w:val="20"/>
                <w:szCs w:val="20"/>
              </w:rPr>
              <w:t>B</w:t>
            </w:r>
            <w:r w:rsidRPr="0028583C">
              <w:rPr>
                <w:rFonts w:ascii="Arial Narrow" w:eastAsia="Times New Roman" w:hAnsi="Arial Narrow" w:cs="Times New Roman"/>
                <w:sz w:val="20"/>
                <w:szCs w:val="20"/>
              </w:rPr>
              <w:t>ase</w:t>
            </w:r>
            <w:r w:rsidRPr="0028583C">
              <w:rPr>
                <w:rFonts w:ascii="Arial Narrow" w:eastAsia="Times New Roman" w:hAnsi="Arial Narrow" w:cs="Times New Roman"/>
                <w:spacing w:val="-5"/>
                <w:sz w:val="20"/>
                <w:szCs w:val="20"/>
              </w:rPr>
              <w:t xml:space="preserve"> </w:t>
            </w:r>
            <w:r w:rsidRPr="0028583C">
              <w:rPr>
                <w:rFonts w:ascii="Arial Narrow" w:eastAsia="Times New Roman" w:hAnsi="Arial Narrow" w:cs="Times New Roman"/>
                <w:sz w:val="20"/>
                <w:szCs w:val="20"/>
              </w:rPr>
              <w:t>ca</w:t>
            </w:r>
            <w:r w:rsidRPr="0028583C">
              <w:rPr>
                <w:rFonts w:ascii="Arial Narrow" w:eastAsia="Times New Roman" w:hAnsi="Arial Narrow" w:cs="Times New Roman"/>
                <w:spacing w:val="-1"/>
                <w:sz w:val="20"/>
                <w:szCs w:val="20"/>
              </w:rPr>
              <w:t>s</w:t>
            </w:r>
            <w:r w:rsidRPr="0028583C">
              <w:rPr>
                <w:rFonts w:ascii="Arial Narrow" w:eastAsia="Times New Roman" w:hAnsi="Arial Narrow" w:cs="Times New Roman"/>
                <w:sz w:val="20"/>
                <w:szCs w:val="20"/>
              </w:rPr>
              <w:t>e (submission)</w:t>
            </w:r>
            <w:r w:rsidRPr="0028583C">
              <w:rPr>
                <w:rFonts w:ascii="Arial Narrow" w:eastAsia="Times New Roman" w:hAnsi="Arial Narrow" w:cs="Times New Roman"/>
                <w:spacing w:val="-4"/>
                <w:sz w:val="20"/>
                <w:szCs w:val="20"/>
              </w:rPr>
              <w:t xml:space="preserve"> </w:t>
            </w:r>
            <w:r w:rsidRPr="0028583C">
              <w:rPr>
                <w:rFonts w:ascii="Arial Narrow" w:eastAsia="Times New Roman" w:hAnsi="Arial Narrow" w:cs="Times New Roman"/>
                <w:spacing w:val="-2"/>
                <w:sz w:val="20"/>
                <w:szCs w:val="20"/>
              </w:rPr>
              <w:t>v</w:t>
            </w:r>
            <w:r w:rsidRPr="0028583C">
              <w:rPr>
                <w:rFonts w:ascii="Arial Narrow" w:eastAsia="Times New Roman" w:hAnsi="Arial Narrow" w:cs="Times New Roman"/>
                <w:spacing w:val="-1"/>
                <w:sz w:val="20"/>
                <w:szCs w:val="20"/>
              </w:rPr>
              <w:t>s</w:t>
            </w:r>
            <w:r w:rsidRPr="0028583C">
              <w:rPr>
                <w:rFonts w:ascii="Arial Narrow" w:eastAsia="Times New Roman" w:hAnsi="Arial Narrow" w:cs="Times New Roman"/>
                <w:sz w:val="20"/>
                <w:szCs w:val="20"/>
              </w:rPr>
              <w:t>.</w:t>
            </w:r>
            <w:r w:rsidRPr="0028583C">
              <w:rPr>
                <w:rFonts w:ascii="Arial Narrow" w:eastAsia="Times New Roman" w:hAnsi="Arial Narrow" w:cs="Times New Roman"/>
                <w:spacing w:val="-2"/>
                <w:sz w:val="20"/>
                <w:szCs w:val="20"/>
              </w:rPr>
              <w:t xml:space="preserve"> n</w:t>
            </w:r>
            <w:r w:rsidRPr="0028583C">
              <w:rPr>
                <w:rFonts w:ascii="Arial Narrow" w:eastAsia="Times New Roman" w:hAnsi="Arial Narrow" w:cs="Times New Roman"/>
                <w:sz w:val="20"/>
                <w:szCs w:val="20"/>
              </w:rPr>
              <w:t>o</w:t>
            </w:r>
            <w:r w:rsidRPr="0028583C">
              <w:rPr>
                <w:rFonts w:ascii="Arial Narrow" w:eastAsia="Times New Roman" w:hAnsi="Arial Narrow" w:cs="Times New Roman"/>
                <w:spacing w:val="-4"/>
                <w:sz w:val="20"/>
                <w:szCs w:val="20"/>
              </w:rPr>
              <w:t xml:space="preserve"> </w:t>
            </w:r>
            <w:r w:rsidRPr="0028583C">
              <w:rPr>
                <w:rFonts w:ascii="Arial Narrow" w:eastAsia="Times New Roman" w:hAnsi="Arial Narrow" w:cs="Times New Roman"/>
                <w:sz w:val="20"/>
                <w:szCs w:val="20"/>
              </w:rPr>
              <w:t>trea</w:t>
            </w:r>
            <w:r w:rsidRPr="0028583C">
              <w:rPr>
                <w:rFonts w:ascii="Arial Narrow" w:eastAsia="Times New Roman" w:hAnsi="Arial Narrow" w:cs="Times New Roman"/>
                <w:spacing w:val="2"/>
                <w:sz w:val="20"/>
                <w:szCs w:val="20"/>
              </w:rPr>
              <w:t>t</w:t>
            </w:r>
            <w:r w:rsidRPr="0028583C">
              <w:rPr>
                <w:rFonts w:ascii="Arial Narrow" w:eastAsia="Times New Roman" w:hAnsi="Arial Narrow" w:cs="Times New Roman"/>
                <w:spacing w:val="-5"/>
                <w:sz w:val="20"/>
                <w:szCs w:val="20"/>
              </w:rPr>
              <w:t>m</w:t>
            </w:r>
            <w:r w:rsidRPr="0028583C">
              <w:rPr>
                <w:rFonts w:ascii="Arial Narrow" w:eastAsia="Times New Roman" w:hAnsi="Arial Narrow" w:cs="Times New Roman"/>
                <w:spacing w:val="2"/>
                <w:sz w:val="20"/>
                <w:szCs w:val="20"/>
              </w:rPr>
              <w:t>e</w:t>
            </w:r>
            <w:r w:rsidRPr="0028583C">
              <w:rPr>
                <w:rFonts w:ascii="Arial Narrow" w:eastAsia="Times New Roman" w:hAnsi="Arial Narrow" w:cs="Times New Roman"/>
                <w:spacing w:val="-2"/>
                <w:sz w:val="20"/>
                <w:szCs w:val="20"/>
              </w:rPr>
              <w:t>n</w:t>
            </w:r>
            <w:r w:rsidRPr="0028583C">
              <w:rPr>
                <w:rFonts w:ascii="Arial Narrow" w:eastAsia="Times New Roman" w:hAnsi="Arial Narrow" w:cs="Times New Roman"/>
                <w:sz w:val="20"/>
                <w:szCs w:val="20"/>
              </w:rPr>
              <w:t>t</w:t>
            </w:r>
          </w:p>
        </w:tc>
        <w:tc>
          <w:tcPr>
            <w:tcW w:w="798" w:type="pct"/>
            <w:tcBorders>
              <w:top w:val="single" w:sz="5" w:space="0" w:color="000000"/>
              <w:left w:val="single" w:sz="5" w:space="0" w:color="000000"/>
              <w:bottom w:val="single" w:sz="5" w:space="0" w:color="000000"/>
              <w:right w:val="single" w:sz="5" w:space="0" w:color="000000"/>
            </w:tcBorders>
            <w:shd w:val="clear" w:color="auto" w:fill="D9D9D9"/>
          </w:tcPr>
          <w:p w:rsidR="00AA44A6" w:rsidRPr="0028583C" w:rsidRDefault="00AA44A6" w:rsidP="00082ADD">
            <w:pPr>
              <w:ind w:left="95" w:firstLine="7"/>
              <w:rPr>
                <w:rFonts w:ascii="Arial Narrow" w:hAnsi="Arial Narrow"/>
                <w:sz w:val="20"/>
              </w:rPr>
            </w:pPr>
          </w:p>
        </w:tc>
        <w:tc>
          <w:tcPr>
            <w:tcW w:w="883" w:type="pct"/>
            <w:tcBorders>
              <w:top w:val="single" w:sz="5" w:space="0" w:color="000000"/>
              <w:left w:val="single" w:sz="5" w:space="0" w:color="000000"/>
              <w:bottom w:val="single" w:sz="5" w:space="0" w:color="000000"/>
              <w:right w:val="single" w:sz="5" w:space="0" w:color="000000"/>
            </w:tcBorders>
            <w:shd w:val="clear" w:color="auto" w:fill="D9D9D9"/>
          </w:tcPr>
          <w:p w:rsidR="00AA44A6" w:rsidRPr="0028583C" w:rsidRDefault="00AA44A6" w:rsidP="00082ADD">
            <w:pPr>
              <w:pStyle w:val="TableParagraph"/>
              <w:spacing w:before="33"/>
              <w:ind w:left="94" w:firstLine="8"/>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w:t>
            </w:r>
            <w:r w:rsidR="00E70598">
              <w:rPr>
                <w:rFonts w:ascii="Arial Narrow" w:eastAsia="Times New Roman" w:hAnsi="Arial Narrow" w:cs="Times New Roman"/>
                <w:noProof/>
                <w:color w:val="000000"/>
                <w:spacing w:val="1"/>
                <w:sz w:val="20"/>
                <w:szCs w:val="20"/>
                <w:highlight w:val="black"/>
              </w:rPr>
              <w:t>''''''''''''''''</w:t>
            </w:r>
          </w:p>
        </w:tc>
        <w:tc>
          <w:tcPr>
            <w:tcW w:w="966" w:type="pct"/>
            <w:tcBorders>
              <w:top w:val="single" w:sz="5" w:space="0" w:color="000000"/>
              <w:left w:val="single" w:sz="5" w:space="0" w:color="000000"/>
              <w:bottom w:val="single" w:sz="5" w:space="0" w:color="000000"/>
              <w:right w:val="single" w:sz="5" w:space="0" w:color="000000"/>
            </w:tcBorders>
            <w:shd w:val="clear" w:color="auto" w:fill="D9D9D9"/>
          </w:tcPr>
          <w:p w:rsidR="00AA44A6" w:rsidRPr="0028583C" w:rsidRDefault="00AA44A6" w:rsidP="00082ADD">
            <w:pPr>
              <w:pStyle w:val="TableParagraph"/>
              <w:spacing w:before="33"/>
              <w:ind w:left="95" w:right="47" w:firstLine="7"/>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1</w:t>
            </w:r>
            <w:r w:rsidRPr="0028583C">
              <w:rPr>
                <w:rFonts w:ascii="Arial Narrow" w:eastAsia="Times New Roman" w:hAnsi="Arial Narrow" w:cs="Times New Roman"/>
                <w:sz w:val="20"/>
                <w:szCs w:val="20"/>
              </w:rPr>
              <w:t>.</w:t>
            </w:r>
            <w:r w:rsidRPr="0028583C">
              <w:rPr>
                <w:rFonts w:ascii="Arial Narrow" w:eastAsia="Times New Roman" w:hAnsi="Arial Narrow" w:cs="Times New Roman"/>
                <w:spacing w:val="1"/>
                <w:sz w:val="20"/>
                <w:szCs w:val="20"/>
              </w:rPr>
              <w:t>88</w:t>
            </w:r>
            <w:r w:rsidRPr="0028583C">
              <w:rPr>
                <w:rFonts w:ascii="Arial Narrow" w:eastAsia="Times New Roman" w:hAnsi="Arial Narrow" w:cs="Times New Roman"/>
                <w:spacing w:val="-2"/>
                <w:sz w:val="20"/>
                <w:szCs w:val="20"/>
              </w:rPr>
              <w:t>8</w:t>
            </w:r>
            <w:r w:rsidRPr="0028583C">
              <w:rPr>
                <w:rFonts w:ascii="Arial Narrow" w:eastAsia="Times New Roman" w:hAnsi="Arial Narrow" w:cs="Times New Roman"/>
                <w:sz w:val="20"/>
                <w:szCs w:val="20"/>
              </w:rPr>
              <w:t>8</w:t>
            </w:r>
          </w:p>
        </w:tc>
        <w:tc>
          <w:tcPr>
            <w:tcW w:w="1181" w:type="pct"/>
            <w:tcBorders>
              <w:top w:val="single" w:sz="5" w:space="0" w:color="000000"/>
              <w:left w:val="single" w:sz="5" w:space="0" w:color="000000"/>
              <w:bottom w:val="single" w:sz="5" w:space="0" w:color="000000"/>
              <w:right w:val="single" w:sz="5" w:space="0" w:color="000000"/>
            </w:tcBorders>
            <w:shd w:val="clear" w:color="auto" w:fill="D9D9D9"/>
          </w:tcPr>
          <w:p w:rsidR="00AA44A6" w:rsidRPr="0028583C" w:rsidRDefault="00AA44A6" w:rsidP="00082ADD">
            <w:pPr>
              <w:pStyle w:val="TableParagraph"/>
              <w:spacing w:before="33"/>
              <w:ind w:left="95" w:right="4" w:firstLine="7"/>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w:t>
            </w:r>
            <w:r w:rsidR="00E70598">
              <w:rPr>
                <w:rFonts w:ascii="Arial Narrow" w:eastAsia="Times New Roman" w:hAnsi="Arial Narrow" w:cs="Times New Roman"/>
                <w:noProof/>
                <w:color w:val="000000"/>
                <w:spacing w:val="1"/>
                <w:sz w:val="20"/>
                <w:szCs w:val="20"/>
                <w:highlight w:val="black"/>
              </w:rPr>
              <w:t>''''''''''''''''</w:t>
            </w:r>
          </w:p>
        </w:tc>
      </w:tr>
      <w:tr w:rsidR="001F6F48" w:rsidRPr="0028583C" w:rsidTr="001F6F48">
        <w:tc>
          <w:tcPr>
            <w:tcW w:w="1172"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9" w:line="228" w:lineRule="exact"/>
              <w:ind w:left="95" w:right="819" w:firstLine="7"/>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C</w:t>
            </w:r>
            <w:r w:rsidRPr="0028583C">
              <w:rPr>
                <w:rFonts w:ascii="Arial Narrow" w:eastAsia="Times New Roman" w:hAnsi="Arial Narrow" w:cs="Times New Roman"/>
                <w:spacing w:val="1"/>
                <w:sz w:val="20"/>
                <w:szCs w:val="20"/>
              </w:rPr>
              <w:t>o</w:t>
            </w:r>
            <w:r w:rsidRPr="0028583C">
              <w:rPr>
                <w:rFonts w:ascii="Arial Narrow" w:eastAsia="Times New Roman" w:hAnsi="Arial Narrow" w:cs="Times New Roman"/>
                <w:sz w:val="20"/>
                <w:szCs w:val="20"/>
              </w:rPr>
              <w:t>rrecti</w:t>
            </w:r>
            <w:r w:rsidRPr="0028583C">
              <w:rPr>
                <w:rFonts w:ascii="Arial Narrow" w:eastAsia="Times New Roman" w:hAnsi="Arial Narrow" w:cs="Times New Roman"/>
                <w:spacing w:val="-2"/>
                <w:sz w:val="20"/>
                <w:szCs w:val="20"/>
              </w:rPr>
              <w:t>n</w:t>
            </w:r>
            <w:r w:rsidRPr="0028583C">
              <w:rPr>
                <w:rFonts w:ascii="Arial Narrow" w:eastAsia="Times New Roman" w:hAnsi="Arial Narrow" w:cs="Times New Roman"/>
                <w:sz w:val="20"/>
                <w:szCs w:val="20"/>
              </w:rPr>
              <w:t>g</w:t>
            </w:r>
            <w:r w:rsidRPr="0028583C">
              <w:rPr>
                <w:rFonts w:ascii="Arial Narrow" w:eastAsia="Times New Roman" w:hAnsi="Arial Narrow" w:cs="Times New Roman"/>
                <w:spacing w:val="-6"/>
                <w:sz w:val="20"/>
                <w:szCs w:val="20"/>
              </w:rPr>
              <w:t xml:space="preserve"> </w:t>
            </w:r>
            <w:r w:rsidRPr="0028583C">
              <w:rPr>
                <w:rFonts w:ascii="Arial Narrow" w:eastAsia="Times New Roman" w:hAnsi="Arial Narrow" w:cs="Times New Roman"/>
                <w:spacing w:val="-2"/>
                <w:sz w:val="20"/>
                <w:szCs w:val="20"/>
              </w:rPr>
              <w:t>u</w:t>
            </w:r>
            <w:r w:rsidRPr="0028583C">
              <w:rPr>
                <w:rFonts w:ascii="Arial Narrow" w:eastAsia="Times New Roman" w:hAnsi="Arial Narrow" w:cs="Times New Roman"/>
                <w:sz w:val="20"/>
                <w:szCs w:val="20"/>
              </w:rPr>
              <w:t>ti</w:t>
            </w:r>
            <w:r w:rsidRPr="0028583C">
              <w:rPr>
                <w:rFonts w:ascii="Arial Narrow" w:eastAsia="Times New Roman" w:hAnsi="Arial Narrow" w:cs="Times New Roman"/>
                <w:spacing w:val="1"/>
                <w:sz w:val="20"/>
                <w:szCs w:val="20"/>
              </w:rPr>
              <w:t>l</w:t>
            </w:r>
            <w:r w:rsidRPr="0028583C">
              <w:rPr>
                <w:rFonts w:ascii="Arial Narrow" w:eastAsia="Times New Roman" w:hAnsi="Arial Narrow" w:cs="Times New Roman"/>
                <w:sz w:val="20"/>
                <w:szCs w:val="20"/>
              </w:rPr>
              <w:t>i</w:t>
            </w:r>
            <w:r w:rsidRPr="0028583C">
              <w:rPr>
                <w:rFonts w:ascii="Arial Narrow" w:eastAsia="Times New Roman" w:hAnsi="Arial Narrow" w:cs="Times New Roman"/>
                <w:spacing w:val="1"/>
                <w:sz w:val="20"/>
                <w:szCs w:val="20"/>
              </w:rPr>
              <w:t>t</w:t>
            </w:r>
            <w:r w:rsidRPr="0028583C">
              <w:rPr>
                <w:rFonts w:ascii="Arial Narrow" w:eastAsia="Times New Roman" w:hAnsi="Arial Narrow" w:cs="Times New Roman"/>
                <w:sz w:val="20"/>
                <w:szCs w:val="20"/>
              </w:rPr>
              <w:t>y</w:t>
            </w:r>
            <w:r w:rsidRPr="0028583C">
              <w:rPr>
                <w:rFonts w:ascii="Arial Narrow" w:eastAsia="Times New Roman" w:hAnsi="Arial Narrow" w:cs="Times New Roman"/>
                <w:spacing w:val="-8"/>
                <w:sz w:val="20"/>
                <w:szCs w:val="20"/>
              </w:rPr>
              <w:t xml:space="preserve"> </w:t>
            </w:r>
            <w:r w:rsidRPr="0028583C">
              <w:rPr>
                <w:rFonts w:ascii="Arial Narrow" w:eastAsia="Times New Roman" w:hAnsi="Arial Narrow" w:cs="Times New Roman"/>
                <w:spacing w:val="-2"/>
                <w:sz w:val="20"/>
                <w:szCs w:val="20"/>
              </w:rPr>
              <w:t>v</w:t>
            </w:r>
            <w:r w:rsidRPr="0028583C">
              <w:rPr>
                <w:rFonts w:ascii="Arial Narrow" w:eastAsia="Times New Roman" w:hAnsi="Arial Narrow" w:cs="Times New Roman"/>
                <w:sz w:val="20"/>
                <w:szCs w:val="20"/>
              </w:rPr>
              <w:t>a</w:t>
            </w:r>
            <w:r w:rsidRPr="0028583C">
              <w:rPr>
                <w:rFonts w:ascii="Arial Narrow" w:eastAsia="Times New Roman" w:hAnsi="Arial Narrow" w:cs="Times New Roman"/>
                <w:spacing w:val="2"/>
                <w:sz w:val="20"/>
                <w:szCs w:val="20"/>
              </w:rPr>
              <w:t>l</w:t>
            </w:r>
            <w:r w:rsidRPr="0028583C">
              <w:rPr>
                <w:rFonts w:ascii="Arial Narrow" w:eastAsia="Times New Roman" w:hAnsi="Arial Narrow" w:cs="Times New Roman"/>
                <w:spacing w:val="-2"/>
                <w:sz w:val="20"/>
                <w:szCs w:val="20"/>
              </w:rPr>
              <w:t>u</w:t>
            </w:r>
            <w:r w:rsidRPr="0028583C">
              <w:rPr>
                <w:rFonts w:ascii="Arial Narrow" w:eastAsia="Times New Roman" w:hAnsi="Arial Narrow" w:cs="Times New Roman"/>
                <w:sz w:val="20"/>
                <w:szCs w:val="20"/>
              </w:rPr>
              <w:t>e</w:t>
            </w:r>
            <w:r w:rsidRPr="0028583C">
              <w:rPr>
                <w:rFonts w:ascii="Arial Narrow" w:eastAsia="Times New Roman" w:hAnsi="Arial Narrow" w:cs="Times New Roman"/>
                <w:spacing w:val="-6"/>
                <w:sz w:val="20"/>
                <w:szCs w:val="20"/>
              </w:rPr>
              <w:t xml:space="preserve"> </w:t>
            </w:r>
            <w:r w:rsidRPr="0028583C">
              <w:rPr>
                <w:rFonts w:ascii="Arial Narrow" w:eastAsia="Times New Roman" w:hAnsi="Arial Narrow" w:cs="Times New Roman"/>
                <w:spacing w:val="-2"/>
                <w:sz w:val="20"/>
                <w:szCs w:val="20"/>
              </w:rPr>
              <w:t>f</w:t>
            </w:r>
            <w:r w:rsidRPr="0028583C">
              <w:rPr>
                <w:rFonts w:ascii="Arial Narrow" w:eastAsia="Times New Roman" w:hAnsi="Arial Narrow" w:cs="Times New Roman"/>
                <w:spacing w:val="1"/>
                <w:sz w:val="20"/>
                <w:szCs w:val="20"/>
              </w:rPr>
              <w:t>o</w:t>
            </w:r>
            <w:r w:rsidRPr="0028583C">
              <w:rPr>
                <w:rFonts w:ascii="Arial Narrow" w:eastAsia="Times New Roman" w:hAnsi="Arial Narrow" w:cs="Times New Roman"/>
                <w:sz w:val="20"/>
                <w:szCs w:val="20"/>
              </w:rPr>
              <w:t>r</w:t>
            </w:r>
            <w:r w:rsidRPr="0028583C">
              <w:rPr>
                <w:rFonts w:ascii="Arial Narrow" w:eastAsia="Times New Roman" w:hAnsi="Arial Narrow" w:cs="Times New Roman"/>
                <w:w w:val="99"/>
                <w:sz w:val="20"/>
                <w:szCs w:val="20"/>
              </w:rPr>
              <w:t xml:space="preserve"> </w:t>
            </w:r>
            <w:r w:rsidRPr="0028583C">
              <w:rPr>
                <w:rFonts w:ascii="Arial Narrow" w:eastAsia="Times New Roman" w:hAnsi="Arial Narrow" w:cs="Times New Roman"/>
                <w:sz w:val="20"/>
                <w:szCs w:val="20"/>
              </w:rPr>
              <w:t>F4(SV</w:t>
            </w:r>
            <w:r w:rsidRPr="0028583C">
              <w:rPr>
                <w:rFonts w:ascii="Arial Narrow" w:eastAsia="Times New Roman" w:hAnsi="Arial Narrow" w:cs="Times New Roman"/>
                <w:spacing w:val="-1"/>
                <w:sz w:val="20"/>
                <w:szCs w:val="20"/>
              </w:rPr>
              <w:t>R</w:t>
            </w:r>
            <w:r w:rsidRPr="0028583C">
              <w:rPr>
                <w:rFonts w:ascii="Arial Narrow" w:eastAsia="Times New Roman" w:hAnsi="Arial Narrow" w:cs="Times New Roman"/>
                <w:sz w:val="20"/>
                <w:szCs w:val="20"/>
              </w:rPr>
              <w:t>)</w:t>
            </w:r>
          </w:p>
        </w:tc>
        <w:tc>
          <w:tcPr>
            <w:tcW w:w="798"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8" w:line="140" w:lineRule="exact"/>
              <w:ind w:left="95" w:firstLine="7"/>
              <w:rPr>
                <w:rFonts w:ascii="Arial Narrow" w:hAnsi="Arial Narrow"/>
                <w:sz w:val="20"/>
                <w:szCs w:val="20"/>
              </w:rPr>
            </w:pPr>
          </w:p>
          <w:p w:rsidR="00AA44A6" w:rsidRPr="0028583C" w:rsidRDefault="00AA44A6" w:rsidP="00082ADD">
            <w:pPr>
              <w:pStyle w:val="TableParagraph"/>
              <w:ind w:left="95" w:firstLine="7"/>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0</w:t>
            </w:r>
            <w:r w:rsidRPr="0028583C">
              <w:rPr>
                <w:rFonts w:ascii="Arial Narrow" w:eastAsia="Times New Roman" w:hAnsi="Arial Narrow" w:cs="Times New Roman"/>
                <w:sz w:val="20"/>
                <w:szCs w:val="20"/>
              </w:rPr>
              <w:t>.</w:t>
            </w:r>
            <w:r w:rsidRPr="0028583C">
              <w:rPr>
                <w:rFonts w:ascii="Arial Narrow" w:eastAsia="Times New Roman" w:hAnsi="Arial Narrow" w:cs="Times New Roman"/>
                <w:spacing w:val="1"/>
                <w:sz w:val="20"/>
                <w:szCs w:val="20"/>
              </w:rPr>
              <w:t>7</w:t>
            </w:r>
            <w:r w:rsidRPr="0028583C">
              <w:rPr>
                <w:rFonts w:ascii="Arial Narrow" w:eastAsia="Times New Roman" w:hAnsi="Arial Narrow" w:cs="Times New Roman"/>
                <w:sz w:val="20"/>
                <w:szCs w:val="20"/>
              </w:rPr>
              <w:t>2</w:t>
            </w:r>
            <w:r w:rsidRPr="0028583C">
              <w:rPr>
                <w:rFonts w:ascii="Arial Narrow" w:eastAsia="Times New Roman" w:hAnsi="Arial Narrow" w:cs="Times New Roman"/>
                <w:spacing w:val="-4"/>
                <w:sz w:val="20"/>
                <w:szCs w:val="20"/>
              </w:rPr>
              <w:t xml:space="preserve"> </w:t>
            </w:r>
            <w:r w:rsidRPr="0028583C">
              <w:rPr>
                <w:rFonts w:ascii="Arial Narrow" w:eastAsia="Times New Roman" w:hAnsi="Arial Narrow" w:cs="Times New Roman"/>
                <w:sz w:val="20"/>
                <w:szCs w:val="20"/>
              </w:rPr>
              <w:t>to</w:t>
            </w:r>
            <w:r w:rsidRPr="0028583C">
              <w:rPr>
                <w:rFonts w:ascii="Arial Narrow" w:eastAsia="Times New Roman" w:hAnsi="Arial Narrow" w:cs="Times New Roman"/>
                <w:spacing w:val="-6"/>
                <w:sz w:val="20"/>
                <w:szCs w:val="20"/>
              </w:rPr>
              <w:t xml:space="preserve"> </w:t>
            </w:r>
            <w:r w:rsidRPr="0028583C">
              <w:rPr>
                <w:rFonts w:ascii="Arial Narrow" w:eastAsia="Times New Roman" w:hAnsi="Arial Narrow" w:cs="Times New Roman"/>
                <w:spacing w:val="1"/>
                <w:sz w:val="20"/>
                <w:szCs w:val="20"/>
              </w:rPr>
              <w:t>0</w:t>
            </w:r>
            <w:r w:rsidRPr="0028583C">
              <w:rPr>
                <w:rFonts w:ascii="Arial Narrow" w:eastAsia="Times New Roman" w:hAnsi="Arial Narrow" w:cs="Times New Roman"/>
                <w:sz w:val="20"/>
                <w:szCs w:val="20"/>
              </w:rPr>
              <w:t>.</w:t>
            </w:r>
            <w:r w:rsidRPr="0028583C">
              <w:rPr>
                <w:rFonts w:ascii="Arial Narrow" w:eastAsia="Times New Roman" w:hAnsi="Arial Narrow" w:cs="Times New Roman"/>
                <w:spacing w:val="-2"/>
                <w:sz w:val="20"/>
                <w:szCs w:val="20"/>
              </w:rPr>
              <w:t>6</w:t>
            </w:r>
            <w:r w:rsidRPr="0028583C">
              <w:rPr>
                <w:rFonts w:ascii="Arial Narrow" w:eastAsia="Times New Roman" w:hAnsi="Arial Narrow" w:cs="Times New Roman"/>
                <w:sz w:val="20"/>
                <w:szCs w:val="20"/>
              </w:rPr>
              <w:t>0</w:t>
            </w:r>
          </w:p>
        </w:tc>
        <w:tc>
          <w:tcPr>
            <w:tcW w:w="883"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4" w:firstLine="8"/>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w:t>
            </w:r>
            <w:r w:rsidR="00E70598">
              <w:rPr>
                <w:rFonts w:ascii="Arial Narrow" w:eastAsia="Times New Roman" w:hAnsi="Arial Narrow" w:cs="Times New Roman"/>
                <w:noProof/>
                <w:color w:val="000000"/>
                <w:spacing w:val="1"/>
                <w:sz w:val="20"/>
                <w:szCs w:val="20"/>
                <w:highlight w:val="black"/>
              </w:rPr>
              <w:t>'''''''''''''''</w:t>
            </w:r>
          </w:p>
        </w:tc>
        <w:tc>
          <w:tcPr>
            <w:tcW w:w="966"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5" w:right="47" w:firstLine="7"/>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1</w:t>
            </w:r>
            <w:r w:rsidRPr="0028583C">
              <w:rPr>
                <w:rFonts w:ascii="Arial Narrow" w:eastAsia="Times New Roman" w:hAnsi="Arial Narrow" w:cs="Times New Roman"/>
                <w:sz w:val="20"/>
                <w:szCs w:val="20"/>
              </w:rPr>
              <w:t>.</w:t>
            </w:r>
            <w:r w:rsidRPr="0028583C">
              <w:rPr>
                <w:rFonts w:ascii="Arial Narrow" w:eastAsia="Times New Roman" w:hAnsi="Arial Narrow" w:cs="Times New Roman"/>
                <w:spacing w:val="1"/>
                <w:sz w:val="20"/>
                <w:szCs w:val="20"/>
              </w:rPr>
              <w:t>76</w:t>
            </w:r>
            <w:r w:rsidRPr="0028583C">
              <w:rPr>
                <w:rFonts w:ascii="Arial Narrow" w:eastAsia="Times New Roman" w:hAnsi="Arial Narrow" w:cs="Times New Roman"/>
                <w:spacing w:val="-2"/>
                <w:sz w:val="20"/>
                <w:szCs w:val="20"/>
              </w:rPr>
              <w:t>0</w:t>
            </w:r>
            <w:r w:rsidRPr="0028583C">
              <w:rPr>
                <w:rFonts w:ascii="Arial Narrow" w:eastAsia="Times New Roman" w:hAnsi="Arial Narrow" w:cs="Times New Roman"/>
                <w:sz w:val="20"/>
                <w:szCs w:val="20"/>
              </w:rPr>
              <w:t>2</w:t>
            </w:r>
          </w:p>
        </w:tc>
        <w:tc>
          <w:tcPr>
            <w:tcW w:w="1181"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5" w:right="4" w:firstLine="7"/>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w:t>
            </w:r>
            <w:r w:rsidR="00E70598">
              <w:rPr>
                <w:rFonts w:ascii="Arial Narrow" w:eastAsia="Times New Roman" w:hAnsi="Arial Narrow" w:cs="Times New Roman"/>
                <w:noProof/>
                <w:color w:val="000000"/>
                <w:spacing w:val="1"/>
                <w:sz w:val="20"/>
                <w:szCs w:val="20"/>
                <w:highlight w:val="black"/>
              </w:rPr>
              <w:t>'''''''''''''''</w:t>
            </w:r>
          </w:p>
        </w:tc>
      </w:tr>
      <w:tr w:rsidR="001F6F48" w:rsidRPr="0028583C" w:rsidTr="001F6F48">
        <w:tc>
          <w:tcPr>
            <w:tcW w:w="1172"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6" w:line="239" w:lineRule="auto"/>
              <w:ind w:left="95" w:right="262" w:firstLine="7"/>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R</w:t>
            </w:r>
            <w:r w:rsidRPr="0028583C">
              <w:rPr>
                <w:rFonts w:ascii="Arial Narrow" w:eastAsia="Times New Roman" w:hAnsi="Arial Narrow" w:cs="Times New Roman"/>
                <w:sz w:val="20"/>
                <w:szCs w:val="20"/>
              </w:rPr>
              <w:t>e</w:t>
            </w:r>
            <w:r w:rsidRPr="0028583C">
              <w:rPr>
                <w:rFonts w:ascii="Arial Narrow" w:eastAsia="Times New Roman" w:hAnsi="Arial Narrow" w:cs="Times New Roman"/>
                <w:spacing w:val="1"/>
                <w:sz w:val="20"/>
                <w:szCs w:val="20"/>
              </w:rPr>
              <w:t>d</w:t>
            </w:r>
            <w:r w:rsidRPr="0028583C">
              <w:rPr>
                <w:rFonts w:ascii="Arial Narrow" w:eastAsia="Times New Roman" w:hAnsi="Arial Narrow" w:cs="Times New Roman"/>
                <w:spacing w:val="-2"/>
                <w:sz w:val="20"/>
                <w:szCs w:val="20"/>
              </w:rPr>
              <w:t>u</w:t>
            </w:r>
            <w:r w:rsidRPr="0028583C">
              <w:rPr>
                <w:rFonts w:ascii="Arial Narrow" w:eastAsia="Times New Roman" w:hAnsi="Arial Narrow" w:cs="Times New Roman"/>
                <w:sz w:val="20"/>
                <w:szCs w:val="20"/>
              </w:rPr>
              <w:t>ced</w:t>
            </w:r>
            <w:r w:rsidRPr="0028583C">
              <w:rPr>
                <w:rFonts w:ascii="Arial Narrow" w:eastAsia="Times New Roman" w:hAnsi="Arial Narrow" w:cs="Times New Roman"/>
                <w:spacing w:val="-10"/>
                <w:sz w:val="20"/>
                <w:szCs w:val="20"/>
              </w:rPr>
              <w:t xml:space="preserve"> </w:t>
            </w:r>
            <w:r w:rsidRPr="0028583C">
              <w:rPr>
                <w:rFonts w:ascii="Arial Narrow" w:eastAsia="Times New Roman" w:hAnsi="Arial Narrow" w:cs="Times New Roman"/>
                <w:spacing w:val="-2"/>
                <w:sz w:val="20"/>
                <w:szCs w:val="20"/>
              </w:rPr>
              <w:t>u</w:t>
            </w:r>
            <w:r w:rsidRPr="0028583C">
              <w:rPr>
                <w:rFonts w:ascii="Arial Narrow" w:eastAsia="Times New Roman" w:hAnsi="Arial Narrow" w:cs="Times New Roman"/>
                <w:sz w:val="20"/>
                <w:szCs w:val="20"/>
              </w:rPr>
              <w:t>t</w:t>
            </w:r>
            <w:r w:rsidRPr="0028583C">
              <w:rPr>
                <w:rFonts w:ascii="Arial Narrow" w:eastAsia="Times New Roman" w:hAnsi="Arial Narrow" w:cs="Times New Roman"/>
                <w:spacing w:val="1"/>
                <w:sz w:val="20"/>
                <w:szCs w:val="20"/>
              </w:rPr>
              <w:t>i</w:t>
            </w:r>
            <w:r w:rsidRPr="0028583C">
              <w:rPr>
                <w:rFonts w:ascii="Arial Narrow" w:eastAsia="Times New Roman" w:hAnsi="Arial Narrow" w:cs="Times New Roman"/>
                <w:sz w:val="20"/>
                <w:szCs w:val="20"/>
              </w:rPr>
              <w:t>li</w:t>
            </w:r>
            <w:r w:rsidRPr="0028583C">
              <w:rPr>
                <w:rFonts w:ascii="Arial Narrow" w:eastAsia="Times New Roman" w:hAnsi="Arial Narrow" w:cs="Times New Roman"/>
                <w:spacing w:val="1"/>
                <w:sz w:val="20"/>
                <w:szCs w:val="20"/>
              </w:rPr>
              <w:t>t</w:t>
            </w:r>
            <w:r w:rsidRPr="0028583C">
              <w:rPr>
                <w:rFonts w:ascii="Arial Narrow" w:eastAsia="Times New Roman" w:hAnsi="Arial Narrow" w:cs="Times New Roman"/>
                <w:sz w:val="20"/>
                <w:szCs w:val="20"/>
              </w:rPr>
              <w:t>y</w:t>
            </w:r>
            <w:r w:rsidRPr="0028583C">
              <w:rPr>
                <w:rFonts w:ascii="Arial Narrow" w:eastAsia="Times New Roman" w:hAnsi="Arial Narrow" w:cs="Times New Roman"/>
                <w:spacing w:val="-10"/>
                <w:sz w:val="20"/>
                <w:szCs w:val="20"/>
              </w:rPr>
              <w:t xml:space="preserve"> </w:t>
            </w:r>
            <w:r w:rsidRPr="0028583C">
              <w:rPr>
                <w:rFonts w:ascii="Arial Narrow" w:eastAsia="Times New Roman" w:hAnsi="Arial Narrow" w:cs="Times New Roman"/>
                <w:sz w:val="20"/>
                <w:szCs w:val="20"/>
              </w:rPr>
              <w:t>i</w:t>
            </w:r>
            <w:r w:rsidRPr="0028583C">
              <w:rPr>
                <w:rFonts w:ascii="Arial Narrow" w:eastAsia="Times New Roman" w:hAnsi="Arial Narrow" w:cs="Times New Roman"/>
                <w:spacing w:val="-2"/>
                <w:sz w:val="20"/>
                <w:szCs w:val="20"/>
              </w:rPr>
              <w:t>n</w:t>
            </w:r>
            <w:r w:rsidRPr="0028583C">
              <w:rPr>
                <w:rFonts w:ascii="Arial Narrow" w:eastAsia="Times New Roman" w:hAnsi="Arial Narrow" w:cs="Times New Roman"/>
                <w:sz w:val="20"/>
                <w:szCs w:val="20"/>
              </w:rPr>
              <w:t>c</w:t>
            </w:r>
            <w:r w:rsidRPr="0028583C">
              <w:rPr>
                <w:rFonts w:ascii="Arial Narrow" w:eastAsia="Times New Roman" w:hAnsi="Arial Narrow" w:cs="Times New Roman"/>
                <w:spacing w:val="1"/>
                <w:sz w:val="20"/>
                <w:szCs w:val="20"/>
              </w:rPr>
              <w:t>r</w:t>
            </w:r>
            <w:r w:rsidRPr="0028583C">
              <w:rPr>
                <w:rFonts w:ascii="Arial Narrow" w:eastAsia="Times New Roman" w:hAnsi="Arial Narrow" w:cs="Times New Roman"/>
                <w:spacing w:val="2"/>
                <w:sz w:val="20"/>
                <w:szCs w:val="20"/>
              </w:rPr>
              <w:t>e</w:t>
            </w:r>
            <w:r w:rsidRPr="0028583C">
              <w:rPr>
                <w:rFonts w:ascii="Arial Narrow" w:eastAsia="Times New Roman" w:hAnsi="Arial Narrow" w:cs="Times New Roman"/>
                <w:spacing w:val="-2"/>
                <w:sz w:val="20"/>
                <w:szCs w:val="20"/>
              </w:rPr>
              <w:t>m</w:t>
            </w:r>
            <w:r w:rsidRPr="0028583C">
              <w:rPr>
                <w:rFonts w:ascii="Arial Narrow" w:eastAsia="Times New Roman" w:hAnsi="Arial Narrow" w:cs="Times New Roman"/>
                <w:sz w:val="20"/>
                <w:szCs w:val="20"/>
              </w:rPr>
              <w:t>e</w:t>
            </w:r>
            <w:r w:rsidRPr="0028583C">
              <w:rPr>
                <w:rFonts w:ascii="Arial Narrow" w:eastAsia="Times New Roman" w:hAnsi="Arial Narrow" w:cs="Times New Roman"/>
                <w:spacing w:val="1"/>
                <w:sz w:val="20"/>
                <w:szCs w:val="20"/>
              </w:rPr>
              <w:t>n</w:t>
            </w:r>
            <w:r w:rsidRPr="0028583C">
              <w:rPr>
                <w:rFonts w:ascii="Arial Narrow" w:eastAsia="Times New Roman" w:hAnsi="Arial Narrow" w:cs="Times New Roman"/>
                <w:sz w:val="20"/>
                <w:szCs w:val="20"/>
              </w:rPr>
              <w:t>t</w:t>
            </w:r>
            <w:r w:rsidRPr="0028583C">
              <w:rPr>
                <w:rFonts w:ascii="Arial Narrow" w:eastAsia="Times New Roman" w:hAnsi="Arial Narrow" w:cs="Times New Roman"/>
                <w:w w:val="99"/>
                <w:sz w:val="20"/>
                <w:szCs w:val="20"/>
              </w:rPr>
              <w:t xml:space="preserve"> </w:t>
            </w:r>
            <w:r w:rsidRPr="0028583C">
              <w:rPr>
                <w:rFonts w:ascii="Arial Narrow" w:eastAsia="Times New Roman" w:hAnsi="Arial Narrow" w:cs="Times New Roman"/>
                <w:sz w:val="20"/>
                <w:szCs w:val="20"/>
              </w:rPr>
              <w:t>as</w:t>
            </w:r>
            <w:r w:rsidRPr="0028583C">
              <w:rPr>
                <w:rFonts w:ascii="Arial Narrow" w:eastAsia="Times New Roman" w:hAnsi="Arial Narrow" w:cs="Times New Roman"/>
                <w:spacing w:val="-1"/>
                <w:sz w:val="20"/>
                <w:szCs w:val="20"/>
              </w:rPr>
              <w:t>s</w:t>
            </w:r>
            <w:r w:rsidRPr="0028583C">
              <w:rPr>
                <w:rFonts w:ascii="Arial Narrow" w:eastAsia="Times New Roman" w:hAnsi="Arial Narrow" w:cs="Times New Roman"/>
                <w:spacing w:val="1"/>
                <w:sz w:val="20"/>
                <w:szCs w:val="20"/>
              </w:rPr>
              <w:t>o</w:t>
            </w:r>
            <w:r w:rsidRPr="0028583C">
              <w:rPr>
                <w:rFonts w:ascii="Arial Narrow" w:eastAsia="Times New Roman" w:hAnsi="Arial Narrow" w:cs="Times New Roman"/>
                <w:sz w:val="20"/>
                <w:szCs w:val="20"/>
              </w:rPr>
              <w:t>ciated</w:t>
            </w:r>
            <w:r w:rsidRPr="0028583C">
              <w:rPr>
                <w:rFonts w:ascii="Arial Narrow" w:eastAsia="Times New Roman" w:hAnsi="Arial Narrow" w:cs="Times New Roman"/>
                <w:spacing w:val="-3"/>
                <w:sz w:val="20"/>
                <w:szCs w:val="20"/>
              </w:rPr>
              <w:t xml:space="preserve"> w</w:t>
            </w:r>
            <w:r w:rsidRPr="0028583C">
              <w:rPr>
                <w:rFonts w:ascii="Arial Narrow" w:eastAsia="Times New Roman" w:hAnsi="Arial Narrow" w:cs="Times New Roman"/>
                <w:sz w:val="20"/>
                <w:szCs w:val="20"/>
              </w:rPr>
              <w:t>ith</w:t>
            </w:r>
            <w:r w:rsidRPr="0028583C">
              <w:rPr>
                <w:rFonts w:ascii="Arial Narrow" w:eastAsia="Times New Roman" w:hAnsi="Arial Narrow" w:cs="Times New Roman"/>
                <w:spacing w:val="-4"/>
                <w:sz w:val="20"/>
                <w:szCs w:val="20"/>
              </w:rPr>
              <w:t xml:space="preserve"> </w:t>
            </w:r>
            <w:r w:rsidRPr="0028583C">
              <w:rPr>
                <w:rFonts w:ascii="Arial Narrow" w:eastAsia="Times New Roman" w:hAnsi="Arial Narrow" w:cs="Times New Roman"/>
                <w:sz w:val="20"/>
                <w:szCs w:val="20"/>
              </w:rPr>
              <w:t>SVR</w:t>
            </w:r>
            <w:r w:rsidRPr="0028583C">
              <w:rPr>
                <w:rFonts w:ascii="Arial Narrow" w:eastAsia="Times New Roman" w:hAnsi="Arial Narrow" w:cs="Times New Roman"/>
                <w:spacing w:val="-5"/>
                <w:sz w:val="20"/>
                <w:szCs w:val="20"/>
              </w:rPr>
              <w:t xml:space="preserve"> </w:t>
            </w:r>
            <w:r w:rsidRPr="0028583C">
              <w:rPr>
                <w:rFonts w:ascii="Arial Narrow" w:eastAsia="Times New Roman" w:hAnsi="Arial Narrow" w:cs="Times New Roman"/>
                <w:spacing w:val="2"/>
                <w:sz w:val="20"/>
                <w:szCs w:val="20"/>
              </w:rPr>
              <w:t>a</w:t>
            </w:r>
            <w:r w:rsidRPr="0028583C">
              <w:rPr>
                <w:rFonts w:ascii="Arial Narrow" w:eastAsia="Times New Roman" w:hAnsi="Arial Narrow" w:cs="Times New Roman"/>
                <w:sz w:val="20"/>
                <w:szCs w:val="20"/>
              </w:rPr>
              <w:t>s</w:t>
            </w:r>
            <w:r w:rsidRPr="0028583C">
              <w:rPr>
                <w:rFonts w:ascii="Arial Narrow" w:eastAsia="Times New Roman" w:hAnsi="Arial Narrow" w:cs="Times New Roman"/>
                <w:spacing w:val="-6"/>
                <w:sz w:val="20"/>
                <w:szCs w:val="20"/>
              </w:rPr>
              <w:t xml:space="preserve"> </w:t>
            </w:r>
            <w:r w:rsidRPr="0028583C">
              <w:rPr>
                <w:rFonts w:ascii="Arial Narrow" w:eastAsia="Times New Roman" w:hAnsi="Arial Narrow" w:cs="Times New Roman"/>
                <w:spacing w:val="1"/>
                <w:sz w:val="20"/>
                <w:szCs w:val="20"/>
              </w:rPr>
              <w:t>p</w:t>
            </w:r>
            <w:r w:rsidRPr="0028583C">
              <w:rPr>
                <w:rFonts w:ascii="Arial Narrow" w:eastAsia="Times New Roman" w:hAnsi="Arial Narrow" w:cs="Times New Roman"/>
                <w:sz w:val="20"/>
                <w:szCs w:val="20"/>
              </w:rPr>
              <w:t>er</w:t>
            </w:r>
            <w:r w:rsidRPr="0028583C">
              <w:rPr>
                <w:rFonts w:ascii="Arial Narrow" w:eastAsia="Times New Roman" w:hAnsi="Arial Narrow" w:cs="Times New Roman"/>
                <w:spacing w:val="-4"/>
                <w:sz w:val="20"/>
                <w:szCs w:val="20"/>
              </w:rPr>
              <w:t xml:space="preserve"> </w:t>
            </w:r>
            <w:r w:rsidRPr="0028583C">
              <w:rPr>
                <w:rFonts w:ascii="Arial Narrow" w:eastAsia="Times New Roman" w:hAnsi="Arial Narrow" w:cs="Times New Roman"/>
                <w:sz w:val="20"/>
                <w:szCs w:val="20"/>
              </w:rPr>
              <w:t>NI</w:t>
            </w:r>
            <w:r w:rsidRPr="0028583C">
              <w:rPr>
                <w:rFonts w:ascii="Arial Narrow" w:eastAsia="Times New Roman" w:hAnsi="Arial Narrow" w:cs="Times New Roman"/>
                <w:spacing w:val="-1"/>
                <w:sz w:val="20"/>
                <w:szCs w:val="20"/>
              </w:rPr>
              <w:t>C</w:t>
            </w:r>
            <w:r w:rsidRPr="0028583C">
              <w:rPr>
                <w:rFonts w:ascii="Arial Narrow" w:eastAsia="Times New Roman" w:hAnsi="Arial Narrow" w:cs="Times New Roman"/>
                <w:sz w:val="20"/>
                <w:szCs w:val="20"/>
              </w:rPr>
              <w:t>E</w:t>
            </w:r>
            <w:r w:rsidRPr="0028583C">
              <w:rPr>
                <w:rFonts w:ascii="Arial Narrow" w:eastAsia="Times New Roman" w:hAnsi="Arial Narrow" w:cs="Times New Roman"/>
                <w:w w:val="99"/>
                <w:sz w:val="20"/>
                <w:szCs w:val="20"/>
              </w:rPr>
              <w:t xml:space="preserve"> </w:t>
            </w:r>
            <w:r w:rsidRPr="0028583C">
              <w:rPr>
                <w:rFonts w:ascii="Arial Narrow" w:eastAsia="Times New Roman" w:hAnsi="Arial Narrow" w:cs="Times New Roman"/>
                <w:sz w:val="20"/>
                <w:szCs w:val="20"/>
              </w:rPr>
              <w:t>as</w:t>
            </w:r>
            <w:r w:rsidRPr="0028583C">
              <w:rPr>
                <w:rFonts w:ascii="Arial Narrow" w:eastAsia="Times New Roman" w:hAnsi="Arial Narrow" w:cs="Times New Roman"/>
                <w:spacing w:val="-1"/>
                <w:sz w:val="20"/>
                <w:szCs w:val="20"/>
              </w:rPr>
              <w:t>s</w:t>
            </w:r>
            <w:r w:rsidRPr="0028583C">
              <w:rPr>
                <w:rFonts w:ascii="Arial Narrow" w:eastAsia="Times New Roman" w:hAnsi="Arial Narrow" w:cs="Times New Roman"/>
                <w:sz w:val="20"/>
                <w:szCs w:val="20"/>
              </w:rPr>
              <w:t>e</w:t>
            </w:r>
            <w:r w:rsidRPr="0028583C">
              <w:rPr>
                <w:rFonts w:ascii="Arial Narrow" w:eastAsia="Times New Roman" w:hAnsi="Arial Narrow" w:cs="Times New Roman"/>
                <w:spacing w:val="1"/>
                <w:sz w:val="20"/>
                <w:szCs w:val="20"/>
              </w:rPr>
              <w:t>ss</w:t>
            </w:r>
            <w:r w:rsidRPr="0028583C">
              <w:rPr>
                <w:rFonts w:ascii="Arial Narrow" w:eastAsia="Times New Roman" w:hAnsi="Arial Narrow" w:cs="Times New Roman"/>
                <w:spacing w:val="-2"/>
                <w:sz w:val="20"/>
                <w:szCs w:val="20"/>
              </w:rPr>
              <w:t>m</w:t>
            </w:r>
            <w:r w:rsidRPr="0028583C">
              <w:rPr>
                <w:rFonts w:ascii="Arial Narrow" w:eastAsia="Times New Roman" w:hAnsi="Arial Narrow" w:cs="Times New Roman"/>
                <w:sz w:val="20"/>
                <w:szCs w:val="20"/>
              </w:rPr>
              <w:t>e</w:t>
            </w:r>
            <w:r w:rsidRPr="0028583C">
              <w:rPr>
                <w:rFonts w:ascii="Arial Narrow" w:eastAsia="Times New Roman" w:hAnsi="Arial Narrow" w:cs="Times New Roman"/>
                <w:spacing w:val="-1"/>
                <w:sz w:val="20"/>
                <w:szCs w:val="20"/>
              </w:rPr>
              <w:t>n</w:t>
            </w:r>
            <w:r w:rsidRPr="0028583C">
              <w:rPr>
                <w:rFonts w:ascii="Arial Narrow" w:eastAsia="Times New Roman" w:hAnsi="Arial Narrow" w:cs="Times New Roman"/>
                <w:sz w:val="20"/>
                <w:szCs w:val="20"/>
              </w:rPr>
              <w:t>t</w:t>
            </w:r>
          </w:p>
        </w:tc>
        <w:tc>
          <w:tcPr>
            <w:tcW w:w="798"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5" w:firstLine="7"/>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0</w:t>
            </w:r>
            <w:r w:rsidRPr="0028583C">
              <w:rPr>
                <w:rFonts w:ascii="Arial Narrow" w:eastAsia="Times New Roman" w:hAnsi="Arial Narrow" w:cs="Times New Roman"/>
                <w:sz w:val="20"/>
                <w:szCs w:val="20"/>
              </w:rPr>
              <w:t>.</w:t>
            </w:r>
            <w:r w:rsidRPr="0028583C">
              <w:rPr>
                <w:rFonts w:ascii="Arial Narrow" w:eastAsia="Times New Roman" w:hAnsi="Arial Narrow" w:cs="Times New Roman"/>
                <w:spacing w:val="1"/>
                <w:sz w:val="20"/>
                <w:szCs w:val="20"/>
              </w:rPr>
              <w:t>0</w:t>
            </w:r>
            <w:r w:rsidRPr="0028583C">
              <w:rPr>
                <w:rFonts w:ascii="Arial Narrow" w:eastAsia="Times New Roman" w:hAnsi="Arial Narrow" w:cs="Times New Roman"/>
                <w:sz w:val="20"/>
                <w:szCs w:val="20"/>
              </w:rPr>
              <w:t>5</w:t>
            </w:r>
            <w:r w:rsidRPr="0028583C">
              <w:rPr>
                <w:rFonts w:ascii="Arial Narrow" w:eastAsia="Times New Roman" w:hAnsi="Arial Narrow" w:cs="Times New Roman"/>
                <w:spacing w:val="-4"/>
                <w:sz w:val="20"/>
                <w:szCs w:val="20"/>
              </w:rPr>
              <w:t xml:space="preserve"> </w:t>
            </w:r>
            <w:r w:rsidRPr="0028583C">
              <w:rPr>
                <w:rFonts w:ascii="Arial Narrow" w:eastAsia="Times New Roman" w:hAnsi="Arial Narrow" w:cs="Times New Roman"/>
                <w:sz w:val="20"/>
                <w:szCs w:val="20"/>
              </w:rPr>
              <w:t>to</w:t>
            </w:r>
            <w:r w:rsidRPr="0028583C">
              <w:rPr>
                <w:rFonts w:ascii="Arial Narrow" w:eastAsia="Times New Roman" w:hAnsi="Arial Narrow" w:cs="Times New Roman"/>
                <w:spacing w:val="-7"/>
                <w:sz w:val="20"/>
                <w:szCs w:val="20"/>
              </w:rPr>
              <w:t xml:space="preserve"> </w:t>
            </w:r>
            <w:r w:rsidRPr="0028583C">
              <w:rPr>
                <w:rFonts w:ascii="Arial Narrow" w:eastAsia="Times New Roman" w:hAnsi="Arial Narrow" w:cs="Times New Roman"/>
                <w:spacing w:val="1"/>
                <w:sz w:val="20"/>
                <w:szCs w:val="20"/>
              </w:rPr>
              <w:t>0</w:t>
            </w:r>
            <w:r w:rsidRPr="0028583C">
              <w:rPr>
                <w:rFonts w:ascii="Arial Narrow" w:eastAsia="Times New Roman" w:hAnsi="Arial Narrow" w:cs="Times New Roman"/>
                <w:sz w:val="20"/>
                <w:szCs w:val="20"/>
              </w:rPr>
              <w:t>.</w:t>
            </w:r>
            <w:r w:rsidRPr="0028583C">
              <w:rPr>
                <w:rFonts w:ascii="Arial Narrow" w:eastAsia="Times New Roman" w:hAnsi="Arial Narrow" w:cs="Times New Roman"/>
                <w:spacing w:val="-2"/>
                <w:sz w:val="20"/>
                <w:szCs w:val="20"/>
              </w:rPr>
              <w:t>0</w:t>
            </w:r>
            <w:r w:rsidRPr="0028583C">
              <w:rPr>
                <w:rFonts w:ascii="Arial Narrow" w:eastAsia="Times New Roman" w:hAnsi="Arial Narrow" w:cs="Times New Roman"/>
                <w:spacing w:val="1"/>
                <w:sz w:val="20"/>
                <w:szCs w:val="20"/>
              </w:rPr>
              <w:t>4</w:t>
            </w:r>
            <w:r w:rsidRPr="0028583C">
              <w:rPr>
                <w:rFonts w:ascii="Arial Narrow" w:eastAsia="Times New Roman" w:hAnsi="Arial Narrow" w:cs="Times New Roman"/>
                <w:sz w:val="20"/>
                <w:szCs w:val="20"/>
              </w:rPr>
              <w:t>1</w:t>
            </w:r>
          </w:p>
        </w:tc>
        <w:tc>
          <w:tcPr>
            <w:tcW w:w="883"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4" w:firstLine="8"/>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w:t>
            </w:r>
            <w:r w:rsidR="00E70598">
              <w:rPr>
                <w:rFonts w:ascii="Arial Narrow" w:eastAsia="Times New Roman" w:hAnsi="Arial Narrow" w:cs="Times New Roman"/>
                <w:noProof/>
                <w:color w:val="000000"/>
                <w:spacing w:val="1"/>
                <w:sz w:val="20"/>
                <w:szCs w:val="20"/>
                <w:highlight w:val="black"/>
              </w:rPr>
              <w:t>''''''''''''''''''</w:t>
            </w:r>
          </w:p>
        </w:tc>
        <w:tc>
          <w:tcPr>
            <w:tcW w:w="966"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5" w:right="47" w:firstLine="7"/>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1</w:t>
            </w:r>
            <w:r w:rsidRPr="0028583C">
              <w:rPr>
                <w:rFonts w:ascii="Arial Narrow" w:eastAsia="Times New Roman" w:hAnsi="Arial Narrow" w:cs="Times New Roman"/>
                <w:sz w:val="20"/>
                <w:szCs w:val="20"/>
              </w:rPr>
              <w:t>.</w:t>
            </w:r>
            <w:r w:rsidRPr="0028583C">
              <w:rPr>
                <w:rFonts w:ascii="Arial Narrow" w:eastAsia="Times New Roman" w:hAnsi="Arial Narrow" w:cs="Times New Roman"/>
                <w:spacing w:val="1"/>
                <w:sz w:val="20"/>
                <w:szCs w:val="20"/>
              </w:rPr>
              <w:t>61</w:t>
            </w:r>
            <w:r w:rsidRPr="0028583C">
              <w:rPr>
                <w:rFonts w:ascii="Arial Narrow" w:eastAsia="Times New Roman" w:hAnsi="Arial Narrow" w:cs="Times New Roman"/>
                <w:spacing w:val="-2"/>
                <w:sz w:val="20"/>
                <w:szCs w:val="20"/>
              </w:rPr>
              <w:t>7</w:t>
            </w:r>
            <w:r w:rsidRPr="0028583C">
              <w:rPr>
                <w:rFonts w:ascii="Arial Narrow" w:eastAsia="Times New Roman" w:hAnsi="Arial Narrow" w:cs="Times New Roman"/>
                <w:sz w:val="20"/>
                <w:szCs w:val="20"/>
              </w:rPr>
              <w:t>5</w:t>
            </w:r>
          </w:p>
        </w:tc>
        <w:tc>
          <w:tcPr>
            <w:tcW w:w="1181"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5" w:right="4" w:firstLine="7"/>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w:t>
            </w:r>
            <w:r w:rsidR="00E70598">
              <w:rPr>
                <w:rFonts w:ascii="Arial Narrow" w:eastAsia="Times New Roman" w:hAnsi="Arial Narrow" w:cs="Times New Roman"/>
                <w:noProof/>
                <w:color w:val="000000"/>
                <w:spacing w:val="1"/>
                <w:sz w:val="20"/>
                <w:szCs w:val="20"/>
                <w:highlight w:val="black"/>
              </w:rPr>
              <w:t>''''''''''''''''</w:t>
            </w:r>
          </w:p>
        </w:tc>
      </w:tr>
      <w:tr w:rsidR="001F6F48" w:rsidRPr="0028583C" w:rsidTr="001F6F48">
        <w:tc>
          <w:tcPr>
            <w:tcW w:w="1172"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5" w:firstLine="7"/>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R</w:t>
            </w:r>
            <w:r w:rsidRPr="0028583C">
              <w:rPr>
                <w:rFonts w:ascii="Arial Narrow" w:eastAsia="Times New Roman" w:hAnsi="Arial Narrow" w:cs="Times New Roman"/>
                <w:sz w:val="20"/>
                <w:szCs w:val="20"/>
              </w:rPr>
              <w:t>e</w:t>
            </w:r>
            <w:r w:rsidRPr="0028583C">
              <w:rPr>
                <w:rFonts w:ascii="Arial Narrow" w:eastAsia="Times New Roman" w:hAnsi="Arial Narrow" w:cs="Times New Roman"/>
                <w:spacing w:val="1"/>
                <w:sz w:val="20"/>
                <w:szCs w:val="20"/>
              </w:rPr>
              <w:t>d</w:t>
            </w:r>
            <w:r w:rsidRPr="0028583C">
              <w:rPr>
                <w:rFonts w:ascii="Arial Narrow" w:eastAsia="Times New Roman" w:hAnsi="Arial Narrow" w:cs="Times New Roman"/>
                <w:spacing w:val="-2"/>
                <w:sz w:val="20"/>
                <w:szCs w:val="20"/>
              </w:rPr>
              <w:t>u</w:t>
            </w:r>
            <w:r w:rsidRPr="0028583C">
              <w:rPr>
                <w:rFonts w:ascii="Arial Narrow" w:eastAsia="Times New Roman" w:hAnsi="Arial Narrow" w:cs="Times New Roman"/>
                <w:sz w:val="20"/>
                <w:szCs w:val="20"/>
              </w:rPr>
              <w:t>ce</w:t>
            </w:r>
            <w:r w:rsidRPr="0028583C">
              <w:rPr>
                <w:rFonts w:ascii="Arial Narrow" w:eastAsia="Times New Roman" w:hAnsi="Arial Narrow" w:cs="Times New Roman"/>
                <w:spacing w:val="-3"/>
                <w:sz w:val="20"/>
                <w:szCs w:val="20"/>
              </w:rPr>
              <w:t xml:space="preserve"> </w:t>
            </w:r>
            <w:r w:rsidRPr="0028583C">
              <w:rPr>
                <w:rFonts w:ascii="Arial Narrow" w:eastAsia="Times New Roman" w:hAnsi="Arial Narrow" w:cs="Times New Roman"/>
                <w:spacing w:val="-5"/>
                <w:sz w:val="20"/>
                <w:szCs w:val="20"/>
              </w:rPr>
              <w:t>m</w:t>
            </w:r>
            <w:r w:rsidRPr="0028583C">
              <w:rPr>
                <w:rFonts w:ascii="Arial Narrow" w:eastAsia="Times New Roman" w:hAnsi="Arial Narrow" w:cs="Times New Roman"/>
                <w:spacing w:val="1"/>
                <w:sz w:val="20"/>
                <w:szCs w:val="20"/>
              </w:rPr>
              <w:t>od</w:t>
            </w:r>
            <w:r w:rsidRPr="0028583C">
              <w:rPr>
                <w:rFonts w:ascii="Arial Narrow" w:eastAsia="Times New Roman" w:hAnsi="Arial Narrow" w:cs="Times New Roman"/>
                <w:sz w:val="20"/>
                <w:szCs w:val="20"/>
              </w:rPr>
              <w:t>el</w:t>
            </w:r>
            <w:r w:rsidRPr="0028583C">
              <w:rPr>
                <w:rFonts w:ascii="Arial Narrow" w:eastAsia="Times New Roman" w:hAnsi="Arial Narrow" w:cs="Times New Roman"/>
                <w:spacing w:val="-4"/>
                <w:sz w:val="20"/>
                <w:szCs w:val="20"/>
              </w:rPr>
              <w:t xml:space="preserve"> </w:t>
            </w:r>
            <w:r w:rsidRPr="0028583C">
              <w:rPr>
                <w:rFonts w:ascii="Arial Narrow" w:eastAsia="Times New Roman" w:hAnsi="Arial Narrow" w:cs="Times New Roman"/>
                <w:spacing w:val="1"/>
                <w:sz w:val="20"/>
                <w:szCs w:val="20"/>
              </w:rPr>
              <w:t>d</w:t>
            </w:r>
            <w:r w:rsidRPr="0028583C">
              <w:rPr>
                <w:rFonts w:ascii="Arial Narrow" w:eastAsia="Times New Roman" w:hAnsi="Arial Narrow" w:cs="Times New Roman"/>
                <w:spacing w:val="-2"/>
                <w:sz w:val="20"/>
                <w:szCs w:val="20"/>
              </w:rPr>
              <w:t>u</w:t>
            </w:r>
            <w:r w:rsidRPr="0028583C">
              <w:rPr>
                <w:rFonts w:ascii="Arial Narrow" w:eastAsia="Times New Roman" w:hAnsi="Arial Narrow" w:cs="Times New Roman"/>
                <w:sz w:val="20"/>
                <w:szCs w:val="20"/>
              </w:rPr>
              <w:t>rati</w:t>
            </w:r>
            <w:r w:rsidRPr="0028583C">
              <w:rPr>
                <w:rFonts w:ascii="Arial Narrow" w:eastAsia="Times New Roman" w:hAnsi="Arial Narrow" w:cs="Times New Roman"/>
                <w:spacing w:val="3"/>
                <w:sz w:val="20"/>
                <w:szCs w:val="20"/>
              </w:rPr>
              <w:t>o</w:t>
            </w:r>
            <w:r w:rsidRPr="0028583C">
              <w:rPr>
                <w:rFonts w:ascii="Arial Narrow" w:eastAsia="Times New Roman" w:hAnsi="Arial Narrow" w:cs="Times New Roman"/>
                <w:sz w:val="20"/>
                <w:szCs w:val="20"/>
              </w:rPr>
              <w:t>n</w:t>
            </w:r>
            <w:r w:rsidRPr="0028583C">
              <w:rPr>
                <w:rFonts w:ascii="Arial Narrow" w:eastAsia="Times New Roman" w:hAnsi="Arial Narrow" w:cs="Times New Roman"/>
                <w:spacing w:val="-6"/>
                <w:sz w:val="20"/>
                <w:szCs w:val="20"/>
              </w:rPr>
              <w:t xml:space="preserve"> </w:t>
            </w:r>
            <w:r w:rsidRPr="0028583C">
              <w:rPr>
                <w:rFonts w:ascii="Arial Narrow" w:eastAsia="Times New Roman" w:hAnsi="Arial Narrow" w:cs="Times New Roman"/>
                <w:sz w:val="20"/>
                <w:szCs w:val="20"/>
              </w:rPr>
              <w:t>to</w:t>
            </w:r>
            <w:r w:rsidRPr="0028583C">
              <w:rPr>
                <w:rFonts w:ascii="Arial Narrow" w:eastAsia="Times New Roman" w:hAnsi="Arial Narrow" w:cs="Times New Roman"/>
                <w:spacing w:val="-4"/>
                <w:sz w:val="20"/>
                <w:szCs w:val="20"/>
              </w:rPr>
              <w:t xml:space="preserve"> </w:t>
            </w:r>
            <w:r w:rsidRPr="0028583C">
              <w:rPr>
                <w:rFonts w:ascii="Arial Narrow" w:eastAsia="Times New Roman" w:hAnsi="Arial Narrow" w:cs="Times New Roman"/>
                <w:spacing w:val="1"/>
                <w:sz w:val="20"/>
                <w:szCs w:val="20"/>
              </w:rPr>
              <w:t>3</w:t>
            </w:r>
            <w:r w:rsidRPr="0028583C">
              <w:rPr>
                <w:rFonts w:ascii="Arial Narrow" w:eastAsia="Times New Roman" w:hAnsi="Arial Narrow" w:cs="Times New Roman"/>
                <w:sz w:val="20"/>
                <w:szCs w:val="20"/>
              </w:rPr>
              <w:t>0</w:t>
            </w:r>
            <w:r w:rsidRPr="0028583C">
              <w:rPr>
                <w:rFonts w:ascii="Arial Narrow" w:eastAsia="Times New Roman" w:hAnsi="Arial Narrow" w:cs="Times New Roman"/>
                <w:spacing w:val="-6"/>
                <w:sz w:val="20"/>
                <w:szCs w:val="20"/>
              </w:rPr>
              <w:t xml:space="preserve"> </w:t>
            </w:r>
            <w:r w:rsidRPr="0028583C">
              <w:rPr>
                <w:rFonts w:ascii="Arial Narrow" w:eastAsia="Times New Roman" w:hAnsi="Arial Narrow" w:cs="Times New Roman"/>
                <w:spacing w:val="-2"/>
                <w:sz w:val="20"/>
                <w:szCs w:val="20"/>
              </w:rPr>
              <w:t>y</w:t>
            </w:r>
            <w:r w:rsidRPr="0028583C">
              <w:rPr>
                <w:rFonts w:ascii="Arial Narrow" w:eastAsia="Times New Roman" w:hAnsi="Arial Narrow" w:cs="Times New Roman"/>
                <w:sz w:val="20"/>
                <w:szCs w:val="20"/>
              </w:rPr>
              <w:t>ears</w:t>
            </w:r>
          </w:p>
        </w:tc>
        <w:tc>
          <w:tcPr>
            <w:tcW w:w="798"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5" w:firstLine="7"/>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4</w:t>
            </w:r>
            <w:r w:rsidRPr="0028583C">
              <w:rPr>
                <w:rFonts w:ascii="Arial Narrow" w:eastAsia="Times New Roman" w:hAnsi="Arial Narrow" w:cs="Times New Roman"/>
                <w:sz w:val="20"/>
                <w:szCs w:val="20"/>
              </w:rPr>
              <w:t>9</w:t>
            </w:r>
            <w:r w:rsidRPr="0028583C">
              <w:rPr>
                <w:rFonts w:ascii="Arial Narrow" w:eastAsia="Times New Roman" w:hAnsi="Arial Narrow" w:cs="Times New Roman"/>
                <w:spacing w:val="-2"/>
                <w:sz w:val="20"/>
                <w:szCs w:val="20"/>
              </w:rPr>
              <w:t xml:space="preserve"> </w:t>
            </w:r>
            <w:r w:rsidRPr="0028583C">
              <w:rPr>
                <w:rFonts w:ascii="Arial Narrow" w:eastAsia="Times New Roman" w:hAnsi="Arial Narrow" w:cs="Times New Roman"/>
                <w:sz w:val="20"/>
                <w:szCs w:val="20"/>
              </w:rPr>
              <w:t>to</w:t>
            </w:r>
            <w:r w:rsidRPr="0028583C">
              <w:rPr>
                <w:rFonts w:ascii="Arial Narrow" w:eastAsia="Times New Roman" w:hAnsi="Arial Narrow" w:cs="Times New Roman"/>
                <w:spacing w:val="-2"/>
                <w:sz w:val="20"/>
                <w:szCs w:val="20"/>
              </w:rPr>
              <w:t xml:space="preserve"> 3</w:t>
            </w:r>
            <w:r w:rsidRPr="0028583C">
              <w:rPr>
                <w:rFonts w:ascii="Arial Narrow" w:eastAsia="Times New Roman" w:hAnsi="Arial Narrow" w:cs="Times New Roman"/>
                <w:sz w:val="20"/>
                <w:szCs w:val="20"/>
              </w:rPr>
              <w:t>0</w:t>
            </w:r>
            <w:r w:rsidRPr="0028583C">
              <w:rPr>
                <w:rFonts w:ascii="Arial Narrow" w:eastAsia="Times New Roman" w:hAnsi="Arial Narrow" w:cs="Times New Roman"/>
                <w:spacing w:val="-2"/>
                <w:sz w:val="20"/>
                <w:szCs w:val="20"/>
              </w:rPr>
              <w:t xml:space="preserve"> </w:t>
            </w:r>
            <w:r w:rsidRPr="0028583C">
              <w:rPr>
                <w:rFonts w:ascii="Arial Narrow" w:eastAsia="Times New Roman" w:hAnsi="Arial Narrow" w:cs="Times New Roman"/>
                <w:spacing w:val="-5"/>
                <w:sz w:val="20"/>
                <w:szCs w:val="20"/>
              </w:rPr>
              <w:t>y</w:t>
            </w:r>
            <w:r w:rsidRPr="0028583C">
              <w:rPr>
                <w:rFonts w:ascii="Arial Narrow" w:eastAsia="Times New Roman" w:hAnsi="Arial Narrow" w:cs="Times New Roman"/>
                <w:sz w:val="20"/>
                <w:szCs w:val="20"/>
              </w:rPr>
              <w:t>ears</w:t>
            </w:r>
          </w:p>
        </w:tc>
        <w:tc>
          <w:tcPr>
            <w:tcW w:w="883"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4" w:firstLine="8"/>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w:t>
            </w:r>
            <w:r w:rsidR="00E70598">
              <w:rPr>
                <w:rFonts w:ascii="Arial Narrow" w:eastAsia="Times New Roman" w:hAnsi="Arial Narrow" w:cs="Times New Roman"/>
                <w:noProof/>
                <w:color w:val="000000"/>
                <w:spacing w:val="1"/>
                <w:sz w:val="20"/>
                <w:szCs w:val="20"/>
                <w:highlight w:val="black"/>
              </w:rPr>
              <w:t>''''''''''''''''</w:t>
            </w:r>
          </w:p>
        </w:tc>
        <w:tc>
          <w:tcPr>
            <w:tcW w:w="966"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5" w:right="47" w:firstLine="7"/>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1</w:t>
            </w:r>
            <w:r w:rsidRPr="0028583C">
              <w:rPr>
                <w:rFonts w:ascii="Arial Narrow" w:eastAsia="Times New Roman" w:hAnsi="Arial Narrow" w:cs="Times New Roman"/>
                <w:sz w:val="20"/>
                <w:szCs w:val="20"/>
              </w:rPr>
              <w:t>.</w:t>
            </w:r>
            <w:r w:rsidRPr="0028583C">
              <w:rPr>
                <w:rFonts w:ascii="Arial Narrow" w:eastAsia="Times New Roman" w:hAnsi="Arial Narrow" w:cs="Times New Roman"/>
                <w:spacing w:val="1"/>
                <w:sz w:val="20"/>
                <w:szCs w:val="20"/>
              </w:rPr>
              <w:t>39</w:t>
            </w:r>
            <w:r w:rsidRPr="0028583C">
              <w:rPr>
                <w:rFonts w:ascii="Arial Narrow" w:eastAsia="Times New Roman" w:hAnsi="Arial Narrow" w:cs="Times New Roman"/>
                <w:spacing w:val="-2"/>
                <w:sz w:val="20"/>
                <w:szCs w:val="20"/>
              </w:rPr>
              <w:t>8</w:t>
            </w:r>
            <w:r w:rsidRPr="0028583C">
              <w:rPr>
                <w:rFonts w:ascii="Arial Narrow" w:eastAsia="Times New Roman" w:hAnsi="Arial Narrow" w:cs="Times New Roman"/>
                <w:sz w:val="20"/>
                <w:szCs w:val="20"/>
              </w:rPr>
              <w:t>2</w:t>
            </w:r>
          </w:p>
        </w:tc>
        <w:tc>
          <w:tcPr>
            <w:tcW w:w="1181"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5"/>
              <w:ind w:left="95" w:right="4" w:firstLine="7"/>
              <w:jc w:val="center"/>
              <w:rPr>
                <w:rFonts w:ascii="Arial Narrow" w:eastAsia="Times New Roman" w:hAnsi="Arial Narrow" w:cs="Times New Roman"/>
                <w:sz w:val="20"/>
                <w:szCs w:val="20"/>
              </w:rPr>
            </w:pPr>
            <w:r w:rsidRPr="0028583C">
              <w:rPr>
                <w:rFonts w:ascii="Arial Narrow" w:eastAsia="Times New Roman" w:hAnsi="Arial Narrow" w:cs="Times New Roman"/>
                <w:spacing w:val="1"/>
                <w:sz w:val="20"/>
                <w:szCs w:val="20"/>
              </w:rPr>
              <w:t>$</w:t>
            </w:r>
            <w:r w:rsidR="00E70598">
              <w:rPr>
                <w:rFonts w:ascii="Arial Narrow" w:eastAsia="Times New Roman" w:hAnsi="Arial Narrow" w:cs="Times New Roman"/>
                <w:noProof/>
                <w:color w:val="000000"/>
                <w:spacing w:val="1"/>
                <w:sz w:val="20"/>
                <w:szCs w:val="20"/>
                <w:highlight w:val="black"/>
              </w:rPr>
              <w:t>'''''''''''''''''</w:t>
            </w:r>
          </w:p>
        </w:tc>
      </w:tr>
      <w:tr w:rsidR="001F6F48" w:rsidRPr="0028583C" w:rsidTr="001F6F48">
        <w:tc>
          <w:tcPr>
            <w:tcW w:w="1172"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8" w:line="280" w:lineRule="auto"/>
              <w:ind w:left="95" w:right="117" w:firstLine="7"/>
              <w:rPr>
                <w:rFonts w:ascii="Arial Narrow" w:eastAsia="Times New Roman" w:hAnsi="Arial Narrow" w:cs="Times New Roman"/>
                <w:sz w:val="20"/>
                <w:szCs w:val="20"/>
              </w:rPr>
            </w:pPr>
            <w:r w:rsidRPr="0028583C">
              <w:rPr>
                <w:rFonts w:ascii="Arial Narrow" w:eastAsia="Times New Roman" w:hAnsi="Arial Narrow" w:cs="Times New Roman"/>
                <w:bCs/>
                <w:sz w:val="20"/>
                <w:szCs w:val="20"/>
              </w:rPr>
              <w:t>Sen</w:t>
            </w:r>
            <w:r w:rsidRPr="0028583C">
              <w:rPr>
                <w:rFonts w:ascii="Arial Narrow" w:eastAsia="Times New Roman" w:hAnsi="Arial Narrow" w:cs="Times New Roman"/>
                <w:bCs/>
                <w:spacing w:val="-1"/>
                <w:sz w:val="20"/>
                <w:szCs w:val="20"/>
              </w:rPr>
              <w:t>s</w:t>
            </w:r>
            <w:r w:rsidRPr="0028583C">
              <w:rPr>
                <w:rFonts w:ascii="Arial Narrow" w:eastAsia="Times New Roman" w:hAnsi="Arial Narrow" w:cs="Times New Roman"/>
                <w:bCs/>
                <w:sz w:val="20"/>
                <w:szCs w:val="20"/>
              </w:rPr>
              <w:t>itivity</w:t>
            </w:r>
            <w:r w:rsidRPr="0028583C">
              <w:rPr>
                <w:rFonts w:ascii="Arial Narrow" w:eastAsia="Times New Roman" w:hAnsi="Arial Narrow" w:cs="Times New Roman"/>
                <w:bCs/>
                <w:spacing w:val="-13"/>
                <w:sz w:val="20"/>
                <w:szCs w:val="20"/>
              </w:rPr>
              <w:t xml:space="preserve"> </w:t>
            </w:r>
            <w:r w:rsidRPr="0028583C">
              <w:rPr>
                <w:rFonts w:ascii="Arial Narrow" w:eastAsia="Times New Roman" w:hAnsi="Arial Narrow" w:cs="Times New Roman"/>
                <w:bCs/>
                <w:spacing w:val="1"/>
                <w:sz w:val="20"/>
                <w:szCs w:val="20"/>
              </w:rPr>
              <w:t>a</w:t>
            </w:r>
            <w:r w:rsidRPr="0028583C">
              <w:rPr>
                <w:rFonts w:ascii="Arial Narrow" w:eastAsia="Times New Roman" w:hAnsi="Arial Narrow" w:cs="Times New Roman"/>
                <w:bCs/>
                <w:sz w:val="20"/>
                <w:szCs w:val="20"/>
              </w:rPr>
              <w:t>naly</w:t>
            </w:r>
            <w:r w:rsidRPr="0028583C">
              <w:rPr>
                <w:rFonts w:ascii="Arial Narrow" w:eastAsia="Times New Roman" w:hAnsi="Arial Narrow" w:cs="Times New Roman"/>
                <w:bCs/>
                <w:spacing w:val="-1"/>
                <w:sz w:val="20"/>
                <w:szCs w:val="20"/>
              </w:rPr>
              <w:t>s</w:t>
            </w:r>
            <w:r w:rsidRPr="0028583C">
              <w:rPr>
                <w:rFonts w:ascii="Arial Narrow" w:eastAsia="Times New Roman" w:hAnsi="Arial Narrow" w:cs="Times New Roman"/>
                <w:bCs/>
                <w:sz w:val="20"/>
                <w:szCs w:val="20"/>
              </w:rPr>
              <w:t>is</w:t>
            </w:r>
            <w:r w:rsidRPr="0028583C">
              <w:rPr>
                <w:rFonts w:ascii="Arial Narrow" w:eastAsia="Times New Roman" w:hAnsi="Arial Narrow" w:cs="Times New Roman"/>
                <w:bCs/>
                <w:spacing w:val="-15"/>
                <w:sz w:val="20"/>
                <w:szCs w:val="20"/>
              </w:rPr>
              <w:t xml:space="preserve"> </w:t>
            </w:r>
            <w:r w:rsidRPr="0028583C">
              <w:rPr>
                <w:rFonts w:ascii="Arial Narrow" w:eastAsia="Times New Roman" w:hAnsi="Arial Narrow" w:cs="Times New Roman"/>
                <w:bCs/>
                <w:sz w:val="20"/>
                <w:szCs w:val="20"/>
              </w:rPr>
              <w:t>incorp</w:t>
            </w:r>
            <w:r w:rsidRPr="0028583C">
              <w:rPr>
                <w:rFonts w:ascii="Arial Narrow" w:eastAsia="Times New Roman" w:hAnsi="Arial Narrow" w:cs="Times New Roman"/>
                <w:bCs/>
                <w:spacing w:val="1"/>
                <w:sz w:val="20"/>
                <w:szCs w:val="20"/>
              </w:rPr>
              <w:t>o</w:t>
            </w:r>
            <w:r w:rsidRPr="0028583C">
              <w:rPr>
                <w:rFonts w:ascii="Arial Narrow" w:eastAsia="Times New Roman" w:hAnsi="Arial Narrow" w:cs="Times New Roman"/>
                <w:bCs/>
                <w:spacing w:val="2"/>
                <w:sz w:val="20"/>
                <w:szCs w:val="20"/>
              </w:rPr>
              <w:t>r</w:t>
            </w:r>
            <w:r w:rsidRPr="0028583C">
              <w:rPr>
                <w:rFonts w:ascii="Arial Narrow" w:eastAsia="Times New Roman" w:hAnsi="Arial Narrow" w:cs="Times New Roman"/>
                <w:bCs/>
                <w:spacing w:val="1"/>
                <w:sz w:val="20"/>
                <w:szCs w:val="20"/>
              </w:rPr>
              <w:t>a</w:t>
            </w:r>
            <w:r w:rsidRPr="0028583C">
              <w:rPr>
                <w:rFonts w:ascii="Arial Narrow" w:eastAsia="Times New Roman" w:hAnsi="Arial Narrow" w:cs="Times New Roman"/>
                <w:bCs/>
                <w:spacing w:val="4"/>
                <w:sz w:val="20"/>
                <w:szCs w:val="20"/>
              </w:rPr>
              <w:t>t</w:t>
            </w:r>
            <w:r w:rsidRPr="0028583C">
              <w:rPr>
                <w:rFonts w:ascii="Arial Narrow" w:eastAsia="Times New Roman" w:hAnsi="Arial Narrow" w:cs="Times New Roman"/>
                <w:bCs/>
                <w:spacing w:val="-1"/>
                <w:sz w:val="20"/>
                <w:szCs w:val="20"/>
              </w:rPr>
              <w:t>ing</w:t>
            </w:r>
            <w:r w:rsidRPr="0028583C">
              <w:rPr>
                <w:rFonts w:ascii="Arial Narrow" w:eastAsia="Times New Roman" w:hAnsi="Arial Narrow" w:cs="Times New Roman"/>
                <w:bCs/>
                <w:spacing w:val="-1"/>
                <w:w w:val="99"/>
                <w:sz w:val="20"/>
                <w:szCs w:val="20"/>
              </w:rPr>
              <w:t xml:space="preserve"> </w:t>
            </w:r>
            <w:r w:rsidRPr="0028583C">
              <w:rPr>
                <w:rFonts w:ascii="Arial Narrow" w:eastAsia="Times New Roman" w:hAnsi="Arial Narrow" w:cs="Times New Roman"/>
                <w:bCs/>
                <w:sz w:val="20"/>
                <w:szCs w:val="20"/>
              </w:rPr>
              <w:t>e</w:t>
            </w:r>
            <w:r w:rsidRPr="0028583C">
              <w:rPr>
                <w:rFonts w:ascii="Arial Narrow" w:eastAsia="Times New Roman" w:hAnsi="Arial Narrow" w:cs="Times New Roman"/>
                <w:bCs/>
                <w:spacing w:val="1"/>
                <w:sz w:val="20"/>
                <w:szCs w:val="20"/>
              </w:rPr>
              <w:t>va</w:t>
            </w:r>
            <w:r w:rsidRPr="0028583C">
              <w:rPr>
                <w:rFonts w:ascii="Arial Narrow" w:eastAsia="Times New Roman" w:hAnsi="Arial Narrow" w:cs="Times New Roman"/>
                <w:bCs/>
                <w:sz w:val="20"/>
                <w:szCs w:val="20"/>
              </w:rPr>
              <w:t>luat</w:t>
            </w:r>
            <w:r w:rsidRPr="0028583C">
              <w:rPr>
                <w:rFonts w:ascii="Arial Narrow" w:eastAsia="Times New Roman" w:hAnsi="Arial Narrow" w:cs="Times New Roman"/>
                <w:bCs/>
                <w:spacing w:val="1"/>
                <w:sz w:val="20"/>
                <w:szCs w:val="20"/>
              </w:rPr>
              <w:t>o</w:t>
            </w:r>
            <w:r w:rsidRPr="0028583C">
              <w:rPr>
                <w:rFonts w:ascii="Arial Narrow" w:eastAsia="Times New Roman" w:hAnsi="Arial Narrow" w:cs="Times New Roman"/>
                <w:bCs/>
                <w:sz w:val="20"/>
                <w:szCs w:val="20"/>
              </w:rPr>
              <w:t>r</w:t>
            </w:r>
            <w:r w:rsidRPr="0028583C">
              <w:rPr>
                <w:rFonts w:ascii="Arial Narrow" w:eastAsia="Times New Roman" w:hAnsi="Arial Narrow" w:cs="Times New Roman"/>
                <w:bCs/>
                <w:spacing w:val="1"/>
                <w:sz w:val="20"/>
                <w:szCs w:val="20"/>
              </w:rPr>
              <w:t>’</w:t>
            </w:r>
            <w:r w:rsidRPr="0028583C">
              <w:rPr>
                <w:rFonts w:ascii="Arial Narrow" w:eastAsia="Times New Roman" w:hAnsi="Arial Narrow" w:cs="Times New Roman"/>
                <w:bCs/>
                <w:sz w:val="20"/>
                <w:szCs w:val="20"/>
              </w:rPr>
              <w:t>s</w:t>
            </w:r>
            <w:r w:rsidRPr="0028583C">
              <w:rPr>
                <w:rFonts w:ascii="Arial Narrow" w:eastAsia="Times New Roman" w:hAnsi="Arial Narrow" w:cs="Times New Roman"/>
                <w:bCs/>
                <w:spacing w:val="-14"/>
                <w:sz w:val="20"/>
                <w:szCs w:val="20"/>
              </w:rPr>
              <w:t xml:space="preserve"> </w:t>
            </w:r>
            <w:r w:rsidRPr="0028583C">
              <w:rPr>
                <w:rFonts w:ascii="Arial Narrow" w:eastAsia="Times New Roman" w:hAnsi="Arial Narrow" w:cs="Times New Roman"/>
                <w:bCs/>
                <w:spacing w:val="-1"/>
                <w:sz w:val="20"/>
                <w:szCs w:val="20"/>
              </w:rPr>
              <w:t>s</w:t>
            </w:r>
            <w:r w:rsidRPr="0028583C">
              <w:rPr>
                <w:rFonts w:ascii="Arial Narrow" w:eastAsia="Times New Roman" w:hAnsi="Arial Narrow" w:cs="Times New Roman"/>
                <w:bCs/>
                <w:sz w:val="20"/>
                <w:szCs w:val="20"/>
              </w:rPr>
              <w:t>ug</w:t>
            </w:r>
            <w:r w:rsidRPr="0028583C">
              <w:rPr>
                <w:rFonts w:ascii="Arial Narrow" w:eastAsia="Times New Roman" w:hAnsi="Arial Narrow" w:cs="Times New Roman"/>
                <w:bCs/>
                <w:spacing w:val="1"/>
                <w:sz w:val="20"/>
                <w:szCs w:val="20"/>
              </w:rPr>
              <w:t>g</w:t>
            </w:r>
            <w:r w:rsidRPr="0028583C">
              <w:rPr>
                <w:rFonts w:ascii="Arial Narrow" w:eastAsia="Times New Roman" w:hAnsi="Arial Narrow" w:cs="Times New Roman"/>
                <w:bCs/>
                <w:sz w:val="20"/>
                <w:szCs w:val="20"/>
              </w:rPr>
              <w:t>ested</w:t>
            </w:r>
            <w:r w:rsidRPr="0028583C">
              <w:rPr>
                <w:rFonts w:ascii="Arial Narrow" w:eastAsia="Times New Roman" w:hAnsi="Arial Narrow" w:cs="Times New Roman"/>
                <w:bCs/>
                <w:spacing w:val="-13"/>
                <w:sz w:val="20"/>
                <w:szCs w:val="20"/>
              </w:rPr>
              <w:t xml:space="preserve"> </w:t>
            </w:r>
            <w:r w:rsidRPr="0028583C">
              <w:rPr>
                <w:rFonts w:ascii="Arial Narrow" w:eastAsia="Times New Roman" w:hAnsi="Arial Narrow" w:cs="Times New Roman"/>
                <w:bCs/>
                <w:sz w:val="20"/>
                <w:szCs w:val="20"/>
              </w:rPr>
              <w:t>chan</w:t>
            </w:r>
            <w:r w:rsidRPr="0028583C">
              <w:rPr>
                <w:rFonts w:ascii="Arial Narrow" w:eastAsia="Times New Roman" w:hAnsi="Arial Narrow" w:cs="Times New Roman"/>
                <w:bCs/>
                <w:spacing w:val="-2"/>
                <w:sz w:val="20"/>
                <w:szCs w:val="20"/>
              </w:rPr>
              <w:t>g</w:t>
            </w:r>
            <w:r w:rsidRPr="0028583C">
              <w:rPr>
                <w:rFonts w:ascii="Arial Narrow" w:eastAsia="Times New Roman" w:hAnsi="Arial Narrow" w:cs="Times New Roman"/>
                <w:bCs/>
                <w:sz w:val="20"/>
                <w:szCs w:val="20"/>
              </w:rPr>
              <w:t>es</w:t>
            </w:r>
          </w:p>
        </w:tc>
        <w:tc>
          <w:tcPr>
            <w:tcW w:w="798"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2" w:line="170" w:lineRule="exact"/>
              <w:ind w:left="95" w:firstLine="7"/>
              <w:rPr>
                <w:rFonts w:ascii="Arial Narrow" w:hAnsi="Arial Narrow"/>
                <w:sz w:val="20"/>
                <w:szCs w:val="20"/>
              </w:rPr>
            </w:pPr>
          </w:p>
          <w:p w:rsidR="00AA44A6" w:rsidRPr="0028583C" w:rsidRDefault="00AA44A6" w:rsidP="00082ADD">
            <w:pPr>
              <w:pStyle w:val="TableParagraph"/>
              <w:ind w:left="95" w:right="1" w:firstLine="7"/>
              <w:jc w:val="center"/>
              <w:rPr>
                <w:rFonts w:ascii="Arial Narrow" w:eastAsia="Times New Roman" w:hAnsi="Arial Narrow" w:cs="Times New Roman"/>
                <w:sz w:val="20"/>
                <w:szCs w:val="20"/>
              </w:rPr>
            </w:pPr>
            <w:r w:rsidRPr="0028583C">
              <w:rPr>
                <w:rFonts w:ascii="Arial Narrow" w:eastAsia="Times New Roman" w:hAnsi="Arial Narrow" w:cs="Times New Roman"/>
                <w:bCs/>
                <w:sz w:val="20"/>
                <w:szCs w:val="20"/>
              </w:rPr>
              <w:t>-</w:t>
            </w:r>
          </w:p>
        </w:tc>
        <w:tc>
          <w:tcPr>
            <w:tcW w:w="883"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8"/>
              <w:ind w:left="94" w:firstLine="8"/>
              <w:jc w:val="center"/>
              <w:rPr>
                <w:rFonts w:ascii="Arial Narrow" w:eastAsia="Times New Roman" w:hAnsi="Arial Narrow" w:cs="Times New Roman"/>
                <w:sz w:val="20"/>
                <w:szCs w:val="20"/>
              </w:rPr>
            </w:pPr>
            <w:r w:rsidRPr="0028583C">
              <w:rPr>
                <w:rFonts w:ascii="Arial Narrow" w:eastAsia="Times New Roman" w:hAnsi="Arial Narrow" w:cs="Times New Roman"/>
                <w:bCs/>
                <w:spacing w:val="1"/>
                <w:sz w:val="20"/>
                <w:szCs w:val="20"/>
              </w:rPr>
              <w:t>$</w:t>
            </w:r>
            <w:r w:rsidR="00E70598">
              <w:rPr>
                <w:rFonts w:ascii="Arial Narrow" w:eastAsia="Times New Roman" w:hAnsi="Arial Narrow" w:cs="Times New Roman"/>
                <w:bCs/>
                <w:noProof/>
                <w:color w:val="000000"/>
                <w:spacing w:val="1"/>
                <w:sz w:val="20"/>
                <w:szCs w:val="20"/>
                <w:highlight w:val="black"/>
              </w:rPr>
              <w:t>'''''''''''''''</w:t>
            </w:r>
          </w:p>
        </w:tc>
        <w:tc>
          <w:tcPr>
            <w:tcW w:w="966"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8"/>
              <w:ind w:left="95" w:right="47" w:firstLine="7"/>
              <w:jc w:val="center"/>
              <w:rPr>
                <w:rFonts w:ascii="Arial Narrow" w:eastAsia="Times New Roman" w:hAnsi="Arial Narrow" w:cs="Times New Roman"/>
                <w:sz w:val="20"/>
                <w:szCs w:val="20"/>
              </w:rPr>
            </w:pPr>
            <w:r w:rsidRPr="0028583C">
              <w:rPr>
                <w:rFonts w:ascii="Arial Narrow" w:eastAsia="Times New Roman" w:hAnsi="Arial Narrow" w:cs="Times New Roman"/>
                <w:bCs/>
                <w:spacing w:val="1"/>
                <w:sz w:val="20"/>
                <w:szCs w:val="20"/>
              </w:rPr>
              <w:t>1</w:t>
            </w:r>
            <w:r w:rsidRPr="0028583C">
              <w:rPr>
                <w:rFonts w:ascii="Arial Narrow" w:eastAsia="Times New Roman" w:hAnsi="Arial Narrow" w:cs="Times New Roman"/>
                <w:bCs/>
                <w:sz w:val="20"/>
                <w:szCs w:val="20"/>
              </w:rPr>
              <w:t>.</w:t>
            </w:r>
            <w:r w:rsidRPr="0028583C">
              <w:rPr>
                <w:rFonts w:ascii="Arial Narrow" w:eastAsia="Times New Roman" w:hAnsi="Arial Narrow" w:cs="Times New Roman"/>
                <w:bCs/>
                <w:spacing w:val="1"/>
                <w:sz w:val="20"/>
                <w:szCs w:val="20"/>
              </w:rPr>
              <w:t>39</w:t>
            </w:r>
            <w:r w:rsidRPr="0028583C">
              <w:rPr>
                <w:rFonts w:ascii="Arial Narrow" w:eastAsia="Times New Roman" w:hAnsi="Arial Narrow" w:cs="Times New Roman"/>
                <w:bCs/>
                <w:spacing w:val="-2"/>
                <w:sz w:val="20"/>
                <w:szCs w:val="20"/>
              </w:rPr>
              <w:t>8</w:t>
            </w:r>
            <w:r w:rsidRPr="0028583C">
              <w:rPr>
                <w:rFonts w:ascii="Arial Narrow" w:eastAsia="Times New Roman" w:hAnsi="Arial Narrow" w:cs="Times New Roman"/>
                <w:bCs/>
                <w:sz w:val="20"/>
                <w:szCs w:val="20"/>
              </w:rPr>
              <w:t>2</w:t>
            </w:r>
          </w:p>
        </w:tc>
        <w:tc>
          <w:tcPr>
            <w:tcW w:w="1181" w:type="pct"/>
            <w:tcBorders>
              <w:top w:val="single" w:sz="5" w:space="0" w:color="000000"/>
              <w:left w:val="single" w:sz="5" w:space="0" w:color="000000"/>
              <w:bottom w:val="single" w:sz="5" w:space="0" w:color="000000"/>
              <w:right w:val="single" w:sz="5" w:space="0" w:color="000000"/>
            </w:tcBorders>
          </w:tcPr>
          <w:p w:rsidR="00AA44A6" w:rsidRPr="0028583C" w:rsidRDefault="00AA44A6" w:rsidP="00082ADD">
            <w:pPr>
              <w:pStyle w:val="TableParagraph"/>
              <w:spacing w:before="38"/>
              <w:ind w:left="95" w:right="4" w:firstLine="7"/>
              <w:jc w:val="center"/>
              <w:rPr>
                <w:rFonts w:ascii="Arial Narrow" w:eastAsia="Times New Roman" w:hAnsi="Arial Narrow" w:cs="Times New Roman"/>
                <w:sz w:val="20"/>
                <w:szCs w:val="20"/>
              </w:rPr>
            </w:pPr>
            <w:r w:rsidRPr="0028583C">
              <w:rPr>
                <w:rFonts w:ascii="Arial Narrow" w:eastAsia="Times New Roman" w:hAnsi="Arial Narrow" w:cs="Times New Roman"/>
                <w:bCs/>
                <w:spacing w:val="1"/>
                <w:sz w:val="20"/>
                <w:szCs w:val="20"/>
              </w:rPr>
              <w:t>$</w:t>
            </w:r>
            <w:r w:rsidR="00E70598">
              <w:rPr>
                <w:rFonts w:ascii="Arial Narrow" w:eastAsia="Times New Roman" w:hAnsi="Arial Narrow" w:cs="Times New Roman"/>
                <w:bCs/>
                <w:noProof/>
                <w:color w:val="000000"/>
                <w:spacing w:val="1"/>
                <w:sz w:val="20"/>
                <w:szCs w:val="20"/>
                <w:highlight w:val="black"/>
              </w:rPr>
              <w:t>''''''''''''''''</w:t>
            </w:r>
          </w:p>
        </w:tc>
      </w:tr>
    </w:tbl>
    <w:p w:rsidR="00AA44A6" w:rsidRDefault="00AA44A6" w:rsidP="00AA44A6">
      <w:pPr>
        <w:pStyle w:val="PBACHeading1"/>
        <w:numPr>
          <w:ilvl w:val="0"/>
          <w:numId w:val="0"/>
        </w:numPr>
      </w:pPr>
    </w:p>
    <w:p w:rsidR="00082ADD" w:rsidRPr="00214F99" w:rsidRDefault="00082ADD" w:rsidP="00C768A3">
      <w:pPr>
        <w:pStyle w:val="ListParagraph"/>
        <w:widowControl/>
        <w:numPr>
          <w:ilvl w:val="1"/>
          <w:numId w:val="1"/>
        </w:numPr>
        <w:rPr>
          <w:szCs w:val="22"/>
        </w:rPr>
      </w:pPr>
      <w:r w:rsidRPr="00214F99">
        <w:rPr>
          <w:szCs w:val="22"/>
        </w:rPr>
        <w:t xml:space="preserve">The ESC applied the same assumptions to GT1 and GT3 patients, based on study 4040 and ALLY3 data. The ESC noted that the ICER was not sensitive to the genotype or the source of the clinical evidence.  </w:t>
      </w:r>
    </w:p>
    <w:p w:rsidR="00082ADD" w:rsidRDefault="00082ADD" w:rsidP="00082ADD">
      <w:pPr>
        <w:pStyle w:val="PBACHeading1"/>
        <w:numPr>
          <w:ilvl w:val="0"/>
          <w:numId w:val="0"/>
        </w:numPr>
        <w:ind w:left="720" w:hanging="720"/>
      </w:pPr>
    </w:p>
    <w:p w:rsidR="00082ADD" w:rsidRPr="00D605C4" w:rsidRDefault="00082ADD" w:rsidP="001F6F48">
      <w:pPr>
        <w:pStyle w:val="PBACHeading1"/>
        <w:numPr>
          <w:ilvl w:val="0"/>
          <w:numId w:val="0"/>
        </w:numPr>
        <w:ind w:left="720"/>
        <w:rPr>
          <w:rFonts w:ascii="Arial Narrow" w:hAnsi="Arial Narrow"/>
          <w:sz w:val="20"/>
        </w:rPr>
      </w:pPr>
      <w:r w:rsidRPr="00D605C4">
        <w:rPr>
          <w:rFonts w:ascii="Arial Narrow" w:hAnsi="Arial Narrow"/>
          <w:sz w:val="20"/>
        </w:rPr>
        <w:t xml:space="preserve">Revisions to base case estimates for DCV + </w:t>
      </w:r>
      <w:r w:rsidR="00F13757" w:rsidRPr="00D605C4">
        <w:rPr>
          <w:rFonts w:ascii="Arial Narrow" w:hAnsi="Arial Narrow"/>
          <w:sz w:val="20"/>
        </w:rPr>
        <w:t>SOF vs</w:t>
      </w:r>
      <w:r w:rsidRPr="00D605C4">
        <w:rPr>
          <w:rFonts w:ascii="Arial Narrow" w:hAnsi="Arial Narrow"/>
          <w:sz w:val="20"/>
        </w:rPr>
        <w:t xml:space="preserve">. no treatment in a HCV GT1 and GT3 population </w:t>
      </w:r>
    </w:p>
    <w:tbl>
      <w:tblPr>
        <w:tblW w:w="8222" w:type="dxa"/>
        <w:tblInd w:w="817" w:type="dxa"/>
        <w:tblLayout w:type="fixed"/>
        <w:tblCellMar>
          <w:left w:w="0" w:type="dxa"/>
          <w:right w:w="0" w:type="dxa"/>
        </w:tblCellMar>
        <w:tblLook w:val="04A0" w:firstRow="1" w:lastRow="0" w:firstColumn="1" w:lastColumn="0" w:noHBand="0" w:noVBand="1"/>
      </w:tblPr>
      <w:tblGrid>
        <w:gridCol w:w="3069"/>
        <w:gridCol w:w="5153"/>
      </w:tblGrid>
      <w:tr w:rsidR="00F13757" w:rsidRPr="00214F99" w:rsidTr="001F6F48">
        <w:trPr>
          <w:trHeight w:val="248"/>
        </w:trPr>
        <w:tc>
          <w:tcPr>
            <w:tcW w:w="3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ADD" w:rsidRPr="00214F99" w:rsidRDefault="00082ADD" w:rsidP="00082ADD">
            <w:pPr>
              <w:keepLines/>
              <w:widowControl/>
              <w:jc w:val="center"/>
              <w:rPr>
                <w:rFonts w:ascii="Arial Narrow" w:eastAsiaTheme="minorHAnsi" w:hAnsi="Arial Narrow"/>
                <w:b/>
                <w:bCs/>
                <w:sz w:val="20"/>
                <w:lang w:eastAsia="en-AU"/>
              </w:rPr>
            </w:pPr>
          </w:p>
        </w:tc>
        <w:tc>
          <w:tcPr>
            <w:tcW w:w="51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ADD" w:rsidRPr="00214F99" w:rsidRDefault="00082ADD" w:rsidP="00082ADD">
            <w:pPr>
              <w:keepLines/>
              <w:widowControl/>
              <w:jc w:val="center"/>
              <w:rPr>
                <w:rFonts w:ascii="Arial Narrow" w:eastAsiaTheme="minorHAnsi" w:hAnsi="Arial Narrow"/>
                <w:b/>
                <w:bCs/>
                <w:sz w:val="20"/>
                <w:lang w:eastAsia="en-AU"/>
              </w:rPr>
            </w:pPr>
            <w:r w:rsidRPr="00214F99">
              <w:rPr>
                <w:rFonts w:ascii="Arial Narrow" w:hAnsi="Arial Narrow"/>
                <w:b/>
                <w:bCs/>
                <w:sz w:val="20"/>
                <w:lang w:eastAsia="en-AU"/>
              </w:rPr>
              <w:t xml:space="preserve"> ICER</w:t>
            </w:r>
          </w:p>
        </w:tc>
      </w:tr>
      <w:tr w:rsidR="00F13757" w:rsidRPr="00214F99" w:rsidTr="001F6F48">
        <w:trPr>
          <w:trHeight w:val="936"/>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ADD" w:rsidRPr="00214F99" w:rsidRDefault="00082ADD" w:rsidP="00082ADD">
            <w:pPr>
              <w:keepLines/>
              <w:widowControl/>
              <w:jc w:val="center"/>
              <w:rPr>
                <w:rFonts w:ascii="Arial Narrow" w:eastAsiaTheme="minorHAnsi" w:hAnsi="Arial Narrow"/>
                <w:sz w:val="20"/>
                <w:lang w:eastAsia="en-AU"/>
              </w:rPr>
            </w:pPr>
            <w:r w:rsidRPr="00214F99">
              <w:rPr>
                <w:rFonts w:ascii="Arial Narrow" w:hAnsi="Arial Narrow"/>
                <w:sz w:val="20"/>
                <w:lang w:eastAsia="en-AU"/>
              </w:rPr>
              <w:t xml:space="preserve">GT1 treatment naïve </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BE3665" w:rsidRPr="00214F99" w:rsidRDefault="00BE3665" w:rsidP="00BE3665">
            <w:pPr>
              <w:keepLines/>
              <w:widowControl/>
              <w:jc w:val="center"/>
              <w:rPr>
                <w:rFonts w:ascii="Arial Narrow" w:eastAsiaTheme="minorHAnsi" w:hAnsi="Arial Narrow"/>
                <w:sz w:val="20"/>
                <w:lang w:eastAsia="en-AU"/>
              </w:rPr>
            </w:pPr>
            <w:r w:rsidRPr="00214F99">
              <w:rPr>
                <w:rFonts w:ascii="Arial Narrow" w:hAnsi="Arial Narrow"/>
                <w:sz w:val="20"/>
                <w:lang w:eastAsia="en-AU"/>
              </w:rPr>
              <w:t>(study 4040 from submission )</w:t>
            </w:r>
          </w:p>
          <w:p w:rsidR="00082ADD" w:rsidRPr="00214F99" w:rsidRDefault="00082ADD" w:rsidP="00BE3665">
            <w:pPr>
              <w:keepLines/>
              <w:widowControl/>
              <w:jc w:val="center"/>
              <w:rPr>
                <w:rFonts w:ascii="Arial Narrow" w:eastAsiaTheme="minorHAnsi" w:hAnsi="Arial Narrow"/>
                <w:sz w:val="20"/>
                <w:lang w:eastAsia="en-AU"/>
              </w:rPr>
            </w:pPr>
            <w:r w:rsidRPr="00214F99">
              <w:rPr>
                <w:rFonts w:ascii="Arial Narrow" w:hAnsi="Arial Narrow"/>
                <w:sz w:val="20"/>
                <w:lang w:eastAsia="en-AU"/>
              </w:rPr>
              <w:t xml:space="preserve">100% Non-cirrhotic: </w:t>
            </w:r>
            <w:r w:rsidRPr="00214F99">
              <w:rPr>
                <w:rFonts w:ascii="Arial Narrow" w:hAnsi="Arial Narrow"/>
                <w:sz w:val="20"/>
              </w:rPr>
              <w:t>$</w:t>
            </w:r>
            <w:r w:rsidR="00E70598">
              <w:rPr>
                <w:rFonts w:ascii="Arial Narrow" w:hAnsi="Arial Narrow"/>
                <w:noProof/>
                <w:color w:val="000000"/>
                <w:sz w:val="20"/>
                <w:highlight w:val="black"/>
              </w:rPr>
              <w:t>'''''''''''''''''</w:t>
            </w:r>
          </w:p>
          <w:p w:rsidR="00082ADD" w:rsidRPr="00214F99" w:rsidRDefault="00082ADD" w:rsidP="00BE3665">
            <w:pPr>
              <w:keepLines/>
              <w:widowControl/>
              <w:jc w:val="center"/>
              <w:rPr>
                <w:rFonts w:ascii="Arial Narrow" w:hAnsi="Arial Narrow"/>
                <w:sz w:val="20"/>
                <w:lang w:eastAsia="en-AU"/>
              </w:rPr>
            </w:pPr>
            <w:r w:rsidRPr="00214F99">
              <w:rPr>
                <w:rFonts w:ascii="Arial Narrow" w:hAnsi="Arial Narrow"/>
                <w:sz w:val="20"/>
                <w:lang w:eastAsia="en-AU"/>
              </w:rPr>
              <w:t xml:space="preserve">100% cirrhotic: </w:t>
            </w:r>
            <w:r w:rsidRPr="00214F99">
              <w:rPr>
                <w:rFonts w:ascii="Arial Narrow" w:hAnsi="Arial Narrow"/>
                <w:sz w:val="20"/>
              </w:rPr>
              <w:t>$</w:t>
            </w:r>
            <w:r w:rsidR="00E70598">
              <w:rPr>
                <w:rFonts w:ascii="Arial Narrow" w:hAnsi="Arial Narrow"/>
                <w:noProof/>
                <w:color w:val="000000"/>
                <w:sz w:val="20"/>
                <w:highlight w:val="black"/>
              </w:rPr>
              <w:t>'''''''''''''''''''''</w:t>
            </w:r>
          </w:p>
          <w:p w:rsidR="00082ADD" w:rsidRPr="00214F99" w:rsidRDefault="00082ADD" w:rsidP="00BE3665">
            <w:pPr>
              <w:keepLines/>
              <w:widowControl/>
              <w:jc w:val="center"/>
              <w:rPr>
                <w:rFonts w:ascii="Arial Narrow" w:eastAsiaTheme="minorHAnsi" w:hAnsi="Arial Narrow"/>
                <w:sz w:val="20"/>
                <w:lang w:eastAsia="en-AU"/>
              </w:rPr>
            </w:pPr>
            <w:r w:rsidRPr="00214F99">
              <w:rPr>
                <w:rFonts w:ascii="Arial Narrow" w:hAnsi="Arial Narrow"/>
                <w:sz w:val="20"/>
                <w:lang w:eastAsia="en-AU"/>
              </w:rPr>
              <w:t>91% non-cirrhotic &amp; 9% cirrhotic (</w:t>
            </w:r>
            <w:r w:rsidR="00BE3665" w:rsidRPr="00214F99">
              <w:rPr>
                <w:rFonts w:ascii="Arial Narrow" w:hAnsi="Arial Narrow"/>
                <w:sz w:val="20"/>
                <w:lang w:eastAsia="en-AU"/>
              </w:rPr>
              <w:t>as in submission</w:t>
            </w:r>
            <w:r w:rsidRPr="00214F99">
              <w:rPr>
                <w:rFonts w:ascii="Arial Narrow" w:hAnsi="Arial Narrow"/>
                <w:sz w:val="20"/>
                <w:lang w:eastAsia="en-AU"/>
              </w:rPr>
              <w:t>): $</w:t>
            </w:r>
            <w:r w:rsidR="00E70598">
              <w:rPr>
                <w:rFonts w:ascii="Arial Narrow" w:hAnsi="Arial Narrow"/>
                <w:noProof/>
                <w:color w:val="000000"/>
                <w:sz w:val="20"/>
                <w:highlight w:val="black"/>
                <w:lang w:eastAsia="en-AU"/>
              </w:rPr>
              <w:t>'''''''''''''''''</w:t>
            </w:r>
          </w:p>
        </w:tc>
      </w:tr>
      <w:tr w:rsidR="00F13757" w:rsidRPr="00214F99" w:rsidTr="001F6F48">
        <w:trPr>
          <w:trHeight w:val="229"/>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ADD" w:rsidRPr="00214F99" w:rsidRDefault="00082ADD" w:rsidP="00082ADD">
            <w:pPr>
              <w:keepLines/>
              <w:widowControl/>
              <w:jc w:val="center"/>
              <w:rPr>
                <w:rFonts w:ascii="Arial Narrow" w:eastAsiaTheme="minorHAnsi" w:hAnsi="Arial Narrow"/>
                <w:sz w:val="20"/>
                <w:lang w:eastAsia="en-AU"/>
              </w:rPr>
            </w:pPr>
            <w:r w:rsidRPr="00214F99">
              <w:rPr>
                <w:rFonts w:ascii="Arial Narrow" w:hAnsi="Arial Narrow"/>
                <w:sz w:val="20"/>
                <w:lang w:eastAsia="en-AU"/>
              </w:rPr>
              <w:t>GT1 treatment experienced</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BE3665" w:rsidRPr="00214F99" w:rsidRDefault="00BE3665" w:rsidP="00BE3665">
            <w:pPr>
              <w:keepLines/>
              <w:widowControl/>
              <w:jc w:val="center"/>
              <w:rPr>
                <w:rFonts w:ascii="Arial Narrow" w:hAnsi="Arial Narrow"/>
                <w:sz w:val="20"/>
                <w:lang w:eastAsia="en-AU"/>
              </w:rPr>
            </w:pPr>
            <w:r w:rsidRPr="00214F99">
              <w:rPr>
                <w:rFonts w:ascii="Arial Narrow" w:hAnsi="Arial Narrow"/>
                <w:sz w:val="20"/>
                <w:lang w:eastAsia="en-AU"/>
              </w:rPr>
              <w:t>(study 4040 from submission)</w:t>
            </w:r>
          </w:p>
          <w:p w:rsidR="00082ADD" w:rsidRPr="00214F99" w:rsidRDefault="00082ADD" w:rsidP="00BE3665">
            <w:pPr>
              <w:keepLines/>
              <w:widowControl/>
              <w:jc w:val="center"/>
              <w:rPr>
                <w:rFonts w:ascii="Arial Narrow" w:eastAsiaTheme="minorHAnsi" w:hAnsi="Arial Narrow"/>
                <w:sz w:val="20"/>
                <w:lang w:eastAsia="en-AU"/>
              </w:rPr>
            </w:pPr>
            <w:r w:rsidRPr="00214F99">
              <w:rPr>
                <w:rFonts w:ascii="Arial Narrow" w:hAnsi="Arial Narrow"/>
                <w:sz w:val="20"/>
                <w:lang w:eastAsia="en-AU"/>
              </w:rPr>
              <w:t>Not considered in the submission</w:t>
            </w:r>
          </w:p>
        </w:tc>
      </w:tr>
      <w:tr w:rsidR="00F13757" w:rsidRPr="00214F99" w:rsidTr="001F6F48">
        <w:trPr>
          <w:trHeight w:val="2350"/>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ADD" w:rsidRPr="00214F99" w:rsidRDefault="00082ADD" w:rsidP="00082ADD">
            <w:pPr>
              <w:keepLines/>
              <w:widowControl/>
              <w:jc w:val="center"/>
              <w:rPr>
                <w:rFonts w:ascii="Arial Narrow" w:eastAsiaTheme="minorHAnsi" w:hAnsi="Arial Narrow"/>
                <w:sz w:val="20"/>
                <w:lang w:eastAsia="en-AU"/>
              </w:rPr>
            </w:pPr>
            <w:r w:rsidRPr="00214F99">
              <w:rPr>
                <w:rFonts w:ascii="Arial Narrow" w:hAnsi="Arial Narrow"/>
                <w:sz w:val="20"/>
                <w:lang w:eastAsia="en-AU"/>
              </w:rPr>
              <w:t xml:space="preserve">GT3 treatment naïve </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082ADD" w:rsidRPr="00214F99" w:rsidRDefault="00082ADD" w:rsidP="00BE3665">
            <w:pPr>
              <w:keepLines/>
              <w:widowControl/>
              <w:jc w:val="center"/>
              <w:rPr>
                <w:rFonts w:ascii="Arial Narrow" w:eastAsiaTheme="minorHAnsi" w:hAnsi="Arial Narrow"/>
                <w:sz w:val="20"/>
                <w:lang w:eastAsia="en-AU"/>
              </w:rPr>
            </w:pPr>
            <w:r w:rsidRPr="00214F99">
              <w:rPr>
                <w:rFonts w:ascii="Arial Narrow" w:hAnsi="Arial Narrow"/>
                <w:sz w:val="20"/>
                <w:lang w:eastAsia="en-AU"/>
              </w:rPr>
              <w:t xml:space="preserve">(study 4040 </w:t>
            </w:r>
            <w:r w:rsidR="00BE3665" w:rsidRPr="00214F99">
              <w:rPr>
                <w:rFonts w:ascii="Arial Narrow" w:hAnsi="Arial Narrow"/>
                <w:sz w:val="20"/>
                <w:lang w:eastAsia="en-AU"/>
              </w:rPr>
              <w:t xml:space="preserve">from </w:t>
            </w:r>
            <w:r w:rsidRPr="00214F99">
              <w:rPr>
                <w:rFonts w:ascii="Arial Narrow" w:hAnsi="Arial Narrow"/>
                <w:sz w:val="20"/>
                <w:lang w:eastAsia="en-AU"/>
              </w:rPr>
              <w:t>submission )</w:t>
            </w:r>
          </w:p>
          <w:p w:rsidR="00082ADD" w:rsidRPr="00214F99" w:rsidRDefault="00082ADD" w:rsidP="00BE3665">
            <w:pPr>
              <w:keepLines/>
              <w:widowControl/>
              <w:jc w:val="center"/>
              <w:rPr>
                <w:rFonts w:ascii="Arial Narrow" w:hAnsi="Arial Narrow"/>
                <w:sz w:val="20"/>
                <w:lang w:eastAsia="en-AU"/>
              </w:rPr>
            </w:pPr>
            <w:r w:rsidRPr="00214F99">
              <w:rPr>
                <w:rFonts w:ascii="Arial Narrow" w:hAnsi="Arial Narrow"/>
                <w:sz w:val="20"/>
                <w:lang w:eastAsia="en-AU"/>
              </w:rPr>
              <w:t>100% Non-cirrhotic: $</w:t>
            </w:r>
            <w:r w:rsidR="00E70598">
              <w:rPr>
                <w:rFonts w:ascii="Arial Narrow" w:hAnsi="Arial Narrow"/>
                <w:noProof/>
                <w:color w:val="000000"/>
                <w:sz w:val="20"/>
                <w:highlight w:val="black"/>
                <w:lang w:eastAsia="en-AU"/>
              </w:rPr>
              <w:t>'''''''''''''''''</w:t>
            </w:r>
          </w:p>
          <w:p w:rsidR="00082ADD" w:rsidRPr="00214F99" w:rsidRDefault="00082ADD" w:rsidP="00BE3665">
            <w:pPr>
              <w:keepLines/>
              <w:widowControl/>
              <w:jc w:val="center"/>
              <w:rPr>
                <w:rFonts w:ascii="Arial Narrow" w:hAnsi="Arial Narrow"/>
                <w:sz w:val="20"/>
                <w:lang w:eastAsia="en-AU"/>
              </w:rPr>
            </w:pPr>
            <w:r w:rsidRPr="00214F99">
              <w:rPr>
                <w:rFonts w:ascii="Arial Narrow" w:hAnsi="Arial Narrow"/>
                <w:sz w:val="20"/>
                <w:lang w:eastAsia="en-AU"/>
              </w:rPr>
              <w:t>100% cirrhotic: $</w:t>
            </w:r>
            <w:r w:rsidR="00E70598">
              <w:rPr>
                <w:rFonts w:ascii="Arial Narrow" w:hAnsi="Arial Narrow"/>
                <w:noProof/>
                <w:color w:val="000000"/>
                <w:sz w:val="20"/>
                <w:highlight w:val="black"/>
                <w:lang w:eastAsia="en-AU"/>
              </w:rPr>
              <w:t>''''''''''''''''</w:t>
            </w:r>
            <w:r w:rsidRPr="008B3897">
              <w:rPr>
                <w:rFonts w:ascii="Arial Narrow" w:hAnsi="Arial Narrow"/>
                <w:sz w:val="20"/>
                <w:vertAlign w:val="superscript"/>
                <w:lang w:eastAsia="en-AU"/>
              </w:rPr>
              <w:t>a</w:t>
            </w:r>
          </w:p>
          <w:p w:rsidR="00082ADD" w:rsidRPr="00214F99" w:rsidRDefault="00082ADD" w:rsidP="00BE3665">
            <w:pPr>
              <w:keepLines/>
              <w:widowControl/>
              <w:jc w:val="center"/>
              <w:rPr>
                <w:rFonts w:ascii="Arial Narrow" w:hAnsi="Arial Narrow"/>
                <w:sz w:val="20"/>
                <w:lang w:eastAsia="en-AU"/>
              </w:rPr>
            </w:pPr>
            <w:r w:rsidRPr="00214F99">
              <w:rPr>
                <w:rFonts w:ascii="Arial Narrow" w:hAnsi="Arial Narrow"/>
                <w:sz w:val="20"/>
                <w:lang w:eastAsia="en-AU"/>
              </w:rPr>
              <w:t>91% non-cirrhotic &amp; 9% cirrhotic (</w:t>
            </w:r>
            <w:r w:rsidR="00BE3665" w:rsidRPr="00214F99">
              <w:rPr>
                <w:rFonts w:ascii="Arial Narrow" w:hAnsi="Arial Narrow"/>
                <w:sz w:val="20"/>
                <w:lang w:eastAsia="en-AU"/>
              </w:rPr>
              <w:t>as in submission</w:t>
            </w:r>
            <w:r w:rsidRPr="00214F99">
              <w:rPr>
                <w:rFonts w:ascii="Arial Narrow" w:hAnsi="Arial Narrow"/>
                <w:sz w:val="20"/>
                <w:lang w:eastAsia="en-AU"/>
              </w:rPr>
              <w:t>): $</w:t>
            </w:r>
            <w:r w:rsidR="00E70598">
              <w:rPr>
                <w:rFonts w:ascii="Arial Narrow" w:hAnsi="Arial Narrow"/>
                <w:noProof/>
                <w:color w:val="000000"/>
                <w:sz w:val="20"/>
                <w:highlight w:val="black"/>
                <w:lang w:eastAsia="en-AU"/>
              </w:rPr>
              <w:t>''''''''''''''''</w:t>
            </w:r>
          </w:p>
          <w:p w:rsidR="00082ADD" w:rsidRPr="00214F99" w:rsidRDefault="00082ADD" w:rsidP="00BE3665">
            <w:pPr>
              <w:keepLines/>
              <w:widowControl/>
              <w:jc w:val="center"/>
              <w:rPr>
                <w:rFonts w:ascii="Arial Narrow" w:hAnsi="Arial Narrow"/>
                <w:sz w:val="20"/>
                <w:lang w:eastAsia="en-AU"/>
              </w:rPr>
            </w:pPr>
          </w:p>
          <w:p w:rsidR="00082ADD" w:rsidRPr="00214F99" w:rsidRDefault="00082ADD" w:rsidP="00BE3665">
            <w:pPr>
              <w:keepLines/>
              <w:widowControl/>
              <w:jc w:val="center"/>
              <w:rPr>
                <w:rFonts w:ascii="Arial Narrow" w:hAnsi="Arial Narrow"/>
                <w:sz w:val="20"/>
                <w:lang w:eastAsia="en-AU"/>
              </w:rPr>
            </w:pPr>
            <w:r w:rsidRPr="00214F99">
              <w:rPr>
                <w:rFonts w:ascii="Arial Narrow" w:hAnsi="Arial Narrow"/>
                <w:sz w:val="20"/>
                <w:lang w:eastAsia="en-AU"/>
              </w:rPr>
              <w:t>(ALLY</w:t>
            </w:r>
            <w:r w:rsidR="00D343B3" w:rsidRPr="00214F99">
              <w:rPr>
                <w:rFonts w:ascii="Arial Narrow" w:hAnsi="Arial Narrow"/>
                <w:sz w:val="20"/>
                <w:lang w:eastAsia="en-AU"/>
              </w:rPr>
              <w:t xml:space="preserve"> 3</w:t>
            </w:r>
            <w:r w:rsidRPr="00214F99">
              <w:rPr>
                <w:rFonts w:ascii="Arial Narrow" w:hAnsi="Arial Narrow"/>
                <w:sz w:val="20"/>
                <w:lang w:eastAsia="en-AU"/>
              </w:rPr>
              <w:t xml:space="preserve"> </w:t>
            </w:r>
            <w:r w:rsidR="00D343B3" w:rsidRPr="00214F99">
              <w:rPr>
                <w:rFonts w:ascii="Arial Narrow" w:hAnsi="Arial Narrow"/>
                <w:sz w:val="20"/>
                <w:lang w:eastAsia="en-AU"/>
              </w:rPr>
              <w:t>provided in PSCR</w:t>
            </w:r>
            <w:r w:rsidRPr="00214F99">
              <w:rPr>
                <w:rFonts w:ascii="Arial Narrow" w:hAnsi="Arial Narrow"/>
                <w:sz w:val="20"/>
                <w:lang w:eastAsia="en-AU"/>
              </w:rPr>
              <w:t>)</w:t>
            </w:r>
          </w:p>
          <w:p w:rsidR="00082ADD" w:rsidRPr="00214F99" w:rsidRDefault="00082ADD" w:rsidP="00BE3665">
            <w:pPr>
              <w:keepLines/>
              <w:widowControl/>
              <w:jc w:val="center"/>
              <w:rPr>
                <w:rFonts w:ascii="Arial Narrow" w:hAnsi="Arial Narrow"/>
                <w:sz w:val="20"/>
                <w:lang w:eastAsia="en-AU"/>
              </w:rPr>
            </w:pPr>
            <w:r w:rsidRPr="00214F99">
              <w:rPr>
                <w:rFonts w:ascii="Arial Narrow" w:hAnsi="Arial Narrow"/>
                <w:sz w:val="20"/>
                <w:lang w:eastAsia="en-AU"/>
              </w:rPr>
              <w:t>100% Non-cirrhotic: $</w:t>
            </w:r>
            <w:r w:rsidR="00E70598">
              <w:rPr>
                <w:rFonts w:ascii="Arial Narrow" w:hAnsi="Arial Narrow"/>
                <w:noProof/>
                <w:color w:val="000000"/>
                <w:sz w:val="20"/>
                <w:highlight w:val="black"/>
                <w:lang w:eastAsia="en-AU"/>
              </w:rPr>
              <w:t>'''''''''''''''''</w:t>
            </w:r>
          </w:p>
          <w:p w:rsidR="00082ADD" w:rsidRPr="00214F99" w:rsidRDefault="00082ADD" w:rsidP="00BE3665">
            <w:pPr>
              <w:keepLines/>
              <w:widowControl/>
              <w:jc w:val="center"/>
              <w:rPr>
                <w:rFonts w:ascii="Arial Narrow" w:hAnsi="Arial Narrow"/>
                <w:sz w:val="20"/>
                <w:lang w:eastAsia="en-AU"/>
              </w:rPr>
            </w:pPr>
            <w:r w:rsidRPr="00214F99">
              <w:rPr>
                <w:rFonts w:ascii="Arial Narrow" w:hAnsi="Arial Narrow"/>
                <w:sz w:val="20"/>
                <w:lang w:eastAsia="en-AU"/>
              </w:rPr>
              <w:t>100% cirrhotic: $</w:t>
            </w:r>
            <w:r w:rsidR="00E70598">
              <w:rPr>
                <w:rFonts w:ascii="Arial Narrow" w:hAnsi="Arial Narrow"/>
                <w:noProof/>
                <w:color w:val="000000"/>
                <w:sz w:val="20"/>
                <w:highlight w:val="black"/>
                <w:lang w:eastAsia="en-AU"/>
              </w:rPr>
              <w:t>'''''''''''''''''</w:t>
            </w:r>
          </w:p>
          <w:p w:rsidR="00082ADD" w:rsidRPr="00214F99" w:rsidRDefault="00082ADD" w:rsidP="00BE3665">
            <w:pPr>
              <w:keepLines/>
              <w:widowControl/>
              <w:jc w:val="center"/>
              <w:rPr>
                <w:rFonts w:ascii="Arial Narrow" w:eastAsiaTheme="minorHAnsi" w:hAnsi="Arial Narrow"/>
                <w:b/>
                <w:bCs/>
                <w:sz w:val="20"/>
                <w:lang w:eastAsia="en-AU"/>
              </w:rPr>
            </w:pPr>
            <w:r w:rsidRPr="00214F99">
              <w:rPr>
                <w:rFonts w:ascii="Arial Narrow" w:hAnsi="Arial Narrow"/>
                <w:sz w:val="20"/>
                <w:lang w:eastAsia="en-AU"/>
              </w:rPr>
              <w:t>91% non-cirrhotic &amp; 9% cirrhotic(</w:t>
            </w:r>
            <w:r w:rsidR="00BE3665" w:rsidRPr="00214F99">
              <w:rPr>
                <w:rFonts w:ascii="Arial Narrow" w:hAnsi="Arial Narrow"/>
                <w:sz w:val="20"/>
                <w:lang w:eastAsia="en-AU"/>
              </w:rPr>
              <w:t>as in submission</w:t>
            </w:r>
            <w:r w:rsidRPr="00214F99">
              <w:rPr>
                <w:rFonts w:ascii="Arial Narrow" w:hAnsi="Arial Narrow"/>
                <w:sz w:val="20"/>
                <w:lang w:eastAsia="en-AU"/>
              </w:rPr>
              <w:t>): $</w:t>
            </w:r>
            <w:r w:rsidR="00E70598">
              <w:rPr>
                <w:rFonts w:ascii="Arial Narrow" w:hAnsi="Arial Narrow"/>
                <w:noProof/>
                <w:color w:val="000000"/>
                <w:sz w:val="20"/>
                <w:highlight w:val="black"/>
                <w:lang w:eastAsia="en-AU"/>
              </w:rPr>
              <w:t>''''''''''''''''</w:t>
            </w:r>
          </w:p>
        </w:tc>
      </w:tr>
      <w:tr w:rsidR="00F13757" w:rsidRPr="00214F99" w:rsidTr="001F6F48">
        <w:trPr>
          <w:trHeight w:val="1414"/>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ADD" w:rsidRPr="00214F99" w:rsidRDefault="00082ADD" w:rsidP="00082ADD">
            <w:pPr>
              <w:keepLines/>
              <w:widowControl/>
              <w:jc w:val="center"/>
              <w:rPr>
                <w:rFonts w:ascii="Arial Narrow" w:eastAsiaTheme="minorHAnsi" w:hAnsi="Arial Narrow"/>
                <w:sz w:val="20"/>
                <w:lang w:eastAsia="en-AU"/>
              </w:rPr>
            </w:pPr>
            <w:r w:rsidRPr="00214F99">
              <w:rPr>
                <w:rFonts w:ascii="Arial Narrow" w:hAnsi="Arial Narrow"/>
                <w:sz w:val="20"/>
                <w:lang w:eastAsia="en-AU"/>
              </w:rPr>
              <w:t>GT3 treatment experienced</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rsidR="00BE3665" w:rsidRPr="00214F99" w:rsidRDefault="00BE3665" w:rsidP="00BE3665">
            <w:pPr>
              <w:keepLines/>
              <w:widowControl/>
              <w:jc w:val="center"/>
              <w:rPr>
                <w:rFonts w:ascii="Arial Narrow" w:hAnsi="Arial Narrow"/>
                <w:sz w:val="20"/>
                <w:lang w:eastAsia="en-AU"/>
              </w:rPr>
            </w:pPr>
            <w:r w:rsidRPr="00214F99">
              <w:rPr>
                <w:rFonts w:ascii="Arial Narrow" w:hAnsi="Arial Narrow"/>
                <w:sz w:val="20"/>
                <w:lang w:eastAsia="en-AU"/>
              </w:rPr>
              <w:t>(study 4040 from submission</w:t>
            </w:r>
          </w:p>
          <w:p w:rsidR="00082ADD" w:rsidRPr="00214F99" w:rsidRDefault="00082ADD" w:rsidP="00BE3665">
            <w:pPr>
              <w:keepLines/>
              <w:widowControl/>
              <w:jc w:val="center"/>
              <w:rPr>
                <w:rFonts w:ascii="Arial Narrow" w:hAnsi="Arial Narrow"/>
                <w:sz w:val="20"/>
                <w:lang w:eastAsia="en-AU"/>
              </w:rPr>
            </w:pPr>
            <w:r w:rsidRPr="00214F99">
              <w:rPr>
                <w:rFonts w:ascii="Arial Narrow" w:hAnsi="Arial Narrow"/>
                <w:sz w:val="20"/>
                <w:lang w:eastAsia="en-AU"/>
              </w:rPr>
              <w:t>No</w:t>
            </w:r>
            <w:r w:rsidR="002B0CB5" w:rsidRPr="00214F99">
              <w:rPr>
                <w:rFonts w:ascii="Arial Narrow" w:hAnsi="Arial Narrow"/>
                <w:sz w:val="20"/>
                <w:lang w:eastAsia="en-AU"/>
              </w:rPr>
              <w:t>t</w:t>
            </w:r>
            <w:r w:rsidRPr="00214F99">
              <w:rPr>
                <w:rFonts w:ascii="Arial Narrow" w:hAnsi="Arial Narrow"/>
                <w:sz w:val="20"/>
                <w:lang w:eastAsia="en-AU"/>
              </w:rPr>
              <w:t xml:space="preserve"> considered in the submission</w:t>
            </w:r>
          </w:p>
          <w:p w:rsidR="00BE3665" w:rsidRPr="00214F99" w:rsidRDefault="00BE3665" w:rsidP="00BE3665">
            <w:pPr>
              <w:keepLines/>
              <w:widowControl/>
              <w:jc w:val="center"/>
              <w:rPr>
                <w:rFonts w:ascii="Arial Narrow" w:hAnsi="Arial Narrow"/>
                <w:sz w:val="20"/>
                <w:lang w:eastAsia="en-AU"/>
              </w:rPr>
            </w:pPr>
          </w:p>
          <w:p w:rsidR="00082ADD" w:rsidRPr="00214F99" w:rsidRDefault="00082ADD" w:rsidP="00BE3665">
            <w:pPr>
              <w:keepLines/>
              <w:widowControl/>
              <w:jc w:val="center"/>
              <w:rPr>
                <w:rFonts w:ascii="Arial Narrow" w:hAnsi="Arial Narrow"/>
                <w:sz w:val="20"/>
                <w:lang w:eastAsia="en-AU"/>
              </w:rPr>
            </w:pPr>
            <w:r w:rsidRPr="00214F99">
              <w:rPr>
                <w:rFonts w:ascii="Arial Narrow" w:hAnsi="Arial Narrow"/>
                <w:sz w:val="20"/>
                <w:lang w:eastAsia="en-AU"/>
              </w:rPr>
              <w:t xml:space="preserve">(ALLY 3 </w:t>
            </w:r>
            <w:r w:rsidR="00D343B3" w:rsidRPr="00214F99">
              <w:rPr>
                <w:rFonts w:ascii="Arial Narrow" w:hAnsi="Arial Narrow"/>
                <w:sz w:val="20"/>
                <w:lang w:eastAsia="en-AU"/>
              </w:rPr>
              <w:t>provided in</w:t>
            </w:r>
            <w:r w:rsidRPr="00214F99">
              <w:rPr>
                <w:rFonts w:ascii="Arial Narrow" w:hAnsi="Arial Narrow"/>
                <w:sz w:val="20"/>
                <w:lang w:eastAsia="en-AU"/>
              </w:rPr>
              <w:t xml:space="preserve"> PSCR)</w:t>
            </w:r>
          </w:p>
          <w:p w:rsidR="00082ADD" w:rsidRPr="00214F99" w:rsidRDefault="00082ADD" w:rsidP="00BE3665">
            <w:pPr>
              <w:keepLines/>
              <w:widowControl/>
              <w:jc w:val="center"/>
              <w:rPr>
                <w:rFonts w:ascii="Arial Narrow" w:hAnsi="Arial Narrow"/>
                <w:sz w:val="20"/>
                <w:lang w:eastAsia="en-AU"/>
              </w:rPr>
            </w:pPr>
            <w:r w:rsidRPr="00214F99">
              <w:rPr>
                <w:rFonts w:ascii="Arial Narrow" w:hAnsi="Arial Narrow"/>
                <w:sz w:val="20"/>
                <w:lang w:eastAsia="en-AU"/>
              </w:rPr>
              <w:t>100% Non-cirrhotic: $</w:t>
            </w:r>
            <w:r w:rsidR="00E70598">
              <w:rPr>
                <w:rFonts w:ascii="Arial Narrow" w:hAnsi="Arial Narrow"/>
                <w:noProof/>
                <w:color w:val="000000"/>
                <w:sz w:val="20"/>
                <w:highlight w:val="black"/>
                <w:lang w:eastAsia="en-AU"/>
              </w:rPr>
              <w:t>'''''''''''''''''</w:t>
            </w:r>
          </w:p>
          <w:p w:rsidR="00082ADD" w:rsidRPr="00214F99" w:rsidRDefault="00082ADD" w:rsidP="00BE3665">
            <w:pPr>
              <w:keepLines/>
              <w:widowControl/>
              <w:jc w:val="center"/>
              <w:rPr>
                <w:rFonts w:ascii="Arial Narrow" w:hAnsi="Arial Narrow"/>
                <w:sz w:val="20"/>
                <w:lang w:eastAsia="en-AU"/>
              </w:rPr>
            </w:pPr>
            <w:r w:rsidRPr="00214F99">
              <w:rPr>
                <w:rFonts w:ascii="Arial Narrow" w:hAnsi="Arial Narrow"/>
                <w:sz w:val="20"/>
                <w:lang w:eastAsia="en-AU"/>
              </w:rPr>
              <w:t>100% cirrhotic: $</w:t>
            </w:r>
            <w:r w:rsidR="00E70598">
              <w:rPr>
                <w:rFonts w:ascii="Arial Narrow" w:hAnsi="Arial Narrow"/>
                <w:noProof/>
                <w:color w:val="000000"/>
                <w:sz w:val="20"/>
                <w:highlight w:val="black"/>
                <w:lang w:eastAsia="en-AU"/>
              </w:rPr>
              <w:t>''''''''''''''''</w:t>
            </w:r>
          </w:p>
          <w:p w:rsidR="00082ADD" w:rsidRPr="00214F99" w:rsidRDefault="00082ADD" w:rsidP="00BE3665">
            <w:pPr>
              <w:keepLines/>
              <w:widowControl/>
              <w:jc w:val="center"/>
              <w:rPr>
                <w:rFonts w:ascii="Arial Narrow" w:eastAsiaTheme="minorHAnsi" w:hAnsi="Arial Narrow"/>
                <w:sz w:val="20"/>
                <w:lang w:eastAsia="en-AU"/>
              </w:rPr>
            </w:pPr>
            <w:r w:rsidRPr="00214F99">
              <w:rPr>
                <w:rFonts w:ascii="Arial Narrow" w:hAnsi="Arial Narrow"/>
                <w:sz w:val="20"/>
                <w:lang w:eastAsia="en-AU"/>
              </w:rPr>
              <w:t>91% non-cirrhotic &amp; 9% cirrhotic(</w:t>
            </w:r>
            <w:r w:rsidR="00BE3665" w:rsidRPr="00214F99">
              <w:rPr>
                <w:rFonts w:ascii="Arial Narrow" w:hAnsi="Arial Narrow"/>
                <w:sz w:val="20"/>
                <w:lang w:eastAsia="en-AU"/>
              </w:rPr>
              <w:t>as</w:t>
            </w:r>
            <w:r w:rsidRPr="00214F99">
              <w:rPr>
                <w:rFonts w:ascii="Arial Narrow" w:hAnsi="Arial Narrow"/>
                <w:sz w:val="20"/>
                <w:lang w:eastAsia="en-AU"/>
              </w:rPr>
              <w:t xml:space="preserve"> in submission): $</w:t>
            </w:r>
            <w:r w:rsidR="00E70598">
              <w:rPr>
                <w:rFonts w:ascii="Arial Narrow" w:hAnsi="Arial Narrow"/>
                <w:noProof/>
                <w:color w:val="000000"/>
                <w:sz w:val="20"/>
                <w:highlight w:val="black"/>
                <w:lang w:eastAsia="en-AU"/>
              </w:rPr>
              <w:t>''''''''''''''''''</w:t>
            </w:r>
          </w:p>
        </w:tc>
      </w:tr>
    </w:tbl>
    <w:p w:rsidR="00082ADD" w:rsidRPr="00214F99" w:rsidRDefault="00D343B3" w:rsidP="001F6F48">
      <w:pPr>
        <w:pStyle w:val="PBACHeading1"/>
        <w:numPr>
          <w:ilvl w:val="0"/>
          <w:numId w:val="0"/>
        </w:numPr>
        <w:ind w:left="720"/>
        <w:rPr>
          <w:b w:val="0"/>
        </w:rPr>
      </w:pPr>
      <w:proofErr w:type="gramStart"/>
      <w:r w:rsidRPr="00214F99">
        <w:rPr>
          <w:rFonts w:eastAsiaTheme="minorHAnsi"/>
          <w:b w:val="0"/>
          <w:sz w:val="18"/>
          <w:szCs w:val="18"/>
          <w:vertAlign w:val="superscript"/>
        </w:rPr>
        <w:t>a</w:t>
      </w:r>
      <w:proofErr w:type="gramEnd"/>
      <w:r w:rsidRPr="00214F99">
        <w:rPr>
          <w:rFonts w:eastAsiaTheme="minorHAnsi"/>
          <w:b w:val="0"/>
          <w:sz w:val="18"/>
          <w:szCs w:val="18"/>
        </w:rPr>
        <w:t xml:space="preserve"> submission assumed a similar SVR rate for cirrhotic patients to those without liver cirrhosis.</w:t>
      </w:r>
    </w:p>
    <w:p w:rsidR="00AA44A6" w:rsidRDefault="00AA44A6" w:rsidP="00A52A58">
      <w:pPr>
        <w:widowControl/>
        <w:ind w:left="709"/>
        <w:rPr>
          <w:szCs w:val="22"/>
        </w:rPr>
      </w:pPr>
    </w:p>
    <w:p w:rsidR="00CE7D45" w:rsidRPr="007E3538" w:rsidRDefault="00CE7D45" w:rsidP="00CE7D45">
      <w:pPr>
        <w:pStyle w:val="ListParagraph"/>
        <w:widowControl/>
        <w:numPr>
          <w:ilvl w:val="1"/>
          <w:numId w:val="1"/>
        </w:numPr>
      </w:pPr>
      <w:r w:rsidRPr="007E3538">
        <w:lastRenderedPageBreak/>
        <w:t>The ESC made the following general comments about the direct-acting antiviral</w:t>
      </w:r>
      <w:r w:rsidR="00793FD9">
        <w:t>s</w:t>
      </w:r>
      <w:r w:rsidRPr="007E3538">
        <w:t xml:space="preserve"> (DAA) for the treatment of Hepatitis C: </w:t>
      </w:r>
    </w:p>
    <w:p w:rsidR="00CE7D45" w:rsidRPr="005606B4" w:rsidRDefault="00793FD9" w:rsidP="00CE7D45">
      <w:pPr>
        <w:pStyle w:val="Heading3"/>
        <w:numPr>
          <w:ilvl w:val="0"/>
          <w:numId w:val="18"/>
        </w:numPr>
        <w:rPr>
          <w:szCs w:val="22"/>
          <w:u w:val="none"/>
        </w:rPr>
      </w:pPr>
      <w:r>
        <w:rPr>
          <w:szCs w:val="22"/>
          <w:u w:val="none"/>
        </w:rPr>
        <w:t>T</w:t>
      </w:r>
      <w:r w:rsidR="00CE7D45" w:rsidRPr="005606B4">
        <w:rPr>
          <w:szCs w:val="22"/>
          <w:u w:val="none"/>
        </w:rPr>
        <w:t>he most appropriate scenario for decision</w:t>
      </w:r>
      <w:r>
        <w:rPr>
          <w:szCs w:val="22"/>
          <w:u w:val="none"/>
        </w:rPr>
        <w:t>-</w:t>
      </w:r>
      <w:r w:rsidR="00CE7D45" w:rsidRPr="005606B4">
        <w:rPr>
          <w:szCs w:val="22"/>
          <w:u w:val="none"/>
        </w:rPr>
        <w:t>making in the Australian context was the treatment of patients infected with Genotype 1 and 3 hepatitis C virus compared to no treatment. This reiterated the view of the PBAC at the July 2014 Meeting.</w:t>
      </w:r>
      <w:r w:rsidR="00CE7D45" w:rsidRPr="005606B4">
        <w:rPr>
          <w:b/>
          <w:szCs w:val="22"/>
          <w:u w:val="none"/>
        </w:rPr>
        <w:t xml:space="preserve"> </w:t>
      </w:r>
      <w:r w:rsidR="00CE7D45" w:rsidRPr="005606B4">
        <w:rPr>
          <w:szCs w:val="22"/>
          <w:u w:val="none"/>
        </w:rPr>
        <w:t>(Sofosbuvir PSD, July 2014). The ESC considered that the treatments</w:t>
      </w:r>
      <w:r w:rsidR="006E024A">
        <w:rPr>
          <w:szCs w:val="22"/>
          <w:u w:val="none"/>
        </w:rPr>
        <w:t xml:space="preserve"> (submitted to the PBAC March 2015 meeting)</w:t>
      </w:r>
      <w:r w:rsidR="00CE7D45" w:rsidRPr="005606B4">
        <w:rPr>
          <w:szCs w:val="22"/>
          <w:u w:val="none"/>
        </w:rPr>
        <w:t xml:space="preserve"> were clinically effective in providing a SVR12 against hepatitis C. The ESC also considered that over time GT1 and GT3 treatment naïve non-cirrhotic patients are likely to become the predominant treatment populations, and therefore ICERs for this group should be most influential for decision-making.</w:t>
      </w:r>
    </w:p>
    <w:p w:rsidR="00CE7D45" w:rsidRPr="00AD4335" w:rsidRDefault="00CE7D45" w:rsidP="00CE7D45">
      <w:pPr>
        <w:pStyle w:val="ListParagraph"/>
        <w:numPr>
          <w:ilvl w:val="0"/>
          <w:numId w:val="18"/>
        </w:numPr>
        <w:rPr>
          <w:szCs w:val="22"/>
        </w:rPr>
      </w:pPr>
      <w:r w:rsidRPr="005606B4">
        <w:rPr>
          <w:szCs w:val="22"/>
        </w:rPr>
        <w:t>In the economic analysis, when 100% of treated patients were assumed to be cirrhotic</w:t>
      </w:r>
      <w:r w:rsidR="00793FD9">
        <w:rPr>
          <w:szCs w:val="22"/>
        </w:rPr>
        <w:t>,</w:t>
      </w:r>
      <w:r w:rsidRPr="005606B4">
        <w:rPr>
          <w:szCs w:val="22"/>
        </w:rPr>
        <w:t xml:space="preserve"> the ICER was lower than </w:t>
      </w:r>
      <w:r w:rsidRPr="005606B4">
        <w:t>when 100% of treated patients were assumed to be non-cirrhotic</w:t>
      </w:r>
      <w:r w:rsidRPr="005606B4">
        <w:rPr>
          <w:szCs w:val="22"/>
        </w:rPr>
        <w:t>. Despite a smaller treatment effect (i.e. a lower SVR)</w:t>
      </w:r>
      <w:proofErr w:type="gramStart"/>
      <w:r w:rsidRPr="005606B4">
        <w:rPr>
          <w:szCs w:val="22"/>
        </w:rPr>
        <w:t>,</w:t>
      </w:r>
      <w:proofErr w:type="gramEnd"/>
      <w:r w:rsidRPr="005606B4">
        <w:rPr>
          <w:szCs w:val="22"/>
        </w:rPr>
        <w:t xml:space="preserve"> the ESC noted that this ICER differen</w:t>
      </w:r>
      <w:r w:rsidR="00793FD9">
        <w:rPr>
          <w:szCs w:val="22"/>
        </w:rPr>
        <w:t>ce</w:t>
      </w:r>
      <w:r w:rsidRPr="005606B4">
        <w:rPr>
          <w:szCs w:val="22"/>
        </w:rPr>
        <w:t xml:space="preserve"> was driven by the delay of outcomes such as decompensated cirrhosis, hepatocellular carcinoma and mortality which generally were more likely to occur, and to occur sooner, in an untreated cirrhotic population.</w:t>
      </w:r>
    </w:p>
    <w:p w:rsidR="00CE7D45" w:rsidRPr="005606B4" w:rsidRDefault="00793FD9" w:rsidP="00CE7D45">
      <w:pPr>
        <w:pStyle w:val="ListParagraph"/>
        <w:numPr>
          <w:ilvl w:val="0"/>
          <w:numId w:val="18"/>
        </w:numPr>
        <w:rPr>
          <w:szCs w:val="22"/>
        </w:rPr>
      </w:pPr>
      <w:r>
        <w:rPr>
          <w:szCs w:val="22"/>
        </w:rPr>
        <w:t>I</w:t>
      </w:r>
      <w:r w:rsidR="00CE7D45" w:rsidRPr="005606B4">
        <w:rPr>
          <w:szCs w:val="22"/>
        </w:rPr>
        <w:t>n the economic models</w:t>
      </w:r>
      <w:r>
        <w:rPr>
          <w:szCs w:val="22"/>
        </w:rPr>
        <w:t>,</w:t>
      </w:r>
      <w:r w:rsidR="00CE7D45" w:rsidRPr="005606B4">
        <w:rPr>
          <w:szCs w:val="22"/>
        </w:rPr>
        <w:t xml:space="preserve"> it was more reasonable to assume that a cirrhotic patient with a SVR still had cirrhotic disease, and therefore would likely have an on-going risk of complications and mortality closer to that of an untreated cirrhotic patient than to that of the background population.  On the other hand, a SVR in a patient without cirrhosis is likely to avoid liver complications and associated disease due to viral eradication. </w:t>
      </w:r>
    </w:p>
    <w:p w:rsidR="00CE7D45" w:rsidRPr="005606B4" w:rsidRDefault="00793FD9" w:rsidP="00915F13">
      <w:pPr>
        <w:pStyle w:val="ListParagraph"/>
        <w:numPr>
          <w:ilvl w:val="0"/>
          <w:numId w:val="18"/>
        </w:numPr>
        <w:jc w:val="left"/>
        <w:rPr>
          <w:szCs w:val="22"/>
        </w:rPr>
      </w:pPr>
      <w:r>
        <w:rPr>
          <w:szCs w:val="22"/>
        </w:rPr>
        <w:t>T</w:t>
      </w:r>
      <w:r w:rsidR="00CE7D45" w:rsidRPr="005606B4">
        <w:rPr>
          <w:szCs w:val="22"/>
        </w:rPr>
        <w:t xml:space="preserve">he listing of the new treatment for hepatitis C should not be restricted </w:t>
      </w:r>
      <w:r>
        <w:rPr>
          <w:szCs w:val="22"/>
        </w:rPr>
        <w:t>by stage of</w:t>
      </w:r>
      <w:r w:rsidR="00CE7D45" w:rsidRPr="005606B4">
        <w:rPr>
          <w:szCs w:val="22"/>
        </w:rPr>
        <w:t xml:space="preserve"> hepatic fibrosis. However in clinical practice, the ESC considered that higher risk patients, such a patients with cirrhosis, are likely to be treated sooner following listing of interferon-free treatments. The ESC noted preliminary data from the ongoing, longitudinal, observational HCV-TARGET study (clinicialtrails.gov NCT01474811) showed that 45-60% of patients treated with interferon-free regiments were cirrhotic. (http://www.natap.org/2014/AASLDEASL/AASLDEASL_01.htm). However, the ESC considered that with the availability of highly effective and well-tolerated therapy, over time the predominant treatment population would be treatment naïve GT1 and GT3 patients without cirrhosis.</w:t>
      </w:r>
    </w:p>
    <w:p w:rsidR="00CE7D45" w:rsidRPr="005606B4" w:rsidRDefault="00CE7D45" w:rsidP="00CE7D45">
      <w:pPr>
        <w:pStyle w:val="ListParagraph"/>
        <w:numPr>
          <w:ilvl w:val="0"/>
          <w:numId w:val="18"/>
        </w:numPr>
        <w:rPr>
          <w:szCs w:val="22"/>
        </w:rPr>
      </w:pPr>
      <w:r w:rsidRPr="005606B4">
        <w:rPr>
          <w:szCs w:val="22"/>
        </w:rPr>
        <w:t xml:space="preserve">A consequence of this treatment pattern would be the rapid reduction of the pool of infected patients with cirrhosis. The ESC noted that all submissions assumed in the economic analysis that the proportion of patients with cirrhosis was greater than the figure of 5.9% (distribution of hepatic fibrosis stage F4) cited in the Recommendations from the </w:t>
      </w:r>
      <w:r w:rsidR="00A4589C" w:rsidRPr="005606B4">
        <w:rPr>
          <w:szCs w:val="22"/>
        </w:rPr>
        <w:t xml:space="preserve">Australian Liver Association </w:t>
      </w:r>
      <w:r w:rsidRPr="005606B4">
        <w:rPr>
          <w:szCs w:val="22"/>
        </w:rPr>
        <w:t>(</w:t>
      </w:r>
      <w:r w:rsidR="00A4589C" w:rsidRPr="005606B4">
        <w:rPr>
          <w:szCs w:val="22"/>
        </w:rPr>
        <w:t xml:space="preserve">ALA). </w:t>
      </w:r>
      <w:r w:rsidRPr="005606B4">
        <w:rPr>
          <w:szCs w:val="22"/>
        </w:rPr>
        <w:t xml:space="preserve">While the proportion of patients with cirrhosis would not reach zero, due to the current system capacity, the ESC considered that the assumption of a static and high prevalence of cirrhotic patients in the analysis favours the treatment arm in the medium to long term, and does not reflect the cost-effectiveness of overall treatment in the short term following the listing of these treatments.  The ESC considered that it was more informative to present the ICER for non-cirrhotic and cirrhotic patients separately to see the extremes of the cost-effectiveness. </w:t>
      </w:r>
    </w:p>
    <w:p w:rsidR="00CE7D45" w:rsidRPr="005606B4" w:rsidRDefault="00CE7D45" w:rsidP="00CE7D45">
      <w:pPr>
        <w:pStyle w:val="ListParagraph"/>
        <w:numPr>
          <w:ilvl w:val="0"/>
          <w:numId w:val="18"/>
        </w:numPr>
        <w:rPr>
          <w:szCs w:val="22"/>
        </w:rPr>
      </w:pPr>
      <w:r w:rsidRPr="005606B4">
        <w:rPr>
          <w:szCs w:val="22"/>
        </w:rPr>
        <w:t xml:space="preserve">During the discussion, the ESC recalled the consideration of sofosbuvir at the July PBAC 2014 meeting. The ESC noted that the PBAC recalled that for the submissions for </w:t>
      </w:r>
      <w:proofErr w:type="spellStart"/>
      <w:r w:rsidRPr="005606B4">
        <w:rPr>
          <w:szCs w:val="22"/>
        </w:rPr>
        <w:t>boceprevir</w:t>
      </w:r>
      <w:proofErr w:type="spellEnd"/>
      <w:r w:rsidRPr="005606B4">
        <w:rPr>
          <w:szCs w:val="22"/>
        </w:rPr>
        <w:t xml:space="preserve"> and telaprevir the ICER range accepted was $15,000- $45,000/QALY. The PBAC considered that trying to value sofosbuvir with a weighted ICER was inappropriate when the ICER for some treatment groups was substantially higher </w:t>
      </w:r>
      <w:r w:rsidRPr="005606B4">
        <w:rPr>
          <w:szCs w:val="22"/>
        </w:rPr>
        <w:lastRenderedPageBreak/>
        <w:t>than this range. The PBAC was also concerned that the weightings that underpin the weighted value for each treatment group, were uncertain due to the number of assumptions made about the proportion of patients with prior treatment/cirrhosis/IFN eligibility and genotype. (PSD, July 2014). In addition,</w:t>
      </w:r>
      <w:r w:rsidRPr="005606B4" w:rsidDel="00DB10D0">
        <w:rPr>
          <w:szCs w:val="22"/>
        </w:rPr>
        <w:t xml:space="preserve"> </w:t>
      </w:r>
      <w:r w:rsidRPr="005606B4">
        <w:rPr>
          <w:szCs w:val="22"/>
        </w:rPr>
        <w:t xml:space="preserve">the ESC noted that a weighted ICER should be generated by weighting costs and weighting benefits, before calculating the ratio. </w:t>
      </w:r>
    </w:p>
    <w:p w:rsidR="00CE7D45" w:rsidRPr="00C709E1" w:rsidRDefault="00CE7D45" w:rsidP="00CE7D45">
      <w:pPr>
        <w:pStyle w:val="ListParagraph"/>
        <w:numPr>
          <w:ilvl w:val="0"/>
          <w:numId w:val="18"/>
        </w:numPr>
        <w:rPr>
          <w:szCs w:val="22"/>
        </w:rPr>
      </w:pPr>
      <w:r w:rsidRPr="005606B4">
        <w:t>The ESC noted the very large opportunity cost of the new medicines for the treatment Hepatitis C, if listed at the price proposed. A consequence of a significant opportunity cost to the health care system is the</w:t>
      </w:r>
      <w:r w:rsidR="00BF04C9">
        <w:t xml:space="preserve"> potential for reduced</w:t>
      </w:r>
      <w:r w:rsidRPr="005606B4">
        <w:t xml:space="preserve"> access to future cost-effective medicines. The ESC considered that in this situation, it would be appropriate and necessary for the PBAC to expect that the ICERs that would define potentially </w:t>
      </w:r>
      <w:r w:rsidRPr="00C709E1">
        <w:rPr>
          <w:szCs w:val="22"/>
        </w:rPr>
        <w:t>acceptable cost-effectiveness should be at the lower end of the range previously accepted for interventions for this disease.</w:t>
      </w:r>
    </w:p>
    <w:p w:rsidR="00506AB0" w:rsidRPr="00C709E1" w:rsidRDefault="00506AB0" w:rsidP="00506AB0">
      <w:pPr>
        <w:rPr>
          <w:szCs w:val="22"/>
        </w:rPr>
      </w:pPr>
    </w:p>
    <w:p w:rsidR="00506AB0" w:rsidRPr="00C709E1" w:rsidRDefault="00506AB0" w:rsidP="00506AB0">
      <w:pPr>
        <w:pStyle w:val="ListParagraph"/>
        <w:widowControl/>
        <w:numPr>
          <w:ilvl w:val="1"/>
          <w:numId w:val="1"/>
        </w:numPr>
        <w:rPr>
          <w:szCs w:val="22"/>
        </w:rPr>
      </w:pPr>
      <w:r w:rsidRPr="00C709E1">
        <w:rPr>
          <w:szCs w:val="22"/>
        </w:rPr>
        <w:t>The PBAC noted in the pre-PBAC response that the sponsor sought clinical advice that confirmed that patients with more advance</w:t>
      </w:r>
      <w:r w:rsidR="00BF04C9">
        <w:rPr>
          <w:szCs w:val="22"/>
        </w:rPr>
        <w:t>d</w:t>
      </w:r>
      <w:r w:rsidRPr="00C709E1">
        <w:rPr>
          <w:szCs w:val="22"/>
        </w:rPr>
        <w:t xml:space="preserve"> fibrosis would be treated ahead of those with less fibrosis.  </w:t>
      </w:r>
    </w:p>
    <w:p w:rsidR="00DC253A" w:rsidRPr="00C709E1" w:rsidRDefault="00DC253A" w:rsidP="00DC253A">
      <w:pPr>
        <w:pStyle w:val="PBACHeading1"/>
        <w:numPr>
          <w:ilvl w:val="0"/>
          <w:numId w:val="0"/>
        </w:numPr>
        <w:ind w:left="720" w:hanging="720"/>
      </w:pPr>
    </w:p>
    <w:p w:rsidR="00BF04C9" w:rsidRDefault="00C709E1" w:rsidP="00C709E1">
      <w:pPr>
        <w:pStyle w:val="ListParagraph"/>
        <w:widowControl/>
        <w:numPr>
          <w:ilvl w:val="1"/>
          <w:numId w:val="1"/>
        </w:numPr>
        <w:rPr>
          <w:szCs w:val="22"/>
        </w:rPr>
      </w:pPr>
      <w:r w:rsidRPr="00C709E1">
        <w:rPr>
          <w:szCs w:val="22"/>
        </w:rPr>
        <w:t>The PBAC noted the cost-effective analysis presented in the submission. The PBAC agreed with the revised base case presented in the ESC Advice. The PBAC disagreed with the sponsor and considered that a 30 year time horizon was appropriate. Multivariate sensitivity analysis adjusting the time horizon, transition probabilities, and utilities produced ICERs outside the range of $15,000 to $45</w:t>
      </w:r>
      <w:proofErr w:type="gramStart"/>
      <w:r w:rsidRPr="00C709E1">
        <w:rPr>
          <w:szCs w:val="22"/>
        </w:rPr>
        <w:t>,0000</w:t>
      </w:r>
      <w:proofErr w:type="gramEnd"/>
      <w:r w:rsidRPr="00C709E1">
        <w:rPr>
          <w:szCs w:val="22"/>
        </w:rPr>
        <w:t xml:space="preserve">/ QALY. The PBAC noted that the </w:t>
      </w:r>
      <w:r w:rsidR="00BF04C9">
        <w:rPr>
          <w:szCs w:val="22"/>
        </w:rPr>
        <w:t xml:space="preserve">incremental </w:t>
      </w:r>
      <w:r w:rsidRPr="00C709E1">
        <w:rPr>
          <w:szCs w:val="22"/>
        </w:rPr>
        <w:t>cost-effective</w:t>
      </w:r>
      <w:r w:rsidR="00BF04C9">
        <w:rPr>
          <w:szCs w:val="22"/>
        </w:rPr>
        <w:t>ness</w:t>
      </w:r>
      <w:r w:rsidRPr="00C709E1">
        <w:rPr>
          <w:szCs w:val="22"/>
        </w:rPr>
        <w:t xml:space="preserve"> ratio when the proposed price of the SOF was imputed into the model, was outside the range of $15,000 to $45,000/ QALY </w:t>
      </w:r>
    </w:p>
    <w:p w:rsidR="00BF04C9" w:rsidRDefault="00BF04C9" w:rsidP="00BF04C9">
      <w:pPr>
        <w:pStyle w:val="ListParagraph"/>
        <w:widowControl/>
        <w:rPr>
          <w:szCs w:val="22"/>
        </w:rPr>
      </w:pPr>
    </w:p>
    <w:p w:rsidR="00E07CFE" w:rsidRPr="00BC1FB2" w:rsidRDefault="00C709E1" w:rsidP="00C709E1">
      <w:pPr>
        <w:pStyle w:val="ListParagraph"/>
        <w:widowControl/>
        <w:numPr>
          <w:ilvl w:val="1"/>
          <w:numId w:val="1"/>
        </w:numPr>
        <w:rPr>
          <w:szCs w:val="22"/>
        </w:rPr>
      </w:pPr>
      <w:r w:rsidRPr="00E07CFE">
        <w:rPr>
          <w:szCs w:val="22"/>
        </w:rPr>
        <w:t xml:space="preserve">The PBAC </w:t>
      </w:r>
      <w:r w:rsidR="00BF04C9" w:rsidRPr="00E07CFE">
        <w:rPr>
          <w:szCs w:val="22"/>
        </w:rPr>
        <w:t xml:space="preserve">also </w:t>
      </w:r>
      <w:r w:rsidRPr="00E07CFE">
        <w:rPr>
          <w:szCs w:val="22"/>
        </w:rPr>
        <w:t xml:space="preserve">noted that ICER </w:t>
      </w:r>
      <w:r w:rsidR="00BF04C9" w:rsidRPr="00E07CFE">
        <w:rPr>
          <w:szCs w:val="22"/>
        </w:rPr>
        <w:t>might</w:t>
      </w:r>
      <w:r w:rsidRPr="00E07CFE">
        <w:rPr>
          <w:szCs w:val="22"/>
        </w:rPr>
        <w:t xml:space="preserve"> be higher if the more conservative transition probabilities from the NICE assessment raised in the Commentary were applied to the model. </w:t>
      </w:r>
      <w:r w:rsidR="00861329">
        <w:rPr>
          <w:szCs w:val="22"/>
        </w:rPr>
        <w:t xml:space="preserve">In addition, the PBAC noted the other items, at the March 2015 meeting, modelling the cost-effectiveness of HCV treatment, using inputs and assumptions that </w:t>
      </w:r>
      <w:r w:rsidR="00861329" w:rsidRPr="00BC1FB2">
        <w:rPr>
          <w:szCs w:val="22"/>
        </w:rPr>
        <w:t xml:space="preserve">the PBAC considered to be more appropriate for this disease. </w:t>
      </w:r>
    </w:p>
    <w:p w:rsidR="00E07CFE" w:rsidRPr="00BC1FB2" w:rsidRDefault="00E07CFE" w:rsidP="00E07CFE">
      <w:pPr>
        <w:pStyle w:val="ListParagraph"/>
        <w:rPr>
          <w:szCs w:val="22"/>
        </w:rPr>
      </w:pPr>
    </w:p>
    <w:p w:rsidR="00C709E1" w:rsidRPr="00BC1FB2" w:rsidRDefault="00E07CFE" w:rsidP="00C709E1">
      <w:pPr>
        <w:pStyle w:val="ListParagraph"/>
        <w:widowControl/>
        <w:numPr>
          <w:ilvl w:val="1"/>
          <w:numId w:val="1"/>
        </w:numPr>
        <w:rPr>
          <w:szCs w:val="22"/>
        </w:rPr>
      </w:pPr>
      <w:r w:rsidRPr="00BC1FB2">
        <w:rPr>
          <w:szCs w:val="22"/>
        </w:rPr>
        <w:t>Overall, the economic model presented in the submission favoured daclatasvir and that applying more conservative inputs or scenarios increased</w:t>
      </w:r>
      <w:r w:rsidR="003A2220" w:rsidRPr="00BC1FB2">
        <w:rPr>
          <w:szCs w:val="22"/>
        </w:rPr>
        <w:t xml:space="preserve"> the</w:t>
      </w:r>
      <w:r w:rsidRPr="00BC1FB2">
        <w:rPr>
          <w:szCs w:val="22"/>
        </w:rPr>
        <w:t xml:space="preserve"> ICERs/QALY to </w:t>
      </w:r>
      <w:r w:rsidR="003A2220" w:rsidRPr="00BC1FB2">
        <w:rPr>
          <w:szCs w:val="22"/>
        </w:rPr>
        <w:t xml:space="preserve">a </w:t>
      </w:r>
      <w:r w:rsidRPr="00BC1FB2">
        <w:rPr>
          <w:szCs w:val="22"/>
        </w:rPr>
        <w:t xml:space="preserve">range higher than the PBAC considered cost-effective for the treatment of CHC.  </w:t>
      </w:r>
    </w:p>
    <w:p w:rsidR="00BF04C9" w:rsidRPr="00E07CFE" w:rsidRDefault="00BF04C9" w:rsidP="00BF04C9">
      <w:pPr>
        <w:pStyle w:val="ListParagraph"/>
        <w:widowControl/>
        <w:rPr>
          <w:szCs w:val="22"/>
        </w:rPr>
      </w:pPr>
    </w:p>
    <w:p w:rsidR="00C709E1" w:rsidRDefault="00C709E1" w:rsidP="00C709E1">
      <w:pPr>
        <w:pStyle w:val="ListParagraph"/>
        <w:widowControl/>
        <w:numPr>
          <w:ilvl w:val="1"/>
          <w:numId w:val="1"/>
        </w:numPr>
        <w:rPr>
          <w:szCs w:val="22"/>
          <w:lang w:val="en-US"/>
        </w:rPr>
      </w:pPr>
      <w:r w:rsidRPr="00E07CFE">
        <w:rPr>
          <w:szCs w:val="22"/>
        </w:rPr>
        <w:t>Though</w:t>
      </w:r>
      <w:r w:rsidRPr="00E07CFE">
        <w:rPr>
          <w:bCs/>
          <w:szCs w:val="22"/>
          <w:lang w:val="en-GB"/>
        </w:rPr>
        <w:t xml:space="preserve"> all the dat</w:t>
      </w:r>
      <w:r w:rsidRPr="00C709E1">
        <w:rPr>
          <w:bCs/>
          <w:szCs w:val="22"/>
          <w:lang w:val="en-GB"/>
        </w:rPr>
        <w:t xml:space="preserve">a presented to the committee was based on </w:t>
      </w:r>
      <w:r w:rsidRPr="00C709E1">
        <w:rPr>
          <w:szCs w:val="22"/>
          <w:lang w:val="en-US"/>
        </w:rPr>
        <w:t xml:space="preserve">unadjusted single arms of studies, the PBAC considered that </w:t>
      </w:r>
      <w:r w:rsidRPr="00C709E1">
        <w:rPr>
          <w:szCs w:val="22"/>
        </w:rPr>
        <w:t xml:space="preserve">it </w:t>
      </w:r>
      <w:r w:rsidRPr="00C709E1">
        <w:rPr>
          <w:szCs w:val="22"/>
          <w:lang w:val="en-US"/>
        </w:rPr>
        <w:t xml:space="preserve">was reasonable to assume that one treatment course of DCV+SOF 12 weeks was </w:t>
      </w:r>
      <w:r w:rsidR="00E07CFE">
        <w:rPr>
          <w:szCs w:val="22"/>
          <w:lang w:val="en-US"/>
        </w:rPr>
        <w:t xml:space="preserve">as </w:t>
      </w:r>
      <w:r w:rsidRPr="00C709E1">
        <w:rPr>
          <w:szCs w:val="22"/>
          <w:lang w:val="en-US"/>
        </w:rPr>
        <w:t xml:space="preserve">effective </w:t>
      </w:r>
      <w:r w:rsidR="00E07CFE">
        <w:rPr>
          <w:szCs w:val="22"/>
          <w:lang w:val="en-US"/>
        </w:rPr>
        <w:t>as</w:t>
      </w:r>
      <w:r w:rsidR="00E07CFE" w:rsidRPr="00C709E1">
        <w:rPr>
          <w:szCs w:val="22"/>
          <w:lang w:val="en-US"/>
        </w:rPr>
        <w:t xml:space="preserve"> </w:t>
      </w:r>
      <w:r w:rsidRPr="00C709E1">
        <w:rPr>
          <w:szCs w:val="22"/>
          <w:lang w:val="en-US"/>
        </w:rPr>
        <w:t>one course of LDV/SOF for genotype 1 patients and SOF</w:t>
      </w:r>
      <w:r w:rsidR="00682E23">
        <w:rPr>
          <w:szCs w:val="22"/>
          <w:lang w:val="en-US"/>
        </w:rPr>
        <w:t>24</w:t>
      </w:r>
      <w:r w:rsidRPr="00C709E1">
        <w:rPr>
          <w:szCs w:val="22"/>
          <w:lang w:val="en-US"/>
        </w:rPr>
        <w:t>+R24 in genotype 3 patients.</w:t>
      </w:r>
      <w:r w:rsidR="00E07CFE">
        <w:rPr>
          <w:szCs w:val="22"/>
          <w:lang w:val="en-US"/>
        </w:rPr>
        <w:t xml:space="preserve"> The PBAC considered </w:t>
      </w:r>
      <w:r w:rsidR="00CE1A6C" w:rsidRPr="00FF2FB4">
        <w:t xml:space="preserve">that there was no basis on which to recommend that </w:t>
      </w:r>
      <w:r w:rsidR="00CE1A6C" w:rsidRPr="00C709E1">
        <w:rPr>
          <w:szCs w:val="22"/>
          <w:lang w:val="en-US"/>
        </w:rPr>
        <w:t xml:space="preserve">DCV+SOF </w:t>
      </w:r>
      <w:r w:rsidR="00CE1A6C" w:rsidRPr="00FF2FB4">
        <w:t xml:space="preserve">be more expensive than </w:t>
      </w:r>
      <w:r w:rsidR="00CE1A6C" w:rsidRPr="00C709E1">
        <w:rPr>
          <w:szCs w:val="22"/>
          <w:lang w:val="en-US"/>
        </w:rPr>
        <w:t>LDV/SOF for genotype 1 patients and SOF</w:t>
      </w:r>
      <w:r w:rsidR="00682E23">
        <w:rPr>
          <w:szCs w:val="22"/>
          <w:lang w:val="en-US"/>
        </w:rPr>
        <w:t>24</w:t>
      </w:r>
      <w:r w:rsidR="00CE1A6C" w:rsidRPr="00C709E1">
        <w:rPr>
          <w:szCs w:val="22"/>
          <w:lang w:val="en-US"/>
        </w:rPr>
        <w:t>+R24 in genotype 3 patients</w:t>
      </w:r>
    </w:p>
    <w:p w:rsidR="00BF04C9" w:rsidRPr="00C709E1" w:rsidRDefault="00BF04C9" w:rsidP="00BF04C9">
      <w:pPr>
        <w:pStyle w:val="ListParagraph"/>
        <w:widowControl/>
        <w:rPr>
          <w:szCs w:val="22"/>
          <w:lang w:val="en-US"/>
        </w:rPr>
      </w:pPr>
    </w:p>
    <w:p w:rsidR="006772E6" w:rsidRPr="00F8136C" w:rsidRDefault="006772E6" w:rsidP="006772E6">
      <w:pPr>
        <w:pStyle w:val="ListParagraph"/>
        <w:widowControl/>
        <w:numPr>
          <w:ilvl w:val="1"/>
          <w:numId w:val="1"/>
        </w:numPr>
        <w:rPr>
          <w:szCs w:val="22"/>
          <w:lang w:val="en-US"/>
        </w:rPr>
      </w:pPr>
      <w:r w:rsidRPr="00F8136C">
        <w:rPr>
          <w:szCs w:val="22"/>
          <w:lang w:val="en-US"/>
        </w:rPr>
        <w:t xml:space="preserve">Though the PBAC did not accept all aspects of the economic model as submitted, </w:t>
      </w:r>
      <w:r>
        <w:rPr>
          <w:szCs w:val="22"/>
          <w:lang w:val="en-US"/>
        </w:rPr>
        <w:t>to examine the comparative price setting, the model parameters were modified</w:t>
      </w:r>
      <w:r w:rsidRPr="00F8136C">
        <w:rPr>
          <w:szCs w:val="22"/>
          <w:lang w:val="en-US"/>
        </w:rPr>
        <w:t xml:space="preserve"> in the following way. </w:t>
      </w:r>
    </w:p>
    <w:p w:rsidR="006772E6" w:rsidRPr="00153F37" w:rsidRDefault="006772E6" w:rsidP="006772E6">
      <w:pPr>
        <w:pStyle w:val="ListParagraph"/>
        <w:widowControl/>
        <w:numPr>
          <w:ilvl w:val="1"/>
          <w:numId w:val="27"/>
        </w:numPr>
        <w:rPr>
          <w:color w:val="1F497D" w:themeColor="text2"/>
          <w:szCs w:val="22"/>
        </w:rPr>
      </w:pPr>
      <w:r>
        <w:rPr>
          <w:szCs w:val="22"/>
          <w:lang w:val="en-US"/>
        </w:rPr>
        <w:t xml:space="preserve">For GT1a as representative of the cost of treating Genotype 1 patients: The model parameters were adjusted in </w:t>
      </w:r>
      <w:r w:rsidR="003000DB">
        <w:rPr>
          <w:szCs w:val="22"/>
          <w:lang w:val="en-US"/>
        </w:rPr>
        <w:t>‘</w:t>
      </w:r>
      <w:r w:rsidR="00053985">
        <w:rPr>
          <w:szCs w:val="22"/>
          <w:lang w:val="en-US"/>
        </w:rPr>
        <w:t xml:space="preserve">DCV </w:t>
      </w:r>
      <w:r w:rsidRPr="00F9550B">
        <w:rPr>
          <w:szCs w:val="22"/>
          <w:lang w:val="en-US"/>
        </w:rPr>
        <w:t>HCV Economic_Model_Nov14.xlsm</w:t>
      </w:r>
      <w:r w:rsidR="003000DB">
        <w:rPr>
          <w:szCs w:val="22"/>
          <w:lang w:val="en-US"/>
        </w:rPr>
        <w:t>’</w:t>
      </w:r>
      <w:r>
        <w:rPr>
          <w:szCs w:val="22"/>
          <w:lang w:val="en-US"/>
        </w:rPr>
        <w:t xml:space="preserve"> to achieve </w:t>
      </w:r>
      <w:r>
        <w:rPr>
          <w:szCs w:val="22"/>
          <w:lang w:val="en-US"/>
        </w:rPr>
        <w:lastRenderedPageBreak/>
        <w:t xml:space="preserve">the following difference in cost of </w:t>
      </w:r>
      <w:r w:rsidR="008B3897">
        <w:rPr>
          <w:szCs w:val="22"/>
          <w:lang w:val="en-US"/>
        </w:rPr>
        <w:t xml:space="preserve">$15,000 - $45,000 </w:t>
      </w:r>
      <w:r>
        <w:rPr>
          <w:szCs w:val="22"/>
          <w:lang w:val="en-US"/>
        </w:rPr>
        <w:t xml:space="preserve">and difference in QALY of </w:t>
      </w:r>
      <w:r w:rsidRPr="00C709E1">
        <w:rPr>
          <w:szCs w:val="22"/>
          <w:lang w:val="en-US"/>
        </w:rPr>
        <w:t>1.8888</w:t>
      </w:r>
      <w:r>
        <w:rPr>
          <w:szCs w:val="22"/>
          <w:lang w:val="en-US"/>
        </w:rPr>
        <w:t>, in the ‘Results’ tab, with Control Arm Cost set to $0.  In ‘</w:t>
      </w:r>
      <w:proofErr w:type="spellStart"/>
      <w:r>
        <w:rPr>
          <w:szCs w:val="22"/>
          <w:lang w:val="en-US"/>
        </w:rPr>
        <w:t>ModelInputs</w:t>
      </w:r>
      <w:proofErr w:type="spellEnd"/>
      <w:r>
        <w:rPr>
          <w:szCs w:val="22"/>
          <w:lang w:val="en-US"/>
        </w:rPr>
        <w:t>’, the following inputs were applied</w:t>
      </w:r>
      <w:r w:rsidRPr="00F8136C">
        <w:rPr>
          <w:szCs w:val="22"/>
          <w:lang w:val="en-US"/>
        </w:rPr>
        <w:t xml:space="preserve">: (1) the comparator regimen and “Second line” treatment (both arms) was set to no treatment and the treatment regimen was set to ‘DCV+SOF’; (2) Genotype was set to ‘GT1a’; (3) </w:t>
      </w:r>
      <w:r>
        <w:rPr>
          <w:szCs w:val="22"/>
          <w:lang w:val="en-US"/>
        </w:rPr>
        <w:t>a</w:t>
      </w:r>
      <w:r w:rsidRPr="00F8136C">
        <w:rPr>
          <w:szCs w:val="22"/>
          <w:lang w:val="en-US"/>
        </w:rPr>
        <w:t xml:space="preserve"> regimen cost</w:t>
      </w:r>
      <w:r>
        <w:rPr>
          <w:szCs w:val="22"/>
          <w:lang w:val="en-US"/>
        </w:rPr>
        <w:t xml:space="preserve"> was entered into ‘S</w:t>
      </w:r>
      <w:r w:rsidRPr="00F8136C">
        <w:rPr>
          <w:szCs w:val="22"/>
          <w:lang w:val="en-US"/>
        </w:rPr>
        <w:t>ent to the model</w:t>
      </w:r>
      <w:r>
        <w:rPr>
          <w:szCs w:val="22"/>
          <w:lang w:val="en-US"/>
        </w:rPr>
        <w:t>’ cell (E64)</w:t>
      </w:r>
      <w:r w:rsidRPr="00F8136C">
        <w:rPr>
          <w:szCs w:val="22"/>
          <w:lang w:val="en-US"/>
        </w:rPr>
        <w:t xml:space="preserve"> to achieve </w:t>
      </w:r>
      <w:r>
        <w:rPr>
          <w:szCs w:val="22"/>
          <w:lang w:val="en-US"/>
        </w:rPr>
        <w:t xml:space="preserve">the incremental cost and QALY values specified above. </w:t>
      </w:r>
    </w:p>
    <w:p w:rsidR="006772E6" w:rsidRPr="00F8136C" w:rsidRDefault="006772E6" w:rsidP="006772E6">
      <w:pPr>
        <w:pStyle w:val="ListParagraph"/>
        <w:widowControl/>
        <w:numPr>
          <w:ilvl w:val="1"/>
          <w:numId w:val="27"/>
        </w:numPr>
        <w:rPr>
          <w:color w:val="1F497D" w:themeColor="text2"/>
          <w:szCs w:val="22"/>
        </w:rPr>
      </w:pPr>
      <w:r>
        <w:rPr>
          <w:szCs w:val="22"/>
          <w:lang w:val="en-US"/>
        </w:rPr>
        <w:t>For GT3: The mo</w:t>
      </w:r>
      <w:r w:rsidR="003000DB">
        <w:rPr>
          <w:szCs w:val="22"/>
          <w:lang w:val="en-US"/>
        </w:rPr>
        <w:t>del parameters were adjusted in ‘</w:t>
      </w:r>
      <w:r w:rsidR="00053985">
        <w:rPr>
          <w:szCs w:val="22"/>
          <w:lang w:val="en-US"/>
        </w:rPr>
        <w:t xml:space="preserve">DCV </w:t>
      </w:r>
      <w:r w:rsidR="00053985" w:rsidRPr="00F9550B">
        <w:rPr>
          <w:szCs w:val="22"/>
          <w:lang w:val="en-US"/>
        </w:rPr>
        <w:t>HCV</w:t>
      </w:r>
      <w:r w:rsidRPr="00F9550B">
        <w:rPr>
          <w:szCs w:val="22"/>
          <w:lang w:val="en-US"/>
        </w:rPr>
        <w:t xml:space="preserve"> Economic_Model_Nov14.xlsm</w:t>
      </w:r>
      <w:r w:rsidR="003000DB">
        <w:rPr>
          <w:szCs w:val="22"/>
          <w:lang w:val="en-US"/>
        </w:rPr>
        <w:t>’</w:t>
      </w:r>
      <w:r>
        <w:rPr>
          <w:szCs w:val="22"/>
          <w:lang w:val="en-US"/>
        </w:rPr>
        <w:t xml:space="preserve"> to achieve the following difference in cost of </w:t>
      </w:r>
      <w:r w:rsidR="008B3897">
        <w:rPr>
          <w:szCs w:val="22"/>
          <w:lang w:val="en-US"/>
        </w:rPr>
        <w:t xml:space="preserve">$15,000 - $45,000 </w:t>
      </w:r>
      <w:r>
        <w:rPr>
          <w:szCs w:val="22"/>
          <w:lang w:val="en-US"/>
        </w:rPr>
        <w:t xml:space="preserve">and difference in QALY of </w:t>
      </w:r>
      <w:r w:rsidRPr="00C709E1">
        <w:rPr>
          <w:szCs w:val="22"/>
          <w:lang w:val="en-US"/>
        </w:rPr>
        <w:t>1.8532</w:t>
      </w:r>
      <w:r>
        <w:rPr>
          <w:szCs w:val="22"/>
          <w:lang w:val="en-US"/>
        </w:rPr>
        <w:t>, in the ‘Results’ tab, with Control Arm Cost set to $0.  In ‘</w:t>
      </w:r>
      <w:proofErr w:type="spellStart"/>
      <w:r>
        <w:rPr>
          <w:szCs w:val="22"/>
          <w:lang w:val="en-US"/>
        </w:rPr>
        <w:t>ModelInputs</w:t>
      </w:r>
      <w:proofErr w:type="spellEnd"/>
      <w:r>
        <w:rPr>
          <w:szCs w:val="22"/>
          <w:lang w:val="en-US"/>
        </w:rPr>
        <w:t>’, the following inputs were applied</w:t>
      </w:r>
      <w:r w:rsidRPr="00F8136C">
        <w:rPr>
          <w:szCs w:val="22"/>
          <w:lang w:val="en-US"/>
        </w:rPr>
        <w:t>: (1) the comparator regimen and “Second line” treatment (both arms) was set to no treatment and the treatment regimen was set to ‘DCV+SOF’; (2) Genotype was set to ‘GT</w:t>
      </w:r>
      <w:r>
        <w:rPr>
          <w:szCs w:val="22"/>
          <w:lang w:val="en-US"/>
        </w:rPr>
        <w:t>3</w:t>
      </w:r>
      <w:r w:rsidRPr="00F8136C">
        <w:rPr>
          <w:szCs w:val="22"/>
          <w:lang w:val="en-US"/>
        </w:rPr>
        <w:t xml:space="preserve">’; (3) </w:t>
      </w:r>
      <w:r>
        <w:rPr>
          <w:szCs w:val="22"/>
          <w:lang w:val="en-US"/>
        </w:rPr>
        <w:t>a</w:t>
      </w:r>
      <w:r w:rsidRPr="00F8136C">
        <w:rPr>
          <w:szCs w:val="22"/>
          <w:lang w:val="en-US"/>
        </w:rPr>
        <w:t xml:space="preserve"> regimen cost</w:t>
      </w:r>
      <w:r>
        <w:rPr>
          <w:szCs w:val="22"/>
          <w:lang w:val="en-US"/>
        </w:rPr>
        <w:t xml:space="preserve"> was entered into ‘S</w:t>
      </w:r>
      <w:r w:rsidRPr="00F8136C">
        <w:rPr>
          <w:szCs w:val="22"/>
          <w:lang w:val="en-US"/>
        </w:rPr>
        <w:t>ent to the model</w:t>
      </w:r>
      <w:r>
        <w:rPr>
          <w:szCs w:val="22"/>
          <w:lang w:val="en-US"/>
        </w:rPr>
        <w:t>’ cell (E64)</w:t>
      </w:r>
      <w:r w:rsidRPr="00F8136C">
        <w:rPr>
          <w:szCs w:val="22"/>
          <w:lang w:val="en-US"/>
        </w:rPr>
        <w:t xml:space="preserve"> to achieve </w:t>
      </w:r>
      <w:r>
        <w:rPr>
          <w:szCs w:val="22"/>
          <w:lang w:val="en-US"/>
        </w:rPr>
        <w:t>the incremental cost and QALY values specified above.</w:t>
      </w:r>
    </w:p>
    <w:p w:rsidR="00C709E1" w:rsidRPr="00C709E1" w:rsidRDefault="00C709E1" w:rsidP="00BF04C9">
      <w:pPr>
        <w:pStyle w:val="ListParagraph"/>
        <w:widowControl/>
        <w:rPr>
          <w:color w:val="1F497D" w:themeColor="text2"/>
          <w:szCs w:val="22"/>
        </w:rPr>
      </w:pPr>
      <w:r w:rsidRPr="00C709E1">
        <w:rPr>
          <w:szCs w:val="22"/>
          <w:lang w:val="en-US"/>
        </w:rPr>
        <w:t xml:space="preserve"> </w:t>
      </w:r>
    </w:p>
    <w:p w:rsidR="00C709E1" w:rsidRPr="00C709E1" w:rsidRDefault="00C709E1" w:rsidP="00C709E1">
      <w:pPr>
        <w:pStyle w:val="ListParagraph"/>
        <w:widowControl/>
        <w:numPr>
          <w:ilvl w:val="1"/>
          <w:numId w:val="1"/>
        </w:numPr>
        <w:rPr>
          <w:szCs w:val="22"/>
        </w:rPr>
      </w:pPr>
      <w:r w:rsidRPr="00C709E1">
        <w:rPr>
          <w:szCs w:val="22"/>
          <w:lang w:val="en-US"/>
        </w:rPr>
        <w:t>The</w:t>
      </w:r>
      <w:r w:rsidRPr="00C709E1">
        <w:rPr>
          <w:szCs w:val="22"/>
        </w:rPr>
        <w:t xml:space="preserve"> PBAC noted that the draft product information included:</w:t>
      </w:r>
    </w:p>
    <w:p w:rsidR="00C709E1" w:rsidRPr="00C709E1" w:rsidRDefault="00C709E1" w:rsidP="00BB2672">
      <w:pPr>
        <w:pStyle w:val="ListParagraph"/>
        <w:widowControl/>
        <w:numPr>
          <w:ilvl w:val="0"/>
          <w:numId w:val="19"/>
        </w:numPr>
        <w:spacing w:after="200"/>
        <w:ind w:left="851" w:hanging="284"/>
        <w:jc w:val="left"/>
        <w:rPr>
          <w:szCs w:val="22"/>
        </w:rPr>
      </w:pPr>
      <w:r w:rsidRPr="00C709E1">
        <w:rPr>
          <w:szCs w:val="22"/>
        </w:rPr>
        <w:t>Consider adding ribavirin to the DAKLINZA/sofosbuvir 12-week regimen or prolonging treatment duration to 24 weeks for patients with cirrhosis or with other negative prognostic factors such as prior treatment experience (</w:t>
      </w:r>
      <w:proofErr w:type="spellStart"/>
      <w:r w:rsidRPr="00C709E1">
        <w:rPr>
          <w:szCs w:val="22"/>
        </w:rPr>
        <w:t>eg</w:t>
      </w:r>
      <w:proofErr w:type="spellEnd"/>
      <w:r w:rsidRPr="00C709E1">
        <w:rPr>
          <w:szCs w:val="22"/>
        </w:rPr>
        <w:t xml:space="preserve">, protease inhibitor, </w:t>
      </w:r>
      <w:proofErr w:type="spellStart"/>
      <w:r w:rsidRPr="00C709E1">
        <w:rPr>
          <w:szCs w:val="22"/>
        </w:rPr>
        <w:t>peginterferon</w:t>
      </w:r>
      <w:proofErr w:type="spellEnd"/>
      <w:r w:rsidRPr="00C709E1">
        <w:rPr>
          <w:szCs w:val="22"/>
        </w:rPr>
        <w:t xml:space="preserve"> alfa and ribavirin).</w:t>
      </w:r>
    </w:p>
    <w:p w:rsidR="00C709E1" w:rsidRPr="00C709E1" w:rsidRDefault="00C709E1" w:rsidP="00BB2672">
      <w:pPr>
        <w:pStyle w:val="ListParagraph"/>
        <w:widowControl/>
        <w:numPr>
          <w:ilvl w:val="0"/>
          <w:numId w:val="19"/>
        </w:numPr>
        <w:spacing w:after="200"/>
        <w:ind w:left="851" w:hanging="284"/>
        <w:jc w:val="left"/>
        <w:rPr>
          <w:szCs w:val="22"/>
        </w:rPr>
      </w:pPr>
      <w:r w:rsidRPr="00C709E1">
        <w:rPr>
          <w:szCs w:val="22"/>
        </w:rPr>
        <w:t xml:space="preserve">The dose of DAKLINZA should be reduced to 30 mg once daily when </w:t>
      </w:r>
      <w:proofErr w:type="spellStart"/>
      <w:r w:rsidRPr="00C709E1">
        <w:rPr>
          <w:szCs w:val="22"/>
        </w:rPr>
        <w:t>coadministered</w:t>
      </w:r>
      <w:proofErr w:type="spellEnd"/>
      <w:r w:rsidRPr="00C709E1">
        <w:rPr>
          <w:szCs w:val="22"/>
        </w:rPr>
        <w:t xml:space="preserve"> with strong inhibitors of CYP3A4 (using the 30 mg tablet; DAKLINZA tablets should not be broken).</w:t>
      </w:r>
    </w:p>
    <w:p w:rsidR="00C709E1" w:rsidRDefault="00C709E1" w:rsidP="00BB2672">
      <w:pPr>
        <w:pStyle w:val="ListParagraph"/>
        <w:widowControl/>
        <w:numPr>
          <w:ilvl w:val="0"/>
          <w:numId w:val="19"/>
        </w:numPr>
        <w:spacing w:after="200"/>
        <w:ind w:left="851" w:hanging="284"/>
        <w:jc w:val="left"/>
        <w:rPr>
          <w:szCs w:val="22"/>
        </w:rPr>
      </w:pPr>
      <w:r w:rsidRPr="00C709E1">
        <w:rPr>
          <w:szCs w:val="22"/>
        </w:rPr>
        <w:t xml:space="preserve">The dose of DAKLINZA should be increased to 90 mg once daily (three 30 mg tablets or one 60 mg and one 30 mg tablet) when </w:t>
      </w:r>
      <w:proofErr w:type="spellStart"/>
      <w:r w:rsidRPr="00C709E1">
        <w:rPr>
          <w:szCs w:val="22"/>
        </w:rPr>
        <w:t>coadministered</w:t>
      </w:r>
      <w:proofErr w:type="spellEnd"/>
      <w:r w:rsidRPr="00C709E1">
        <w:rPr>
          <w:szCs w:val="22"/>
        </w:rPr>
        <w:t xml:space="preserve"> with moderate inducers of CYP3A4. </w:t>
      </w:r>
    </w:p>
    <w:p w:rsidR="00BB2672" w:rsidRPr="00C709E1" w:rsidRDefault="00BB2672" w:rsidP="00BB2672">
      <w:pPr>
        <w:pStyle w:val="ListParagraph"/>
        <w:widowControl/>
        <w:spacing w:after="200"/>
        <w:ind w:left="851"/>
        <w:jc w:val="left"/>
        <w:rPr>
          <w:szCs w:val="22"/>
        </w:rPr>
      </w:pPr>
    </w:p>
    <w:p w:rsidR="00C709E1" w:rsidRPr="00D15CC7" w:rsidRDefault="00D15CC7" w:rsidP="00C709E1">
      <w:pPr>
        <w:pStyle w:val="ListParagraph"/>
        <w:widowControl/>
        <w:numPr>
          <w:ilvl w:val="1"/>
          <w:numId w:val="1"/>
        </w:numPr>
        <w:rPr>
          <w:szCs w:val="22"/>
        </w:rPr>
      </w:pPr>
      <w:r w:rsidRPr="00A134C0">
        <w:rPr>
          <w:szCs w:val="22"/>
        </w:rPr>
        <w:t>The PBAC recommended that the cost to achieve a SVR12 should be independent of the treatment duration (</w:t>
      </w:r>
      <w:r w:rsidRPr="00D15CC7">
        <w:rPr>
          <w:szCs w:val="22"/>
        </w:rPr>
        <w:t>such as 12 week or 24 weeks</w:t>
      </w:r>
      <w:r w:rsidRPr="00A134C0">
        <w:rPr>
          <w:szCs w:val="22"/>
        </w:rPr>
        <w:t>)</w:t>
      </w:r>
      <w:r>
        <w:rPr>
          <w:szCs w:val="22"/>
        </w:rPr>
        <w:t xml:space="preserve"> and</w:t>
      </w:r>
      <w:r w:rsidRPr="00A134C0">
        <w:rPr>
          <w:szCs w:val="22"/>
        </w:rPr>
        <w:t xml:space="preserve"> </w:t>
      </w:r>
      <w:r w:rsidRPr="00D15CC7">
        <w:rPr>
          <w:szCs w:val="22"/>
        </w:rPr>
        <w:t xml:space="preserve">treatment dose (30 mg, 60mg and 90mg) </w:t>
      </w:r>
      <w:r w:rsidRPr="00A134C0">
        <w:rPr>
          <w:szCs w:val="22"/>
        </w:rPr>
        <w:t>considered to be appropriate to achieve a SVR in patients</w:t>
      </w:r>
      <w:r>
        <w:rPr>
          <w:szCs w:val="22"/>
        </w:rPr>
        <w:t xml:space="preserve">. </w:t>
      </w:r>
    </w:p>
    <w:p w:rsidR="00CE7D45" w:rsidRPr="00A52A58" w:rsidRDefault="00CE7D45" w:rsidP="002D6284">
      <w:pPr>
        <w:widowControl/>
        <w:rPr>
          <w:szCs w:val="22"/>
        </w:rPr>
      </w:pPr>
    </w:p>
    <w:p w:rsidR="00C25D9C" w:rsidRPr="002C2775" w:rsidRDefault="009C102C" w:rsidP="002C2775">
      <w:pPr>
        <w:pStyle w:val="Heading2"/>
        <w:rPr>
          <w:i/>
          <w:szCs w:val="22"/>
        </w:rPr>
      </w:pPr>
      <w:bookmarkStart w:id="15" w:name="_Toc409610870"/>
      <w:r w:rsidRPr="004A0645">
        <w:t>Drug cost/patient/course: $</w:t>
      </w:r>
      <w:r w:rsidR="00E70598">
        <w:rPr>
          <w:noProof/>
          <w:color w:val="000000"/>
          <w:highlight w:val="black"/>
        </w:rPr>
        <w:t>''''''''''''''''''''</w:t>
      </w:r>
      <w:r w:rsidRPr="004A0645">
        <w:t xml:space="preserve"> (DCV+SOF)</w:t>
      </w:r>
      <w:r w:rsidR="00C25D9C" w:rsidRPr="004A0645">
        <w:t>.</w:t>
      </w:r>
      <w:bookmarkEnd w:id="15"/>
    </w:p>
    <w:p w:rsidR="00C25D9C" w:rsidRPr="00C25D9C" w:rsidRDefault="00C25D9C" w:rsidP="00C25D9C">
      <w:pPr>
        <w:widowControl/>
        <w:rPr>
          <w:szCs w:val="22"/>
        </w:rPr>
      </w:pPr>
    </w:p>
    <w:p w:rsidR="009C102C" w:rsidRPr="009C102C" w:rsidRDefault="009C102C" w:rsidP="00C768A3">
      <w:pPr>
        <w:pStyle w:val="ListParagraph"/>
        <w:widowControl/>
        <w:numPr>
          <w:ilvl w:val="1"/>
          <w:numId w:val="1"/>
        </w:numPr>
        <w:rPr>
          <w:szCs w:val="22"/>
        </w:rPr>
      </w:pPr>
      <w:r w:rsidRPr="009C102C">
        <w:rPr>
          <w:szCs w:val="22"/>
        </w:rPr>
        <w:t>Cost of daclatasvir: $</w:t>
      </w:r>
      <w:r w:rsidR="00E70598">
        <w:rPr>
          <w:noProof/>
          <w:color w:val="000000"/>
          <w:szCs w:val="22"/>
          <w:highlight w:val="black"/>
        </w:rPr>
        <w:t>'''''''''''''''''''''''</w:t>
      </w:r>
      <w:r w:rsidRPr="009C102C">
        <w:rPr>
          <w:szCs w:val="22"/>
        </w:rPr>
        <w:t xml:space="preserve"> for a 12 week course</w:t>
      </w:r>
      <w:r w:rsidR="00AA4467">
        <w:rPr>
          <w:szCs w:val="22"/>
        </w:rPr>
        <w:t>.</w:t>
      </w:r>
    </w:p>
    <w:p w:rsidR="009C102C" w:rsidRPr="009C102C" w:rsidRDefault="009C102C" w:rsidP="009C102C">
      <w:pPr>
        <w:widowControl/>
        <w:tabs>
          <w:tab w:val="left" w:pos="709"/>
        </w:tabs>
        <w:ind w:left="709"/>
        <w:rPr>
          <w:szCs w:val="22"/>
        </w:rPr>
      </w:pPr>
      <w:r w:rsidRPr="009C102C">
        <w:rPr>
          <w:szCs w:val="22"/>
        </w:rPr>
        <w:t>Cost of sofosbuvir: $</w:t>
      </w:r>
      <w:r w:rsidR="00E70598">
        <w:rPr>
          <w:noProof/>
          <w:color w:val="000000"/>
          <w:szCs w:val="22"/>
          <w:highlight w:val="black"/>
        </w:rPr>
        <w:t>''''''''''''''''''''''</w:t>
      </w:r>
      <w:r w:rsidRPr="009C102C">
        <w:rPr>
          <w:szCs w:val="22"/>
        </w:rPr>
        <w:t xml:space="preserve"> for a 12 week course</w:t>
      </w:r>
      <w:r w:rsidR="00AA4467">
        <w:rPr>
          <w:szCs w:val="22"/>
        </w:rPr>
        <w:t>.</w:t>
      </w:r>
    </w:p>
    <w:p w:rsidR="009C102C" w:rsidRPr="009C102C" w:rsidRDefault="009C102C" w:rsidP="00AA4467">
      <w:pPr>
        <w:widowControl/>
        <w:tabs>
          <w:tab w:val="left" w:pos="709"/>
        </w:tabs>
        <w:ind w:left="709"/>
        <w:rPr>
          <w:szCs w:val="22"/>
        </w:rPr>
      </w:pPr>
      <w:r w:rsidRPr="009C102C">
        <w:rPr>
          <w:szCs w:val="22"/>
        </w:rPr>
        <w:t xml:space="preserve">The cost of DCV+SOF is based on the submission’s assumption that the maximum quantity for sofosbuvir is sufficient for a 12 week course and that the </w:t>
      </w:r>
      <w:r w:rsidR="000507F6">
        <w:rPr>
          <w:szCs w:val="22"/>
        </w:rPr>
        <w:t>dispensed price for maximum quantity (</w:t>
      </w:r>
      <w:r w:rsidRPr="009C102C">
        <w:rPr>
          <w:szCs w:val="22"/>
        </w:rPr>
        <w:t>DPMQ</w:t>
      </w:r>
      <w:r w:rsidR="000507F6">
        <w:rPr>
          <w:szCs w:val="22"/>
        </w:rPr>
        <w:t>)</w:t>
      </w:r>
      <w:r w:rsidRPr="009C102C">
        <w:rPr>
          <w:szCs w:val="22"/>
        </w:rPr>
        <w:t xml:space="preserve"> is $</w:t>
      </w:r>
      <w:r w:rsidR="00E70598">
        <w:rPr>
          <w:noProof/>
          <w:color w:val="000000"/>
          <w:szCs w:val="22"/>
          <w:highlight w:val="black"/>
        </w:rPr>
        <w:t>'''''''''''''''''''''</w:t>
      </w:r>
      <w:r w:rsidRPr="009C102C">
        <w:rPr>
          <w:szCs w:val="22"/>
        </w:rPr>
        <w:t>.</w:t>
      </w:r>
      <w:r w:rsidR="00AA4467">
        <w:rPr>
          <w:szCs w:val="22"/>
        </w:rPr>
        <w:t xml:space="preserve"> </w:t>
      </w:r>
      <w:r w:rsidRPr="009C102C">
        <w:rPr>
          <w:szCs w:val="22"/>
        </w:rPr>
        <w:t>Patients only receive one 12 week course of treatment.</w:t>
      </w:r>
    </w:p>
    <w:p w:rsidR="00B60939" w:rsidRPr="001E2B1E" w:rsidRDefault="00B60939" w:rsidP="001456B0">
      <w:pPr>
        <w:rPr>
          <w:szCs w:val="22"/>
        </w:rPr>
      </w:pPr>
    </w:p>
    <w:p w:rsidR="00B60939" w:rsidRPr="00BB2672" w:rsidRDefault="00B60939" w:rsidP="002C2775">
      <w:pPr>
        <w:pStyle w:val="Heading2"/>
      </w:pPr>
      <w:bookmarkStart w:id="16" w:name="_Toc409610871"/>
      <w:r w:rsidRPr="00BB2672">
        <w:t>Estimated PBS usage &amp; financial implications</w:t>
      </w:r>
      <w:bookmarkEnd w:id="16"/>
    </w:p>
    <w:p w:rsidR="00B60939" w:rsidRPr="00882085" w:rsidRDefault="00B60939" w:rsidP="00B60939">
      <w:pPr>
        <w:ind w:left="720" w:hanging="720"/>
        <w:rPr>
          <w:b/>
          <w:i/>
          <w:szCs w:val="22"/>
        </w:rPr>
      </w:pPr>
    </w:p>
    <w:p w:rsidR="000A4630" w:rsidRPr="00DC253A" w:rsidRDefault="00117197" w:rsidP="00C768A3">
      <w:pPr>
        <w:pStyle w:val="ListParagraph"/>
        <w:widowControl/>
        <w:numPr>
          <w:ilvl w:val="1"/>
          <w:numId w:val="1"/>
        </w:numPr>
        <w:rPr>
          <w:szCs w:val="22"/>
        </w:rPr>
      </w:pPr>
      <w:r w:rsidRPr="00DC253A">
        <w:t>The submission was considered by the Drug Utilisation Sub-Committee (DUSC).</w:t>
      </w:r>
    </w:p>
    <w:p w:rsidR="00117197" w:rsidRPr="00DC253A" w:rsidRDefault="00117197" w:rsidP="00117197">
      <w:pPr>
        <w:pStyle w:val="ListParagraph"/>
        <w:widowControl/>
        <w:rPr>
          <w:szCs w:val="22"/>
        </w:rPr>
      </w:pPr>
    </w:p>
    <w:p w:rsidR="00117197" w:rsidRPr="002D6284" w:rsidRDefault="00117197" w:rsidP="00C768A3">
      <w:pPr>
        <w:pStyle w:val="ListParagraph"/>
        <w:widowControl/>
        <w:numPr>
          <w:ilvl w:val="1"/>
          <w:numId w:val="1"/>
        </w:numPr>
        <w:rPr>
          <w:rStyle w:val="CommentReference"/>
          <w:rFonts w:ascii="Arial" w:hAnsi="Arial"/>
          <w:b w:val="0"/>
          <w:sz w:val="22"/>
          <w:szCs w:val="22"/>
        </w:rPr>
      </w:pPr>
      <w:r w:rsidRPr="00DC253A">
        <w:rPr>
          <w:rStyle w:val="CommentReference"/>
          <w:rFonts w:ascii="Arial" w:hAnsi="Arial"/>
          <w:b w:val="0"/>
          <w:sz w:val="22"/>
          <w:szCs w:val="22"/>
        </w:rPr>
        <w:t>The following</w:t>
      </w:r>
      <w:r w:rsidRPr="002D6284">
        <w:rPr>
          <w:rStyle w:val="CommentReference"/>
          <w:rFonts w:ascii="Arial" w:hAnsi="Arial"/>
          <w:b w:val="0"/>
          <w:sz w:val="22"/>
          <w:szCs w:val="22"/>
        </w:rPr>
        <w:t xml:space="preserve"> estimates of PBS usage and financial implications were presented in the submission.</w:t>
      </w:r>
      <w:r w:rsidR="002D6284" w:rsidRPr="002D6284">
        <w:rPr>
          <w:rStyle w:val="CommentReference"/>
          <w:rFonts w:ascii="Arial" w:hAnsi="Arial"/>
          <w:b w:val="0"/>
          <w:sz w:val="22"/>
          <w:szCs w:val="22"/>
        </w:rPr>
        <w:t xml:space="preserve"> </w:t>
      </w:r>
      <w:r w:rsidR="002D6284" w:rsidRPr="002D6284">
        <w:rPr>
          <w:bCs/>
          <w:szCs w:val="22"/>
        </w:rPr>
        <w:t xml:space="preserve">At year 5, the estimated number of patients was </w:t>
      </w:r>
      <w:r w:rsidR="008B3897" w:rsidRPr="008B3897">
        <w:rPr>
          <w:bCs/>
          <w:szCs w:val="22"/>
        </w:rPr>
        <w:t>10,000 – 50,000</w:t>
      </w:r>
      <w:r w:rsidR="002D6284" w:rsidRPr="002D6284">
        <w:rPr>
          <w:bCs/>
          <w:szCs w:val="22"/>
        </w:rPr>
        <w:t xml:space="preserve"> and the net cost to the PBS would be </w:t>
      </w:r>
      <w:r w:rsidR="008B3897" w:rsidRPr="008B3897">
        <w:rPr>
          <w:bCs/>
          <w:szCs w:val="22"/>
        </w:rPr>
        <w:t>more than $100 million</w:t>
      </w:r>
      <w:r w:rsidR="002D6284" w:rsidRPr="002D6284">
        <w:rPr>
          <w:bCs/>
          <w:szCs w:val="22"/>
        </w:rPr>
        <w:t>.</w:t>
      </w:r>
      <w:r w:rsidR="002D6284">
        <w:rPr>
          <w:bCs/>
          <w:szCs w:val="22"/>
        </w:rPr>
        <w:t xml:space="preserve"> </w:t>
      </w:r>
    </w:p>
    <w:p w:rsidR="00117197" w:rsidRPr="00117197" w:rsidRDefault="00117197" w:rsidP="00117197">
      <w:pPr>
        <w:pStyle w:val="ListParagraph"/>
        <w:rPr>
          <w:b/>
          <w:i/>
          <w:szCs w:val="22"/>
        </w:rPr>
      </w:pPr>
    </w:p>
    <w:p w:rsidR="00180F96" w:rsidRDefault="00180F96">
      <w:pPr>
        <w:widowControl/>
        <w:jc w:val="left"/>
        <w:rPr>
          <w:rFonts w:ascii="Arial Narrow" w:hAnsi="Arial Narrow" w:cs="Times New Roman"/>
          <w:b/>
          <w:sz w:val="20"/>
          <w:szCs w:val="16"/>
        </w:rPr>
      </w:pPr>
      <w:r>
        <w:rPr>
          <w:rFonts w:ascii="Arial Narrow" w:hAnsi="Arial Narrow" w:cs="Times New Roman"/>
          <w:b/>
          <w:sz w:val="20"/>
          <w:szCs w:val="16"/>
        </w:rPr>
        <w:br w:type="page"/>
      </w:r>
    </w:p>
    <w:p w:rsidR="00FA0A91" w:rsidRPr="00FA0A91" w:rsidRDefault="00FA0A91" w:rsidP="00FA0A91">
      <w:pPr>
        <w:ind w:firstLine="709"/>
        <w:rPr>
          <w:rFonts w:ascii="Arial Narrow" w:hAnsi="Arial Narrow" w:cs="Times New Roman"/>
          <w:b/>
          <w:sz w:val="20"/>
          <w:szCs w:val="16"/>
        </w:rPr>
      </w:pPr>
      <w:r w:rsidRPr="00FA0A91">
        <w:rPr>
          <w:rFonts w:ascii="Arial Narrow" w:hAnsi="Arial Narrow" w:cs="Times New Roman"/>
          <w:b/>
          <w:sz w:val="20"/>
          <w:szCs w:val="16"/>
        </w:rPr>
        <w:lastRenderedPageBreak/>
        <w:t xml:space="preserve">Estimated net financial cost/year to the PBS/RPBS </w:t>
      </w:r>
    </w:p>
    <w:tbl>
      <w:tblPr>
        <w:tblStyle w:val="TableGrid"/>
        <w:tblW w:w="4524" w:type="pct"/>
        <w:tblInd w:w="817" w:type="dxa"/>
        <w:tblLook w:val="04A0" w:firstRow="1" w:lastRow="0" w:firstColumn="1" w:lastColumn="0" w:noHBand="0" w:noVBand="1"/>
        <w:tblCaption w:val="Estimated PBS usage &amp; financial implications"/>
        <w:tblDescription w:val="Year 1 to 5"/>
      </w:tblPr>
      <w:tblGrid>
        <w:gridCol w:w="1668"/>
        <w:gridCol w:w="1360"/>
        <w:gridCol w:w="1324"/>
        <w:gridCol w:w="1320"/>
        <w:gridCol w:w="1345"/>
        <w:gridCol w:w="1345"/>
      </w:tblGrid>
      <w:tr w:rsidR="00FA0A91" w:rsidRPr="00FA0A91" w:rsidTr="006A0274">
        <w:tc>
          <w:tcPr>
            <w:tcW w:w="1014" w:type="pct"/>
            <w:noWrap/>
            <w:hideMark/>
          </w:tcPr>
          <w:p w:rsidR="00FA0A91" w:rsidRPr="00FA0A91" w:rsidRDefault="00FA0A91" w:rsidP="00FA0A91">
            <w:pPr>
              <w:rPr>
                <w:rFonts w:ascii="Arial Narrow" w:hAnsi="Arial Narrow" w:cs="Times New Roman"/>
                <w:b/>
                <w:snapToGrid/>
                <w:sz w:val="20"/>
                <w:lang w:eastAsia="en-AU"/>
              </w:rPr>
            </w:pPr>
          </w:p>
        </w:tc>
        <w:tc>
          <w:tcPr>
            <w:tcW w:w="806" w:type="pct"/>
            <w:noWrap/>
            <w:vAlign w:val="center"/>
            <w:hideMark/>
          </w:tcPr>
          <w:p w:rsidR="00FA0A91" w:rsidRPr="00FA0A91" w:rsidRDefault="00FA0A91" w:rsidP="00FA0A91">
            <w:pPr>
              <w:jc w:val="center"/>
              <w:rPr>
                <w:rFonts w:ascii="Arial Narrow" w:hAnsi="Arial Narrow" w:cs="Times New Roman"/>
                <w:b/>
                <w:snapToGrid/>
                <w:sz w:val="20"/>
                <w:lang w:eastAsia="en-AU"/>
              </w:rPr>
            </w:pPr>
            <w:r w:rsidRPr="00FA0A91">
              <w:rPr>
                <w:rFonts w:ascii="Arial Narrow" w:hAnsi="Arial Narrow" w:cs="Times New Roman"/>
                <w:b/>
                <w:snapToGrid/>
                <w:sz w:val="20"/>
                <w:lang w:eastAsia="en-AU"/>
              </w:rPr>
              <w:t>Year 1</w:t>
            </w:r>
          </w:p>
        </w:tc>
        <w:tc>
          <w:tcPr>
            <w:tcW w:w="808" w:type="pct"/>
            <w:noWrap/>
            <w:vAlign w:val="center"/>
            <w:hideMark/>
          </w:tcPr>
          <w:p w:rsidR="00FA0A91" w:rsidRPr="00FA0A91" w:rsidRDefault="00FA0A91" w:rsidP="00FA0A91">
            <w:pPr>
              <w:jc w:val="center"/>
              <w:rPr>
                <w:rFonts w:ascii="Arial Narrow" w:hAnsi="Arial Narrow" w:cs="Times New Roman"/>
                <w:b/>
                <w:snapToGrid/>
                <w:sz w:val="20"/>
                <w:lang w:eastAsia="en-AU"/>
              </w:rPr>
            </w:pPr>
            <w:r w:rsidRPr="00FA0A91">
              <w:rPr>
                <w:rFonts w:ascii="Arial Narrow" w:hAnsi="Arial Narrow" w:cs="Times New Roman"/>
                <w:b/>
                <w:snapToGrid/>
                <w:sz w:val="20"/>
                <w:lang w:eastAsia="en-AU"/>
              </w:rPr>
              <w:t>Year 2</w:t>
            </w:r>
          </w:p>
        </w:tc>
        <w:tc>
          <w:tcPr>
            <w:tcW w:w="805" w:type="pct"/>
            <w:noWrap/>
            <w:vAlign w:val="center"/>
            <w:hideMark/>
          </w:tcPr>
          <w:p w:rsidR="00FA0A91" w:rsidRPr="00FA0A91" w:rsidRDefault="00FA0A91" w:rsidP="00FA0A91">
            <w:pPr>
              <w:jc w:val="center"/>
              <w:rPr>
                <w:rFonts w:ascii="Arial Narrow" w:hAnsi="Arial Narrow" w:cs="Times New Roman"/>
                <w:b/>
                <w:snapToGrid/>
                <w:sz w:val="20"/>
                <w:lang w:eastAsia="en-AU"/>
              </w:rPr>
            </w:pPr>
            <w:r w:rsidRPr="00FA0A91">
              <w:rPr>
                <w:rFonts w:ascii="Arial Narrow" w:hAnsi="Arial Narrow" w:cs="Times New Roman"/>
                <w:b/>
                <w:snapToGrid/>
                <w:sz w:val="20"/>
                <w:lang w:eastAsia="en-AU"/>
              </w:rPr>
              <w:t>Year 3</w:t>
            </w:r>
          </w:p>
        </w:tc>
        <w:tc>
          <w:tcPr>
            <w:tcW w:w="805" w:type="pct"/>
            <w:noWrap/>
            <w:vAlign w:val="center"/>
            <w:hideMark/>
          </w:tcPr>
          <w:p w:rsidR="00FA0A91" w:rsidRPr="00FA0A91" w:rsidRDefault="00FA0A91" w:rsidP="00FA0A91">
            <w:pPr>
              <w:jc w:val="center"/>
              <w:rPr>
                <w:rFonts w:ascii="Arial Narrow" w:hAnsi="Arial Narrow" w:cs="Times New Roman"/>
                <w:b/>
                <w:snapToGrid/>
                <w:sz w:val="20"/>
                <w:lang w:eastAsia="en-AU"/>
              </w:rPr>
            </w:pPr>
            <w:r w:rsidRPr="00FA0A91">
              <w:rPr>
                <w:rFonts w:ascii="Arial Narrow" w:hAnsi="Arial Narrow" w:cs="Times New Roman"/>
                <w:b/>
                <w:snapToGrid/>
                <w:sz w:val="20"/>
                <w:lang w:eastAsia="en-AU"/>
              </w:rPr>
              <w:t>Year 4</w:t>
            </w:r>
          </w:p>
        </w:tc>
        <w:tc>
          <w:tcPr>
            <w:tcW w:w="763" w:type="pct"/>
            <w:noWrap/>
            <w:vAlign w:val="center"/>
            <w:hideMark/>
          </w:tcPr>
          <w:p w:rsidR="00FA0A91" w:rsidRPr="00FA0A91" w:rsidRDefault="00FA0A91" w:rsidP="00FA0A91">
            <w:pPr>
              <w:jc w:val="center"/>
              <w:rPr>
                <w:rFonts w:ascii="Arial Narrow" w:hAnsi="Arial Narrow" w:cs="Times New Roman"/>
                <w:b/>
                <w:snapToGrid/>
                <w:sz w:val="20"/>
                <w:lang w:eastAsia="en-AU"/>
              </w:rPr>
            </w:pPr>
            <w:r w:rsidRPr="00FA0A91">
              <w:rPr>
                <w:rFonts w:ascii="Arial Narrow" w:hAnsi="Arial Narrow" w:cs="Times New Roman"/>
                <w:b/>
                <w:snapToGrid/>
                <w:sz w:val="20"/>
                <w:lang w:eastAsia="en-AU"/>
              </w:rPr>
              <w:t>Year 5</w:t>
            </w:r>
          </w:p>
        </w:tc>
      </w:tr>
      <w:tr w:rsidR="00FA0A91" w:rsidRPr="00FA0A91" w:rsidTr="00FA0A91">
        <w:tc>
          <w:tcPr>
            <w:tcW w:w="5000" w:type="pct"/>
            <w:gridSpan w:val="6"/>
            <w:tcBorders>
              <w:top w:val="single" w:sz="4" w:space="0" w:color="auto"/>
              <w:bottom w:val="single" w:sz="4" w:space="0" w:color="auto"/>
            </w:tcBorders>
            <w:vAlign w:val="center"/>
          </w:tcPr>
          <w:p w:rsidR="00FA0A91" w:rsidRPr="00FA0A91" w:rsidRDefault="00FA0A91" w:rsidP="00FA0A91">
            <w:pPr>
              <w:jc w:val="left"/>
              <w:rPr>
                <w:rFonts w:ascii="Arial Narrow" w:hAnsi="Arial Narrow" w:cs="Times New Roman"/>
                <w:b/>
                <w:i/>
                <w:sz w:val="20"/>
              </w:rPr>
            </w:pPr>
            <w:r w:rsidRPr="00FA0A91">
              <w:rPr>
                <w:rFonts w:ascii="Arial Narrow" w:hAnsi="Arial Narrow" w:cs="Times New Roman"/>
                <w:b/>
                <w:snapToGrid/>
                <w:sz w:val="20"/>
                <w:lang w:eastAsia="en-AU"/>
              </w:rPr>
              <w:t>Total cost DCV+SOF</w:t>
            </w:r>
          </w:p>
        </w:tc>
      </w:tr>
      <w:tr w:rsidR="00FA0A91" w:rsidRPr="00FA0A91" w:rsidTr="006A0274">
        <w:tc>
          <w:tcPr>
            <w:tcW w:w="1014" w:type="pct"/>
            <w:tcBorders>
              <w:bottom w:val="single" w:sz="4" w:space="0" w:color="auto"/>
            </w:tcBorders>
            <w:vAlign w:val="center"/>
          </w:tcPr>
          <w:p w:rsidR="00FA0A91" w:rsidRPr="00FA0A91" w:rsidRDefault="00FA0A91" w:rsidP="00FA0A91">
            <w:pPr>
              <w:ind w:left="142"/>
              <w:jc w:val="left"/>
              <w:rPr>
                <w:rFonts w:ascii="Arial Narrow" w:hAnsi="Arial Narrow" w:cs="Times New Roman"/>
                <w:snapToGrid/>
                <w:sz w:val="20"/>
                <w:lang w:eastAsia="en-AU"/>
              </w:rPr>
            </w:pPr>
            <w:r w:rsidRPr="00FA0A91">
              <w:rPr>
                <w:rFonts w:ascii="Arial Narrow" w:hAnsi="Arial Narrow" w:cs="Times New Roman"/>
                <w:snapToGrid/>
                <w:sz w:val="20"/>
                <w:lang w:eastAsia="en-AU"/>
              </w:rPr>
              <w:t>Patients treated</w:t>
            </w:r>
          </w:p>
        </w:tc>
        <w:tc>
          <w:tcPr>
            <w:tcW w:w="806" w:type="pct"/>
            <w:tcBorders>
              <w:bottom w:val="single" w:sz="4" w:space="0" w:color="auto"/>
            </w:tcBorders>
            <w:noWrap/>
            <w:vAlign w:val="center"/>
          </w:tcPr>
          <w:p w:rsidR="00FA0A91" w:rsidRPr="00E70598" w:rsidRDefault="00E70598" w:rsidP="00FA0A9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8" w:type="pct"/>
            <w:tcBorders>
              <w:bottom w:val="single" w:sz="4" w:space="0" w:color="auto"/>
            </w:tcBorders>
            <w:noWrap/>
            <w:vAlign w:val="center"/>
          </w:tcPr>
          <w:p w:rsidR="00FA0A91" w:rsidRPr="00E70598" w:rsidRDefault="00E70598" w:rsidP="00FA0A9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5" w:type="pct"/>
            <w:tcBorders>
              <w:bottom w:val="single" w:sz="4" w:space="0" w:color="auto"/>
            </w:tcBorders>
            <w:noWrap/>
            <w:vAlign w:val="center"/>
          </w:tcPr>
          <w:p w:rsidR="00FA0A91" w:rsidRPr="00E70598" w:rsidRDefault="00E70598" w:rsidP="00FA0A9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805" w:type="pct"/>
            <w:tcBorders>
              <w:bottom w:val="single" w:sz="4" w:space="0" w:color="auto"/>
            </w:tcBorders>
            <w:noWrap/>
            <w:vAlign w:val="center"/>
          </w:tcPr>
          <w:p w:rsidR="00FA0A91" w:rsidRPr="00E70598" w:rsidRDefault="00E70598" w:rsidP="00FA0A9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763" w:type="pct"/>
            <w:tcBorders>
              <w:bottom w:val="single" w:sz="4" w:space="0" w:color="auto"/>
            </w:tcBorders>
            <w:noWrap/>
            <w:vAlign w:val="center"/>
          </w:tcPr>
          <w:p w:rsidR="00FA0A91" w:rsidRPr="00E70598" w:rsidRDefault="00E70598" w:rsidP="00FA0A9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FA0A91" w:rsidRPr="00FA0A91" w:rsidTr="006A0274">
        <w:tc>
          <w:tcPr>
            <w:tcW w:w="1014" w:type="pct"/>
            <w:tcBorders>
              <w:bottom w:val="nil"/>
            </w:tcBorders>
            <w:vAlign w:val="center"/>
          </w:tcPr>
          <w:p w:rsidR="00FA0A91" w:rsidRPr="00FA0A91" w:rsidRDefault="00FA0A91" w:rsidP="00FA0A91">
            <w:pPr>
              <w:ind w:left="142"/>
              <w:jc w:val="left"/>
              <w:rPr>
                <w:rFonts w:ascii="Arial Narrow" w:hAnsi="Arial Narrow" w:cs="Times New Roman"/>
                <w:snapToGrid/>
                <w:sz w:val="20"/>
                <w:lang w:eastAsia="en-AU"/>
              </w:rPr>
            </w:pPr>
            <w:r w:rsidRPr="00FA0A91">
              <w:rPr>
                <w:rFonts w:ascii="Arial Narrow" w:hAnsi="Arial Narrow" w:cs="Times New Roman"/>
                <w:snapToGrid/>
                <w:sz w:val="20"/>
                <w:lang w:eastAsia="en-AU"/>
              </w:rPr>
              <w:t>Total cost</w:t>
            </w:r>
          </w:p>
        </w:tc>
        <w:tc>
          <w:tcPr>
            <w:tcW w:w="806" w:type="pct"/>
            <w:tcBorders>
              <w:bottom w:val="nil"/>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8" w:type="pct"/>
            <w:tcBorders>
              <w:bottom w:val="nil"/>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bottom w:val="nil"/>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bottom w:val="nil"/>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763" w:type="pct"/>
            <w:tcBorders>
              <w:bottom w:val="nil"/>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r>
      <w:tr w:rsidR="00FA0A91" w:rsidRPr="00FA0A91" w:rsidTr="006A0274">
        <w:tc>
          <w:tcPr>
            <w:tcW w:w="1014" w:type="pct"/>
            <w:tcBorders>
              <w:top w:val="nil"/>
              <w:bottom w:val="single" w:sz="4" w:space="0" w:color="auto"/>
            </w:tcBorders>
            <w:vAlign w:val="center"/>
          </w:tcPr>
          <w:p w:rsidR="00FA0A91" w:rsidRPr="00FA0A91" w:rsidRDefault="00FA0A91" w:rsidP="00FA0A91">
            <w:pPr>
              <w:ind w:left="142"/>
              <w:jc w:val="left"/>
              <w:rPr>
                <w:rFonts w:ascii="Arial Narrow" w:hAnsi="Arial Narrow" w:cs="Times New Roman"/>
                <w:snapToGrid/>
                <w:sz w:val="20"/>
                <w:vertAlign w:val="superscript"/>
                <w:lang w:eastAsia="en-AU"/>
              </w:rPr>
            </w:pPr>
            <w:r w:rsidRPr="00FA0A91">
              <w:rPr>
                <w:rFonts w:ascii="Arial Narrow" w:hAnsi="Arial Narrow" w:cs="Times New Roman"/>
                <w:snapToGrid/>
                <w:sz w:val="20"/>
                <w:lang w:eastAsia="en-AU"/>
              </w:rPr>
              <w:t>Total cost</w:t>
            </w:r>
            <w:r w:rsidRPr="00FA0A91">
              <w:rPr>
                <w:rFonts w:ascii="Arial Narrow" w:hAnsi="Arial Narrow" w:cs="Times New Roman"/>
                <w:snapToGrid/>
                <w:sz w:val="20"/>
                <w:vertAlign w:val="superscript"/>
                <w:lang w:eastAsia="en-AU"/>
              </w:rPr>
              <w:t>a</w:t>
            </w:r>
          </w:p>
        </w:tc>
        <w:tc>
          <w:tcPr>
            <w:tcW w:w="806"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8"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763"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r>
      <w:tr w:rsidR="00FA0A91" w:rsidRPr="00FA0A91" w:rsidTr="006A0274">
        <w:tc>
          <w:tcPr>
            <w:tcW w:w="1014" w:type="pct"/>
            <w:tcBorders>
              <w:bottom w:val="single" w:sz="4" w:space="0" w:color="auto"/>
            </w:tcBorders>
            <w:vAlign w:val="center"/>
          </w:tcPr>
          <w:p w:rsidR="00FA0A91" w:rsidRPr="00FA0A91" w:rsidRDefault="00FA0A91" w:rsidP="00FA0A91">
            <w:pPr>
              <w:ind w:left="142"/>
              <w:jc w:val="left"/>
              <w:rPr>
                <w:rFonts w:ascii="Arial Narrow" w:hAnsi="Arial Narrow" w:cs="Times New Roman"/>
                <w:snapToGrid/>
                <w:sz w:val="20"/>
                <w:lang w:eastAsia="en-AU"/>
              </w:rPr>
            </w:pPr>
            <w:r w:rsidRPr="00FA0A91">
              <w:rPr>
                <w:rFonts w:ascii="Arial Narrow" w:hAnsi="Arial Narrow" w:cs="Times New Roman"/>
                <w:snapToGrid/>
                <w:sz w:val="20"/>
                <w:lang w:eastAsia="en-AU"/>
              </w:rPr>
              <w:t>Patients co-payments</w:t>
            </w:r>
          </w:p>
        </w:tc>
        <w:tc>
          <w:tcPr>
            <w:tcW w:w="806" w:type="pct"/>
            <w:tcBorders>
              <w:bottom w:val="single" w:sz="4" w:space="0" w:color="auto"/>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8" w:type="pct"/>
            <w:tcBorders>
              <w:bottom w:val="single" w:sz="4" w:space="0" w:color="auto"/>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bottom w:val="single" w:sz="4" w:space="0" w:color="auto"/>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bottom w:val="single" w:sz="4" w:space="0" w:color="auto"/>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763" w:type="pct"/>
            <w:tcBorders>
              <w:bottom w:val="single" w:sz="4" w:space="0" w:color="auto"/>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r>
      <w:tr w:rsidR="00FA0A91" w:rsidRPr="00FA0A91" w:rsidTr="006A0274">
        <w:tc>
          <w:tcPr>
            <w:tcW w:w="1014" w:type="pct"/>
            <w:tcBorders>
              <w:bottom w:val="nil"/>
            </w:tcBorders>
            <w:vAlign w:val="center"/>
          </w:tcPr>
          <w:p w:rsidR="00FA0A91" w:rsidRPr="00FA0A91" w:rsidRDefault="00FA0A91" w:rsidP="00FA0A91">
            <w:pPr>
              <w:jc w:val="left"/>
              <w:rPr>
                <w:rFonts w:ascii="Arial Narrow" w:hAnsi="Arial Narrow" w:cs="Times New Roman"/>
                <w:snapToGrid/>
                <w:sz w:val="20"/>
                <w:lang w:eastAsia="en-AU"/>
              </w:rPr>
            </w:pPr>
            <w:r w:rsidRPr="00FA0A91">
              <w:rPr>
                <w:rFonts w:ascii="Arial Narrow" w:hAnsi="Arial Narrow" w:cs="Times New Roman"/>
                <w:snapToGrid/>
                <w:sz w:val="20"/>
                <w:lang w:eastAsia="en-AU"/>
              </w:rPr>
              <w:t>Cost to PBS/RPBS</w:t>
            </w:r>
          </w:p>
        </w:tc>
        <w:tc>
          <w:tcPr>
            <w:tcW w:w="806" w:type="pct"/>
            <w:tcBorders>
              <w:bottom w:val="nil"/>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8" w:type="pct"/>
            <w:tcBorders>
              <w:bottom w:val="nil"/>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bottom w:val="nil"/>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bottom w:val="nil"/>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763" w:type="pct"/>
            <w:tcBorders>
              <w:bottom w:val="nil"/>
            </w:tcBorders>
            <w:noWrap/>
            <w:vAlign w:val="center"/>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r>
      <w:tr w:rsidR="00FA0A91" w:rsidRPr="00FA0A91" w:rsidTr="006A0274">
        <w:tc>
          <w:tcPr>
            <w:tcW w:w="1014" w:type="pct"/>
            <w:tcBorders>
              <w:top w:val="nil"/>
              <w:bottom w:val="single" w:sz="4" w:space="0" w:color="auto"/>
            </w:tcBorders>
            <w:vAlign w:val="center"/>
          </w:tcPr>
          <w:p w:rsidR="00FA0A91" w:rsidRPr="00FA0A91" w:rsidRDefault="00FA0A91" w:rsidP="00FA0A91">
            <w:pPr>
              <w:jc w:val="left"/>
              <w:rPr>
                <w:rFonts w:ascii="Arial Narrow" w:hAnsi="Arial Narrow" w:cs="Times New Roman"/>
                <w:i/>
                <w:snapToGrid/>
                <w:sz w:val="20"/>
                <w:vertAlign w:val="superscript"/>
                <w:lang w:eastAsia="en-AU"/>
              </w:rPr>
            </w:pPr>
            <w:r w:rsidRPr="00FA0A91">
              <w:rPr>
                <w:rFonts w:ascii="Arial Narrow" w:hAnsi="Arial Narrow" w:cs="Times New Roman"/>
                <w:i/>
                <w:snapToGrid/>
                <w:sz w:val="20"/>
                <w:lang w:eastAsia="en-AU"/>
              </w:rPr>
              <w:t>Cost to PBS/</w:t>
            </w:r>
            <w:proofErr w:type="spellStart"/>
            <w:r w:rsidRPr="00FA0A91">
              <w:rPr>
                <w:rFonts w:ascii="Arial Narrow" w:hAnsi="Arial Narrow" w:cs="Times New Roman"/>
                <w:i/>
                <w:snapToGrid/>
                <w:sz w:val="20"/>
                <w:lang w:eastAsia="en-AU"/>
              </w:rPr>
              <w:t>RPBS</w:t>
            </w:r>
            <w:r w:rsidRPr="00FA0A91">
              <w:rPr>
                <w:rFonts w:ascii="Arial Narrow" w:hAnsi="Arial Narrow" w:cs="Times New Roman"/>
                <w:i/>
                <w:snapToGrid/>
                <w:sz w:val="20"/>
                <w:vertAlign w:val="superscript"/>
                <w:lang w:eastAsia="en-AU"/>
              </w:rPr>
              <w:t>a</w:t>
            </w:r>
            <w:proofErr w:type="spellEnd"/>
          </w:p>
        </w:tc>
        <w:tc>
          <w:tcPr>
            <w:tcW w:w="806"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i/>
                <w:sz w:val="20"/>
              </w:rPr>
            </w:pPr>
            <w:r w:rsidRPr="00FA0A91">
              <w:rPr>
                <w:rFonts w:ascii="Arial Narrow" w:hAnsi="Arial Narrow" w:cs="Times New Roman"/>
                <w:i/>
                <w:sz w:val="20"/>
              </w:rPr>
              <w:t>$</w:t>
            </w:r>
            <w:r w:rsidR="00E70598">
              <w:rPr>
                <w:rFonts w:ascii="Arial Narrow" w:hAnsi="Arial Narrow" w:cs="Times New Roman"/>
                <w:i/>
                <w:noProof/>
                <w:color w:val="000000"/>
                <w:sz w:val="20"/>
                <w:highlight w:val="black"/>
              </w:rPr>
              <w:t>''''''''''''''''''''''''''''</w:t>
            </w:r>
          </w:p>
        </w:tc>
        <w:tc>
          <w:tcPr>
            <w:tcW w:w="808"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i/>
                <w:sz w:val="20"/>
              </w:rPr>
            </w:pPr>
            <w:r w:rsidRPr="00FA0A91">
              <w:rPr>
                <w:rFonts w:ascii="Arial Narrow" w:hAnsi="Arial Narrow" w:cs="Times New Roman"/>
                <w:i/>
                <w:sz w:val="20"/>
              </w:rPr>
              <w:t>$</w:t>
            </w:r>
            <w:r w:rsidR="00E70598">
              <w:rPr>
                <w:rFonts w:ascii="Arial Narrow" w:hAnsi="Arial Narrow" w:cs="Times New Roman"/>
                <w:i/>
                <w:noProof/>
                <w:color w:val="000000"/>
                <w:sz w:val="20"/>
                <w:highlight w:val="black"/>
              </w:rPr>
              <w:t>''''''''''''''''''''''''''''''''</w:t>
            </w:r>
          </w:p>
        </w:tc>
        <w:tc>
          <w:tcPr>
            <w:tcW w:w="805"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i/>
                <w:sz w:val="20"/>
              </w:rPr>
            </w:pPr>
            <w:r w:rsidRPr="00FA0A91">
              <w:rPr>
                <w:rFonts w:ascii="Arial Narrow" w:hAnsi="Arial Narrow" w:cs="Times New Roman"/>
                <w:i/>
                <w:sz w:val="20"/>
              </w:rPr>
              <w:t>$</w:t>
            </w:r>
            <w:r w:rsidR="00E70598">
              <w:rPr>
                <w:rFonts w:ascii="Arial Narrow" w:hAnsi="Arial Narrow" w:cs="Times New Roman"/>
                <w:i/>
                <w:noProof/>
                <w:color w:val="000000"/>
                <w:sz w:val="20"/>
                <w:highlight w:val="black"/>
              </w:rPr>
              <w:t>''''''''''''''''''''''''''''''''</w:t>
            </w:r>
          </w:p>
        </w:tc>
        <w:tc>
          <w:tcPr>
            <w:tcW w:w="805"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i/>
                <w:sz w:val="20"/>
              </w:rPr>
            </w:pPr>
            <w:r w:rsidRPr="00FA0A91">
              <w:rPr>
                <w:rFonts w:ascii="Arial Narrow" w:hAnsi="Arial Narrow" w:cs="Times New Roman"/>
                <w:i/>
                <w:sz w:val="20"/>
              </w:rPr>
              <w:t>$</w:t>
            </w:r>
            <w:r w:rsidR="00E70598">
              <w:rPr>
                <w:rFonts w:ascii="Arial Narrow" w:hAnsi="Arial Narrow" w:cs="Times New Roman"/>
                <w:i/>
                <w:noProof/>
                <w:color w:val="000000"/>
                <w:sz w:val="20"/>
                <w:highlight w:val="black"/>
              </w:rPr>
              <w:t>'''''''''''''''''''''''''''''</w:t>
            </w:r>
          </w:p>
        </w:tc>
        <w:tc>
          <w:tcPr>
            <w:tcW w:w="763"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i/>
                <w:sz w:val="20"/>
              </w:rPr>
            </w:pPr>
            <w:r w:rsidRPr="00FA0A91">
              <w:rPr>
                <w:rFonts w:ascii="Arial Narrow" w:hAnsi="Arial Narrow" w:cs="Times New Roman"/>
                <w:i/>
                <w:sz w:val="20"/>
              </w:rPr>
              <w:t>$</w:t>
            </w:r>
            <w:r w:rsidR="00E70598">
              <w:rPr>
                <w:rFonts w:ascii="Arial Narrow" w:hAnsi="Arial Narrow" w:cs="Times New Roman"/>
                <w:i/>
                <w:noProof/>
                <w:color w:val="000000"/>
                <w:sz w:val="20"/>
                <w:highlight w:val="black"/>
              </w:rPr>
              <w:t>''''''''''''''''''''''''''''''</w:t>
            </w:r>
          </w:p>
        </w:tc>
      </w:tr>
      <w:tr w:rsidR="00FA0A91" w:rsidRPr="00FA0A91" w:rsidTr="00FA0A91">
        <w:tc>
          <w:tcPr>
            <w:tcW w:w="5000" w:type="pct"/>
            <w:gridSpan w:val="6"/>
            <w:tcBorders>
              <w:top w:val="single" w:sz="4" w:space="0" w:color="auto"/>
              <w:bottom w:val="single" w:sz="4" w:space="0" w:color="auto"/>
            </w:tcBorders>
            <w:vAlign w:val="center"/>
          </w:tcPr>
          <w:p w:rsidR="00FA0A91" w:rsidRPr="00FA0A91" w:rsidRDefault="00FA0A91" w:rsidP="00FA0A91">
            <w:pPr>
              <w:jc w:val="left"/>
              <w:rPr>
                <w:rFonts w:ascii="Arial Narrow" w:hAnsi="Arial Narrow" w:cs="Times New Roman"/>
                <w:b/>
                <w:i/>
                <w:sz w:val="20"/>
              </w:rPr>
            </w:pPr>
            <w:r w:rsidRPr="00FA0A91">
              <w:rPr>
                <w:rFonts w:ascii="Arial Narrow" w:hAnsi="Arial Narrow" w:cs="Times New Roman"/>
                <w:b/>
                <w:snapToGrid/>
                <w:sz w:val="20"/>
                <w:lang w:eastAsia="en-AU"/>
              </w:rPr>
              <w:t>Cost off-sets form current treatment regimens</w:t>
            </w:r>
          </w:p>
        </w:tc>
      </w:tr>
      <w:tr w:rsidR="00FA0A91" w:rsidRPr="00FA0A91" w:rsidTr="006A0274">
        <w:tc>
          <w:tcPr>
            <w:tcW w:w="1014" w:type="pct"/>
            <w:tcBorders>
              <w:top w:val="single" w:sz="4" w:space="0" w:color="auto"/>
              <w:bottom w:val="single" w:sz="4" w:space="0" w:color="auto"/>
            </w:tcBorders>
            <w:vAlign w:val="center"/>
          </w:tcPr>
          <w:p w:rsidR="00FA0A91" w:rsidRPr="00FA0A91" w:rsidRDefault="00FA0A91" w:rsidP="00FA0A91">
            <w:pPr>
              <w:ind w:left="142"/>
              <w:jc w:val="left"/>
              <w:rPr>
                <w:rFonts w:ascii="Arial Narrow" w:hAnsi="Arial Narrow" w:cs="Times New Roman"/>
                <w:snapToGrid/>
                <w:sz w:val="20"/>
                <w:lang w:eastAsia="en-AU"/>
              </w:rPr>
            </w:pPr>
            <w:r w:rsidRPr="00FA0A91">
              <w:rPr>
                <w:rFonts w:ascii="Arial Narrow" w:hAnsi="Arial Narrow" w:cs="Times New Roman"/>
                <w:snapToGrid/>
                <w:sz w:val="20"/>
                <w:lang w:eastAsia="en-AU"/>
              </w:rPr>
              <w:t>Patients treated</w:t>
            </w:r>
          </w:p>
        </w:tc>
        <w:tc>
          <w:tcPr>
            <w:tcW w:w="806" w:type="pct"/>
            <w:tcBorders>
              <w:top w:val="single" w:sz="4" w:space="0" w:color="auto"/>
              <w:bottom w:val="single" w:sz="4" w:space="0" w:color="auto"/>
            </w:tcBorders>
            <w:noWrap/>
            <w:vAlign w:val="center"/>
          </w:tcPr>
          <w:p w:rsidR="00FA0A91" w:rsidRPr="00E70598" w:rsidRDefault="00E70598" w:rsidP="00FA0A91">
            <w:pPr>
              <w:jc w:val="center"/>
              <w:rPr>
                <w:rFonts w:ascii="Arial Narrow" w:hAnsi="Arial Narrow" w:cs="Times New Roman"/>
                <w:b/>
                <w:i/>
                <w:sz w:val="20"/>
                <w:highlight w:val="black"/>
              </w:rPr>
            </w:pPr>
            <w:r>
              <w:rPr>
                <w:rFonts w:ascii="Arial Narrow" w:hAnsi="Arial Narrow" w:cs="Times New Roman"/>
                <w:noProof/>
                <w:color w:val="000000"/>
                <w:sz w:val="20"/>
                <w:highlight w:val="black"/>
              </w:rPr>
              <w:t>'''''''''''''</w:t>
            </w:r>
          </w:p>
        </w:tc>
        <w:tc>
          <w:tcPr>
            <w:tcW w:w="808" w:type="pct"/>
            <w:tcBorders>
              <w:top w:val="single" w:sz="4" w:space="0" w:color="auto"/>
              <w:bottom w:val="single" w:sz="4" w:space="0" w:color="auto"/>
            </w:tcBorders>
            <w:noWrap/>
            <w:vAlign w:val="center"/>
          </w:tcPr>
          <w:p w:rsidR="00FA0A91" w:rsidRPr="00E70598" w:rsidRDefault="00E70598" w:rsidP="00FA0A91">
            <w:pPr>
              <w:jc w:val="center"/>
              <w:rPr>
                <w:rFonts w:ascii="Arial Narrow" w:hAnsi="Arial Narrow" w:cs="Times New Roman"/>
                <w:b/>
                <w:i/>
                <w:sz w:val="20"/>
                <w:highlight w:val="black"/>
              </w:rPr>
            </w:pPr>
            <w:r>
              <w:rPr>
                <w:rFonts w:ascii="Arial Narrow" w:hAnsi="Arial Narrow" w:cs="Times New Roman"/>
                <w:noProof/>
                <w:color w:val="000000"/>
                <w:sz w:val="20"/>
                <w:highlight w:val="black"/>
              </w:rPr>
              <w:t>''''''''''''</w:t>
            </w:r>
          </w:p>
        </w:tc>
        <w:tc>
          <w:tcPr>
            <w:tcW w:w="805" w:type="pct"/>
            <w:tcBorders>
              <w:top w:val="single" w:sz="4" w:space="0" w:color="auto"/>
              <w:bottom w:val="single" w:sz="4" w:space="0" w:color="auto"/>
            </w:tcBorders>
            <w:noWrap/>
            <w:vAlign w:val="center"/>
          </w:tcPr>
          <w:p w:rsidR="00FA0A91" w:rsidRPr="00E70598" w:rsidRDefault="00E70598" w:rsidP="00FA0A91">
            <w:pPr>
              <w:jc w:val="center"/>
              <w:rPr>
                <w:rFonts w:ascii="Arial Narrow" w:hAnsi="Arial Narrow" w:cs="Times New Roman"/>
                <w:b/>
                <w:i/>
                <w:sz w:val="20"/>
                <w:highlight w:val="black"/>
              </w:rPr>
            </w:pPr>
            <w:r>
              <w:rPr>
                <w:rFonts w:ascii="Arial Narrow" w:hAnsi="Arial Narrow" w:cs="Times New Roman"/>
                <w:noProof/>
                <w:color w:val="000000"/>
                <w:sz w:val="20"/>
                <w:highlight w:val="black"/>
              </w:rPr>
              <w:t>'''''''''''''</w:t>
            </w:r>
          </w:p>
        </w:tc>
        <w:tc>
          <w:tcPr>
            <w:tcW w:w="805" w:type="pct"/>
            <w:tcBorders>
              <w:top w:val="single" w:sz="4" w:space="0" w:color="auto"/>
              <w:bottom w:val="single" w:sz="4" w:space="0" w:color="auto"/>
            </w:tcBorders>
            <w:noWrap/>
            <w:vAlign w:val="center"/>
          </w:tcPr>
          <w:p w:rsidR="00FA0A91" w:rsidRPr="00E70598" w:rsidRDefault="00E70598" w:rsidP="00FA0A91">
            <w:pPr>
              <w:jc w:val="center"/>
              <w:rPr>
                <w:rFonts w:ascii="Arial Narrow" w:hAnsi="Arial Narrow" w:cs="Times New Roman"/>
                <w:b/>
                <w:i/>
                <w:sz w:val="20"/>
                <w:highlight w:val="black"/>
              </w:rPr>
            </w:pPr>
            <w:r>
              <w:rPr>
                <w:rFonts w:ascii="Arial Narrow" w:hAnsi="Arial Narrow" w:cs="Times New Roman"/>
                <w:noProof/>
                <w:color w:val="000000"/>
                <w:sz w:val="20"/>
                <w:highlight w:val="black"/>
              </w:rPr>
              <w:t>''''''''''''''</w:t>
            </w:r>
          </w:p>
        </w:tc>
        <w:tc>
          <w:tcPr>
            <w:tcW w:w="763" w:type="pct"/>
            <w:tcBorders>
              <w:top w:val="single" w:sz="4" w:space="0" w:color="auto"/>
              <w:bottom w:val="single" w:sz="4" w:space="0" w:color="auto"/>
            </w:tcBorders>
            <w:noWrap/>
            <w:vAlign w:val="center"/>
          </w:tcPr>
          <w:p w:rsidR="00FA0A91" w:rsidRPr="00E70598" w:rsidRDefault="00E70598" w:rsidP="00FA0A91">
            <w:pPr>
              <w:jc w:val="center"/>
              <w:rPr>
                <w:rFonts w:ascii="Arial Narrow" w:hAnsi="Arial Narrow" w:cs="Times New Roman"/>
                <w:b/>
                <w:i/>
                <w:sz w:val="20"/>
                <w:highlight w:val="black"/>
              </w:rPr>
            </w:pPr>
            <w:r>
              <w:rPr>
                <w:rFonts w:ascii="Arial Narrow" w:hAnsi="Arial Narrow" w:cs="Times New Roman"/>
                <w:noProof/>
                <w:color w:val="000000"/>
                <w:sz w:val="20"/>
                <w:highlight w:val="black"/>
              </w:rPr>
              <w:t>''''''''''''''</w:t>
            </w:r>
          </w:p>
        </w:tc>
      </w:tr>
      <w:tr w:rsidR="00FA0A91" w:rsidRPr="00FA0A91" w:rsidTr="006A0274">
        <w:tc>
          <w:tcPr>
            <w:tcW w:w="1014" w:type="pct"/>
            <w:tcBorders>
              <w:top w:val="single" w:sz="4" w:space="0" w:color="auto"/>
              <w:bottom w:val="single" w:sz="4" w:space="0" w:color="auto"/>
            </w:tcBorders>
            <w:vAlign w:val="center"/>
          </w:tcPr>
          <w:p w:rsidR="00FA0A91" w:rsidRPr="00FA0A91" w:rsidRDefault="00FA0A91" w:rsidP="00FA0A91">
            <w:pPr>
              <w:ind w:left="142"/>
              <w:jc w:val="left"/>
              <w:rPr>
                <w:rFonts w:ascii="Arial Narrow" w:hAnsi="Arial Narrow" w:cs="Times New Roman"/>
                <w:snapToGrid/>
                <w:sz w:val="20"/>
                <w:lang w:eastAsia="en-AU"/>
              </w:rPr>
            </w:pPr>
            <w:r w:rsidRPr="00FA0A91">
              <w:rPr>
                <w:rFonts w:ascii="Arial Narrow" w:hAnsi="Arial Narrow" w:cs="Times New Roman"/>
                <w:snapToGrid/>
                <w:sz w:val="20"/>
                <w:lang w:eastAsia="en-AU"/>
              </w:rPr>
              <w:t>Total cost</w:t>
            </w:r>
          </w:p>
        </w:tc>
        <w:tc>
          <w:tcPr>
            <w:tcW w:w="806" w:type="pct"/>
            <w:tcBorders>
              <w:top w:val="single" w:sz="4" w:space="0" w:color="auto"/>
              <w:bottom w:val="single" w:sz="4" w:space="0" w:color="auto"/>
            </w:tcBorders>
            <w:noWrap/>
            <w:vAlign w:val="center"/>
          </w:tcPr>
          <w:p w:rsidR="00FA0A91" w:rsidRPr="00FA0A91" w:rsidRDefault="00FA0A91" w:rsidP="00FA0A91">
            <w:pPr>
              <w:jc w:val="right"/>
              <w:rPr>
                <w:rFonts w:ascii="Arial Narrow" w:hAnsi="Arial Narrow" w:cs="Times New Roman"/>
                <w:color w:val="000000"/>
                <w:sz w:val="20"/>
              </w:rPr>
            </w:pPr>
            <w:r w:rsidRPr="00FA0A91">
              <w:rPr>
                <w:rFonts w:ascii="Arial Narrow" w:hAnsi="Arial Narrow" w:cs="Times New Roman"/>
                <w:sz w:val="20"/>
              </w:rPr>
              <w:t xml:space="preserve"> $</w:t>
            </w:r>
            <w:r w:rsidR="00E70598">
              <w:rPr>
                <w:rFonts w:ascii="Arial Narrow" w:hAnsi="Arial Narrow" w:cs="Times New Roman"/>
                <w:noProof/>
                <w:color w:val="000000"/>
                <w:sz w:val="20"/>
                <w:highlight w:val="black"/>
              </w:rPr>
              <w:t>''''''''''''''''''''''''''''''''</w:t>
            </w:r>
          </w:p>
        </w:tc>
        <w:tc>
          <w:tcPr>
            <w:tcW w:w="808" w:type="pct"/>
            <w:tcBorders>
              <w:top w:val="single" w:sz="4" w:space="0" w:color="auto"/>
              <w:bottom w:val="single" w:sz="4" w:space="0" w:color="auto"/>
            </w:tcBorders>
            <w:noWrap/>
            <w:vAlign w:val="center"/>
          </w:tcPr>
          <w:p w:rsidR="00FA0A91" w:rsidRPr="00FA0A91" w:rsidRDefault="00FA0A91" w:rsidP="00FA0A91">
            <w:pPr>
              <w:jc w:val="right"/>
              <w:rPr>
                <w:rFonts w:ascii="Arial Narrow" w:hAnsi="Arial Narrow" w:cs="Times New Roman"/>
                <w:color w:val="000000"/>
                <w:sz w:val="20"/>
              </w:rPr>
            </w:pPr>
            <w:r w:rsidRPr="00FA0A91">
              <w:rPr>
                <w:rFonts w:ascii="Arial Narrow" w:hAnsi="Arial Narrow" w:cs="Times New Roman"/>
                <w:sz w:val="20"/>
              </w:rPr>
              <w:t xml:space="preserve"> $</w:t>
            </w:r>
            <w:r w:rsidR="00E70598">
              <w:rPr>
                <w:rFonts w:ascii="Arial Narrow" w:hAnsi="Arial Narrow" w:cs="Times New Roman"/>
                <w:noProof/>
                <w:color w:val="000000"/>
                <w:sz w:val="20"/>
                <w:highlight w:val="black"/>
              </w:rPr>
              <w:t>'''''''''''''''''''''''''''''</w:t>
            </w:r>
          </w:p>
        </w:tc>
        <w:tc>
          <w:tcPr>
            <w:tcW w:w="805" w:type="pct"/>
            <w:tcBorders>
              <w:top w:val="single" w:sz="4" w:space="0" w:color="auto"/>
              <w:bottom w:val="single" w:sz="4" w:space="0" w:color="auto"/>
            </w:tcBorders>
            <w:noWrap/>
            <w:vAlign w:val="center"/>
          </w:tcPr>
          <w:p w:rsidR="00FA0A91" w:rsidRPr="00FA0A91" w:rsidRDefault="00FA0A91" w:rsidP="00FA0A91">
            <w:pPr>
              <w:jc w:val="right"/>
              <w:rPr>
                <w:rFonts w:ascii="Arial Narrow" w:hAnsi="Arial Narrow" w:cs="Times New Roman"/>
                <w:color w:val="000000"/>
                <w:sz w:val="20"/>
              </w:rPr>
            </w:pPr>
            <w:r w:rsidRPr="00FA0A91">
              <w:rPr>
                <w:rFonts w:ascii="Arial Narrow" w:hAnsi="Arial Narrow" w:cs="Times New Roman"/>
                <w:sz w:val="20"/>
              </w:rPr>
              <w:t xml:space="preserve"> $</w:t>
            </w:r>
            <w:r w:rsidR="00E70598">
              <w:rPr>
                <w:rFonts w:ascii="Arial Narrow" w:hAnsi="Arial Narrow" w:cs="Times New Roman"/>
                <w:noProof/>
                <w:color w:val="000000"/>
                <w:sz w:val="20"/>
                <w:highlight w:val="black"/>
              </w:rPr>
              <w:t>''''''''''''''''''''''''''''''</w:t>
            </w:r>
            <w:r w:rsidRPr="00FA0A91">
              <w:rPr>
                <w:rFonts w:ascii="Arial Narrow" w:hAnsi="Arial Narrow" w:cs="Times New Roman"/>
                <w:sz w:val="20"/>
              </w:rPr>
              <w:t xml:space="preserve"> </w:t>
            </w:r>
          </w:p>
        </w:tc>
        <w:tc>
          <w:tcPr>
            <w:tcW w:w="805" w:type="pct"/>
            <w:tcBorders>
              <w:top w:val="single" w:sz="4" w:space="0" w:color="auto"/>
              <w:bottom w:val="single" w:sz="4" w:space="0" w:color="auto"/>
            </w:tcBorders>
            <w:noWrap/>
            <w:vAlign w:val="center"/>
          </w:tcPr>
          <w:p w:rsidR="00FA0A91" w:rsidRPr="00FA0A91" w:rsidRDefault="00FA0A91" w:rsidP="00FA0A91">
            <w:pPr>
              <w:jc w:val="right"/>
              <w:rPr>
                <w:rFonts w:ascii="Arial Narrow" w:hAnsi="Arial Narrow" w:cs="Times New Roman"/>
                <w:color w:val="000000"/>
                <w:sz w:val="20"/>
              </w:rPr>
            </w:pPr>
            <w:r w:rsidRPr="00FA0A91">
              <w:rPr>
                <w:rFonts w:ascii="Arial Narrow" w:hAnsi="Arial Narrow" w:cs="Times New Roman"/>
                <w:sz w:val="20"/>
              </w:rPr>
              <w:t xml:space="preserve"> $</w:t>
            </w:r>
            <w:r w:rsidR="00E70598">
              <w:rPr>
                <w:rFonts w:ascii="Arial Narrow" w:hAnsi="Arial Narrow" w:cs="Times New Roman"/>
                <w:noProof/>
                <w:color w:val="000000"/>
                <w:sz w:val="20"/>
                <w:highlight w:val="black"/>
              </w:rPr>
              <w:t>'''''''''''''''''''''''''''</w:t>
            </w:r>
            <w:r w:rsidRPr="00FA0A91">
              <w:rPr>
                <w:rFonts w:ascii="Arial Narrow" w:hAnsi="Arial Narrow" w:cs="Times New Roman"/>
                <w:sz w:val="20"/>
              </w:rPr>
              <w:t xml:space="preserve"> </w:t>
            </w:r>
          </w:p>
        </w:tc>
        <w:tc>
          <w:tcPr>
            <w:tcW w:w="763" w:type="pct"/>
            <w:tcBorders>
              <w:top w:val="single" w:sz="4" w:space="0" w:color="auto"/>
              <w:bottom w:val="single" w:sz="4" w:space="0" w:color="auto"/>
            </w:tcBorders>
            <w:noWrap/>
            <w:vAlign w:val="center"/>
          </w:tcPr>
          <w:p w:rsidR="00FA0A91" w:rsidRPr="00FA0A91" w:rsidRDefault="00FA0A91" w:rsidP="00FA0A91">
            <w:pPr>
              <w:jc w:val="right"/>
              <w:rPr>
                <w:rFonts w:ascii="Arial Narrow" w:hAnsi="Arial Narrow" w:cs="Times New Roman"/>
                <w:color w:val="000000"/>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r w:rsidRPr="00FA0A91">
              <w:rPr>
                <w:rFonts w:ascii="Arial Narrow" w:hAnsi="Arial Narrow" w:cs="Times New Roman"/>
                <w:sz w:val="20"/>
              </w:rPr>
              <w:t xml:space="preserve"> </w:t>
            </w:r>
          </w:p>
        </w:tc>
      </w:tr>
      <w:tr w:rsidR="00FA0A91" w:rsidRPr="00FA0A91" w:rsidTr="006A0274">
        <w:tc>
          <w:tcPr>
            <w:tcW w:w="1014" w:type="pct"/>
            <w:tcBorders>
              <w:top w:val="single" w:sz="4" w:space="0" w:color="auto"/>
              <w:bottom w:val="single" w:sz="4" w:space="0" w:color="auto"/>
            </w:tcBorders>
            <w:vAlign w:val="center"/>
          </w:tcPr>
          <w:p w:rsidR="00FA0A91" w:rsidRPr="00FA0A91" w:rsidRDefault="00FA0A91" w:rsidP="00FA0A91">
            <w:pPr>
              <w:ind w:left="142"/>
              <w:jc w:val="left"/>
              <w:rPr>
                <w:rFonts w:ascii="Arial Narrow" w:hAnsi="Arial Narrow" w:cs="Times New Roman"/>
                <w:snapToGrid/>
                <w:sz w:val="20"/>
                <w:lang w:eastAsia="en-AU"/>
              </w:rPr>
            </w:pPr>
            <w:r w:rsidRPr="00FA0A91">
              <w:rPr>
                <w:rFonts w:ascii="Arial Narrow" w:hAnsi="Arial Narrow" w:cs="Times New Roman"/>
                <w:snapToGrid/>
                <w:sz w:val="20"/>
                <w:lang w:eastAsia="en-AU"/>
              </w:rPr>
              <w:t>Patient co-payments</w:t>
            </w:r>
          </w:p>
        </w:tc>
        <w:tc>
          <w:tcPr>
            <w:tcW w:w="806" w:type="pct"/>
            <w:tcBorders>
              <w:top w:val="single" w:sz="4" w:space="0" w:color="auto"/>
              <w:bottom w:val="single" w:sz="4" w:space="0" w:color="auto"/>
            </w:tcBorders>
            <w:noWrap/>
            <w:vAlign w:val="center"/>
          </w:tcPr>
          <w:p w:rsidR="00FA0A91" w:rsidRPr="00FA0A91" w:rsidRDefault="00FA0A91" w:rsidP="00FA0A91">
            <w:pPr>
              <w:jc w:val="right"/>
              <w:rPr>
                <w:rFonts w:ascii="Arial Narrow" w:hAnsi="Arial Narrow" w:cs="Times New Roman"/>
                <w:color w:val="000000"/>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8" w:type="pct"/>
            <w:tcBorders>
              <w:top w:val="single" w:sz="4" w:space="0" w:color="auto"/>
              <w:bottom w:val="single" w:sz="4" w:space="0" w:color="auto"/>
            </w:tcBorders>
            <w:noWrap/>
            <w:vAlign w:val="center"/>
          </w:tcPr>
          <w:p w:rsidR="00FA0A91" w:rsidRPr="00FA0A91" w:rsidRDefault="00FA0A91" w:rsidP="00FA0A91">
            <w:pPr>
              <w:jc w:val="right"/>
              <w:rPr>
                <w:rFonts w:ascii="Arial Narrow" w:hAnsi="Arial Narrow" w:cs="Times New Roman"/>
                <w:color w:val="000000"/>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top w:val="single" w:sz="4" w:space="0" w:color="auto"/>
              <w:bottom w:val="single" w:sz="4" w:space="0" w:color="auto"/>
            </w:tcBorders>
            <w:noWrap/>
            <w:vAlign w:val="center"/>
          </w:tcPr>
          <w:p w:rsidR="00FA0A91" w:rsidRPr="00FA0A91" w:rsidRDefault="00FA0A91" w:rsidP="00FA0A91">
            <w:pPr>
              <w:jc w:val="right"/>
              <w:rPr>
                <w:rFonts w:ascii="Arial Narrow" w:hAnsi="Arial Narrow" w:cs="Times New Roman"/>
                <w:color w:val="000000"/>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top w:val="single" w:sz="4" w:space="0" w:color="auto"/>
              <w:bottom w:val="single" w:sz="4" w:space="0" w:color="auto"/>
            </w:tcBorders>
            <w:noWrap/>
            <w:vAlign w:val="center"/>
          </w:tcPr>
          <w:p w:rsidR="00FA0A91" w:rsidRPr="00FA0A91" w:rsidRDefault="00FA0A91" w:rsidP="00FA0A91">
            <w:pPr>
              <w:jc w:val="right"/>
              <w:rPr>
                <w:rFonts w:ascii="Arial Narrow" w:hAnsi="Arial Narrow" w:cs="Times New Roman"/>
                <w:color w:val="000000"/>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763" w:type="pct"/>
            <w:tcBorders>
              <w:top w:val="single" w:sz="4" w:space="0" w:color="auto"/>
              <w:bottom w:val="single" w:sz="4" w:space="0" w:color="auto"/>
            </w:tcBorders>
            <w:noWrap/>
            <w:vAlign w:val="center"/>
          </w:tcPr>
          <w:p w:rsidR="00FA0A91" w:rsidRPr="00FA0A91" w:rsidRDefault="00FA0A91" w:rsidP="00FA0A91">
            <w:pPr>
              <w:jc w:val="right"/>
              <w:rPr>
                <w:rFonts w:ascii="Arial Narrow" w:hAnsi="Arial Narrow" w:cs="Times New Roman"/>
                <w:color w:val="000000"/>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r>
      <w:tr w:rsidR="00FA0A91" w:rsidRPr="00FA0A91" w:rsidTr="006A0274">
        <w:tc>
          <w:tcPr>
            <w:tcW w:w="1014" w:type="pct"/>
            <w:tcBorders>
              <w:top w:val="single" w:sz="4" w:space="0" w:color="auto"/>
              <w:bottom w:val="double" w:sz="4" w:space="0" w:color="auto"/>
            </w:tcBorders>
            <w:vAlign w:val="center"/>
          </w:tcPr>
          <w:p w:rsidR="00FA0A91" w:rsidRPr="00FA0A91" w:rsidRDefault="00FA0A91" w:rsidP="00FA0A91">
            <w:pPr>
              <w:jc w:val="left"/>
              <w:rPr>
                <w:rFonts w:ascii="Arial Narrow" w:hAnsi="Arial Narrow" w:cs="Times New Roman"/>
                <w:snapToGrid/>
                <w:sz w:val="20"/>
                <w:lang w:eastAsia="en-AU"/>
              </w:rPr>
            </w:pPr>
            <w:r w:rsidRPr="00FA0A91">
              <w:rPr>
                <w:rFonts w:ascii="Arial Narrow" w:hAnsi="Arial Narrow" w:cs="Times New Roman"/>
                <w:snapToGrid/>
                <w:sz w:val="20"/>
                <w:lang w:eastAsia="en-AU"/>
              </w:rPr>
              <w:t>Savings to PBS/RPBS</w:t>
            </w:r>
          </w:p>
        </w:tc>
        <w:tc>
          <w:tcPr>
            <w:tcW w:w="806" w:type="pct"/>
            <w:tcBorders>
              <w:top w:val="single" w:sz="4" w:space="0" w:color="auto"/>
              <w:bottom w:val="double" w:sz="4" w:space="0" w:color="auto"/>
            </w:tcBorders>
            <w:noWrap/>
            <w:vAlign w:val="bottom"/>
          </w:tcPr>
          <w:p w:rsidR="00FA0A91" w:rsidRPr="00FA0A91" w:rsidRDefault="00FA0A91" w:rsidP="00FA0A91">
            <w:pPr>
              <w:jc w:val="right"/>
              <w:rPr>
                <w:rFonts w:ascii="Arial Narrow" w:hAnsi="Arial Narrow" w:cs="Times New Roman"/>
                <w:i/>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8" w:type="pct"/>
            <w:tcBorders>
              <w:top w:val="single" w:sz="4" w:space="0" w:color="auto"/>
              <w:bottom w:val="double" w:sz="4" w:space="0" w:color="auto"/>
            </w:tcBorders>
            <w:noWrap/>
            <w:vAlign w:val="bottom"/>
          </w:tcPr>
          <w:p w:rsidR="00FA0A91" w:rsidRPr="00FA0A91" w:rsidRDefault="00FA0A91" w:rsidP="00FA0A91">
            <w:pPr>
              <w:jc w:val="right"/>
              <w:rPr>
                <w:rFonts w:ascii="Arial Narrow" w:hAnsi="Arial Narrow" w:cs="Times New Roman"/>
                <w:i/>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top w:val="single" w:sz="4" w:space="0" w:color="auto"/>
              <w:bottom w:val="double" w:sz="4" w:space="0" w:color="auto"/>
            </w:tcBorders>
            <w:noWrap/>
            <w:vAlign w:val="bottom"/>
          </w:tcPr>
          <w:p w:rsidR="00FA0A91" w:rsidRPr="00FA0A91" w:rsidRDefault="00FA0A91" w:rsidP="00FA0A91">
            <w:pPr>
              <w:jc w:val="right"/>
              <w:rPr>
                <w:rFonts w:ascii="Arial Narrow" w:hAnsi="Arial Narrow" w:cs="Times New Roman"/>
                <w:i/>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top w:val="single" w:sz="4" w:space="0" w:color="auto"/>
              <w:bottom w:val="double" w:sz="4" w:space="0" w:color="auto"/>
            </w:tcBorders>
            <w:noWrap/>
            <w:vAlign w:val="bottom"/>
          </w:tcPr>
          <w:p w:rsidR="00FA0A91" w:rsidRPr="00FA0A91" w:rsidRDefault="00FA0A91" w:rsidP="00FA0A91">
            <w:pPr>
              <w:jc w:val="right"/>
              <w:rPr>
                <w:rFonts w:ascii="Arial Narrow" w:hAnsi="Arial Narrow" w:cs="Times New Roman"/>
                <w:i/>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763" w:type="pct"/>
            <w:tcBorders>
              <w:top w:val="single" w:sz="4" w:space="0" w:color="auto"/>
              <w:bottom w:val="double" w:sz="4" w:space="0" w:color="auto"/>
            </w:tcBorders>
            <w:noWrap/>
            <w:vAlign w:val="bottom"/>
          </w:tcPr>
          <w:p w:rsidR="00FA0A91" w:rsidRPr="00FA0A91" w:rsidRDefault="00FA0A91" w:rsidP="00FA0A91">
            <w:pPr>
              <w:jc w:val="right"/>
              <w:rPr>
                <w:rFonts w:ascii="Arial Narrow" w:hAnsi="Arial Narrow" w:cs="Times New Roman"/>
                <w:i/>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r>
      <w:tr w:rsidR="00FA0A91" w:rsidRPr="00FA0A91" w:rsidTr="006A0274">
        <w:trPr>
          <w:trHeight w:val="283"/>
        </w:trPr>
        <w:tc>
          <w:tcPr>
            <w:tcW w:w="1014" w:type="pct"/>
            <w:tcBorders>
              <w:top w:val="double" w:sz="4" w:space="0" w:color="auto"/>
              <w:bottom w:val="single" w:sz="4" w:space="0" w:color="auto"/>
            </w:tcBorders>
            <w:vAlign w:val="center"/>
          </w:tcPr>
          <w:p w:rsidR="00FA0A91" w:rsidRPr="00FA0A91" w:rsidRDefault="00FA0A91" w:rsidP="00FA0A91">
            <w:pPr>
              <w:jc w:val="left"/>
              <w:rPr>
                <w:rFonts w:ascii="Arial Narrow" w:hAnsi="Arial Narrow" w:cs="Times New Roman"/>
                <w:snapToGrid/>
                <w:sz w:val="20"/>
                <w:lang w:eastAsia="en-AU"/>
              </w:rPr>
            </w:pPr>
            <w:r w:rsidRPr="00FA0A91">
              <w:rPr>
                <w:rFonts w:ascii="Arial Narrow" w:hAnsi="Arial Narrow" w:cs="Times New Roman"/>
                <w:snapToGrid/>
                <w:sz w:val="20"/>
                <w:lang w:eastAsia="en-AU"/>
              </w:rPr>
              <w:t>Additional patients treated</w:t>
            </w:r>
          </w:p>
        </w:tc>
        <w:tc>
          <w:tcPr>
            <w:tcW w:w="806" w:type="pct"/>
            <w:tcBorders>
              <w:top w:val="double" w:sz="4" w:space="0" w:color="auto"/>
              <w:bottom w:val="single" w:sz="4" w:space="0" w:color="auto"/>
            </w:tcBorders>
            <w:noWrap/>
            <w:vAlign w:val="bottom"/>
          </w:tcPr>
          <w:p w:rsidR="00FA0A91" w:rsidRPr="00E70598" w:rsidRDefault="00E70598" w:rsidP="00FA0A91">
            <w:pPr>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w:t>
            </w:r>
          </w:p>
        </w:tc>
        <w:tc>
          <w:tcPr>
            <w:tcW w:w="808" w:type="pct"/>
            <w:tcBorders>
              <w:top w:val="double" w:sz="4" w:space="0" w:color="auto"/>
              <w:bottom w:val="single" w:sz="4" w:space="0" w:color="auto"/>
            </w:tcBorders>
            <w:noWrap/>
            <w:vAlign w:val="bottom"/>
          </w:tcPr>
          <w:p w:rsidR="00FA0A91" w:rsidRPr="00E70598" w:rsidRDefault="00E70598" w:rsidP="00FA0A91">
            <w:pPr>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w:t>
            </w:r>
          </w:p>
        </w:tc>
        <w:tc>
          <w:tcPr>
            <w:tcW w:w="805" w:type="pct"/>
            <w:tcBorders>
              <w:top w:val="double" w:sz="4" w:space="0" w:color="auto"/>
              <w:bottom w:val="single" w:sz="4" w:space="0" w:color="auto"/>
            </w:tcBorders>
            <w:noWrap/>
            <w:vAlign w:val="bottom"/>
          </w:tcPr>
          <w:p w:rsidR="00FA0A91" w:rsidRPr="00E70598" w:rsidRDefault="00E70598" w:rsidP="00FA0A91">
            <w:pPr>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w:t>
            </w:r>
          </w:p>
        </w:tc>
        <w:tc>
          <w:tcPr>
            <w:tcW w:w="805" w:type="pct"/>
            <w:tcBorders>
              <w:top w:val="double" w:sz="4" w:space="0" w:color="auto"/>
              <w:bottom w:val="single" w:sz="4" w:space="0" w:color="auto"/>
            </w:tcBorders>
            <w:noWrap/>
            <w:vAlign w:val="bottom"/>
          </w:tcPr>
          <w:p w:rsidR="00FA0A91" w:rsidRPr="00E70598" w:rsidRDefault="00E70598" w:rsidP="00FA0A91">
            <w:pPr>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w:t>
            </w:r>
          </w:p>
        </w:tc>
        <w:tc>
          <w:tcPr>
            <w:tcW w:w="763" w:type="pct"/>
            <w:tcBorders>
              <w:top w:val="double" w:sz="4" w:space="0" w:color="auto"/>
              <w:bottom w:val="single" w:sz="4" w:space="0" w:color="auto"/>
            </w:tcBorders>
            <w:noWrap/>
            <w:vAlign w:val="bottom"/>
          </w:tcPr>
          <w:p w:rsidR="00FA0A91" w:rsidRPr="00E70598" w:rsidRDefault="00E70598" w:rsidP="00FA0A91">
            <w:pPr>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w:t>
            </w:r>
          </w:p>
        </w:tc>
      </w:tr>
      <w:tr w:rsidR="00FA0A91" w:rsidRPr="00FA0A91" w:rsidTr="006A0274">
        <w:tc>
          <w:tcPr>
            <w:tcW w:w="1014" w:type="pct"/>
            <w:tcBorders>
              <w:top w:val="single" w:sz="4" w:space="0" w:color="auto"/>
              <w:bottom w:val="nil"/>
            </w:tcBorders>
            <w:vAlign w:val="center"/>
          </w:tcPr>
          <w:p w:rsidR="00FA0A91" w:rsidRPr="00FA0A91" w:rsidRDefault="00FA0A91" w:rsidP="00FA0A91">
            <w:pPr>
              <w:jc w:val="left"/>
              <w:rPr>
                <w:rFonts w:ascii="Arial Narrow" w:hAnsi="Arial Narrow" w:cs="Times New Roman"/>
                <w:snapToGrid/>
                <w:sz w:val="20"/>
                <w:lang w:eastAsia="en-AU"/>
              </w:rPr>
            </w:pPr>
            <w:r w:rsidRPr="00FA0A91">
              <w:rPr>
                <w:rFonts w:ascii="Arial Narrow" w:hAnsi="Arial Narrow" w:cs="Times New Roman"/>
                <w:snapToGrid/>
                <w:sz w:val="20"/>
                <w:lang w:eastAsia="en-AU"/>
              </w:rPr>
              <w:t>Net total cost</w:t>
            </w:r>
          </w:p>
        </w:tc>
        <w:tc>
          <w:tcPr>
            <w:tcW w:w="806" w:type="pct"/>
            <w:tcBorders>
              <w:top w:val="single" w:sz="4" w:space="0" w:color="auto"/>
              <w:bottom w:val="nil"/>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8" w:type="pct"/>
            <w:tcBorders>
              <w:top w:val="single" w:sz="4" w:space="0" w:color="auto"/>
              <w:bottom w:val="nil"/>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top w:val="single" w:sz="4" w:space="0" w:color="auto"/>
              <w:bottom w:val="nil"/>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top w:val="single" w:sz="4" w:space="0" w:color="auto"/>
              <w:bottom w:val="nil"/>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763" w:type="pct"/>
            <w:tcBorders>
              <w:top w:val="single" w:sz="4" w:space="0" w:color="auto"/>
              <w:bottom w:val="nil"/>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r>
      <w:tr w:rsidR="00FA0A91" w:rsidRPr="00FA0A91" w:rsidTr="006A0274">
        <w:tc>
          <w:tcPr>
            <w:tcW w:w="1014" w:type="pct"/>
            <w:tcBorders>
              <w:top w:val="nil"/>
              <w:bottom w:val="single" w:sz="4" w:space="0" w:color="auto"/>
            </w:tcBorders>
            <w:vAlign w:val="center"/>
          </w:tcPr>
          <w:p w:rsidR="00FA0A91" w:rsidRPr="00FA0A91" w:rsidRDefault="00FA0A91" w:rsidP="00FA0A91">
            <w:pPr>
              <w:jc w:val="left"/>
              <w:rPr>
                <w:rFonts w:ascii="Arial Narrow" w:hAnsi="Arial Narrow" w:cs="Times New Roman"/>
                <w:snapToGrid/>
                <w:sz w:val="20"/>
                <w:vertAlign w:val="superscript"/>
                <w:lang w:eastAsia="en-AU"/>
              </w:rPr>
            </w:pPr>
            <w:r w:rsidRPr="00FA0A91">
              <w:rPr>
                <w:rFonts w:ascii="Arial Narrow" w:hAnsi="Arial Narrow" w:cs="Times New Roman"/>
                <w:snapToGrid/>
                <w:sz w:val="20"/>
                <w:lang w:eastAsia="en-AU"/>
              </w:rPr>
              <w:t>Net total cost</w:t>
            </w:r>
            <w:r w:rsidRPr="00FA0A91">
              <w:rPr>
                <w:rFonts w:ascii="Arial Narrow" w:hAnsi="Arial Narrow" w:cs="Times New Roman"/>
                <w:snapToGrid/>
                <w:sz w:val="20"/>
                <w:vertAlign w:val="superscript"/>
                <w:lang w:eastAsia="en-AU"/>
              </w:rPr>
              <w:t>a</w:t>
            </w:r>
          </w:p>
        </w:tc>
        <w:tc>
          <w:tcPr>
            <w:tcW w:w="806"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8"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763"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r>
      <w:tr w:rsidR="00FA0A91" w:rsidRPr="00FA0A91" w:rsidTr="006A0274">
        <w:tc>
          <w:tcPr>
            <w:tcW w:w="1014" w:type="pct"/>
            <w:tcBorders>
              <w:top w:val="single" w:sz="4" w:space="0" w:color="auto"/>
              <w:bottom w:val="single" w:sz="4" w:space="0" w:color="auto"/>
            </w:tcBorders>
            <w:vAlign w:val="center"/>
          </w:tcPr>
          <w:p w:rsidR="00FA0A91" w:rsidRPr="00FA0A91" w:rsidRDefault="00FA0A91" w:rsidP="00FA0A91">
            <w:pPr>
              <w:jc w:val="left"/>
              <w:rPr>
                <w:rFonts w:ascii="Arial Narrow" w:hAnsi="Arial Narrow" w:cs="Times New Roman"/>
                <w:snapToGrid/>
                <w:sz w:val="20"/>
                <w:lang w:eastAsia="en-AU"/>
              </w:rPr>
            </w:pPr>
            <w:r w:rsidRPr="00FA0A91">
              <w:rPr>
                <w:rFonts w:ascii="Arial Narrow" w:hAnsi="Arial Narrow" w:cs="Times New Roman"/>
                <w:snapToGrid/>
                <w:sz w:val="20"/>
                <w:lang w:eastAsia="en-AU"/>
              </w:rPr>
              <w:t>Net patients co-payments</w:t>
            </w:r>
          </w:p>
        </w:tc>
        <w:tc>
          <w:tcPr>
            <w:tcW w:w="806" w:type="pct"/>
            <w:tcBorders>
              <w:top w:val="single" w:sz="4" w:space="0" w:color="auto"/>
              <w:bottom w:val="single" w:sz="4" w:space="0" w:color="auto"/>
            </w:tcBorders>
            <w:noWrap/>
            <w:vAlign w:val="bottom"/>
          </w:tcPr>
          <w:p w:rsidR="00FA0A91" w:rsidRPr="00FA0A91" w:rsidRDefault="00E70598" w:rsidP="00FA0A91">
            <w:pPr>
              <w:jc w:val="right"/>
              <w:rPr>
                <w:rFonts w:ascii="Arial Narrow" w:hAnsi="Arial Narrow" w:cs="Times New Roman"/>
                <w:sz w:val="20"/>
              </w:rPr>
            </w:pPr>
            <w:r>
              <w:rPr>
                <w:rFonts w:ascii="Arial Narrow" w:hAnsi="Arial Narrow" w:cs="Times New Roman"/>
                <w:noProof/>
                <w:color w:val="000000"/>
                <w:sz w:val="20"/>
                <w:highlight w:val="black"/>
              </w:rPr>
              <w:t>''</w:t>
            </w:r>
            <w:r w:rsidR="00FA0A91" w:rsidRPr="00FA0A91">
              <w:rPr>
                <w:rFonts w:ascii="Arial Narrow" w:hAnsi="Arial Narrow" w:cs="Times New Roman"/>
                <w:sz w:val="20"/>
              </w:rPr>
              <w:t>$</w:t>
            </w:r>
            <w:r>
              <w:rPr>
                <w:rFonts w:ascii="Arial Narrow" w:hAnsi="Arial Narrow" w:cs="Times New Roman"/>
                <w:noProof/>
                <w:color w:val="000000"/>
                <w:sz w:val="20"/>
                <w:highlight w:val="black"/>
              </w:rPr>
              <w:t>'''''''''''''''''''''</w:t>
            </w:r>
          </w:p>
        </w:tc>
        <w:tc>
          <w:tcPr>
            <w:tcW w:w="808" w:type="pct"/>
            <w:tcBorders>
              <w:top w:val="single" w:sz="4" w:space="0" w:color="auto"/>
              <w:bottom w:val="single" w:sz="4" w:space="0" w:color="auto"/>
            </w:tcBorders>
            <w:noWrap/>
            <w:vAlign w:val="bottom"/>
          </w:tcPr>
          <w:p w:rsidR="00FA0A91" w:rsidRPr="00FA0A91" w:rsidRDefault="00E70598" w:rsidP="00FA0A91">
            <w:pPr>
              <w:jc w:val="right"/>
              <w:rPr>
                <w:rFonts w:ascii="Arial Narrow" w:hAnsi="Arial Narrow" w:cs="Times New Roman"/>
                <w:sz w:val="20"/>
              </w:rPr>
            </w:pPr>
            <w:r>
              <w:rPr>
                <w:rFonts w:ascii="Arial Narrow" w:hAnsi="Arial Narrow" w:cs="Times New Roman"/>
                <w:noProof/>
                <w:color w:val="000000"/>
                <w:sz w:val="20"/>
                <w:highlight w:val="black"/>
              </w:rPr>
              <w:t>'''</w:t>
            </w:r>
            <w:r w:rsidR="00FA0A91" w:rsidRPr="00FA0A91">
              <w:rPr>
                <w:rFonts w:ascii="Arial Narrow" w:hAnsi="Arial Narrow" w:cs="Times New Roman"/>
                <w:sz w:val="20"/>
              </w:rPr>
              <w:t>$</w:t>
            </w:r>
            <w:r>
              <w:rPr>
                <w:rFonts w:ascii="Arial Narrow" w:hAnsi="Arial Narrow" w:cs="Times New Roman"/>
                <w:noProof/>
                <w:color w:val="000000"/>
                <w:sz w:val="20"/>
                <w:highlight w:val="black"/>
              </w:rPr>
              <w:t>''''''''''''''''</w:t>
            </w:r>
          </w:p>
        </w:tc>
        <w:tc>
          <w:tcPr>
            <w:tcW w:w="805" w:type="pct"/>
            <w:tcBorders>
              <w:top w:val="single" w:sz="4" w:space="0" w:color="auto"/>
              <w:bottom w:val="single" w:sz="4" w:space="0" w:color="auto"/>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sz w:val="20"/>
              </w:rPr>
              <w:t>$</w:t>
            </w:r>
            <w:r w:rsidR="00E70598">
              <w:rPr>
                <w:rFonts w:ascii="Arial Narrow" w:hAnsi="Arial Narrow" w:cs="Times New Roman"/>
                <w:noProof/>
                <w:color w:val="000000"/>
                <w:sz w:val="20"/>
                <w:highlight w:val="black"/>
              </w:rPr>
              <w:t>'''''''''''''''</w:t>
            </w:r>
          </w:p>
        </w:tc>
        <w:tc>
          <w:tcPr>
            <w:tcW w:w="805" w:type="pct"/>
            <w:tcBorders>
              <w:top w:val="single" w:sz="4" w:space="0" w:color="auto"/>
              <w:bottom w:val="single" w:sz="4" w:space="0" w:color="auto"/>
            </w:tcBorders>
            <w:noWrap/>
            <w:vAlign w:val="bottom"/>
          </w:tcPr>
          <w:p w:rsidR="00FA0A91" w:rsidRPr="00FA0A91" w:rsidRDefault="00E70598" w:rsidP="00FA0A91">
            <w:pPr>
              <w:jc w:val="right"/>
              <w:rPr>
                <w:rFonts w:ascii="Arial Narrow" w:hAnsi="Arial Narrow" w:cs="Times New Roman"/>
                <w:sz w:val="20"/>
              </w:rPr>
            </w:pPr>
            <w:r>
              <w:rPr>
                <w:rFonts w:ascii="Arial Narrow" w:hAnsi="Arial Narrow" w:cs="Times New Roman"/>
                <w:noProof/>
                <w:color w:val="000000"/>
                <w:sz w:val="20"/>
                <w:highlight w:val="black"/>
              </w:rPr>
              <w:t>'''</w:t>
            </w:r>
            <w:r w:rsidR="00FA0A91" w:rsidRPr="00FA0A91">
              <w:rPr>
                <w:rFonts w:ascii="Arial Narrow" w:hAnsi="Arial Narrow" w:cs="Times New Roman"/>
                <w:sz w:val="20"/>
              </w:rPr>
              <w:t>$</w:t>
            </w:r>
            <w:r>
              <w:rPr>
                <w:rFonts w:ascii="Arial Narrow" w:hAnsi="Arial Narrow" w:cs="Times New Roman"/>
                <w:noProof/>
                <w:color w:val="000000"/>
                <w:sz w:val="20"/>
                <w:highlight w:val="black"/>
              </w:rPr>
              <w:t>''''''''''''''''</w:t>
            </w:r>
          </w:p>
        </w:tc>
        <w:tc>
          <w:tcPr>
            <w:tcW w:w="763" w:type="pct"/>
            <w:tcBorders>
              <w:top w:val="single" w:sz="4" w:space="0" w:color="auto"/>
              <w:bottom w:val="single" w:sz="4" w:space="0" w:color="auto"/>
            </w:tcBorders>
            <w:noWrap/>
            <w:vAlign w:val="bottom"/>
          </w:tcPr>
          <w:p w:rsidR="00FA0A91" w:rsidRPr="00FA0A91" w:rsidRDefault="00E70598" w:rsidP="00FA0A91">
            <w:pPr>
              <w:jc w:val="right"/>
              <w:rPr>
                <w:rFonts w:ascii="Arial Narrow" w:hAnsi="Arial Narrow" w:cs="Times New Roman"/>
                <w:sz w:val="20"/>
              </w:rPr>
            </w:pPr>
            <w:r>
              <w:rPr>
                <w:rFonts w:ascii="Arial Narrow" w:hAnsi="Arial Narrow" w:cs="Times New Roman"/>
                <w:noProof/>
                <w:color w:val="000000"/>
                <w:sz w:val="20"/>
                <w:highlight w:val="black"/>
              </w:rPr>
              <w:t>'''</w:t>
            </w:r>
            <w:r w:rsidR="00FA0A91" w:rsidRPr="00FA0A91">
              <w:rPr>
                <w:rFonts w:ascii="Arial Narrow" w:hAnsi="Arial Narrow" w:cs="Times New Roman"/>
                <w:sz w:val="20"/>
              </w:rPr>
              <w:t>$</w:t>
            </w:r>
            <w:r>
              <w:rPr>
                <w:rFonts w:ascii="Arial Narrow" w:hAnsi="Arial Narrow" w:cs="Times New Roman"/>
                <w:noProof/>
                <w:color w:val="000000"/>
                <w:sz w:val="20"/>
                <w:highlight w:val="black"/>
              </w:rPr>
              <w:t>''''''''''''''''</w:t>
            </w:r>
          </w:p>
        </w:tc>
      </w:tr>
      <w:tr w:rsidR="00FA0A91" w:rsidRPr="00FA0A91" w:rsidTr="006A0274">
        <w:tc>
          <w:tcPr>
            <w:tcW w:w="1014" w:type="pct"/>
            <w:tcBorders>
              <w:top w:val="single" w:sz="4" w:space="0" w:color="auto"/>
              <w:bottom w:val="nil"/>
            </w:tcBorders>
            <w:vAlign w:val="center"/>
          </w:tcPr>
          <w:p w:rsidR="00FA0A91" w:rsidRPr="00FA0A91" w:rsidRDefault="00FA0A91" w:rsidP="00FA0A91">
            <w:pPr>
              <w:jc w:val="left"/>
              <w:rPr>
                <w:rFonts w:ascii="Arial Narrow" w:hAnsi="Arial Narrow" w:cs="Times New Roman"/>
                <w:snapToGrid/>
                <w:sz w:val="20"/>
                <w:lang w:eastAsia="en-AU"/>
              </w:rPr>
            </w:pPr>
            <w:r w:rsidRPr="00FA0A91">
              <w:rPr>
                <w:rFonts w:ascii="Arial Narrow" w:hAnsi="Arial Narrow" w:cs="Times New Roman"/>
                <w:b/>
                <w:snapToGrid/>
                <w:sz w:val="20"/>
                <w:lang w:eastAsia="en-AU"/>
              </w:rPr>
              <w:t>Net cost to the PBS/RPBS</w:t>
            </w:r>
          </w:p>
        </w:tc>
        <w:tc>
          <w:tcPr>
            <w:tcW w:w="806" w:type="pct"/>
            <w:tcBorders>
              <w:top w:val="single" w:sz="4" w:space="0" w:color="auto"/>
              <w:bottom w:val="nil"/>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b/>
                <w:sz w:val="20"/>
              </w:rPr>
              <w:t>$</w:t>
            </w:r>
            <w:r w:rsidR="00E70598">
              <w:rPr>
                <w:rFonts w:ascii="Arial Narrow" w:hAnsi="Arial Narrow" w:cs="Times New Roman"/>
                <w:b/>
                <w:noProof/>
                <w:color w:val="000000"/>
                <w:sz w:val="20"/>
                <w:highlight w:val="black"/>
              </w:rPr>
              <w:t>'''''''''''''''''''''''</w:t>
            </w:r>
          </w:p>
        </w:tc>
        <w:tc>
          <w:tcPr>
            <w:tcW w:w="808" w:type="pct"/>
            <w:tcBorders>
              <w:top w:val="single" w:sz="4" w:space="0" w:color="auto"/>
              <w:bottom w:val="nil"/>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b/>
                <w:sz w:val="20"/>
              </w:rPr>
              <w:t>$</w:t>
            </w:r>
            <w:r w:rsidR="00E70598">
              <w:rPr>
                <w:rFonts w:ascii="Arial Narrow" w:hAnsi="Arial Narrow" w:cs="Times New Roman"/>
                <w:b/>
                <w:noProof/>
                <w:color w:val="000000"/>
                <w:sz w:val="20"/>
                <w:highlight w:val="black"/>
              </w:rPr>
              <w:t>''''''''''''''''''''''''''</w:t>
            </w:r>
          </w:p>
        </w:tc>
        <w:tc>
          <w:tcPr>
            <w:tcW w:w="805" w:type="pct"/>
            <w:tcBorders>
              <w:top w:val="single" w:sz="4" w:space="0" w:color="auto"/>
              <w:bottom w:val="nil"/>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b/>
                <w:sz w:val="20"/>
              </w:rPr>
              <w:t>$</w:t>
            </w:r>
            <w:r w:rsidR="00E70598">
              <w:rPr>
                <w:rFonts w:ascii="Arial Narrow" w:hAnsi="Arial Narrow" w:cs="Times New Roman"/>
                <w:b/>
                <w:noProof/>
                <w:color w:val="000000"/>
                <w:sz w:val="20"/>
                <w:highlight w:val="black"/>
              </w:rPr>
              <w:t>'''''''''''''''''''''''</w:t>
            </w:r>
          </w:p>
        </w:tc>
        <w:tc>
          <w:tcPr>
            <w:tcW w:w="805" w:type="pct"/>
            <w:tcBorders>
              <w:top w:val="single" w:sz="4" w:space="0" w:color="auto"/>
              <w:bottom w:val="nil"/>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b/>
                <w:sz w:val="20"/>
              </w:rPr>
              <w:t>$</w:t>
            </w:r>
            <w:r w:rsidR="00E70598">
              <w:rPr>
                <w:rFonts w:ascii="Arial Narrow" w:hAnsi="Arial Narrow" w:cs="Times New Roman"/>
                <w:b/>
                <w:noProof/>
                <w:color w:val="000000"/>
                <w:sz w:val="20"/>
                <w:highlight w:val="black"/>
              </w:rPr>
              <w:t>''''''''''''''''''''''''''</w:t>
            </w:r>
          </w:p>
        </w:tc>
        <w:tc>
          <w:tcPr>
            <w:tcW w:w="763" w:type="pct"/>
            <w:tcBorders>
              <w:top w:val="single" w:sz="4" w:space="0" w:color="auto"/>
              <w:bottom w:val="nil"/>
            </w:tcBorders>
            <w:noWrap/>
            <w:vAlign w:val="bottom"/>
          </w:tcPr>
          <w:p w:rsidR="00FA0A91" w:rsidRPr="00FA0A91" w:rsidRDefault="00FA0A91" w:rsidP="00FA0A91">
            <w:pPr>
              <w:jc w:val="right"/>
              <w:rPr>
                <w:rFonts w:ascii="Arial Narrow" w:hAnsi="Arial Narrow" w:cs="Times New Roman"/>
                <w:sz w:val="20"/>
              </w:rPr>
            </w:pPr>
            <w:r w:rsidRPr="00FA0A91">
              <w:rPr>
                <w:rFonts w:ascii="Arial Narrow" w:hAnsi="Arial Narrow" w:cs="Times New Roman"/>
                <w:b/>
                <w:sz w:val="20"/>
              </w:rPr>
              <w:t>$</w:t>
            </w:r>
            <w:r w:rsidR="00E70598">
              <w:rPr>
                <w:rFonts w:ascii="Arial Narrow" w:hAnsi="Arial Narrow" w:cs="Times New Roman"/>
                <w:b/>
                <w:noProof/>
                <w:color w:val="000000"/>
                <w:sz w:val="20"/>
                <w:highlight w:val="black"/>
              </w:rPr>
              <w:t>'''''''''''''''''''''''</w:t>
            </w:r>
          </w:p>
        </w:tc>
      </w:tr>
      <w:tr w:rsidR="00FA0A91" w:rsidRPr="00FA0A91" w:rsidTr="006A0274">
        <w:tc>
          <w:tcPr>
            <w:tcW w:w="1014" w:type="pct"/>
            <w:tcBorders>
              <w:top w:val="nil"/>
              <w:bottom w:val="single" w:sz="4" w:space="0" w:color="auto"/>
            </w:tcBorders>
            <w:vAlign w:val="center"/>
          </w:tcPr>
          <w:p w:rsidR="00FA0A91" w:rsidRPr="00FA0A91" w:rsidRDefault="00FA0A91" w:rsidP="00FA0A91">
            <w:pPr>
              <w:jc w:val="left"/>
              <w:rPr>
                <w:rFonts w:ascii="Arial Narrow" w:hAnsi="Arial Narrow" w:cs="Times New Roman"/>
                <w:b/>
                <w:snapToGrid/>
                <w:sz w:val="20"/>
                <w:vertAlign w:val="superscript"/>
                <w:lang w:eastAsia="en-AU"/>
              </w:rPr>
            </w:pPr>
            <w:r w:rsidRPr="00FA0A91">
              <w:rPr>
                <w:rFonts w:ascii="Arial Narrow" w:hAnsi="Arial Narrow" w:cs="Times New Roman"/>
                <w:b/>
                <w:snapToGrid/>
                <w:sz w:val="20"/>
                <w:lang w:eastAsia="en-AU"/>
              </w:rPr>
              <w:t>Net cost to the PBS/</w:t>
            </w:r>
            <w:proofErr w:type="spellStart"/>
            <w:r w:rsidRPr="00FA0A91">
              <w:rPr>
                <w:rFonts w:ascii="Arial Narrow" w:hAnsi="Arial Narrow" w:cs="Times New Roman"/>
                <w:b/>
                <w:snapToGrid/>
                <w:sz w:val="20"/>
                <w:lang w:eastAsia="en-AU"/>
              </w:rPr>
              <w:t>RPBS</w:t>
            </w:r>
            <w:r w:rsidRPr="00FA0A91">
              <w:rPr>
                <w:rFonts w:ascii="Arial Narrow" w:hAnsi="Arial Narrow" w:cs="Times New Roman"/>
                <w:b/>
                <w:snapToGrid/>
                <w:sz w:val="20"/>
                <w:vertAlign w:val="superscript"/>
                <w:lang w:eastAsia="en-AU"/>
              </w:rPr>
              <w:t>a</w:t>
            </w:r>
            <w:proofErr w:type="spellEnd"/>
          </w:p>
        </w:tc>
        <w:tc>
          <w:tcPr>
            <w:tcW w:w="806"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b/>
                <w:sz w:val="20"/>
              </w:rPr>
            </w:pPr>
            <w:r w:rsidRPr="00FA0A91">
              <w:rPr>
                <w:rFonts w:ascii="Arial Narrow" w:hAnsi="Arial Narrow" w:cs="Times New Roman"/>
                <w:b/>
                <w:sz w:val="20"/>
              </w:rPr>
              <w:t>$</w:t>
            </w:r>
            <w:r w:rsidR="00E70598">
              <w:rPr>
                <w:rFonts w:ascii="Arial Narrow" w:hAnsi="Arial Narrow" w:cs="Times New Roman"/>
                <w:b/>
                <w:noProof/>
                <w:color w:val="000000"/>
                <w:sz w:val="20"/>
                <w:highlight w:val="black"/>
              </w:rPr>
              <w:t>'''''''''''''''''''''''''</w:t>
            </w:r>
          </w:p>
        </w:tc>
        <w:tc>
          <w:tcPr>
            <w:tcW w:w="808"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b/>
                <w:sz w:val="20"/>
              </w:rPr>
            </w:pPr>
            <w:r w:rsidRPr="00FA0A91">
              <w:rPr>
                <w:rFonts w:ascii="Arial Narrow" w:hAnsi="Arial Narrow" w:cs="Times New Roman"/>
                <w:b/>
                <w:sz w:val="20"/>
              </w:rPr>
              <w:t>$</w:t>
            </w:r>
            <w:r w:rsidR="00E70598">
              <w:rPr>
                <w:rFonts w:ascii="Arial Narrow" w:hAnsi="Arial Narrow" w:cs="Times New Roman"/>
                <w:b/>
                <w:noProof/>
                <w:color w:val="000000"/>
                <w:sz w:val="20"/>
                <w:highlight w:val="black"/>
              </w:rPr>
              <w:t>''''''''''''''''''''''''''</w:t>
            </w:r>
          </w:p>
        </w:tc>
        <w:tc>
          <w:tcPr>
            <w:tcW w:w="805"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b/>
                <w:sz w:val="20"/>
              </w:rPr>
            </w:pPr>
            <w:r w:rsidRPr="00FA0A91">
              <w:rPr>
                <w:rFonts w:ascii="Arial Narrow" w:hAnsi="Arial Narrow" w:cs="Times New Roman"/>
                <w:b/>
                <w:sz w:val="20"/>
              </w:rPr>
              <w:t>$</w:t>
            </w:r>
            <w:r w:rsidR="00E70598">
              <w:rPr>
                <w:rFonts w:ascii="Arial Narrow" w:hAnsi="Arial Narrow" w:cs="Times New Roman"/>
                <w:b/>
                <w:noProof/>
                <w:color w:val="000000"/>
                <w:sz w:val="20"/>
                <w:highlight w:val="black"/>
              </w:rPr>
              <w:t>''''''''''''''''''''''</w:t>
            </w:r>
          </w:p>
        </w:tc>
        <w:tc>
          <w:tcPr>
            <w:tcW w:w="805"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b/>
                <w:sz w:val="20"/>
              </w:rPr>
            </w:pPr>
            <w:r w:rsidRPr="00FA0A91">
              <w:rPr>
                <w:rFonts w:ascii="Arial Narrow" w:hAnsi="Arial Narrow" w:cs="Times New Roman"/>
                <w:b/>
                <w:sz w:val="20"/>
              </w:rPr>
              <w:t>$</w:t>
            </w:r>
            <w:r w:rsidR="00E70598">
              <w:rPr>
                <w:rFonts w:ascii="Arial Narrow" w:hAnsi="Arial Narrow" w:cs="Times New Roman"/>
                <w:b/>
                <w:noProof/>
                <w:color w:val="000000"/>
                <w:sz w:val="20"/>
                <w:highlight w:val="black"/>
              </w:rPr>
              <w:t>'''''''''''''''''''''''''</w:t>
            </w:r>
          </w:p>
        </w:tc>
        <w:tc>
          <w:tcPr>
            <w:tcW w:w="763" w:type="pct"/>
            <w:tcBorders>
              <w:top w:val="nil"/>
              <w:bottom w:val="single" w:sz="4" w:space="0" w:color="auto"/>
            </w:tcBorders>
            <w:noWrap/>
            <w:vAlign w:val="bottom"/>
          </w:tcPr>
          <w:p w:rsidR="00FA0A91" w:rsidRPr="00FA0A91" w:rsidRDefault="00FA0A91" w:rsidP="00FA0A91">
            <w:pPr>
              <w:jc w:val="right"/>
              <w:rPr>
                <w:rFonts w:ascii="Arial Narrow" w:hAnsi="Arial Narrow" w:cs="Times New Roman"/>
                <w:b/>
                <w:sz w:val="20"/>
              </w:rPr>
            </w:pPr>
            <w:r w:rsidRPr="00FA0A91">
              <w:rPr>
                <w:rFonts w:ascii="Arial Narrow" w:hAnsi="Arial Narrow" w:cs="Times New Roman"/>
                <w:b/>
                <w:sz w:val="20"/>
              </w:rPr>
              <w:t>$</w:t>
            </w:r>
            <w:r w:rsidR="00E70598">
              <w:rPr>
                <w:rFonts w:ascii="Arial Narrow" w:hAnsi="Arial Narrow" w:cs="Times New Roman"/>
                <w:b/>
                <w:noProof/>
                <w:color w:val="000000"/>
                <w:sz w:val="20"/>
                <w:highlight w:val="black"/>
              </w:rPr>
              <w:t>''''''''''''''''''''''''</w:t>
            </w:r>
          </w:p>
        </w:tc>
      </w:tr>
    </w:tbl>
    <w:p w:rsidR="00FA0A91" w:rsidRPr="00FA0A91" w:rsidRDefault="00FA0A91" w:rsidP="00FA0A91">
      <w:pPr>
        <w:ind w:left="709"/>
        <w:rPr>
          <w:rFonts w:ascii="Arial Narrow" w:hAnsi="Arial Narrow"/>
          <w:sz w:val="18"/>
          <w:szCs w:val="24"/>
        </w:rPr>
      </w:pPr>
      <w:r w:rsidRPr="00FA0A91">
        <w:rPr>
          <w:rFonts w:ascii="Arial Narrow" w:hAnsi="Arial Narrow"/>
          <w:sz w:val="18"/>
          <w:szCs w:val="24"/>
        </w:rPr>
        <w:t xml:space="preserve">DCV = daclatasvir; PBS = Pharmaceutical Benefits Scheme; RPBS = Repatriation Pharmaceutical Benefits Scheme; SOF = sofosbuvir </w:t>
      </w:r>
    </w:p>
    <w:p w:rsidR="00FA0A91" w:rsidRPr="00FA0A91" w:rsidRDefault="00FA0A91" w:rsidP="00FA0A91">
      <w:pPr>
        <w:ind w:left="709"/>
        <w:rPr>
          <w:rFonts w:ascii="Arial Narrow" w:hAnsi="Arial Narrow"/>
          <w:i/>
          <w:sz w:val="18"/>
          <w:szCs w:val="24"/>
        </w:rPr>
      </w:pPr>
      <w:proofErr w:type="gramStart"/>
      <w:r w:rsidRPr="00FA0A91">
        <w:rPr>
          <w:rFonts w:ascii="Arial Narrow" w:hAnsi="Arial Narrow"/>
          <w:i/>
          <w:sz w:val="18"/>
          <w:szCs w:val="24"/>
          <w:vertAlign w:val="superscript"/>
        </w:rPr>
        <w:t>a</w:t>
      </w:r>
      <w:proofErr w:type="gramEnd"/>
      <w:r w:rsidRPr="00FA0A91">
        <w:rPr>
          <w:rFonts w:ascii="Arial Narrow" w:hAnsi="Arial Narrow"/>
          <w:i/>
          <w:sz w:val="18"/>
          <w:szCs w:val="24"/>
        </w:rPr>
        <w:t xml:space="preserve"> </w:t>
      </w:r>
      <w:r w:rsidRPr="00FA0A91">
        <w:rPr>
          <w:rFonts w:ascii="Arial Narrow" w:hAnsi="Arial Narrow"/>
          <w:sz w:val="18"/>
          <w:szCs w:val="24"/>
        </w:rPr>
        <w:t>Based on DPMQ for daclatasvir and weighted cost for sofosbuvir (87% public (ex-manufacturer cost) and 13% private (DPMQ))</w:t>
      </w:r>
    </w:p>
    <w:p w:rsidR="00FF44D0" w:rsidRPr="00FA0A91" w:rsidRDefault="00FA0A91" w:rsidP="00FA0A91">
      <w:pPr>
        <w:widowControl/>
        <w:ind w:left="709"/>
        <w:rPr>
          <w:rFonts w:ascii="Arial Narrow" w:hAnsi="Arial Narrow" w:cs="Times New Roman"/>
          <w:sz w:val="18"/>
          <w:szCs w:val="18"/>
        </w:rPr>
      </w:pPr>
      <w:r w:rsidRPr="00FA0A91">
        <w:rPr>
          <w:rFonts w:ascii="Arial Narrow" w:hAnsi="Arial Narrow" w:cs="Times New Roman"/>
          <w:sz w:val="18"/>
          <w:szCs w:val="18"/>
        </w:rPr>
        <w:t xml:space="preserve">Source: Commentary on the Main Submission, Table </w:t>
      </w:r>
      <w:proofErr w:type="gramStart"/>
      <w:r w:rsidRPr="00FA0A91">
        <w:rPr>
          <w:rFonts w:ascii="Arial Narrow" w:hAnsi="Arial Narrow" w:cs="Times New Roman"/>
          <w:sz w:val="18"/>
          <w:szCs w:val="18"/>
        </w:rPr>
        <w:t>E(</w:t>
      </w:r>
      <w:proofErr w:type="gramEnd"/>
      <w:r w:rsidRPr="00FA0A91">
        <w:rPr>
          <w:rFonts w:ascii="Arial Narrow" w:hAnsi="Arial Narrow" w:cs="Times New Roman"/>
          <w:sz w:val="18"/>
          <w:szCs w:val="18"/>
        </w:rPr>
        <w:t>I).4.2.p113</w:t>
      </w:r>
      <w:r w:rsidR="00FF44D0" w:rsidRPr="00FA0A91">
        <w:rPr>
          <w:rFonts w:ascii="Arial Narrow" w:hAnsi="Arial Narrow" w:cs="Times New Roman"/>
          <w:sz w:val="18"/>
          <w:szCs w:val="18"/>
        </w:rPr>
        <w:t>.</w:t>
      </w:r>
    </w:p>
    <w:p w:rsidR="00117197" w:rsidRDefault="00117197" w:rsidP="00117197">
      <w:pPr>
        <w:widowControl/>
        <w:rPr>
          <w:rFonts w:ascii="Arial Narrow" w:hAnsi="Arial Narrow" w:cs="Times New Roman"/>
          <w:sz w:val="18"/>
          <w:szCs w:val="18"/>
        </w:rPr>
      </w:pPr>
    </w:p>
    <w:p w:rsidR="00117197" w:rsidRPr="006D7A14" w:rsidRDefault="00117197" w:rsidP="00117197">
      <w:pPr>
        <w:pStyle w:val="ListParagraph"/>
        <w:widowControl/>
        <w:numPr>
          <w:ilvl w:val="1"/>
          <w:numId w:val="1"/>
        </w:numPr>
      </w:pPr>
      <w:r w:rsidRPr="006D7A14">
        <w:rPr>
          <w:szCs w:val="22"/>
        </w:rPr>
        <w:t xml:space="preserve">DUSC considered that the estimates of patients treated presented in the submission </w:t>
      </w:r>
      <w:r w:rsidR="00BF04C9">
        <w:rPr>
          <w:szCs w:val="22"/>
        </w:rPr>
        <w:t>we</w:t>
      </w:r>
      <w:r w:rsidRPr="006D7A14">
        <w:rPr>
          <w:szCs w:val="22"/>
        </w:rPr>
        <w:t>re reasonable</w:t>
      </w:r>
      <w:r w:rsidRPr="00B442D6">
        <w:rPr>
          <w:szCs w:val="22"/>
        </w:rPr>
        <w:t>. However, the treatment rate once all-oral interferon-free treatment regimens become available is</w:t>
      </w:r>
      <w:r w:rsidR="006E024A">
        <w:rPr>
          <w:szCs w:val="22"/>
        </w:rPr>
        <w:t xml:space="preserve"> unknown</w:t>
      </w:r>
      <w:r w:rsidRPr="006D7A14">
        <w:rPr>
          <w:szCs w:val="22"/>
        </w:rPr>
        <w:t xml:space="preserve"> as:</w:t>
      </w:r>
    </w:p>
    <w:p w:rsidR="00117197" w:rsidRPr="006D7A14" w:rsidRDefault="00117197" w:rsidP="00117197">
      <w:pPr>
        <w:numPr>
          <w:ilvl w:val="0"/>
          <w:numId w:val="16"/>
        </w:numPr>
        <w:ind w:left="1418" w:hanging="425"/>
        <w:jc w:val="left"/>
        <w:rPr>
          <w:rFonts w:cs="Times New Roman"/>
          <w:szCs w:val="22"/>
        </w:rPr>
      </w:pPr>
      <w:r w:rsidRPr="006D7A14">
        <w:rPr>
          <w:rFonts w:cs="Times New Roman"/>
          <w:szCs w:val="22"/>
        </w:rPr>
        <w:t>There is a large pool of people living with CHC infection(230,000);</w:t>
      </w:r>
    </w:p>
    <w:p w:rsidR="00117197" w:rsidRPr="006D7A14" w:rsidRDefault="00117197" w:rsidP="00117197">
      <w:pPr>
        <w:numPr>
          <w:ilvl w:val="0"/>
          <w:numId w:val="16"/>
        </w:numPr>
        <w:ind w:left="1418" w:hanging="425"/>
        <w:jc w:val="left"/>
        <w:rPr>
          <w:rFonts w:cs="Times New Roman"/>
          <w:szCs w:val="22"/>
        </w:rPr>
      </w:pPr>
      <w:r w:rsidRPr="006D7A14">
        <w:rPr>
          <w:rFonts w:cs="Times New Roman"/>
          <w:szCs w:val="22"/>
        </w:rPr>
        <w:t>The number of patients who are deferring treatment to receive interferon-free therapy is unknown; and</w:t>
      </w:r>
    </w:p>
    <w:p w:rsidR="00117197" w:rsidRPr="006D7A14" w:rsidRDefault="00117197" w:rsidP="00117197">
      <w:pPr>
        <w:numPr>
          <w:ilvl w:val="0"/>
          <w:numId w:val="16"/>
        </w:numPr>
        <w:ind w:left="1418" w:hanging="425"/>
        <w:jc w:val="left"/>
        <w:rPr>
          <w:rFonts w:cs="Times New Roman"/>
          <w:szCs w:val="22"/>
        </w:rPr>
      </w:pPr>
      <w:r w:rsidRPr="006D7A14">
        <w:rPr>
          <w:rFonts w:cs="Times New Roman"/>
          <w:szCs w:val="22"/>
        </w:rPr>
        <w:t>It is uncertain whether and when the current model of care involving specialist treatment centres will change to a greater involvement of primary care in HCV prescribing with a subsequent broader access to treatment.</w:t>
      </w:r>
    </w:p>
    <w:p w:rsidR="00117197" w:rsidRPr="006D7A14" w:rsidRDefault="00117197" w:rsidP="00117197">
      <w:pPr>
        <w:ind w:left="1418"/>
        <w:jc w:val="left"/>
        <w:rPr>
          <w:rFonts w:cs="Times New Roman"/>
          <w:szCs w:val="22"/>
        </w:rPr>
      </w:pPr>
    </w:p>
    <w:p w:rsidR="00117197" w:rsidRPr="006D7A14" w:rsidRDefault="00117197" w:rsidP="00117197">
      <w:pPr>
        <w:pStyle w:val="ListParagraph"/>
        <w:widowControl/>
        <w:numPr>
          <w:ilvl w:val="1"/>
          <w:numId w:val="1"/>
        </w:numPr>
        <w:rPr>
          <w:szCs w:val="22"/>
        </w:rPr>
      </w:pPr>
      <w:r w:rsidRPr="006D7A14">
        <w:rPr>
          <w:szCs w:val="22"/>
        </w:rPr>
        <w:t>DUSC considered that the financial estimates were highly uncertain and likely to be underestimated as:</w:t>
      </w:r>
    </w:p>
    <w:p w:rsidR="00117197" w:rsidRPr="006D7A14" w:rsidRDefault="00117197" w:rsidP="00117197">
      <w:pPr>
        <w:pStyle w:val="ListParagraph"/>
        <w:keepNext/>
        <w:numPr>
          <w:ilvl w:val="0"/>
          <w:numId w:val="17"/>
        </w:numPr>
        <w:tabs>
          <w:tab w:val="left" w:pos="1418"/>
        </w:tabs>
        <w:ind w:left="1418" w:hanging="425"/>
        <w:jc w:val="left"/>
        <w:rPr>
          <w:szCs w:val="22"/>
        </w:rPr>
      </w:pPr>
      <w:r w:rsidRPr="006D7A14">
        <w:rPr>
          <w:szCs w:val="22"/>
        </w:rPr>
        <w:t xml:space="preserve">The cost of sofosbuvir is unknown and an assumed price is used by the submission. </w:t>
      </w:r>
    </w:p>
    <w:p w:rsidR="00117197" w:rsidRPr="006D7A14" w:rsidRDefault="00117197" w:rsidP="00117197">
      <w:pPr>
        <w:pStyle w:val="ListParagraph"/>
        <w:keepNext/>
        <w:numPr>
          <w:ilvl w:val="0"/>
          <w:numId w:val="17"/>
        </w:numPr>
        <w:ind w:left="1418" w:hanging="425"/>
        <w:jc w:val="left"/>
        <w:rPr>
          <w:snapToGrid/>
          <w:szCs w:val="22"/>
        </w:rPr>
      </w:pPr>
      <w:r w:rsidRPr="006D7A14">
        <w:rPr>
          <w:snapToGrid/>
          <w:szCs w:val="22"/>
        </w:rPr>
        <w:t xml:space="preserve">It would be at the discretion of the prescriber whether patients with genotype 1, 2, or 3 HCV would receive the recommended 12 weeks of treatment or the maximum 24 weeks of DCV+SOF which is allowed under the requested restriction. </w:t>
      </w:r>
    </w:p>
    <w:p w:rsidR="00117197" w:rsidRPr="006D7A14" w:rsidRDefault="00117197" w:rsidP="00117197">
      <w:pPr>
        <w:pStyle w:val="ListParagraph"/>
        <w:keepNext/>
        <w:numPr>
          <w:ilvl w:val="0"/>
          <w:numId w:val="17"/>
        </w:numPr>
        <w:ind w:left="1418" w:hanging="425"/>
        <w:jc w:val="left"/>
      </w:pPr>
      <w:r w:rsidRPr="006D7A14">
        <w:rPr>
          <w:szCs w:val="22"/>
        </w:rPr>
        <w:t xml:space="preserve">The projected offsets for substituted HCV treatment are significantly greater </w:t>
      </w:r>
      <w:r w:rsidRPr="006D7A14">
        <w:rPr>
          <w:szCs w:val="22"/>
        </w:rPr>
        <w:lastRenderedPageBreak/>
        <w:t>than the current PBS expenditure on HCV medicines. The submission’s assumption of a growth in the use of currently available medicines is unlikely given that patients are deferring treatment with interferon-containing therapy.</w:t>
      </w:r>
    </w:p>
    <w:p w:rsidR="00FF44D0" w:rsidRPr="006D7A14" w:rsidRDefault="00FF44D0" w:rsidP="00FF44D0">
      <w:pPr>
        <w:pStyle w:val="ListParagraph"/>
        <w:keepNext/>
        <w:ind w:left="1418"/>
        <w:jc w:val="left"/>
        <w:rPr>
          <w:szCs w:val="22"/>
        </w:rPr>
      </w:pPr>
    </w:p>
    <w:p w:rsidR="00FF44D0" w:rsidRPr="006D7A14" w:rsidRDefault="00FF44D0" w:rsidP="00FF44D0">
      <w:pPr>
        <w:pStyle w:val="ListParagraph"/>
        <w:widowControl/>
        <w:numPr>
          <w:ilvl w:val="1"/>
          <w:numId w:val="1"/>
        </w:numPr>
        <w:rPr>
          <w:szCs w:val="22"/>
        </w:rPr>
      </w:pPr>
      <w:r w:rsidRPr="006D7A14">
        <w:rPr>
          <w:szCs w:val="22"/>
        </w:rPr>
        <w:t xml:space="preserve">Taking account of the proposed drug prices, treatment targets in the Fourth National Hepatitis C Strategy and assuming that care continues to be delivered through specialist treatment centres, DUSC estimated the following number of patients of all genotypes would be treated over the first five years of listing at a net cost to the PBS/RPBS of </w:t>
      </w:r>
      <w:r w:rsidR="00053985">
        <w:rPr>
          <w:szCs w:val="22"/>
        </w:rPr>
        <w:t xml:space="preserve">approximately </w:t>
      </w:r>
      <w:r w:rsidRPr="006D7A14">
        <w:rPr>
          <w:szCs w:val="22"/>
        </w:rPr>
        <w:t>$3 billion over five years.</w:t>
      </w:r>
    </w:p>
    <w:p w:rsidR="00FF44D0" w:rsidRPr="006D7A14" w:rsidRDefault="00FF44D0" w:rsidP="00FF44D0">
      <w:pPr>
        <w:pStyle w:val="BodyText"/>
        <w:rPr>
          <w:b/>
          <w:szCs w:val="22"/>
        </w:rPr>
      </w:pPr>
    </w:p>
    <w:tbl>
      <w:tblPr>
        <w:tblStyle w:val="TableGrid"/>
        <w:tblW w:w="0" w:type="auto"/>
        <w:tblInd w:w="817" w:type="dxa"/>
        <w:tblLook w:val="04A0" w:firstRow="1" w:lastRow="0" w:firstColumn="1" w:lastColumn="0" w:noHBand="0" w:noVBand="1"/>
        <w:tblCaption w:val="Estimated patient numbers - all genotypes"/>
        <w:tblDescription w:val="Year 1 to 5"/>
      </w:tblPr>
      <w:tblGrid>
        <w:gridCol w:w="878"/>
        <w:gridCol w:w="1695"/>
        <w:gridCol w:w="1695"/>
        <w:gridCol w:w="1695"/>
        <w:gridCol w:w="2400"/>
      </w:tblGrid>
      <w:tr w:rsidR="00FF44D0" w:rsidRPr="006D7A14" w:rsidTr="00FA0A91">
        <w:tc>
          <w:tcPr>
            <w:tcW w:w="878" w:type="dxa"/>
          </w:tcPr>
          <w:p w:rsidR="00FF44D0" w:rsidRPr="006D7A14" w:rsidRDefault="00FF44D0" w:rsidP="00201652">
            <w:pPr>
              <w:pStyle w:val="BodyText"/>
              <w:rPr>
                <w:rFonts w:ascii="Arial Narrow" w:hAnsi="Arial Narrow"/>
                <w:sz w:val="18"/>
                <w:szCs w:val="18"/>
              </w:rPr>
            </w:pPr>
            <w:r w:rsidRPr="006D7A14">
              <w:rPr>
                <w:rFonts w:ascii="Arial Narrow" w:hAnsi="Arial Narrow"/>
                <w:sz w:val="18"/>
                <w:szCs w:val="18"/>
              </w:rPr>
              <w:t>Year 1</w:t>
            </w:r>
          </w:p>
        </w:tc>
        <w:tc>
          <w:tcPr>
            <w:tcW w:w="1695" w:type="dxa"/>
          </w:tcPr>
          <w:p w:rsidR="00FF44D0" w:rsidRPr="006D7A14" w:rsidRDefault="00FF44D0" w:rsidP="00201652">
            <w:pPr>
              <w:pStyle w:val="BodyText"/>
              <w:rPr>
                <w:rFonts w:ascii="Arial Narrow" w:hAnsi="Arial Narrow"/>
                <w:sz w:val="18"/>
                <w:szCs w:val="18"/>
              </w:rPr>
            </w:pPr>
            <w:r w:rsidRPr="006D7A14">
              <w:rPr>
                <w:rFonts w:ascii="Arial Narrow" w:hAnsi="Arial Narrow"/>
                <w:sz w:val="18"/>
                <w:szCs w:val="18"/>
              </w:rPr>
              <w:t>Year 2</w:t>
            </w:r>
          </w:p>
        </w:tc>
        <w:tc>
          <w:tcPr>
            <w:tcW w:w="1695" w:type="dxa"/>
          </w:tcPr>
          <w:p w:rsidR="00FF44D0" w:rsidRPr="006D7A14" w:rsidRDefault="00FF44D0" w:rsidP="00201652">
            <w:pPr>
              <w:pStyle w:val="BodyText"/>
              <w:rPr>
                <w:rFonts w:ascii="Arial Narrow" w:hAnsi="Arial Narrow"/>
                <w:sz w:val="18"/>
                <w:szCs w:val="18"/>
              </w:rPr>
            </w:pPr>
            <w:r w:rsidRPr="006D7A14">
              <w:rPr>
                <w:rFonts w:ascii="Arial Narrow" w:hAnsi="Arial Narrow"/>
                <w:sz w:val="18"/>
                <w:szCs w:val="18"/>
              </w:rPr>
              <w:t>Year 3</w:t>
            </w:r>
          </w:p>
        </w:tc>
        <w:tc>
          <w:tcPr>
            <w:tcW w:w="1695" w:type="dxa"/>
          </w:tcPr>
          <w:p w:rsidR="00FF44D0" w:rsidRPr="006D7A14" w:rsidRDefault="00FF44D0" w:rsidP="00201652">
            <w:pPr>
              <w:pStyle w:val="BodyText"/>
              <w:rPr>
                <w:rFonts w:ascii="Arial Narrow" w:hAnsi="Arial Narrow"/>
                <w:sz w:val="18"/>
                <w:szCs w:val="18"/>
              </w:rPr>
            </w:pPr>
            <w:r w:rsidRPr="006D7A14">
              <w:rPr>
                <w:rFonts w:ascii="Arial Narrow" w:hAnsi="Arial Narrow"/>
                <w:sz w:val="18"/>
                <w:szCs w:val="18"/>
              </w:rPr>
              <w:t>Year 4</w:t>
            </w:r>
          </w:p>
        </w:tc>
        <w:tc>
          <w:tcPr>
            <w:tcW w:w="2400" w:type="dxa"/>
          </w:tcPr>
          <w:p w:rsidR="00FF44D0" w:rsidRPr="006D7A14" w:rsidRDefault="00FF44D0" w:rsidP="00201652">
            <w:pPr>
              <w:pStyle w:val="BodyText"/>
              <w:rPr>
                <w:rFonts w:ascii="Arial Narrow" w:hAnsi="Arial Narrow"/>
                <w:sz w:val="18"/>
                <w:szCs w:val="18"/>
              </w:rPr>
            </w:pPr>
            <w:r w:rsidRPr="006D7A14">
              <w:rPr>
                <w:rFonts w:ascii="Arial Narrow" w:hAnsi="Arial Narrow"/>
                <w:sz w:val="18"/>
                <w:szCs w:val="18"/>
              </w:rPr>
              <w:t>Year 5</w:t>
            </w:r>
          </w:p>
        </w:tc>
      </w:tr>
      <w:tr w:rsidR="00FF44D0" w:rsidRPr="006D7A14" w:rsidTr="00FA0A91">
        <w:tc>
          <w:tcPr>
            <w:tcW w:w="878" w:type="dxa"/>
          </w:tcPr>
          <w:p w:rsidR="00FF44D0" w:rsidRPr="00E70598" w:rsidRDefault="00E70598" w:rsidP="00201652">
            <w:pPr>
              <w:pStyle w:val="BodyText"/>
              <w:rPr>
                <w:rFonts w:ascii="Arial Narrow" w:hAnsi="Arial Narrow"/>
                <w:b/>
                <w:sz w:val="18"/>
                <w:szCs w:val="18"/>
                <w:highlight w:val="black"/>
              </w:rPr>
            </w:pPr>
            <w:r>
              <w:rPr>
                <w:rFonts w:ascii="Arial Narrow" w:hAnsi="Arial Narrow"/>
                <w:noProof/>
                <w:color w:val="000000"/>
                <w:sz w:val="18"/>
                <w:szCs w:val="18"/>
                <w:highlight w:val="black"/>
              </w:rPr>
              <w:t>'''''''''''''</w:t>
            </w:r>
          </w:p>
        </w:tc>
        <w:tc>
          <w:tcPr>
            <w:tcW w:w="1695" w:type="dxa"/>
          </w:tcPr>
          <w:p w:rsidR="00FF44D0" w:rsidRPr="00E70598" w:rsidRDefault="00E70598" w:rsidP="00201652">
            <w:pPr>
              <w:pStyle w:val="BodyText"/>
              <w:rPr>
                <w:rFonts w:ascii="Arial Narrow" w:hAnsi="Arial Narrow"/>
                <w:b/>
                <w:sz w:val="18"/>
                <w:szCs w:val="18"/>
                <w:highlight w:val="black"/>
              </w:rPr>
            </w:pPr>
            <w:r>
              <w:rPr>
                <w:rFonts w:ascii="Arial Narrow" w:hAnsi="Arial Narrow"/>
                <w:noProof/>
                <w:color w:val="000000"/>
                <w:sz w:val="18"/>
                <w:szCs w:val="18"/>
                <w:highlight w:val="black"/>
              </w:rPr>
              <w:t>'''''''''''''''</w:t>
            </w:r>
          </w:p>
        </w:tc>
        <w:tc>
          <w:tcPr>
            <w:tcW w:w="1695" w:type="dxa"/>
          </w:tcPr>
          <w:p w:rsidR="00FF44D0" w:rsidRPr="00E70598" w:rsidRDefault="00E70598" w:rsidP="00201652">
            <w:pPr>
              <w:pStyle w:val="BodyText"/>
              <w:rPr>
                <w:rFonts w:ascii="Arial Narrow" w:hAnsi="Arial Narrow"/>
                <w:b/>
                <w:sz w:val="18"/>
                <w:szCs w:val="18"/>
                <w:highlight w:val="black"/>
              </w:rPr>
            </w:pPr>
            <w:r>
              <w:rPr>
                <w:rFonts w:ascii="Arial Narrow" w:hAnsi="Arial Narrow"/>
                <w:noProof/>
                <w:color w:val="000000"/>
                <w:sz w:val="18"/>
                <w:szCs w:val="18"/>
                <w:highlight w:val="black"/>
              </w:rPr>
              <w:t>''''''''''''''''</w:t>
            </w:r>
          </w:p>
        </w:tc>
        <w:tc>
          <w:tcPr>
            <w:tcW w:w="1695" w:type="dxa"/>
          </w:tcPr>
          <w:p w:rsidR="00FF44D0" w:rsidRPr="00E70598" w:rsidRDefault="00E70598" w:rsidP="00201652">
            <w:pPr>
              <w:pStyle w:val="BodyText"/>
              <w:rPr>
                <w:rFonts w:ascii="Arial Narrow" w:hAnsi="Arial Narrow"/>
                <w:b/>
                <w:sz w:val="18"/>
                <w:szCs w:val="18"/>
                <w:highlight w:val="black"/>
              </w:rPr>
            </w:pPr>
            <w:r>
              <w:rPr>
                <w:rFonts w:ascii="Arial Narrow" w:hAnsi="Arial Narrow"/>
                <w:noProof/>
                <w:color w:val="000000"/>
                <w:sz w:val="18"/>
                <w:szCs w:val="18"/>
                <w:highlight w:val="black"/>
              </w:rPr>
              <w:t>'''''''''''''''</w:t>
            </w:r>
          </w:p>
        </w:tc>
        <w:tc>
          <w:tcPr>
            <w:tcW w:w="2400" w:type="dxa"/>
          </w:tcPr>
          <w:p w:rsidR="00FF44D0" w:rsidRPr="00E70598" w:rsidRDefault="00E70598" w:rsidP="00201652">
            <w:pPr>
              <w:pStyle w:val="BodyText"/>
              <w:rPr>
                <w:rFonts w:ascii="Arial Narrow" w:hAnsi="Arial Narrow"/>
                <w:b/>
                <w:sz w:val="18"/>
                <w:szCs w:val="18"/>
                <w:highlight w:val="black"/>
              </w:rPr>
            </w:pPr>
            <w:r>
              <w:rPr>
                <w:rFonts w:ascii="Arial Narrow" w:hAnsi="Arial Narrow"/>
                <w:noProof/>
                <w:color w:val="000000"/>
                <w:sz w:val="18"/>
                <w:szCs w:val="18"/>
                <w:highlight w:val="black"/>
              </w:rPr>
              <w:t>'''''''''''''''</w:t>
            </w:r>
          </w:p>
        </w:tc>
      </w:tr>
    </w:tbl>
    <w:p w:rsidR="00FF44D0" w:rsidRPr="006D7A14" w:rsidRDefault="00FF44D0" w:rsidP="00FF44D0">
      <w:pPr>
        <w:pStyle w:val="ListParagraph"/>
        <w:widowControl/>
      </w:pPr>
    </w:p>
    <w:p w:rsidR="00C709E1" w:rsidRPr="00A2255E" w:rsidRDefault="00C709E1" w:rsidP="00C709E1">
      <w:pPr>
        <w:pStyle w:val="ListParagraph"/>
        <w:widowControl/>
        <w:numPr>
          <w:ilvl w:val="1"/>
          <w:numId w:val="1"/>
        </w:numPr>
      </w:pPr>
      <w:r w:rsidRPr="0096526D">
        <w:rPr>
          <w:rFonts w:ascii="Arial Narrow" w:hAnsi="Arial Narrow"/>
          <w:bCs/>
          <w:sz w:val="24"/>
        </w:rPr>
        <w:t xml:space="preserve">The </w:t>
      </w:r>
      <w:r w:rsidRPr="00A2255E">
        <w:rPr>
          <w:bCs/>
          <w:szCs w:val="22"/>
        </w:rPr>
        <w:t xml:space="preserve">PBAC noted the DUSC advice on the item. </w:t>
      </w:r>
      <w:r w:rsidR="00E83199">
        <w:rPr>
          <w:bCs/>
          <w:szCs w:val="22"/>
        </w:rPr>
        <w:t xml:space="preserve">The PBAC </w:t>
      </w:r>
      <w:r w:rsidR="0063710F">
        <w:rPr>
          <w:bCs/>
          <w:szCs w:val="22"/>
        </w:rPr>
        <w:t>was of the view</w:t>
      </w:r>
      <w:r w:rsidR="00E83199">
        <w:rPr>
          <w:bCs/>
          <w:szCs w:val="22"/>
        </w:rPr>
        <w:t xml:space="preserve"> that the DUSC estimates for patients likely to be treated were appropriate</w:t>
      </w:r>
      <w:r w:rsidR="0063710F">
        <w:rPr>
          <w:bCs/>
          <w:szCs w:val="22"/>
        </w:rPr>
        <w:t>.</w:t>
      </w:r>
      <w:r w:rsidR="00E83199">
        <w:rPr>
          <w:bCs/>
          <w:szCs w:val="22"/>
        </w:rPr>
        <w:t xml:space="preserve"> </w:t>
      </w:r>
      <w:r w:rsidRPr="00A2255E">
        <w:rPr>
          <w:bCs/>
          <w:szCs w:val="22"/>
        </w:rPr>
        <w:t xml:space="preserve">At year 1, the estimated number of patients with any HCV genotype was 6,660 and the net cost to the PBS would be approximately </w:t>
      </w:r>
      <w:r w:rsidR="00864F16" w:rsidRPr="00864F16">
        <w:rPr>
          <w:bCs/>
          <w:szCs w:val="22"/>
        </w:rPr>
        <w:t>more than $100 million</w:t>
      </w:r>
      <w:r w:rsidR="00E83199">
        <w:rPr>
          <w:bCs/>
          <w:szCs w:val="22"/>
        </w:rPr>
        <w:t xml:space="preserve">, if based on the cost per treatment considered </w:t>
      </w:r>
      <w:r w:rsidR="0063710F">
        <w:rPr>
          <w:bCs/>
          <w:szCs w:val="22"/>
        </w:rPr>
        <w:t>appropriate by the PBAC</w:t>
      </w:r>
      <w:r w:rsidRPr="00A2255E">
        <w:rPr>
          <w:bCs/>
          <w:szCs w:val="22"/>
        </w:rPr>
        <w:t xml:space="preserve">. At year 5, the estimated number of patients was 15,000 and the net cost to the PBS would be approximately </w:t>
      </w:r>
      <w:r w:rsidR="00EC7976" w:rsidRPr="00EC7976">
        <w:rPr>
          <w:bCs/>
          <w:szCs w:val="22"/>
        </w:rPr>
        <w:t>more than $100 million</w:t>
      </w:r>
      <w:r w:rsidRPr="00A2255E">
        <w:rPr>
          <w:bCs/>
          <w:szCs w:val="22"/>
        </w:rPr>
        <w:t xml:space="preserve">. Over 5 years, it is estimated that approximately 61 500 patients would be treated, and the net cost would be </w:t>
      </w:r>
      <w:r w:rsidR="00EC7976" w:rsidRPr="00EC7976">
        <w:rPr>
          <w:bCs/>
          <w:szCs w:val="22"/>
        </w:rPr>
        <w:t>more than $100 million</w:t>
      </w:r>
      <w:r w:rsidRPr="00A2255E">
        <w:rPr>
          <w:bCs/>
          <w:szCs w:val="22"/>
        </w:rPr>
        <w:t xml:space="preserve">. The PBAC noted that currently approximately $87.5 million is spent on treatments for CHC, while, if the health system had the capacity, to treat all CHC patients over 5 years, the cost would be over </w:t>
      </w:r>
      <w:r w:rsidR="00EC7976" w:rsidRPr="00EC7976">
        <w:rPr>
          <w:bCs/>
          <w:szCs w:val="22"/>
        </w:rPr>
        <w:t>more than $100 million</w:t>
      </w:r>
      <w:r w:rsidRPr="00A2255E">
        <w:rPr>
          <w:bCs/>
          <w:szCs w:val="22"/>
        </w:rPr>
        <w:t>.</w:t>
      </w:r>
      <w:r w:rsidRPr="0096526D">
        <w:rPr>
          <w:rFonts w:ascii="Arial Narrow" w:hAnsi="Arial Narrow"/>
          <w:bCs/>
          <w:sz w:val="24"/>
        </w:rPr>
        <w:t xml:space="preserve"> </w:t>
      </w:r>
    </w:p>
    <w:p w:rsidR="0062087B" w:rsidRPr="0062087B" w:rsidRDefault="0062087B" w:rsidP="0062087B">
      <w:pPr>
        <w:pStyle w:val="PBACHeading1"/>
        <w:numPr>
          <w:ilvl w:val="0"/>
          <w:numId w:val="0"/>
        </w:numPr>
        <w:ind w:left="720" w:hanging="720"/>
      </w:pPr>
    </w:p>
    <w:p w:rsidR="00576972" w:rsidRPr="004A0645" w:rsidRDefault="00576972" w:rsidP="002C2775">
      <w:pPr>
        <w:pStyle w:val="Heading2"/>
        <w:rPr>
          <w:szCs w:val="22"/>
        </w:rPr>
      </w:pPr>
      <w:bookmarkStart w:id="17" w:name="_Toc409610872"/>
      <w:r w:rsidRPr="004A0645">
        <w:t>Financial Management – Risk Sharing Arrangements</w:t>
      </w:r>
      <w:bookmarkEnd w:id="17"/>
    </w:p>
    <w:p w:rsidR="00C25D9C" w:rsidRPr="00576972" w:rsidRDefault="00C25D9C" w:rsidP="00576972">
      <w:pPr>
        <w:widowControl/>
        <w:rPr>
          <w:szCs w:val="22"/>
        </w:rPr>
      </w:pPr>
    </w:p>
    <w:p w:rsidR="000302B7" w:rsidRPr="00DC253A" w:rsidRDefault="000302B7" w:rsidP="00C768A3">
      <w:pPr>
        <w:pStyle w:val="ListParagraph"/>
        <w:widowControl/>
        <w:numPr>
          <w:ilvl w:val="1"/>
          <w:numId w:val="1"/>
        </w:numPr>
        <w:rPr>
          <w:szCs w:val="22"/>
        </w:rPr>
      </w:pPr>
      <w:r>
        <w:t>If daclatasvir is listed for use in combination with both asunaprevir and sofosbuvir, the submission proposed that daclatasvir would be listed at a published DPMQ of $</w:t>
      </w:r>
      <w:r w:rsidR="00E70598">
        <w:rPr>
          <w:noProof/>
          <w:color w:val="000000"/>
          <w:highlight w:val="black"/>
        </w:rPr>
        <w:t>''''''''''''''''''''''''</w:t>
      </w:r>
      <w:r>
        <w:t>, with a rebate applied to the proportion of daclatasvir dispensed for use in combination with asunaprevir to reduce the effective DPMQ to $</w:t>
      </w:r>
      <w:r w:rsidR="00E70598">
        <w:rPr>
          <w:noProof/>
          <w:color w:val="000000"/>
          <w:highlight w:val="black"/>
        </w:rPr>
        <w:t>'''''''''''''''''''''</w:t>
      </w:r>
      <w:r>
        <w:t xml:space="preserve">. </w:t>
      </w:r>
      <w:r w:rsidRPr="00622116">
        <w:t xml:space="preserve">The DPMQ </w:t>
      </w:r>
      <w:r>
        <w:t>of daclatasvir</w:t>
      </w:r>
      <w:r w:rsidRPr="00622116">
        <w:t xml:space="preserve"> for the proportion dispensed for use in combination with </w:t>
      </w:r>
      <w:r>
        <w:t>sofosbuvir</w:t>
      </w:r>
      <w:r w:rsidRPr="00622116">
        <w:t xml:space="preserve"> would remain at $</w:t>
      </w:r>
      <w:r w:rsidR="00E70598">
        <w:rPr>
          <w:noProof/>
          <w:color w:val="000000"/>
          <w:highlight w:val="black"/>
        </w:rPr>
        <w:t>''''''''''''''''''''''''</w:t>
      </w:r>
      <w:r w:rsidRPr="00622116">
        <w:t>, with no rebate applied</w:t>
      </w:r>
      <w:r w:rsidRPr="00E60C3D">
        <w:rPr>
          <w:i/>
        </w:rPr>
        <w:t>.</w:t>
      </w:r>
      <w:r w:rsidRPr="00622116">
        <w:t xml:space="preserve"> </w:t>
      </w:r>
      <w:r>
        <w:t xml:space="preserve">If only </w:t>
      </w:r>
      <w:r w:rsidR="00A90408" w:rsidRPr="00464929">
        <w:rPr>
          <w:szCs w:val="22"/>
        </w:rPr>
        <w:t xml:space="preserve">daclatasvir when combined with asunaprevir </w:t>
      </w:r>
      <w:r>
        <w:t>is listed, the proposed DPMQ of daclatasvir was $</w:t>
      </w:r>
      <w:r w:rsidR="00E70598">
        <w:rPr>
          <w:noProof/>
          <w:color w:val="000000"/>
          <w:highlight w:val="black"/>
        </w:rPr>
        <w:t>'''''''''''''''''''''''</w:t>
      </w:r>
      <w:r>
        <w:t>, with no rebate.</w:t>
      </w:r>
    </w:p>
    <w:p w:rsidR="00DC253A" w:rsidRPr="0062087B" w:rsidRDefault="00DC253A" w:rsidP="00DC253A">
      <w:pPr>
        <w:pStyle w:val="PBACHeading1"/>
        <w:numPr>
          <w:ilvl w:val="0"/>
          <w:numId w:val="0"/>
        </w:numPr>
        <w:ind w:left="720" w:hanging="720"/>
      </w:pPr>
    </w:p>
    <w:p w:rsidR="00C709E1" w:rsidRDefault="00C709E1" w:rsidP="00C709E1">
      <w:pPr>
        <w:pStyle w:val="ListParagraph"/>
        <w:widowControl/>
        <w:numPr>
          <w:ilvl w:val="1"/>
          <w:numId w:val="1"/>
        </w:numPr>
      </w:pPr>
      <w:r>
        <w:t xml:space="preserve">The PBAC noted the estimates of patients being treated presented in the DUSC advice, based on treatment targets in the Fourth National Hepatitis C Strategy 2014-2017 and assuming that care continues to be delivered through specialist treatment centres. The PBAC noted initiatives to support a greater role of primary care in the prescribing. Though the magnitude of this uptake is unknown, the PBAC considered that it was reasonable to assume that the estimates from DUSC over the next 5 years would remain appropriate in the context of a General Schedule listing, given that treatment would initially continue in specialist treatment centres; and that the uptake by general practitioners to become accredited to manage HCV may be low as noted in the NSW Hepatitis C Strategy 2014-2020. The PBAC recommended a Risk Share Arrangement (RSA). </w:t>
      </w:r>
    </w:p>
    <w:p w:rsidR="00C709E1" w:rsidRDefault="00C709E1" w:rsidP="00C709E1">
      <w:pPr>
        <w:pStyle w:val="PBACheading10"/>
        <w:ind w:left="0" w:firstLine="0"/>
      </w:pPr>
    </w:p>
    <w:p w:rsidR="00C709E1" w:rsidRPr="00B000C9" w:rsidRDefault="00C709E1" w:rsidP="00C709E1">
      <w:pPr>
        <w:pStyle w:val="ListParagraph"/>
        <w:widowControl/>
        <w:numPr>
          <w:ilvl w:val="1"/>
          <w:numId w:val="1"/>
        </w:numPr>
        <w:rPr>
          <w:szCs w:val="22"/>
        </w:rPr>
      </w:pPr>
      <w:r>
        <w:t xml:space="preserve">The PBAC recommended that the RSA should consist of a cap on expenditure, with a 100% rebate for budget certainty. The cap on expenditure should be based on the </w:t>
      </w:r>
      <w:r>
        <w:lastRenderedPageBreak/>
        <w:t xml:space="preserve">DUSC estimates. The PBAC considered that the advice received from the Australian Liver Association, namely </w:t>
      </w:r>
      <w:proofErr w:type="spellStart"/>
      <w:r>
        <w:t>Bruggmann</w:t>
      </w:r>
      <w:proofErr w:type="spellEnd"/>
      <w:r>
        <w:t xml:space="preserve"> et al. (2014), was the most appropriate the source of HCV genotype distribution in Australia.  The Committee recommended that the Department negotiate RSAs based on DUSC estimates of the patient population and treatment course per patient for each medicine, in a manner that can be implemented and managed by the Department.  The PBAC emphasised the importance of ensuring that these arrangements can be implemented in a way that would manage the overall cost to the Commonwealth for these medicines. Currently, </w:t>
      </w:r>
      <w:r w:rsidR="00C00260">
        <w:t>the sponsor</w:t>
      </w:r>
      <w:r>
        <w:t xml:space="preserve"> of DCV, and other sponsors of HCV treatments used in combination with SOF would be part of such agreement.</w:t>
      </w:r>
    </w:p>
    <w:p w:rsidR="00576972" w:rsidRDefault="00576972" w:rsidP="00576972">
      <w:pPr>
        <w:widowControl/>
        <w:rPr>
          <w:szCs w:val="22"/>
        </w:rPr>
      </w:pPr>
    </w:p>
    <w:p w:rsidR="00214F99" w:rsidRPr="002131A1" w:rsidRDefault="00214F99" w:rsidP="00214F99">
      <w:pPr>
        <w:pStyle w:val="PBACHeading1"/>
      </w:pPr>
      <w:r w:rsidRPr="002131A1">
        <w:t xml:space="preserve">PBAC Outcome </w:t>
      </w:r>
    </w:p>
    <w:p w:rsidR="00214F99" w:rsidRPr="002131A1" w:rsidRDefault="00214F99" w:rsidP="00214F99">
      <w:pPr>
        <w:widowControl/>
        <w:rPr>
          <w:b/>
          <w:snapToGrid/>
          <w:szCs w:val="22"/>
          <w:lang w:eastAsia="en-AU"/>
        </w:rPr>
      </w:pPr>
    </w:p>
    <w:p w:rsidR="00C00260" w:rsidRPr="002131A1" w:rsidRDefault="00C00260" w:rsidP="00C00260">
      <w:pPr>
        <w:pStyle w:val="ListParagraph"/>
        <w:widowControl/>
        <w:numPr>
          <w:ilvl w:val="1"/>
          <w:numId w:val="1"/>
        </w:numPr>
        <w:rPr>
          <w:szCs w:val="22"/>
        </w:rPr>
      </w:pPr>
      <w:r w:rsidRPr="002131A1">
        <w:rPr>
          <w:szCs w:val="22"/>
        </w:rPr>
        <w:t xml:space="preserve">The PBAC recommended the Authority </w:t>
      </w:r>
      <w:proofErr w:type="gramStart"/>
      <w:r w:rsidRPr="002131A1">
        <w:rPr>
          <w:szCs w:val="22"/>
        </w:rPr>
        <w:t>Required</w:t>
      </w:r>
      <w:proofErr w:type="gramEnd"/>
      <w:r w:rsidRPr="002131A1">
        <w:rPr>
          <w:szCs w:val="22"/>
        </w:rPr>
        <w:t xml:space="preserve"> listing of </w:t>
      </w:r>
      <w:proofErr w:type="spellStart"/>
      <w:r w:rsidRPr="002131A1">
        <w:rPr>
          <w:szCs w:val="22"/>
        </w:rPr>
        <w:t>daclatasivr</w:t>
      </w:r>
      <w:proofErr w:type="spellEnd"/>
      <w:r w:rsidRPr="002131A1">
        <w:rPr>
          <w:szCs w:val="22"/>
        </w:rPr>
        <w:t xml:space="preserve"> in combination with sofosbuvir for the treatment of Genotype 1 chronic hepatitis C (CHC) in treatment naïve non-cirrhotic patients. Listing was recommended on the basis of acceptable cost effectiveness over no </w:t>
      </w:r>
      <w:proofErr w:type="gramStart"/>
      <w:r w:rsidRPr="002131A1">
        <w:rPr>
          <w:szCs w:val="22"/>
        </w:rPr>
        <w:t>treatment,</w:t>
      </w:r>
      <w:proofErr w:type="gramEnd"/>
      <w:r w:rsidRPr="002131A1">
        <w:rPr>
          <w:szCs w:val="22"/>
        </w:rPr>
        <w:t xml:space="preserve"> </w:t>
      </w:r>
      <w:r w:rsidR="00EC7B86">
        <w:rPr>
          <w:szCs w:val="22"/>
        </w:rPr>
        <w:t>however</w:t>
      </w:r>
      <w:r w:rsidR="00EC7B86" w:rsidRPr="002131A1">
        <w:rPr>
          <w:szCs w:val="22"/>
        </w:rPr>
        <w:t xml:space="preserve"> </w:t>
      </w:r>
      <w:r w:rsidR="00EC7B86">
        <w:rPr>
          <w:szCs w:val="22"/>
        </w:rPr>
        <w:t xml:space="preserve">the PBAC recommended that </w:t>
      </w:r>
      <w:r w:rsidRPr="002131A1">
        <w:rPr>
          <w:szCs w:val="22"/>
        </w:rPr>
        <w:t xml:space="preserve">the price of a course of treatment should be the same as </w:t>
      </w:r>
      <w:r w:rsidR="00EC7B86">
        <w:rPr>
          <w:szCs w:val="22"/>
        </w:rPr>
        <w:t xml:space="preserve">the price of a </w:t>
      </w:r>
      <w:r w:rsidRPr="002131A1">
        <w:rPr>
          <w:szCs w:val="22"/>
        </w:rPr>
        <w:t>course</w:t>
      </w:r>
      <w:r w:rsidR="00EC7B86">
        <w:rPr>
          <w:szCs w:val="22"/>
        </w:rPr>
        <w:t xml:space="preserve"> of treatment with </w:t>
      </w:r>
      <w:proofErr w:type="spellStart"/>
      <w:r w:rsidRPr="002131A1">
        <w:rPr>
          <w:szCs w:val="22"/>
        </w:rPr>
        <w:t>ledipasvir</w:t>
      </w:r>
      <w:proofErr w:type="spellEnd"/>
      <w:r w:rsidRPr="002131A1">
        <w:rPr>
          <w:szCs w:val="22"/>
        </w:rPr>
        <w:t xml:space="preserve">/sofosbuvir.  </w:t>
      </w:r>
    </w:p>
    <w:p w:rsidR="00C00260" w:rsidRPr="002131A1" w:rsidRDefault="00C00260" w:rsidP="00C00260">
      <w:pPr>
        <w:pStyle w:val="ListParagraph"/>
        <w:widowControl/>
        <w:rPr>
          <w:szCs w:val="22"/>
        </w:rPr>
      </w:pPr>
    </w:p>
    <w:p w:rsidR="00C00260" w:rsidRPr="002131A1" w:rsidRDefault="00C00260" w:rsidP="00C00260">
      <w:pPr>
        <w:pStyle w:val="ListParagraph"/>
        <w:widowControl/>
        <w:numPr>
          <w:ilvl w:val="1"/>
          <w:numId w:val="1"/>
        </w:numPr>
        <w:rPr>
          <w:szCs w:val="22"/>
        </w:rPr>
      </w:pPr>
      <w:r w:rsidRPr="002131A1">
        <w:rPr>
          <w:szCs w:val="22"/>
        </w:rPr>
        <w:t xml:space="preserve">The PBAC recommended the Authority </w:t>
      </w:r>
      <w:proofErr w:type="gramStart"/>
      <w:r w:rsidRPr="002131A1">
        <w:rPr>
          <w:szCs w:val="22"/>
        </w:rPr>
        <w:t>Required</w:t>
      </w:r>
      <w:proofErr w:type="gramEnd"/>
      <w:r w:rsidRPr="002131A1">
        <w:rPr>
          <w:szCs w:val="22"/>
        </w:rPr>
        <w:t xml:space="preserve"> listing of </w:t>
      </w:r>
      <w:proofErr w:type="spellStart"/>
      <w:r w:rsidRPr="002131A1">
        <w:rPr>
          <w:szCs w:val="22"/>
        </w:rPr>
        <w:t>daclatasivr</w:t>
      </w:r>
      <w:proofErr w:type="spellEnd"/>
      <w:r w:rsidRPr="002131A1">
        <w:rPr>
          <w:szCs w:val="22"/>
        </w:rPr>
        <w:t xml:space="preserve"> in combination with sofosbuvir for the treatment of Genotype 3 chronic hepatitis C (CHC). Listing was recommended on the basis of acceptable cost effectiveness over no </w:t>
      </w:r>
      <w:proofErr w:type="gramStart"/>
      <w:r w:rsidRPr="002131A1">
        <w:rPr>
          <w:szCs w:val="22"/>
        </w:rPr>
        <w:t>treatment,</w:t>
      </w:r>
      <w:proofErr w:type="gramEnd"/>
      <w:r w:rsidRPr="002131A1">
        <w:rPr>
          <w:szCs w:val="22"/>
        </w:rPr>
        <w:t xml:space="preserve"> </w:t>
      </w:r>
      <w:r w:rsidR="00EC7B86">
        <w:rPr>
          <w:szCs w:val="22"/>
        </w:rPr>
        <w:t>however</w:t>
      </w:r>
      <w:r w:rsidR="00EC7B86" w:rsidRPr="002131A1">
        <w:rPr>
          <w:szCs w:val="22"/>
        </w:rPr>
        <w:t xml:space="preserve"> </w:t>
      </w:r>
      <w:r w:rsidR="00EC7B86">
        <w:rPr>
          <w:szCs w:val="22"/>
        </w:rPr>
        <w:t xml:space="preserve">the PBAC recommended that </w:t>
      </w:r>
      <w:r w:rsidR="00EC7B86" w:rsidRPr="002131A1">
        <w:rPr>
          <w:szCs w:val="22"/>
        </w:rPr>
        <w:t xml:space="preserve">the price of a course of treatment should be the same as </w:t>
      </w:r>
      <w:r w:rsidR="00EC7B86">
        <w:rPr>
          <w:szCs w:val="22"/>
        </w:rPr>
        <w:t xml:space="preserve">the price of a </w:t>
      </w:r>
      <w:r w:rsidR="00EC7B86" w:rsidRPr="002131A1">
        <w:rPr>
          <w:szCs w:val="22"/>
        </w:rPr>
        <w:t>course</w:t>
      </w:r>
      <w:r w:rsidR="00EC7B86">
        <w:rPr>
          <w:szCs w:val="22"/>
        </w:rPr>
        <w:t xml:space="preserve"> of treatment with </w:t>
      </w:r>
      <w:r w:rsidRPr="002131A1">
        <w:rPr>
          <w:szCs w:val="22"/>
        </w:rPr>
        <w:t>sofosbuvir in combination with ribavirin (24 weeks).</w:t>
      </w:r>
    </w:p>
    <w:p w:rsidR="00C00260" w:rsidRPr="002131A1" w:rsidRDefault="00C00260" w:rsidP="00C00260">
      <w:pPr>
        <w:widowControl/>
        <w:rPr>
          <w:szCs w:val="22"/>
        </w:rPr>
      </w:pPr>
    </w:p>
    <w:p w:rsidR="00C00260" w:rsidRPr="002131A1" w:rsidRDefault="00C00260" w:rsidP="00C00260">
      <w:pPr>
        <w:pStyle w:val="ListParagraph"/>
        <w:widowControl/>
        <w:numPr>
          <w:ilvl w:val="1"/>
          <w:numId w:val="1"/>
        </w:numPr>
        <w:rPr>
          <w:szCs w:val="22"/>
        </w:rPr>
      </w:pPr>
      <w:r w:rsidRPr="002131A1">
        <w:rPr>
          <w:szCs w:val="22"/>
        </w:rPr>
        <w:t xml:space="preserve">The PBAC considered that there was no basis on which to make a cost effectiveness recommendation for </w:t>
      </w:r>
      <w:proofErr w:type="spellStart"/>
      <w:r w:rsidRPr="002131A1">
        <w:rPr>
          <w:szCs w:val="22"/>
        </w:rPr>
        <w:t>daclatasivr</w:t>
      </w:r>
      <w:proofErr w:type="spellEnd"/>
      <w:r w:rsidRPr="002131A1">
        <w:rPr>
          <w:szCs w:val="22"/>
        </w:rPr>
        <w:t xml:space="preserve"> in combination with sofosbuvir over </w:t>
      </w:r>
      <w:proofErr w:type="spellStart"/>
      <w:r w:rsidRPr="002131A1">
        <w:rPr>
          <w:szCs w:val="22"/>
        </w:rPr>
        <w:t>ledipasvir</w:t>
      </w:r>
      <w:proofErr w:type="spellEnd"/>
      <w:r w:rsidRPr="002131A1">
        <w:rPr>
          <w:szCs w:val="22"/>
        </w:rPr>
        <w:t>/sofosbuvir (Genotype 1) or sofosbuvir in combination with ribavirin (Genotyp</w:t>
      </w:r>
      <w:r w:rsidR="00EC7B86">
        <w:rPr>
          <w:szCs w:val="22"/>
        </w:rPr>
        <w:t>e</w:t>
      </w:r>
      <w:r w:rsidRPr="002131A1">
        <w:rPr>
          <w:szCs w:val="22"/>
        </w:rPr>
        <w:t xml:space="preserve"> 3).</w:t>
      </w:r>
    </w:p>
    <w:p w:rsidR="00C00260" w:rsidRPr="002131A1" w:rsidRDefault="00C00260" w:rsidP="00C00260">
      <w:pPr>
        <w:pStyle w:val="ListParagraph"/>
        <w:widowControl/>
        <w:rPr>
          <w:szCs w:val="22"/>
        </w:rPr>
      </w:pPr>
    </w:p>
    <w:p w:rsidR="00C00260" w:rsidRPr="002131A1" w:rsidRDefault="00C00260" w:rsidP="00C00260">
      <w:pPr>
        <w:pStyle w:val="ListParagraph"/>
        <w:widowControl/>
        <w:numPr>
          <w:ilvl w:val="1"/>
          <w:numId w:val="1"/>
        </w:numPr>
        <w:rPr>
          <w:szCs w:val="22"/>
        </w:rPr>
      </w:pPr>
      <w:r w:rsidRPr="002131A1">
        <w:rPr>
          <w:szCs w:val="22"/>
        </w:rPr>
        <w:t xml:space="preserve">Based on the evidence provided in the submission, </w:t>
      </w:r>
      <w:r w:rsidR="00D23735">
        <w:t xml:space="preserve">the PBAC considered that the clinical efficacy of 12 weeks of treatment with </w:t>
      </w:r>
      <w:proofErr w:type="spellStart"/>
      <w:r w:rsidR="00D23735">
        <w:t>daclatasivr</w:t>
      </w:r>
      <w:proofErr w:type="spellEnd"/>
      <w:r w:rsidR="00D23735">
        <w:t xml:space="preserve"> in combination with sofosbuvir was not supported </w:t>
      </w:r>
      <w:r w:rsidR="00D42777">
        <w:rPr>
          <w:szCs w:val="22"/>
        </w:rPr>
        <w:t>in the following groups:</w:t>
      </w:r>
      <w:r w:rsidRPr="002131A1">
        <w:rPr>
          <w:szCs w:val="22"/>
        </w:rPr>
        <w:t xml:space="preserve"> treatment experienced Genotype 1 CHC patients, treatment naïve cirrhotic Genotype 1 CHC patients, Genotype 2 CHC patients, Genotype 4 CHC patients, Genotype 5 CHC patients and Genotype 6 CHC patients. </w:t>
      </w:r>
    </w:p>
    <w:p w:rsidR="00C00260" w:rsidRPr="002131A1" w:rsidRDefault="00C00260" w:rsidP="00C00260">
      <w:pPr>
        <w:pStyle w:val="ListParagraph"/>
        <w:rPr>
          <w:szCs w:val="22"/>
        </w:rPr>
      </w:pPr>
    </w:p>
    <w:p w:rsidR="001D7B0D" w:rsidRPr="002131A1" w:rsidRDefault="001D7B0D" w:rsidP="001D7B0D">
      <w:pPr>
        <w:pStyle w:val="ListParagraph"/>
        <w:widowControl/>
        <w:numPr>
          <w:ilvl w:val="1"/>
          <w:numId w:val="1"/>
        </w:numPr>
        <w:rPr>
          <w:bCs/>
          <w:szCs w:val="22"/>
          <w:lang w:val="en-GB"/>
        </w:rPr>
      </w:pPr>
      <w:r w:rsidRPr="002131A1">
        <w:rPr>
          <w:szCs w:val="22"/>
        </w:rPr>
        <w:t xml:space="preserve">The PBAC reiterated that the Committee recognised that new treatments of HCV resulted in high rates of sustained virological response, where the HCV virus could not be detected in the blood of patients 12 weeks after treatment commenced. The PBAC noted that the large number of comments and presentations from patients, health care professionals and organisations highlighted the benefits of the availability of new treatments, particularly IFN-free regimens. </w:t>
      </w:r>
    </w:p>
    <w:p w:rsidR="00C00260" w:rsidRPr="002131A1" w:rsidRDefault="00C00260" w:rsidP="00C00260">
      <w:pPr>
        <w:pStyle w:val="ListParagraph"/>
        <w:rPr>
          <w:szCs w:val="22"/>
        </w:rPr>
      </w:pPr>
    </w:p>
    <w:p w:rsidR="00C00260" w:rsidRPr="00BC1FB2" w:rsidRDefault="00C00260" w:rsidP="00C00260">
      <w:pPr>
        <w:pStyle w:val="ListParagraph"/>
        <w:widowControl/>
        <w:numPr>
          <w:ilvl w:val="1"/>
          <w:numId w:val="1"/>
        </w:numPr>
        <w:rPr>
          <w:bCs/>
          <w:szCs w:val="22"/>
          <w:lang w:val="en-GB"/>
        </w:rPr>
      </w:pPr>
      <w:r w:rsidRPr="002131A1">
        <w:rPr>
          <w:bCs/>
          <w:szCs w:val="22"/>
        </w:rPr>
        <w:t xml:space="preserve">The PBAC recalled the discussion at the Stakeholder meeting (February 2014) about the setting patients should be treated in. The PBAC considered that it was appropriate that the new all oral treatment to be listed in the General Schedule, to facilitated the longer term objectives for access to treatment, increase treatment rates </w:t>
      </w:r>
      <w:r w:rsidRPr="002131A1">
        <w:rPr>
          <w:bCs/>
          <w:szCs w:val="22"/>
        </w:rPr>
        <w:lastRenderedPageBreak/>
        <w:t xml:space="preserve">and outcomes and acknowledging initiatives such as </w:t>
      </w:r>
      <w:r w:rsidRPr="002131A1">
        <w:rPr>
          <w:szCs w:val="22"/>
        </w:rPr>
        <w:t>The Fourth National Hepatitis C Strategy 2014-2017 and NSW Hepatitis C Strategy 2014-2020 to support a greater role of primary care in the prescribing and monitoring of the newer generation of antivirals, that have reduced side effects and more simplified dosing schedules</w:t>
      </w:r>
      <w:r w:rsidRPr="002131A1">
        <w:rPr>
          <w:bCs/>
          <w:szCs w:val="22"/>
        </w:rPr>
        <w:t>. The PBAC noted that treatment of patients would initially remain in tertiary settings but expand as clinician experience grows. The PBAC considered that that the Department</w:t>
      </w:r>
      <w:r w:rsidR="00BF04C9" w:rsidRPr="002131A1">
        <w:rPr>
          <w:bCs/>
          <w:szCs w:val="22"/>
        </w:rPr>
        <w:t>,</w:t>
      </w:r>
      <w:r w:rsidRPr="002131A1">
        <w:rPr>
          <w:bCs/>
          <w:szCs w:val="22"/>
        </w:rPr>
        <w:t xml:space="preserve"> in consultation with clinical experts</w:t>
      </w:r>
      <w:r w:rsidR="00BF04C9" w:rsidRPr="002131A1">
        <w:rPr>
          <w:bCs/>
          <w:szCs w:val="22"/>
        </w:rPr>
        <w:t>,</w:t>
      </w:r>
      <w:r w:rsidRPr="002131A1">
        <w:rPr>
          <w:bCs/>
          <w:szCs w:val="22"/>
        </w:rPr>
        <w:t xml:space="preserve"> should explore </w:t>
      </w:r>
      <w:r w:rsidR="001D7B0D" w:rsidRPr="002131A1">
        <w:rPr>
          <w:bCs/>
          <w:szCs w:val="22"/>
        </w:rPr>
        <w:t>whether</w:t>
      </w:r>
      <w:r w:rsidRPr="002131A1">
        <w:rPr>
          <w:bCs/>
          <w:szCs w:val="22"/>
        </w:rPr>
        <w:t xml:space="preserve"> prescribing should be available to practitioners who have gained accreditation (as occurs currently for Section 100 prescribing) or in a Share Care Model (namely, in consultation with a clinician with experience of prescribing treatment for CHC, such as a </w:t>
      </w:r>
      <w:proofErr w:type="spellStart"/>
      <w:r w:rsidRPr="002131A1">
        <w:rPr>
          <w:bCs/>
          <w:szCs w:val="22"/>
        </w:rPr>
        <w:t>hepatologist</w:t>
      </w:r>
      <w:proofErr w:type="spellEnd"/>
      <w:r w:rsidRPr="002131A1">
        <w:rPr>
          <w:bCs/>
          <w:szCs w:val="22"/>
        </w:rPr>
        <w:t xml:space="preserve"> or </w:t>
      </w:r>
      <w:r w:rsidRPr="00BC1FB2">
        <w:rPr>
          <w:bCs/>
          <w:szCs w:val="22"/>
        </w:rPr>
        <w:t xml:space="preserve">infectious disease physician). The PBAC considered that an Authority </w:t>
      </w:r>
      <w:proofErr w:type="gramStart"/>
      <w:r w:rsidRPr="00BC1FB2">
        <w:rPr>
          <w:bCs/>
          <w:szCs w:val="22"/>
        </w:rPr>
        <w:t>Required</w:t>
      </w:r>
      <w:proofErr w:type="gramEnd"/>
      <w:r w:rsidRPr="00BC1FB2">
        <w:rPr>
          <w:bCs/>
          <w:szCs w:val="22"/>
        </w:rPr>
        <w:t xml:space="preserve"> listing was appropriate, but whether this Authority is written, telephone or streamlined remains to be finalised.</w:t>
      </w:r>
      <w:r w:rsidR="00BC1FB2" w:rsidRPr="00BC1FB2">
        <w:rPr>
          <w:bCs/>
          <w:szCs w:val="22"/>
        </w:rPr>
        <w:t xml:space="preserve"> The conditions of the listing would also depend on the final registered Product Information.</w:t>
      </w:r>
    </w:p>
    <w:p w:rsidR="00BF04C9" w:rsidRPr="00BC1FB2" w:rsidRDefault="00BF04C9" w:rsidP="00BF04C9">
      <w:pPr>
        <w:pStyle w:val="ListParagraph"/>
        <w:widowControl/>
        <w:rPr>
          <w:bCs/>
          <w:szCs w:val="22"/>
          <w:lang w:val="en-GB"/>
        </w:rPr>
      </w:pPr>
    </w:p>
    <w:p w:rsidR="00C00260" w:rsidRPr="002131A1" w:rsidRDefault="00C00260" w:rsidP="00C00260">
      <w:pPr>
        <w:pStyle w:val="ListParagraph"/>
        <w:widowControl/>
        <w:numPr>
          <w:ilvl w:val="1"/>
          <w:numId w:val="1"/>
        </w:numPr>
        <w:rPr>
          <w:szCs w:val="22"/>
        </w:rPr>
      </w:pPr>
      <w:r w:rsidRPr="00BC1FB2">
        <w:rPr>
          <w:bCs/>
          <w:szCs w:val="22"/>
        </w:rPr>
        <w:t xml:space="preserve">The submissions proposed the current active treatments as the comparator. The PBAC reiterated their view that the appropriate comparator, when the submission was lodged, was no treatment in view of the broader context of infected individuals whose treatment preference </w:t>
      </w:r>
      <w:r w:rsidRPr="002131A1">
        <w:rPr>
          <w:bCs/>
          <w:szCs w:val="22"/>
        </w:rPr>
        <w:t>is interferon-free therapies. Following the recommendation to list sofo</w:t>
      </w:r>
      <w:r w:rsidR="00C77515">
        <w:rPr>
          <w:bCs/>
          <w:szCs w:val="22"/>
        </w:rPr>
        <w:t>sbuvir-containing regimen</w:t>
      </w:r>
      <w:r w:rsidRPr="002131A1">
        <w:rPr>
          <w:bCs/>
          <w:szCs w:val="22"/>
        </w:rPr>
        <w:t>s, the PBAC considered that thes</w:t>
      </w:r>
      <w:r w:rsidR="00B40C9B">
        <w:rPr>
          <w:bCs/>
          <w:szCs w:val="22"/>
        </w:rPr>
        <w:t>e sofosbuvir-containing regimen</w:t>
      </w:r>
      <w:r w:rsidRPr="002131A1">
        <w:rPr>
          <w:bCs/>
          <w:szCs w:val="22"/>
        </w:rPr>
        <w:t xml:space="preserve">s were the most appropriate comparators for the consideration of other all oral HCV treatments, given that LDV/SOF and SOF are likely to become the standard of care for almost all patients treated for CHC and that the listing of DCV could only progress if sofosbuvir is available on the PBS. </w:t>
      </w:r>
    </w:p>
    <w:p w:rsidR="00BF04C9" w:rsidRPr="002131A1" w:rsidRDefault="00BF04C9" w:rsidP="00BF04C9">
      <w:pPr>
        <w:pStyle w:val="ListParagraph"/>
        <w:widowControl/>
        <w:rPr>
          <w:szCs w:val="22"/>
        </w:rPr>
      </w:pPr>
    </w:p>
    <w:p w:rsidR="00C00260" w:rsidRPr="003000DB" w:rsidRDefault="00C00260" w:rsidP="003000DB">
      <w:pPr>
        <w:pStyle w:val="ListParagraph"/>
        <w:widowControl/>
        <w:numPr>
          <w:ilvl w:val="1"/>
          <w:numId w:val="1"/>
        </w:numPr>
        <w:rPr>
          <w:szCs w:val="22"/>
        </w:rPr>
      </w:pPr>
      <w:r w:rsidRPr="002131A1">
        <w:rPr>
          <w:bCs/>
          <w:szCs w:val="22"/>
        </w:rPr>
        <w:t>The PBAC considered that the comparative magnitude of the benefit (SVR12) of the treatment presented in the submission was uncertain due to the reliance on single arm</w:t>
      </w:r>
      <w:r w:rsidR="00B40C9B">
        <w:rPr>
          <w:bCs/>
          <w:szCs w:val="22"/>
        </w:rPr>
        <w:t>s</w:t>
      </w:r>
      <w:r w:rsidRPr="002131A1">
        <w:rPr>
          <w:bCs/>
          <w:szCs w:val="22"/>
        </w:rPr>
        <w:t xml:space="preserve"> of trials, some of which involved small number of patients. The PBAC </w:t>
      </w:r>
      <w:r w:rsidR="00053985">
        <w:rPr>
          <w:bCs/>
          <w:szCs w:val="22"/>
        </w:rPr>
        <w:t xml:space="preserve">was of </w:t>
      </w:r>
      <w:r w:rsidRPr="002131A1">
        <w:rPr>
          <w:bCs/>
          <w:szCs w:val="22"/>
        </w:rPr>
        <w:t>the view that the evidence provided in the submission was the best available as the development programs of DAA has been based predominately on uncontrolled trials.</w:t>
      </w:r>
    </w:p>
    <w:p w:rsidR="003000DB" w:rsidRPr="003000DB" w:rsidRDefault="003000DB" w:rsidP="003000DB">
      <w:pPr>
        <w:pStyle w:val="PBACHeading1"/>
        <w:numPr>
          <w:ilvl w:val="0"/>
          <w:numId w:val="0"/>
        </w:numPr>
      </w:pPr>
    </w:p>
    <w:p w:rsidR="00C00260" w:rsidRPr="002131A1" w:rsidRDefault="00C00260" w:rsidP="00C00260">
      <w:pPr>
        <w:pStyle w:val="ListParagraph"/>
        <w:widowControl/>
        <w:numPr>
          <w:ilvl w:val="1"/>
          <w:numId w:val="1"/>
        </w:numPr>
        <w:rPr>
          <w:szCs w:val="22"/>
        </w:rPr>
      </w:pPr>
      <w:r w:rsidRPr="002131A1">
        <w:rPr>
          <w:szCs w:val="22"/>
        </w:rPr>
        <w:t xml:space="preserve">The PBAC noted the SVR12 reported in publications of HCV treatment with sofosbuvir in combination with </w:t>
      </w:r>
      <w:proofErr w:type="spellStart"/>
      <w:r w:rsidRPr="002131A1">
        <w:rPr>
          <w:szCs w:val="22"/>
        </w:rPr>
        <w:t>ribarivin</w:t>
      </w:r>
      <w:proofErr w:type="spellEnd"/>
      <w:r w:rsidRPr="002131A1">
        <w:rPr>
          <w:szCs w:val="22"/>
        </w:rPr>
        <w:t xml:space="preserve"> and </w:t>
      </w:r>
      <w:proofErr w:type="spellStart"/>
      <w:r w:rsidRPr="002131A1">
        <w:rPr>
          <w:szCs w:val="22"/>
        </w:rPr>
        <w:t>ledipasvir</w:t>
      </w:r>
      <w:proofErr w:type="spellEnd"/>
      <w:r w:rsidRPr="002131A1">
        <w:rPr>
          <w:szCs w:val="22"/>
        </w:rPr>
        <w:t xml:space="preserve">/sofosbuvir (LDV/SOF). The PBAC considered that it was reasonable to accept that DCV12 +SOF12 was non-inferior for </w:t>
      </w:r>
      <w:r w:rsidR="00D23735">
        <w:rPr>
          <w:szCs w:val="22"/>
        </w:rPr>
        <w:t xml:space="preserve">comparative efficacy </w:t>
      </w:r>
      <w:r w:rsidRPr="002131A1">
        <w:rPr>
          <w:szCs w:val="22"/>
        </w:rPr>
        <w:t xml:space="preserve">with </w:t>
      </w:r>
    </w:p>
    <w:p w:rsidR="00C00260" w:rsidRPr="00D15CC7" w:rsidRDefault="00C00260" w:rsidP="00522D97">
      <w:pPr>
        <w:pStyle w:val="ListParagraph"/>
        <w:widowControl/>
        <w:numPr>
          <w:ilvl w:val="1"/>
          <w:numId w:val="23"/>
        </w:numPr>
        <w:spacing w:after="200" w:line="360" w:lineRule="auto"/>
        <w:jc w:val="left"/>
        <w:rPr>
          <w:szCs w:val="22"/>
        </w:rPr>
      </w:pPr>
      <w:r w:rsidRPr="002131A1">
        <w:rPr>
          <w:szCs w:val="22"/>
        </w:rPr>
        <w:t xml:space="preserve">LDV/SOF in </w:t>
      </w:r>
      <w:r w:rsidRPr="00D15CC7">
        <w:rPr>
          <w:szCs w:val="22"/>
        </w:rPr>
        <w:t xml:space="preserve">treatment naive non-cirrhotic Genotype 1 patients. </w:t>
      </w:r>
    </w:p>
    <w:p w:rsidR="00C00260" w:rsidRPr="00D15CC7" w:rsidRDefault="00C00260" w:rsidP="00522D97">
      <w:pPr>
        <w:pStyle w:val="ListParagraph"/>
        <w:widowControl/>
        <w:numPr>
          <w:ilvl w:val="1"/>
          <w:numId w:val="23"/>
        </w:numPr>
        <w:spacing w:after="200" w:line="360" w:lineRule="auto"/>
        <w:jc w:val="left"/>
        <w:rPr>
          <w:szCs w:val="22"/>
        </w:rPr>
      </w:pPr>
      <w:r w:rsidRPr="00D15CC7">
        <w:rPr>
          <w:szCs w:val="22"/>
        </w:rPr>
        <w:t>SOF24 +R24 in treatment naive non-cirrhotic Genotype 3 patients.</w:t>
      </w:r>
    </w:p>
    <w:p w:rsidR="003000DB" w:rsidRPr="003000DB" w:rsidRDefault="00D15CC7" w:rsidP="00C00260">
      <w:pPr>
        <w:pStyle w:val="ListParagraph"/>
        <w:widowControl/>
        <w:numPr>
          <w:ilvl w:val="1"/>
          <w:numId w:val="1"/>
        </w:numPr>
        <w:rPr>
          <w:szCs w:val="22"/>
        </w:rPr>
      </w:pPr>
      <w:r w:rsidRPr="00D15CC7">
        <w:rPr>
          <w:szCs w:val="22"/>
        </w:rPr>
        <w:t>Based</w:t>
      </w:r>
      <w:r w:rsidRPr="00D15CC7">
        <w:t xml:space="preserve"> on the available data, the Committee considered that it was reasonable to consider that the combination of DCV + SOF had a similar safety profile as LDV/SOF in treatment naive non-cirrhotic Genotype 1 patients and  SOF24 +R24 in treatment naive non-cirrhotic Genotype 3 patients</w:t>
      </w:r>
      <w:r w:rsidR="003000DB">
        <w:t xml:space="preserve">. </w:t>
      </w:r>
    </w:p>
    <w:p w:rsidR="003000DB" w:rsidRPr="003000DB" w:rsidRDefault="003000DB" w:rsidP="003000DB">
      <w:pPr>
        <w:pStyle w:val="ListParagraph"/>
        <w:widowControl/>
        <w:rPr>
          <w:szCs w:val="22"/>
        </w:rPr>
      </w:pPr>
    </w:p>
    <w:p w:rsidR="00C00260" w:rsidRPr="003000DB" w:rsidRDefault="00C00260" w:rsidP="003000DB">
      <w:pPr>
        <w:pStyle w:val="ListParagraph"/>
        <w:widowControl/>
        <w:numPr>
          <w:ilvl w:val="1"/>
          <w:numId w:val="1"/>
        </w:numPr>
        <w:rPr>
          <w:szCs w:val="22"/>
        </w:rPr>
      </w:pPr>
      <w:r w:rsidRPr="003000DB">
        <w:rPr>
          <w:bCs/>
          <w:szCs w:val="22"/>
        </w:rPr>
        <w:t>The PBAC accepted the structure of the economic model presented in the submission but considered that the base case should be respecified to that suggested by the ESC.</w:t>
      </w:r>
      <w:r w:rsidR="003000DB">
        <w:rPr>
          <w:bCs/>
          <w:szCs w:val="22"/>
        </w:rPr>
        <w:t xml:space="preserve"> </w:t>
      </w:r>
      <w:r w:rsidR="003000DB" w:rsidRPr="00BC1FB2">
        <w:rPr>
          <w:szCs w:val="22"/>
        </w:rPr>
        <w:t>Overall, the economic model presented in the submission favoured daclatasvir and that applying more conservative inputs or scenarios increased the ICERs/QALY to a range higher than the PBAC considered cost-effective for the treatment of CHC.</w:t>
      </w:r>
    </w:p>
    <w:p w:rsidR="003000DB" w:rsidRPr="003000DB" w:rsidRDefault="003000DB" w:rsidP="003000DB">
      <w:pPr>
        <w:widowControl/>
        <w:rPr>
          <w:szCs w:val="22"/>
        </w:rPr>
      </w:pPr>
    </w:p>
    <w:p w:rsidR="00C00260" w:rsidRDefault="00C00260" w:rsidP="00522D97">
      <w:pPr>
        <w:pStyle w:val="ListParagraph"/>
        <w:widowControl/>
        <w:numPr>
          <w:ilvl w:val="1"/>
          <w:numId w:val="1"/>
        </w:numPr>
        <w:rPr>
          <w:bCs/>
          <w:szCs w:val="22"/>
        </w:rPr>
      </w:pPr>
      <w:r w:rsidRPr="002131A1">
        <w:rPr>
          <w:bCs/>
          <w:szCs w:val="22"/>
        </w:rPr>
        <w:lastRenderedPageBreak/>
        <w:t xml:space="preserve">The PBAC noted the DUSC advice on the item. </w:t>
      </w:r>
      <w:r w:rsidR="00522D97">
        <w:rPr>
          <w:bCs/>
          <w:szCs w:val="22"/>
        </w:rPr>
        <w:t>The PBAC was of the view that the DUSC estimates for patients likely to be treated were appropriate</w:t>
      </w:r>
      <w:r w:rsidRPr="002131A1">
        <w:rPr>
          <w:bCs/>
          <w:szCs w:val="22"/>
        </w:rPr>
        <w:t xml:space="preserve">. At year 1, the estimated number of patients was 6,660 and the net cost to the PBS would be approximately </w:t>
      </w:r>
      <w:r w:rsidR="00EC7976" w:rsidRPr="00EC7976">
        <w:rPr>
          <w:bCs/>
          <w:szCs w:val="22"/>
        </w:rPr>
        <w:t>more than $100 million</w:t>
      </w:r>
      <w:r w:rsidR="00522D97">
        <w:rPr>
          <w:bCs/>
          <w:szCs w:val="22"/>
        </w:rPr>
        <w:t>, if based on the cost per treatment considered appropriate by the PBAC</w:t>
      </w:r>
      <w:r w:rsidRPr="002131A1">
        <w:rPr>
          <w:bCs/>
          <w:szCs w:val="22"/>
        </w:rPr>
        <w:t>.</w:t>
      </w:r>
      <w:r w:rsidR="00522D97">
        <w:rPr>
          <w:bCs/>
          <w:szCs w:val="22"/>
        </w:rPr>
        <w:t xml:space="preserve"> </w:t>
      </w:r>
      <w:r w:rsidRPr="00522D97">
        <w:rPr>
          <w:bCs/>
          <w:szCs w:val="22"/>
        </w:rPr>
        <w:t xml:space="preserve">At year 5, the estimated number of patients was 15,000 and the net cost to the PBS would be approximately </w:t>
      </w:r>
      <w:r w:rsidR="00EC7976" w:rsidRPr="00EC7976">
        <w:rPr>
          <w:bCs/>
          <w:szCs w:val="22"/>
        </w:rPr>
        <w:t>more than $100 million</w:t>
      </w:r>
      <w:r w:rsidRPr="00522D97">
        <w:rPr>
          <w:bCs/>
          <w:szCs w:val="22"/>
        </w:rPr>
        <w:t xml:space="preserve">. Over 5 year, it is estimated that approximately 61 500 patients would be treated, and the net cost would be </w:t>
      </w:r>
      <w:r w:rsidR="00EC7976" w:rsidRPr="00EC7976">
        <w:rPr>
          <w:bCs/>
          <w:szCs w:val="22"/>
        </w:rPr>
        <w:t>more than $100 million</w:t>
      </w:r>
      <w:r w:rsidRPr="00522D97">
        <w:rPr>
          <w:bCs/>
          <w:szCs w:val="22"/>
        </w:rPr>
        <w:t>.</w:t>
      </w:r>
      <w:bookmarkStart w:id="18" w:name="_GoBack"/>
      <w:bookmarkEnd w:id="18"/>
    </w:p>
    <w:p w:rsidR="003000DB" w:rsidRPr="003000DB" w:rsidRDefault="003000DB" w:rsidP="003000DB">
      <w:pPr>
        <w:widowControl/>
        <w:rPr>
          <w:bCs/>
          <w:szCs w:val="22"/>
        </w:rPr>
      </w:pPr>
    </w:p>
    <w:p w:rsidR="00C00260" w:rsidRPr="003000DB" w:rsidRDefault="00C00260" w:rsidP="00C00260">
      <w:pPr>
        <w:pStyle w:val="ListParagraph"/>
        <w:widowControl/>
        <w:numPr>
          <w:ilvl w:val="1"/>
          <w:numId w:val="1"/>
        </w:numPr>
        <w:rPr>
          <w:szCs w:val="22"/>
        </w:rPr>
      </w:pPr>
      <w:r w:rsidRPr="002131A1">
        <w:rPr>
          <w:bCs/>
          <w:szCs w:val="22"/>
        </w:rPr>
        <w:t>The PBAC considered that it would be appropriate for sponsors of combinations containing all oral agents targeted against HCV proteins to split the price of a treatment course equally.</w:t>
      </w:r>
    </w:p>
    <w:p w:rsidR="003000DB" w:rsidRPr="002131A1" w:rsidRDefault="003000DB" w:rsidP="003000DB">
      <w:pPr>
        <w:pStyle w:val="PBACHeading1"/>
        <w:numPr>
          <w:ilvl w:val="0"/>
          <w:numId w:val="0"/>
        </w:numPr>
      </w:pPr>
    </w:p>
    <w:p w:rsidR="00C00260" w:rsidRPr="00682E23" w:rsidRDefault="00C00260" w:rsidP="00C00260">
      <w:pPr>
        <w:pStyle w:val="ListParagraph"/>
        <w:widowControl/>
        <w:numPr>
          <w:ilvl w:val="1"/>
          <w:numId w:val="1"/>
        </w:numPr>
        <w:rPr>
          <w:szCs w:val="22"/>
        </w:rPr>
      </w:pPr>
      <w:r w:rsidRPr="002131A1">
        <w:rPr>
          <w:szCs w:val="22"/>
        </w:rPr>
        <w:t xml:space="preserve">In accordance with subsection 101(3BA) of the National Health Act 1953, the PBAC advised that the Committee is of the opinion that, on the basis of the material </w:t>
      </w:r>
      <w:r w:rsidRPr="00E07CFE">
        <w:rPr>
          <w:szCs w:val="22"/>
        </w:rPr>
        <w:t xml:space="preserve">available at the March 2015 meeting, </w:t>
      </w:r>
      <w:r w:rsidR="00AA6137">
        <w:rPr>
          <w:szCs w:val="22"/>
        </w:rPr>
        <w:t xml:space="preserve">daclatasvir </w:t>
      </w:r>
      <w:r w:rsidRPr="00E07CFE">
        <w:rPr>
          <w:szCs w:val="22"/>
        </w:rPr>
        <w:t>should</w:t>
      </w:r>
      <w:r w:rsidR="00AA6137">
        <w:rPr>
          <w:szCs w:val="22"/>
        </w:rPr>
        <w:t xml:space="preserve"> not</w:t>
      </w:r>
      <w:r w:rsidRPr="00E07CFE">
        <w:rPr>
          <w:szCs w:val="22"/>
        </w:rPr>
        <w:t xml:space="preserve"> be treated as interchangeable </w:t>
      </w:r>
      <w:r w:rsidR="00AA6137">
        <w:rPr>
          <w:szCs w:val="22"/>
        </w:rPr>
        <w:t xml:space="preserve">with other recommended treatments of CHC </w:t>
      </w:r>
      <w:r w:rsidRPr="00682E23">
        <w:rPr>
          <w:szCs w:val="22"/>
        </w:rPr>
        <w:t>on an individual patient basis.</w:t>
      </w:r>
    </w:p>
    <w:p w:rsidR="002131A1" w:rsidRPr="00682E23" w:rsidRDefault="002131A1" w:rsidP="002131A1">
      <w:pPr>
        <w:pStyle w:val="PBACheading10"/>
        <w:ind w:left="0" w:firstLine="0"/>
        <w:rPr>
          <w:lang w:val="en-GB"/>
        </w:rPr>
      </w:pPr>
    </w:p>
    <w:p w:rsidR="002131A1" w:rsidRPr="00682E23" w:rsidRDefault="002131A1" w:rsidP="002131A1">
      <w:pPr>
        <w:pStyle w:val="ListParagraph"/>
        <w:widowControl/>
        <w:numPr>
          <w:ilvl w:val="1"/>
          <w:numId w:val="1"/>
        </w:numPr>
        <w:rPr>
          <w:bCs/>
          <w:szCs w:val="22"/>
          <w:lang w:val="en-GB"/>
        </w:rPr>
      </w:pPr>
      <w:r w:rsidRPr="00682E23">
        <w:rPr>
          <w:szCs w:val="22"/>
        </w:rPr>
        <w:t xml:space="preserve"> </w:t>
      </w:r>
      <w:r w:rsidRPr="00682E23">
        <w:rPr>
          <w:bCs/>
          <w:szCs w:val="22"/>
        </w:rPr>
        <w:t>The PBAC noted that suitability of prescribing daclatasvir by nurse practitioners would depend on the final listing conditions of daclatasvir. The PBAC were of a mind that in principle nurse practitioners prescribing was likely to be suitable in the context of a share care model.</w:t>
      </w:r>
    </w:p>
    <w:p w:rsidR="00C00260" w:rsidRPr="00682E23" w:rsidRDefault="00C00260" w:rsidP="004C0C04">
      <w:pPr>
        <w:pStyle w:val="ListParagraph"/>
        <w:widowControl/>
        <w:rPr>
          <w:szCs w:val="22"/>
        </w:rPr>
      </w:pPr>
    </w:p>
    <w:p w:rsidR="00C00260" w:rsidRPr="00682E23" w:rsidRDefault="00C00260" w:rsidP="00C00260">
      <w:pPr>
        <w:pStyle w:val="ListParagraph"/>
        <w:widowControl/>
        <w:numPr>
          <w:ilvl w:val="1"/>
          <w:numId w:val="1"/>
        </w:numPr>
        <w:rPr>
          <w:szCs w:val="22"/>
        </w:rPr>
      </w:pPr>
      <w:r w:rsidRPr="00682E23">
        <w:rPr>
          <w:bCs/>
          <w:szCs w:val="22"/>
        </w:rPr>
        <w:t>The PBAC recommended that the Safety Net 20 Day Rule should not apply</w:t>
      </w:r>
      <w:r w:rsidR="0064693D" w:rsidRPr="00682E23">
        <w:rPr>
          <w:bCs/>
          <w:szCs w:val="22"/>
        </w:rPr>
        <w:t>.</w:t>
      </w:r>
    </w:p>
    <w:p w:rsidR="0064693D" w:rsidRPr="002131A1" w:rsidRDefault="0064693D" w:rsidP="0064693D">
      <w:pPr>
        <w:pStyle w:val="PBACHeading1"/>
        <w:numPr>
          <w:ilvl w:val="0"/>
          <w:numId w:val="0"/>
        </w:numPr>
        <w:ind w:left="720" w:hanging="720"/>
      </w:pPr>
    </w:p>
    <w:p w:rsidR="00C00260" w:rsidRPr="00D23735" w:rsidRDefault="00C00260" w:rsidP="00C00260">
      <w:pPr>
        <w:pStyle w:val="ListParagraph"/>
        <w:widowControl/>
        <w:numPr>
          <w:ilvl w:val="1"/>
          <w:numId w:val="1"/>
        </w:numPr>
        <w:rPr>
          <w:szCs w:val="22"/>
        </w:rPr>
      </w:pPr>
      <w:r w:rsidRPr="002131A1">
        <w:rPr>
          <w:bCs/>
          <w:szCs w:val="22"/>
        </w:rPr>
        <w:t xml:space="preserve">The resubmission is </w:t>
      </w:r>
      <w:r w:rsidR="00B40C9B">
        <w:rPr>
          <w:bCs/>
          <w:szCs w:val="22"/>
        </w:rPr>
        <w:t>not eligible for an Independent</w:t>
      </w:r>
      <w:r w:rsidRPr="002131A1">
        <w:rPr>
          <w:bCs/>
          <w:szCs w:val="22"/>
        </w:rPr>
        <w:t xml:space="preserve"> Review, because the PBAC made a positive recommendation</w:t>
      </w:r>
      <w:r w:rsidR="00D23735">
        <w:rPr>
          <w:bCs/>
          <w:szCs w:val="22"/>
        </w:rPr>
        <w:t>.</w:t>
      </w:r>
    </w:p>
    <w:p w:rsidR="00D23735" w:rsidRPr="002131A1" w:rsidRDefault="00D23735" w:rsidP="00D23735">
      <w:pPr>
        <w:pStyle w:val="PBACHeading1"/>
        <w:numPr>
          <w:ilvl w:val="0"/>
          <w:numId w:val="0"/>
        </w:numPr>
      </w:pPr>
    </w:p>
    <w:p w:rsidR="00D23735" w:rsidRDefault="00D23735" w:rsidP="00D23735">
      <w:pPr>
        <w:pStyle w:val="ListParagraph"/>
        <w:widowControl/>
        <w:numPr>
          <w:ilvl w:val="1"/>
          <w:numId w:val="1"/>
        </w:numPr>
        <w:rPr>
          <w:szCs w:val="22"/>
        </w:rPr>
      </w:pPr>
      <w:r w:rsidRPr="00991494">
        <w:rPr>
          <w:szCs w:val="22"/>
        </w:rPr>
        <w:t xml:space="preserve">The PBAC acknowledged that there was a high clinical need for more effective and tolerable treatment for HCV. The PBAC noted that there is a large number (around 230,000) of patients with the chronic HCV who are untreated and that the utilisation of existing listings was low as patients were contraindicated or unwilling to take interferon. Based on the prevalence of HCV and the financial estimate presented in the submission, the PBAC considered that there would be a significant opportunity cost to the Commonwealth of listing oral treatments as their uptake would be substantially higher than currently subsidised medicines. The PBAC reiterated its view that the clinical management of individuals with HCV is moving so rapidly that a broader Government and community approach is needed to maximise the clinical outcomes and patient access to treatment. As well as subsidising new </w:t>
      </w:r>
      <w:r w:rsidRPr="00D3497A">
        <w:rPr>
          <w:szCs w:val="22"/>
        </w:rPr>
        <w:t xml:space="preserve">treatment on the PBS, other factors that increase the capacity to treat patients need to be explored. </w:t>
      </w:r>
    </w:p>
    <w:p w:rsidR="00D23735" w:rsidRDefault="00D23735" w:rsidP="00D23735">
      <w:pPr>
        <w:pStyle w:val="ListParagraph"/>
        <w:widowControl/>
        <w:rPr>
          <w:szCs w:val="22"/>
        </w:rPr>
      </w:pPr>
    </w:p>
    <w:p w:rsidR="00D23735" w:rsidRPr="0098265F" w:rsidRDefault="00D23735" w:rsidP="00D23735">
      <w:pPr>
        <w:pStyle w:val="ListParagraph"/>
        <w:widowControl/>
        <w:numPr>
          <w:ilvl w:val="1"/>
          <w:numId w:val="1"/>
        </w:numPr>
        <w:rPr>
          <w:szCs w:val="22"/>
        </w:rPr>
      </w:pPr>
      <w:r w:rsidRPr="0098265F">
        <w:rPr>
          <w:szCs w:val="22"/>
        </w:rPr>
        <w:t>The PBAC wished to advise the Minister that:</w:t>
      </w:r>
    </w:p>
    <w:p w:rsidR="00D23735" w:rsidRPr="0098265F" w:rsidRDefault="00D23735" w:rsidP="00D23735">
      <w:pPr>
        <w:pStyle w:val="ListParagraph"/>
        <w:widowControl/>
        <w:numPr>
          <w:ilvl w:val="0"/>
          <w:numId w:val="24"/>
        </w:numPr>
        <w:spacing w:after="200"/>
        <w:ind w:left="714" w:hanging="357"/>
        <w:jc w:val="left"/>
        <w:rPr>
          <w:szCs w:val="22"/>
        </w:rPr>
      </w:pPr>
      <w:r>
        <w:rPr>
          <w:szCs w:val="22"/>
        </w:rPr>
        <w:t>While interferon</w:t>
      </w:r>
      <w:r w:rsidRPr="00D3497A">
        <w:rPr>
          <w:szCs w:val="22"/>
        </w:rPr>
        <w:t xml:space="preserve">-free oral direct acting antiviral (DAA) agents provide safe and </w:t>
      </w:r>
      <w:r>
        <w:rPr>
          <w:szCs w:val="22"/>
        </w:rPr>
        <w:t>effective</w:t>
      </w:r>
      <w:r w:rsidRPr="00D3497A">
        <w:rPr>
          <w:szCs w:val="22"/>
        </w:rPr>
        <w:t xml:space="preserve"> treatment options for patients with CHC</w:t>
      </w:r>
      <w:r>
        <w:rPr>
          <w:szCs w:val="22"/>
        </w:rPr>
        <w:t>, t</w:t>
      </w:r>
      <w:r w:rsidRPr="0098265F">
        <w:rPr>
          <w:szCs w:val="22"/>
        </w:rPr>
        <w:t xml:space="preserve">here is a substantial opportunity cost associated with </w:t>
      </w:r>
      <w:r>
        <w:rPr>
          <w:szCs w:val="22"/>
        </w:rPr>
        <w:t xml:space="preserve">the potential </w:t>
      </w:r>
      <w:r w:rsidRPr="0098265F">
        <w:rPr>
          <w:szCs w:val="22"/>
        </w:rPr>
        <w:t xml:space="preserve">listing of </w:t>
      </w:r>
      <w:r>
        <w:rPr>
          <w:szCs w:val="22"/>
        </w:rPr>
        <w:t xml:space="preserve">these </w:t>
      </w:r>
      <w:r w:rsidRPr="004B00B5">
        <w:rPr>
          <w:szCs w:val="22"/>
        </w:rPr>
        <w:t xml:space="preserve">medicines. The lower estimate of this opportunity cost is more than $3 billion over 5 years, at </w:t>
      </w:r>
      <w:r>
        <w:rPr>
          <w:szCs w:val="22"/>
        </w:rPr>
        <w:t xml:space="preserve">the </w:t>
      </w:r>
      <w:r w:rsidRPr="004B00B5">
        <w:rPr>
          <w:szCs w:val="22"/>
        </w:rPr>
        <w:t>price</w:t>
      </w:r>
      <w:r>
        <w:rPr>
          <w:szCs w:val="22"/>
        </w:rPr>
        <w:t>s</w:t>
      </w:r>
      <w:r w:rsidRPr="004B00B5">
        <w:rPr>
          <w:szCs w:val="22"/>
        </w:rPr>
        <w:t xml:space="preserve"> proposed in the submissions</w:t>
      </w:r>
      <w:r>
        <w:rPr>
          <w:szCs w:val="22"/>
        </w:rPr>
        <w:t>.</w:t>
      </w:r>
      <w:r w:rsidRPr="004B00B5">
        <w:rPr>
          <w:bCs/>
          <w:szCs w:val="22"/>
        </w:rPr>
        <w:t xml:space="preserve"> </w:t>
      </w:r>
      <w:r w:rsidRPr="004B00B5">
        <w:rPr>
          <w:szCs w:val="22"/>
        </w:rPr>
        <w:t xml:space="preserve">Given this </w:t>
      </w:r>
      <w:r>
        <w:rPr>
          <w:szCs w:val="22"/>
        </w:rPr>
        <w:t xml:space="preserve">large </w:t>
      </w:r>
      <w:r w:rsidRPr="004B00B5">
        <w:rPr>
          <w:szCs w:val="22"/>
        </w:rPr>
        <w:t xml:space="preserve">opportunity cost, the cost of a course of treatment </w:t>
      </w:r>
      <w:r w:rsidRPr="004B00B5">
        <w:rPr>
          <w:szCs w:val="22"/>
        </w:rPr>
        <w:lastRenderedPageBreak/>
        <w:t xml:space="preserve">should be set irrespective of the duration, and that other pricing policies </w:t>
      </w:r>
      <w:proofErr w:type="gramStart"/>
      <w:r w:rsidRPr="004B00B5">
        <w:rPr>
          <w:szCs w:val="22"/>
        </w:rPr>
        <w:t>be</w:t>
      </w:r>
      <w:proofErr w:type="gramEnd"/>
      <w:r w:rsidRPr="004B00B5">
        <w:rPr>
          <w:szCs w:val="22"/>
        </w:rPr>
        <w:t xml:space="preserve"> considered</w:t>
      </w:r>
      <w:r>
        <w:rPr>
          <w:szCs w:val="22"/>
        </w:rPr>
        <w:t>.</w:t>
      </w:r>
    </w:p>
    <w:p w:rsidR="00D23735" w:rsidRDefault="00D23735" w:rsidP="00D23735">
      <w:pPr>
        <w:pStyle w:val="ListParagraph"/>
        <w:widowControl/>
        <w:numPr>
          <w:ilvl w:val="0"/>
          <w:numId w:val="24"/>
        </w:numPr>
        <w:spacing w:after="200"/>
        <w:ind w:left="714" w:hanging="357"/>
        <w:jc w:val="left"/>
        <w:rPr>
          <w:szCs w:val="22"/>
        </w:rPr>
      </w:pPr>
      <w:r>
        <w:rPr>
          <w:szCs w:val="22"/>
        </w:rPr>
        <w:t>T</w:t>
      </w:r>
      <w:r w:rsidRPr="00D3497A">
        <w:rPr>
          <w:szCs w:val="22"/>
        </w:rPr>
        <w:t xml:space="preserve">he impact of the new antivirals on </w:t>
      </w:r>
      <w:r>
        <w:rPr>
          <w:szCs w:val="22"/>
        </w:rPr>
        <w:t xml:space="preserve">patients currently infected has been modelled by </w:t>
      </w:r>
      <w:r w:rsidRPr="00D3497A">
        <w:rPr>
          <w:szCs w:val="22"/>
        </w:rPr>
        <w:t>Sievert et al. (2014)</w:t>
      </w:r>
      <w:r>
        <w:rPr>
          <w:szCs w:val="22"/>
        </w:rPr>
        <w:t>. This modelling shows</w:t>
      </w:r>
      <w:r w:rsidRPr="00D3497A">
        <w:rPr>
          <w:szCs w:val="22"/>
        </w:rPr>
        <w:t xml:space="preserve"> that the numbe</w:t>
      </w:r>
      <w:r>
        <w:rPr>
          <w:szCs w:val="22"/>
        </w:rPr>
        <w:t>r of people with chronic hepatitis C (CHC) will be</w:t>
      </w:r>
      <w:r w:rsidRPr="00D3497A">
        <w:rPr>
          <w:szCs w:val="22"/>
        </w:rPr>
        <w:t xml:space="preserve"> reduced by 60% in 2030 compared to the base case of current treatment</w:t>
      </w:r>
      <w:r>
        <w:rPr>
          <w:szCs w:val="22"/>
        </w:rPr>
        <w:t>. The assumptions in the model include</w:t>
      </w:r>
      <w:r w:rsidRPr="00D3497A">
        <w:rPr>
          <w:szCs w:val="22"/>
        </w:rPr>
        <w:t xml:space="preserve"> up to 13,500 people (including all fibrosis stages) are treated annually by 2018</w:t>
      </w:r>
      <w:r>
        <w:rPr>
          <w:szCs w:val="22"/>
        </w:rPr>
        <w:t xml:space="preserve"> and the DAA </w:t>
      </w:r>
      <w:r w:rsidRPr="00D3497A">
        <w:rPr>
          <w:szCs w:val="22"/>
        </w:rPr>
        <w:t xml:space="preserve">agents </w:t>
      </w:r>
      <w:r>
        <w:rPr>
          <w:szCs w:val="22"/>
        </w:rPr>
        <w:t xml:space="preserve">are expected to have rates of </w:t>
      </w:r>
      <w:r w:rsidRPr="00DB78F8">
        <w:rPr>
          <w:szCs w:val="22"/>
        </w:rPr>
        <w:t xml:space="preserve">sustained </w:t>
      </w:r>
      <w:proofErr w:type="spellStart"/>
      <w:r w:rsidRPr="00DB78F8">
        <w:rPr>
          <w:szCs w:val="22"/>
        </w:rPr>
        <w:t>virologic</w:t>
      </w:r>
      <w:proofErr w:type="spellEnd"/>
      <w:r w:rsidRPr="00DB78F8">
        <w:rPr>
          <w:szCs w:val="22"/>
        </w:rPr>
        <w:t xml:space="preserve"> response </w:t>
      </w:r>
      <w:r>
        <w:rPr>
          <w:szCs w:val="22"/>
        </w:rPr>
        <w:t>(</w:t>
      </w:r>
      <w:r w:rsidRPr="00DB78F8">
        <w:rPr>
          <w:szCs w:val="22"/>
        </w:rPr>
        <w:t>measured at 12 weeks</w:t>
      </w:r>
      <w:r>
        <w:rPr>
          <w:szCs w:val="22"/>
        </w:rPr>
        <w:t xml:space="preserve">, </w:t>
      </w:r>
      <w:r w:rsidRPr="001F512E">
        <w:rPr>
          <w:szCs w:val="22"/>
        </w:rPr>
        <w:t>SVR12</w:t>
      </w:r>
      <w:r>
        <w:rPr>
          <w:szCs w:val="22"/>
        </w:rPr>
        <w:t xml:space="preserve">) up </w:t>
      </w:r>
      <w:r w:rsidRPr="00D3497A">
        <w:rPr>
          <w:szCs w:val="22"/>
        </w:rPr>
        <w:t>to 90% for genotype 1 and 80% for genotype 3 by 2016</w:t>
      </w:r>
      <w:r>
        <w:rPr>
          <w:szCs w:val="22"/>
        </w:rPr>
        <w:t xml:space="preserve">.  </w:t>
      </w:r>
      <w:r w:rsidRPr="00D3497A">
        <w:rPr>
          <w:szCs w:val="22"/>
        </w:rPr>
        <w:t xml:space="preserve">The analyses accounted for mortality but did not consider re-infection. </w:t>
      </w:r>
    </w:p>
    <w:p w:rsidR="00D23735" w:rsidRPr="009D0D03" w:rsidRDefault="00D23735" w:rsidP="00D23735">
      <w:pPr>
        <w:pStyle w:val="ListParagraph"/>
        <w:numPr>
          <w:ilvl w:val="0"/>
          <w:numId w:val="24"/>
        </w:numPr>
        <w:rPr>
          <w:szCs w:val="22"/>
        </w:rPr>
      </w:pPr>
      <w:r w:rsidRPr="009D0D03">
        <w:rPr>
          <w:szCs w:val="22"/>
        </w:rPr>
        <w:t xml:space="preserve">Advice from the </w:t>
      </w:r>
      <w:r w:rsidRPr="005606B4">
        <w:rPr>
          <w:szCs w:val="22"/>
        </w:rPr>
        <w:t>Australian Liver Association (ALA)</w:t>
      </w:r>
      <w:r>
        <w:rPr>
          <w:szCs w:val="22"/>
        </w:rPr>
        <w:t xml:space="preserve"> </w:t>
      </w:r>
      <w:r w:rsidRPr="009D0D03">
        <w:rPr>
          <w:szCs w:val="22"/>
        </w:rPr>
        <w:t xml:space="preserve">indicated that of the estimated 233,000 people living with </w:t>
      </w:r>
      <w:r>
        <w:rPr>
          <w:szCs w:val="22"/>
        </w:rPr>
        <w:t>Hepatitis C virus (</w:t>
      </w:r>
      <w:r w:rsidRPr="009D0D03">
        <w:rPr>
          <w:szCs w:val="22"/>
        </w:rPr>
        <w:t>HCV</w:t>
      </w:r>
      <w:r>
        <w:rPr>
          <w:szCs w:val="22"/>
        </w:rPr>
        <w:t>)</w:t>
      </w:r>
      <w:r w:rsidRPr="009D0D03">
        <w:rPr>
          <w:szCs w:val="22"/>
        </w:rPr>
        <w:t>, 193,000 patients have been</w:t>
      </w:r>
      <w:r>
        <w:rPr>
          <w:szCs w:val="22"/>
        </w:rPr>
        <w:t xml:space="preserve"> diagnosed. Listing of oral DAA </w:t>
      </w:r>
      <w:r w:rsidRPr="00D3497A">
        <w:rPr>
          <w:szCs w:val="22"/>
        </w:rPr>
        <w:t xml:space="preserve">agents </w:t>
      </w:r>
      <w:r w:rsidRPr="009D0D03">
        <w:rPr>
          <w:szCs w:val="22"/>
        </w:rPr>
        <w:t xml:space="preserve">may increase public and clinician awareness of the disease potentially leading to increased testing and diagnosis. </w:t>
      </w:r>
    </w:p>
    <w:p w:rsidR="00D23735" w:rsidRPr="009D0D03" w:rsidRDefault="00D23735" w:rsidP="00D23735">
      <w:pPr>
        <w:pStyle w:val="ListParagraph"/>
        <w:numPr>
          <w:ilvl w:val="0"/>
          <w:numId w:val="24"/>
        </w:numPr>
        <w:rPr>
          <w:szCs w:val="22"/>
        </w:rPr>
      </w:pPr>
      <w:r>
        <w:rPr>
          <w:szCs w:val="22"/>
        </w:rPr>
        <w:t>T</w:t>
      </w:r>
      <w:r w:rsidRPr="009D0D03">
        <w:rPr>
          <w:szCs w:val="22"/>
        </w:rPr>
        <w:t>he DUSC analysis</w:t>
      </w:r>
      <w:r>
        <w:rPr>
          <w:szCs w:val="22"/>
        </w:rPr>
        <w:t xml:space="preserve"> shows</w:t>
      </w:r>
      <w:r w:rsidRPr="009D0D03">
        <w:rPr>
          <w:szCs w:val="22"/>
        </w:rPr>
        <w:t xml:space="preserve"> that </w:t>
      </w:r>
      <w:r w:rsidRPr="009D0D03">
        <w:rPr>
          <w:bCs/>
          <w:szCs w:val="22"/>
        </w:rPr>
        <w:t xml:space="preserve">approximately 60 000 patients would be treated </w:t>
      </w:r>
      <w:r>
        <w:rPr>
          <w:szCs w:val="22"/>
        </w:rPr>
        <w:t xml:space="preserve">over 5 years, </w:t>
      </w:r>
      <w:r w:rsidRPr="009D0D03">
        <w:rPr>
          <w:szCs w:val="22"/>
        </w:rPr>
        <w:t>based on treatment targets in the Fourth National Hepatitis C Strategy 2014-2017, together with the advice from the ALA and February 2014 Stakeholder meeting</w:t>
      </w:r>
      <w:r>
        <w:rPr>
          <w:szCs w:val="22"/>
        </w:rPr>
        <w:t xml:space="preserve"> (</w:t>
      </w:r>
      <w:r w:rsidRPr="00DF7455">
        <w:rPr>
          <w:szCs w:val="22"/>
        </w:rPr>
        <w:t>New oral antivirals for the Treatment of Hepatitis C</w:t>
      </w:r>
      <w:r>
        <w:rPr>
          <w:szCs w:val="22"/>
        </w:rPr>
        <w:t>)</w:t>
      </w:r>
      <w:r w:rsidRPr="009D0D03">
        <w:rPr>
          <w:szCs w:val="22"/>
        </w:rPr>
        <w:t>. However,</w:t>
      </w:r>
      <w:r>
        <w:rPr>
          <w:szCs w:val="22"/>
        </w:rPr>
        <w:t xml:space="preserve"> it is not clear how many people living with CHC</w:t>
      </w:r>
      <w:r w:rsidRPr="009D0D03">
        <w:rPr>
          <w:szCs w:val="22"/>
        </w:rPr>
        <w:t xml:space="preserve"> will seek treatment,</w:t>
      </w:r>
      <w:r>
        <w:rPr>
          <w:szCs w:val="22"/>
        </w:rPr>
        <w:t xml:space="preserve"> particularly if patients have to be seen in specialist </w:t>
      </w:r>
      <w:r w:rsidRPr="009D0D03">
        <w:rPr>
          <w:szCs w:val="22"/>
        </w:rPr>
        <w:t xml:space="preserve">liver clinics or </w:t>
      </w:r>
      <w:r>
        <w:rPr>
          <w:szCs w:val="22"/>
        </w:rPr>
        <w:t>wait</w:t>
      </w:r>
      <w:r w:rsidRPr="009D0D03">
        <w:rPr>
          <w:szCs w:val="22"/>
        </w:rPr>
        <w:t xml:space="preserve"> for a refe</w:t>
      </w:r>
      <w:r>
        <w:rPr>
          <w:szCs w:val="22"/>
        </w:rPr>
        <w:t>rral to a liver clinic. Prescribing is</w:t>
      </w:r>
      <w:r w:rsidRPr="009D0D03">
        <w:rPr>
          <w:szCs w:val="22"/>
        </w:rPr>
        <w:t xml:space="preserve"> likely to continue to be delivered through specialist clinics in the sh</w:t>
      </w:r>
      <w:r>
        <w:rPr>
          <w:szCs w:val="22"/>
        </w:rPr>
        <w:t xml:space="preserve">ort-term until clinicians in other settings have learned how to use the DAA </w:t>
      </w:r>
      <w:r w:rsidRPr="00D3497A">
        <w:rPr>
          <w:szCs w:val="22"/>
        </w:rPr>
        <w:t>agents</w:t>
      </w:r>
      <w:r>
        <w:rPr>
          <w:szCs w:val="22"/>
        </w:rPr>
        <w:t>.</w:t>
      </w:r>
      <w:r w:rsidRPr="009D0D03">
        <w:rPr>
          <w:szCs w:val="22"/>
        </w:rPr>
        <w:t xml:space="preserve"> Patients may still be required to go through the hospital system as pa</w:t>
      </w:r>
      <w:r>
        <w:rPr>
          <w:szCs w:val="22"/>
        </w:rPr>
        <w:t>rt of their clinical management,</w:t>
      </w:r>
      <w:r w:rsidRPr="009D0D03">
        <w:rPr>
          <w:szCs w:val="22"/>
        </w:rPr>
        <w:t xml:space="preserve"> which could be a limiting factor to uptake.</w:t>
      </w:r>
    </w:p>
    <w:p w:rsidR="00D23735" w:rsidRPr="001F512E" w:rsidRDefault="00D23735" w:rsidP="00D23735">
      <w:pPr>
        <w:pStyle w:val="ListParagraph"/>
        <w:numPr>
          <w:ilvl w:val="0"/>
          <w:numId w:val="24"/>
        </w:numPr>
        <w:rPr>
          <w:szCs w:val="22"/>
        </w:rPr>
      </w:pPr>
      <w:r>
        <w:rPr>
          <w:szCs w:val="22"/>
        </w:rPr>
        <w:t>Given the very large</w:t>
      </w:r>
      <w:r w:rsidRPr="001F512E">
        <w:rPr>
          <w:szCs w:val="22"/>
        </w:rPr>
        <w:t xml:space="preserve"> opportunity cost, one option would be to restrict access to treatment to those </w:t>
      </w:r>
      <w:r>
        <w:rPr>
          <w:szCs w:val="22"/>
        </w:rPr>
        <w:t>with the highest clinical need. T</w:t>
      </w:r>
      <w:r w:rsidRPr="001F512E">
        <w:rPr>
          <w:szCs w:val="22"/>
        </w:rPr>
        <w:t>he PBAC considered that it was inappropriate to restrict access</w:t>
      </w:r>
      <w:r>
        <w:rPr>
          <w:szCs w:val="22"/>
        </w:rPr>
        <w:t>, given the likely benefit of the DAA agents across the full spectrum of patients with CHC, from those with early disease to those</w:t>
      </w:r>
      <w:r w:rsidRPr="001F512E">
        <w:rPr>
          <w:bCs/>
          <w:szCs w:val="22"/>
        </w:rPr>
        <w:t xml:space="preserve"> patients with </w:t>
      </w:r>
      <w:r>
        <w:rPr>
          <w:bCs/>
          <w:szCs w:val="22"/>
        </w:rPr>
        <w:t xml:space="preserve">existing </w:t>
      </w:r>
      <w:r w:rsidRPr="001F512E">
        <w:rPr>
          <w:bCs/>
          <w:szCs w:val="22"/>
        </w:rPr>
        <w:t>liver cirrhosis and severe portal hypertension, decompensated liver disease, or patients post liver transplant</w:t>
      </w:r>
      <w:r w:rsidRPr="001F512E">
        <w:rPr>
          <w:szCs w:val="22"/>
        </w:rPr>
        <w:t>.</w:t>
      </w:r>
      <w:r>
        <w:rPr>
          <w:szCs w:val="22"/>
        </w:rPr>
        <w:t xml:space="preserve"> The benefits in terms of </w:t>
      </w:r>
      <w:r w:rsidRPr="00D3497A">
        <w:rPr>
          <w:szCs w:val="22"/>
        </w:rPr>
        <w:t>avoidance or delay of decompensated cirrhosis, hepatocellular carcinoma and morbidity</w:t>
      </w:r>
      <w:r>
        <w:rPr>
          <w:szCs w:val="22"/>
        </w:rPr>
        <w:t xml:space="preserve"> are likely to be seen earlier in the most severely ill, but population benefits, such as reduction in transmission of the disease, are likely to occur with wide access to treatment. </w:t>
      </w:r>
      <w:r w:rsidRPr="001F512E">
        <w:rPr>
          <w:szCs w:val="22"/>
        </w:rPr>
        <w:t>This and other benefits may be also realised via other community-based programmes and strategies, such as those described in the Fourth National H</w:t>
      </w:r>
      <w:r>
        <w:rPr>
          <w:szCs w:val="22"/>
        </w:rPr>
        <w:t>epatitis C Strategy 2014-2017.</w:t>
      </w:r>
    </w:p>
    <w:p w:rsidR="00D23735" w:rsidRPr="001F512E" w:rsidRDefault="00D23735" w:rsidP="00D23735">
      <w:pPr>
        <w:pStyle w:val="ListParagraph"/>
        <w:numPr>
          <w:ilvl w:val="0"/>
          <w:numId w:val="24"/>
        </w:numPr>
        <w:rPr>
          <w:szCs w:val="22"/>
        </w:rPr>
      </w:pPr>
      <w:r>
        <w:rPr>
          <w:szCs w:val="22"/>
        </w:rPr>
        <w:t>T</w:t>
      </w:r>
      <w:r w:rsidRPr="001F512E">
        <w:rPr>
          <w:szCs w:val="22"/>
        </w:rPr>
        <w:t xml:space="preserve">he high </w:t>
      </w:r>
      <w:r>
        <w:rPr>
          <w:szCs w:val="22"/>
        </w:rPr>
        <w:t>response (</w:t>
      </w:r>
      <w:r w:rsidRPr="00DB78F8">
        <w:rPr>
          <w:szCs w:val="22"/>
        </w:rPr>
        <w:t xml:space="preserve">sustained </w:t>
      </w:r>
      <w:proofErr w:type="spellStart"/>
      <w:r w:rsidRPr="00DB78F8">
        <w:rPr>
          <w:szCs w:val="22"/>
        </w:rPr>
        <w:t>virologic</w:t>
      </w:r>
      <w:proofErr w:type="spellEnd"/>
      <w:r w:rsidRPr="00DB78F8">
        <w:rPr>
          <w:szCs w:val="22"/>
        </w:rPr>
        <w:t xml:space="preserve"> response measured at 12 weeks</w:t>
      </w:r>
      <w:r>
        <w:rPr>
          <w:szCs w:val="22"/>
        </w:rPr>
        <w:t xml:space="preserve">, </w:t>
      </w:r>
      <w:r w:rsidRPr="001F512E">
        <w:rPr>
          <w:szCs w:val="22"/>
        </w:rPr>
        <w:t>SVR12</w:t>
      </w:r>
      <w:r>
        <w:rPr>
          <w:szCs w:val="22"/>
        </w:rPr>
        <w:t>)</w:t>
      </w:r>
      <w:r w:rsidRPr="001F512E">
        <w:rPr>
          <w:szCs w:val="22"/>
        </w:rPr>
        <w:t xml:space="preserve"> observed in the clinical trials may only be realised if the adherence of patients in Australia to treatment is similar to those in the clinical trials. </w:t>
      </w:r>
      <w:r>
        <w:rPr>
          <w:szCs w:val="22"/>
        </w:rPr>
        <w:t>W</w:t>
      </w:r>
      <w:r w:rsidRPr="001F512E">
        <w:rPr>
          <w:szCs w:val="22"/>
        </w:rPr>
        <w:t>hile there is a patient preference for shorter treatments</w:t>
      </w:r>
      <w:r>
        <w:rPr>
          <w:szCs w:val="22"/>
        </w:rPr>
        <w:t xml:space="preserve">, and new shorter treatment regimens are currently being tested, for some patients, </w:t>
      </w:r>
      <w:r w:rsidRPr="001F512E">
        <w:rPr>
          <w:szCs w:val="22"/>
        </w:rPr>
        <w:t>24 weeks of treatment</w:t>
      </w:r>
      <w:r>
        <w:rPr>
          <w:szCs w:val="22"/>
        </w:rPr>
        <w:t xml:space="preserve"> are necessary. Therefore it is critical that appropriate prescribing education be put in place to ensure that the benefits to the Australian community are maximised.</w:t>
      </w:r>
    </w:p>
    <w:p w:rsidR="00D23735" w:rsidRPr="001F512E" w:rsidRDefault="00D23735" w:rsidP="00D23735">
      <w:pPr>
        <w:pStyle w:val="ListParagraph"/>
        <w:numPr>
          <w:ilvl w:val="0"/>
          <w:numId w:val="24"/>
        </w:numPr>
        <w:rPr>
          <w:szCs w:val="22"/>
        </w:rPr>
      </w:pPr>
      <w:r w:rsidRPr="001F512E">
        <w:rPr>
          <w:szCs w:val="22"/>
        </w:rPr>
        <w:t>The treatment landscape of HCV treatment is changing rapidly, as new DAA agents or new combinations or DAA agents become available and treatment guidelines are regularly updated</w:t>
      </w:r>
      <w:r>
        <w:rPr>
          <w:szCs w:val="22"/>
        </w:rPr>
        <w:t xml:space="preserve">. It is likely that new DAA </w:t>
      </w:r>
      <w:r w:rsidRPr="00D3497A">
        <w:rPr>
          <w:szCs w:val="22"/>
        </w:rPr>
        <w:t>agents</w:t>
      </w:r>
      <w:r>
        <w:rPr>
          <w:szCs w:val="22"/>
        </w:rPr>
        <w:t xml:space="preserve"> will be produced over the next 2 to 3 years that may further increase treatment options.</w:t>
      </w:r>
      <w:r w:rsidRPr="001F512E">
        <w:rPr>
          <w:szCs w:val="22"/>
        </w:rPr>
        <w:t xml:space="preserve"> </w:t>
      </w:r>
    </w:p>
    <w:p w:rsidR="00D23735" w:rsidRPr="001F512E" w:rsidRDefault="00D23735" w:rsidP="00D23735">
      <w:pPr>
        <w:pStyle w:val="ListParagraph"/>
        <w:numPr>
          <w:ilvl w:val="0"/>
          <w:numId w:val="24"/>
        </w:numPr>
        <w:rPr>
          <w:szCs w:val="22"/>
        </w:rPr>
      </w:pPr>
      <w:r>
        <w:rPr>
          <w:szCs w:val="22"/>
        </w:rPr>
        <w:t xml:space="preserve">In this context, </w:t>
      </w:r>
      <w:r w:rsidRPr="001F512E">
        <w:rPr>
          <w:szCs w:val="22"/>
        </w:rPr>
        <w:t xml:space="preserve">the current treatment for CHC, such as </w:t>
      </w:r>
      <w:proofErr w:type="spellStart"/>
      <w:r w:rsidRPr="001F512E">
        <w:rPr>
          <w:szCs w:val="22"/>
        </w:rPr>
        <w:t>peginterferon</w:t>
      </w:r>
      <w:proofErr w:type="spellEnd"/>
      <w:r w:rsidRPr="001F512E">
        <w:rPr>
          <w:szCs w:val="22"/>
        </w:rPr>
        <w:t xml:space="preserve"> and ribavirin alone and in combination with telaprevir, </w:t>
      </w:r>
      <w:proofErr w:type="spellStart"/>
      <w:r w:rsidRPr="001F512E">
        <w:rPr>
          <w:szCs w:val="22"/>
        </w:rPr>
        <w:t>boceprevir</w:t>
      </w:r>
      <w:proofErr w:type="spellEnd"/>
      <w:r w:rsidRPr="001F512E">
        <w:rPr>
          <w:szCs w:val="22"/>
        </w:rPr>
        <w:t xml:space="preserve"> or </w:t>
      </w:r>
      <w:proofErr w:type="spellStart"/>
      <w:r w:rsidRPr="001F512E">
        <w:rPr>
          <w:szCs w:val="22"/>
        </w:rPr>
        <w:t>simeprevir</w:t>
      </w:r>
      <w:proofErr w:type="spellEnd"/>
      <w:r w:rsidRPr="001F512E">
        <w:rPr>
          <w:szCs w:val="22"/>
        </w:rPr>
        <w:t>, are no longer cost-</w:t>
      </w:r>
      <w:r w:rsidRPr="001F512E">
        <w:rPr>
          <w:szCs w:val="22"/>
        </w:rPr>
        <w:lastRenderedPageBreak/>
        <w:t>effective as currently listed</w:t>
      </w:r>
      <w:r>
        <w:rPr>
          <w:szCs w:val="22"/>
        </w:rPr>
        <w:t xml:space="preserve"> especially </w:t>
      </w:r>
      <w:r w:rsidRPr="001F512E">
        <w:rPr>
          <w:szCs w:val="22"/>
        </w:rPr>
        <w:t xml:space="preserve">given the higher rate of adverse effects observed in clinical practice for some treatment combinations compared to those observed in the clinical trials. The Minister may wish to review the listing of these products. The PBAC advised the Department to bring this consideration to the attention of the sponsor of these products. The Commonwealth currently pay approximately $87 million for these treatments. </w:t>
      </w:r>
    </w:p>
    <w:p w:rsidR="00C00260" w:rsidRPr="001A6C09" w:rsidRDefault="00C00260" w:rsidP="00C00260">
      <w:pPr>
        <w:widowControl/>
        <w:rPr>
          <w:rFonts w:cs="Times New Roman"/>
          <w:snapToGrid/>
          <w:szCs w:val="22"/>
          <w:lang w:eastAsia="en-AU"/>
        </w:rPr>
      </w:pPr>
    </w:p>
    <w:p w:rsidR="00C00260" w:rsidRPr="001A6C09" w:rsidRDefault="00C00260" w:rsidP="00C00260">
      <w:pPr>
        <w:widowControl/>
        <w:rPr>
          <w:rFonts w:cs="Times New Roman"/>
          <w:b/>
          <w:snapToGrid/>
          <w:szCs w:val="22"/>
          <w:lang w:eastAsia="en-AU"/>
        </w:rPr>
      </w:pPr>
      <w:r w:rsidRPr="001A6C09">
        <w:rPr>
          <w:rFonts w:cs="Times New Roman"/>
          <w:b/>
          <w:snapToGrid/>
          <w:szCs w:val="22"/>
          <w:lang w:eastAsia="en-AU"/>
        </w:rPr>
        <w:t>Outcome:</w:t>
      </w:r>
      <w:r w:rsidRPr="00C209AB">
        <w:rPr>
          <w:rFonts w:ascii="Arial Narrow" w:hAnsi="Arial Narrow"/>
          <w:b/>
          <w:color w:val="FF0000"/>
          <w:sz w:val="24"/>
        </w:rPr>
        <w:t xml:space="preserve"> </w:t>
      </w:r>
    </w:p>
    <w:p w:rsidR="00C00260" w:rsidRDefault="00C00260" w:rsidP="00C00260">
      <w:pPr>
        <w:widowControl/>
        <w:rPr>
          <w:rFonts w:cs="Times New Roman"/>
          <w:snapToGrid/>
          <w:szCs w:val="22"/>
          <w:lang w:eastAsia="en-AU"/>
        </w:rPr>
      </w:pPr>
      <w:r>
        <w:rPr>
          <w:rFonts w:cs="Times New Roman"/>
          <w:snapToGrid/>
          <w:szCs w:val="22"/>
          <w:lang w:eastAsia="en-AU"/>
        </w:rPr>
        <w:t xml:space="preserve">Recommended </w:t>
      </w:r>
    </w:p>
    <w:p w:rsidR="00700E7D" w:rsidRDefault="00700E7D" w:rsidP="00C00260">
      <w:pPr>
        <w:widowControl/>
        <w:rPr>
          <w:rFonts w:cs="Times New Roman"/>
          <w:snapToGrid/>
          <w:szCs w:val="22"/>
          <w:lang w:eastAsia="en-AU"/>
        </w:rPr>
      </w:pPr>
    </w:p>
    <w:p w:rsidR="004A0645" w:rsidRPr="001A6C09" w:rsidRDefault="004A0645" w:rsidP="00C00260">
      <w:pPr>
        <w:widowControl/>
        <w:rPr>
          <w:rFonts w:cs="Times New Roman"/>
          <w:snapToGrid/>
          <w:szCs w:val="22"/>
          <w:lang w:eastAsia="en-AU"/>
        </w:rPr>
      </w:pPr>
    </w:p>
    <w:p w:rsidR="00C00260" w:rsidRPr="0025173A" w:rsidRDefault="00C00260" w:rsidP="00C00260">
      <w:pPr>
        <w:pStyle w:val="PBACHeading1"/>
        <w:rPr>
          <w:rFonts w:cs="Times New Roman"/>
          <w:i/>
          <w:snapToGrid/>
          <w:lang w:eastAsia="en-AU"/>
        </w:rPr>
      </w:pPr>
      <w:r w:rsidRPr="0025173A">
        <w:rPr>
          <w:snapToGrid/>
          <w:lang w:eastAsia="en-AU"/>
        </w:rPr>
        <w:t>Recommended listing</w:t>
      </w:r>
    </w:p>
    <w:p w:rsidR="00C00260" w:rsidRPr="001A6C09" w:rsidRDefault="00C00260" w:rsidP="00C00260">
      <w:pPr>
        <w:widowControl/>
        <w:rPr>
          <w:rFonts w:cs="Times New Roman"/>
          <w:snapToGrid/>
          <w:szCs w:val="22"/>
          <w:lang w:eastAsia="en-AU"/>
        </w:rPr>
      </w:pPr>
    </w:p>
    <w:p w:rsidR="00C00260" w:rsidRDefault="00C00260" w:rsidP="00C00260">
      <w:pPr>
        <w:widowControl/>
        <w:numPr>
          <w:ilvl w:val="1"/>
          <w:numId w:val="1"/>
        </w:numPr>
        <w:ind w:left="709"/>
        <w:contextualSpacing/>
        <w:rPr>
          <w:rFonts w:cs="Times New Roman"/>
          <w:snapToGrid/>
          <w:szCs w:val="22"/>
          <w:lang w:eastAsia="en-AU"/>
        </w:rPr>
      </w:pPr>
      <w:r w:rsidRPr="002C6B0B">
        <w:rPr>
          <w:rFonts w:cs="Times New Roman"/>
          <w:snapToGrid/>
          <w:szCs w:val="22"/>
          <w:lang w:eastAsia="en-AU"/>
        </w:rPr>
        <w:t>Add new item:</w:t>
      </w:r>
    </w:p>
    <w:p w:rsidR="00C00260" w:rsidRDefault="00A51F80" w:rsidP="00C00260">
      <w:pPr>
        <w:pStyle w:val="ListParagraph"/>
        <w:widowControl/>
      </w:pPr>
      <w:r>
        <w:t>Restriction to be finalised</w:t>
      </w:r>
    </w:p>
    <w:p w:rsidR="00E6053A" w:rsidRDefault="00E6053A" w:rsidP="00E6053A">
      <w:pPr>
        <w:widowControl/>
      </w:pPr>
    </w:p>
    <w:p w:rsidR="00E6053A" w:rsidRPr="00D4207D" w:rsidRDefault="00E6053A" w:rsidP="00E6053A">
      <w:pPr>
        <w:pStyle w:val="PBACHeading1"/>
      </w:pPr>
      <w:r w:rsidRPr="00D4207D">
        <w:t>Context for Decision</w:t>
      </w:r>
    </w:p>
    <w:p w:rsidR="00E6053A" w:rsidRPr="00D4420F" w:rsidRDefault="00E6053A" w:rsidP="00E6053A">
      <w:pPr>
        <w:pStyle w:val="ListParagraph"/>
        <w:rPr>
          <w:b/>
        </w:rPr>
      </w:pPr>
    </w:p>
    <w:p w:rsidR="00E6053A" w:rsidRPr="00D4207D" w:rsidRDefault="00E6053A" w:rsidP="00E6053A">
      <w:pPr>
        <w:ind w:left="720"/>
        <w:rPr>
          <w:bCs/>
          <w:szCs w:val="22"/>
        </w:rPr>
      </w:pPr>
      <w:r w:rsidRPr="00D4207D">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6053A" w:rsidRPr="00D4420F" w:rsidRDefault="00E6053A" w:rsidP="00E6053A"/>
    <w:p w:rsidR="00E6053A" w:rsidRPr="00D4207D" w:rsidRDefault="00E6053A" w:rsidP="00E6053A">
      <w:pPr>
        <w:pStyle w:val="PBACHeading1"/>
      </w:pPr>
      <w:r w:rsidRPr="00D4207D">
        <w:t>Sponsor’s Comment</w:t>
      </w:r>
    </w:p>
    <w:p w:rsidR="00E6053A" w:rsidRDefault="00E6053A" w:rsidP="00E6053A">
      <w:pPr>
        <w:widowControl/>
      </w:pPr>
    </w:p>
    <w:p w:rsidR="00140465" w:rsidRPr="00C00260" w:rsidRDefault="00140465" w:rsidP="00140465">
      <w:pPr>
        <w:widowControl/>
        <w:ind w:left="720"/>
      </w:pPr>
      <w:r>
        <w:t xml:space="preserve">The Sponsor had no comment. </w:t>
      </w:r>
    </w:p>
    <w:sectPr w:rsidR="00140465" w:rsidRPr="00C00260" w:rsidSect="00EB3796">
      <w:headerReference w:type="default" r:id="rId10"/>
      <w:footerReference w:type="default" r:id="rId11"/>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DBE96E" w15:done="0"/>
  <w15:commentEx w15:paraId="2B1C2179" w15:done="0"/>
  <w15:commentEx w15:paraId="3E98049A" w15:done="0"/>
  <w15:commentEx w15:paraId="7C4ECF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4C5" w:rsidRDefault="004264C5" w:rsidP="00124A51">
      <w:r>
        <w:separator/>
      </w:r>
    </w:p>
  </w:endnote>
  <w:endnote w:type="continuationSeparator" w:id="0">
    <w:p w:rsidR="004264C5" w:rsidRDefault="004264C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725081"/>
      <w:docPartObj>
        <w:docPartGallery w:val="Page Numbers (Bottom of Page)"/>
        <w:docPartUnique/>
      </w:docPartObj>
    </w:sdtPr>
    <w:sdtEndPr>
      <w:rPr>
        <w:noProof/>
      </w:rPr>
    </w:sdtEndPr>
    <w:sdtContent>
      <w:p w:rsidR="004264C5" w:rsidRDefault="004264C5">
        <w:pPr>
          <w:pStyle w:val="Footer"/>
          <w:jc w:val="center"/>
        </w:pPr>
      </w:p>
      <w:p w:rsidR="004264C5" w:rsidRDefault="004264C5">
        <w:pPr>
          <w:pStyle w:val="Footer"/>
          <w:jc w:val="center"/>
        </w:pPr>
        <w:r>
          <w:fldChar w:fldCharType="begin"/>
        </w:r>
        <w:r>
          <w:instrText xml:space="preserve"> PAGE   \* MERGEFORMAT </w:instrText>
        </w:r>
        <w:r>
          <w:fldChar w:fldCharType="separate"/>
        </w:r>
        <w:r w:rsidR="001B5D3E">
          <w:rPr>
            <w:noProof/>
          </w:rPr>
          <w:t>28</w:t>
        </w:r>
        <w:r>
          <w:rPr>
            <w:noProof/>
          </w:rPr>
          <w:fldChar w:fldCharType="end"/>
        </w:r>
      </w:p>
    </w:sdtContent>
  </w:sdt>
  <w:p w:rsidR="004264C5" w:rsidRDefault="004264C5" w:rsidP="009B242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4C5" w:rsidRDefault="004264C5" w:rsidP="00124A51">
      <w:r>
        <w:separator/>
      </w:r>
    </w:p>
  </w:footnote>
  <w:footnote w:type="continuationSeparator" w:id="0">
    <w:p w:rsidR="004264C5" w:rsidRDefault="004264C5"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C5" w:rsidRDefault="004264C5" w:rsidP="00D24544">
    <w:pPr>
      <w:pStyle w:val="Header"/>
      <w:ind w:left="360"/>
      <w:jc w:val="center"/>
      <w:rPr>
        <w:i/>
        <w:color w:val="808080"/>
      </w:rPr>
    </w:pPr>
    <w:r>
      <w:rPr>
        <w:i/>
        <w:color w:val="808080"/>
      </w:rPr>
      <w:t>Public Summary Document – March 2015 PBAC Meeting</w:t>
    </w:r>
  </w:p>
  <w:p w:rsidR="004264C5" w:rsidRPr="00124A51" w:rsidRDefault="004264C5" w:rsidP="002B1C1F">
    <w:pPr>
      <w:tabs>
        <w:tab w:val="left" w:pos="142"/>
        <w:tab w:val="right" w:pos="9027"/>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21E"/>
    <w:multiLevelType w:val="hybridMultilevel"/>
    <w:tmpl w:val="C37871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3C00186"/>
    <w:multiLevelType w:val="hybridMultilevel"/>
    <w:tmpl w:val="5EF8B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C728B8"/>
    <w:multiLevelType w:val="hybridMultilevel"/>
    <w:tmpl w:val="8B909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FE262F"/>
    <w:multiLevelType w:val="hybridMultilevel"/>
    <w:tmpl w:val="05500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
    <w:nsid w:val="0C2C325D"/>
    <w:multiLevelType w:val="hybridMultilevel"/>
    <w:tmpl w:val="D2DA9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FAA27E3"/>
    <w:multiLevelType w:val="hybridMultilevel"/>
    <w:tmpl w:val="4A10B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747D7E"/>
    <w:multiLevelType w:val="hybridMultilevel"/>
    <w:tmpl w:val="3788C5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2549EC"/>
    <w:multiLevelType w:val="hybridMultilevel"/>
    <w:tmpl w:val="56E610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C5447B"/>
    <w:multiLevelType w:val="hybridMultilevel"/>
    <w:tmpl w:val="CE60AE7E"/>
    <w:lvl w:ilvl="0" w:tplc="DFC8BF7E">
      <w:start w:val="200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FD01AC"/>
    <w:multiLevelType w:val="multilevel"/>
    <w:tmpl w:val="C3320F7C"/>
    <w:lvl w:ilvl="0">
      <w:start w:val="1"/>
      <w:numFmt w:val="decimal"/>
      <w:lvlText w:val="%1"/>
      <w:lvlJc w:val="left"/>
      <w:pPr>
        <w:ind w:left="6391"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205757A5"/>
    <w:multiLevelType w:val="hybridMultilevel"/>
    <w:tmpl w:val="4ADC4B2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2">
    <w:nsid w:val="257C4A4C"/>
    <w:multiLevelType w:val="hybridMultilevel"/>
    <w:tmpl w:val="0BF62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AE0CAD"/>
    <w:multiLevelType w:val="multilevel"/>
    <w:tmpl w:val="08503A2C"/>
    <w:lvl w:ilvl="0">
      <w:start w:val="1"/>
      <w:numFmt w:val="decimal"/>
      <w:lvlText w:val="%1"/>
      <w:lvlJc w:val="left"/>
      <w:pPr>
        <w:ind w:left="6391"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55F4A5B"/>
    <w:multiLevelType w:val="multilevel"/>
    <w:tmpl w:val="C478A8FC"/>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8827321"/>
    <w:multiLevelType w:val="hybridMultilevel"/>
    <w:tmpl w:val="FD38E716"/>
    <w:lvl w:ilvl="0" w:tplc="0C090001">
      <w:start w:val="1"/>
      <w:numFmt w:val="bullet"/>
      <w:lvlText w:val=""/>
      <w:lvlJc w:val="left"/>
      <w:pPr>
        <w:ind w:left="1286" w:hanging="360"/>
      </w:pPr>
      <w:rPr>
        <w:rFonts w:ascii="Symbol" w:hAnsi="Symbol" w:hint="default"/>
      </w:rPr>
    </w:lvl>
    <w:lvl w:ilvl="1" w:tplc="0C090003">
      <w:start w:val="1"/>
      <w:numFmt w:val="bullet"/>
      <w:lvlText w:val="o"/>
      <w:lvlJc w:val="left"/>
      <w:pPr>
        <w:ind w:left="2006" w:hanging="360"/>
      </w:pPr>
      <w:rPr>
        <w:rFonts w:ascii="Courier New" w:hAnsi="Courier New" w:cs="Courier New" w:hint="default"/>
      </w:rPr>
    </w:lvl>
    <w:lvl w:ilvl="2" w:tplc="0C090005" w:tentative="1">
      <w:start w:val="1"/>
      <w:numFmt w:val="bullet"/>
      <w:lvlText w:val=""/>
      <w:lvlJc w:val="left"/>
      <w:pPr>
        <w:ind w:left="2726" w:hanging="360"/>
      </w:pPr>
      <w:rPr>
        <w:rFonts w:ascii="Wingdings" w:hAnsi="Wingdings" w:hint="default"/>
      </w:rPr>
    </w:lvl>
    <w:lvl w:ilvl="3" w:tplc="0C090001" w:tentative="1">
      <w:start w:val="1"/>
      <w:numFmt w:val="bullet"/>
      <w:lvlText w:val=""/>
      <w:lvlJc w:val="left"/>
      <w:pPr>
        <w:ind w:left="3446" w:hanging="360"/>
      </w:pPr>
      <w:rPr>
        <w:rFonts w:ascii="Symbol" w:hAnsi="Symbol" w:hint="default"/>
      </w:rPr>
    </w:lvl>
    <w:lvl w:ilvl="4" w:tplc="0C090003" w:tentative="1">
      <w:start w:val="1"/>
      <w:numFmt w:val="bullet"/>
      <w:lvlText w:val="o"/>
      <w:lvlJc w:val="left"/>
      <w:pPr>
        <w:ind w:left="4166" w:hanging="360"/>
      </w:pPr>
      <w:rPr>
        <w:rFonts w:ascii="Courier New" w:hAnsi="Courier New" w:cs="Courier New" w:hint="default"/>
      </w:rPr>
    </w:lvl>
    <w:lvl w:ilvl="5" w:tplc="0C090005" w:tentative="1">
      <w:start w:val="1"/>
      <w:numFmt w:val="bullet"/>
      <w:lvlText w:val=""/>
      <w:lvlJc w:val="left"/>
      <w:pPr>
        <w:ind w:left="4886" w:hanging="360"/>
      </w:pPr>
      <w:rPr>
        <w:rFonts w:ascii="Wingdings" w:hAnsi="Wingdings" w:hint="default"/>
      </w:rPr>
    </w:lvl>
    <w:lvl w:ilvl="6" w:tplc="0C090001" w:tentative="1">
      <w:start w:val="1"/>
      <w:numFmt w:val="bullet"/>
      <w:lvlText w:val=""/>
      <w:lvlJc w:val="left"/>
      <w:pPr>
        <w:ind w:left="5606" w:hanging="360"/>
      </w:pPr>
      <w:rPr>
        <w:rFonts w:ascii="Symbol" w:hAnsi="Symbol" w:hint="default"/>
      </w:rPr>
    </w:lvl>
    <w:lvl w:ilvl="7" w:tplc="0C090003" w:tentative="1">
      <w:start w:val="1"/>
      <w:numFmt w:val="bullet"/>
      <w:lvlText w:val="o"/>
      <w:lvlJc w:val="left"/>
      <w:pPr>
        <w:ind w:left="6326" w:hanging="360"/>
      </w:pPr>
      <w:rPr>
        <w:rFonts w:ascii="Courier New" w:hAnsi="Courier New" w:cs="Courier New" w:hint="default"/>
      </w:rPr>
    </w:lvl>
    <w:lvl w:ilvl="8" w:tplc="0C090005" w:tentative="1">
      <w:start w:val="1"/>
      <w:numFmt w:val="bullet"/>
      <w:lvlText w:val=""/>
      <w:lvlJc w:val="left"/>
      <w:pPr>
        <w:ind w:left="7046" w:hanging="360"/>
      </w:pPr>
      <w:rPr>
        <w:rFonts w:ascii="Wingdings" w:hAnsi="Wingdings" w:hint="default"/>
      </w:rPr>
    </w:lvl>
  </w:abstractNum>
  <w:abstractNum w:abstractNumId="16">
    <w:nsid w:val="4FFC2AFA"/>
    <w:multiLevelType w:val="hybridMultilevel"/>
    <w:tmpl w:val="FEB63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CD7619B"/>
    <w:multiLevelType w:val="hybridMultilevel"/>
    <w:tmpl w:val="A86CDE48"/>
    <w:lvl w:ilvl="0" w:tplc="04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1DC736E"/>
    <w:multiLevelType w:val="hybridMultilevel"/>
    <w:tmpl w:val="0C5A5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1F82C80"/>
    <w:multiLevelType w:val="hybridMultilevel"/>
    <w:tmpl w:val="B4CC88DA"/>
    <w:lvl w:ilvl="0" w:tplc="0C090001">
      <w:start w:val="1"/>
      <w:numFmt w:val="bullet"/>
      <w:lvlText w:val=""/>
      <w:lvlJc w:val="left"/>
      <w:pPr>
        <w:ind w:left="1569" w:hanging="360"/>
      </w:pPr>
      <w:rPr>
        <w:rFonts w:ascii="Symbol" w:hAnsi="Symbol" w:hint="default"/>
      </w:rPr>
    </w:lvl>
    <w:lvl w:ilvl="1" w:tplc="0C090003">
      <w:start w:val="1"/>
      <w:numFmt w:val="bullet"/>
      <w:lvlText w:val="o"/>
      <w:lvlJc w:val="left"/>
      <w:pPr>
        <w:ind w:left="2289" w:hanging="360"/>
      </w:pPr>
      <w:rPr>
        <w:rFonts w:ascii="Courier New" w:hAnsi="Courier New" w:cs="Courier New" w:hint="default"/>
      </w:rPr>
    </w:lvl>
    <w:lvl w:ilvl="2" w:tplc="0C090005" w:tentative="1">
      <w:start w:val="1"/>
      <w:numFmt w:val="bullet"/>
      <w:lvlText w:val=""/>
      <w:lvlJc w:val="left"/>
      <w:pPr>
        <w:ind w:left="3009" w:hanging="360"/>
      </w:pPr>
      <w:rPr>
        <w:rFonts w:ascii="Wingdings" w:hAnsi="Wingdings" w:hint="default"/>
      </w:rPr>
    </w:lvl>
    <w:lvl w:ilvl="3" w:tplc="0C090001" w:tentative="1">
      <w:start w:val="1"/>
      <w:numFmt w:val="bullet"/>
      <w:lvlText w:val=""/>
      <w:lvlJc w:val="left"/>
      <w:pPr>
        <w:ind w:left="3729" w:hanging="360"/>
      </w:pPr>
      <w:rPr>
        <w:rFonts w:ascii="Symbol" w:hAnsi="Symbol" w:hint="default"/>
      </w:rPr>
    </w:lvl>
    <w:lvl w:ilvl="4" w:tplc="0C090003" w:tentative="1">
      <w:start w:val="1"/>
      <w:numFmt w:val="bullet"/>
      <w:lvlText w:val="o"/>
      <w:lvlJc w:val="left"/>
      <w:pPr>
        <w:ind w:left="4449" w:hanging="360"/>
      </w:pPr>
      <w:rPr>
        <w:rFonts w:ascii="Courier New" w:hAnsi="Courier New" w:cs="Courier New" w:hint="default"/>
      </w:rPr>
    </w:lvl>
    <w:lvl w:ilvl="5" w:tplc="0C090005" w:tentative="1">
      <w:start w:val="1"/>
      <w:numFmt w:val="bullet"/>
      <w:lvlText w:val=""/>
      <w:lvlJc w:val="left"/>
      <w:pPr>
        <w:ind w:left="5169" w:hanging="360"/>
      </w:pPr>
      <w:rPr>
        <w:rFonts w:ascii="Wingdings" w:hAnsi="Wingdings" w:hint="default"/>
      </w:rPr>
    </w:lvl>
    <w:lvl w:ilvl="6" w:tplc="0C090001" w:tentative="1">
      <w:start w:val="1"/>
      <w:numFmt w:val="bullet"/>
      <w:lvlText w:val=""/>
      <w:lvlJc w:val="left"/>
      <w:pPr>
        <w:ind w:left="5889" w:hanging="360"/>
      </w:pPr>
      <w:rPr>
        <w:rFonts w:ascii="Symbol" w:hAnsi="Symbol" w:hint="default"/>
      </w:rPr>
    </w:lvl>
    <w:lvl w:ilvl="7" w:tplc="0C090003" w:tentative="1">
      <w:start w:val="1"/>
      <w:numFmt w:val="bullet"/>
      <w:lvlText w:val="o"/>
      <w:lvlJc w:val="left"/>
      <w:pPr>
        <w:ind w:left="6609" w:hanging="360"/>
      </w:pPr>
      <w:rPr>
        <w:rFonts w:ascii="Courier New" w:hAnsi="Courier New" w:cs="Courier New" w:hint="default"/>
      </w:rPr>
    </w:lvl>
    <w:lvl w:ilvl="8" w:tplc="0C090005" w:tentative="1">
      <w:start w:val="1"/>
      <w:numFmt w:val="bullet"/>
      <w:lvlText w:val=""/>
      <w:lvlJc w:val="left"/>
      <w:pPr>
        <w:ind w:left="7329" w:hanging="360"/>
      </w:pPr>
      <w:rPr>
        <w:rFonts w:ascii="Wingdings" w:hAnsi="Wingdings" w:hint="default"/>
      </w:rPr>
    </w:lvl>
  </w:abstractNum>
  <w:abstractNum w:abstractNumId="2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nsid w:val="784D033C"/>
    <w:multiLevelType w:val="multilevel"/>
    <w:tmpl w:val="783AC58C"/>
    <w:lvl w:ilvl="0">
      <w:start w:val="1"/>
      <w:numFmt w:val="decimal"/>
      <w:pStyle w:val="PBACHeading1"/>
      <w:lvlText w:val="%1"/>
      <w:lvlJc w:val="left"/>
      <w:pPr>
        <w:ind w:left="6391"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nsid w:val="7E8B0129"/>
    <w:multiLevelType w:val="hybridMultilevel"/>
    <w:tmpl w:val="86249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EF55792"/>
    <w:multiLevelType w:val="hybridMultilevel"/>
    <w:tmpl w:val="63286B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8"/>
  </w:num>
  <w:num w:numId="4">
    <w:abstractNumId w:val="25"/>
  </w:num>
  <w:num w:numId="5">
    <w:abstractNumId w:val="5"/>
  </w:num>
  <w:num w:numId="6">
    <w:abstractNumId w:val="3"/>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4"/>
  </w:num>
  <w:num w:numId="10">
    <w:abstractNumId w:val="17"/>
  </w:num>
  <w:num w:numId="11">
    <w:abstractNumId w:val="21"/>
  </w:num>
  <w:num w:numId="12">
    <w:abstractNumId w:val="23"/>
  </w:num>
  <w:num w:numId="13">
    <w:abstractNumId w:val="10"/>
  </w:num>
  <w:num w:numId="14">
    <w:abstractNumId w:val="4"/>
  </w:num>
  <w:num w:numId="15">
    <w:abstractNumId w:val="16"/>
  </w:num>
  <w:num w:numId="16">
    <w:abstractNumId w:val="8"/>
  </w:num>
  <w:num w:numId="17">
    <w:abstractNumId w:val="2"/>
  </w:num>
  <w:num w:numId="18">
    <w:abstractNumId w:val="19"/>
  </w:num>
  <w:num w:numId="19">
    <w:abstractNumId w:val="20"/>
  </w:num>
  <w:num w:numId="20">
    <w:abstractNumId w:val="7"/>
  </w:num>
  <w:num w:numId="21">
    <w:abstractNumId w:val="14"/>
  </w:num>
  <w:num w:numId="22">
    <w:abstractNumId w:val="13"/>
  </w:num>
  <w:num w:numId="23">
    <w:abstractNumId w:val="15"/>
  </w:num>
  <w:num w:numId="24">
    <w:abstractNumId w:val="1"/>
  </w:num>
  <w:num w:numId="25">
    <w:abstractNumId w:val="11"/>
  </w:num>
  <w:num w:numId="26">
    <w:abstractNumId w:val="12"/>
  </w:num>
  <w:num w:numId="27">
    <w:abstractNumId w:val="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Windows Live" w15:userId="750d575ef53cd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 Bold&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s592ea9tx9z58et9xkxszapwzx2svzz0wfx&quot;&gt;Daclatasvir&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53&lt;/item&gt;&lt;item&gt;54&lt;/item&gt;&lt;item&gt;55&lt;/item&gt;&lt;item&gt;56&lt;/item&gt;&lt;item&gt;58&lt;/item&gt;&lt;item&gt;59&lt;/item&gt;&lt;item&gt;60&lt;/item&gt;&lt;item&gt;61&lt;/item&gt;&lt;item&gt;62&lt;/item&gt;&lt;item&gt;63&lt;/item&gt;&lt;item&gt;64&lt;/item&gt;&lt;item&gt;65&lt;/item&gt;&lt;item&gt;67&lt;/item&gt;&lt;item&gt;71&lt;/item&gt;&lt;item&gt;72&lt;/item&gt;&lt;item&gt;73&lt;/item&gt;&lt;item&gt;74&lt;/item&gt;&lt;item&gt;75&lt;/item&gt;&lt;item&gt;76&lt;/item&gt;&lt;item&gt;80&lt;/item&gt;&lt;item&gt;81&lt;/item&gt;&lt;item&gt;82&lt;/item&gt;&lt;item&gt;83&lt;/item&gt;&lt;item&gt;86&lt;/item&gt;&lt;/record-ids&gt;&lt;/item&gt;&lt;/Libraries&gt;"/>
  </w:docVars>
  <w:rsids>
    <w:rsidRoot w:val="00E65E79"/>
    <w:rsid w:val="000005DD"/>
    <w:rsid w:val="00000790"/>
    <w:rsid w:val="0000110B"/>
    <w:rsid w:val="0000165C"/>
    <w:rsid w:val="00003499"/>
    <w:rsid w:val="00006974"/>
    <w:rsid w:val="00007AEE"/>
    <w:rsid w:val="00007D3B"/>
    <w:rsid w:val="0001228A"/>
    <w:rsid w:val="00013247"/>
    <w:rsid w:val="00015886"/>
    <w:rsid w:val="00015A61"/>
    <w:rsid w:val="00015F7A"/>
    <w:rsid w:val="000162EF"/>
    <w:rsid w:val="00016F11"/>
    <w:rsid w:val="00021F2A"/>
    <w:rsid w:val="000221AC"/>
    <w:rsid w:val="0002225F"/>
    <w:rsid w:val="00022684"/>
    <w:rsid w:val="00022946"/>
    <w:rsid w:val="00022A01"/>
    <w:rsid w:val="0002346E"/>
    <w:rsid w:val="00023763"/>
    <w:rsid w:val="00023966"/>
    <w:rsid w:val="00026040"/>
    <w:rsid w:val="000267A7"/>
    <w:rsid w:val="00026E56"/>
    <w:rsid w:val="00030091"/>
    <w:rsid w:val="000302B7"/>
    <w:rsid w:val="00037A11"/>
    <w:rsid w:val="00037C2E"/>
    <w:rsid w:val="00040895"/>
    <w:rsid w:val="00040C01"/>
    <w:rsid w:val="0004319A"/>
    <w:rsid w:val="00043C37"/>
    <w:rsid w:val="00045CA5"/>
    <w:rsid w:val="00045D15"/>
    <w:rsid w:val="0004608D"/>
    <w:rsid w:val="00046399"/>
    <w:rsid w:val="00046441"/>
    <w:rsid w:val="00046B80"/>
    <w:rsid w:val="00047D48"/>
    <w:rsid w:val="000507F6"/>
    <w:rsid w:val="00051102"/>
    <w:rsid w:val="000518AB"/>
    <w:rsid w:val="000522E8"/>
    <w:rsid w:val="00053985"/>
    <w:rsid w:val="000546D7"/>
    <w:rsid w:val="00054E90"/>
    <w:rsid w:val="000566B6"/>
    <w:rsid w:val="000570F8"/>
    <w:rsid w:val="00057D5E"/>
    <w:rsid w:val="00062663"/>
    <w:rsid w:val="00062A6F"/>
    <w:rsid w:val="00062ACC"/>
    <w:rsid w:val="000636A7"/>
    <w:rsid w:val="00067646"/>
    <w:rsid w:val="00067F12"/>
    <w:rsid w:val="00071248"/>
    <w:rsid w:val="000720B9"/>
    <w:rsid w:val="000737DF"/>
    <w:rsid w:val="00075B41"/>
    <w:rsid w:val="000812CA"/>
    <w:rsid w:val="000823AC"/>
    <w:rsid w:val="0008276C"/>
    <w:rsid w:val="00082ADD"/>
    <w:rsid w:val="00083C2C"/>
    <w:rsid w:val="0008415A"/>
    <w:rsid w:val="00084BE1"/>
    <w:rsid w:val="0008509D"/>
    <w:rsid w:val="000858ED"/>
    <w:rsid w:val="00086249"/>
    <w:rsid w:val="00090C7E"/>
    <w:rsid w:val="00093947"/>
    <w:rsid w:val="00097894"/>
    <w:rsid w:val="000A1626"/>
    <w:rsid w:val="000A1680"/>
    <w:rsid w:val="000A2125"/>
    <w:rsid w:val="000A266D"/>
    <w:rsid w:val="000A2B55"/>
    <w:rsid w:val="000A2FB5"/>
    <w:rsid w:val="000A3654"/>
    <w:rsid w:val="000A40BF"/>
    <w:rsid w:val="000A4630"/>
    <w:rsid w:val="000A55A2"/>
    <w:rsid w:val="000A6E76"/>
    <w:rsid w:val="000A6ED1"/>
    <w:rsid w:val="000B0CD3"/>
    <w:rsid w:val="000B1471"/>
    <w:rsid w:val="000B24A3"/>
    <w:rsid w:val="000B3323"/>
    <w:rsid w:val="000B487C"/>
    <w:rsid w:val="000B4E80"/>
    <w:rsid w:val="000B5016"/>
    <w:rsid w:val="000B6414"/>
    <w:rsid w:val="000B678B"/>
    <w:rsid w:val="000B6B4F"/>
    <w:rsid w:val="000B7294"/>
    <w:rsid w:val="000C036B"/>
    <w:rsid w:val="000C25CB"/>
    <w:rsid w:val="000C25F2"/>
    <w:rsid w:val="000C2955"/>
    <w:rsid w:val="000C2B73"/>
    <w:rsid w:val="000C3477"/>
    <w:rsid w:val="000C3547"/>
    <w:rsid w:val="000C359D"/>
    <w:rsid w:val="000C48F9"/>
    <w:rsid w:val="000C49AB"/>
    <w:rsid w:val="000C5B82"/>
    <w:rsid w:val="000C5C1F"/>
    <w:rsid w:val="000C5CE6"/>
    <w:rsid w:val="000C602F"/>
    <w:rsid w:val="000D09B0"/>
    <w:rsid w:val="000D120C"/>
    <w:rsid w:val="000D14A3"/>
    <w:rsid w:val="000D1776"/>
    <w:rsid w:val="000D1981"/>
    <w:rsid w:val="000D1BFC"/>
    <w:rsid w:val="000D29E9"/>
    <w:rsid w:val="000D45A6"/>
    <w:rsid w:val="000D488A"/>
    <w:rsid w:val="000D4BD6"/>
    <w:rsid w:val="000D5667"/>
    <w:rsid w:val="000D75DE"/>
    <w:rsid w:val="000E3149"/>
    <w:rsid w:val="000E53A3"/>
    <w:rsid w:val="000E7ED6"/>
    <w:rsid w:val="000F1166"/>
    <w:rsid w:val="000F2816"/>
    <w:rsid w:val="000F4BB8"/>
    <w:rsid w:val="000F5236"/>
    <w:rsid w:val="000F5330"/>
    <w:rsid w:val="000F5922"/>
    <w:rsid w:val="000F653B"/>
    <w:rsid w:val="000F6F5E"/>
    <w:rsid w:val="000F7127"/>
    <w:rsid w:val="000F77E5"/>
    <w:rsid w:val="001001F6"/>
    <w:rsid w:val="00100A0F"/>
    <w:rsid w:val="00100F8A"/>
    <w:rsid w:val="00103086"/>
    <w:rsid w:val="001030EC"/>
    <w:rsid w:val="00103428"/>
    <w:rsid w:val="00104D8E"/>
    <w:rsid w:val="0010612A"/>
    <w:rsid w:val="0010798D"/>
    <w:rsid w:val="0011032E"/>
    <w:rsid w:val="0011119F"/>
    <w:rsid w:val="0011348B"/>
    <w:rsid w:val="00113A0C"/>
    <w:rsid w:val="00113E30"/>
    <w:rsid w:val="0011578F"/>
    <w:rsid w:val="00115F29"/>
    <w:rsid w:val="00117197"/>
    <w:rsid w:val="00117E9D"/>
    <w:rsid w:val="00117F38"/>
    <w:rsid w:val="00120656"/>
    <w:rsid w:val="00121799"/>
    <w:rsid w:val="00121B2C"/>
    <w:rsid w:val="001222FC"/>
    <w:rsid w:val="00122523"/>
    <w:rsid w:val="00123604"/>
    <w:rsid w:val="00124244"/>
    <w:rsid w:val="00124A51"/>
    <w:rsid w:val="0012572A"/>
    <w:rsid w:val="00126311"/>
    <w:rsid w:val="00126621"/>
    <w:rsid w:val="0012789E"/>
    <w:rsid w:val="001301E9"/>
    <w:rsid w:val="001336FF"/>
    <w:rsid w:val="00134014"/>
    <w:rsid w:val="001340CC"/>
    <w:rsid w:val="001347DF"/>
    <w:rsid w:val="00134AA3"/>
    <w:rsid w:val="001373E4"/>
    <w:rsid w:val="00137587"/>
    <w:rsid w:val="00137645"/>
    <w:rsid w:val="001378EB"/>
    <w:rsid w:val="00137E6A"/>
    <w:rsid w:val="0014015A"/>
    <w:rsid w:val="00140465"/>
    <w:rsid w:val="00140E99"/>
    <w:rsid w:val="00141C9F"/>
    <w:rsid w:val="00142910"/>
    <w:rsid w:val="00142C20"/>
    <w:rsid w:val="001440A8"/>
    <w:rsid w:val="001441B1"/>
    <w:rsid w:val="00144C4A"/>
    <w:rsid w:val="00145432"/>
    <w:rsid w:val="00145540"/>
    <w:rsid w:val="001456B0"/>
    <w:rsid w:val="001458AE"/>
    <w:rsid w:val="00145FDA"/>
    <w:rsid w:val="001469AB"/>
    <w:rsid w:val="00146EB2"/>
    <w:rsid w:val="0014778E"/>
    <w:rsid w:val="001506CD"/>
    <w:rsid w:val="00151877"/>
    <w:rsid w:val="00152AFF"/>
    <w:rsid w:val="00153FD7"/>
    <w:rsid w:val="001565CB"/>
    <w:rsid w:val="001570C4"/>
    <w:rsid w:val="00157130"/>
    <w:rsid w:val="00160C6C"/>
    <w:rsid w:val="001622C9"/>
    <w:rsid w:val="00162913"/>
    <w:rsid w:val="00163C5B"/>
    <w:rsid w:val="00163EFF"/>
    <w:rsid w:val="001661FB"/>
    <w:rsid w:val="00173079"/>
    <w:rsid w:val="00174FBC"/>
    <w:rsid w:val="00176F90"/>
    <w:rsid w:val="001778D2"/>
    <w:rsid w:val="00180F96"/>
    <w:rsid w:val="00181E21"/>
    <w:rsid w:val="00182510"/>
    <w:rsid w:val="0018435B"/>
    <w:rsid w:val="0018474A"/>
    <w:rsid w:val="001852D5"/>
    <w:rsid w:val="001856EC"/>
    <w:rsid w:val="0018752F"/>
    <w:rsid w:val="00191097"/>
    <w:rsid w:val="0019188B"/>
    <w:rsid w:val="00191C03"/>
    <w:rsid w:val="00195222"/>
    <w:rsid w:val="00195C53"/>
    <w:rsid w:val="001975D8"/>
    <w:rsid w:val="001A056C"/>
    <w:rsid w:val="001A0E87"/>
    <w:rsid w:val="001A19BE"/>
    <w:rsid w:val="001A33BC"/>
    <w:rsid w:val="001A3A3D"/>
    <w:rsid w:val="001A3A5A"/>
    <w:rsid w:val="001A3F54"/>
    <w:rsid w:val="001A6BB0"/>
    <w:rsid w:val="001B1669"/>
    <w:rsid w:val="001B17BE"/>
    <w:rsid w:val="001B3092"/>
    <w:rsid w:val="001B3443"/>
    <w:rsid w:val="001B3E62"/>
    <w:rsid w:val="001B5D3E"/>
    <w:rsid w:val="001B72E3"/>
    <w:rsid w:val="001C0448"/>
    <w:rsid w:val="001C179B"/>
    <w:rsid w:val="001C1DA6"/>
    <w:rsid w:val="001C20F4"/>
    <w:rsid w:val="001C2B2C"/>
    <w:rsid w:val="001C2C70"/>
    <w:rsid w:val="001C444A"/>
    <w:rsid w:val="001C530E"/>
    <w:rsid w:val="001C6E66"/>
    <w:rsid w:val="001C7573"/>
    <w:rsid w:val="001C7943"/>
    <w:rsid w:val="001D14FC"/>
    <w:rsid w:val="001D1B2D"/>
    <w:rsid w:val="001D20D4"/>
    <w:rsid w:val="001D24C4"/>
    <w:rsid w:val="001D429E"/>
    <w:rsid w:val="001D7B0D"/>
    <w:rsid w:val="001E0918"/>
    <w:rsid w:val="001E0DB9"/>
    <w:rsid w:val="001E1C15"/>
    <w:rsid w:val="001E238E"/>
    <w:rsid w:val="001E2B1E"/>
    <w:rsid w:val="001E2F87"/>
    <w:rsid w:val="001E41FB"/>
    <w:rsid w:val="001E52EB"/>
    <w:rsid w:val="001E740C"/>
    <w:rsid w:val="001E7610"/>
    <w:rsid w:val="001E78C3"/>
    <w:rsid w:val="001E7B58"/>
    <w:rsid w:val="001F1235"/>
    <w:rsid w:val="001F14FE"/>
    <w:rsid w:val="001F1566"/>
    <w:rsid w:val="001F194C"/>
    <w:rsid w:val="001F1CB3"/>
    <w:rsid w:val="001F3855"/>
    <w:rsid w:val="001F4368"/>
    <w:rsid w:val="001F5942"/>
    <w:rsid w:val="001F5ACD"/>
    <w:rsid w:val="001F6F48"/>
    <w:rsid w:val="001F7361"/>
    <w:rsid w:val="00201652"/>
    <w:rsid w:val="00202ACB"/>
    <w:rsid w:val="00202C7E"/>
    <w:rsid w:val="002030C2"/>
    <w:rsid w:val="0020385F"/>
    <w:rsid w:val="00207021"/>
    <w:rsid w:val="002071CB"/>
    <w:rsid w:val="0020794A"/>
    <w:rsid w:val="00207D00"/>
    <w:rsid w:val="002105C1"/>
    <w:rsid w:val="00210801"/>
    <w:rsid w:val="002109AE"/>
    <w:rsid w:val="0021130C"/>
    <w:rsid w:val="0021223F"/>
    <w:rsid w:val="00212CCE"/>
    <w:rsid w:val="002131A1"/>
    <w:rsid w:val="00214F99"/>
    <w:rsid w:val="0021501D"/>
    <w:rsid w:val="00216B85"/>
    <w:rsid w:val="00221758"/>
    <w:rsid w:val="00223B49"/>
    <w:rsid w:val="00224DD4"/>
    <w:rsid w:val="0022538E"/>
    <w:rsid w:val="00226AC8"/>
    <w:rsid w:val="00227EEE"/>
    <w:rsid w:val="002309CC"/>
    <w:rsid w:val="002318C2"/>
    <w:rsid w:val="0023371D"/>
    <w:rsid w:val="0023472A"/>
    <w:rsid w:val="00235D46"/>
    <w:rsid w:val="0023672F"/>
    <w:rsid w:val="00236882"/>
    <w:rsid w:val="00237186"/>
    <w:rsid w:val="00242918"/>
    <w:rsid w:val="002434A5"/>
    <w:rsid w:val="00243EF4"/>
    <w:rsid w:val="00245368"/>
    <w:rsid w:val="0024606A"/>
    <w:rsid w:val="002469EB"/>
    <w:rsid w:val="00246B07"/>
    <w:rsid w:val="00246D10"/>
    <w:rsid w:val="0024742B"/>
    <w:rsid w:val="0025087E"/>
    <w:rsid w:val="00251DB7"/>
    <w:rsid w:val="00253562"/>
    <w:rsid w:val="002542B3"/>
    <w:rsid w:val="00254DCF"/>
    <w:rsid w:val="0025534B"/>
    <w:rsid w:val="00255BB7"/>
    <w:rsid w:val="002561CA"/>
    <w:rsid w:val="002600C2"/>
    <w:rsid w:val="00262A87"/>
    <w:rsid w:val="0026328E"/>
    <w:rsid w:val="00263CA3"/>
    <w:rsid w:val="00265D84"/>
    <w:rsid w:val="00267314"/>
    <w:rsid w:val="002675A0"/>
    <w:rsid w:val="00271339"/>
    <w:rsid w:val="00274DAD"/>
    <w:rsid w:val="00275C5A"/>
    <w:rsid w:val="00280AB7"/>
    <w:rsid w:val="00281014"/>
    <w:rsid w:val="00281926"/>
    <w:rsid w:val="00282761"/>
    <w:rsid w:val="00283531"/>
    <w:rsid w:val="002838D5"/>
    <w:rsid w:val="002844ED"/>
    <w:rsid w:val="00284D20"/>
    <w:rsid w:val="00284D77"/>
    <w:rsid w:val="0028531B"/>
    <w:rsid w:val="0028583C"/>
    <w:rsid w:val="00287C85"/>
    <w:rsid w:val="00291C9E"/>
    <w:rsid w:val="00293694"/>
    <w:rsid w:val="00293958"/>
    <w:rsid w:val="002939A3"/>
    <w:rsid w:val="002940A9"/>
    <w:rsid w:val="002959CF"/>
    <w:rsid w:val="00295B0A"/>
    <w:rsid w:val="002A0E35"/>
    <w:rsid w:val="002A14AB"/>
    <w:rsid w:val="002A4DA5"/>
    <w:rsid w:val="002A5B62"/>
    <w:rsid w:val="002B0CB5"/>
    <w:rsid w:val="002B1C1F"/>
    <w:rsid w:val="002B1DE8"/>
    <w:rsid w:val="002B36D2"/>
    <w:rsid w:val="002B430C"/>
    <w:rsid w:val="002B432F"/>
    <w:rsid w:val="002B43AD"/>
    <w:rsid w:val="002B6186"/>
    <w:rsid w:val="002B685D"/>
    <w:rsid w:val="002B6CCE"/>
    <w:rsid w:val="002B78A9"/>
    <w:rsid w:val="002C05FB"/>
    <w:rsid w:val="002C17E1"/>
    <w:rsid w:val="002C2775"/>
    <w:rsid w:val="002C27C1"/>
    <w:rsid w:val="002C3910"/>
    <w:rsid w:val="002C5CD8"/>
    <w:rsid w:val="002D0FC3"/>
    <w:rsid w:val="002D1DCC"/>
    <w:rsid w:val="002D2DE3"/>
    <w:rsid w:val="002D458A"/>
    <w:rsid w:val="002D6284"/>
    <w:rsid w:val="002D653E"/>
    <w:rsid w:val="002D729C"/>
    <w:rsid w:val="002E0188"/>
    <w:rsid w:val="002E311F"/>
    <w:rsid w:val="002E385F"/>
    <w:rsid w:val="002E516A"/>
    <w:rsid w:val="002E6E62"/>
    <w:rsid w:val="002F2705"/>
    <w:rsid w:val="002F473A"/>
    <w:rsid w:val="002F4E2E"/>
    <w:rsid w:val="002F5836"/>
    <w:rsid w:val="002F6794"/>
    <w:rsid w:val="002F68A0"/>
    <w:rsid w:val="002F6C6E"/>
    <w:rsid w:val="002F7AB1"/>
    <w:rsid w:val="003000DB"/>
    <w:rsid w:val="00300D80"/>
    <w:rsid w:val="00301017"/>
    <w:rsid w:val="0030373E"/>
    <w:rsid w:val="00303878"/>
    <w:rsid w:val="00304658"/>
    <w:rsid w:val="00304DF5"/>
    <w:rsid w:val="00305187"/>
    <w:rsid w:val="003055BA"/>
    <w:rsid w:val="003063E8"/>
    <w:rsid w:val="003074C2"/>
    <w:rsid w:val="0030786C"/>
    <w:rsid w:val="003100B6"/>
    <w:rsid w:val="0031023B"/>
    <w:rsid w:val="0031031A"/>
    <w:rsid w:val="00310513"/>
    <w:rsid w:val="00310981"/>
    <w:rsid w:val="003130BC"/>
    <w:rsid w:val="00314259"/>
    <w:rsid w:val="00315498"/>
    <w:rsid w:val="00321005"/>
    <w:rsid w:val="00323841"/>
    <w:rsid w:val="00323F4D"/>
    <w:rsid w:val="003241BE"/>
    <w:rsid w:val="00324E82"/>
    <w:rsid w:val="00325AC0"/>
    <w:rsid w:val="003264BA"/>
    <w:rsid w:val="0032657D"/>
    <w:rsid w:val="00327427"/>
    <w:rsid w:val="00327DC1"/>
    <w:rsid w:val="003304B4"/>
    <w:rsid w:val="003306D0"/>
    <w:rsid w:val="003309AB"/>
    <w:rsid w:val="0033121D"/>
    <w:rsid w:val="0033374F"/>
    <w:rsid w:val="00333FCC"/>
    <w:rsid w:val="00335D48"/>
    <w:rsid w:val="003366C9"/>
    <w:rsid w:val="00337169"/>
    <w:rsid w:val="003371B0"/>
    <w:rsid w:val="00337DAF"/>
    <w:rsid w:val="00340128"/>
    <w:rsid w:val="00340426"/>
    <w:rsid w:val="00343293"/>
    <w:rsid w:val="00344A69"/>
    <w:rsid w:val="00345CB2"/>
    <w:rsid w:val="00346BC2"/>
    <w:rsid w:val="00346CD9"/>
    <w:rsid w:val="00351590"/>
    <w:rsid w:val="003518D9"/>
    <w:rsid w:val="00351B6E"/>
    <w:rsid w:val="00351E9D"/>
    <w:rsid w:val="00354847"/>
    <w:rsid w:val="00354A89"/>
    <w:rsid w:val="0035620E"/>
    <w:rsid w:val="003612FD"/>
    <w:rsid w:val="00361358"/>
    <w:rsid w:val="003636D6"/>
    <w:rsid w:val="00363CC5"/>
    <w:rsid w:val="00364DB0"/>
    <w:rsid w:val="0036503C"/>
    <w:rsid w:val="003658DD"/>
    <w:rsid w:val="00365BEA"/>
    <w:rsid w:val="003668A3"/>
    <w:rsid w:val="003673C1"/>
    <w:rsid w:val="00370871"/>
    <w:rsid w:val="003734A9"/>
    <w:rsid w:val="00374B96"/>
    <w:rsid w:val="00375936"/>
    <w:rsid w:val="003768EA"/>
    <w:rsid w:val="00377024"/>
    <w:rsid w:val="0038365C"/>
    <w:rsid w:val="003849FB"/>
    <w:rsid w:val="003852DC"/>
    <w:rsid w:val="003853A2"/>
    <w:rsid w:val="003854F6"/>
    <w:rsid w:val="003874DE"/>
    <w:rsid w:val="00387F30"/>
    <w:rsid w:val="00391728"/>
    <w:rsid w:val="00392805"/>
    <w:rsid w:val="003962DB"/>
    <w:rsid w:val="00396953"/>
    <w:rsid w:val="00396FD0"/>
    <w:rsid w:val="003A0524"/>
    <w:rsid w:val="003A1A61"/>
    <w:rsid w:val="003A1A7A"/>
    <w:rsid w:val="003A21B7"/>
    <w:rsid w:val="003A2220"/>
    <w:rsid w:val="003A2E0C"/>
    <w:rsid w:val="003A3C3A"/>
    <w:rsid w:val="003A7BB7"/>
    <w:rsid w:val="003A7CD9"/>
    <w:rsid w:val="003B014B"/>
    <w:rsid w:val="003B0354"/>
    <w:rsid w:val="003B1EF2"/>
    <w:rsid w:val="003B2A3C"/>
    <w:rsid w:val="003B3B62"/>
    <w:rsid w:val="003B43A0"/>
    <w:rsid w:val="003B45E8"/>
    <w:rsid w:val="003B4E0F"/>
    <w:rsid w:val="003B569C"/>
    <w:rsid w:val="003B5889"/>
    <w:rsid w:val="003B7085"/>
    <w:rsid w:val="003B74F1"/>
    <w:rsid w:val="003B78BD"/>
    <w:rsid w:val="003B7F94"/>
    <w:rsid w:val="003C0FA5"/>
    <w:rsid w:val="003C2B72"/>
    <w:rsid w:val="003C408A"/>
    <w:rsid w:val="003C6603"/>
    <w:rsid w:val="003C6767"/>
    <w:rsid w:val="003C6E7F"/>
    <w:rsid w:val="003D0A55"/>
    <w:rsid w:val="003D0A72"/>
    <w:rsid w:val="003D1828"/>
    <w:rsid w:val="003D1B7F"/>
    <w:rsid w:val="003D2422"/>
    <w:rsid w:val="003D4016"/>
    <w:rsid w:val="003D7D92"/>
    <w:rsid w:val="003E06AF"/>
    <w:rsid w:val="003E4E4D"/>
    <w:rsid w:val="003E5A64"/>
    <w:rsid w:val="003E5D4A"/>
    <w:rsid w:val="003F1137"/>
    <w:rsid w:val="003F2054"/>
    <w:rsid w:val="003F3354"/>
    <w:rsid w:val="003F3DE1"/>
    <w:rsid w:val="003F4156"/>
    <w:rsid w:val="003F43CE"/>
    <w:rsid w:val="003F47AE"/>
    <w:rsid w:val="003F4B31"/>
    <w:rsid w:val="003F4CF7"/>
    <w:rsid w:val="003F546E"/>
    <w:rsid w:val="003F5710"/>
    <w:rsid w:val="003F5BE5"/>
    <w:rsid w:val="003F6672"/>
    <w:rsid w:val="003F733A"/>
    <w:rsid w:val="003F7821"/>
    <w:rsid w:val="003F7EBD"/>
    <w:rsid w:val="00402704"/>
    <w:rsid w:val="00402ED6"/>
    <w:rsid w:val="00405285"/>
    <w:rsid w:val="00405FB8"/>
    <w:rsid w:val="00405FB9"/>
    <w:rsid w:val="00407956"/>
    <w:rsid w:val="00407CC3"/>
    <w:rsid w:val="00410708"/>
    <w:rsid w:val="004107DB"/>
    <w:rsid w:val="00410EC7"/>
    <w:rsid w:val="00412C1B"/>
    <w:rsid w:val="00414476"/>
    <w:rsid w:val="0041458D"/>
    <w:rsid w:val="004155A1"/>
    <w:rsid w:val="00416C99"/>
    <w:rsid w:val="004175C5"/>
    <w:rsid w:val="00417766"/>
    <w:rsid w:val="0042048E"/>
    <w:rsid w:val="00420492"/>
    <w:rsid w:val="00420B9F"/>
    <w:rsid w:val="00420BC4"/>
    <w:rsid w:val="004220C7"/>
    <w:rsid w:val="004230BD"/>
    <w:rsid w:val="00423377"/>
    <w:rsid w:val="00423DE4"/>
    <w:rsid w:val="00424343"/>
    <w:rsid w:val="004248E9"/>
    <w:rsid w:val="00426139"/>
    <w:rsid w:val="004264C5"/>
    <w:rsid w:val="0042670E"/>
    <w:rsid w:val="00426BB5"/>
    <w:rsid w:val="00426D72"/>
    <w:rsid w:val="0042704B"/>
    <w:rsid w:val="0043093D"/>
    <w:rsid w:val="004319F8"/>
    <w:rsid w:val="00433044"/>
    <w:rsid w:val="004443A7"/>
    <w:rsid w:val="004445D7"/>
    <w:rsid w:val="0044551D"/>
    <w:rsid w:val="004464EB"/>
    <w:rsid w:val="00447508"/>
    <w:rsid w:val="00447834"/>
    <w:rsid w:val="00447919"/>
    <w:rsid w:val="004514F3"/>
    <w:rsid w:val="004516B7"/>
    <w:rsid w:val="0045277F"/>
    <w:rsid w:val="004528FB"/>
    <w:rsid w:val="00452FC8"/>
    <w:rsid w:val="0045338C"/>
    <w:rsid w:val="00453A2D"/>
    <w:rsid w:val="0045437D"/>
    <w:rsid w:val="004558BB"/>
    <w:rsid w:val="00455D45"/>
    <w:rsid w:val="0045694E"/>
    <w:rsid w:val="004614FF"/>
    <w:rsid w:val="004615B8"/>
    <w:rsid w:val="00461930"/>
    <w:rsid w:val="0046247B"/>
    <w:rsid w:val="00464595"/>
    <w:rsid w:val="00464929"/>
    <w:rsid w:val="0046718E"/>
    <w:rsid w:val="00470899"/>
    <w:rsid w:val="00471115"/>
    <w:rsid w:val="00472909"/>
    <w:rsid w:val="00472923"/>
    <w:rsid w:val="0047660C"/>
    <w:rsid w:val="00480FB1"/>
    <w:rsid w:val="00481A25"/>
    <w:rsid w:val="00482522"/>
    <w:rsid w:val="004846EE"/>
    <w:rsid w:val="004867E2"/>
    <w:rsid w:val="00486EFD"/>
    <w:rsid w:val="00490B43"/>
    <w:rsid w:val="0049162F"/>
    <w:rsid w:val="00491B3A"/>
    <w:rsid w:val="00492CFD"/>
    <w:rsid w:val="00494FAD"/>
    <w:rsid w:val="004962D2"/>
    <w:rsid w:val="004A0645"/>
    <w:rsid w:val="004A0DA1"/>
    <w:rsid w:val="004A159F"/>
    <w:rsid w:val="004A1F4B"/>
    <w:rsid w:val="004A2514"/>
    <w:rsid w:val="004A29F9"/>
    <w:rsid w:val="004A3B98"/>
    <w:rsid w:val="004A4C85"/>
    <w:rsid w:val="004A5F65"/>
    <w:rsid w:val="004A6554"/>
    <w:rsid w:val="004A6597"/>
    <w:rsid w:val="004A6CA8"/>
    <w:rsid w:val="004A6E56"/>
    <w:rsid w:val="004B036A"/>
    <w:rsid w:val="004B0BED"/>
    <w:rsid w:val="004B1CB4"/>
    <w:rsid w:val="004B1E22"/>
    <w:rsid w:val="004B2BB6"/>
    <w:rsid w:val="004B2F18"/>
    <w:rsid w:val="004B3454"/>
    <w:rsid w:val="004B3B48"/>
    <w:rsid w:val="004B3DDB"/>
    <w:rsid w:val="004B44FD"/>
    <w:rsid w:val="004B4F41"/>
    <w:rsid w:val="004B5094"/>
    <w:rsid w:val="004B5CFC"/>
    <w:rsid w:val="004B5E76"/>
    <w:rsid w:val="004B65FB"/>
    <w:rsid w:val="004B78F7"/>
    <w:rsid w:val="004C021D"/>
    <w:rsid w:val="004C0C04"/>
    <w:rsid w:val="004C34EB"/>
    <w:rsid w:val="004C4A94"/>
    <w:rsid w:val="004C4AED"/>
    <w:rsid w:val="004C63CB"/>
    <w:rsid w:val="004D06A5"/>
    <w:rsid w:val="004D22B1"/>
    <w:rsid w:val="004D2EB9"/>
    <w:rsid w:val="004D4212"/>
    <w:rsid w:val="004D7972"/>
    <w:rsid w:val="004E0EB8"/>
    <w:rsid w:val="004E2ADC"/>
    <w:rsid w:val="004E41EA"/>
    <w:rsid w:val="004E43B2"/>
    <w:rsid w:val="004E476A"/>
    <w:rsid w:val="004E481A"/>
    <w:rsid w:val="004E50C1"/>
    <w:rsid w:val="004F0E3D"/>
    <w:rsid w:val="004F0E7C"/>
    <w:rsid w:val="004F1747"/>
    <w:rsid w:val="004F1A2B"/>
    <w:rsid w:val="004F1A95"/>
    <w:rsid w:val="004F1D02"/>
    <w:rsid w:val="004F2679"/>
    <w:rsid w:val="004F402B"/>
    <w:rsid w:val="004F6954"/>
    <w:rsid w:val="004F72B4"/>
    <w:rsid w:val="004F7865"/>
    <w:rsid w:val="004F7BEA"/>
    <w:rsid w:val="00503206"/>
    <w:rsid w:val="005036FD"/>
    <w:rsid w:val="00503A4F"/>
    <w:rsid w:val="0050448C"/>
    <w:rsid w:val="00504515"/>
    <w:rsid w:val="00504629"/>
    <w:rsid w:val="00504A06"/>
    <w:rsid w:val="005062FE"/>
    <w:rsid w:val="00506928"/>
    <w:rsid w:val="00506AB0"/>
    <w:rsid w:val="005126DB"/>
    <w:rsid w:val="00512EBA"/>
    <w:rsid w:val="00513264"/>
    <w:rsid w:val="00513598"/>
    <w:rsid w:val="005152B5"/>
    <w:rsid w:val="005204FE"/>
    <w:rsid w:val="005208D6"/>
    <w:rsid w:val="00520B07"/>
    <w:rsid w:val="00521319"/>
    <w:rsid w:val="00521714"/>
    <w:rsid w:val="005219AD"/>
    <w:rsid w:val="005221B3"/>
    <w:rsid w:val="00522D97"/>
    <w:rsid w:val="00523C28"/>
    <w:rsid w:val="00524A28"/>
    <w:rsid w:val="00526D70"/>
    <w:rsid w:val="005273C2"/>
    <w:rsid w:val="0053070D"/>
    <w:rsid w:val="00530AC5"/>
    <w:rsid w:val="00530C36"/>
    <w:rsid w:val="0053124E"/>
    <w:rsid w:val="0053128A"/>
    <w:rsid w:val="005316B5"/>
    <w:rsid w:val="005328EF"/>
    <w:rsid w:val="00532BDF"/>
    <w:rsid w:val="005335D5"/>
    <w:rsid w:val="00535090"/>
    <w:rsid w:val="00537985"/>
    <w:rsid w:val="00541B56"/>
    <w:rsid w:val="00547E17"/>
    <w:rsid w:val="0055023D"/>
    <w:rsid w:val="00550FEC"/>
    <w:rsid w:val="00552BD3"/>
    <w:rsid w:val="00555109"/>
    <w:rsid w:val="00555B49"/>
    <w:rsid w:val="005563D0"/>
    <w:rsid w:val="00556C9C"/>
    <w:rsid w:val="00561E92"/>
    <w:rsid w:val="00562218"/>
    <w:rsid w:val="005648EC"/>
    <w:rsid w:val="005651AE"/>
    <w:rsid w:val="00566834"/>
    <w:rsid w:val="0056696F"/>
    <w:rsid w:val="00567127"/>
    <w:rsid w:val="00570B03"/>
    <w:rsid w:val="00572C28"/>
    <w:rsid w:val="00572D83"/>
    <w:rsid w:val="00574C78"/>
    <w:rsid w:val="005752E6"/>
    <w:rsid w:val="005753A2"/>
    <w:rsid w:val="005758D6"/>
    <w:rsid w:val="00575D8D"/>
    <w:rsid w:val="00576972"/>
    <w:rsid w:val="00576C81"/>
    <w:rsid w:val="00577186"/>
    <w:rsid w:val="005773AF"/>
    <w:rsid w:val="005773D2"/>
    <w:rsid w:val="00580C3D"/>
    <w:rsid w:val="005834D3"/>
    <w:rsid w:val="00583699"/>
    <w:rsid w:val="00585A62"/>
    <w:rsid w:val="00590177"/>
    <w:rsid w:val="0059038C"/>
    <w:rsid w:val="00590C2D"/>
    <w:rsid w:val="005916EF"/>
    <w:rsid w:val="005918F8"/>
    <w:rsid w:val="00591A40"/>
    <w:rsid w:val="00592E87"/>
    <w:rsid w:val="00595553"/>
    <w:rsid w:val="0059627D"/>
    <w:rsid w:val="00596C51"/>
    <w:rsid w:val="005A0C0C"/>
    <w:rsid w:val="005A0E30"/>
    <w:rsid w:val="005A1CF3"/>
    <w:rsid w:val="005A1E3E"/>
    <w:rsid w:val="005A6BC6"/>
    <w:rsid w:val="005B35B3"/>
    <w:rsid w:val="005B3F22"/>
    <w:rsid w:val="005B48F1"/>
    <w:rsid w:val="005B513D"/>
    <w:rsid w:val="005B5857"/>
    <w:rsid w:val="005B675B"/>
    <w:rsid w:val="005B75D1"/>
    <w:rsid w:val="005C0F50"/>
    <w:rsid w:val="005C1B83"/>
    <w:rsid w:val="005C346B"/>
    <w:rsid w:val="005C37DB"/>
    <w:rsid w:val="005C47EF"/>
    <w:rsid w:val="005C705F"/>
    <w:rsid w:val="005D044D"/>
    <w:rsid w:val="005D07DE"/>
    <w:rsid w:val="005D18AD"/>
    <w:rsid w:val="005D226D"/>
    <w:rsid w:val="005D29C1"/>
    <w:rsid w:val="005D300D"/>
    <w:rsid w:val="005D3658"/>
    <w:rsid w:val="005D4477"/>
    <w:rsid w:val="005D6733"/>
    <w:rsid w:val="005D71AC"/>
    <w:rsid w:val="005D72A4"/>
    <w:rsid w:val="005D7461"/>
    <w:rsid w:val="005D7C2E"/>
    <w:rsid w:val="005E0D40"/>
    <w:rsid w:val="005E16F8"/>
    <w:rsid w:val="005E4EC2"/>
    <w:rsid w:val="005E5125"/>
    <w:rsid w:val="005E6604"/>
    <w:rsid w:val="005E73C0"/>
    <w:rsid w:val="005F14B4"/>
    <w:rsid w:val="005F1B43"/>
    <w:rsid w:val="005F2599"/>
    <w:rsid w:val="005F2706"/>
    <w:rsid w:val="005F39D9"/>
    <w:rsid w:val="005F4F7B"/>
    <w:rsid w:val="005F5B14"/>
    <w:rsid w:val="005F6434"/>
    <w:rsid w:val="005F6A8F"/>
    <w:rsid w:val="005F7D4D"/>
    <w:rsid w:val="0060149C"/>
    <w:rsid w:val="00601B3B"/>
    <w:rsid w:val="00602521"/>
    <w:rsid w:val="00602E7B"/>
    <w:rsid w:val="006048B3"/>
    <w:rsid w:val="00604934"/>
    <w:rsid w:val="0060568F"/>
    <w:rsid w:val="00605BA4"/>
    <w:rsid w:val="00605BAE"/>
    <w:rsid w:val="00606E43"/>
    <w:rsid w:val="00607669"/>
    <w:rsid w:val="00607CCD"/>
    <w:rsid w:val="00610692"/>
    <w:rsid w:val="00610A74"/>
    <w:rsid w:val="00610C15"/>
    <w:rsid w:val="00612A38"/>
    <w:rsid w:val="00612F97"/>
    <w:rsid w:val="006132FC"/>
    <w:rsid w:val="006137C0"/>
    <w:rsid w:val="00613E73"/>
    <w:rsid w:val="00616802"/>
    <w:rsid w:val="00617E12"/>
    <w:rsid w:val="0062087B"/>
    <w:rsid w:val="00620DA5"/>
    <w:rsid w:val="00621477"/>
    <w:rsid w:val="00622116"/>
    <w:rsid w:val="006237D2"/>
    <w:rsid w:val="00623913"/>
    <w:rsid w:val="0062468C"/>
    <w:rsid w:val="00624882"/>
    <w:rsid w:val="00626A39"/>
    <w:rsid w:val="006316B0"/>
    <w:rsid w:val="00631911"/>
    <w:rsid w:val="00631D6B"/>
    <w:rsid w:val="0063295A"/>
    <w:rsid w:val="00632F5B"/>
    <w:rsid w:val="00633F94"/>
    <w:rsid w:val="0063416F"/>
    <w:rsid w:val="0063479F"/>
    <w:rsid w:val="006364A1"/>
    <w:rsid w:val="0063710F"/>
    <w:rsid w:val="0063760A"/>
    <w:rsid w:val="00637A5B"/>
    <w:rsid w:val="00637BFD"/>
    <w:rsid w:val="006410C9"/>
    <w:rsid w:val="006450CB"/>
    <w:rsid w:val="0064627B"/>
    <w:rsid w:val="0064693D"/>
    <w:rsid w:val="006471CC"/>
    <w:rsid w:val="006473D7"/>
    <w:rsid w:val="006502EB"/>
    <w:rsid w:val="00650389"/>
    <w:rsid w:val="0065079F"/>
    <w:rsid w:val="00652771"/>
    <w:rsid w:val="006546F4"/>
    <w:rsid w:val="0065543E"/>
    <w:rsid w:val="0065798C"/>
    <w:rsid w:val="00657B15"/>
    <w:rsid w:val="006603B0"/>
    <w:rsid w:val="00660F9D"/>
    <w:rsid w:val="006627BC"/>
    <w:rsid w:val="00662D31"/>
    <w:rsid w:val="0066303C"/>
    <w:rsid w:val="006636A5"/>
    <w:rsid w:val="00663DDB"/>
    <w:rsid w:val="00665DA1"/>
    <w:rsid w:val="00666868"/>
    <w:rsid w:val="00672331"/>
    <w:rsid w:val="00672E1B"/>
    <w:rsid w:val="00674D69"/>
    <w:rsid w:val="00674E42"/>
    <w:rsid w:val="00676AFD"/>
    <w:rsid w:val="006772E6"/>
    <w:rsid w:val="00682112"/>
    <w:rsid w:val="00682980"/>
    <w:rsid w:val="00682E23"/>
    <w:rsid w:val="006839F9"/>
    <w:rsid w:val="00684273"/>
    <w:rsid w:val="0068486A"/>
    <w:rsid w:val="0068618A"/>
    <w:rsid w:val="00687229"/>
    <w:rsid w:val="006872BA"/>
    <w:rsid w:val="00687BF2"/>
    <w:rsid w:val="006917D7"/>
    <w:rsid w:val="006917DF"/>
    <w:rsid w:val="00691DCB"/>
    <w:rsid w:val="00694608"/>
    <w:rsid w:val="00694F44"/>
    <w:rsid w:val="00695285"/>
    <w:rsid w:val="006960EB"/>
    <w:rsid w:val="0069613C"/>
    <w:rsid w:val="00696863"/>
    <w:rsid w:val="006975B2"/>
    <w:rsid w:val="00697936"/>
    <w:rsid w:val="00697FE3"/>
    <w:rsid w:val="006A00BC"/>
    <w:rsid w:val="006A0274"/>
    <w:rsid w:val="006A2C27"/>
    <w:rsid w:val="006A3A8E"/>
    <w:rsid w:val="006A5032"/>
    <w:rsid w:val="006B1039"/>
    <w:rsid w:val="006B1ADE"/>
    <w:rsid w:val="006B413A"/>
    <w:rsid w:val="006B4FC2"/>
    <w:rsid w:val="006B5165"/>
    <w:rsid w:val="006B5F54"/>
    <w:rsid w:val="006C0709"/>
    <w:rsid w:val="006C2A8E"/>
    <w:rsid w:val="006C330A"/>
    <w:rsid w:val="006C3922"/>
    <w:rsid w:val="006C71D8"/>
    <w:rsid w:val="006C7737"/>
    <w:rsid w:val="006D0E17"/>
    <w:rsid w:val="006D16E7"/>
    <w:rsid w:val="006D1F67"/>
    <w:rsid w:val="006D3240"/>
    <w:rsid w:val="006D3620"/>
    <w:rsid w:val="006D3C7D"/>
    <w:rsid w:val="006D5D5F"/>
    <w:rsid w:val="006D5EA8"/>
    <w:rsid w:val="006D62B4"/>
    <w:rsid w:val="006D6669"/>
    <w:rsid w:val="006D7129"/>
    <w:rsid w:val="006D76BB"/>
    <w:rsid w:val="006D7A14"/>
    <w:rsid w:val="006E024A"/>
    <w:rsid w:val="006E4184"/>
    <w:rsid w:val="006E4534"/>
    <w:rsid w:val="006E6D4B"/>
    <w:rsid w:val="006E6D96"/>
    <w:rsid w:val="006E7AC7"/>
    <w:rsid w:val="006F0109"/>
    <w:rsid w:val="006F07F0"/>
    <w:rsid w:val="006F1D76"/>
    <w:rsid w:val="006F21A0"/>
    <w:rsid w:val="006F2D79"/>
    <w:rsid w:val="006F3D0A"/>
    <w:rsid w:val="006F4152"/>
    <w:rsid w:val="006F63A5"/>
    <w:rsid w:val="006F763E"/>
    <w:rsid w:val="006F7641"/>
    <w:rsid w:val="00700E7D"/>
    <w:rsid w:val="00700FAD"/>
    <w:rsid w:val="0070149C"/>
    <w:rsid w:val="0070276E"/>
    <w:rsid w:val="00702F8F"/>
    <w:rsid w:val="0070541D"/>
    <w:rsid w:val="0070554A"/>
    <w:rsid w:val="00705746"/>
    <w:rsid w:val="007066F8"/>
    <w:rsid w:val="007069D3"/>
    <w:rsid w:val="007076EF"/>
    <w:rsid w:val="00707E5B"/>
    <w:rsid w:val="00710C31"/>
    <w:rsid w:val="007114E5"/>
    <w:rsid w:val="00711A36"/>
    <w:rsid w:val="00712EFA"/>
    <w:rsid w:val="007136A9"/>
    <w:rsid w:val="00713BA4"/>
    <w:rsid w:val="007143B7"/>
    <w:rsid w:val="0071697D"/>
    <w:rsid w:val="00716BCA"/>
    <w:rsid w:val="007172AD"/>
    <w:rsid w:val="00720A9D"/>
    <w:rsid w:val="007211CD"/>
    <w:rsid w:val="007214CC"/>
    <w:rsid w:val="00723944"/>
    <w:rsid w:val="0072416F"/>
    <w:rsid w:val="007242C1"/>
    <w:rsid w:val="00724A06"/>
    <w:rsid w:val="007270F2"/>
    <w:rsid w:val="0072728C"/>
    <w:rsid w:val="00727371"/>
    <w:rsid w:val="0072753C"/>
    <w:rsid w:val="0072797E"/>
    <w:rsid w:val="00727CAB"/>
    <w:rsid w:val="0073033F"/>
    <w:rsid w:val="00731BB4"/>
    <w:rsid w:val="00731CF2"/>
    <w:rsid w:val="00732930"/>
    <w:rsid w:val="00735328"/>
    <w:rsid w:val="0073685B"/>
    <w:rsid w:val="007401E2"/>
    <w:rsid w:val="007409BF"/>
    <w:rsid w:val="00740DC9"/>
    <w:rsid w:val="0074226F"/>
    <w:rsid w:val="00742E18"/>
    <w:rsid w:val="007435E0"/>
    <w:rsid w:val="0074398F"/>
    <w:rsid w:val="00743DDA"/>
    <w:rsid w:val="007476D7"/>
    <w:rsid w:val="00747823"/>
    <w:rsid w:val="00752ADF"/>
    <w:rsid w:val="007545AF"/>
    <w:rsid w:val="00754ECB"/>
    <w:rsid w:val="00755172"/>
    <w:rsid w:val="00755C39"/>
    <w:rsid w:val="00757B18"/>
    <w:rsid w:val="00760EA5"/>
    <w:rsid w:val="00766F93"/>
    <w:rsid w:val="00766F9B"/>
    <w:rsid w:val="007670AF"/>
    <w:rsid w:val="00770119"/>
    <w:rsid w:val="00770458"/>
    <w:rsid w:val="007707A7"/>
    <w:rsid w:val="007716F7"/>
    <w:rsid w:val="00772F65"/>
    <w:rsid w:val="00773429"/>
    <w:rsid w:val="007747E7"/>
    <w:rsid w:val="00774D0E"/>
    <w:rsid w:val="00774FE5"/>
    <w:rsid w:val="00775542"/>
    <w:rsid w:val="007764A9"/>
    <w:rsid w:val="00777139"/>
    <w:rsid w:val="00777C20"/>
    <w:rsid w:val="00782DB7"/>
    <w:rsid w:val="00782EB6"/>
    <w:rsid w:val="00782F36"/>
    <w:rsid w:val="0078402A"/>
    <w:rsid w:val="0078477E"/>
    <w:rsid w:val="00784F78"/>
    <w:rsid w:val="0078749F"/>
    <w:rsid w:val="00790214"/>
    <w:rsid w:val="0079140D"/>
    <w:rsid w:val="00791AB1"/>
    <w:rsid w:val="00792532"/>
    <w:rsid w:val="00792ED2"/>
    <w:rsid w:val="00793FD9"/>
    <w:rsid w:val="007944F8"/>
    <w:rsid w:val="007958A8"/>
    <w:rsid w:val="007A0A12"/>
    <w:rsid w:val="007A10C5"/>
    <w:rsid w:val="007A4584"/>
    <w:rsid w:val="007A7E67"/>
    <w:rsid w:val="007B045E"/>
    <w:rsid w:val="007B0C9A"/>
    <w:rsid w:val="007B1968"/>
    <w:rsid w:val="007B251D"/>
    <w:rsid w:val="007B3A63"/>
    <w:rsid w:val="007B4AD0"/>
    <w:rsid w:val="007B672E"/>
    <w:rsid w:val="007B6B7B"/>
    <w:rsid w:val="007B6BA8"/>
    <w:rsid w:val="007B77D1"/>
    <w:rsid w:val="007C243D"/>
    <w:rsid w:val="007C24DC"/>
    <w:rsid w:val="007C361D"/>
    <w:rsid w:val="007C36B6"/>
    <w:rsid w:val="007C38F0"/>
    <w:rsid w:val="007C5808"/>
    <w:rsid w:val="007C5AB6"/>
    <w:rsid w:val="007C6791"/>
    <w:rsid w:val="007C6AB8"/>
    <w:rsid w:val="007C6CAF"/>
    <w:rsid w:val="007D0684"/>
    <w:rsid w:val="007D0B38"/>
    <w:rsid w:val="007D1CBC"/>
    <w:rsid w:val="007D27E8"/>
    <w:rsid w:val="007D435C"/>
    <w:rsid w:val="007D448D"/>
    <w:rsid w:val="007D50A7"/>
    <w:rsid w:val="007D650A"/>
    <w:rsid w:val="007E00FC"/>
    <w:rsid w:val="007E15B9"/>
    <w:rsid w:val="007E174D"/>
    <w:rsid w:val="007E4885"/>
    <w:rsid w:val="007E6D10"/>
    <w:rsid w:val="007F0BF0"/>
    <w:rsid w:val="007F1017"/>
    <w:rsid w:val="007F10D3"/>
    <w:rsid w:val="007F30A6"/>
    <w:rsid w:val="007F3B88"/>
    <w:rsid w:val="007F4A3F"/>
    <w:rsid w:val="007F57EA"/>
    <w:rsid w:val="007F5CC6"/>
    <w:rsid w:val="007F5F5D"/>
    <w:rsid w:val="007F61EE"/>
    <w:rsid w:val="00801E4F"/>
    <w:rsid w:val="008033B9"/>
    <w:rsid w:val="00803D7E"/>
    <w:rsid w:val="00803DD1"/>
    <w:rsid w:val="00805142"/>
    <w:rsid w:val="008054CD"/>
    <w:rsid w:val="00805913"/>
    <w:rsid w:val="00805BBC"/>
    <w:rsid w:val="00805BED"/>
    <w:rsid w:val="00807A8B"/>
    <w:rsid w:val="00807A98"/>
    <w:rsid w:val="00811B66"/>
    <w:rsid w:val="00812149"/>
    <w:rsid w:val="00815027"/>
    <w:rsid w:val="00816096"/>
    <w:rsid w:val="008166EF"/>
    <w:rsid w:val="0081696C"/>
    <w:rsid w:val="00820856"/>
    <w:rsid w:val="0082086C"/>
    <w:rsid w:val="00824694"/>
    <w:rsid w:val="008264EB"/>
    <w:rsid w:val="00826C22"/>
    <w:rsid w:val="0082740F"/>
    <w:rsid w:val="00830B34"/>
    <w:rsid w:val="00831A59"/>
    <w:rsid w:val="00831BAF"/>
    <w:rsid w:val="00832D80"/>
    <w:rsid w:val="00833009"/>
    <w:rsid w:val="00833B05"/>
    <w:rsid w:val="00833EFB"/>
    <w:rsid w:val="00834745"/>
    <w:rsid w:val="00834ED6"/>
    <w:rsid w:val="0083538B"/>
    <w:rsid w:val="008357D0"/>
    <w:rsid w:val="00835CD7"/>
    <w:rsid w:val="00837A2F"/>
    <w:rsid w:val="00840C73"/>
    <w:rsid w:val="00840CA2"/>
    <w:rsid w:val="00841A6B"/>
    <w:rsid w:val="00842AEE"/>
    <w:rsid w:val="00842F06"/>
    <w:rsid w:val="008440E9"/>
    <w:rsid w:val="00846438"/>
    <w:rsid w:val="008532FA"/>
    <w:rsid w:val="00853601"/>
    <w:rsid w:val="00853E97"/>
    <w:rsid w:val="00854954"/>
    <w:rsid w:val="008552CC"/>
    <w:rsid w:val="0085538F"/>
    <w:rsid w:val="00855E10"/>
    <w:rsid w:val="008564C9"/>
    <w:rsid w:val="00856E9A"/>
    <w:rsid w:val="0086036E"/>
    <w:rsid w:val="00861329"/>
    <w:rsid w:val="00861D0E"/>
    <w:rsid w:val="00862502"/>
    <w:rsid w:val="00863270"/>
    <w:rsid w:val="0086373F"/>
    <w:rsid w:val="00864F16"/>
    <w:rsid w:val="00866950"/>
    <w:rsid w:val="00866A8C"/>
    <w:rsid w:val="008670E3"/>
    <w:rsid w:val="008702C0"/>
    <w:rsid w:val="008714C6"/>
    <w:rsid w:val="008730E1"/>
    <w:rsid w:val="0087402B"/>
    <w:rsid w:val="00876C10"/>
    <w:rsid w:val="00882358"/>
    <w:rsid w:val="00882874"/>
    <w:rsid w:val="00883787"/>
    <w:rsid w:val="0088434A"/>
    <w:rsid w:val="00886720"/>
    <w:rsid w:val="00887301"/>
    <w:rsid w:val="008875BD"/>
    <w:rsid w:val="00887825"/>
    <w:rsid w:val="008900A4"/>
    <w:rsid w:val="00892180"/>
    <w:rsid w:val="00894489"/>
    <w:rsid w:val="00894F17"/>
    <w:rsid w:val="008963A5"/>
    <w:rsid w:val="00897B8B"/>
    <w:rsid w:val="008A1C72"/>
    <w:rsid w:val="008A3C3E"/>
    <w:rsid w:val="008A3D90"/>
    <w:rsid w:val="008A483A"/>
    <w:rsid w:val="008A4B9A"/>
    <w:rsid w:val="008A6079"/>
    <w:rsid w:val="008A6BD1"/>
    <w:rsid w:val="008A762B"/>
    <w:rsid w:val="008A79DE"/>
    <w:rsid w:val="008B18F2"/>
    <w:rsid w:val="008B3316"/>
    <w:rsid w:val="008B3897"/>
    <w:rsid w:val="008B4240"/>
    <w:rsid w:val="008B5112"/>
    <w:rsid w:val="008B63C5"/>
    <w:rsid w:val="008B7D7E"/>
    <w:rsid w:val="008C1F10"/>
    <w:rsid w:val="008C2A84"/>
    <w:rsid w:val="008C3416"/>
    <w:rsid w:val="008C5B82"/>
    <w:rsid w:val="008C6410"/>
    <w:rsid w:val="008C6F84"/>
    <w:rsid w:val="008C7492"/>
    <w:rsid w:val="008C7ECB"/>
    <w:rsid w:val="008D1790"/>
    <w:rsid w:val="008D3365"/>
    <w:rsid w:val="008D523B"/>
    <w:rsid w:val="008D61E7"/>
    <w:rsid w:val="008D7DC9"/>
    <w:rsid w:val="008E0FB6"/>
    <w:rsid w:val="008E1394"/>
    <w:rsid w:val="008E1B9E"/>
    <w:rsid w:val="008E3819"/>
    <w:rsid w:val="008E6DEB"/>
    <w:rsid w:val="008E76EB"/>
    <w:rsid w:val="008F0E8B"/>
    <w:rsid w:val="008F120A"/>
    <w:rsid w:val="008F3A86"/>
    <w:rsid w:val="008F3BAB"/>
    <w:rsid w:val="008F48EB"/>
    <w:rsid w:val="008F4F0B"/>
    <w:rsid w:val="008F5B7D"/>
    <w:rsid w:val="008F6EBE"/>
    <w:rsid w:val="008F73F8"/>
    <w:rsid w:val="009009BC"/>
    <w:rsid w:val="009009ED"/>
    <w:rsid w:val="00900C6A"/>
    <w:rsid w:val="00900EDE"/>
    <w:rsid w:val="00904815"/>
    <w:rsid w:val="0090498A"/>
    <w:rsid w:val="009062A5"/>
    <w:rsid w:val="009079A5"/>
    <w:rsid w:val="00910A3B"/>
    <w:rsid w:val="00911272"/>
    <w:rsid w:val="00911D8F"/>
    <w:rsid w:val="0091434D"/>
    <w:rsid w:val="009157E6"/>
    <w:rsid w:val="00915F13"/>
    <w:rsid w:val="00916BFE"/>
    <w:rsid w:val="0091739F"/>
    <w:rsid w:val="00921721"/>
    <w:rsid w:val="00922990"/>
    <w:rsid w:val="00923A4D"/>
    <w:rsid w:val="00925EC7"/>
    <w:rsid w:val="00926AE9"/>
    <w:rsid w:val="00927341"/>
    <w:rsid w:val="00927B47"/>
    <w:rsid w:val="00927D0D"/>
    <w:rsid w:val="0093021A"/>
    <w:rsid w:val="00930C3D"/>
    <w:rsid w:val="00930D1E"/>
    <w:rsid w:val="00930EC2"/>
    <w:rsid w:val="00931123"/>
    <w:rsid w:val="00933393"/>
    <w:rsid w:val="00934EEA"/>
    <w:rsid w:val="00935BB4"/>
    <w:rsid w:val="00935CC7"/>
    <w:rsid w:val="0093759D"/>
    <w:rsid w:val="009375DB"/>
    <w:rsid w:val="00940060"/>
    <w:rsid w:val="00940907"/>
    <w:rsid w:val="00941E63"/>
    <w:rsid w:val="00942BC9"/>
    <w:rsid w:val="009437F6"/>
    <w:rsid w:val="00944068"/>
    <w:rsid w:val="0094516A"/>
    <w:rsid w:val="0094640E"/>
    <w:rsid w:val="00947F40"/>
    <w:rsid w:val="009509A2"/>
    <w:rsid w:val="00950CE0"/>
    <w:rsid w:val="00950FD8"/>
    <w:rsid w:val="00952A5F"/>
    <w:rsid w:val="0095381A"/>
    <w:rsid w:val="009541AE"/>
    <w:rsid w:val="0095563C"/>
    <w:rsid w:val="00957FF3"/>
    <w:rsid w:val="00960068"/>
    <w:rsid w:val="00960B4F"/>
    <w:rsid w:val="0096183A"/>
    <w:rsid w:val="00961A07"/>
    <w:rsid w:val="00961C26"/>
    <w:rsid w:val="00962590"/>
    <w:rsid w:val="00962CB9"/>
    <w:rsid w:val="0096334E"/>
    <w:rsid w:val="00964312"/>
    <w:rsid w:val="00964342"/>
    <w:rsid w:val="00964381"/>
    <w:rsid w:val="009643A2"/>
    <w:rsid w:val="00965475"/>
    <w:rsid w:val="0096651D"/>
    <w:rsid w:val="0096724B"/>
    <w:rsid w:val="00970392"/>
    <w:rsid w:val="009703D0"/>
    <w:rsid w:val="00976D9E"/>
    <w:rsid w:val="009777F9"/>
    <w:rsid w:val="00981FC9"/>
    <w:rsid w:val="00982443"/>
    <w:rsid w:val="00982733"/>
    <w:rsid w:val="009831E9"/>
    <w:rsid w:val="00983E57"/>
    <w:rsid w:val="00983E72"/>
    <w:rsid w:val="00984815"/>
    <w:rsid w:val="00986113"/>
    <w:rsid w:val="0098654E"/>
    <w:rsid w:val="009905E4"/>
    <w:rsid w:val="009908E1"/>
    <w:rsid w:val="00991039"/>
    <w:rsid w:val="009940C7"/>
    <w:rsid w:val="00995347"/>
    <w:rsid w:val="00996323"/>
    <w:rsid w:val="00996B1A"/>
    <w:rsid w:val="009A06D4"/>
    <w:rsid w:val="009A0A64"/>
    <w:rsid w:val="009A103E"/>
    <w:rsid w:val="009A15FC"/>
    <w:rsid w:val="009A2754"/>
    <w:rsid w:val="009A2A9A"/>
    <w:rsid w:val="009A3BBD"/>
    <w:rsid w:val="009A3E4D"/>
    <w:rsid w:val="009A64ED"/>
    <w:rsid w:val="009B0578"/>
    <w:rsid w:val="009B1CC5"/>
    <w:rsid w:val="009B2424"/>
    <w:rsid w:val="009B34D0"/>
    <w:rsid w:val="009B350F"/>
    <w:rsid w:val="009B3AA0"/>
    <w:rsid w:val="009B3E26"/>
    <w:rsid w:val="009B532B"/>
    <w:rsid w:val="009C102C"/>
    <w:rsid w:val="009C19C2"/>
    <w:rsid w:val="009C222A"/>
    <w:rsid w:val="009C381D"/>
    <w:rsid w:val="009C4D31"/>
    <w:rsid w:val="009C6B14"/>
    <w:rsid w:val="009C7AC8"/>
    <w:rsid w:val="009D06A9"/>
    <w:rsid w:val="009D27AD"/>
    <w:rsid w:val="009D3282"/>
    <w:rsid w:val="009D3889"/>
    <w:rsid w:val="009D5191"/>
    <w:rsid w:val="009D53C5"/>
    <w:rsid w:val="009D5B91"/>
    <w:rsid w:val="009D5BD6"/>
    <w:rsid w:val="009E4AB2"/>
    <w:rsid w:val="009E4C07"/>
    <w:rsid w:val="009E720B"/>
    <w:rsid w:val="009F01B4"/>
    <w:rsid w:val="009F1919"/>
    <w:rsid w:val="00A00933"/>
    <w:rsid w:val="00A01100"/>
    <w:rsid w:val="00A01110"/>
    <w:rsid w:val="00A0296D"/>
    <w:rsid w:val="00A02E43"/>
    <w:rsid w:val="00A0342A"/>
    <w:rsid w:val="00A03D43"/>
    <w:rsid w:val="00A04380"/>
    <w:rsid w:val="00A06164"/>
    <w:rsid w:val="00A07018"/>
    <w:rsid w:val="00A10CA3"/>
    <w:rsid w:val="00A12562"/>
    <w:rsid w:val="00A13620"/>
    <w:rsid w:val="00A13948"/>
    <w:rsid w:val="00A158C5"/>
    <w:rsid w:val="00A16BEC"/>
    <w:rsid w:val="00A17AD2"/>
    <w:rsid w:val="00A20112"/>
    <w:rsid w:val="00A202BE"/>
    <w:rsid w:val="00A210F5"/>
    <w:rsid w:val="00A232E3"/>
    <w:rsid w:val="00A24C94"/>
    <w:rsid w:val="00A24CDA"/>
    <w:rsid w:val="00A26F07"/>
    <w:rsid w:val="00A27868"/>
    <w:rsid w:val="00A27911"/>
    <w:rsid w:val="00A27AEC"/>
    <w:rsid w:val="00A27B3C"/>
    <w:rsid w:val="00A30100"/>
    <w:rsid w:val="00A334C2"/>
    <w:rsid w:val="00A33EB1"/>
    <w:rsid w:val="00A359F1"/>
    <w:rsid w:val="00A35D16"/>
    <w:rsid w:val="00A37BC5"/>
    <w:rsid w:val="00A406D4"/>
    <w:rsid w:val="00A41B7B"/>
    <w:rsid w:val="00A41CC8"/>
    <w:rsid w:val="00A424B6"/>
    <w:rsid w:val="00A43C59"/>
    <w:rsid w:val="00A444A9"/>
    <w:rsid w:val="00A44C85"/>
    <w:rsid w:val="00A4589C"/>
    <w:rsid w:val="00A46684"/>
    <w:rsid w:val="00A50ECD"/>
    <w:rsid w:val="00A5100E"/>
    <w:rsid w:val="00A518D1"/>
    <w:rsid w:val="00A51F80"/>
    <w:rsid w:val="00A52729"/>
    <w:rsid w:val="00A52A58"/>
    <w:rsid w:val="00A53443"/>
    <w:rsid w:val="00A53675"/>
    <w:rsid w:val="00A546A1"/>
    <w:rsid w:val="00A54F29"/>
    <w:rsid w:val="00A555C4"/>
    <w:rsid w:val="00A5699B"/>
    <w:rsid w:val="00A56B6A"/>
    <w:rsid w:val="00A57625"/>
    <w:rsid w:val="00A578DC"/>
    <w:rsid w:val="00A63426"/>
    <w:rsid w:val="00A65496"/>
    <w:rsid w:val="00A65A35"/>
    <w:rsid w:val="00A6725B"/>
    <w:rsid w:val="00A6792F"/>
    <w:rsid w:val="00A67FC6"/>
    <w:rsid w:val="00A70FEB"/>
    <w:rsid w:val="00A7237C"/>
    <w:rsid w:val="00A72875"/>
    <w:rsid w:val="00A72D30"/>
    <w:rsid w:val="00A73032"/>
    <w:rsid w:val="00A76263"/>
    <w:rsid w:val="00A7765E"/>
    <w:rsid w:val="00A7798B"/>
    <w:rsid w:val="00A77EDF"/>
    <w:rsid w:val="00A83F61"/>
    <w:rsid w:val="00A84E17"/>
    <w:rsid w:val="00A86882"/>
    <w:rsid w:val="00A86E8B"/>
    <w:rsid w:val="00A90408"/>
    <w:rsid w:val="00A90854"/>
    <w:rsid w:val="00A9251F"/>
    <w:rsid w:val="00A93072"/>
    <w:rsid w:val="00A959D8"/>
    <w:rsid w:val="00A95B85"/>
    <w:rsid w:val="00AA0578"/>
    <w:rsid w:val="00AA121E"/>
    <w:rsid w:val="00AA122B"/>
    <w:rsid w:val="00AA1C7D"/>
    <w:rsid w:val="00AA342C"/>
    <w:rsid w:val="00AA4467"/>
    <w:rsid w:val="00AA44A6"/>
    <w:rsid w:val="00AA54CF"/>
    <w:rsid w:val="00AA5B9E"/>
    <w:rsid w:val="00AA6137"/>
    <w:rsid w:val="00AA6CA8"/>
    <w:rsid w:val="00AB042A"/>
    <w:rsid w:val="00AB056E"/>
    <w:rsid w:val="00AB06FA"/>
    <w:rsid w:val="00AB0968"/>
    <w:rsid w:val="00AB2D34"/>
    <w:rsid w:val="00AB3430"/>
    <w:rsid w:val="00AB5737"/>
    <w:rsid w:val="00AB787A"/>
    <w:rsid w:val="00AB7CFA"/>
    <w:rsid w:val="00AC0737"/>
    <w:rsid w:val="00AC163C"/>
    <w:rsid w:val="00AC3B09"/>
    <w:rsid w:val="00AC68D1"/>
    <w:rsid w:val="00AC69DE"/>
    <w:rsid w:val="00AC7481"/>
    <w:rsid w:val="00AD2DC8"/>
    <w:rsid w:val="00AD5D28"/>
    <w:rsid w:val="00AD6796"/>
    <w:rsid w:val="00AD79F0"/>
    <w:rsid w:val="00AD7BB8"/>
    <w:rsid w:val="00AE14B0"/>
    <w:rsid w:val="00AE1653"/>
    <w:rsid w:val="00AE22DA"/>
    <w:rsid w:val="00AE25B9"/>
    <w:rsid w:val="00AE27B2"/>
    <w:rsid w:val="00AE32F5"/>
    <w:rsid w:val="00AE439F"/>
    <w:rsid w:val="00AE4DE1"/>
    <w:rsid w:val="00AE55CD"/>
    <w:rsid w:val="00AF13F5"/>
    <w:rsid w:val="00AF1AA0"/>
    <w:rsid w:val="00AF2415"/>
    <w:rsid w:val="00AF37B0"/>
    <w:rsid w:val="00AF42C2"/>
    <w:rsid w:val="00AF4DB1"/>
    <w:rsid w:val="00AF69DF"/>
    <w:rsid w:val="00AF72DA"/>
    <w:rsid w:val="00AF731E"/>
    <w:rsid w:val="00AF7C66"/>
    <w:rsid w:val="00B0074D"/>
    <w:rsid w:val="00B0245F"/>
    <w:rsid w:val="00B03D6F"/>
    <w:rsid w:val="00B03F60"/>
    <w:rsid w:val="00B04D0C"/>
    <w:rsid w:val="00B119AC"/>
    <w:rsid w:val="00B12979"/>
    <w:rsid w:val="00B13AC6"/>
    <w:rsid w:val="00B151EF"/>
    <w:rsid w:val="00B1548D"/>
    <w:rsid w:val="00B15955"/>
    <w:rsid w:val="00B15B58"/>
    <w:rsid w:val="00B1624F"/>
    <w:rsid w:val="00B229D0"/>
    <w:rsid w:val="00B23135"/>
    <w:rsid w:val="00B23C2C"/>
    <w:rsid w:val="00B2719C"/>
    <w:rsid w:val="00B317D6"/>
    <w:rsid w:val="00B320DC"/>
    <w:rsid w:val="00B3252F"/>
    <w:rsid w:val="00B343BF"/>
    <w:rsid w:val="00B35B7B"/>
    <w:rsid w:val="00B3602C"/>
    <w:rsid w:val="00B3752D"/>
    <w:rsid w:val="00B37F25"/>
    <w:rsid w:val="00B40A44"/>
    <w:rsid w:val="00B40C9B"/>
    <w:rsid w:val="00B41676"/>
    <w:rsid w:val="00B417A1"/>
    <w:rsid w:val="00B41D45"/>
    <w:rsid w:val="00B4218C"/>
    <w:rsid w:val="00B42298"/>
    <w:rsid w:val="00B42851"/>
    <w:rsid w:val="00B43636"/>
    <w:rsid w:val="00B442D6"/>
    <w:rsid w:val="00B4510A"/>
    <w:rsid w:val="00B45B71"/>
    <w:rsid w:val="00B45D35"/>
    <w:rsid w:val="00B4669B"/>
    <w:rsid w:val="00B46E80"/>
    <w:rsid w:val="00B50DB8"/>
    <w:rsid w:val="00B51F3F"/>
    <w:rsid w:val="00B52528"/>
    <w:rsid w:val="00B53905"/>
    <w:rsid w:val="00B539E4"/>
    <w:rsid w:val="00B53AA6"/>
    <w:rsid w:val="00B546DC"/>
    <w:rsid w:val="00B54A74"/>
    <w:rsid w:val="00B54B5B"/>
    <w:rsid w:val="00B5523B"/>
    <w:rsid w:val="00B5562E"/>
    <w:rsid w:val="00B57000"/>
    <w:rsid w:val="00B60939"/>
    <w:rsid w:val="00B60AFD"/>
    <w:rsid w:val="00B60CFB"/>
    <w:rsid w:val="00B61C62"/>
    <w:rsid w:val="00B62715"/>
    <w:rsid w:val="00B63A4D"/>
    <w:rsid w:val="00B63BD1"/>
    <w:rsid w:val="00B63F8C"/>
    <w:rsid w:val="00B66C46"/>
    <w:rsid w:val="00B673C1"/>
    <w:rsid w:val="00B67CB2"/>
    <w:rsid w:val="00B7189B"/>
    <w:rsid w:val="00B7239D"/>
    <w:rsid w:val="00B7280E"/>
    <w:rsid w:val="00B73036"/>
    <w:rsid w:val="00B73410"/>
    <w:rsid w:val="00B74AA5"/>
    <w:rsid w:val="00B74C42"/>
    <w:rsid w:val="00B768BB"/>
    <w:rsid w:val="00B77894"/>
    <w:rsid w:val="00B779E8"/>
    <w:rsid w:val="00B8018E"/>
    <w:rsid w:val="00B8099B"/>
    <w:rsid w:val="00B818A4"/>
    <w:rsid w:val="00B8615C"/>
    <w:rsid w:val="00B8649C"/>
    <w:rsid w:val="00B86A18"/>
    <w:rsid w:val="00B86D97"/>
    <w:rsid w:val="00B86D9D"/>
    <w:rsid w:val="00B870F5"/>
    <w:rsid w:val="00B90FBC"/>
    <w:rsid w:val="00B919C4"/>
    <w:rsid w:val="00B92B2A"/>
    <w:rsid w:val="00B92BD0"/>
    <w:rsid w:val="00B92D0B"/>
    <w:rsid w:val="00B94945"/>
    <w:rsid w:val="00B96E5B"/>
    <w:rsid w:val="00B96EE0"/>
    <w:rsid w:val="00BA23C4"/>
    <w:rsid w:val="00BA2417"/>
    <w:rsid w:val="00BA4F74"/>
    <w:rsid w:val="00BA55B3"/>
    <w:rsid w:val="00BB0263"/>
    <w:rsid w:val="00BB2672"/>
    <w:rsid w:val="00BB305D"/>
    <w:rsid w:val="00BB703D"/>
    <w:rsid w:val="00BB7405"/>
    <w:rsid w:val="00BB7E37"/>
    <w:rsid w:val="00BC0324"/>
    <w:rsid w:val="00BC1FB2"/>
    <w:rsid w:val="00BC20AD"/>
    <w:rsid w:val="00BC67B0"/>
    <w:rsid w:val="00BD0403"/>
    <w:rsid w:val="00BD1085"/>
    <w:rsid w:val="00BD1250"/>
    <w:rsid w:val="00BD17E4"/>
    <w:rsid w:val="00BD2422"/>
    <w:rsid w:val="00BD417C"/>
    <w:rsid w:val="00BD4D51"/>
    <w:rsid w:val="00BD5832"/>
    <w:rsid w:val="00BD6CF3"/>
    <w:rsid w:val="00BE1292"/>
    <w:rsid w:val="00BE211F"/>
    <w:rsid w:val="00BE2180"/>
    <w:rsid w:val="00BE2EBD"/>
    <w:rsid w:val="00BE3282"/>
    <w:rsid w:val="00BE3665"/>
    <w:rsid w:val="00BE3E98"/>
    <w:rsid w:val="00BE4275"/>
    <w:rsid w:val="00BE50EE"/>
    <w:rsid w:val="00BE6835"/>
    <w:rsid w:val="00BF04C9"/>
    <w:rsid w:val="00BF0D47"/>
    <w:rsid w:val="00BF2433"/>
    <w:rsid w:val="00BF4535"/>
    <w:rsid w:val="00BF47DA"/>
    <w:rsid w:val="00BF61C9"/>
    <w:rsid w:val="00BF6C17"/>
    <w:rsid w:val="00C00260"/>
    <w:rsid w:val="00C0308E"/>
    <w:rsid w:val="00C03CA8"/>
    <w:rsid w:val="00C0476E"/>
    <w:rsid w:val="00C063DB"/>
    <w:rsid w:val="00C06EA6"/>
    <w:rsid w:val="00C103C9"/>
    <w:rsid w:val="00C10B0E"/>
    <w:rsid w:val="00C126BE"/>
    <w:rsid w:val="00C12F5F"/>
    <w:rsid w:val="00C14873"/>
    <w:rsid w:val="00C14FB7"/>
    <w:rsid w:val="00C15580"/>
    <w:rsid w:val="00C16102"/>
    <w:rsid w:val="00C177F8"/>
    <w:rsid w:val="00C17D70"/>
    <w:rsid w:val="00C17FBD"/>
    <w:rsid w:val="00C215F0"/>
    <w:rsid w:val="00C2245E"/>
    <w:rsid w:val="00C242D1"/>
    <w:rsid w:val="00C24788"/>
    <w:rsid w:val="00C25418"/>
    <w:rsid w:val="00C25D9C"/>
    <w:rsid w:val="00C26357"/>
    <w:rsid w:val="00C26576"/>
    <w:rsid w:val="00C300DC"/>
    <w:rsid w:val="00C31649"/>
    <w:rsid w:val="00C34223"/>
    <w:rsid w:val="00C34688"/>
    <w:rsid w:val="00C34C0B"/>
    <w:rsid w:val="00C35CE7"/>
    <w:rsid w:val="00C36174"/>
    <w:rsid w:val="00C3622B"/>
    <w:rsid w:val="00C40385"/>
    <w:rsid w:val="00C406BD"/>
    <w:rsid w:val="00C412F5"/>
    <w:rsid w:val="00C41F5A"/>
    <w:rsid w:val="00C42326"/>
    <w:rsid w:val="00C4401D"/>
    <w:rsid w:val="00C44145"/>
    <w:rsid w:val="00C45673"/>
    <w:rsid w:val="00C46F03"/>
    <w:rsid w:val="00C53997"/>
    <w:rsid w:val="00C54855"/>
    <w:rsid w:val="00C5596E"/>
    <w:rsid w:val="00C5781F"/>
    <w:rsid w:val="00C602DF"/>
    <w:rsid w:val="00C60FD6"/>
    <w:rsid w:val="00C6292C"/>
    <w:rsid w:val="00C62A24"/>
    <w:rsid w:val="00C65576"/>
    <w:rsid w:val="00C65F98"/>
    <w:rsid w:val="00C66165"/>
    <w:rsid w:val="00C678B3"/>
    <w:rsid w:val="00C706A8"/>
    <w:rsid w:val="00C709E1"/>
    <w:rsid w:val="00C70AAE"/>
    <w:rsid w:val="00C71534"/>
    <w:rsid w:val="00C71FCE"/>
    <w:rsid w:val="00C7238E"/>
    <w:rsid w:val="00C72C08"/>
    <w:rsid w:val="00C73A00"/>
    <w:rsid w:val="00C750C8"/>
    <w:rsid w:val="00C7669D"/>
    <w:rsid w:val="00C768A3"/>
    <w:rsid w:val="00C770DF"/>
    <w:rsid w:val="00C77515"/>
    <w:rsid w:val="00C803CD"/>
    <w:rsid w:val="00C806F4"/>
    <w:rsid w:val="00C81882"/>
    <w:rsid w:val="00C8213F"/>
    <w:rsid w:val="00C82435"/>
    <w:rsid w:val="00C8519E"/>
    <w:rsid w:val="00C85E37"/>
    <w:rsid w:val="00C872A9"/>
    <w:rsid w:val="00C87434"/>
    <w:rsid w:val="00C8797A"/>
    <w:rsid w:val="00C90342"/>
    <w:rsid w:val="00C9266A"/>
    <w:rsid w:val="00C92CF5"/>
    <w:rsid w:val="00C938CF"/>
    <w:rsid w:val="00C93955"/>
    <w:rsid w:val="00C95AAF"/>
    <w:rsid w:val="00C95D73"/>
    <w:rsid w:val="00C95D7C"/>
    <w:rsid w:val="00C97A8D"/>
    <w:rsid w:val="00CA4390"/>
    <w:rsid w:val="00CA44C3"/>
    <w:rsid w:val="00CA46A0"/>
    <w:rsid w:val="00CA50A6"/>
    <w:rsid w:val="00CA5245"/>
    <w:rsid w:val="00CA7B09"/>
    <w:rsid w:val="00CB205F"/>
    <w:rsid w:val="00CB3583"/>
    <w:rsid w:val="00CB5B1A"/>
    <w:rsid w:val="00CB5B1B"/>
    <w:rsid w:val="00CB7384"/>
    <w:rsid w:val="00CB78A5"/>
    <w:rsid w:val="00CC0EBC"/>
    <w:rsid w:val="00CC1B6C"/>
    <w:rsid w:val="00CC28B5"/>
    <w:rsid w:val="00CC2C3B"/>
    <w:rsid w:val="00CC5300"/>
    <w:rsid w:val="00CC5468"/>
    <w:rsid w:val="00CC73FE"/>
    <w:rsid w:val="00CC793D"/>
    <w:rsid w:val="00CC7CEA"/>
    <w:rsid w:val="00CD15E3"/>
    <w:rsid w:val="00CD19E1"/>
    <w:rsid w:val="00CD1EFD"/>
    <w:rsid w:val="00CD1F25"/>
    <w:rsid w:val="00CD405B"/>
    <w:rsid w:val="00CD5DB7"/>
    <w:rsid w:val="00CD5E74"/>
    <w:rsid w:val="00CD6ADC"/>
    <w:rsid w:val="00CD7E80"/>
    <w:rsid w:val="00CE064A"/>
    <w:rsid w:val="00CE1A6C"/>
    <w:rsid w:val="00CE5DE3"/>
    <w:rsid w:val="00CE6274"/>
    <w:rsid w:val="00CE7D45"/>
    <w:rsid w:val="00CF1B43"/>
    <w:rsid w:val="00CF2D84"/>
    <w:rsid w:val="00CF37E5"/>
    <w:rsid w:val="00CF4129"/>
    <w:rsid w:val="00CF430A"/>
    <w:rsid w:val="00CF456B"/>
    <w:rsid w:val="00CF50A4"/>
    <w:rsid w:val="00CF5A22"/>
    <w:rsid w:val="00D00FD9"/>
    <w:rsid w:val="00D01D66"/>
    <w:rsid w:val="00D0262E"/>
    <w:rsid w:val="00D0269D"/>
    <w:rsid w:val="00D030B5"/>
    <w:rsid w:val="00D035A2"/>
    <w:rsid w:val="00D04B45"/>
    <w:rsid w:val="00D04E70"/>
    <w:rsid w:val="00D07849"/>
    <w:rsid w:val="00D110BD"/>
    <w:rsid w:val="00D11301"/>
    <w:rsid w:val="00D1134D"/>
    <w:rsid w:val="00D1255B"/>
    <w:rsid w:val="00D131D8"/>
    <w:rsid w:val="00D13C5A"/>
    <w:rsid w:val="00D14238"/>
    <w:rsid w:val="00D14882"/>
    <w:rsid w:val="00D153CA"/>
    <w:rsid w:val="00D15CC7"/>
    <w:rsid w:val="00D1769E"/>
    <w:rsid w:val="00D17D6C"/>
    <w:rsid w:val="00D21189"/>
    <w:rsid w:val="00D214DF"/>
    <w:rsid w:val="00D23735"/>
    <w:rsid w:val="00D24143"/>
    <w:rsid w:val="00D24544"/>
    <w:rsid w:val="00D24683"/>
    <w:rsid w:val="00D248AD"/>
    <w:rsid w:val="00D25745"/>
    <w:rsid w:val="00D3014A"/>
    <w:rsid w:val="00D31683"/>
    <w:rsid w:val="00D3197A"/>
    <w:rsid w:val="00D3218A"/>
    <w:rsid w:val="00D32531"/>
    <w:rsid w:val="00D3262E"/>
    <w:rsid w:val="00D3393B"/>
    <w:rsid w:val="00D343B3"/>
    <w:rsid w:val="00D353A1"/>
    <w:rsid w:val="00D353ED"/>
    <w:rsid w:val="00D35560"/>
    <w:rsid w:val="00D357FF"/>
    <w:rsid w:val="00D35B7B"/>
    <w:rsid w:val="00D36CB4"/>
    <w:rsid w:val="00D40919"/>
    <w:rsid w:val="00D4136C"/>
    <w:rsid w:val="00D42777"/>
    <w:rsid w:val="00D44972"/>
    <w:rsid w:val="00D46AFF"/>
    <w:rsid w:val="00D50370"/>
    <w:rsid w:val="00D5050B"/>
    <w:rsid w:val="00D51F17"/>
    <w:rsid w:val="00D52A41"/>
    <w:rsid w:val="00D5332F"/>
    <w:rsid w:val="00D569C3"/>
    <w:rsid w:val="00D605C4"/>
    <w:rsid w:val="00D610EE"/>
    <w:rsid w:val="00D61373"/>
    <w:rsid w:val="00D63214"/>
    <w:rsid w:val="00D64998"/>
    <w:rsid w:val="00D6558D"/>
    <w:rsid w:val="00D65D99"/>
    <w:rsid w:val="00D65FCF"/>
    <w:rsid w:val="00D707D4"/>
    <w:rsid w:val="00D7158C"/>
    <w:rsid w:val="00D7190C"/>
    <w:rsid w:val="00D720AA"/>
    <w:rsid w:val="00D722DD"/>
    <w:rsid w:val="00D730FF"/>
    <w:rsid w:val="00D73550"/>
    <w:rsid w:val="00D76A44"/>
    <w:rsid w:val="00D76E55"/>
    <w:rsid w:val="00D7772D"/>
    <w:rsid w:val="00D80905"/>
    <w:rsid w:val="00D80946"/>
    <w:rsid w:val="00D80F9E"/>
    <w:rsid w:val="00D81195"/>
    <w:rsid w:val="00D81BF0"/>
    <w:rsid w:val="00D81C90"/>
    <w:rsid w:val="00D82497"/>
    <w:rsid w:val="00D82A64"/>
    <w:rsid w:val="00D83DEB"/>
    <w:rsid w:val="00D84353"/>
    <w:rsid w:val="00D85639"/>
    <w:rsid w:val="00D860D9"/>
    <w:rsid w:val="00D86DB3"/>
    <w:rsid w:val="00D8749E"/>
    <w:rsid w:val="00D9022A"/>
    <w:rsid w:val="00D9127A"/>
    <w:rsid w:val="00D91EF5"/>
    <w:rsid w:val="00D923D3"/>
    <w:rsid w:val="00D93753"/>
    <w:rsid w:val="00D93817"/>
    <w:rsid w:val="00D93F51"/>
    <w:rsid w:val="00D942D0"/>
    <w:rsid w:val="00D94332"/>
    <w:rsid w:val="00D96D33"/>
    <w:rsid w:val="00D96FB8"/>
    <w:rsid w:val="00DA0898"/>
    <w:rsid w:val="00DA1939"/>
    <w:rsid w:val="00DA2359"/>
    <w:rsid w:val="00DA2556"/>
    <w:rsid w:val="00DA26ED"/>
    <w:rsid w:val="00DA323B"/>
    <w:rsid w:val="00DA6368"/>
    <w:rsid w:val="00DA7682"/>
    <w:rsid w:val="00DA77A5"/>
    <w:rsid w:val="00DB0879"/>
    <w:rsid w:val="00DB3CCB"/>
    <w:rsid w:val="00DB4123"/>
    <w:rsid w:val="00DB5031"/>
    <w:rsid w:val="00DB5ED1"/>
    <w:rsid w:val="00DB69A7"/>
    <w:rsid w:val="00DB70AA"/>
    <w:rsid w:val="00DC1EA4"/>
    <w:rsid w:val="00DC253A"/>
    <w:rsid w:val="00DC29D0"/>
    <w:rsid w:val="00DC381C"/>
    <w:rsid w:val="00DC3A2E"/>
    <w:rsid w:val="00DC3BD0"/>
    <w:rsid w:val="00DC5501"/>
    <w:rsid w:val="00DC645A"/>
    <w:rsid w:val="00DC7DD8"/>
    <w:rsid w:val="00DD0757"/>
    <w:rsid w:val="00DD08E1"/>
    <w:rsid w:val="00DD1946"/>
    <w:rsid w:val="00DD22AF"/>
    <w:rsid w:val="00DD3F28"/>
    <w:rsid w:val="00DD4537"/>
    <w:rsid w:val="00DD45EF"/>
    <w:rsid w:val="00DD4E15"/>
    <w:rsid w:val="00DD4EF9"/>
    <w:rsid w:val="00DD5BBC"/>
    <w:rsid w:val="00DD5CDD"/>
    <w:rsid w:val="00DE1DE1"/>
    <w:rsid w:val="00DE36F8"/>
    <w:rsid w:val="00DE3D22"/>
    <w:rsid w:val="00DE4FCB"/>
    <w:rsid w:val="00DE57E3"/>
    <w:rsid w:val="00DE5AB7"/>
    <w:rsid w:val="00DE6D9F"/>
    <w:rsid w:val="00DF2B0C"/>
    <w:rsid w:val="00DF3FCD"/>
    <w:rsid w:val="00DF5D2B"/>
    <w:rsid w:val="00DF6898"/>
    <w:rsid w:val="00DF6EED"/>
    <w:rsid w:val="00DF764A"/>
    <w:rsid w:val="00E00A42"/>
    <w:rsid w:val="00E00BFA"/>
    <w:rsid w:val="00E0301A"/>
    <w:rsid w:val="00E038DC"/>
    <w:rsid w:val="00E04366"/>
    <w:rsid w:val="00E04D31"/>
    <w:rsid w:val="00E050A5"/>
    <w:rsid w:val="00E0620D"/>
    <w:rsid w:val="00E066D6"/>
    <w:rsid w:val="00E07C8D"/>
    <w:rsid w:val="00E07CC0"/>
    <w:rsid w:val="00E07CFE"/>
    <w:rsid w:val="00E10149"/>
    <w:rsid w:val="00E10A02"/>
    <w:rsid w:val="00E12914"/>
    <w:rsid w:val="00E13743"/>
    <w:rsid w:val="00E1479E"/>
    <w:rsid w:val="00E16372"/>
    <w:rsid w:val="00E167FE"/>
    <w:rsid w:val="00E1785F"/>
    <w:rsid w:val="00E20ED6"/>
    <w:rsid w:val="00E21358"/>
    <w:rsid w:val="00E21686"/>
    <w:rsid w:val="00E21846"/>
    <w:rsid w:val="00E22256"/>
    <w:rsid w:val="00E2249B"/>
    <w:rsid w:val="00E22A0D"/>
    <w:rsid w:val="00E26139"/>
    <w:rsid w:val="00E2624A"/>
    <w:rsid w:val="00E2771E"/>
    <w:rsid w:val="00E3101E"/>
    <w:rsid w:val="00E31E4B"/>
    <w:rsid w:val="00E320C7"/>
    <w:rsid w:val="00E32AA9"/>
    <w:rsid w:val="00E34D4A"/>
    <w:rsid w:val="00E363A4"/>
    <w:rsid w:val="00E366F8"/>
    <w:rsid w:val="00E36BA3"/>
    <w:rsid w:val="00E36CBC"/>
    <w:rsid w:val="00E37569"/>
    <w:rsid w:val="00E37875"/>
    <w:rsid w:val="00E40F80"/>
    <w:rsid w:val="00E410F7"/>
    <w:rsid w:val="00E41E30"/>
    <w:rsid w:val="00E42E7F"/>
    <w:rsid w:val="00E4387B"/>
    <w:rsid w:val="00E43D70"/>
    <w:rsid w:val="00E44D8F"/>
    <w:rsid w:val="00E46335"/>
    <w:rsid w:val="00E470C1"/>
    <w:rsid w:val="00E4722E"/>
    <w:rsid w:val="00E47B2C"/>
    <w:rsid w:val="00E47C69"/>
    <w:rsid w:val="00E5118A"/>
    <w:rsid w:val="00E5152E"/>
    <w:rsid w:val="00E51560"/>
    <w:rsid w:val="00E51719"/>
    <w:rsid w:val="00E51856"/>
    <w:rsid w:val="00E52D79"/>
    <w:rsid w:val="00E531FE"/>
    <w:rsid w:val="00E53B60"/>
    <w:rsid w:val="00E5497A"/>
    <w:rsid w:val="00E54D7A"/>
    <w:rsid w:val="00E5506F"/>
    <w:rsid w:val="00E55424"/>
    <w:rsid w:val="00E55BB5"/>
    <w:rsid w:val="00E576A2"/>
    <w:rsid w:val="00E57D1E"/>
    <w:rsid w:val="00E6053A"/>
    <w:rsid w:val="00E60C3D"/>
    <w:rsid w:val="00E616DA"/>
    <w:rsid w:val="00E63A9E"/>
    <w:rsid w:val="00E647E4"/>
    <w:rsid w:val="00E64984"/>
    <w:rsid w:val="00E65E79"/>
    <w:rsid w:val="00E6609E"/>
    <w:rsid w:val="00E67416"/>
    <w:rsid w:val="00E67CB6"/>
    <w:rsid w:val="00E701F2"/>
    <w:rsid w:val="00E70598"/>
    <w:rsid w:val="00E710CE"/>
    <w:rsid w:val="00E715C6"/>
    <w:rsid w:val="00E718B6"/>
    <w:rsid w:val="00E720E3"/>
    <w:rsid w:val="00E73581"/>
    <w:rsid w:val="00E73959"/>
    <w:rsid w:val="00E73C94"/>
    <w:rsid w:val="00E74C92"/>
    <w:rsid w:val="00E76A2D"/>
    <w:rsid w:val="00E77EF2"/>
    <w:rsid w:val="00E77FF8"/>
    <w:rsid w:val="00E81C05"/>
    <w:rsid w:val="00E8253F"/>
    <w:rsid w:val="00E82F1E"/>
    <w:rsid w:val="00E83199"/>
    <w:rsid w:val="00E83865"/>
    <w:rsid w:val="00E83BDF"/>
    <w:rsid w:val="00E849D4"/>
    <w:rsid w:val="00E87AB0"/>
    <w:rsid w:val="00E9003F"/>
    <w:rsid w:val="00E900FE"/>
    <w:rsid w:val="00E91BF7"/>
    <w:rsid w:val="00E91F0E"/>
    <w:rsid w:val="00E936C0"/>
    <w:rsid w:val="00E94852"/>
    <w:rsid w:val="00E9515B"/>
    <w:rsid w:val="00E9769A"/>
    <w:rsid w:val="00EA1FA0"/>
    <w:rsid w:val="00EA2587"/>
    <w:rsid w:val="00EA289A"/>
    <w:rsid w:val="00EA3864"/>
    <w:rsid w:val="00EA4778"/>
    <w:rsid w:val="00EA6D21"/>
    <w:rsid w:val="00EB002B"/>
    <w:rsid w:val="00EB15B6"/>
    <w:rsid w:val="00EB1925"/>
    <w:rsid w:val="00EB3796"/>
    <w:rsid w:val="00EB4916"/>
    <w:rsid w:val="00EB4983"/>
    <w:rsid w:val="00EB4B82"/>
    <w:rsid w:val="00EB544D"/>
    <w:rsid w:val="00EB5FEF"/>
    <w:rsid w:val="00EB62EE"/>
    <w:rsid w:val="00EB7200"/>
    <w:rsid w:val="00EB7298"/>
    <w:rsid w:val="00EB7595"/>
    <w:rsid w:val="00EC00C9"/>
    <w:rsid w:val="00EC18E3"/>
    <w:rsid w:val="00EC2095"/>
    <w:rsid w:val="00EC4778"/>
    <w:rsid w:val="00EC7976"/>
    <w:rsid w:val="00EC7A0F"/>
    <w:rsid w:val="00EC7B86"/>
    <w:rsid w:val="00ED00A5"/>
    <w:rsid w:val="00ED1754"/>
    <w:rsid w:val="00ED313C"/>
    <w:rsid w:val="00ED3310"/>
    <w:rsid w:val="00ED536E"/>
    <w:rsid w:val="00EE0600"/>
    <w:rsid w:val="00EE07D3"/>
    <w:rsid w:val="00EE1040"/>
    <w:rsid w:val="00EE2A68"/>
    <w:rsid w:val="00EE2C24"/>
    <w:rsid w:val="00EE3CD8"/>
    <w:rsid w:val="00EE3E94"/>
    <w:rsid w:val="00EE4550"/>
    <w:rsid w:val="00EE45AF"/>
    <w:rsid w:val="00EE4E22"/>
    <w:rsid w:val="00EE5ECB"/>
    <w:rsid w:val="00EE7B9B"/>
    <w:rsid w:val="00EE7F8D"/>
    <w:rsid w:val="00EF015F"/>
    <w:rsid w:val="00EF3BFC"/>
    <w:rsid w:val="00EF5D8B"/>
    <w:rsid w:val="00EF7A56"/>
    <w:rsid w:val="00F0181A"/>
    <w:rsid w:val="00F01FBE"/>
    <w:rsid w:val="00F02DC6"/>
    <w:rsid w:val="00F030FD"/>
    <w:rsid w:val="00F0386D"/>
    <w:rsid w:val="00F04A4A"/>
    <w:rsid w:val="00F04D5C"/>
    <w:rsid w:val="00F053FB"/>
    <w:rsid w:val="00F067A2"/>
    <w:rsid w:val="00F07E9E"/>
    <w:rsid w:val="00F1228F"/>
    <w:rsid w:val="00F13757"/>
    <w:rsid w:val="00F17204"/>
    <w:rsid w:val="00F20698"/>
    <w:rsid w:val="00F222B4"/>
    <w:rsid w:val="00F23D31"/>
    <w:rsid w:val="00F23E82"/>
    <w:rsid w:val="00F24837"/>
    <w:rsid w:val="00F253E9"/>
    <w:rsid w:val="00F2575F"/>
    <w:rsid w:val="00F2596C"/>
    <w:rsid w:val="00F26CA9"/>
    <w:rsid w:val="00F27FA5"/>
    <w:rsid w:val="00F27FEA"/>
    <w:rsid w:val="00F31ED8"/>
    <w:rsid w:val="00F33DE9"/>
    <w:rsid w:val="00F33E0E"/>
    <w:rsid w:val="00F3602F"/>
    <w:rsid w:val="00F3619A"/>
    <w:rsid w:val="00F37D60"/>
    <w:rsid w:val="00F40A27"/>
    <w:rsid w:val="00F42170"/>
    <w:rsid w:val="00F42519"/>
    <w:rsid w:val="00F441EA"/>
    <w:rsid w:val="00F4481C"/>
    <w:rsid w:val="00F44D5F"/>
    <w:rsid w:val="00F453CF"/>
    <w:rsid w:val="00F4633D"/>
    <w:rsid w:val="00F468A1"/>
    <w:rsid w:val="00F46CB6"/>
    <w:rsid w:val="00F47100"/>
    <w:rsid w:val="00F5006B"/>
    <w:rsid w:val="00F5283D"/>
    <w:rsid w:val="00F5333B"/>
    <w:rsid w:val="00F535B2"/>
    <w:rsid w:val="00F53A9B"/>
    <w:rsid w:val="00F53AC3"/>
    <w:rsid w:val="00F53E34"/>
    <w:rsid w:val="00F54FEB"/>
    <w:rsid w:val="00F55E73"/>
    <w:rsid w:val="00F56023"/>
    <w:rsid w:val="00F563E3"/>
    <w:rsid w:val="00F573AF"/>
    <w:rsid w:val="00F57E20"/>
    <w:rsid w:val="00F60092"/>
    <w:rsid w:val="00F60566"/>
    <w:rsid w:val="00F60C3C"/>
    <w:rsid w:val="00F62AE7"/>
    <w:rsid w:val="00F62FC0"/>
    <w:rsid w:val="00F632A8"/>
    <w:rsid w:val="00F632CE"/>
    <w:rsid w:val="00F63892"/>
    <w:rsid w:val="00F63A7E"/>
    <w:rsid w:val="00F64B03"/>
    <w:rsid w:val="00F66B4F"/>
    <w:rsid w:val="00F66CED"/>
    <w:rsid w:val="00F670D0"/>
    <w:rsid w:val="00F67741"/>
    <w:rsid w:val="00F70ED4"/>
    <w:rsid w:val="00F721B0"/>
    <w:rsid w:val="00F75FC8"/>
    <w:rsid w:val="00F80E5D"/>
    <w:rsid w:val="00F817BB"/>
    <w:rsid w:val="00F81E66"/>
    <w:rsid w:val="00F83C2F"/>
    <w:rsid w:val="00F83D12"/>
    <w:rsid w:val="00F841CA"/>
    <w:rsid w:val="00F8448E"/>
    <w:rsid w:val="00F851CE"/>
    <w:rsid w:val="00F90F6B"/>
    <w:rsid w:val="00F913F1"/>
    <w:rsid w:val="00F9181B"/>
    <w:rsid w:val="00F93092"/>
    <w:rsid w:val="00F9510A"/>
    <w:rsid w:val="00F95376"/>
    <w:rsid w:val="00F957CC"/>
    <w:rsid w:val="00F96A1D"/>
    <w:rsid w:val="00F96F3E"/>
    <w:rsid w:val="00F97A78"/>
    <w:rsid w:val="00FA0A91"/>
    <w:rsid w:val="00FA0B71"/>
    <w:rsid w:val="00FA178A"/>
    <w:rsid w:val="00FA22B0"/>
    <w:rsid w:val="00FA24E7"/>
    <w:rsid w:val="00FA351E"/>
    <w:rsid w:val="00FA4844"/>
    <w:rsid w:val="00FA5D5C"/>
    <w:rsid w:val="00FA5F9E"/>
    <w:rsid w:val="00FA603E"/>
    <w:rsid w:val="00FA61C5"/>
    <w:rsid w:val="00FA6CCF"/>
    <w:rsid w:val="00FA6DB0"/>
    <w:rsid w:val="00FB16F3"/>
    <w:rsid w:val="00FB1C9B"/>
    <w:rsid w:val="00FB1CDD"/>
    <w:rsid w:val="00FB2FCB"/>
    <w:rsid w:val="00FB3EB4"/>
    <w:rsid w:val="00FB536B"/>
    <w:rsid w:val="00FB787D"/>
    <w:rsid w:val="00FC032C"/>
    <w:rsid w:val="00FC1074"/>
    <w:rsid w:val="00FC123D"/>
    <w:rsid w:val="00FC1884"/>
    <w:rsid w:val="00FC207C"/>
    <w:rsid w:val="00FC43EF"/>
    <w:rsid w:val="00FC65F0"/>
    <w:rsid w:val="00FC68AF"/>
    <w:rsid w:val="00FC70F6"/>
    <w:rsid w:val="00FD2100"/>
    <w:rsid w:val="00FD2E05"/>
    <w:rsid w:val="00FD4207"/>
    <w:rsid w:val="00FD446D"/>
    <w:rsid w:val="00FD4930"/>
    <w:rsid w:val="00FD4B1C"/>
    <w:rsid w:val="00FD4DC2"/>
    <w:rsid w:val="00FE0179"/>
    <w:rsid w:val="00FE0B86"/>
    <w:rsid w:val="00FE1481"/>
    <w:rsid w:val="00FE3A50"/>
    <w:rsid w:val="00FE3FAD"/>
    <w:rsid w:val="00FE406C"/>
    <w:rsid w:val="00FE48FD"/>
    <w:rsid w:val="00FE4D89"/>
    <w:rsid w:val="00FE609E"/>
    <w:rsid w:val="00FE7339"/>
    <w:rsid w:val="00FE7BFC"/>
    <w:rsid w:val="00FF0358"/>
    <w:rsid w:val="00FF14AA"/>
    <w:rsid w:val="00FF3651"/>
    <w:rsid w:val="00FF3DCF"/>
    <w:rsid w:val="00FF44D0"/>
    <w:rsid w:val="00FF49A4"/>
    <w:rsid w:val="00FF5AA3"/>
    <w:rsid w:val="00FF63AF"/>
    <w:rsid w:val="00FF69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605C4"/>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A12562"/>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
    <w:basedOn w:val="Normal"/>
    <w:next w:val="Normal"/>
    <w:link w:val="CaptionChar"/>
    <w:unhideWhenUsed/>
    <w:qFormat/>
    <w:rsid w:val="00117F38"/>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Table caption Char,Caption 3 Char,c Char,appendix Char"/>
    <w:link w:val="Caption"/>
    <w:rsid w:val="00117F38"/>
    <w:rPr>
      <w:rFonts w:ascii="Arial Narrow" w:hAnsi="Arial Narrow" w:cs="Arial"/>
      <w:b/>
      <w:bCs/>
      <w:snapToGrid w:val="0"/>
      <w:szCs w:val="18"/>
      <w:lang w:eastAsia="en-US"/>
    </w:rPr>
  </w:style>
  <w:style w:type="paragraph" w:styleId="Title">
    <w:name w:val="Title"/>
    <w:basedOn w:val="Heading1"/>
    <w:next w:val="Normal"/>
    <w:link w:val="TitleChar"/>
    <w:rsid w:val="00E91BF7"/>
    <w:rPr>
      <w:sz w:val="28"/>
    </w:rPr>
  </w:style>
  <w:style w:type="character" w:customStyle="1" w:styleId="TitleChar">
    <w:name w:val="Title Char"/>
    <w:basedOn w:val="DefaultParagraphFont"/>
    <w:link w:val="Title"/>
    <w:rsid w:val="00E91BF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6F4152"/>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ind w:left="720"/>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0"/>
    <w:qFormat/>
    <w:rsid w:val="00145432"/>
    <w:pPr>
      <w:widowControl/>
      <w:spacing w:before="40" w:after="60"/>
      <w:jc w:val="left"/>
    </w:pPr>
    <w:rPr>
      <w:rFonts w:cs="Times New Roman"/>
      <w:snapToGrid/>
      <w:color w:val="000000"/>
      <w:sz w:val="20"/>
      <w:szCs w:val="18"/>
    </w:rPr>
  </w:style>
  <w:style w:type="character" w:customStyle="1" w:styleId="TableTextChar0">
    <w:name w:val="Table Text Char"/>
    <w:link w:val="TableText1"/>
    <w:rsid w:val="00145432"/>
    <w:rPr>
      <w:rFonts w:ascii="Arial" w:hAnsi="Arial"/>
      <w:color w:val="000000"/>
      <w:szCs w:val="18"/>
      <w:lang w:eastAsia="en-US"/>
    </w:rPr>
  </w:style>
  <w:style w:type="paragraph" w:styleId="FootnoteText">
    <w:name w:val="footnote text"/>
    <w:basedOn w:val="Normal"/>
    <w:link w:val="FootnoteTextChar"/>
    <w:unhideWhenUsed/>
    <w:rsid w:val="00FE609E"/>
    <w:rPr>
      <w:sz w:val="20"/>
    </w:rPr>
  </w:style>
  <w:style w:type="character" w:customStyle="1" w:styleId="FootnoteTextChar">
    <w:name w:val="Footnote Text Char"/>
    <w:basedOn w:val="DefaultParagraphFont"/>
    <w:link w:val="FootnoteText"/>
    <w:rsid w:val="00FE609E"/>
    <w:rPr>
      <w:rFonts w:ascii="Arial" w:hAnsi="Arial" w:cs="Arial"/>
      <w:snapToGrid w:val="0"/>
      <w:lang w:eastAsia="en-US"/>
    </w:rPr>
  </w:style>
  <w:style w:type="character" w:styleId="FootnoteReference">
    <w:name w:val="footnote reference"/>
    <w:basedOn w:val="DefaultParagraphFont"/>
    <w:unhideWhenUsed/>
    <w:rsid w:val="00FE609E"/>
    <w:rPr>
      <w:vertAlign w:val="superscript"/>
    </w:rPr>
  </w:style>
  <w:style w:type="paragraph" w:customStyle="1" w:styleId="Default">
    <w:name w:val="Default"/>
    <w:rsid w:val="00015A61"/>
    <w:pPr>
      <w:autoSpaceDE w:val="0"/>
      <w:autoSpaceDN w:val="0"/>
      <w:adjustRightInd w:val="0"/>
    </w:pPr>
    <w:rPr>
      <w:rFonts w:ascii="Verdana" w:hAnsi="Verdana" w:cs="Verdana"/>
      <w:color w:val="000000"/>
      <w:sz w:val="24"/>
      <w:szCs w:val="24"/>
    </w:rPr>
  </w:style>
  <w:style w:type="paragraph" w:customStyle="1" w:styleId="Tableheading0">
    <w:name w:val="Table heading"/>
    <w:basedOn w:val="Normal"/>
    <w:link w:val="TableheadingChar"/>
    <w:rsid w:val="003F1137"/>
    <w:pPr>
      <w:keepNext/>
      <w:keepLines/>
      <w:widowControl/>
      <w:spacing w:before="60" w:after="60"/>
      <w:jc w:val="left"/>
    </w:pPr>
    <w:rPr>
      <w:rFonts w:cs="Times New Roman"/>
      <w:b/>
      <w:bCs/>
      <w:snapToGrid/>
      <w:sz w:val="20"/>
    </w:rPr>
  </w:style>
  <w:style w:type="character" w:customStyle="1" w:styleId="TableheadingChar">
    <w:name w:val="Table heading Char"/>
    <w:link w:val="Tableheading0"/>
    <w:rsid w:val="003F1137"/>
    <w:rPr>
      <w:rFonts w:ascii="Arial" w:hAnsi="Arial"/>
      <w:b/>
      <w:bCs/>
      <w:lang w:eastAsia="en-US"/>
    </w:rPr>
  </w:style>
  <w:style w:type="paragraph" w:customStyle="1" w:styleId="TableText2centerheaderrow">
    <w:name w:val="Table Text 2 (center) header row"/>
    <w:basedOn w:val="Normal"/>
    <w:rsid w:val="009A0A64"/>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9A0A64"/>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9A0A64"/>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paragraph" w:styleId="DocumentMap">
    <w:name w:val="Document Map"/>
    <w:basedOn w:val="Normal"/>
    <w:link w:val="DocumentMapChar"/>
    <w:semiHidden/>
    <w:unhideWhenUsed/>
    <w:rsid w:val="00A5100E"/>
    <w:rPr>
      <w:rFonts w:ascii="SimSun" w:eastAsia="SimSun"/>
      <w:sz w:val="18"/>
      <w:szCs w:val="18"/>
    </w:rPr>
  </w:style>
  <w:style w:type="character" w:customStyle="1" w:styleId="DocumentMapChar">
    <w:name w:val="Document Map Char"/>
    <w:basedOn w:val="DefaultParagraphFont"/>
    <w:link w:val="DocumentMap"/>
    <w:semiHidden/>
    <w:rsid w:val="00A5100E"/>
    <w:rPr>
      <w:rFonts w:ascii="SimSun" w:eastAsia="SimSun" w:hAnsi="Arial" w:cs="Arial"/>
      <w:snapToGrid w:val="0"/>
      <w:sz w:val="18"/>
      <w:szCs w:val="18"/>
      <w:lang w:eastAsia="en-US"/>
    </w:rPr>
  </w:style>
  <w:style w:type="character" w:customStyle="1" w:styleId="Heading1Char">
    <w:name w:val="Heading 1 Char"/>
    <w:basedOn w:val="DefaultParagraphFont"/>
    <w:link w:val="Heading1"/>
    <w:rsid w:val="00A12562"/>
    <w:rPr>
      <w:rFonts w:ascii="Arial Bold" w:hAnsi="Arial Bold" w:cs="Arial"/>
      <w:b/>
      <w:caps/>
      <w:snapToGrid w:val="0"/>
      <w:sz w:val="22"/>
      <w:lang w:eastAsia="en-US"/>
    </w:rPr>
  </w:style>
  <w:style w:type="table" w:customStyle="1" w:styleId="TableGrid2">
    <w:name w:val="Table Grid2"/>
    <w:basedOn w:val="TableNormal"/>
    <w:next w:val="TableGrid"/>
    <w:uiPriority w:val="59"/>
    <w:rsid w:val="00A5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TableText1"/>
    <w:qFormat/>
    <w:rsid w:val="00E720E3"/>
    <w:pPr>
      <w:spacing w:before="0" w:after="0"/>
    </w:pPr>
    <w:rPr>
      <w:rFonts w:ascii="Arial Narrow" w:hAnsi="Arial Narrow" w:cs="Arial"/>
      <w:snapToGrid w:val="0"/>
      <w:color w:val="auto"/>
      <w:sz w:val="18"/>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F1919"/>
    <w:pPr>
      <w:widowControl/>
      <w:spacing w:after="160" w:line="240" w:lineRule="exact"/>
      <w:jc w:val="left"/>
    </w:pPr>
    <w:rPr>
      <w:rFonts w:ascii="Verdana" w:eastAsia="MS Mincho" w:hAnsi="Verdana" w:cs="Verdana"/>
      <w:snapToGrid/>
      <w:sz w:val="20"/>
      <w:lang w:val="en-US"/>
    </w:rPr>
  </w:style>
  <w:style w:type="paragraph" w:customStyle="1" w:styleId="TableParagraph">
    <w:name w:val="Table Paragraph"/>
    <w:basedOn w:val="Normal"/>
    <w:uiPriority w:val="1"/>
    <w:qFormat/>
    <w:rsid w:val="00AA44A6"/>
    <w:pPr>
      <w:jc w:val="left"/>
    </w:pPr>
    <w:rPr>
      <w:rFonts w:asciiTheme="minorHAnsi" w:eastAsiaTheme="minorHAnsi" w:hAnsiTheme="minorHAnsi" w:cstheme="minorBidi"/>
      <w:snapToGrid/>
      <w:szCs w:val="22"/>
      <w:lang w:val="en-US"/>
    </w:rPr>
  </w:style>
  <w:style w:type="paragraph" w:customStyle="1" w:styleId="PBACheading10">
    <w:name w:val="PBAC heading 1"/>
    <w:qFormat/>
    <w:rsid w:val="0073033F"/>
    <w:pPr>
      <w:ind w:left="720" w:hanging="720"/>
    </w:pPr>
    <w:rPr>
      <w:rFonts w:ascii="Arial" w:hAnsi="Arial" w:cs="Arial"/>
      <w:snapToGrid w:val="0"/>
      <w:sz w:val="22"/>
      <w:szCs w:val="22"/>
      <w:lang w:eastAsia="en-US"/>
    </w:rPr>
  </w:style>
  <w:style w:type="character" w:customStyle="1" w:styleId="ListParagraphChar">
    <w:name w:val="List Paragraph Char"/>
    <w:link w:val="ListParagraph"/>
    <w:uiPriority w:val="99"/>
    <w:rsid w:val="00D24544"/>
    <w:rPr>
      <w:rFonts w:ascii="Arial" w:hAnsi="Arial" w:cs="Arial"/>
      <w:snapToGrid w:val="0"/>
      <w:sz w:val="22"/>
      <w:lang w:eastAsia="en-US"/>
    </w:rPr>
  </w:style>
  <w:style w:type="paragraph" w:styleId="IntenseQuote">
    <w:name w:val="Intense Quote"/>
    <w:basedOn w:val="Normal"/>
    <w:next w:val="Normal"/>
    <w:link w:val="IntenseQuoteChar"/>
    <w:uiPriority w:val="30"/>
    <w:qFormat/>
    <w:rsid w:val="00117197"/>
    <w:pPr>
      <w:pBdr>
        <w:bottom w:val="single" w:sz="4" w:space="4" w:color="4F81BD" w:themeColor="accent1"/>
      </w:pBdr>
      <w:spacing w:before="200" w:after="280"/>
      <w:ind w:left="936" w:right="936"/>
    </w:pPr>
    <w:rPr>
      <w:rFonts w:ascii="Times New Roman" w:hAnsi="Times New Roman" w:cs="Times New Roman"/>
      <w:b/>
      <w:bCs/>
      <w:i/>
      <w:iCs/>
      <w:color w:val="4F81BD" w:themeColor="accent1"/>
      <w:sz w:val="24"/>
    </w:rPr>
  </w:style>
  <w:style w:type="character" w:customStyle="1" w:styleId="IntenseQuoteChar">
    <w:name w:val="Intense Quote Char"/>
    <w:basedOn w:val="DefaultParagraphFont"/>
    <w:link w:val="IntenseQuote"/>
    <w:uiPriority w:val="30"/>
    <w:rsid w:val="00117197"/>
    <w:rPr>
      <w:b/>
      <w:bCs/>
      <w:i/>
      <w:iCs/>
      <w:snapToGrid w:val="0"/>
      <w:color w:val="4F81BD" w:themeColor="accent1"/>
      <w:sz w:val="24"/>
      <w:lang w:eastAsia="en-US"/>
    </w:rPr>
  </w:style>
  <w:style w:type="paragraph" w:customStyle="1" w:styleId="Char">
    <w:name w:val="Char"/>
    <w:basedOn w:val="Normal"/>
    <w:rsid w:val="00CE1A6C"/>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605C4"/>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A12562"/>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Table caption,Caption 3,c,appendix"/>
    <w:basedOn w:val="Normal"/>
    <w:next w:val="Normal"/>
    <w:link w:val="CaptionChar"/>
    <w:unhideWhenUsed/>
    <w:qFormat/>
    <w:rsid w:val="00117F38"/>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Table caption Char,Caption 3 Char,c Char,appendix Char"/>
    <w:link w:val="Caption"/>
    <w:rsid w:val="00117F38"/>
    <w:rPr>
      <w:rFonts w:ascii="Arial Narrow" w:hAnsi="Arial Narrow" w:cs="Arial"/>
      <w:b/>
      <w:bCs/>
      <w:snapToGrid w:val="0"/>
      <w:szCs w:val="18"/>
      <w:lang w:eastAsia="en-US"/>
    </w:rPr>
  </w:style>
  <w:style w:type="paragraph" w:styleId="Title">
    <w:name w:val="Title"/>
    <w:basedOn w:val="Heading1"/>
    <w:next w:val="Normal"/>
    <w:link w:val="TitleChar"/>
    <w:rsid w:val="00E91BF7"/>
    <w:rPr>
      <w:sz w:val="28"/>
    </w:rPr>
  </w:style>
  <w:style w:type="character" w:customStyle="1" w:styleId="TitleChar">
    <w:name w:val="Title Char"/>
    <w:basedOn w:val="DefaultParagraphFont"/>
    <w:link w:val="Title"/>
    <w:rsid w:val="00E91BF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6F4152"/>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ind w:left="720"/>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0"/>
    <w:qFormat/>
    <w:rsid w:val="00145432"/>
    <w:pPr>
      <w:widowControl/>
      <w:spacing w:before="40" w:after="60"/>
      <w:jc w:val="left"/>
    </w:pPr>
    <w:rPr>
      <w:rFonts w:cs="Times New Roman"/>
      <w:snapToGrid/>
      <w:color w:val="000000"/>
      <w:sz w:val="20"/>
      <w:szCs w:val="18"/>
    </w:rPr>
  </w:style>
  <w:style w:type="character" w:customStyle="1" w:styleId="TableTextChar0">
    <w:name w:val="Table Text Char"/>
    <w:link w:val="TableText1"/>
    <w:rsid w:val="00145432"/>
    <w:rPr>
      <w:rFonts w:ascii="Arial" w:hAnsi="Arial"/>
      <w:color w:val="000000"/>
      <w:szCs w:val="18"/>
      <w:lang w:eastAsia="en-US"/>
    </w:rPr>
  </w:style>
  <w:style w:type="paragraph" w:styleId="FootnoteText">
    <w:name w:val="footnote text"/>
    <w:basedOn w:val="Normal"/>
    <w:link w:val="FootnoteTextChar"/>
    <w:unhideWhenUsed/>
    <w:rsid w:val="00FE609E"/>
    <w:rPr>
      <w:sz w:val="20"/>
    </w:rPr>
  </w:style>
  <w:style w:type="character" w:customStyle="1" w:styleId="FootnoteTextChar">
    <w:name w:val="Footnote Text Char"/>
    <w:basedOn w:val="DefaultParagraphFont"/>
    <w:link w:val="FootnoteText"/>
    <w:rsid w:val="00FE609E"/>
    <w:rPr>
      <w:rFonts w:ascii="Arial" w:hAnsi="Arial" w:cs="Arial"/>
      <w:snapToGrid w:val="0"/>
      <w:lang w:eastAsia="en-US"/>
    </w:rPr>
  </w:style>
  <w:style w:type="character" w:styleId="FootnoteReference">
    <w:name w:val="footnote reference"/>
    <w:basedOn w:val="DefaultParagraphFont"/>
    <w:unhideWhenUsed/>
    <w:rsid w:val="00FE609E"/>
    <w:rPr>
      <w:vertAlign w:val="superscript"/>
    </w:rPr>
  </w:style>
  <w:style w:type="paragraph" w:customStyle="1" w:styleId="Default">
    <w:name w:val="Default"/>
    <w:rsid w:val="00015A61"/>
    <w:pPr>
      <w:autoSpaceDE w:val="0"/>
      <w:autoSpaceDN w:val="0"/>
      <w:adjustRightInd w:val="0"/>
    </w:pPr>
    <w:rPr>
      <w:rFonts w:ascii="Verdana" w:hAnsi="Verdana" w:cs="Verdana"/>
      <w:color w:val="000000"/>
      <w:sz w:val="24"/>
      <w:szCs w:val="24"/>
    </w:rPr>
  </w:style>
  <w:style w:type="paragraph" w:customStyle="1" w:styleId="Tableheading0">
    <w:name w:val="Table heading"/>
    <w:basedOn w:val="Normal"/>
    <w:link w:val="TableheadingChar"/>
    <w:rsid w:val="003F1137"/>
    <w:pPr>
      <w:keepNext/>
      <w:keepLines/>
      <w:widowControl/>
      <w:spacing w:before="60" w:after="60"/>
      <w:jc w:val="left"/>
    </w:pPr>
    <w:rPr>
      <w:rFonts w:cs="Times New Roman"/>
      <w:b/>
      <w:bCs/>
      <w:snapToGrid/>
      <w:sz w:val="20"/>
    </w:rPr>
  </w:style>
  <w:style w:type="character" w:customStyle="1" w:styleId="TableheadingChar">
    <w:name w:val="Table heading Char"/>
    <w:link w:val="Tableheading0"/>
    <w:rsid w:val="003F1137"/>
    <w:rPr>
      <w:rFonts w:ascii="Arial" w:hAnsi="Arial"/>
      <w:b/>
      <w:bCs/>
      <w:lang w:eastAsia="en-US"/>
    </w:rPr>
  </w:style>
  <w:style w:type="paragraph" w:customStyle="1" w:styleId="TableText2centerheaderrow">
    <w:name w:val="Table Text 2 (center) header row"/>
    <w:basedOn w:val="Normal"/>
    <w:rsid w:val="009A0A64"/>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9A0A64"/>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9A0A64"/>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paragraph" w:styleId="DocumentMap">
    <w:name w:val="Document Map"/>
    <w:basedOn w:val="Normal"/>
    <w:link w:val="DocumentMapChar"/>
    <w:semiHidden/>
    <w:unhideWhenUsed/>
    <w:rsid w:val="00A5100E"/>
    <w:rPr>
      <w:rFonts w:ascii="SimSun" w:eastAsia="SimSun"/>
      <w:sz w:val="18"/>
      <w:szCs w:val="18"/>
    </w:rPr>
  </w:style>
  <w:style w:type="character" w:customStyle="1" w:styleId="DocumentMapChar">
    <w:name w:val="Document Map Char"/>
    <w:basedOn w:val="DefaultParagraphFont"/>
    <w:link w:val="DocumentMap"/>
    <w:semiHidden/>
    <w:rsid w:val="00A5100E"/>
    <w:rPr>
      <w:rFonts w:ascii="SimSun" w:eastAsia="SimSun" w:hAnsi="Arial" w:cs="Arial"/>
      <w:snapToGrid w:val="0"/>
      <w:sz w:val="18"/>
      <w:szCs w:val="18"/>
      <w:lang w:eastAsia="en-US"/>
    </w:rPr>
  </w:style>
  <w:style w:type="character" w:customStyle="1" w:styleId="Heading1Char">
    <w:name w:val="Heading 1 Char"/>
    <w:basedOn w:val="DefaultParagraphFont"/>
    <w:link w:val="Heading1"/>
    <w:rsid w:val="00A12562"/>
    <w:rPr>
      <w:rFonts w:ascii="Arial Bold" w:hAnsi="Arial Bold" w:cs="Arial"/>
      <w:b/>
      <w:caps/>
      <w:snapToGrid w:val="0"/>
      <w:sz w:val="22"/>
      <w:lang w:eastAsia="en-US"/>
    </w:rPr>
  </w:style>
  <w:style w:type="table" w:customStyle="1" w:styleId="TableGrid2">
    <w:name w:val="Table Grid2"/>
    <w:basedOn w:val="TableNormal"/>
    <w:next w:val="TableGrid"/>
    <w:uiPriority w:val="59"/>
    <w:rsid w:val="00A5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TableText1"/>
    <w:qFormat/>
    <w:rsid w:val="00E720E3"/>
    <w:pPr>
      <w:spacing w:before="0" w:after="0"/>
    </w:pPr>
    <w:rPr>
      <w:rFonts w:ascii="Arial Narrow" w:hAnsi="Arial Narrow" w:cs="Arial"/>
      <w:snapToGrid w:val="0"/>
      <w:color w:val="auto"/>
      <w:sz w:val="18"/>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F1919"/>
    <w:pPr>
      <w:widowControl/>
      <w:spacing w:after="160" w:line="240" w:lineRule="exact"/>
      <w:jc w:val="left"/>
    </w:pPr>
    <w:rPr>
      <w:rFonts w:ascii="Verdana" w:eastAsia="MS Mincho" w:hAnsi="Verdana" w:cs="Verdana"/>
      <w:snapToGrid/>
      <w:sz w:val="20"/>
      <w:lang w:val="en-US"/>
    </w:rPr>
  </w:style>
  <w:style w:type="paragraph" w:customStyle="1" w:styleId="TableParagraph">
    <w:name w:val="Table Paragraph"/>
    <w:basedOn w:val="Normal"/>
    <w:uiPriority w:val="1"/>
    <w:qFormat/>
    <w:rsid w:val="00AA44A6"/>
    <w:pPr>
      <w:jc w:val="left"/>
    </w:pPr>
    <w:rPr>
      <w:rFonts w:asciiTheme="minorHAnsi" w:eastAsiaTheme="minorHAnsi" w:hAnsiTheme="minorHAnsi" w:cstheme="minorBidi"/>
      <w:snapToGrid/>
      <w:szCs w:val="22"/>
      <w:lang w:val="en-US"/>
    </w:rPr>
  </w:style>
  <w:style w:type="paragraph" w:customStyle="1" w:styleId="PBACheading10">
    <w:name w:val="PBAC heading 1"/>
    <w:qFormat/>
    <w:rsid w:val="0073033F"/>
    <w:pPr>
      <w:ind w:left="720" w:hanging="720"/>
    </w:pPr>
    <w:rPr>
      <w:rFonts w:ascii="Arial" w:hAnsi="Arial" w:cs="Arial"/>
      <w:snapToGrid w:val="0"/>
      <w:sz w:val="22"/>
      <w:szCs w:val="22"/>
      <w:lang w:eastAsia="en-US"/>
    </w:rPr>
  </w:style>
  <w:style w:type="character" w:customStyle="1" w:styleId="ListParagraphChar">
    <w:name w:val="List Paragraph Char"/>
    <w:link w:val="ListParagraph"/>
    <w:uiPriority w:val="99"/>
    <w:rsid w:val="00D24544"/>
    <w:rPr>
      <w:rFonts w:ascii="Arial" w:hAnsi="Arial" w:cs="Arial"/>
      <w:snapToGrid w:val="0"/>
      <w:sz w:val="22"/>
      <w:lang w:eastAsia="en-US"/>
    </w:rPr>
  </w:style>
  <w:style w:type="paragraph" w:styleId="IntenseQuote">
    <w:name w:val="Intense Quote"/>
    <w:basedOn w:val="Normal"/>
    <w:next w:val="Normal"/>
    <w:link w:val="IntenseQuoteChar"/>
    <w:uiPriority w:val="30"/>
    <w:qFormat/>
    <w:rsid w:val="00117197"/>
    <w:pPr>
      <w:pBdr>
        <w:bottom w:val="single" w:sz="4" w:space="4" w:color="4F81BD" w:themeColor="accent1"/>
      </w:pBdr>
      <w:spacing w:before="200" w:after="280"/>
      <w:ind w:left="936" w:right="936"/>
    </w:pPr>
    <w:rPr>
      <w:rFonts w:ascii="Times New Roman" w:hAnsi="Times New Roman" w:cs="Times New Roman"/>
      <w:b/>
      <w:bCs/>
      <w:i/>
      <w:iCs/>
      <w:color w:val="4F81BD" w:themeColor="accent1"/>
      <w:sz w:val="24"/>
    </w:rPr>
  </w:style>
  <w:style w:type="character" w:customStyle="1" w:styleId="IntenseQuoteChar">
    <w:name w:val="Intense Quote Char"/>
    <w:basedOn w:val="DefaultParagraphFont"/>
    <w:link w:val="IntenseQuote"/>
    <w:uiPriority w:val="30"/>
    <w:rsid w:val="00117197"/>
    <w:rPr>
      <w:b/>
      <w:bCs/>
      <w:i/>
      <w:iCs/>
      <w:snapToGrid w:val="0"/>
      <w:color w:val="4F81BD" w:themeColor="accent1"/>
      <w:sz w:val="24"/>
      <w:lang w:eastAsia="en-US"/>
    </w:rPr>
  </w:style>
  <w:style w:type="paragraph" w:customStyle="1" w:styleId="Char">
    <w:name w:val="Char"/>
    <w:basedOn w:val="Normal"/>
    <w:rsid w:val="00CE1A6C"/>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00655">
      <w:bodyDiv w:val="1"/>
      <w:marLeft w:val="0"/>
      <w:marRight w:val="0"/>
      <w:marTop w:val="0"/>
      <w:marBottom w:val="0"/>
      <w:divBdr>
        <w:top w:val="none" w:sz="0" w:space="0" w:color="auto"/>
        <w:left w:val="none" w:sz="0" w:space="0" w:color="auto"/>
        <w:bottom w:val="none" w:sz="0" w:space="0" w:color="auto"/>
        <w:right w:val="none" w:sz="0" w:space="0" w:color="auto"/>
      </w:divBdr>
    </w:div>
    <w:div w:id="291133970">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12D98-A8AE-4923-8A19-C21C1B32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11646</Words>
  <Characters>66007</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5.06 Daclatasvir</vt:lpstr>
    </vt:vector>
  </TitlesOfParts>
  <LinksUpToDate>false</LinksUpToDate>
  <CharactersWithSpaces>77499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5.06 Daclatasvir</dc:title>
  <dc:creator/>
  <cp:lastModifiedBy/>
  <cp:revision>1</cp:revision>
  <dcterms:created xsi:type="dcterms:W3CDTF">2015-06-29T00:36:00Z</dcterms:created>
  <dcterms:modified xsi:type="dcterms:W3CDTF">2015-06-29T05:44:00Z</dcterms:modified>
</cp:coreProperties>
</file>