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DDD" w:rsidRPr="0005510F" w:rsidRDefault="00A828BD" w:rsidP="0005510F">
      <w:pPr>
        <w:pStyle w:val="Title"/>
      </w:pPr>
      <w:bookmarkStart w:id="0" w:name="_Toc409168626"/>
      <w:r w:rsidRPr="0005510F">
        <w:t>5.05</w:t>
      </w:r>
      <w:r w:rsidR="00B60939" w:rsidRPr="0005510F">
        <w:tab/>
      </w:r>
      <w:r w:rsidR="0013645C" w:rsidRPr="0005510F">
        <w:t>CANAKINUMAB</w:t>
      </w:r>
      <w:r w:rsidR="00B60939" w:rsidRPr="0005510F">
        <w:t xml:space="preserve"> </w:t>
      </w:r>
    </w:p>
    <w:p w:rsidR="00971DDD" w:rsidRDefault="00150B75" w:rsidP="00172172">
      <w:pPr>
        <w:pStyle w:val="Heading1"/>
        <w:ind w:firstLine="0"/>
        <w:rPr>
          <w:sz w:val="28"/>
        </w:rPr>
      </w:pPr>
      <w:r>
        <w:rPr>
          <w:caps w:val="0"/>
          <w:sz w:val="28"/>
        </w:rPr>
        <w:t>150 mg vial,</w:t>
      </w:r>
      <w:r w:rsidR="00C43530">
        <w:rPr>
          <w:caps w:val="0"/>
          <w:sz w:val="28"/>
        </w:rPr>
        <w:t xml:space="preserve"> subcutaneous injection</w:t>
      </w:r>
      <w:r w:rsidR="0005510F">
        <w:rPr>
          <w:sz w:val="28"/>
        </w:rPr>
        <w:t>;</w:t>
      </w:r>
      <w:r w:rsidR="00B60939" w:rsidRPr="00207D00">
        <w:rPr>
          <w:sz w:val="28"/>
        </w:rPr>
        <w:t xml:space="preserve"> </w:t>
      </w:r>
    </w:p>
    <w:p w:rsidR="00B60939" w:rsidRPr="00207D00" w:rsidRDefault="0013645C" w:rsidP="00172172">
      <w:pPr>
        <w:pStyle w:val="Heading1"/>
        <w:ind w:firstLine="0"/>
        <w:rPr>
          <w:sz w:val="28"/>
        </w:rPr>
      </w:pPr>
      <w:r>
        <w:rPr>
          <w:caps w:val="0"/>
          <w:sz w:val="28"/>
        </w:rPr>
        <w:t>I</w:t>
      </w:r>
      <w:r w:rsidR="00971DDD">
        <w:rPr>
          <w:caps w:val="0"/>
          <w:sz w:val="28"/>
        </w:rPr>
        <w:t>laris</w:t>
      </w:r>
      <w:r w:rsidR="00B60939" w:rsidRPr="00207D00">
        <w:rPr>
          <w:sz w:val="28"/>
          <w:vertAlign w:val="superscript"/>
        </w:rPr>
        <w:t>®</w:t>
      </w:r>
      <w:r w:rsidR="0005510F">
        <w:rPr>
          <w:sz w:val="28"/>
        </w:rPr>
        <w:t>;</w:t>
      </w:r>
      <w:r w:rsidR="00B60939" w:rsidRPr="00207D00">
        <w:rPr>
          <w:sz w:val="28"/>
        </w:rPr>
        <w:t xml:space="preserve"> </w:t>
      </w:r>
      <w:r>
        <w:rPr>
          <w:caps w:val="0"/>
          <w:sz w:val="28"/>
        </w:rPr>
        <w:t>Novartis Pharmaceuticals Pty Ltd</w:t>
      </w:r>
      <w:bookmarkEnd w:id="0"/>
    </w:p>
    <w:p w:rsidR="00433044" w:rsidRPr="00B36CB8" w:rsidRDefault="00433044" w:rsidP="00433044">
      <w:pPr>
        <w:pStyle w:val="Heading2"/>
        <w:rPr>
          <w:highlight w:val="yellow"/>
        </w:rPr>
      </w:pPr>
    </w:p>
    <w:p w:rsidR="00B60939" w:rsidRDefault="00B60939" w:rsidP="00207D00"/>
    <w:p w:rsidR="00B50DB8" w:rsidRPr="00407F2D" w:rsidRDefault="00B50DB8" w:rsidP="00172172">
      <w:pPr>
        <w:pStyle w:val="PBACHeading1"/>
        <w:ind w:left="709" w:hanging="709"/>
      </w:pPr>
      <w:bookmarkStart w:id="1" w:name="_Toc409168628"/>
      <w:r w:rsidRPr="00407F2D">
        <w:t>Purpose of Application</w:t>
      </w:r>
      <w:bookmarkEnd w:id="1"/>
    </w:p>
    <w:p w:rsidR="00B60939" w:rsidRPr="00882085" w:rsidRDefault="00B60939" w:rsidP="00B60939">
      <w:pPr>
        <w:rPr>
          <w:szCs w:val="22"/>
        </w:rPr>
      </w:pPr>
    </w:p>
    <w:p w:rsidR="002C2775" w:rsidRPr="00B50DB8" w:rsidRDefault="00422F79" w:rsidP="00490F0E">
      <w:pPr>
        <w:pStyle w:val="ListParagraph"/>
        <w:numPr>
          <w:ilvl w:val="1"/>
          <w:numId w:val="2"/>
        </w:numPr>
        <w:rPr>
          <w:szCs w:val="22"/>
        </w:rPr>
      </w:pPr>
      <w:r>
        <w:t xml:space="preserve">The major submission </w:t>
      </w:r>
      <w:r w:rsidR="00172172">
        <w:t xml:space="preserve">sought </w:t>
      </w:r>
      <w:r>
        <w:t>an Authority Required</w:t>
      </w:r>
      <w:r w:rsidR="00EC3C29">
        <w:t xml:space="preserve"> (Written o</w:t>
      </w:r>
      <w:r w:rsidR="007D4CA6">
        <w:t>nly)</w:t>
      </w:r>
      <w:r>
        <w:t xml:space="preserve"> listing (</w:t>
      </w:r>
      <w:r w:rsidR="00EC3C29">
        <w:t xml:space="preserve">PBS </w:t>
      </w:r>
      <w:r w:rsidR="007D4CA6">
        <w:t xml:space="preserve">category/program </w:t>
      </w:r>
      <w:r>
        <w:t>unspecified)</w:t>
      </w:r>
      <w:r w:rsidR="001E238E" w:rsidRPr="004B3DDB">
        <w:t xml:space="preserve"> for </w:t>
      </w:r>
      <w:r>
        <w:t xml:space="preserve">the </w:t>
      </w:r>
      <w:r w:rsidR="001E238E" w:rsidRPr="004B3DDB">
        <w:t xml:space="preserve">treatment of </w:t>
      </w:r>
      <w:r w:rsidR="00622ACE">
        <w:t>systemic juvenile idiopathic arthritis</w:t>
      </w:r>
      <w:r w:rsidR="009D1C6E">
        <w:t xml:space="preserve"> (sJIA)</w:t>
      </w:r>
      <w:r w:rsidR="007D4CA6">
        <w:t xml:space="preserve"> in patients meeting certain criteria</w:t>
      </w:r>
      <w:r w:rsidR="001E238E" w:rsidRPr="004B3DDB">
        <w:t>.</w:t>
      </w:r>
    </w:p>
    <w:p w:rsidR="00C43530" w:rsidRDefault="00C43530" w:rsidP="004B1CB4"/>
    <w:p w:rsidR="00D01B34" w:rsidRDefault="00D01B34" w:rsidP="004B1CB4"/>
    <w:p w:rsidR="00B60939" w:rsidRPr="00882085" w:rsidRDefault="00B50DB8" w:rsidP="00664C2B">
      <w:pPr>
        <w:pStyle w:val="PBACHeading1"/>
        <w:ind w:left="709" w:hanging="709"/>
      </w:pPr>
      <w:bookmarkStart w:id="2" w:name="_Toc409168629"/>
      <w:r w:rsidRPr="00407F2D">
        <w:t>Requested listing</w:t>
      </w:r>
      <w:bookmarkEnd w:id="2"/>
    </w:p>
    <w:p w:rsidR="00811AF6" w:rsidRPr="00811AF6" w:rsidRDefault="00811AF6" w:rsidP="00811AF6">
      <w:pPr>
        <w:rPr>
          <w:szCs w:val="22"/>
        </w:rPr>
      </w:pPr>
    </w:p>
    <w:p w:rsidR="00340094" w:rsidRDefault="00172172" w:rsidP="00490F0E">
      <w:pPr>
        <w:pStyle w:val="ListParagraph"/>
        <w:numPr>
          <w:ilvl w:val="1"/>
          <w:numId w:val="2"/>
        </w:numPr>
        <w:rPr>
          <w:szCs w:val="22"/>
        </w:rPr>
      </w:pPr>
      <w:r>
        <w:rPr>
          <w:szCs w:val="22"/>
        </w:rPr>
        <w:t>T</w:t>
      </w:r>
      <w:r w:rsidR="00EC3C29">
        <w:rPr>
          <w:szCs w:val="22"/>
        </w:rPr>
        <w:t>he</w:t>
      </w:r>
      <w:r w:rsidR="00340094">
        <w:rPr>
          <w:szCs w:val="22"/>
        </w:rPr>
        <w:t xml:space="preserve"> submission</w:t>
      </w:r>
      <w:r w:rsidR="00EC3C29">
        <w:rPr>
          <w:szCs w:val="22"/>
        </w:rPr>
        <w:t>’s</w:t>
      </w:r>
      <w:r w:rsidR="00340094">
        <w:rPr>
          <w:szCs w:val="22"/>
        </w:rPr>
        <w:t xml:space="preserve"> </w:t>
      </w:r>
      <w:r w:rsidR="00EC3C29">
        <w:rPr>
          <w:szCs w:val="22"/>
        </w:rPr>
        <w:t>requested listing is shown in abbreviated form below</w:t>
      </w:r>
      <w:r w:rsidR="00340094">
        <w:rPr>
          <w:szCs w:val="22"/>
        </w:rPr>
        <w:t>:</w:t>
      </w:r>
    </w:p>
    <w:p w:rsidR="00340094" w:rsidRPr="007C609A" w:rsidRDefault="00340094" w:rsidP="00340094"/>
    <w:tbl>
      <w:tblPr>
        <w:tblW w:w="5000" w:type="pct"/>
        <w:tblInd w:w="28" w:type="dxa"/>
        <w:tblCellMar>
          <w:left w:w="28" w:type="dxa"/>
          <w:right w:w="28" w:type="dxa"/>
        </w:tblCellMar>
        <w:tblLook w:val="0000" w:firstRow="0" w:lastRow="0" w:firstColumn="0" w:lastColumn="0" w:noHBand="0" w:noVBand="0"/>
      </w:tblPr>
      <w:tblGrid>
        <w:gridCol w:w="9082"/>
      </w:tblGrid>
      <w:tr w:rsidR="00340094" w:rsidRPr="00755C64" w:rsidTr="00664C2B">
        <w:trPr>
          <w:cantSplit/>
          <w:trHeight w:val="354"/>
        </w:trPr>
        <w:tc>
          <w:tcPr>
            <w:tcW w:w="5000" w:type="pct"/>
            <w:vAlign w:val="center"/>
          </w:tcPr>
          <w:tbl>
            <w:tblPr>
              <w:tblW w:w="8397" w:type="dxa"/>
              <w:tblCellMar>
                <w:left w:w="28" w:type="dxa"/>
                <w:right w:w="28" w:type="dxa"/>
              </w:tblCellMar>
              <w:tblLook w:val="0000" w:firstRow="0" w:lastRow="0" w:firstColumn="0" w:lastColumn="0" w:noHBand="0" w:noVBand="0"/>
            </w:tblPr>
            <w:tblGrid>
              <w:gridCol w:w="3232"/>
              <w:gridCol w:w="517"/>
              <w:gridCol w:w="794"/>
              <w:gridCol w:w="1626"/>
              <w:gridCol w:w="821"/>
              <w:gridCol w:w="1407"/>
            </w:tblGrid>
            <w:tr w:rsidR="00340094" w:rsidRPr="00172172" w:rsidTr="00420634">
              <w:trPr>
                <w:cantSplit/>
                <w:trHeight w:val="471"/>
              </w:trPr>
              <w:tc>
                <w:tcPr>
                  <w:tcW w:w="1924" w:type="pct"/>
                  <w:tcBorders>
                    <w:bottom w:val="single" w:sz="4" w:space="0" w:color="auto"/>
                  </w:tcBorders>
                </w:tcPr>
                <w:p w:rsidR="00340094" w:rsidRPr="00172172" w:rsidRDefault="00340094" w:rsidP="00420634">
                  <w:pPr>
                    <w:keepNext/>
                    <w:widowControl w:val="0"/>
                    <w:rPr>
                      <w:rFonts w:ascii="Arial Narrow" w:hAnsi="Arial Narrow"/>
                      <w:sz w:val="20"/>
                    </w:rPr>
                  </w:pPr>
                  <w:r w:rsidRPr="00172172">
                    <w:rPr>
                      <w:rFonts w:ascii="Arial Narrow" w:hAnsi="Arial Narrow"/>
                      <w:sz w:val="20"/>
                    </w:rPr>
                    <w:t>Name, Restriction,</w:t>
                  </w:r>
                </w:p>
                <w:p w:rsidR="00340094" w:rsidRPr="00172172" w:rsidRDefault="00340094" w:rsidP="00420634">
                  <w:pPr>
                    <w:keepNext/>
                    <w:widowControl w:val="0"/>
                    <w:rPr>
                      <w:rFonts w:ascii="Arial Narrow" w:hAnsi="Arial Narrow"/>
                      <w:sz w:val="20"/>
                    </w:rPr>
                  </w:pPr>
                  <w:r w:rsidRPr="00172172">
                    <w:rPr>
                      <w:rFonts w:ascii="Arial Narrow" w:hAnsi="Arial Narrow"/>
                      <w:sz w:val="20"/>
                    </w:rPr>
                    <w:t>Manner of administration and form</w:t>
                  </w:r>
                </w:p>
              </w:tc>
              <w:tc>
                <w:tcPr>
                  <w:tcW w:w="308" w:type="pct"/>
                  <w:tcBorders>
                    <w:bottom w:val="single" w:sz="4" w:space="0" w:color="auto"/>
                  </w:tcBorders>
                </w:tcPr>
                <w:p w:rsidR="00340094" w:rsidRPr="00172172" w:rsidRDefault="00340094" w:rsidP="00420634">
                  <w:pPr>
                    <w:keepNext/>
                    <w:widowControl w:val="0"/>
                    <w:jc w:val="center"/>
                    <w:rPr>
                      <w:rFonts w:ascii="Arial Narrow" w:hAnsi="Arial Narrow"/>
                      <w:sz w:val="20"/>
                    </w:rPr>
                  </w:pPr>
                  <w:r w:rsidRPr="00172172">
                    <w:rPr>
                      <w:rFonts w:ascii="Arial Narrow" w:hAnsi="Arial Narrow"/>
                      <w:sz w:val="20"/>
                    </w:rPr>
                    <w:t>Max.</w:t>
                  </w:r>
                </w:p>
                <w:p w:rsidR="00340094" w:rsidRPr="00172172" w:rsidRDefault="00340094" w:rsidP="00420634">
                  <w:pPr>
                    <w:keepNext/>
                    <w:widowControl w:val="0"/>
                    <w:jc w:val="center"/>
                    <w:rPr>
                      <w:rFonts w:ascii="Arial Narrow" w:hAnsi="Arial Narrow"/>
                      <w:sz w:val="20"/>
                    </w:rPr>
                  </w:pPr>
                  <w:r w:rsidRPr="00172172">
                    <w:rPr>
                      <w:rFonts w:ascii="Arial Narrow" w:hAnsi="Arial Narrow"/>
                      <w:sz w:val="20"/>
                    </w:rPr>
                    <w:t>Qty</w:t>
                  </w:r>
                </w:p>
              </w:tc>
              <w:tc>
                <w:tcPr>
                  <w:tcW w:w="473" w:type="pct"/>
                  <w:tcBorders>
                    <w:bottom w:val="single" w:sz="4" w:space="0" w:color="auto"/>
                  </w:tcBorders>
                </w:tcPr>
                <w:p w:rsidR="00340094" w:rsidRPr="00172172" w:rsidRDefault="00340094" w:rsidP="00420634">
                  <w:pPr>
                    <w:keepNext/>
                    <w:widowControl w:val="0"/>
                    <w:jc w:val="center"/>
                    <w:rPr>
                      <w:rFonts w:ascii="Arial Narrow" w:hAnsi="Arial Narrow"/>
                      <w:sz w:val="20"/>
                    </w:rPr>
                  </w:pPr>
                  <w:r w:rsidRPr="00172172">
                    <w:rPr>
                      <w:rFonts w:ascii="Arial Narrow" w:hAnsi="Arial Narrow"/>
                      <w:sz w:val="20"/>
                    </w:rPr>
                    <w:t>№.of</w:t>
                  </w:r>
                </w:p>
                <w:p w:rsidR="00340094" w:rsidRPr="00172172" w:rsidRDefault="00340094" w:rsidP="00420634">
                  <w:pPr>
                    <w:keepNext/>
                    <w:widowControl w:val="0"/>
                    <w:jc w:val="center"/>
                    <w:rPr>
                      <w:rFonts w:ascii="Arial Narrow" w:hAnsi="Arial Narrow"/>
                      <w:sz w:val="20"/>
                    </w:rPr>
                  </w:pPr>
                  <w:r w:rsidRPr="00172172">
                    <w:rPr>
                      <w:rFonts w:ascii="Arial Narrow" w:hAnsi="Arial Narrow"/>
                      <w:sz w:val="20"/>
                    </w:rPr>
                    <w:t>Rpts</w:t>
                  </w:r>
                </w:p>
              </w:tc>
              <w:tc>
                <w:tcPr>
                  <w:tcW w:w="968" w:type="pct"/>
                  <w:tcBorders>
                    <w:bottom w:val="single" w:sz="4" w:space="0" w:color="auto"/>
                  </w:tcBorders>
                </w:tcPr>
                <w:p w:rsidR="00340094" w:rsidRPr="00172172" w:rsidRDefault="00340094" w:rsidP="00420634">
                  <w:pPr>
                    <w:keepNext/>
                    <w:widowControl w:val="0"/>
                    <w:jc w:val="center"/>
                    <w:rPr>
                      <w:rFonts w:ascii="Arial Narrow" w:hAnsi="Arial Narrow"/>
                      <w:sz w:val="20"/>
                    </w:rPr>
                  </w:pPr>
                  <w:r w:rsidRPr="00172172">
                    <w:rPr>
                      <w:rFonts w:ascii="Arial Narrow" w:hAnsi="Arial Narrow"/>
                      <w:sz w:val="20"/>
                    </w:rPr>
                    <w:t>Dispensed Price for Max. Qty</w:t>
                  </w:r>
                </w:p>
              </w:tc>
              <w:tc>
                <w:tcPr>
                  <w:tcW w:w="1327" w:type="pct"/>
                  <w:gridSpan w:val="2"/>
                  <w:tcBorders>
                    <w:bottom w:val="single" w:sz="4" w:space="0" w:color="auto"/>
                  </w:tcBorders>
                </w:tcPr>
                <w:p w:rsidR="00340094" w:rsidRPr="00172172" w:rsidRDefault="00340094" w:rsidP="00664C2B">
                  <w:pPr>
                    <w:keepNext/>
                    <w:widowControl w:val="0"/>
                    <w:jc w:val="left"/>
                    <w:rPr>
                      <w:rFonts w:ascii="Arial Narrow" w:hAnsi="Arial Narrow"/>
                      <w:sz w:val="20"/>
                      <w:lang w:val="fr-FR"/>
                    </w:rPr>
                  </w:pPr>
                  <w:r w:rsidRPr="00172172">
                    <w:rPr>
                      <w:rFonts w:ascii="Arial Narrow" w:hAnsi="Arial Narrow"/>
                      <w:sz w:val="20"/>
                    </w:rPr>
                    <w:t>Proprietary Name and Manufacturer</w:t>
                  </w:r>
                </w:p>
              </w:tc>
            </w:tr>
            <w:tr w:rsidR="00340094" w:rsidRPr="00172172" w:rsidTr="00420634">
              <w:trPr>
                <w:cantSplit/>
                <w:trHeight w:val="577"/>
              </w:trPr>
              <w:tc>
                <w:tcPr>
                  <w:tcW w:w="1924" w:type="pct"/>
                </w:tcPr>
                <w:p w:rsidR="00EC3C29" w:rsidRPr="00172172" w:rsidRDefault="00340094" w:rsidP="00420634">
                  <w:pPr>
                    <w:keepNext/>
                    <w:widowControl w:val="0"/>
                    <w:rPr>
                      <w:rFonts w:ascii="Arial Narrow" w:hAnsi="Arial Narrow"/>
                      <w:smallCaps/>
                      <w:sz w:val="20"/>
                    </w:rPr>
                  </w:pPr>
                  <w:r w:rsidRPr="00172172">
                    <w:rPr>
                      <w:rFonts w:ascii="Arial Narrow" w:hAnsi="Arial Narrow"/>
                      <w:smallCaps/>
                      <w:sz w:val="20"/>
                    </w:rPr>
                    <w:t>Canakinumab</w:t>
                  </w:r>
                </w:p>
                <w:p w:rsidR="00EC3C29" w:rsidRPr="00172172" w:rsidRDefault="00EC3C29" w:rsidP="00420634">
                  <w:pPr>
                    <w:keepNext/>
                    <w:widowControl w:val="0"/>
                    <w:rPr>
                      <w:rFonts w:ascii="Arial Narrow" w:hAnsi="Arial Narrow"/>
                      <w:sz w:val="20"/>
                    </w:rPr>
                  </w:pPr>
                </w:p>
                <w:p w:rsidR="00EC3C29" w:rsidRPr="00172172" w:rsidRDefault="00EC3C29" w:rsidP="00420634">
                  <w:pPr>
                    <w:keepNext/>
                    <w:widowControl w:val="0"/>
                    <w:rPr>
                      <w:rFonts w:ascii="Arial Narrow" w:hAnsi="Arial Narrow"/>
                      <w:sz w:val="20"/>
                      <w:u w:val="single"/>
                    </w:rPr>
                  </w:pPr>
                  <w:r w:rsidRPr="00172172">
                    <w:rPr>
                      <w:rFonts w:ascii="Arial Narrow" w:hAnsi="Arial Narrow"/>
                      <w:sz w:val="20"/>
                      <w:u w:val="single"/>
                    </w:rPr>
                    <w:t>Initial 1 Treatment</w:t>
                  </w:r>
                </w:p>
                <w:p w:rsidR="00340094" w:rsidRPr="00172172" w:rsidRDefault="00340094" w:rsidP="00420634">
                  <w:pPr>
                    <w:keepNext/>
                    <w:widowControl w:val="0"/>
                    <w:rPr>
                      <w:rFonts w:ascii="Arial Narrow" w:hAnsi="Arial Narrow"/>
                      <w:sz w:val="20"/>
                    </w:rPr>
                  </w:pPr>
                  <w:r w:rsidRPr="00172172">
                    <w:rPr>
                      <w:rFonts w:ascii="Arial Narrow" w:hAnsi="Arial Narrow"/>
                      <w:sz w:val="20"/>
                    </w:rPr>
                    <w:t xml:space="preserve">Powder for injection, 150 mg /1 mL </w:t>
                  </w:r>
                </w:p>
              </w:tc>
              <w:tc>
                <w:tcPr>
                  <w:tcW w:w="308" w:type="pct"/>
                </w:tcPr>
                <w:p w:rsidR="00340094" w:rsidRPr="00172172" w:rsidRDefault="00340094" w:rsidP="00420634">
                  <w:pPr>
                    <w:keepNext/>
                    <w:widowControl w:val="0"/>
                    <w:jc w:val="center"/>
                    <w:rPr>
                      <w:rFonts w:ascii="Arial Narrow" w:hAnsi="Arial Narrow"/>
                      <w:sz w:val="20"/>
                    </w:rPr>
                  </w:pPr>
                </w:p>
                <w:p w:rsidR="00EC3C29" w:rsidRPr="00172172" w:rsidRDefault="00EC3C29" w:rsidP="00420634">
                  <w:pPr>
                    <w:keepNext/>
                    <w:widowControl w:val="0"/>
                    <w:jc w:val="center"/>
                    <w:rPr>
                      <w:rFonts w:ascii="Arial Narrow" w:hAnsi="Arial Narrow"/>
                      <w:sz w:val="20"/>
                    </w:rPr>
                  </w:pPr>
                </w:p>
                <w:p w:rsidR="00EC3C29" w:rsidRPr="00172172" w:rsidRDefault="00EC3C29" w:rsidP="00664C2B">
                  <w:pPr>
                    <w:keepNext/>
                    <w:widowControl w:val="0"/>
                    <w:rPr>
                      <w:rFonts w:ascii="Arial Narrow" w:hAnsi="Arial Narrow"/>
                      <w:sz w:val="20"/>
                    </w:rPr>
                  </w:pPr>
                </w:p>
                <w:p w:rsidR="00340094" w:rsidRPr="00172172" w:rsidRDefault="00340094" w:rsidP="00420634">
                  <w:pPr>
                    <w:keepNext/>
                    <w:widowControl w:val="0"/>
                    <w:jc w:val="center"/>
                    <w:rPr>
                      <w:rFonts w:ascii="Arial Narrow" w:hAnsi="Arial Narrow"/>
                      <w:sz w:val="20"/>
                    </w:rPr>
                  </w:pPr>
                  <w:r w:rsidRPr="00172172">
                    <w:rPr>
                      <w:rFonts w:ascii="Arial Narrow" w:hAnsi="Arial Narrow"/>
                      <w:sz w:val="20"/>
                    </w:rPr>
                    <w:t xml:space="preserve">1+ </w:t>
                  </w:r>
                </w:p>
              </w:tc>
              <w:tc>
                <w:tcPr>
                  <w:tcW w:w="473" w:type="pct"/>
                </w:tcPr>
                <w:p w:rsidR="00340094" w:rsidRPr="00172172" w:rsidRDefault="00340094" w:rsidP="00420634">
                  <w:pPr>
                    <w:keepNext/>
                    <w:widowControl w:val="0"/>
                    <w:jc w:val="center"/>
                    <w:rPr>
                      <w:rFonts w:ascii="Arial Narrow" w:hAnsi="Arial Narrow"/>
                      <w:sz w:val="20"/>
                    </w:rPr>
                  </w:pPr>
                </w:p>
                <w:p w:rsidR="00664C2B" w:rsidRPr="00172172" w:rsidRDefault="00664C2B" w:rsidP="00420634">
                  <w:pPr>
                    <w:keepNext/>
                    <w:widowControl w:val="0"/>
                    <w:jc w:val="center"/>
                    <w:rPr>
                      <w:rFonts w:ascii="Arial Narrow" w:hAnsi="Arial Narrow"/>
                      <w:sz w:val="20"/>
                    </w:rPr>
                  </w:pPr>
                </w:p>
                <w:p w:rsidR="00664C2B" w:rsidRPr="00172172" w:rsidRDefault="00664C2B" w:rsidP="00664C2B">
                  <w:pPr>
                    <w:keepNext/>
                    <w:widowControl w:val="0"/>
                    <w:rPr>
                      <w:rFonts w:ascii="Arial Narrow" w:hAnsi="Arial Narrow"/>
                      <w:sz w:val="20"/>
                    </w:rPr>
                  </w:pPr>
                </w:p>
                <w:p w:rsidR="00340094" w:rsidRPr="00172172" w:rsidRDefault="00340094" w:rsidP="00420634">
                  <w:pPr>
                    <w:keepNext/>
                    <w:widowControl w:val="0"/>
                    <w:jc w:val="center"/>
                    <w:rPr>
                      <w:rFonts w:ascii="Arial Narrow" w:hAnsi="Arial Narrow"/>
                      <w:sz w:val="20"/>
                    </w:rPr>
                  </w:pPr>
                  <w:r w:rsidRPr="00172172">
                    <w:rPr>
                      <w:rFonts w:ascii="Arial Narrow" w:hAnsi="Arial Narrow"/>
                      <w:sz w:val="20"/>
                    </w:rPr>
                    <w:t>3</w:t>
                  </w:r>
                </w:p>
              </w:tc>
              <w:tc>
                <w:tcPr>
                  <w:tcW w:w="968" w:type="pct"/>
                </w:tcPr>
                <w:p w:rsidR="00340094" w:rsidRPr="00172172" w:rsidRDefault="00340094" w:rsidP="00420634">
                  <w:pPr>
                    <w:keepNext/>
                    <w:widowControl w:val="0"/>
                    <w:jc w:val="center"/>
                    <w:rPr>
                      <w:rFonts w:ascii="Arial Narrow" w:hAnsi="Arial Narrow"/>
                      <w:sz w:val="20"/>
                    </w:rPr>
                  </w:pPr>
                </w:p>
                <w:p w:rsidR="00664C2B" w:rsidRPr="00172172" w:rsidRDefault="00664C2B" w:rsidP="00420634">
                  <w:pPr>
                    <w:keepNext/>
                    <w:widowControl w:val="0"/>
                    <w:jc w:val="center"/>
                    <w:rPr>
                      <w:rFonts w:ascii="Arial Narrow" w:hAnsi="Arial Narrow"/>
                      <w:sz w:val="20"/>
                    </w:rPr>
                  </w:pPr>
                </w:p>
                <w:p w:rsidR="00664C2B" w:rsidRPr="00172172" w:rsidRDefault="00664C2B" w:rsidP="00664C2B">
                  <w:pPr>
                    <w:keepNext/>
                    <w:widowControl w:val="0"/>
                    <w:rPr>
                      <w:rFonts w:ascii="Arial Narrow" w:hAnsi="Arial Narrow"/>
                      <w:sz w:val="20"/>
                    </w:rPr>
                  </w:pPr>
                </w:p>
                <w:p w:rsidR="00340094" w:rsidRPr="00172172" w:rsidRDefault="00340094" w:rsidP="00420634">
                  <w:pPr>
                    <w:keepNext/>
                    <w:widowControl w:val="0"/>
                    <w:jc w:val="center"/>
                    <w:rPr>
                      <w:rFonts w:ascii="Arial Narrow" w:hAnsi="Arial Narrow"/>
                      <w:sz w:val="20"/>
                    </w:rPr>
                  </w:pPr>
                  <w:r w:rsidRPr="00172172">
                    <w:rPr>
                      <w:rFonts w:ascii="Arial Narrow" w:hAnsi="Arial Narrow"/>
                      <w:sz w:val="20"/>
                    </w:rPr>
                    <w:t>$</w:t>
                  </w:r>
                  <w:r w:rsidR="00DC035A">
                    <w:rPr>
                      <w:rFonts w:ascii="Arial Narrow" w:hAnsi="Arial Narrow"/>
                      <w:noProof/>
                      <w:color w:val="000000"/>
                      <w:sz w:val="20"/>
                      <w:highlight w:val="black"/>
                    </w:rPr>
                    <w:t>'''''''''''''''''''''</w:t>
                  </w:r>
                </w:p>
              </w:tc>
              <w:tc>
                <w:tcPr>
                  <w:tcW w:w="489" w:type="pct"/>
                </w:tcPr>
                <w:p w:rsidR="00340094" w:rsidRPr="00172172" w:rsidRDefault="00340094" w:rsidP="00420634">
                  <w:pPr>
                    <w:keepNext/>
                    <w:widowControl w:val="0"/>
                    <w:jc w:val="center"/>
                    <w:rPr>
                      <w:rFonts w:ascii="Arial Narrow" w:hAnsi="Arial Narrow"/>
                      <w:sz w:val="20"/>
                    </w:rPr>
                  </w:pPr>
                </w:p>
                <w:p w:rsidR="00664C2B" w:rsidRPr="00172172" w:rsidRDefault="00664C2B" w:rsidP="00420634">
                  <w:pPr>
                    <w:keepNext/>
                    <w:widowControl w:val="0"/>
                    <w:jc w:val="center"/>
                    <w:rPr>
                      <w:rFonts w:ascii="Arial Narrow" w:hAnsi="Arial Narrow"/>
                      <w:sz w:val="20"/>
                    </w:rPr>
                  </w:pPr>
                </w:p>
                <w:p w:rsidR="00664C2B" w:rsidRPr="00172172" w:rsidRDefault="00664C2B" w:rsidP="00664C2B">
                  <w:pPr>
                    <w:keepNext/>
                    <w:widowControl w:val="0"/>
                    <w:rPr>
                      <w:rFonts w:ascii="Arial Narrow" w:hAnsi="Arial Narrow"/>
                      <w:sz w:val="20"/>
                    </w:rPr>
                  </w:pPr>
                </w:p>
                <w:p w:rsidR="00340094" w:rsidRPr="00172172" w:rsidRDefault="00340094" w:rsidP="00420634">
                  <w:pPr>
                    <w:keepNext/>
                    <w:widowControl w:val="0"/>
                    <w:jc w:val="center"/>
                    <w:rPr>
                      <w:rFonts w:ascii="Arial Narrow" w:hAnsi="Arial Narrow"/>
                      <w:sz w:val="20"/>
                    </w:rPr>
                  </w:pPr>
                  <w:r w:rsidRPr="00172172">
                    <w:rPr>
                      <w:rFonts w:ascii="Arial Narrow" w:hAnsi="Arial Narrow"/>
                      <w:sz w:val="20"/>
                    </w:rPr>
                    <w:t>I</w:t>
                  </w:r>
                  <w:r w:rsidR="00664C2B" w:rsidRPr="00172172">
                    <w:rPr>
                      <w:rFonts w:ascii="Arial Narrow" w:hAnsi="Arial Narrow"/>
                      <w:sz w:val="20"/>
                    </w:rPr>
                    <w:t>laris</w:t>
                  </w:r>
                  <w:r w:rsidRPr="00172172">
                    <w:rPr>
                      <w:rFonts w:ascii="Arial Narrow" w:hAnsi="Arial Narrow"/>
                      <w:sz w:val="20"/>
                      <w:vertAlign w:val="superscript"/>
                    </w:rPr>
                    <w:t>®</w:t>
                  </w:r>
                </w:p>
              </w:tc>
              <w:tc>
                <w:tcPr>
                  <w:tcW w:w="837" w:type="pct"/>
                </w:tcPr>
                <w:p w:rsidR="00340094" w:rsidRPr="00172172" w:rsidRDefault="00340094" w:rsidP="00420634">
                  <w:pPr>
                    <w:keepNext/>
                    <w:widowControl w:val="0"/>
                    <w:jc w:val="center"/>
                    <w:rPr>
                      <w:rFonts w:ascii="Arial Narrow" w:hAnsi="Arial Narrow"/>
                      <w:sz w:val="20"/>
                    </w:rPr>
                  </w:pPr>
                </w:p>
                <w:p w:rsidR="00664C2B" w:rsidRPr="00172172" w:rsidRDefault="00664C2B" w:rsidP="00420634">
                  <w:pPr>
                    <w:keepNext/>
                    <w:widowControl w:val="0"/>
                    <w:jc w:val="center"/>
                    <w:rPr>
                      <w:rFonts w:ascii="Arial Narrow" w:hAnsi="Arial Narrow"/>
                      <w:sz w:val="20"/>
                    </w:rPr>
                  </w:pPr>
                </w:p>
                <w:p w:rsidR="00664C2B" w:rsidRPr="00172172" w:rsidRDefault="00664C2B" w:rsidP="00664C2B">
                  <w:pPr>
                    <w:keepNext/>
                    <w:widowControl w:val="0"/>
                    <w:rPr>
                      <w:rFonts w:ascii="Arial Narrow" w:hAnsi="Arial Narrow"/>
                      <w:sz w:val="20"/>
                    </w:rPr>
                  </w:pPr>
                </w:p>
                <w:p w:rsidR="00340094" w:rsidRPr="00172172" w:rsidRDefault="00340094" w:rsidP="00420634">
                  <w:pPr>
                    <w:keepNext/>
                    <w:widowControl w:val="0"/>
                    <w:jc w:val="center"/>
                    <w:rPr>
                      <w:rFonts w:ascii="Arial Narrow" w:hAnsi="Arial Narrow"/>
                      <w:sz w:val="20"/>
                    </w:rPr>
                  </w:pPr>
                  <w:r w:rsidRPr="00172172">
                    <w:rPr>
                      <w:rFonts w:ascii="Arial Narrow" w:hAnsi="Arial Narrow"/>
                      <w:sz w:val="20"/>
                    </w:rPr>
                    <w:t>NV</w:t>
                  </w:r>
                </w:p>
              </w:tc>
            </w:tr>
            <w:tr w:rsidR="00340094" w:rsidRPr="00172172" w:rsidTr="00420634">
              <w:trPr>
                <w:cantSplit/>
                <w:trHeight w:val="577"/>
              </w:trPr>
              <w:tc>
                <w:tcPr>
                  <w:tcW w:w="1924" w:type="pct"/>
                </w:tcPr>
                <w:p w:rsidR="00664C2B" w:rsidRPr="00172172" w:rsidRDefault="00664C2B" w:rsidP="00420634">
                  <w:pPr>
                    <w:keepNext/>
                    <w:widowControl w:val="0"/>
                    <w:rPr>
                      <w:rFonts w:ascii="Arial Narrow" w:hAnsi="Arial Narrow"/>
                      <w:sz w:val="20"/>
                    </w:rPr>
                  </w:pPr>
                </w:p>
                <w:p w:rsidR="00340094" w:rsidRPr="00172172" w:rsidRDefault="00340094" w:rsidP="00420634">
                  <w:pPr>
                    <w:keepNext/>
                    <w:widowControl w:val="0"/>
                    <w:rPr>
                      <w:rFonts w:ascii="Arial Narrow" w:hAnsi="Arial Narrow"/>
                      <w:sz w:val="20"/>
                      <w:u w:val="single"/>
                    </w:rPr>
                  </w:pPr>
                  <w:r w:rsidRPr="00172172">
                    <w:rPr>
                      <w:rFonts w:ascii="Arial Narrow" w:hAnsi="Arial Narrow"/>
                      <w:sz w:val="20"/>
                      <w:u w:val="single"/>
                    </w:rPr>
                    <w:t>Continuing Treatment</w:t>
                  </w:r>
                </w:p>
                <w:p w:rsidR="00340094" w:rsidRPr="00172172" w:rsidRDefault="00340094" w:rsidP="00420634">
                  <w:pPr>
                    <w:keepNext/>
                    <w:widowControl w:val="0"/>
                    <w:rPr>
                      <w:rFonts w:ascii="Arial Narrow" w:hAnsi="Arial Narrow"/>
                      <w:sz w:val="20"/>
                    </w:rPr>
                  </w:pPr>
                  <w:r w:rsidRPr="00172172">
                    <w:rPr>
                      <w:rFonts w:ascii="Arial Narrow" w:hAnsi="Arial Narrow"/>
                      <w:sz w:val="20"/>
                    </w:rPr>
                    <w:t>Powder for injection, 150 mg/1 mL</w:t>
                  </w:r>
                </w:p>
              </w:tc>
              <w:tc>
                <w:tcPr>
                  <w:tcW w:w="308" w:type="pct"/>
                </w:tcPr>
                <w:p w:rsidR="00340094" w:rsidRPr="00172172" w:rsidRDefault="00340094" w:rsidP="00420634">
                  <w:pPr>
                    <w:keepNext/>
                    <w:widowControl w:val="0"/>
                    <w:jc w:val="center"/>
                    <w:rPr>
                      <w:rFonts w:ascii="Arial Narrow" w:hAnsi="Arial Narrow"/>
                      <w:sz w:val="20"/>
                    </w:rPr>
                  </w:pPr>
                </w:p>
                <w:p w:rsidR="00664C2B" w:rsidRPr="00172172" w:rsidRDefault="00664C2B" w:rsidP="00420634">
                  <w:pPr>
                    <w:keepNext/>
                    <w:widowControl w:val="0"/>
                    <w:jc w:val="center"/>
                    <w:rPr>
                      <w:rFonts w:ascii="Arial Narrow" w:hAnsi="Arial Narrow"/>
                      <w:sz w:val="20"/>
                    </w:rPr>
                  </w:pPr>
                </w:p>
                <w:p w:rsidR="00340094" w:rsidRPr="00172172" w:rsidRDefault="00340094" w:rsidP="00420634">
                  <w:pPr>
                    <w:keepNext/>
                    <w:widowControl w:val="0"/>
                    <w:jc w:val="center"/>
                    <w:rPr>
                      <w:rFonts w:ascii="Arial Narrow" w:hAnsi="Arial Narrow"/>
                      <w:sz w:val="20"/>
                    </w:rPr>
                  </w:pPr>
                  <w:r w:rsidRPr="00172172">
                    <w:rPr>
                      <w:rFonts w:ascii="Arial Narrow" w:hAnsi="Arial Narrow"/>
                      <w:sz w:val="20"/>
                    </w:rPr>
                    <w:t>1+</w:t>
                  </w:r>
                </w:p>
              </w:tc>
              <w:tc>
                <w:tcPr>
                  <w:tcW w:w="473" w:type="pct"/>
                </w:tcPr>
                <w:p w:rsidR="00340094" w:rsidRPr="00172172" w:rsidRDefault="00340094" w:rsidP="00420634">
                  <w:pPr>
                    <w:keepNext/>
                    <w:widowControl w:val="0"/>
                    <w:jc w:val="center"/>
                    <w:rPr>
                      <w:rFonts w:ascii="Arial Narrow" w:hAnsi="Arial Narrow"/>
                      <w:sz w:val="20"/>
                    </w:rPr>
                  </w:pPr>
                </w:p>
                <w:p w:rsidR="00664C2B" w:rsidRPr="00172172" w:rsidRDefault="00664C2B" w:rsidP="00420634">
                  <w:pPr>
                    <w:keepNext/>
                    <w:widowControl w:val="0"/>
                    <w:jc w:val="center"/>
                    <w:rPr>
                      <w:rFonts w:ascii="Arial Narrow" w:hAnsi="Arial Narrow"/>
                      <w:sz w:val="20"/>
                    </w:rPr>
                  </w:pPr>
                </w:p>
                <w:p w:rsidR="00340094" w:rsidRPr="00172172" w:rsidRDefault="00340094" w:rsidP="00420634">
                  <w:pPr>
                    <w:keepNext/>
                    <w:widowControl w:val="0"/>
                    <w:jc w:val="center"/>
                    <w:rPr>
                      <w:rFonts w:ascii="Arial Narrow" w:hAnsi="Arial Narrow"/>
                      <w:sz w:val="20"/>
                    </w:rPr>
                  </w:pPr>
                  <w:r w:rsidRPr="00172172">
                    <w:rPr>
                      <w:rFonts w:ascii="Arial Narrow" w:hAnsi="Arial Narrow"/>
                      <w:sz w:val="20"/>
                    </w:rPr>
                    <w:t>5</w:t>
                  </w:r>
                </w:p>
              </w:tc>
              <w:tc>
                <w:tcPr>
                  <w:tcW w:w="968" w:type="pct"/>
                </w:tcPr>
                <w:p w:rsidR="00340094" w:rsidRPr="00172172" w:rsidRDefault="00340094" w:rsidP="00420634">
                  <w:pPr>
                    <w:keepNext/>
                    <w:widowControl w:val="0"/>
                    <w:jc w:val="center"/>
                    <w:rPr>
                      <w:rFonts w:ascii="Arial Narrow" w:hAnsi="Arial Narrow"/>
                      <w:sz w:val="20"/>
                    </w:rPr>
                  </w:pPr>
                </w:p>
                <w:p w:rsidR="00664C2B" w:rsidRPr="00172172" w:rsidRDefault="00664C2B" w:rsidP="00420634">
                  <w:pPr>
                    <w:keepNext/>
                    <w:widowControl w:val="0"/>
                    <w:jc w:val="center"/>
                    <w:rPr>
                      <w:rFonts w:ascii="Arial Narrow" w:hAnsi="Arial Narrow"/>
                      <w:sz w:val="20"/>
                    </w:rPr>
                  </w:pPr>
                </w:p>
                <w:p w:rsidR="00340094" w:rsidRPr="00172172" w:rsidRDefault="00340094" w:rsidP="00664C2B">
                  <w:pPr>
                    <w:keepNext/>
                    <w:widowControl w:val="0"/>
                    <w:jc w:val="center"/>
                    <w:rPr>
                      <w:rFonts w:ascii="Arial Narrow" w:hAnsi="Arial Narrow"/>
                      <w:sz w:val="20"/>
                    </w:rPr>
                  </w:pPr>
                  <w:r w:rsidRPr="00172172">
                    <w:rPr>
                      <w:rFonts w:ascii="Arial Narrow" w:hAnsi="Arial Narrow"/>
                      <w:sz w:val="20"/>
                    </w:rPr>
                    <w:t>$</w:t>
                  </w:r>
                  <w:r w:rsidR="00DC035A">
                    <w:rPr>
                      <w:rFonts w:ascii="Arial Narrow" w:hAnsi="Arial Narrow"/>
                      <w:noProof/>
                      <w:color w:val="000000"/>
                      <w:sz w:val="20"/>
                      <w:highlight w:val="black"/>
                    </w:rPr>
                    <w:t>'''''''''''''''''''''</w:t>
                  </w:r>
                </w:p>
              </w:tc>
              <w:tc>
                <w:tcPr>
                  <w:tcW w:w="489" w:type="pct"/>
                </w:tcPr>
                <w:p w:rsidR="00340094" w:rsidRPr="00172172" w:rsidRDefault="00340094" w:rsidP="00420634">
                  <w:pPr>
                    <w:keepNext/>
                    <w:widowControl w:val="0"/>
                    <w:jc w:val="center"/>
                    <w:rPr>
                      <w:rFonts w:ascii="Arial Narrow" w:hAnsi="Arial Narrow"/>
                      <w:sz w:val="20"/>
                    </w:rPr>
                  </w:pPr>
                </w:p>
                <w:p w:rsidR="00664C2B" w:rsidRPr="00172172" w:rsidRDefault="00664C2B" w:rsidP="00420634">
                  <w:pPr>
                    <w:keepNext/>
                    <w:widowControl w:val="0"/>
                    <w:jc w:val="center"/>
                    <w:rPr>
                      <w:rFonts w:ascii="Arial Narrow" w:hAnsi="Arial Narrow"/>
                      <w:sz w:val="20"/>
                    </w:rPr>
                  </w:pPr>
                </w:p>
                <w:p w:rsidR="00340094" w:rsidRPr="00172172" w:rsidRDefault="00340094" w:rsidP="00420634">
                  <w:pPr>
                    <w:keepNext/>
                    <w:widowControl w:val="0"/>
                    <w:jc w:val="center"/>
                    <w:rPr>
                      <w:rFonts w:ascii="Arial Narrow" w:hAnsi="Arial Narrow"/>
                      <w:sz w:val="20"/>
                    </w:rPr>
                  </w:pPr>
                  <w:r w:rsidRPr="00172172">
                    <w:rPr>
                      <w:rFonts w:ascii="Arial Narrow" w:hAnsi="Arial Narrow"/>
                      <w:sz w:val="20"/>
                    </w:rPr>
                    <w:t>I</w:t>
                  </w:r>
                  <w:r w:rsidR="00664C2B" w:rsidRPr="00172172">
                    <w:rPr>
                      <w:rFonts w:ascii="Arial Narrow" w:hAnsi="Arial Narrow"/>
                      <w:sz w:val="20"/>
                    </w:rPr>
                    <w:t>laris</w:t>
                  </w:r>
                  <w:r w:rsidRPr="00172172">
                    <w:rPr>
                      <w:rFonts w:ascii="Arial Narrow" w:hAnsi="Arial Narrow"/>
                      <w:sz w:val="20"/>
                      <w:vertAlign w:val="superscript"/>
                    </w:rPr>
                    <w:t>®</w:t>
                  </w:r>
                </w:p>
              </w:tc>
              <w:tc>
                <w:tcPr>
                  <w:tcW w:w="837" w:type="pct"/>
                </w:tcPr>
                <w:p w:rsidR="00340094" w:rsidRPr="00172172" w:rsidRDefault="00340094" w:rsidP="00420634">
                  <w:pPr>
                    <w:keepNext/>
                    <w:widowControl w:val="0"/>
                    <w:jc w:val="center"/>
                    <w:rPr>
                      <w:rFonts w:ascii="Arial Narrow" w:hAnsi="Arial Narrow"/>
                      <w:sz w:val="20"/>
                    </w:rPr>
                  </w:pPr>
                </w:p>
                <w:p w:rsidR="00664C2B" w:rsidRPr="00172172" w:rsidRDefault="00664C2B" w:rsidP="00420634">
                  <w:pPr>
                    <w:keepNext/>
                    <w:widowControl w:val="0"/>
                    <w:jc w:val="center"/>
                    <w:rPr>
                      <w:rFonts w:ascii="Arial Narrow" w:hAnsi="Arial Narrow"/>
                      <w:sz w:val="20"/>
                    </w:rPr>
                  </w:pPr>
                </w:p>
                <w:p w:rsidR="00340094" w:rsidRPr="00172172" w:rsidRDefault="00340094" w:rsidP="00420634">
                  <w:pPr>
                    <w:keepNext/>
                    <w:widowControl w:val="0"/>
                    <w:jc w:val="center"/>
                    <w:rPr>
                      <w:rFonts w:ascii="Arial Narrow" w:hAnsi="Arial Narrow"/>
                      <w:sz w:val="20"/>
                    </w:rPr>
                  </w:pPr>
                  <w:r w:rsidRPr="00172172">
                    <w:rPr>
                      <w:rFonts w:ascii="Arial Narrow" w:hAnsi="Arial Narrow"/>
                      <w:sz w:val="20"/>
                    </w:rPr>
                    <w:t>NV</w:t>
                  </w:r>
                </w:p>
              </w:tc>
            </w:tr>
            <w:tr w:rsidR="00340094" w:rsidRPr="00172172" w:rsidTr="00420634">
              <w:trPr>
                <w:cantSplit/>
                <w:trHeight w:val="577"/>
              </w:trPr>
              <w:tc>
                <w:tcPr>
                  <w:tcW w:w="1924" w:type="pct"/>
                </w:tcPr>
                <w:p w:rsidR="00664C2B" w:rsidRPr="00172172" w:rsidRDefault="00664C2B" w:rsidP="00420634">
                  <w:pPr>
                    <w:keepNext/>
                    <w:widowControl w:val="0"/>
                    <w:rPr>
                      <w:rFonts w:ascii="Arial Narrow" w:hAnsi="Arial Narrow"/>
                      <w:sz w:val="20"/>
                    </w:rPr>
                  </w:pPr>
                </w:p>
                <w:p w:rsidR="00340094" w:rsidRPr="00172172" w:rsidRDefault="00340094" w:rsidP="00420634">
                  <w:pPr>
                    <w:keepNext/>
                    <w:widowControl w:val="0"/>
                    <w:rPr>
                      <w:rFonts w:ascii="Arial Narrow" w:hAnsi="Arial Narrow"/>
                      <w:sz w:val="20"/>
                      <w:u w:val="single"/>
                    </w:rPr>
                  </w:pPr>
                  <w:r w:rsidRPr="00172172">
                    <w:rPr>
                      <w:rFonts w:ascii="Arial Narrow" w:hAnsi="Arial Narrow"/>
                      <w:sz w:val="20"/>
                      <w:u w:val="single"/>
                    </w:rPr>
                    <w:t>Initial</w:t>
                  </w:r>
                  <w:r w:rsidR="00664C2B" w:rsidRPr="00172172">
                    <w:rPr>
                      <w:rFonts w:ascii="Arial Narrow" w:hAnsi="Arial Narrow"/>
                      <w:sz w:val="20"/>
                      <w:u w:val="single"/>
                    </w:rPr>
                    <w:t xml:space="preserve"> </w:t>
                  </w:r>
                  <w:r w:rsidRPr="00172172">
                    <w:rPr>
                      <w:rFonts w:ascii="Arial Narrow" w:hAnsi="Arial Narrow"/>
                      <w:sz w:val="20"/>
                      <w:u w:val="single"/>
                    </w:rPr>
                    <w:t>2 Treatment</w:t>
                  </w:r>
                </w:p>
                <w:p w:rsidR="00340094" w:rsidRPr="00172172" w:rsidRDefault="00340094" w:rsidP="00420634">
                  <w:pPr>
                    <w:keepNext/>
                    <w:widowControl w:val="0"/>
                    <w:rPr>
                      <w:rFonts w:ascii="Arial Narrow" w:hAnsi="Arial Narrow"/>
                      <w:sz w:val="20"/>
                    </w:rPr>
                  </w:pPr>
                  <w:r w:rsidRPr="00172172">
                    <w:rPr>
                      <w:rFonts w:ascii="Arial Narrow" w:hAnsi="Arial Narrow"/>
                      <w:sz w:val="20"/>
                    </w:rPr>
                    <w:t>Powder for injection, 150 mg /1 mL</w:t>
                  </w:r>
                </w:p>
              </w:tc>
              <w:tc>
                <w:tcPr>
                  <w:tcW w:w="308" w:type="pct"/>
                </w:tcPr>
                <w:p w:rsidR="00664C2B" w:rsidRPr="00172172" w:rsidRDefault="00664C2B" w:rsidP="00420634">
                  <w:pPr>
                    <w:keepNext/>
                    <w:widowControl w:val="0"/>
                    <w:jc w:val="center"/>
                    <w:rPr>
                      <w:rFonts w:ascii="Arial Narrow" w:hAnsi="Arial Narrow"/>
                      <w:sz w:val="20"/>
                    </w:rPr>
                  </w:pPr>
                </w:p>
                <w:p w:rsidR="00664C2B" w:rsidRPr="00172172" w:rsidRDefault="00664C2B" w:rsidP="00664C2B">
                  <w:pPr>
                    <w:keepNext/>
                    <w:widowControl w:val="0"/>
                    <w:rPr>
                      <w:rFonts w:ascii="Arial Narrow" w:hAnsi="Arial Narrow"/>
                      <w:sz w:val="20"/>
                    </w:rPr>
                  </w:pPr>
                </w:p>
                <w:p w:rsidR="00340094" w:rsidRPr="00172172" w:rsidRDefault="00340094" w:rsidP="00420634">
                  <w:pPr>
                    <w:keepNext/>
                    <w:widowControl w:val="0"/>
                    <w:jc w:val="center"/>
                    <w:rPr>
                      <w:rFonts w:ascii="Arial Narrow" w:hAnsi="Arial Narrow"/>
                      <w:sz w:val="20"/>
                    </w:rPr>
                  </w:pPr>
                  <w:r w:rsidRPr="00172172">
                    <w:rPr>
                      <w:rFonts w:ascii="Arial Narrow" w:hAnsi="Arial Narrow"/>
                      <w:sz w:val="20"/>
                    </w:rPr>
                    <w:t>1</w:t>
                  </w:r>
                </w:p>
              </w:tc>
              <w:tc>
                <w:tcPr>
                  <w:tcW w:w="473" w:type="pct"/>
                </w:tcPr>
                <w:p w:rsidR="00664C2B" w:rsidRPr="00172172" w:rsidRDefault="00664C2B" w:rsidP="00420634">
                  <w:pPr>
                    <w:keepNext/>
                    <w:widowControl w:val="0"/>
                    <w:jc w:val="center"/>
                    <w:rPr>
                      <w:rFonts w:ascii="Arial Narrow" w:hAnsi="Arial Narrow"/>
                      <w:sz w:val="20"/>
                    </w:rPr>
                  </w:pPr>
                </w:p>
                <w:p w:rsidR="00664C2B" w:rsidRPr="00172172" w:rsidRDefault="00664C2B" w:rsidP="00664C2B">
                  <w:pPr>
                    <w:keepNext/>
                    <w:widowControl w:val="0"/>
                    <w:rPr>
                      <w:rFonts w:ascii="Arial Narrow" w:hAnsi="Arial Narrow"/>
                      <w:sz w:val="20"/>
                    </w:rPr>
                  </w:pPr>
                </w:p>
                <w:p w:rsidR="00340094" w:rsidRPr="00172172" w:rsidRDefault="00340094" w:rsidP="00420634">
                  <w:pPr>
                    <w:keepNext/>
                    <w:widowControl w:val="0"/>
                    <w:jc w:val="center"/>
                    <w:rPr>
                      <w:rFonts w:ascii="Arial Narrow" w:hAnsi="Arial Narrow"/>
                      <w:sz w:val="20"/>
                    </w:rPr>
                  </w:pPr>
                  <w:r w:rsidRPr="00172172">
                    <w:rPr>
                      <w:rFonts w:ascii="Arial Narrow" w:hAnsi="Arial Narrow"/>
                      <w:sz w:val="20"/>
                    </w:rPr>
                    <w:t>3</w:t>
                  </w:r>
                </w:p>
              </w:tc>
              <w:tc>
                <w:tcPr>
                  <w:tcW w:w="968" w:type="pct"/>
                </w:tcPr>
                <w:p w:rsidR="00664C2B" w:rsidRPr="00172172" w:rsidRDefault="00664C2B" w:rsidP="00420634">
                  <w:pPr>
                    <w:keepNext/>
                    <w:widowControl w:val="0"/>
                    <w:jc w:val="center"/>
                    <w:rPr>
                      <w:rFonts w:ascii="Arial Narrow" w:hAnsi="Arial Narrow"/>
                      <w:sz w:val="20"/>
                    </w:rPr>
                  </w:pPr>
                </w:p>
                <w:p w:rsidR="00664C2B" w:rsidRPr="00172172" w:rsidRDefault="00664C2B" w:rsidP="00664C2B">
                  <w:pPr>
                    <w:keepNext/>
                    <w:widowControl w:val="0"/>
                    <w:rPr>
                      <w:rFonts w:ascii="Arial Narrow" w:hAnsi="Arial Narrow"/>
                      <w:sz w:val="20"/>
                    </w:rPr>
                  </w:pPr>
                </w:p>
                <w:p w:rsidR="00340094" w:rsidRPr="00172172" w:rsidRDefault="00340094" w:rsidP="00420634">
                  <w:pPr>
                    <w:keepNext/>
                    <w:widowControl w:val="0"/>
                    <w:jc w:val="center"/>
                    <w:rPr>
                      <w:rFonts w:ascii="Arial Narrow" w:hAnsi="Arial Narrow"/>
                      <w:sz w:val="20"/>
                    </w:rPr>
                  </w:pPr>
                  <w:r w:rsidRPr="00172172">
                    <w:rPr>
                      <w:rFonts w:ascii="Arial Narrow" w:hAnsi="Arial Narrow"/>
                      <w:sz w:val="20"/>
                    </w:rPr>
                    <w:t>$</w:t>
                  </w:r>
                  <w:r w:rsidR="00DC035A">
                    <w:rPr>
                      <w:rFonts w:ascii="Arial Narrow" w:hAnsi="Arial Narrow"/>
                      <w:noProof/>
                      <w:color w:val="000000"/>
                      <w:sz w:val="20"/>
                      <w:highlight w:val="black"/>
                    </w:rPr>
                    <w:t>''''''''''''''''''''''</w:t>
                  </w:r>
                </w:p>
              </w:tc>
              <w:tc>
                <w:tcPr>
                  <w:tcW w:w="489" w:type="pct"/>
                </w:tcPr>
                <w:p w:rsidR="00664C2B" w:rsidRPr="00172172" w:rsidRDefault="00664C2B" w:rsidP="00420634">
                  <w:pPr>
                    <w:keepNext/>
                    <w:widowControl w:val="0"/>
                    <w:jc w:val="center"/>
                    <w:rPr>
                      <w:rFonts w:ascii="Arial Narrow" w:hAnsi="Arial Narrow"/>
                      <w:sz w:val="20"/>
                    </w:rPr>
                  </w:pPr>
                </w:p>
                <w:p w:rsidR="00664C2B" w:rsidRPr="00172172" w:rsidRDefault="00664C2B" w:rsidP="00664C2B">
                  <w:pPr>
                    <w:keepNext/>
                    <w:widowControl w:val="0"/>
                    <w:rPr>
                      <w:rFonts w:ascii="Arial Narrow" w:hAnsi="Arial Narrow"/>
                      <w:sz w:val="20"/>
                    </w:rPr>
                  </w:pPr>
                </w:p>
                <w:p w:rsidR="00340094" w:rsidRPr="00172172" w:rsidRDefault="00340094" w:rsidP="00420634">
                  <w:pPr>
                    <w:keepNext/>
                    <w:widowControl w:val="0"/>
                    <w:jc w:val="center"/>
                    <w:rPr>
                      <w:rFonts w:ascii="Arial Narrow" w:hAnsi="Arial Narrow"/>
                      <w:sz w:val="20"/>
                    </w:rPr>
                  </w:pPr>
                  <w:r w:rsidRPr="00172172">
                    <w:rPr>
                      <w:rFonts w:ascii="Arial Narrow" w:hAnsi="Arial Narrow"/>
                      <w:sz w:val="20"/>
                    </w:rPr>
                    <w:t>I</w:t>
                  </w:r>
                  <w:r w:rsidR="00664C2B" w:rsidRPr="00172172">
                    <w:rPr>
                      <w:rFonts w:ascii="Arial Narrow" w:hAnsi="Arial Narrow"/>
                      <w:sz w:val="20"/>
                    </w:rPr>
                    <w:t>laris</w:t>
                  </w:r>
                  <w:r w:rsidRPr="00172172">
                    <w:rPr>
                      <w:rFonts w:ascii="Arial Narrow" w:hAnsi="Arial Narrow"/>
                      <w:sz w:val="20"/>
                      <w:vertAlign w:val="superscript"/>
                    </w:rPr>
                    <w:t>®</w:t>
                  </w:r>
                </w:p>
              </w:tc>
              <w:tc>
                <w:tcPr>
                  <w:tcW w:w="837" w:type="pct"/>
                </w:tcPr>
                <w:p w:rsidR="00664C2B" w:rsidRPr="00172172" w:rsidRDefault="00664C2B" w:rsidP="00420634">
                  <w:pPr>
                    <w:keepNext/>
                    <w:widowControl w:val="0"/>
                    <w:jc w:val="center"/>
                    <w:rPr>
                      <w:rFonts w:ascii="Arial Narrow" w:hAnsi="Arial Narrow"/>
                      <w:sz w:val="20"/>
                    </w:rPr>
                  </w:pPr>
                </w:p>
                <w:p w:rsidR="00664C2B" w:rsidRPr="00172172" w:rsidRDefault="00664C2B" w:rsidP="00664C2B">
                  <w:pPr>
                    <w:keepNext/>
                    <w:widowControl w:val="0"/>
                    <w:rPr>
                      <w:rFonts w:ascii="Arial Narrow" w:hAnsi="Arial Narrow"/>
                      <w:sz w:val="20"/>
                    </w:rPr>
                  </w:pPr>
                </w:p>
                <w:p w:rsidR="00340094" w:rsidRPr="00172172" w:rsidRDefault="00340094" w:rsidP="00420634">
                  <w:pPr>
                    <w:keepNext/>
                    <w:widowControl w:val="0"/>
                    <w:jc w:val="center"/>
                    <w:rPr>
                      <w:rFonts w:ascii="Arial Narrow" w:hAnsi="Arial Narrow"/>
                      <w:sz w:val="20"/>
                    </w:rPr>
                  </w:pPr>
                  <w:r w:rsidRPr="00172172">
                    <w:rPr>
                      <w:rFonts w:ascii="Arial Narrow" w:hAnsi="Arial Narrow"/>
                      <w:sz w:val="20"/>
                    </w:rPr>
                    <w:t>NV</w:t>
                  </w:r>
                </w:p>
              </w:tc>
            </w:tr>
          </w:tbl>
          <w:p w:rsidR="00340094" w:rsidRPr="00755C64" w:rsidDel="00326EF0" w:rsidRDefault="00340094" w:rsidP="00420634">
            <w:pPr>
              <w:widowControl w:val="0"/>
              <w:jc w:val="left"/>
              <w:rPr>
                <w:b/>
                <w:sz w:val="20"/>
                <w:u w:val="single"/>
              </w:rPr>
            </w:pPr>
          </w:p>
        </w:tc>
      </w:tr>
    </w:tbl>
    <w:p w:rsidR="00340094" w:rsidRPr="009A7138" w:rsidRDefault="00340094" w:rsidP="00340094">
      <w:pPr>
        <w:rPr>
          <w:rFonts w:ascii="Arial Narrow" w:hAnsi="Arial Narrow"/>
          <w:sz w:val="20"/>
        </w:rPr>
      </w:pPr>
    </w:p>
    <w:p w:rsidR="00340094" w:rsidRPr="000E3D77" w:rsidRDefault="00340094" w:rsidP="00664C2B">
      <w:pPr>
        <w:rPr>
          <w:rFonts w:ascii="Arial Narrow" w:hAnsi="Arial Narrow"/>
          <w:b/>
          <w:sz w:val="20"/>
        </w:rPr>
      </w:pPr>
      <w:r w:rsidRPr="000E3D77">
        <w:rPr>
          <w:rFonts w:ascii="Arial Narrow" w:hAnsi="Arial Narrow"/>
          <w:b/>
          <w:sz w:val="20"/>
        </w:rPr>
        <w:t xml:space="preserve">Abbreviated </w:t>
      </w:r>
      <w:r w:rsidR="00664C2B">
        <w:rPr>
          <w:rFonts w:ascii="Arial Narrow" w:hAnsi="Arial Narrow"/>
          <w:b/>
          <w:sz w:val="20"/>
        </w:rPr>
        <w:t>restriction</w:t>
      </w:r>
    </w:p>
    <w:tbl>
      <w:tblPr>
        <w:tblStyle w:val="TableGrid"/>
        <w:tblW w:w="9072" w:type="dxa"/>
        <w:tblInd w:w="108" w:type="dxa"/>
        <w:tblLook w:val="04A0" w:firstRow="1" w:lastRow="0" w:firstColumn="1" w:lastColumn="0" w:noHBand="0" w:noVBand="1"/>
      </w:tblPr>
      <w:tblGrid>
        <w:gridCol w:w="1560"/>
        <w:gridCol w:w="7512"/>
      </w:tblGrid>
      <w:tr w:rsidR="00340094" w:rsidTr="00664C2B">
        <w:tc>
          <w:tcPr>
            <w:tcW w:w="9072" w:type="dxa"/>
            <w:gridSpan w:val="2"/>
          </w:tcPr>
          <w:p w:rsidR="00340094" w:rsidRPr="00B87F40" w:rsidRDefault="00340094" w:rsidP="00420634">
            <w:pPr>
              <w:rPr>
                <w:rFonts w:ascii="Arial Narrow" w:hAnsi="Arial Narrow"/>
                <w:b/>
                <w:sz w:val="20"/>
              </w:rPr>
            </w:pPr>
            <w:r w:rsidRPr="00B87F40">
              <w:rPr>
                <w:rFonts w:ascii="Arial Narrow" w:hAnsi="Arial Narrow"/>
                <w:b/>
                <w:sz w:val="20"/>
              </w:rPr>
              <w:t>Treatment phase: Initial 1 (new patient or patient recommencing after a break of more than 12 months)</w:t>
            </w:r>
          </w:p>
        </w:tc>
      </w:tr>
      <w:tr w:rsidR="00340094" w:rsidTr="00664C2B">
        <w:tc>
          <w:tcPr>
            <w:tcW w:w="1560" w:type="dxa"/>
          </w:tcPr>
          <w:p w:rsidR="00340094" w:rsidRPr="000E3D77" w:rsidRDefault="00340094" w:rsidP="00420634">
            <w:pPr>
              <w:rPr>
                <w:rFonts w:ascii="Arial Narrow" w:hAnsi="Arial Narrow"/>
                <w:sz w:val="20"/>
              </w:rPr>
            </w:pPr>
            <w:r>
              <w:rPr>
                <w:rFonts w:ascii="Arial Narrow" w:hAnsi="Arial Narrow"/>
                <w:sz w:val="20"/>
              </w:rPr>
              <w:t>Condition</w:t>
            </w:r>
          </w:p>
        </w:tc>
        <w:tc>
          <w:tcPr>
            <w:tcW w:w="7512" w:type="dxa"/>
          </w:tcPr>
          <w:p w:rsidR="00340094" w:rsidRPr="000E3D77" w:rsidRDefault="00340094" w:rsidP="00420634">
            <w:pPr>
              <w:rPr>
                <w:rFonts w:ascii="Arial Narrow" w:hAnsi="Arial Narrow"/>
                <w:sz w:val="20"/>
              </w:rPr>
            </w:pPr>
            <w:r>
              <w:rPr>
                <w:rFonts w:ascii="Arial Narrow" w:hAnsi="Arial Narrow"/>
                <w:sz w:val="20"/>
              </w:rPr>
              <w:t>S</w:t>
            </w:r>
            <w:r w:rsidRPr="000E3D77">
              <w:rPr>
                <w:rFonts w:ascii="Arial Narrow" w:hAnsi="Arial Narrow"/>
                <w:sz w:val="20"/>
              </w:rPr>
              <w:t>ystemic juvenile idiopathic arthritis</w:t>
            </w:r>
          </w:p>
        </w:tc>
      </w:tr>
      <w:tr w:rsidR="00340094" w:rsidTr="00664C2B">
        <w:tc>
          <w:tcPr>
            <w:tcW w:w="1560" w:type="dxa"/>
          </w:tcPr>
          <w:p w:rsidR="00340094" w:rsidRPr="000E3D77" w:rsidRDefault="00340094" w:rsidP="00420634">
            <w:pPr>
              <w:rPr>
                <w:rFonts w:ascii="Arial Narrow" w:hAnsi="Arial Narrow"/>
                <w:sz w:val="20"/>
              </w:rPr>
            </w:pPr>
            <w:r>
              <w:rPr>
                <w:rFonts w:ascii="Arial Narrow" w:hAnsi="Arial Narrow"/>
                <w:sz w:val="20"/>
              </w:rPr>
              <w:t>Restriction</w:t>
            </w:r>
          </w:p>
        </w:tc>
        <w:tc>
          <w:tcPr>
            <w:tcW w:w="7512" w:type="dxa"/>
          </w:tcPr>
          <w:p w:rsidR="00340094" w:rsidRPr="000E3D77" w:rsidRDefault="00340094" w:rsidP="00420634">
            <w:pPr>
              <w:rPr>
                <w:rFonts w:ascii="Arial Narrow" w:hAnsi="Arial Narrow"/>
                <w:sz w:val="20"/>
              </w:rPr>
            </w:pPr>
            <w:r>
              <w:rPr>
                <w:rFonts w:ascii="Arial Narrow" w:hAnsi="Arial Narrow"/>
                <w:sz w:val="20"/>
              </w:rPr>
              <w:t>Authority Required</w:t>
            </w:r>
            <w:r w:rsidR="00C5793C">
              <w:rPr>
                <w:rFonts w:ascii="Arial Narrow" w:hAnsi="Arial Narrow"/>
                <w:sz w:val="20"/>
              </w:rPr>
              <w:t xml:space="preserve"> (Written Only)</w:t>
            </w:r>
          </w:p>
        </w:tc>
      </w:tr>
      <w:tr w:rsidR="00340094" w:rsidTr="00664C2B">
        <w:tc>
          <w:tcPr>
            <w:tcW w:w="1560" w:type="dxa"/>
          </w:tcPr>
          <w:p w:rsidR="00340094" w:rsidRDefault="00340094" w:rsidP="00420634">
            <w:pPr>
              <w:rPr>
                <w:rFonts w:ascii="Arial Narrow" w:hAnsi="Arial Narrow"/>
                <w:sz w:val="20"/>
              </w:rPr>
            </w:pPr>
            <w:r>
              <w:rPr>
                <w:rFonts w:ascii="Arial Narrow" w:hAnsi="Arial Narrow"/>
                <w:sz w:val="20"/>
              </w:rPr>
              <w:t>Treatment criteria</w:t>
            </w:r>
          </w:p>
        </w:tc>
        <w:tc>
          <w:tcPr>
            <w:tcW w:w="7512" w:type="dxa"/>
          </w:tcPr>
          <w:p w:rsidR="00340094" w:rsidRDefault="00340094" w:rsidP="00420634">
            <w:pPr>
              <w:rPr>
                <w:rFonts w:ascii="Arial Narrow" w:hAnsi="Arial Narrow"/>
                <w:sz w:val="20"/>
              </w:rPr>
            </w:pPr>
            <w:r w:rsidRPr="000E3D77">
              <w:rPr>
                <w:rFonts w:ascii="Arial Narrow" w:hAnsi="Arial Narrow"/>
                <w:sz w:val="20"/>
              </w:rPr>
              <w:t>Initial treatment by a rheumatologist or patients must be undergoing treatment under the supervision of a rheumatology treatment centre</w:t>
            </w:r>
          </w:p>
        </w:tc>
      </w:tr>
      <w:tr w:rsidR="00340094" w:rsidTr="00664C2B">
        <w:tc>
          <w:tcPr>
            <w:tcW w:w="1560" w:type="dxa"/>
          </w:tcPr>
          <w:p w:rsidR="00340094" w:rsidRPr="000E3D77" w:rsidRDefault="00340094" w:rsidP="00420634">
            <w:pPr>
              <w:rPr>
                <w:rFonts w:ascii="Arial Narrow" w:hAnsi="Arial Narrow"/>
                <w:sz w:val="20"/>
              </w:rPr>
            </w:pPr>
            <w:r>
              <w:rPr>
                <w:rFonts w:ascii="Arial Narrow" w:hAnsi="Arial Narrow"/>
                <w:sz w:val="20"/>
              </w:rPr>
              <w:t>Clinical criteria</w:t>
            </w:r>
          </w:p>
        </w:tc>
        <w:tc>
          <w:tcPr>
            <w:tcW w:w="7512" w:type="dxa"/>
          </w:tcPr>
          <w:p w:rsidR="00340094" w:rsidRPr="000E3D77" w:rsidRDefault="00340094" w:rsidP="00420634">
            <w:pPr>
              <w:rPr>
                <w:rFonts w:ascii="Arial Narrow" w:hAnsi="Arial Narrow"/>
                <w:sz w:val="20"/>
              </w:rPr>
            </w:pPr>
            <w:r w:rsidRPr="000E3D77">
              <w:rPr>
                <w:rFonts w:ascii="Arial Narrow" w:hAnsi="Arial Narrow"/>
                <w:sz w:val="20"/>
              </w:rPr>
              <w:t>Patient has been diagnosed with systemic juvenile idiopathic arthritis</w:t>
            </w:r>
          </w:p>
          <w:p w:rsidR="00340094" w:rsidRPr="000E3D77" w:rsidRDefault="00340094" w:rsidP="00420634">
            <w:pPr>
              <w:rPr>
                <w:rFonts w:ascii="Arial Narrow" w:hAnsi="Arial Narrow"/>
                <w:sz w:val="20"/>
              </w:rPr>
            </w:pPr>
            <w:r w:rsidRPr="000E3D77">
              <w:rPr>
                <w:rFonts w:ascii="Arial Narrow" w:hAnsi="Arial Narrow"/>
                <w:sz w:val="20"/>
              </w:rPr>
              <w:t>AND either</w:t>
            </w:r>
          </w:p>
          <w:p w:rsidR="00340094" w:rsidRPr="000E3D77" w:rsidRDefault="00340094" w:rsidP="00490F0E">
            <w:pPr>
              <w:pStyle w:val="ListParagraph"/>
              <w:numPr>
                <w:ilvl w:val="0"/>
                <w:numId w:val="6"/>
              </w:numPr>
              <w:ind w:left="0" w:firstLine="0"/>
              <w:rPr>
                <w:rFonts w:ascii="Arial Narrow" w:hAnsi="Arial Narrow"/>
                <w:sz w:val="20"/>
              </w:rPr>
            </w:pPr>
            <w:r w:rsidRPr="000E3D77">
              <w:rPr>
                <w:rFonts w:ascii="Arial Narrow" w:hAnsi="Arial Narrow"/>
                <w:sz w:val="20"/>
              </w:rPr>
              <w:t>Failure to achieve an adequate response to the following treatment regimen:</w:t>
            </w:r>
          </w:p>
          <w:p w:rsidR="00340094" w:rsidRPr="000E3D77" w:rsidRDefault="00340094" w:rsidP="00420634">
            <w:pPr>
              <w:rPr>
                <w:rFonts w:ascii="Arial Narrow" w:hAnsi="Arial Narrow"/>
                <w:sz w:val="20"/>
              </w:rPr>
            </w:pPr>
            <w:r w:rsidRPr="000E3D77">
              <w:rPr>
                <w:rFonts w:ascii="Arial Narrow" w:hAnsi="Arial Narrow"/>
                <w:sz w:val="20"/>
              </w:rPr>
              <w:t>Oral or parenteral methotrexate at a dose of at least 15 mg per square meter weekly, alone or in combination with oral or intra-articular corticosteroids for a minimum of 3 months;</w:t>
            </w:r>
          </w:p>
          <w:p w:rsidR="00340094" w:rsidRPr="000E3D77" w:rsidRDefault="00340094" w:rsidP="00420634">
            <w:pPr>
              <w:rPr>
                <w:rFonts w:ascii="Arial Narrow" w:hAnsi="Arial Narrow"/>
                <w:sz w:val="20"/>
              </w:rPr>
            </w:pPr>
            <w:r w:rsidRPr="000E3D77">
              <w:rPr>
                <w:rFonts w:ascii="Arial Narrow" w:hAnsi="Arial Narrow"/>
                <w:sz w:val="20"/>
              </w:rPr>
              <w:t>OR</w:t>
            </w:r>
          </w:p>
          <w:p w:rsidR="00340094" w:rsidRPr="000E3D77" w:rsidRDefault="00340094" w:rsidP="00490F0E">
            <w:pPr>
              <w:pStyle w:val="ListParagraph"/>
              <w:numPr>
                <w:ilvl w:val="0"/>
                <w:numId w:val="6"/>
              </w:numPr>
              <w:ind w:left="0" w:firstLine="0"/>
              <w:rPr>
                <w:rFonts w:ascii="Arial Narrow" w:hAnsi="Arial Narrow"/>
                <w:sz w:val="20"/>
              </w:rPr>
            </w:pPr>
            <w:r w:rsidRPr="000E3D77">
              <w:rPr>
                <w:rFonts w:ascii="Arial Narrow" w:hAnsi="Arial Narrow"/>
                <w:sz w:val="20"/>
              </w:rPr>
              <w:t>Severe intolerance of, or toxicity due to methotrexate</w:t>
            </w:r>
          </w:p>
          <w:p w:rsidR="00340094" w:rsidRPr="000E3D77" w:rsidRDefault="00340094" w:rsidP="00420634">
            <w:pPr>
              <w:rPr>
                <w:rFonts w:ascii="Arial Narrow" w:hAnsi="Arial Narrow"/>
                <w:sz w:val="20"/>
              </w:rPr>
            </w:pPr>
            <w:r w:rsidRPr="000E3D77">
              <w:rPr>
                <w:rFonts w:ascii="Arial Narrow" w:hAnsi="Arial Narrow"/>
                <w:sz w:val="20"/>
              </w:rPr>
              <w:t>OR</w:t>
            </w:r>
          </w:p>
          <w:p w:rsidR="00340094" w:rsidRPr="000E3D77" w:rsidRDefault="00340094" w:rsidP="00420634">
            <w:pPr>
              <w:rPr>
                <w:rFonts w:ascii="Arial Narrow" w:hAnsi="Arial Narrow"/>
                <w:sz w:val="20"/>
              </w:rPr>
            </w:pPr>
            <w:r w:rsidRPr="000E3D77">
              <w:rPr>
                <w:rFonts w:ascii="Arial Narrow" w:hAnsi="Arial Narrow"/>
                <w:sz w:val="20"/>
              </w:rPr>
              <w:t>iii)</w:t>
            </w:r>
            <w:r w:rsidRPr="000E3D77">
              <w:rPr>
                <w:rFonts w:ascii="Arial Narrow" w:hAnsi="Arial Narrow"/>
                <w:sz w:val="20"/>
              </w:rPr>
              <w:tab/>
              <w:t>Has refractory symptoms demonstrated by</w:t>
            </w:r>
          </w:p>
          <w:p w:rsidR="00340094" w:rsidRPr="000E3D77" w:rsidRDefault="00340094" w:rsidP="00420634">
            <w:pPr>
              <w:rPr>
                <w:rFonts w:ascii="Arial Narrow" w:hAnsi="Arial Narrow"/>
                <w:sz w:val="20"/>
              </w:rPr>
            </w:pPr>
            <w:r w:rsidRPr="000E3D77">
              <w:rPr>
                <w:rFonts w:ascii="Arial Narrow" w:hAnsi="Arial Narrow"/>
                <w:sz w:val="20"/>
              </w:rPr>
              <w:t>An inability to decrease and maintain the dose of prednisolone (or equivalent) below 0.5</w:t>
            </w:r>
            <w:r>
              <w:rPr>
                <w:rFonts w:ascii="Arial Narrow" w:hAnsi="Arial Narrow"/>
                <w:sz w:val="20"/>
              </w:rPr>
              <w:t xml:space="preserve"> </w:t>
            </w:r>
            <w:r w:rsidRPr="000E3D77">
              <w:rPr>
                <w:rFonts w:ascii="Arial Narrow" w:hAnsi="Arial Narrow"/>
                <w:sz w:val="20"/>
              </w:rPr>
              <w:t>mg per kg per day following a minimum of 2 months of therapy</w:t>
            </w:r>
          </w:p>
          <w:p w:rsidR="00340094" w:rsidRPr="000E3D77" w:rsidRDefault="00340094" w:rsidP="00420634">
            <w:pPr>
              <w:rPr>
                <w:rFonts w:ascii="Arial Narrow" w:hAnsi="Arial Narrow"/>
                <w:sz w:val="20"/>
              </w:rPr>
            </w:pPr>
            <w:r w:rsidRPr="000E3D77">
              <w:rPr>
                <w:rFonts w:ascii="Arial Narrow" w:hAnsi="Arial Narrow"/>
                <w:sz w:val="20"/>
              </w:rPr>
              <w:t>AND</w:t>
            </w:r>
          </w:p>
          <w:p w:rsidR="00340094" w:rsidRPr="000E3D77" w:rsidRDefault="00340094" w:rsidP="00420634">
            <w:pPr>
              <w:rPr>
                <w:rFonts w:ascii="Arial Narrow" w:hAnsi="Arial Narrow"/>
                <w:sz w:val="20"/>
              </w:rPr>
            </w:pPr>
            <w:r w:rsidRPr="000E3D77">
              <w:rPr>
                <w:rFonts w:ascii="Arial Narrow" w:hAnsi="Arial Narrow"/>
                <w:sz w:val="20"/>
              </w:rPr>
              <w:t>Has not received PBS- subsidised treatment with canakinumab for this condition in the previous 12 months</w:t>
            </w:r>
          </w:p>
          <w:p w:rsidR="00872A39" w:rsidRPr="000E3D77" w:rsidRDefault="00872A39" w:rsidP="00172172">
            <w:pPr>
              <w:rPr>
                <w:rFonts w:ascii="Arial Narrow" w:hAnsi="Arial Narrow"/>
                <w:sz w:val="20"/>
              </w:rPr>
            </w:pPr>
          </w:p>
        </w:tc>
      </w:tr>
      <w:tr w:rsidR="00340094" w:rsidTr="00664C2B">
        <w:tc>
          <w:tcPr>
            <w:tcW w:w="1560" w:type="dxa"/>
          </w:tcPr>
          <w:p w:rsidR="00340094" w:rsidRDefault="009B7789" w:rsidP="00420634">
            <w:pPr>
              <w:rPr>
                <w:rFonts w:ascii="Arial Narrow" w:hAnsi="Arial Narrow"/>
                <w:sz w:val="20"/>
              </w:rPr>
            </w:pPr>
            <w:r>
              <w:rPr>
                <w:rFonts w:ascii="Arial Narrow" w:hAnsi="Arial Narrow"/>
                <w:sz w:val="20"/>
              </w:rPr>
              <w:t>Prescriber Instructions</w:t>
            </w:r>
          </w:p>
        </w:tc>
        <w:tc>
          <w:tcPr>
            <w:tcW w:w="7512" w:type="dxa"/>
          </w:tcPr>
          <w:p w:rsidR="00340094" w:rsidRDefault="00340094" w:rsidP="00420634">
            <w:pPr>
              <w:rPr>
                <w:rFonts w:ascii="Arial Narrow" w:hAnsi="Arial Narrow"/>
                <w:sz w:val="20"/>
              </w:rPr>
            </w:pPr>
            <w:r>
              <w:rPr>
                <w:rFonts w:ascii="Arial Narrow" w:hAnsi="Arial Narrow"/>
                <w:sz w:val="20"/>
              </w:rPr>
              <w:t>Maximum of 16 weeks of treatment authorised under this restriction.</w:t>
            </w:r>
          </w:p>
          <w:p w:rsidR="009B7789" w:rsidRPr="000E3D77" w:rsidRDefault="009B7789" w:rsidP="00420634">
            <w:pPr>
              <w:rPr>
                <w:rFonts w:ascii="Arial Narrow" w:hAnsi="Arial Narrow"/>
                <w:sz w:val="20"/>
              </w:rPr>
            </w:pPr>
          </w:p>
        </w:tc>
      </w:tr>
    </w:tbl>
    <w:p w:rsidR="00340094" w:rsidRPr="00664C2B" w:rsidRDefault="00340094" w:rsidP="00664C2B">
      <w:pPr>
        <w:widowControl w:val="0"/>
        <w:contextualSpacing/>
        <w:rPr>
          <w:szCs w:val="22"/>
        </w:rPr>
      </w:pPr>
      <w:r w:rsidRPr="00B87F40">
        <w:rPr>
          <w:rFonts w:ascii="Arial Narrow" w:hAnsi="Arial Narrow"/>
          <w:sz w:val="18"/>
          <w:szCs w:val="18"/>
        </w:rPr>
        <w:lastRenderedPageBreak/>
        <w:t>+Canakinumab is registered in quantities of 1 or 4, with or without diluent. The information provided in the Table is based on a single vial which is the most likely quantity to be described</w:t>
      </w:r>
    </w:p>
    <w:p w:rsidR="00340094" w:rsidRDefault="00340094" w:rsidP="00340094">
      <w:pPr>
        <w:pStyle w:val="ListParagraph"/>
        <w:rPr>
          <w:szCs w:val="22"/>
        </w:rPr>
      </w:pPr>
    </w:p>
    <w:p w:rsidR="00872A39" w:rsidRPr="0059047C" w:rsidRDefault="00872A39" w:rsidP="00872A39">
      <w:pPr>
        <w:rPr>
          <w:rFonts w:ascii="Arial Narrow" w:hAnsi="Arial Narrow"/>
          <w:b/>
          <w:sz w:val="20"/>
        </w:rPr>
      </w:pPr>
    </w:p>
    <w:tbl>
      <w:tblPr>
        <w:tblStyle w:val="TableGrid"/>
        <w:tblW w:w="0" w:type="auto"/>
        <w:tblLook w:val="04A0" w:firstRow="1" w:lastRow="0" w:firstColumn="1" w:lastColumn="0" w:noHBand="0" w:noVBand="1"/>
      </w:tblPr>
      <w:tblGrid>
        <w:gridCol w:w="1668"/>
        <w:gridCol w:w="7574"/>
      </w:tblGrid>
      <w:tr w:rsidR="00872A39" w:rsidTr="00434EF0">
        <w:tc>
          <w:tcPr>
            <w:tcW w:w="9242" w:type="dxa"/>
            <w:gridSpan w:val="2"/>
          </w:tcPr>
          <w:p w:rsidR="00872A39" w:rsidRPr="00BC1890" w:rsidRDefault="00872A39" w:rsidP="00434EF0">
            <w:pPr>
              <w:rPr>
                <w:rFonts w:ascii="Arial Narrow" w:hAnsi="Arial Narrow"/>
                <w:sz w:val="20"/>
              </w:rPr>
            </w:pPr>
            <w:r>
              <w:rPr>
                <w:b/>
                <w:sz w:val="20"/>
              </w:rPr>
              <w:t xml:space="preserve">Treatment phase: </w:t>
            </w:r>
            <w:r w:rsidRPr="00BC1890">
              <w:rPr>
                <w:rFonts w:ascii="Arial Narrow" w:hAnsi="Arial Narrow"/>
                <w:sz w:val="20"/>
              </w:rPr>
              <w:t>Initial 2 (retrial or recommencement of treatment after a break of less than 12 months)</w:t>
            </w:r>
          </w:p>
        </w:tc>
      </w:tr>
      <w:tr w:rsidR="00872A39" w:rsidRPr="004873C2" w:rsidTr="00872A39">
        <w:tc>
          <w:tcPr>
            <w:tcW w:w="1668" w:type="dxa"/>
          </w:tcPr>
          <w:p w:rsidR="00872A39" w:rsidRPr="004873C2" w:rsidRDefault="00872A39" w:rsidP="00434EF0">
            <w:pPr>
              <w:rPr>
                <w:rFonts w:ascii="Arial Narrow" w:hAnsi="Arial Narrow"/>
                <w:sz w:val="20"/>
              </w:rPr>
            </w:pPr>
            <w:r>
              <w:rPr>
                <w:rFonts w:ascii="Arial Narrow" w:hAnsi="Arial Narrow"/>
                <w:sz w:val="20"/>
              </w:rPr>
              <w:t>Condition</w:t>
            </w:r>
          </w:p>
        </w:tc>
        <w:tc>
          <w:tcPr>
            <w:tcW w:w="7574" w:type="dxa"/>
          </w:tcPr>
          <w:p w:rsidR="00872A39" w:rsidRPr="004873C2" w:rsidRDefault="00872A39" w:rsidP="00434EF0">
            <w:pPr>
              <w:rPr>
                <w:rFonts w:ascii="Arial Narrow" w:hAnsi="Arial Narrow"/>
                <w:sz w:val="20"/>
              </w:rPr>
            </w:pPr>
            <w:r>
              <w:rPr>
                <w:rFonts w:ascii="Arial Narrow" w:hAnsi="Arial Narrow"/>
                <w:sz w:val="20"/>
              </w:rPr>
              <w:t>Systemic juvenile idiopathic arthritis</w:t>
            </w:r>
          </w:p>
        </w:tc>
      </w:tr>
      <w:tr w:rsidR="00872A39" w:rsidRPr="004873C2" w:rsidTr="00872A39">
        <w:tc>
          <w:tcPr>
            <w:tcW w:w="1668" w:type="dxa"/>
          </w:tcPr>
          <w:p w:rsidR="00872A39" w:rsidRPr="004873C2" w:rsidRDefault="00872A39" w:rsidP="00434EF0">
            <w:pPr>
              <w:rPr>
                <w:rFonts w:ascii="Arial Narrow" w:hAnsi="Arial Narrow"/>
                <w:sz w:val="20"/>
              </w:rPr>
            </w:pPr>
            <w:r>
              <w:rPr>
                <w:rFonts w:ascii="Arial Narrow" w:hAnsi="Arial Narrow"/>
                <w:sz w:val="20"/>
              </w:rPr>
              <w:t>Restriction</w:t>
            </w:r>
          </w:p>
        </w:tc>
        <w:tc>
          <w:tcPr>
            <w:tcW w:w="7574" w:type="dxa"/>
          </w:tcPr>
          <w:p w:rsidR="00872A39" w:rsidRPr="004873C2" w:rsidRDefault="00872A39" w:rsidP="00434EF0">
            <w:pPr>
              <w:rPr>
                <w:rFonts w:ascii="Arial Narrow" w:hAnsi="Arial Narrow"/>
                <w:sz w:val="20"/>
              </w:rPr>
            </w:pPr>
            <w:r>
              <w:rPr>
                <w:rFonts w:ascii="Arial Narrow" w:hAnsi="Arial Narrow"/>
                <w:sz w:val="20"/>
              </w:rPr>
              <w:t>Authority Required</w:t>
            </w:r>
          </w:p>
        </w:tc>
      </w:tr>
      <w:tr w:rsidR="00872A39" w:rsidRPr="004873C2" w:rsidTr="00872A39">
        <w:tc>
          <w:tcPr>
            <w:tcW w:w="1668" w:type="dxa"/>
          </w:tcPr>
          <w:p w:rsidR="00872A39" w:rsidRPr="004873C2" w:rsidRDefault="00872A39" w:rsidP="00434EF0">
            <w:pPr>
              <w:rPr>
                <w:rFonts w:ascii="Arial Narrow" w:hAnsi="Arial Narrow"/>
                <w:sz w:val="20"/>
              </w:rPr>
            </w:pPr>
            <w:r>
              <w:rPr>
                <w:rFonts w:ascii="Arial Narrow" w:hAnsi="Arial Narrow"/>
                <w:sz w:val="20"/>
              </w:rPr>
              <w:t>Treatment criteria</w:t>
            </w:r>
          </w:p>
        </w:tc>
        <w:tc>
          <w:tcPr>
            <w:tcW w:w="7574" w:type="dxa"/>
          </w:tcPr>
          <w:p w:rsidR="00872A39" w:rsidRPr="00D00F4E" w:rsidRDefault="002C5CEE" w:rsidP="002C5CEE">
            <w:pPr>
              <w:rPr>
                <w:rFonts w:ascii="Arial Narrow" w:hAnsi="Arial Narrow"/>
                <w:sz w:val="20"/>
              </w:rPr>
            </w:pPr>
            <w:r w:rsidRPr="002C5CEE">
              <w:rPr>
                <w:rFonts w:ascii="Arial Narrow" w:hAnsi="Arial Narrow" w:cs="Times New Roman"/>
                <w:snapToGrid/>
                <w:sz w:val="20"/>
                <w:szCs w:val="24"/>
              </w:rPr>
              <w:t>Must be treated by a rheumatologist or patients must be undergoing treatment under the supervision of a rheumatology treatment centre.</w:t>
            </w:r>
          </w:p>
        </w:tc>
      </w:tr>
      <w:tr w:rsidR="00872A39" w:rsidRPr="004873C2" w:rsidTr="00872A39">
        <w:tc>
          <w:tcPr>
            <w:tcW w:w="1668" w:type="dxa"/>
          </w:tcPr>
          <w:p w:rsidR="00872A39" w:rsidRPr="004873C2" w:rsidRDefault="00872A39" w:rsidP="00434EF0">
            <w:pPr>
              <w:rPr>
                <w:rFonts w:ascii="Arial Narrow" w:hAnsi="Arial Narrow"/>
                <w:sz w:val="20"/>
              </w:rPr>
            </w:pPr>
            <w:r>
              <w:rPr>
                <w:rFonts w:ascii="Arial Narrow" w:hAnsi="Arial Narrow"/>
                <w:sz w:val="20"/>
              </w:rPr>
              <w:t>Clinical criteria</w:t>
            </w:r>
          </w:p>
        </w:tc>
        <w:tc>
          <w:tcPr>
            <w:tcW w:w="7574" w:type="dxa"/>
          </w:tcPr>
          <w:p w:rsidR="00872A39" w:rsidRPr="00BC1890" w:rsidRDefault="00872A39" w:rsidP="00434EF0">
            <w:pPr>
              <w:rPr>
                <w:rFonts w:ascii="Arial Narrow" w:hAnsi="Arial Narrow"/>
                <w:sz w:val="20"/>
              </w:rPr>
            </w:pPr>
            <w:r w:rsidRPr="00BC1890">
              <w:rPr>
                <w:rFonts w:ascii="Arial Narrow" w:hAnsi="Arial Narrow"/>
                <w:sz w:val="20"/>
              </w:rPr>
              <w:t>a.</w:t>
            </w:r>
            <w:r w:rsidRPr="00BC1890">
              <w:rPr>
                <w:rFonts w:ascii="Arial Narrow" w:hAnsi="Arial Narrow"/>
                <w:sz w:val="20"/>
              </w:rPr>
              <w:tab/>
              <w:t>Patient has been diagnosed with systemic juvenile idiopathic arthritis; AND</w:t>
            </w:r>
          </w:p>
          <w:p w:rsidR="00872A39" w:rsidRPr="00BC1890" w:rsidRDefault="00872A39" w:rsidP="00434EF0">
            <w:pPr>
              <w:rPr>
                <w:rFonts w:ascii="Arial Narrow" w:hAnsi="Arial Narrow"/>
                <w:sz w:val="20"/>
              </w:rPr>
            </w:pPr>
            <w:r w:rsidRPr="00BC1890">
              <w:rPr>
                <w:rFonts w:ascii="Arial Narrow" w:hAnsi="Arial Narrow"/>
                <w:sz w:val="20"/>
              </w:rPr>
              <w:t>b.</w:t>
            </w:r>
            <w:r w:rsidRPr="00BC1890">
              <w:rPr>
                <w:rFonts w:ascii="Arial Narrow" w:hAnsi="Arial Narrow"/>
                <w:sz w:val="20"/>
              </w:rPr>
              <w:tab/>
              <w:t>Has received PBS-subsidised treatment with canakinumab for this condition in the previous 12 months; AND</w:t>
            </w:r>
          </w:p>
          <w:p w:rsidR="00872A39" w:rsidRPr="00BC1890" w:rsidRDefault="00872A39" w:rsidP="00434EF0">
            <w:r w:rsidRPr="00BC1890">
              <w:rPr>
                <w:rFonts w:ascii="Arial Narrow" w:hAnsi="Arial Narrow"/>
                <w:sz w:val="20"/>
              </w:rPr>
              <w:t>c.</w:t>
            </w:r>
            <w:r w:rsidRPr="00BC1890">
              <w:rPr>
                <w:rFonts w:ascii="Arial Narrow" w:hAnsi="Arial Narrow"/>
                <w:sz w:val="20"/>
              </w:rPr>
              <w:tab/>
              <w:t>Has not failed PBS-subsidised therapy with canakinumab for this condition more than once in the current treatment cycle.</w:t>
            </w:r>
          </w:p>
        </w:tc>
      </w:tr>
    </w:tbl>
    <w:p w:rsidR="00872A39" w:rsidRDefault="00872A39" w:rsidP="00872A39"/>
    <w:p w:rsidR="00872A39" w:rsidRPr="0059047C" w:rsidRDefault="00872A39" w:rsidP="00872A39">
      <w:pPr>
        <w:rPr>
          <w:rFonts w:ascii="Arial Narrow" w:hAnsi="Arial Narrow"/>
          <w:b/>
          <w:sz w:val="20"/>
        </w:rPr>
      </w:pPr>
    </w:p>
    <w:tbl>
      <w:tblPr>
        <w:tblStyle w:val="TableGrid"/>
        <w:tblW w:w="0" w:type="auto"/>
        <w:tblLook w:val="04A0" w:firstRow="1" w:lastRow="0" w:firstColumn="1" w:lastColumn="0" w:noHBand="0" w:noVBand="1"/>
      </w:tblPr>
      <w:tblGrid>
        <w:gridCol w:w="1668"/>
        <w:gridCol w:w="7574"/>
      </w:tblGrid>
      <w:tr w:rsidR="00872A39" w:rsidTr="00434EF0">
        <w:tc>
          <w:tcPr>
            <w:tcW w:w="9242" w:type="dxa"/>
            <w:gridSpan w:val="2"/>
          </w:tcPr>
          <w:p w:rsidR="00872A39" w:rsidRPr="00872A39" w:rsidRDefault="00872A39" w:rsidP="00434EF0">
            <w:pPr>
              <w:rPr>
                <w:rFonts w:ascii="Arial Narrow" w:hAnsi="Arial Narrow"/>
                <w:sz w:val="20"/>
              </w:rPr>
            </w:pPr>
            <w:r w:rsidRPr="00872A39">
              <w:rPr>
                <w:rFonts w:ascii="Arial Narrow" w:hAnsi="Arial Narrow"/>
                <w:b/>
                <w:sz w:val="20"/>
              </w:rPr>
              <w:t>Treatment phase: Continuing Treatment</w:t>
            </w:r>
          </w:p>
        </w:tc>
      </w:tr>
      <w:tr w:rsidR="00872A39" w:rsidRPr="004873C2" w:rsidTr="00872A39">
        <w:tc>
          <w:tcPr>
            <w:tcW w:w="1668" w:type="dxa"/>
          </w:tcPr>
          <w:p w:rsidR="00872A39" w:rsidRPr="004873C2" w:rsidRDefault="00872A39" w:rsidP="00434EF0">
            <w:pPr>
              <w:rPr>
                <w:rFonts w:ascii="Arial Narrow" w:hAnsi="Arial Narrow"/>
                <w:sz w:val="20"/>
              </w:rPr>
            </w:pPr>
            <w:r>
              <w:rPr>
                <w:rFonts w:ascii="Arial Narrow" w:hAnsi="Arial Narrow"/>
                <w:sz w:val="20"/>
              </w:rPr>
              <w:t>Condition</w:t>
            </w:r>
          </w:p>
        </w:tc>
        <w:tc>
          <w:tcPr>
            <w:tcW w:w="7574" w:type="dxa"/>
          </w:tcPr>
          <w:p w:rsidR="00872A39" w:rsidRPr="004873C2" w:rsidRDefault="00872A39" w:rsidP="00434EF0">
            <w:pPr>
              <w:rPr>
                <w:rFonts w:ascii="Arial Narrow" w:hAnsi="Arial Narrow"/>
                <w:sz w:val="20"/>
              </w:rPr>
            </w:pPr>
            <w:r>
              <w:rPr>
                <w:rFonts w:ascii="Arial Narrow" w:hAnsi="Arial Narrow"/>
                <w:sz w:val="20"/>
              </w:rPr>
              <w:t>Systemic juvenile idiopathic arthritis</w:t>
            </w:r>
          </w:p>
        </w:tc>
      </w:tr>
      <w:tr w:rsidR="00872A39" w:rsidRPr="004873C2" w:rsidTr="00872A39">
        <w:tc>
          <w:tcPr>
            <w:tcW w:w="1668" w:type="dxa"/>
          </w:tcPr>
          <w:p w:rsidR="00872A39" w:rsidRPr="004873C2" w:rsidRDefault="00872A39" w:rsidP="00434EF0">
            <w:pPr>
              <w:rPr>
                <w:rFonts w:ascii="Arial Narrow" w:hAnsi="Arial Narrow"/>
                <w:sz w:val="20"/>
              </w:rPr>
            </w:pPr>
            <w:r>
              <w:rPr>
                <w:rFonts w:ascii="Arial Narrow" w:hAnsi="Arial Narrow"/>
                <w:sz w:val="20"/>
              </w:rPr>
              <w:t>Restriction</w:t>
            </w:r>
          </w:p>
        </w:tc>
        <w:tc>
          <w:tcPr>
            <w:tcW w:w="7574" w:type="dxa"/>
          </w:tcPr>
          <w:p w:rsidR="00872A39" w:rsidRPr="004873C2" w:rsidRDefault="00872A39" w:rsidP="00434EF0">
            <w:pPr>
              <w:rPr>
                <w:rFonts w:ascii="Arial Narrow" w:hAnsi="Arial Narrow"/>
                <w:sz w:val="20"/>
              </w:rPr>
            </w:pPr>
            <w:r>
              <w:rPr>
                <w:rFonts w:ascii="Arial Narrow" w:hAnsi="Arial Narrow"/>
                <w:sz w:val="20"/>
              </w:rPr>
              <w:t>Authority Required</w:t>
            </w:r>
          </w:p>
        </w:tc>
      </w:tr>
      <w:tr w:rsidR="00872A39" w:rsidRPr="004873C2" w:rsidTr="00872A39">
        <w:tc>
          <w:tcPr>
            <w:tcW w:w="1668" w:type="dxa"/>
          </w:tcPr>
          <w:p w:rsidR="00872A39" w:rsidRPr="004873C2" w:rsidRDefault="00872A39" w:rsidP="00434EF0">
            <w:pPr>
              <w:rPr>
                <w:rFonts w:ascii="Arial Narrow" w:hAnsi="Arial Narrow"/>
                <w:sz w:val="20"/>
              </w:rPr>
            </w:pPr>
            <w:r>
              <w:rPr>
                <w:rFonts w:ascii="Arial Narrow" w:hAnsi="Arial Narrow"/>
                <w:sz w:val="20"/>
              </w:rPr>
              <w:t>Treatment criteria</w:t>
            </w:r>
          </w:p>
        </w:tc>
        <w:tc>
          <w:tcPr>
            <w:tcW w:w="7574" w:type="dxa"/>
          </w:tcPr>
          <w:p w:rsidR="00872A39" w:rsidRPr="00D00F4E" w:rsidRDefault="002C5CEE" w:rsidP="002C5CEE">
            <w:pPr>
              <w:rPr>
                <w:rFonts w:ascii="Arial Narrow" w:hAnsi="Arial Narrow"/>
                <w:sz w:val="20"/>
              </w:rPr>
            </w:pPr>
            <w:r w:rsidRPr="002C5CEE">
              <w:rPr>
                <w:rFonts w:ascii="Arial Narrow" w:hAnsi="Arial Narrow" w:cs="Times New Roman"/>
                <w:snapToGrid/>
                <w:sz w:val="20"/>
                <w:szCs w:val="24"/>
              </w:rPr>
              <w:t>Must be treated by a rheumatologist or patients must be undergoing treatment under the supervision of a rheumatology treatment centre</w:t>
            </w:r>
            <w:r>
              <w:rPr>
                <w:rFonts w:ascii="Arial Narrow" w:hAnsi="Arial Narrow" w:cs="Times New Roman"/>
                <w:snapToGrid/>
                <w:sz w:val="20"/>
                <w:szCs w:val="24"/>
              </w:rPr>
              <w:t>.</w:t>
            </w:r>
          </w:p>
        </w:tc>
      </w:tr>
      <w:tr w:rsidR="00872A39" w:rsidRPr="004873C2" w:rsidTr="00872A39">
        <w:tc>
          <w:tcPr>
            <w:tcW w:w="1668" w:type="dxa"/>
          </w:tcPr>
          <w:p w:rsidR="00872A39" w:rsidRPr="004873C2" w:rsidRDefault="00872A39" w:rsidP="00434EF0">
            <w:pPr>
              <w:rPr>
                <w:rFonts w:ascii="Arial Narrow" w:hAnsi="Arial Narrow"/>
                <w:sz w:val="20"/>
              </w:rPr>
            </w:pPr>
            <w:r>
              <w:rPr>
                <w:rFonts w:ascii="Arial Narrow" w:hAnsi="Arial Narrow"/>
                <w:sz w:val="20"/>
              </w:rPr>
              <w:t>Clinical criteria</w:t>
            </w:r>
          </w:p>
        </w:tc>
        <w:tc>
          <w:tcPr>
            <w:tcW w:w="7574" w:type="dxa"/>
          </w:tcPr>
          <w:p w:rsidR="00872A39" w:rsidRPr="00BC1890" w:rsidRDefault="00872A39" w:rsidP="00434EF0">
            <w:pPr>
              <w:spacing w:before="120"/>
              <w:ind w:left="317" w:hanging="283"/>
              <w:rPr>
                <w:rFonts w:ascii="Arial Narrow" w:hAnsi="Arial Narrow"/>
                <w:sz w:val="20"/>
              </w:rPr>
            </w:pPr>
            <w:r w:rsidRPr="00BC1890">
              <w:rPr>
                <w:rFonts w:ascii="Arial Narrow" w:hAnsi="Arial Narrow"/>
                <w:sz w:val="20"/>
              </w:rPr>
              <w:t>a.</w:t>
            </w:r>
            <w:r w:rsidRPr="00BC1890">
              <w:rPr>
                <w:rFonts w:ascii="Arial Narrow" w:hAnsi="Arial Narrow"/>
                <w:sz w:val="20"/>
              </w:rPr>
              <w:tab/>
              <w:t>Patient has been diagnosed with systemic juvenile idiopathic arthritis; AND</w:t>
            </w:r>
          </w:p>
          <w:p w:rsidR="00872A39" w:rsidRPr="00BC1890" w:rsidRDefault="00872A39" w:rsidP="00434EF0">
            <w:pPr>
              <w:spacing w:before="120"/>
              <w:ind w:left="317" w:hanging="283"/>
              <w:rPr>
                <w:rFonts w:ascii="Arial Narrow" w:hAnsi="Arial Narrow"/>
                <w:sz w:val="20"/>
              </w:rPr>
            </w:pPr>
            <w:r w:rsidRPr="00BC1890">
              <w:rPr>
                <w:rFonts w:ascii="Arial Narrow" w:hAnsi="Arial Narrow"/>
                <w:sz w:val="20"/>
              </w:rPr>
              <w:t>b.</w:t>
            </w:r>
            <w:r w:rsidRPr="00BC1890">
              <w:rPr>
                <w:rFonts w:ascii="Arial Narrow" w:hAnsi="Arial Narrow"/>
                <w:sz w:val="20"/>
              </w:rPr>
              <w:tab/>
              <w:t>Has demonstrated an adequate response to treatment with canakinumab</w:t>
            </w:r>
          </w:p>
        </w:tc>
      </w:tr>
      <w:tr w:rsidR="00872A39" w:rsidRPr="004873C2" w:rsidTr="00872A39">
        <w:tc>
          <w:tcPr>
            <w:tcW w:w="1668" w:type="dxa"/>
          </w:tcPr>
          <w:p w:rsidR="00872A39" w:rsidRPr="004873C2" w:rsidRDefault="00872A39" w:rsidP="00434EF0">
            <w:pPr>
              <w:rPr>
                <w:rFonts w:ascii="Arial Narrow" w:hAnsi="Arial Narrow"/>
                <w:sz w:val="20"/>
              </w:rPr>
            </w:pPr>
            <w:r>
              <w:rPr>
                <w:rFonts w:ascii="Arial Narrow" w:hAnsi="Arial Narrow"/>
                <w:sz w:val="20"/>
              </w:rPr>
              <w:t>Adequate response</w:t>
            </w:r>
          </w:p>
        </w:tc>
        <w:tc>
          <w:tcPr>
            <w:tcW w:w="7574" w:type="dxa"/>
          </w:tcPr>
          <w:p w:rsidR="00872A39" w:rsidRPr="00872A39" w:rsidRDefault="00872A39" w:rsidP="00872A39">
            <w:pPr>
              <w:spacing w:before="120"/>
              <w:rPr>
                <w:rFonts w:ascii="Arial Narrow" w:hAnsi="Arial Narrow"/>
                <w:sz w:val="20"/>
              </w:rPr>
            </w:pPr>
            <w:r w:rsidRPr="00BC1890">
              <w:rPr>
                <w:rFonts w:ascii="Arial Narrow" w:hAnsi="Arial Narrow"/>
                <w:sz w:val="20"/>
              </w:rPr>
              <w:t>An adequate response to treatment is defined as:</w:t>
            </w:r>
          </w:p>
          <w:p w:rsidR="00872A39" w:rsidRPr="00BC1890" w:rsidRDefault="00872A39" w:rsidP="00434EF0">
            <w:pPr>
              <w:spacing w:before="120" w:after="120"/>
              <w:ind w:left="176"/>
              <w:rPr>
                <w:rFonts w:ascii="Arial Narrow" w:hAnsi="Arial Narrow"/>
                <w:sz w:val="20"/>
              </w:rPr>
            </w:pPr>
            <w:r w:rsidRPr="00BC1890">
              <w:rPr>
                <w:rFonts w:ascii="Arial Narrow" w:hAnsi="Arial Narrow"/>
                <w:sz w:val="20"/>
              </w:rPr>
              <w:t>a.</w:t>
            </w:r>
            <w:r w:rsidRPr="00BC1890">
              <w:rPr>
                <w:rFonts w:ascii="Arial Narrow" w:hAnsi="Arial Narrow"/>
                <w:sz w:val="20"/>
              </w:rPr>
              <w:tab/>
              <w:t>In a patient with refractory systemic symptoms:</w:t>
            </w:r>
          </w:p>
          <w:p w:rsidR="00872A39" w:rsidRPr="00BC1890" w:rsidRDefault="00872A39" w:rsidP="00434EF0">
            <w:pPr>
              <w:ind w:left="1168" w:hanging="284"/>
              <w:rPr>
                <w:rFonts w:ascii="Arial Narrow" w:hAnsi="Arial Narrow"/>
                <w:sz w:val="20"/>
              </w:rPr>
            </w:pPr>
            <w:r w:rsidRPr="00BC1890">
              <w:rPr>
                <w:rFonts w:ascii="Arial Narrow" w:hAnsi="Arial Narrow"/>
                <w:sz w:val="20"/>
              </w:rPr>
              <w:t>i.</w:t>
            </w:r>
            <w:r w:rsidRPr="00BC1890">
              <w:rPr>
                <w:rFonts w:ascii="Arial Narrow" w:hAnsi="Arial Narrow"/>
                <w:sz w:val="20"/>
              </w:rPr>
              <w:tab/>
              <w:t>Absence of fever greater than 38 degrees Celsius in the preceding seven (7) days; AND/OR</w:t>
            </w:r>
          </w:p>
          <w:p w:rsidR="00872A39" w:rsidRPr="00BC1890" w:rsidRDefault="00872A39" w:rsidP="00434EF0">
            <w:pPr>
              <w:ind w:left="1168" w:hanging="284"/>
              <w:rPr>
                <w:rFonts w:ascii="Arial Narrow" w:hAnsi="Arial Narrow"/>
                <w:sz w:val="20"/>
              </w:rPr>
            </w:pPr>
            <w:r w:rsidRPr="00BC1890">
              <w:rPr>
                <w:rFonts w:ascii="Arial Narrow" w:hAnsi="Arial Narrow"/>
                <w:sz w:val="20"/>
              </w:rPr>
              <w:t>ii.</w:t>
            </w:r>
            <w:r w:rsidRPr="00BC1890">
              <w:rPr>
                <w:rFonts w:ascii="Arial Narrow" w:hAnsi="Arial Narrow"/>
                <w:sz w:val="20"/>
              </w:rPr>
              <w:tab/>
              <w:t>A reduction in the CRP level by at least 30% from baseline; AND/OR</w:t>
            </w:r>
          </w:p>
          <w:p w:rsidR="00872A39" w:rsidRPr="00BC1890" w:rsidRDefault="00872A39" w:rsidP="00434EF0">
            <w:pPr>
              <w:ind w:left="1168" w:hanging="284"/>
              <w:rPr>
                <w:rFonts w:ascii="Arial Narrow" w:hAnsi="Arial Narrow"/>
                <w:sz w:val="20"/>
              </w:rPr>
            </w:pPr>
            <w:r w:rsidRPr="00BC1890">
              <w:rPr>
                <w:rFonts w:ascii="Arial Narrow" w:hAnsi="Arial Narrow"/>
                <w:sz w:val="20"/>
              </w:rPr>
              <w:t>iii.</w:t>
            </w:r>
            <w:r w:rsidRPr="00BC1890">
              <w:rPr>
                <w:rFonts w:ascii="Arial Narrow" w:hAnsi="Arial Narrow"/>
                <w:sz w:val="20"/>
              </w:rPr>
              <w:tab/>
              <w:t>A reduction in the dose of corticosteroid by at least 30% from baseline</w:t>
            </w:r>
          </w:p>
        </w:tc>
      </w:tr>
    </w:tbl>
    <w:p w:rsidR="00872A39" w:rsidRPr="00872A39" w:rsidRDefault="00872A39" w:rsidP="00872A39">
      <w:pPr>
        <w:rPr>
          <w:szCs w:val="22"/>
        </w:rPr>
      </w:pPr>
    </w:p>
    <w:p w:rsidR="00872A39" w:rsidRDefault="00872A39" w:rsidP="00340094">
      <w:pPr>
        <w:pStyle w:val="ListParagraph"/>
        <w:rPr>
          <w:szCs w:val="22"/>
        </w:rPr>
      </w:pPr>
    </w:p>
    <w:p w:rsidR="009B7789" w:rsidRDefault="009B7789" w:rsidP="00490F0E">
      <w:pPr>
        <w:pStyle w:val="ListParagraph"/>
        <w:numPr>
          <w:ilvl w:val="1"/>
          <w:numId w:val="2"/>
        </w:numPr>
        <w:rPr>
          <w:szCs w:val="22"/>
        </w:rPr>
      </w:pPr>
      <w:r>
        <w:rPr>
          <w:szCs w:val="22"/>
        </w:rPr>
        <w:t>In summary, t</w:t>
      </w:r>
      <w:r w:rsidRPr="009B7789">
        <w:rPr>
          <w:szCs w:val="22"/>
        </w:rPr>
        <w:t>he</w:t>
      </w:r>
      <w:r>
        <w:rPr>
          <w:szCs w:val="22"/>
        </w:rPr>
        <w:t xml:space="preserve"> submission stated that the</w:t>
      </w:r>
      <w:r w:rsidRPr="009B7789">
        <w:rPr>
          <w:szCs w:val="22"/>
        </w:rPr>
        <w:t xml:space="preserve"> </w:t>
      </w:r>
      <w:r w:rsidR="00172172">
        <w:rPr>
          <w:szCs w:val="22"/>
        </w:rPr>
        <w:t xml:space="preserve">proposed </w:t>
      </w:r>
      <w:r w:rsidRPr="009B7789">
        <w:rPr>
          <w:szCs w:val="22"/>
        </w:rPr>
        <w:t xml:space="preserve">restrictions </w:t>
      </w:r>
      <w:r w:rsidR="00172172">
        <w:rPr>
          <w:szCs w:val="22"/>
        </w:rPr>
        <w:t>we</w:t>
      </w:r>
      <w:r w:rsidRPr="009B7789">
        <w:rPr>
          <w:szCs w:val="22"/>
        </w:rPr>
        <w:t xml:space="preserve">re based on those </w:t>
      </w:r>
      <w:r w:rsidR="00172172">
        <w:rPr>
          <w:szCs w:val="22"/>
        </w:rPr>
        <w:t xml:space="preserve">currently </w:t>
      </w:r>
      <w:r w:rsidRPr="009B7789">
        <w:rPr>
          <w:szCs w:val="22"/>
        </w:rPr>
        <w:t xml:space="preserve">used for tocilizumab for the </w:t>
      </w:r>
      <w:r w:rsidR="009D1C6E">
        <w:rPr>
          <w:szCs w:val="22"/>
        </w:rPr>
        <w:t>s</w:t>
      </w:r>
      <w:r w:rsidRPr="009B7789">
        <w:rPr>
          <w:szCs w:val="22"/>
        </w:rPr>
        <w:t xml:space="preserve">JIA indication. </w:t>
      </w:r>
      <w:r w:rsidRPr="00582B1E">
        <w:rPr>
          <w:szCs w:val="22"/>
        </w:rPr>
        <w:t xml:space="preserve">The main change to the tocilizumab restriction </w:t>
      </w:r>
      <w:r w:rsidR="00172172">
        <w:rPr>
          <w:szCs w:val="22"/>
        </w:rPr>
        <w:t>proposed wa</w:t>
      </w:r>
      <w:r w:rsidRPr="00582B1E">
        <w:rPr>
          <w:szCs w:val="22"/>
        </w:rPr>
        <w:t xml:space="preserve">s the removal of the </w:t>
      </w:r>
      <w:r w:rsidR="009D1C6E">
        <w:rPr>
          <w:szCs w:val="22"/>
        </w:rPr>
        <w:t>requirement</w:t>
      </w:r>
      <w:r w:rsidR="009D1C6E" w:rsidRPr="00582B1E">
        <w:rPr>
          <w:szCs w:val="22"/>
        </w:rPr>
        <w:t xml:space="preserve"> </w:t>
      </w:r>
      <w:r w:rsidRPr="00582B1E">
        <w:rPr>
          <w:szCs w:val="22"/>
        </w:rPr>
        <w:t xml:space="preserve">for patients to be under the care of a paediatric rheumatologist </w:t>
      </w:r>
      <w:r w:rsidR="009D1C6E">
        <w:rPr>
          <w:szCs w:val="22"/>
        </w:rPr>
        <w:t>to allow adult rheumatologists to continue the care of sJIA patients into adulthood</w:t>
      </w:r>
      <w:r w:rsidRPr="009B7789">
        <w:rPr>
          <w:szCs w:val="22"/>
        </w:rPr>
        <w:t xml:space="preserve">. </w:t>
      </w:r>
      <w:r>
        <w:rPr>
          <w:szCs w:val="22"/>
        </w:rPr>
        <w:t>The submission considered that removal of</w:t>
      </w:r>
      <w:r w:rsidRPr="009B7789">
        <w:rPr>
          <w:szCs w:val="22"/>
        </w:rPr>
        <w:t xml:space="preserve"> </w:t>
      </w:r>
      <w:r w:rsidR="00434EF0">
        <w:rPr>
          <w:szCs w:val="22"/>
        </w:rPr>
        <w:t xml:space="preserve">subsidy for </w:t>
      </w:r>
      <w:r w:rsidRPr="009B7789">
        <w:rPr>
          <w:szCs w:val="22"/>
        </w:rPr>
        <w:t xml:space="preserve">treatment due to age represents inequity in access. </w:t>
      </w:r>
      <w:r>
        <w:rPr>
          <w:szCs w:val="22"/>
        </w:rPr>
        <w:t>The submission suggested further a</w:t>
      </w:r>
      <w:r w:rsidRPr="009B7789">
        <w:rPr>
          <w:szCs w:val="22"/>
        </w:rPr>
        <w:t>dditional changes to the</w:t>
      </w:r>
      <w:r>
        <w:rPr>
          <w:szCs w:val="22"/>
        </w:rPr>
        <w:t xml:space="preserve"> tocilizumab </w:t>
      </w:r>
      <w:r w:rsidRPr="009B7789">
        <w:rPr>
          <w:szCs w:val="22"/>
        </w:rPr>
        <w:t>restriction</w:t>
      </w:r>
      <w:r w:rsidR="00434EF0">
        <w:rPr>
          <w:szCs w:val="22"/>
        </w:rPr>
        <w:t>, including</w:t>
      </w:r>
      <w:r w:rsidRPr="009B7789">
        <w:rPr>
          <w:szCs w:val="22"/>
        </w:rPr>
        <w:t xml:space="preserve"> the three criteria based on differences between canakinumab and tocilizumab administration and the most recent treatment guidelines for </w:t>
      </w:r>
      <w:r w:rsidR="009D1C6E">
        <w:rPr>
          <w:szCs w:val="22"/>
        </w:rPr>
        <w:t>s</w:t>
      </w:r>
      <w:r w:rsidRPr="009B7789">
        <w:rPr>
          <w:szCs w:val="22"/>
        </w:rPr>
        <w:t>JIA. As</w:t>
      </w:r>
      <w:r w:rsidR="00434EF0">
        <w:rPr>
          <w:szCs w:val="22"/>
        </w:rPr>
        <w:t xml:space="preserve"> is stated</w:t>
      </w:r>
      <w:r w:rsidRPr="009B7789">
        <w:rPr>
          <w:szCs w:val="22"/>
        </w:rPr>
        <w:t xml:space="preserve"> </w:t>
      </w:r>
      <w:r w:rsidR="00434EF0">
        <w:rPr>
          <w:szCs w:val="22"/>
        </w:rPr>
        <w:t xml:space="preserve">in </w:t>
      </w:r>
      <w:r w:rsidRPr="009B7789">
        <w:rPr>
          <w:szCs w:val="22"/>
        </w:rPr>
        <w:t xml:space="preserve">the tocilizumab indication, the restriction required patients to have </w:t>
      </w:r>
      <w:r>
        <w:rPr>
          <w:szCs w:val="22"/>
        </w:rPr>
        <w:t>had an inadequate</w:t>
      </w:r>
      <w:r w:rsidRPr="009B7789">
        <w:rPr>
          <w:szCs w:val="22"/>
        </w:rPr>
        <w:t xml:space="preserve"> response</w:t>
      </w:r>
      <w:r>
        <w:rPr>
          <w:szCs w:val="22"/>
        </w:rPr>
        <w:t xml:space="preserve"> to therapy with methotrexate</w:t>
      </w:r>
      <w:r w:rsidRPr="009B7789">
        <w:rPr>
          <w:szCs w:val="22"/>
        </w:rPr>
        <w:t>.</w:t>
      </w:r>
    </w:p>
    <w:p w:rsidR="009B7789" w:rsidRDefault="009B7789" w:rsidP="009B7789">
      <w:pPr>
        <w:pStyle w:val="ListParagraph"/>
        <w:rPr>
          <w:szCs w:val="22"/>
        </w:rPr>
      </w:pPr>
    </w:p>
    <w:p w:rsidR="007D4CA6" w:rsidRDefault="009B7789" w:rsidP="00490F0E">
      <w:pPr>
        <w:pStyle w:val="ListParagraph"/>
        <w:numPr>
          <w:ilvl w:val="1"/>
          <w:numId w:val="2"/>
        </w:numPr>
        <w:rPr>
          <w:szCs w:val="22"/>
        </w:rPr>
      </w:pPr>
      <w:r>
        <w:rPr>
          <w:szCs w:val="22"/>
        </w:rPr>
        <w:t>T</w:t>
      </w:r>
      <w:r w:rsidR="007D4CA6">
        <w:rPr>
          <w:szCs w:val="22"/>
        </w:rPr>
        <w:t xml:space="preserve">he submission </w:t>
      </w:r>
      <w:r>
        <w:rPr>
          <w:szCs w:val="22"/>
        </w:rPr>
        <w:t xml:space="preserve">omitted to specify </w:t>
      </w:r>
      <w:r w:rsidR="00434EF0">
        <w:rPr>
          <w:szCs w:val="22"/>
        </w:rPr>
        <w:t>what type of</w:t>
      </w:r>
      <w:r w:rsidR="007D4CA6">
        <w:rPr>
          <w:szCs w:val="22"/>
        </w:rPr>
        <w:t xml:space="preserve"> PBS Schedule listing is</w:t>
      </w:r>
      <w:r w:rsidR="00434EF0">
        <w:rPr>
          <w:szCs w:val="22"/>
        </w:rPr>
        <w:t xml:space="preserve"> proposed</w:t>
      </w:r>
      <w:r w:rsidR="007D4CA6">
        <w:rPr>
          <w:szCs w:val="22"/>
        </w:rPr>
        <w:t>. Given that the comparator, tocilizumab, is a Section 100 Highly S</w:t>
      </w:r>
      <w:r w:rsidR="002C5CEE">
        <w:rPr>
          <w:szCs w:val="22"/>
        </w:rPr>
        <w:t>pecialised Drug, listing canakin</w:t>
      </w:r>
      <w:r w:rsidR="007D4CA6">
        <w:rPr>
          <w:szCs w:val="22"/>
        </w:rPr>
        <w:t xml:space="preserve">umab </w:t>
      </w:r>
      <w:r w:rsidR="00172172">
        <w:rPr>
          <w:szCs w:val="22"/>
        </w:rPr>
        <w:t xml:space="preserve">as </w:t>
      </w:r>
      <w:r w:rsidR="007D4CA6">
        <w:rPr>
          <w:szCs w:val="22"/>
        </w:rPr>
        <w:t>an Authority Required benefit in the Section 100 Highly Specialised Drugs Program would appear appropriate.</w:t>
      </w:r>
    </w:p>
    <w:p w:rsidR="00D01B34" w:rsidRDefault="00D01B34" w:rsidP="004B1CB4"/>
    <w:p w:rsidR="0079121D" w:rsidRDefault="00B36CB8" w:rsidP="00172172">
      <w:pPr>
        <w:ind w:left="568" w:firstLine="141"/>
      </w:pPr>
      <w:r>
        <w:rPr>
          <w:i/>
          <w:szCs w:val="22"/>
        </w:rPr>
        <w:t>For more detail on PBAC’s view, see section 7 “PBAC outcome”</w:t>
      </w:r>
    </w:p>
    <w:p w:rsidR="0079121D" w:rsidRDefault="0079121D" w:rsidP="004B1CB4"/>
    <w:p w:rsidR="00F369C3" w:rsidRPr="00882085" w:rsidRDefault="00F369C3" w:rsidP="004B1CB4"/>
    <w:p w:rsidR="00B50DB8" w:rsidRPr="00407F2D" w:rsidRDefault="00B50DB8" w:rsidP="00664C2B">
      <w:pPr>
        <w:pStyle w:val="PBACHeading1"/>
        <w:ind w:left="709" w:hanging="709"/>
      </w:pPr>
      <w:bookmarkStart w:id="3" w:name="_Toc409168630"/>
      <w:r w:rsidRPr="00407F2D">
        <w:t>Background</w:t>
      </w:r>
      <w:bookmarkEnd w:id="3"/>
    </w:p>
    <w:p w:rsidR="00316E2D" w:rsidRPr="00E00D54" w:rsidRDefault="00316E2D" w:rsidP="00E00D54">
      <w:pPr>
        <w:rPr>
          <w:szCs w:val="22"/>
        </w:rPr>
      </w:pPr>
    </w:p>
    <w:p w:rsidR="00E00D54" w:rsidRPr="00F06E8C" w:rsidRDefault="00E00D54" w:rsidP="00490F0E">
      <w:pPr>
        <w:pStyle w:val="ListParagraph"/>
        <w:numPr>
          <w:ilvl w:val="1"/>
          <w:numId w:val="2"/>
        </w:numPr>
        <w:rPr>
          <w:szCs w:val="22"/>
        </w:rPr>
      </w:pPr>
      <w:r w:rsidRPr="00F06E8C">
        <w:rPr>
          <w:szCs w:val="22"/>
        </w:rPr>
        <w:t>Canakinumab was approved for registration by the TGA for the treatment of active systemic juvenile idiopathic arthritis (sJIA) in patients aged 2 years and older at the 298</w:t>
      </w:r>
      <w:r w:rsidRPr="00F06E8C">
        <w:rPr>
          <w:szCs w:val="22"/>
          <w:vertAlign w:val="superscript"/>
        </w:rPr>
        <w:t>th</w:t>
      </w:r>
      <w:r w:rsidRPr="00F06E8C">
        <w:rPr>
          <w:szCs w:val="22"/>
        </w:rPr>
        <w:t xml:space="preserve"> ACPM meeting on 6 June 2014.</w:t>
      </w:r>
    </w:p>
    <w:p w:rsidR="002C2775" w:rsidRPr="00E00D54" w:rsidRDefault="00316E2D" w:rsidP="00E00D54">
      <w:pPr>
        <w:rPr>
          <w:szCs w:val="22"/>
        </w:rPr>
      </w:pPr>
      <w:r w:rsidRPr="00E00D54">
        <w:rPr>
          <w:szCs w:val="22"/>
        </w:rPr>
        <w:t xml:space="preserve"> </w:t>
      </w:r>
    </w:p>
    <w:p w:rsidR="00E55BB5" w:rsidRDefault="00E00D54" w:rsidP="004B1CB4">
      <w:pPr>
        <w:pStyle w:val="ListParagraph"/>
        <w:numPr>
          <w:ilvl w:val="1"/>
          <w:numId w:val="2"/>
        </w:numPr>
      </w:pPr>
      <w:r w:rsidRPr="00316E2D">
        <w:rPr>
          <w:szCs w:val="22"/>
        </w:rPr>
        <w:t xml:space="preserve">This </w:t>
      </w:r>
      <w:r>
        <w:rPr>
          <w:szCs w:val="22"/>
        </w:rPr>
        <w:t>wa</w:t>
      </w:r>
      <w:r w:rsidRPr="00316E2D">
        <w:rPr>
          <w:szCs w:val="22"/>
        </w:rPr>
        <w:t xml:space="preserve">s the first consideration by the PBAC </w:t>
      </w:r>
      <w:r w:rsidR="00172172">
        <w:rPr>
          <w:szCs w:val="22"/>
        </w:rPr>
        <w:t>to list</w:t>
      </w:r>
      <w:r w:rsidRPr="00316E2D">
        <w:rPr>
          <w:szCs w:val="22"/>
        </w:rPr>
        <w:t xml:space="preserve"> canakinumab </w:t>
      </w:r>
      <w:r w:rsidR="00172172">
        <w:rPr>
          <w:szCs w:val="22"/>
        </w:rPr>
        <w:t>on the PBS</w:t>
      </w:r>
      <w:r>
        <w:rPr>
          <w:szCs w:val="22"/>
        </w:rPr>
        <w:t>.</w:t>
      </w:r>
    </w:p>
    <w:p w:rsidR="00E00D54" w:rsidRDefault="00E00D54" w:rsidP="004B1CB4"/>
    <w:p w:rsidR="00F369C3" w:rsidRPr="00882085" w:rsidRDefault="00F369C3" w:rsidP="004B1CB4"/>
    <w:p w:rsidR="00B50DB8" w:rsidRPr="00407F2D" w:rsidRDefault="00B50DB8" w:rsidP="00664C2B">
      <w:pPr>
        <w:pStyle w:val="PBACHeading1"/>
        <w:ind w:left="709" w:hanging="709"/>
      </w:pPr>
      <w:bookmarkStart w:id="4" w:name="_Toc409168631"/>
      <w:r w:rsidRPr="00407F2D">
        <w:t>Clinical place for the proposed therapy</w:t>
      </w:r>
      <w:bookmarkEnd w:id="4"/>
    </w:p>
    <w:p w:rsidR="00B60939" w:rsidRPr="00882085" w:rsidRDefault="00B60939" w:rsidP="00B60939">
      <w:pPr>
        <w:rPr>
          <w:szCs w:val="22"/>
        </w:rPr>
      </w:pPr>
    </w:p>
    <w:p w:rsidR="00B60939" w:rsidRPr="00106F14" w:rsidRDefault="00434EF0" w:rsidP="00490F0E">
      <w:pPr>
        <w:pStyle w:val="ListParagraph"/>
        <w:numPr>
          <w:ilvl w:val="1"/>
          <w:numId w:val="2"/>
        </w:numPr>
        <w:rPr>
          <w:szCs w:val="22"/>
        </w:rPr>
      </w:pPr>
      <w:r>
        <w:t>Systemic juvenile idiopathic arthritis</w:t>
      </w:r>
      <w:r w:rsidR="00316E2D" w:rsidRPr="00106F14">
        <w:t xml:space="preserve"> is a disease that is diagnosed before 16 years of age and is a diagnosis of exclusion. Clinical guidelines </w:t>
      </w:r>
      <w:r w:rsidR="00E91CC3" w:rsidRPr="00106F14">
        <w:t>identify</w:t>
      </w:r>
      <w:r w:rsidR="00316E2D" w:rsidRPr="00106F14">
        <w:t xml:space="preserve"> three clinical phenotypes; 1) active systemic features and varying degrees of synovitis; 2) no active systemic features and varying degrees of active synovitis</w:t>
      </w:r>
      <w:r w:rsidR="00E91CC3" w:rsidRPr="00106F14">
        <w:t xml:space="preserve"> (polyarticular presentation)</w:t>
      </w:r>
      <w:r w:rsidR="00316E2D" w:rsidRPr="00106F14">
        <w:t xml:space="preserve">; and 3) features concerning for macrophage activation syndrome (MAS). </w:t>
      </w:r>
      <w:r w:rsidR="00DA233F" w:rsidRPr="00106F14">
        <w:t>PBS listing was requested</w:t>
      </w:r>
      <w:r w:rsidR="00316E2D" w:rsidRPr="00106F14">
        <w:t xml:space="preserve"> </w:t>
      </w:r>
      <w:r w:rsidR="00172172">
        <w:t>for</w:t>
      </w:r>
      <w:r w:rsidR="00BD551E" w:rsidRPr="00106F14">
        <w:t xml:space="preserve"> the first clinical phenotype</w:t>
      </w:r>
      <w:r w:rsidR="00E00D54">
        <w:t>, systemic disease</w:t>
      </w:r>
      <w:r w:rsidR="00BD551E" w:rsidRPr="00106F14">
        <w:t xml:space="preserve"> (although </w:t>
      </w:r>
      <w:r w:rsidR="00DA233F" w:rsidRPr="00106F14">
        <w:t>the submission</w:t>
      </w:r>
      <w:r w:rsidR="00BD551E" w:rsidRPr="00106F14">
        <w:t xml:space="preserve"> dropped the word ‘active’)</w:t>
      </w:r>
      <w:r w:rsidR="00E00D54">
        <w:t>,</w:t>
      </w:r>
      <w:r w:rsidR="00DA233F" w:rsidRPr="00106F14">
        <w:t xml:space="preserve"> but the</w:t>
      </w:r>
      <w:r w:rsidR="00316E2D" w:rsidRPr="00106F14">
        <w:t xml:space="preserve"> second phenotype</w:t>
      </w:r>
      <w:r w:rsidR="00E00D54">
        <w:t xml:space="preserve"> (polyarticular disease)</w:t>
      </w:r>
      <w:r w:rsidR="00DA233F" w:rsidRPr="00106F14">
        <w:t xml:space="preserve"> was excluded from the requested restriction</w:t>
      </w:r>
      <w:r w:rsidR="00316E2D" w:rsidRPr="00106F14">
        <w:t xml:space="preserve">. Phenotype 3 </w:t>
      </w:r>
      <w:r w:rsidR="00DA233F" w:rsidRPr="00106F14">
        <w:t xml:space="preserve">was </w:t>
      </w:r>
      <w:r w:rsidR="00316E2D" w:rsidRPr="00106F14">
        <w:t>not included in the requested</w:t>
      </w:r>
      <w:r w:rsidR="00E91CC3" w:rsidRPr="00106F14">
        <w:t xml:space="preserve"> listing</w:t>
      </w:r>
      <w:r w:rsidR="00316E2D" w:rsidRPr="00106F14">
        <w:t xml:space="preserve"> for</w:t>
      </w:r>
      <w:r w:rsidR="00133A75">
        <w:t xml:space="preserve"> either</w:t>
      </w:r>
      <w:r w:rsidR="00316E2D" w:rsidRPr="00106F14">
        <w:t xml:space="preserve"> canakinumab or the comparator toc</w:t>
      </w:r>
      <w:r w:rsidR="00F954DA">
        <w:t>ilizu</w:t>
      </w:r>
      <w:r w:rsidR="00316E2D" w:rsidRPr="00106F14">
        <w:t>mab.</w:t>
      </w:r>
    </w:p>
    <w:p w:rsidR="00894489" w:rsidRPr="002C2775" w:rsidRDefault="00894489" w:rsidP="00894489">
      <w:pPr>
        <w:rPr>
          <w:szCs w:val="22"/>
        </w:rPr>
      </w:pPr>
    </w:p>
    <w:p w:rsidR="00B60939" w:rsidRPr="00BD551E" w:rsidRDefault="00E91CC3" w:rsidP="00490F0E">
      <w:pPr>
        <w:pStyle w:val="ListParagraph"/>
        <w:numPr>
          <w:ilvl w:val="1"/>
          <w:numId w:val="2"/>
        </w:numPr>
        <w:rPr>
          <w:szCs w:val="22"/>
        </w:rPr>
      </w:pPr>
      <w:r w:rsidRPr="00BD551E">
        <w:rPr>
          <w:szCs w:val="22"/>
        </w:rPr>
        <w:t xml:space="preserve">Canakinumab </w:t>
      </w:r>
      <w:r w:rsidR="003954B8">
        <w:rPr>
          <w:szCs w:val="22"/>
        </w:rPr>
        <w:t>wa</w:t>
      </w:r>
      <w:r w:rsidR="003954B8" w:rsidRPr="00BD551E">
        <w:rPr>
          <w:szCs w:val="22"/>
        </w:rPr>
        <w:t xml:space="preserve">s </w:t>
      </w:r>
      <w:r w:rsidRPr="00BD551E">
        <w:rPr>
          <w:szCs w:val="22"/>
        </w:rPr>
        <w:t xml:space="preserve">proposed for </w:t>
      </w:r>
      <w:r w:rsidR="001362FF">
        <w:rPr>
          <w:szCs w:val="22"/>
        </w:rPr>
        <w:t xml:space="preserve">the treatment of </w:t>
      </w:r>
      <w:r w:rsidRPr="00BD551E">
        <w:rPr>
          <w:szCs w:val="22"/>
        </w:rPr>
        <w:t>children and adults with a diagnosis of sJIA, without a polyarticular presentation, who have failed to respond to previous treatment with methotrexate, non-steroidal anti-inflammatories or glucocorticoids</w:t>
      </w:r>
      <w:r w:rsidR="00894489" w:rsidRPr="00BD551E">
        <w:rPr>
          <w:szCs w:val="22"/>
        </w:rPr>
        <w:t>.</w:t>
      </w:r>
    </w:p>
    <w:p w:rsidR="00E00D54" w:rsidRDefault="00E00D54" w:rsidP="00B60939">
      <w:pPr>
        <w:pStyle w:val="Header"/>
        <w:rPr>
          <w:szCs w:val="22"/>
        </w:rPr>
      </w:pPr>
    </w:p>
    <w:p w:rsidR="00F369C3" w:rsidRPr="00882085" w:rsidRDefault="00F369C3" w:rsidP="00B60939">
      <w:pPr>
        <w:pStyle w:val="Header"/>
        <w:rPr>
          <w:szCs w:val="22"/>
        </w:rPr>
      </w:pPr>
    </w:p>
    <w:p w:rsidR="00B50DB8" w:rsidRPr="00407F2D" w:rsidRDefault="00B50DB8" w:rsidP="00752183">
      <w:pPr>
        <w:pStyle w:val="PBACHeading1"/>
        <w:ind w:left="709" w:hanging="709"/>
        <w:rPr>
          <w:b w:val="0"/>
        </w:rPr>
      </w:pPr>
      <w:r w:rsidRPr="00407F2D">
        <w:t>Comparator</w:t>
      </w:r>
    </w:p>
    <w:p w:rsidR="00B60939" w:rsidRPr="00882085" w:rsidRDefault="00B60939" w:rsidP="004B1CB4"/>
    <w:p w:rsidR="001754EB" w:rsidRPr="001754EB" w:rsidRDefault="001754EB" w:rsidP="001754EB">
      <w:pPr>
        <w:pStyle w:val="ListParagraph"/>
        <w:rPr>
          <w:szCs w:val="22"/>
          <w:highlight w:val="yellow"/>
        </w:rPr>
      </w:pPr>
    </w:p>
    <w:p w:rsidR="001754EB" w:rsidRPr="001754EB" w:rsidRDefault="001754EB" w:rsidP="001754EB">
      <w:pPr>
        <w:pStyle w:val="ListParagraph"/>
        <w:numPr>
          <w:ilvl w:val="1"/>
          <w:numId w:val="2"/>
        </w:numPr>
        <w:rPr>
          <w:szCs w:val="22"/>
        </w:rPr>
      </w:pPr>
      <w:r w:rsidRPr="001754EB">
        <w:t>Tocilizumab was the nominated main comparator. The submission included secondary comparisons against etanercept and adalimumab on the basis that they served as comparators</w:t>
      </w:r>
      <w:r>
        <w:t xml:space="preserve"> for the tocilizumab submission.</w:t>
      </w:r>
      <w:r w:rsidRPr="001754EB">
        <w:t xml:space="preserve"> The ESC considered the comparison against tocilizumab the most relevant. </w:t>
      </w:r>
    </w:p>
    <w:p w:rsidR="001754EB" w:rsidRDefault="001754EB" w:rsidP="001754EB">
      <w:pPr>
        <w:pStyle w:val="ListParagraph"/>
      </w:pPr>
    </w:p>
    <w:p w:rsidR="002C2775" w:rsidRPr="001754EB" w:rsidRDefault="001754EB" w:rsidP="001754EB">
      <w:pPr>
        <w:pStyle w:val="ListParagraph"/>
        <w:rPr>
          <w:szCs w:val="22"/>
        </w:rPr>
      </w:pPr>
      <w:r w:rsidRPr="001754EB">
        <w:rPr>
          <w:i/>
        </w:rPr>
        <w:t>For more detail on PBAC’s view, see section 7 “PBAC outcome”</w:t>
      </w:r>
    </w:p>
    <w:p w:rsidR="00D01B34" w:rsidRDefault="00D01B34" w:rsidP="00DF5D2B">
      <w:pPr>
        <w:rPr>
          <w:szCs w:val="22"/>
        </w:rPr>
      </w:pPr>
    </w:p>
    <w:p w:rsidR="00F369C3" w:rsidRPr="00DF5D2B" w:rsidRDefault="00F369C3" w:rsidP="00DF5D2B">
      <w:pPr>
        <w:rPr>
          <w:szCs w:val="22"/>
        </w:rPr>
      </w:pPr>
    </w:p>
    <w:p w:rsidR="00B50DB8" w:rsidRPr="00407F2D" w:rsidRDefault="00BD6CF3" w:rsidP="007A097D">
      <w:pPr>
        <w:pStyle w:val="PBACHeading1"/>
        <w:ind w:left="709" w:hanging="709"/>
      </w:pPr>
      <w:bookmarkStart w:id="5" w:name="_Toc409168632"/>
      <w:r>
        <w:t>C</w:t>
      </w:r>
      <w:r w:rsidR="00B50DB8" w:rsidRPr="00407F2D">
        <w:t>onsideration of the evidence</w:t>
      </w:r>
      <w:bookmarkEnd w:id="5"/>
    </w:p>
    <w:p w:rsidR="00B36CB8" w:rsidRDefault="00B36CB8" w:rsidP="00B36CB8">
      <w:pPr>
        <w:rPr>
          <w:b/>
          <w:i/>
          <w:szCs w:val="22"/>
        </w:rPr>
      </w:pPr>
    </w:p>
    <w:p w:rsidR="00B36CB8" w:rsidRPr="00BB7EC3" w:rsidRDefault="00B36CB8" w:rsidP="00B36CB8">
      <w:pPr>
        <w:rPr>
          <w:b/>
          <w:i/>
          <w:szCs w:val="22"/>
        </w:rPr>
      </w:pPr>
      <w:r w:rsidRPr="00BB7EC3">
        <w:rPr>
          <w:b/>
          <w:i/>
          <w:szCs w:val="22"/>
        </w:rPr>
        <w:t>Sponsor hearing</w:t>
      </w:r>
    </w:p>
    <w:p w:rsidR="00B36CB8" w:rsidRPr="00882085" w:rsidRDefault="00B36CB8" w:rsidP="00B36CB8">
      <w:pPr>
        <w:ind w:left="709"/>
        <w:rPr>
          <w:b/>
          <w:szCs w:val="22"/>
        </w:rPr>
      </w:pPr>
    </w:p>
    <w:p w:rsidR="00B36CB8" w:rsidRDefault="00B36CB8" w:rsidP="002F59DB">
      <w:pPr>
        <w:pStyle w:val="ListParagraph"/>
        <w:numPr>
          <w:ilvl w:val="1"/>
          <w:numId w:val="2"/>
        </w:numPr>
        <w:rPr>
          <w:szCs w:val="22"/>
        </w:rPr>
      </w:pPr>
      <w:r>
        <w:rPr>
          <w:szCs w:val="22"/>
        </w:rPr>
        <w:t>There was no hearing for this item.</w:t>
      </w:r>
    </w:p>
    <w:p w:rsidR="00B60939" w:rsidRDefault="00B60939" w:rsidP="004B1CB4"/>
    <w:p w:rsidR="00B36CB8" w:rsidRPr="00B36CB8" w:rsidRDefault="00B36CB8" w:rsidP="00B36CB8">
      <w:pPr>
        <w:rPr>
          <w:b/>
          <w:i/>
        </w:rPr>
      </w:pPr>
      <w:r w:rsidRPr="00B36CB8">
        <w:rPr>
          <w:b/>
          <w:i/>
        </w:rPr>
        <w:t>Consumer comments</w:t>
      </w:r>
    </w:p>
    <w:p w:rsidR="00B36CB8" w:rsidRPr="00B36CB8" w:rsidRDefault="00B36CB8" w:rsidP="00B36CB8"/>
    <w:p w:rsidR="00B36CB8" w:rsidRPr="00B36CB8" w:rsidRDefault="007A097D" w:rsidP="00490F0E">
      <w:pPr>
        <w:numPr>
          <w:ilvl w:val="1"/>
          <w:numId w:val="2"/>
        </w:numPr>
      </w:pPr>
      <w:r>
        <w:t>N</w:t>
      </w:r>
      <w:r w:rsidR="00B36CB8" w:rsidRPr="00B36CB8">
        <w:t>o consumer comments were received for this item.</w:t>
      </w:r>
    </w:p>
    <w:p w:rsidR="00B36CB8" w:rsidRDefault="00B36CB8" w:rsidP="004B1CB4"/>
    <w:p w:rsidR="0095170B" w:rsidRPr="00882085" w:rsidRDefault="0095170B" w:rsidP="004B1CB4"/>
    <w:p w:rsidR="00B60939" w:rsidRPr="002C2775" w:rsidRDefault="00B60939" w:rsidP="002C2775">
      <w:pPr>
        <w:pStyle w:val="Heading2"/>
        <w:rPr>
          <w:i/>
        </w:rPr>
      </w:pPr>
      <w:bookmarkStart w:id="6" w:name="_Toc409168633"/>
      <w:r w:rsidRPr="002C2775">
        <w:rPr>
          <w:i/>
        </w:rPr>
        <w:lastRenderedPageBreak/>
        <w:t>Clinical trials</w:t>
      </w:r>
      <w:bookmarkEnd w:id="6"/>
    </w:p>
    <w:p w:rsidR="00B60939" w:rsidRPr="00882085" w:rsidRDefault="00B60939" w:rsidP="00B60939">
      <w:pPr>
        <w:rPr>
          <w:szCs w:val="22"/>
        </w:rPr>
      </w:pPr>
    </w:p>
    <w:p w:rsidR="00B97F1B" w:rsidRPr="00B97F1B" w:rsidRDefault="00CB6063" w:rsidP="00490F0E">
      <w:pPr>
        <w:pStyle w:val="ListParagraph"/>
        <w:numPr>
          <w:ilvl w:val="1"/>
          <w:numId w:val="2"/>
        </w:numPr>
        <w:rPr>
          <w:i/>
        </w:rPr>
      </w:pPr>
      <w:r w:rsidRPr="00B97F1B">
        <w:t xml:space="preserve">The submission </w:t>
      </w:r>
      <w:r w:rsidR="001362FF">
        <w:t>wa</w:t>
      </w:r>
      <w:r w:rsidR="001362FF" w:rsidRPr="00B97F1B">
        <w:t xml:space="preserve">s </w:t>
      </w:r>
      <w:r w:rsidRPr="00B97F1B">
        <w:t xml:space="preserve">based on </w:t>
      </w:r>
      <w:r w:rsidR="00B97F1B" w:rsidRPr="00B97F1B">
        <w:t>an indirect comparison of canakinumab 4</w:t>
      </w:r>
      <w:r w:rsidR="00A45724">
        <w:t xml:space="preserve"> </w:t>
      </w:r>
      <w:r w:rsidR="00B97F1B" w:rsidRPr="00B97F1B">
        <w:t>mg/kg with tocilizumab (</w:t>
      </w:r>
      <w:r w:rsidR="00433BE6">
        <w:t xml:space="preserve">dosed at </w:t>
      </w:r>
      <w:r w:rsidR="00B97F1B" w:rsidRPr="00B97F1B">
        <w:t>12</w:t>
      </w:r>
      <w:r w:rsidR="00433BE6">
        <w:t xml:space="preserve"> </w:t>
      </w:r>
      <w:r w:rsidR="00B97F1B" w:rsidRPr="00B97F1B">
        <w:t xml:space="preserve">mg/kg </w:t>
      </w:r>
      <w:r w:rsidR="00433BE6">
        <w:t xml:space="preserve">for patients weighing </w:t>
      </w:r>
      <w:r w:rsidR="00B97F1B" w:rsidRPr="00B97F1B">
        <w:t>&lt;30</w:t>
      </w:r>
      <w:r w:rsidR="00A45724">
        <w:t xml:space="preserve"> </w:t>
      </w:r>
      <w:r w:rsidR="00B97F1B" w:rsidRPr="00B97F1B">
        <w:t>kg and 8</w:t>
      </w:r>
      <w:r w:rsidR="00433BE6">
        <w:t xml:space="preserve"> </w:t>
      </w:r>
      <w:r w:rsidR="00B97F1B" w:rsidRPr="00B97F1B">
        <w:t>mg/</w:t>
      </w:r>
      <w:r w:rsidR="00A45724">
        <w:t xml:space="preserve"> </w:t>
      </w:r>
      <w:r w:rsidR="00B97F1B" w:rsidRPr="00B97F1B">
        <w:t xml:space="preserve">kg </w:t>
      </w:r>
      <w:r w:rsidR="00433BE6">
        <w:t xml:space="preserve">for patients weighing </w:t>
      </w:r>
      <w:r w:rsidR="00B97F1B" w:rsidRPr="00B97F1B">
        <w:t>&gt;30</w:t>
      </w:r>
      <w:r w:rsidR="00A45724">
        <w:t xml:space="preserve"> </w:t>
      </w:r>
      <w:r w:rsidR="00B97F1B" w:rsidRPr="00B97F1B">
        <w:t>kg) in treatment naïve patients</w:t>
      </w:r>
      <w:r w:rsidR="00024F7E">
        <w:t xml:space="preserve"> (naïve to the intervention)</w:t>
      </w:r>
      <w:r w:rsidR="00B97F1B" w:rsidRPr="00B97F1B">
        <w:t xml:space="preserve"> using placebo as a common comparator. In addition the submission provide</w:t>
      </w:r>
      <w:r w:rsidR="00434EF0">
        <w:t>d</w:t>
      </w:r>
      <w:r w:rsidR="00B97F1B" w:rsidRPr="00B97F1B">
        <w:t xml:space="preserve"> an indirect comparison of canakinumab 4</w:t>
      </w:r>
      <w:r w:rsidR="00A45724">
        <w:t xml:space="preserve"> </w:t>
      </w:r>
      <w:r w:rsidR="00B97F1B" w:rsidRPr="00B97F1B">
        <w:t xml:space="preserve">mg/kg with etanercept and adalimumab using placebo as </w:t>
      </w:r>
      <w:r w:rsidR="0079786D">
        <w:t xml:space="preserve">the common </w:t>
      </w:r>
      <w:r w:rsidR="00B97F1B" w:rsidRPr="00B97F1B">
        <w:t xml:space="preserve">comparator. </w:t>
      </w:r>
    </w:p>
    <w:p w:rsidR="00B97F1B" w:rsidRPr="00B97F1B" w:rsidRDefault="00B97F1B" w:rsidP="0079786D">
      <w:pPr>
        <w:rPr>
          <w:i/>
        </w:rPr>
      </w:pPr>
    </w:p>
    <w:p w:rsidR="00B97F1B" w:rsidRDefault="00B97F1B" w:rsidP="00490F0E">
      <w:pPr>
        <w:pStyle w:val="ListParagraph"/>
        <w:numPr>
          <w:ilvl w:val="1"/>
          <w:numId w:val="2"/>
        </w:numPr>
        <w:rPr>
          <w:i/>
        </w:rPr>
      </w:pPr>
      <w:r w:rsidRPr="00B97F1B">
        <w:t>Details of the trials presented in the submission are provided in the table below</w:t>
      </w:r>
      <w:r>
        <w:rPr>
          <w:color w:val="3366FF"/>
        </w:rPr>
        <w:t>.</w:t>
      </w:r>
    </w:p>
    <w:p w:rsidR="00B97F1B" w:rsidRPr="001B655B" w:rsidRDefault="00B97F1B" w:rsidP="007A097D">
      <w:pPr>
        <w:keepNext/>
        <w:keepLines/>
        <w:spacing w:before="120"/>
        <w:ind w:left="720"/>
        <w:rPr>
          <w:rFonts w:ascii="Arial Narrow" w:hAnsi="Arial Narrow"/>
          <w:b/>
          <w:sz w:val="20"/>
        </w:rPr>
      </w:pPr>
      <w:r w:rsidRPr="001B655B">
        <w:rPr>
          <w:rFonts w:ascii="Arial Narrow" w:hAnsi="Arial Narrow"/>
          <w:b/>
          <w:sz w:val="20"/>
        </w:rPr>
        <w:t>Trials and associated reports presented in the submission</w:t>
      </w:r>
    </w:p>
    <w:tbl>
      <w:tblPr>
        <w:tblW w:w="4552" w:type="pct"/>
        <w:tblInd w:w="737" w:type="dxa"/>
        <w:tblBorders>
          <w:top w:val="single" w:sz="4" w:space="0" w:color="auto"/>
          <w:left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Clinical trials and associated reports presented in the submission"/>
      </w:tblPr>
      <w:tblGrid>
        <w:gridCol w:w="1418"/>
        <w:gridCol w:w="5153"/>
        <w:gridCol w:w="1697"/>
      </w:tblGrid>
      <w:tr w:rsidR="008009C9" w:rsidRPr="004E2ADC" w:rsidTr="00AF0B79">
        <w:tc>
          <w:tcPr>
            <w:tcW w:w="858" w:type="pct"/>
          </w:tcPr>
          <w:p w:rsidR="00B97F1B" w:rsidRPr="004E2ADC" w:rsidRDefault="00B97F1B" w:rsidP="00C44DC6">
            <w:pPr>
              <w:keepNext/>
              <w:keepLines/>
              <w:jc w:val="left"/>
              <w:rPr>
                <w:rFonts w:ascii="Arial Narrow" w:hAnsi="Arial Narrow"/>
                <w:b/>
                <w:sz w:val="20"/>
              </w:rPr>
            </w:pPr>
            <w:r w:rsidRPr="004E2ADC">
              <w:rPr>
                <w:rFonts w:ascii="Arial Narrow" w:hAnsi="Arial Narrow"/>
                <w:b/>
                <w:sz w:val="20"/>
              </w:rPr>
              <w:t>Trial ID</w:t>
            </w:r>
            <w:r w:rsidR="00433BE6">
              <w:rPr>
                <w:rFonts w:ascii="Arial Narrow" w:hAnsi="Arial Narrow"/>
                <w:b/>
                <w:sz w:val="20"/>
              </w:rPr>
              <w:t>/First Author</w:t>
            </w:r>
          </w:p>
        </w:tc>
        <w:tc>
          <w:tcPr>
            <w:tcW w:w="3116" w:type="pct"/>
          </w:tcPr>
          <w:p w:rsidR="00B97F1B" w:rsidRPr="004E2ADC" w:rsidRDefault="00B97F1B" w:rsidP="00C44DC6">
            <w:pPr>
              <w:keepNext/>
              <w:keepLines/>
              <w:jc w:val="center"/>
              <w:rPr>
                <w:rFonts w:ascii="Arial Narrow" w:hAnsi="Arial Narrow"/>
                <w:b/>
                <w:sz w:val="20"/>
              </w:rPr>
            </w:pPr>
            <w:r w:rsidRPr="004E2ADC">
              <w:rPr>
                <w:rFonts w:ascii="Arial Narrow" w:hAnsi="Arial Narrow"/>
                <w:b/>
                <w:sz w:val="20"/>
              </w:rPr>
              <w:t>Protocol title/ Publication title</w:t>
            </w:r>
          </w:p>
        </w:tc>
        <w:tc>
          <w:tcPr>
            <w:tcW w:w="1026" w:type="pct"/>
          </w:tcPr>
          <w:p w:rsidR="00B97F1B" w:rsidRPr="004E2ADC" w:rsidRDefault="00B97F1B" w:rsidP="00C44DC6">
            <w:pPr>
              <w:keepNext/>
              <w:keepLines/>
              <w:jc w:val="center"/>
              <w:rPr>
                <w:rFonts w:ascii="Arial Narrow" w:hAnsi="Arial Narrow"/>
                <w:b/>
                <w:sz w:val="20"/>
              </w:rPr>
            </w:pPr>
            <w:r w:rsidRPr="004E2ADC">
              <w:rPr>
                <w:rFonts w:ascii="Arial Narrow" w:hAnsi="Arial Narrow"/>
                <w:b/>
                <w:sz w:val="20"/>
              </w:rPr>
              <w:t>Publication citation</w:t>
            </w:r>
          </w:p>
        </w:tc>
      </w:tr>
      <w:tr w:rsidR="008009C9" w:rsidRPr="004E2ADC" w:rsidTr="00AF0B79">
        <w:tc>
          <w:tcPr>
            <w:tcW w:w="858" w:type="pct"/>
            <w:tcBorders>
              <w:bottom w:val="single" w:sz="4" w:space="0" w:color="auto"/>
            </w:tcBorders>
          </w:tcPr>
          <w:p w:rsidR="00B97F1B" w:rsidRPr="00CF3281" w:rsidRDefault="00B97F1B" w:rsidP="00C44DC6">
            <w:pPr>
              <w:keepNext/>
              <w:keepLines/>
              <w:jc w:val="left"/>
              <w:rPr>
                <w:rFonts w:ascii="Arial Narrow" w:hAnsi="Arial Narrow"/>
                <w:b/>
                <w:sz w:val="20"/>
              </w:rPr>
            </w:pPr>
            <w:r w:rsidRPr="00CF3281">
              <w:rPr>
                <w:rFonts w:ascii="Arial Narrow" w:hAnsi="Arial Narrow"/>
                <w:b/>
                <w:sz w:val="20"/>
              </w:rPr>
              <w:t>Canakinumab</w:t>
            </w:r>
          </w:p>
        </w:tc>
        <w:tc>
          <w:tcPr>
            <w:tcW w:w="3116" w:type="pct"/>
            <w:tcBorders>
              <w:bottom w:val="single" w:sz="4" w:space="0" w:color="auto"/>
            </w:tcBorders>
          </w:tcPr>
          <w:p w:rsidR="00B97F1B" w:rsidRPr="004E2ADC" w:rsidRDefault="00B97F1B" w:rsidP="00C44DC6">
            <w:pPr>
              <w:keepNext/>
              <w:keepLines/>
              <w:jc w:val="left"/>
              <w:rPr>
                <w:rFonts w:ascii="Arial Narrow" w:hAnsi="Arial Narrow"/>
                <w:sz w:val="20"/>
              </w:rPr>
            </w:pPr>
          </w:p>
        </w:tc>
        <w:tc>
          <w:tcPr>
            <w:tcW w:w="1026" w:type="pct"/>
            <w:tcBorders>
              <w:bottom w:val="single" w:sz="4" w:space="0" w:color="auto"/>
            </w:tcBorders>
          </w:tcPr>
          <w:p w:rsidR="00B97F1B" w:rsidRPr="004E2ADC" w:rsidRDefault="00B97F1B" w:rsidP="00C44DC6">
            <w:pPr>
              <w:keepNext/>
              <w:keepLines/>
              <w:jc w:val="left"/>
              <w:rPr>
                <w:rFonts w:ascii="Arial Narrow" w:hAnsi="Arial Narrow"/>
                <w:sz w:val="20"/>
              </w:rPr>
            </w:pPr>
          </w:p>
        </w:tc>
      </w:tr>
      <w:tr w:rsidR="00AF0B79" w:rsidRPr="004E2ADC" w:rsidTr="00AF0B79">
        <w:trPr>
          <w:trHeight w:val="1039"/>
        </w:trPr>
        <w:tc>
          <w:tcPr>
            <w:tcW w:w="858" w:type="pct"/>
            <w:tcBorders>
              <w:bottom w:val="nil"/>
            </w:tcBorders>
          </w:tcPr>
          <w:p w:rsidR="00AF0B79" w:rsidRPr="004E2ADC" w:rsidRDefault="00AF0B79" w:rsidP="00C44DC6">
            <w:pPr>
              <w:keepNext/>
              <w:keepLines/>
              <w:jc w:val="left"/>
              <w:rPr>
                <w:rFonts w:ascii="Arial Narrow" w:hAnsi="Arial Narrow"/>
                <w:sz w:val="20"/>
              </w:rPr>
            </w:pPr>
            <w:r>
              <w:rPr>
                <w:rFonts w:ascii="Arial Narrow" w:hAnsi="Arial Narrow"/>
                <w:sz w:val="20"/>
              </w:rPr>
              <w:t>2301</w:t>
            </w:r>
          </w:p>
          <w:p w:rsidR="00AF0B79" w:rsidRDefault="00AF0B79" w:rsidP="00AF0B79">
            <w:pPr>
              <w:keepNext/>
              <w:keepLines/>
              <w:jc w:val="left"/>
              <w:rPr>
                <w:rFonts w:ascii="Arial Narrow" w:hAnsi="Arial Narrow"/>
                <w:sz w:val="20"/>
              </w:rPr>
            </w:pPr>
          </w:p>
        </w:tc>
        <w:tc>
          <w:tcPr>
            <w:tcW w:w="3116" w:type="pct"/>
            <w:tcBorders>
              <w:bottom w:val="nil"/>
            </w:tcBorders>
          </w:tcPr>
          <w:p w:rsidR="00AF0B79" w:rsidRDefault="00AF0B79" w:rsidP="00AF0B79">
            <w:pPr>
              <w:keepNext/>
              <w:keepLines/>
              <w:jc w:val="left"/>
              <w:rPr>
                <w:rFonts w:ascii="Arial Narrow" w:hAnsi="Arial Narrow"/>
                <w:sz w:val="20"/>
              </w:rPr>
            </w:pPr>
            <w:r w:rsidRPr="00B03F07">
              <w:rPr>
                <w:rFonts w:ascii="Arial Narrow" w:hAnsi="Arial Narrow"/>
                <w:sz w:val="20"/>
              </w:rPr>
              <w:t>A randomized, double-blind, placebo controlled, withdrawal study of flare prevention of canakinumab (ACZ885) in patients with Systemic Juvenile Arthritis (sJIA) and active systemic manifestations.</w:t>
            </w:r>
          </w:p>
          <w:p w:rsidR="00AF0B79" w:rsidRDefault="00AF0B79" w:rsidP="00C44DC6">
            <w:pPr>
              <w:keepNext/>
              <w:keepLines/>
              <w:jc w:val="left"/>
              <w:rPr>
                <w:rFonts w:ascii="Arial Narrow" w:hAnsi="Arial Narrow"/>
                <w:sz w:val="20"/>
              </w:rPr>
            </w:pPr>
          </w:p>
        </w:tc>
        <w:tc>
          <w:tcPr>
            <w:tcW w:w="1026" w:type="pct"/>
            <w:tcBorders>
              <w:bottom w:val="nil"/>
            </w:tcBorders>
          </w:tcPr>
          <w:p w:rsidR="00AF0B79" w:rsidRDefault="00AF0B79" w:rsidP="00C44DC6">
            <w:pPr>
              <w:keepNext/>
              <w:keepLines/>
              <w:jc w:val="left"/>
              <w:rPr>
                <w:rFonts w:ascii="Arial Narrow" w:hAnsi="Arial Narrow"/>
                <w:sz w:val="20"/>
              </w:rPr>
            </w:pPr>
          </w:p>
          <w:p w:rsidR="00AF0B79" w:rsidRPr="004E2ADC" w:rsidRDefault="00AF0B79" w:rsidP="00C44DC6">
            <w:pPr>
              <w:keepNext/>
              <w:keepLines/>
              <w:jc w:val="left"/>
              <w:rPr>
                <w:rFonts w:ascii="Arial Narrow" w:hAnsi="Arial Narrow"/>
                <w:sz w:val="20"/>
              </w:rPr>
            </w:pPr>
          </w:p>
        </w:tc>
      </w:tr>
      <w:tr w:rsidR="00AF0B79" w:rsidRPr="004E2ADC" w:rsidTr="00AF0B79">
        <w:trPr>
          <w:trHeight w:val="804"/>
        </w:trPr>
        <w:tc>
          <w:tcPr>
            <w:tcW w:w="858" w:type="pct"/>
            <w:tcBorders>
              <w:top w:val="nil"/>
              <w:bottom w:val="single" w:sz="4" w:space="0" w:color="auto"/>
            </w:tcBorders>
          </w:tcPr>
          <w:p w:rsidR="00AF0B79" w:rsidRDefault="00AF0B79" w:rsidP="00C44DC6">
            <w:pPr>
              <w:keepNext/>
              <w:keepLines/>
              <w:jc w:val="left"/>
              <w:rPr>
                <w:rFonts w:ascii="Arial Narrow" w:hAnsi="Arial Narrow"/>
                <w:sz w:val="20"/>
              </w:rPr>
            </w:pPr>
            <w:r>
              <w:rPr>
                <w:rFonts w:ascii="Arial Narrow" w:hAnsi="Arial Narrow"/>
                <w:sz w:val="20"/>
              </w:rPr>
              <w:t>Ruperto</w:t>
            </w:r>
          </w:p>
        </w:tc>
        <w:tc>
          <w:tcPr>
            <w:tcW w:w="3116" w:type="pct"/>
            <w:tcBorders>
              <w:top w:val="nil"/>
              <w:bottom w:val="single" w:sz="4" w:space="0" w:color="auto"/>
            </w:tcBorders>
          </w:tcPr>
          <w:p w:rsidR="00AF0B79" w:rsidRDefault="00AF0B79" w:rsidP="00C44DC6">
            <w:pPr>
              <w:keepNext/>
              <w:keepLines/>
              <w:jc w:val="left"/>
              <w:rPr>
                <w:rFonts w:ascii="Arial Narrow" w:hAnsi="Arial Narrow"/>
                <w:sz w:val="20"/>
              </w:rPr>
            </w:pPr>
            <w:r>
              <w:rPr>
                <w:rFonts w:ascii="Arial Narrow" w:hAnsi="Arial Narrow"/>
                <w:sz w:val="20"/>
              </w:rPr>
              <w:t>Two Randomized Trials of Canakinumab in Systemic Juvenile Idiopathic Arthritis.</w:t>
            </w:r>
          </w:p>
        </w:tc>
        <w:tc>
          <w:tcPr>
            <w:tcW w:w="1026" w:type="pct"/>
            <w:tcBorders>
              <w:top w:val="nil"/>
              <w:bottom w:val="single" w:sz="4" w:space="0" w:color="auto"/>
            </w:tcBorders>
          </w:tcPr>
          <w:p w:rsidR="00AF0B79" w:rsidRDefault="00AF0B79" w:rsidP="00C44DC6">
            <w:pPr>
              <w:keepNext/>
              <w:keepLines/>
              <w:jc w:val="left"/>
              <w:rPr>
                <w:rFonts w:ascii="Arial Narrow" w:hAnsi="Arial Narrow"/>
                <w:sz w:val="20"/>
              </w:rPr>
            </w:pPr>
            <w:r w:rsidRPr="00ED1002">
              <w:rPr>
                <w:rFonts w:ascii="Arial Narrow" w:hAnsi="Arial Narrow"/>
                <w:i/>
                <w:sz w:val="20"/>
              </w:rPr>
              <w:t>New England Journal of Medicine</w:t>
            </w:r>
            <w:r>
              <w:rPr>
                <w:rFonts w:ascii="Arial Narrow" w:hAnsi="Arial Narrow"/>
                <w:sz w:val="20"/>
              </w:rPr>
              <w:t xml:space="preserve">. </w:t>
            </w:r>
            <w:r w:rsidRPr="00B03F07">
              <w:rPr>
                <w:rFonts w:ascii="Arial Narrow" w:hAnsi="Arial Narrow"/>
                <w:sz w:val="20"/>
              </w:rPr>
              <w:t>2012, 36 (25): 2396-2405.</w:t>
            </w:r>
          </w:p>
        </w:tc>
      </w:tr>
      <w:tr w:rsidR="00AF0B79" w:rsidRPr="004E2ADC" w:rsidTr="00AF0B79">
        <w:trPr>
          <w:trHeight w:val="1250"/>
        </w:trPr>
        <w:tc>
          <w:tcPr>
            <w:tcW w:w="858" w:type="pct"/>
            <w:tcBorders>
              <w:bottom w:val="nil"/>
            </w:tcBorders>
          </w:tcPr>
          <w:p w:rsidR="00AF0B79" w:rsidRPr="004E2ADC" w:rsidRDefault="00AF0B79" w:rsidP="00C44DC6">
            <w:pPr>
              <w:keepNext/>
              <w:keepLines/>
              <w:jc w:val="left"/>
              <w:rPr>
                <w:rFonts w:ascii="Arial Narrow" w:hAnsi="Arial Narrow"/>
                <w:sz w:val="20"/>
              </w:rPr>
            </w:pPr>
            <w:r w:rsidRPr="00B03F07">
              <w:rPr>
                <w:rFonts w:ascii="Arial Narrow" w:hAnsi="Arial Narrow"/>
                <w:sz w:val="20"/>
              </w:rPr>
              <w:t>230</w:t>
            </w:r>
            <w:r>
              <w:rPr>
                <w:rFonts w:ascii="Arial Narrow" w:hAnsi="Arial Narrow"/>
                <w:sz w:val="20"/>
              </w:rPr>
              <w:t>5</w:t>
            </w:r>
          </w:p>
          <w:p w:rsidR="00AF0B79" w:rsidRDefault="00AF0B79" w:rsidP="00C44DC6">
            <w:pPr>
              <w:keepNext/>
              <w:keepLines/>
              <w:jc w:val="left"/>
              <w:rPr>
                <w:rFonts w:ascii="Arial Narrow" w:hAnsi="Arial Narrow"/>
                <w:sz w:val="20"/>
              </w:rPr>
            </w:pPr>
          </w:p>
          <w:p w:rsidR="00AF0B79" w:rsidRDefault="00AF0B79" w:rsidP="00C44DC6">
            <w:pPr>
              <w:keepNext/>
              <w:keepLines/>
              <w:jc w:val="left"/>
              <w:rPr>
                <w:rFonts w:ascii="Arial Narrow" w:hAnsi="Arial Narrow"/>
                <w:sz w:val="20"/>
              </w:rPr>
            </w:pPr>
          </w:p>
        </w:tc>
        <w:tc>
          <w:tcPr>
            <w:tcW w:w="3116" w:type="pct"/>
            <w:tcBorders>
              <w:bottom w:val="nil"/>
            </w:tcBorders>
          </w:tcPr>
          <w:p w:rsidR="00AF0B79" w:rsidRDefault="00AF0B79" w:rsidP="00C44DC6">
            <w:pPr>
              <w:keepNext/>
              <w:keepLines/>
              <w:jc w:val="left"/>
              <w:rPr>
                <w:rFonts w:ascii="Arial Narrow" w:hAnsi="Arial Narrow"/>
                <w:sz w:val="20"/>
              </w:rPr>
            </w:pPr>
            <w:r w:rsidRPr="00B03F07">
              <w:rPr>
                <w:rFonts w:ascii="Arial Narrow" w:hAnsi="Arial Narrow"/>
                <w:sz w:val="20"/>
              </w:rPr>
              <w:t xml:space="preserve">A randomised, double-blind, placebo controlled, single dose study to assess the initial efficacy of canakinumab (ACZ885) with respect to the adapted ACR </w:t>
            </w:r>
            <w:r w:rsidR="00325BA6" w:rsidRPr="00B03F07">
              <w:rPr>
                <w:rFonts w:ascii="Arial Narrow" w:hAnsi="Arial Narrow"/>
                <w:sz w:val="20"/>
              </w:rPr>
              <w:t>Paediatric</w:t>
            </w:r>
            <w:r w:rsidRPr="00B03F07">
              <w:rPr>
                <w:rFonts w:ascii="Arial Narrow" w:hAnsi="Arial Narrow"/>
                <w:sz w:val="20"/>
              </w:rPr>
              <w:t xml:space="preserve"> 30 criteria in patients with Systemic Juvenile Idiopathic Arthritis (sJIA) and active systemic manifestations</w:t>
            </w:r>
            <w:r>
              <w:rPr>
                <w:rFonts w:ascii="Arial Narrow" w:hAnsi="Arial Narrow"/>
                <w:sz w:val="20"/>
              </w:rPr>
              <w:t>.</w:t>
            </w:r>
          </w:p>
        </w:tc>
        <w:tc>
          <w:tcPr>
            <w:tcW w:w="1026" w:type="pct"/>
            <w:tcBorders>
              <w:bottom w:val="nil"/>
            </w:tcBorders>
          </w:tcPr>
          <w:p w:rsidR="00AF0B79" w:rsidRDefault="00AF0B79" w:rsidP="00C44DC6">
            <w:pPr>
              <w:keepNext/>
              <w:keepLines/>
              <w:jc w:val="left"/>
              <w:rPr>
                <w:rFonts w:ascii="Arial Narrow" w:hAnsi="Arial Narrow"/>
                <w:sz w:val="20"/>
              </w:rPr>
            </w:pPr>
          </w:p>
          <w:p w:rsidR="00AF0B79" w:rsidRPr="004E2ADC" w:rsidRDefault="00AF0B79" w:rsidP="00C44DC6">
            <w:pPr>
              <w:keepNext/>
              <w:keepLines/>
              <w:jc w:val="left"/>
              <w:rPr>
                <w:rFonts w:ascii="Arial Narrow" w:hAnsi="Arial Narrow"/>
                <w:sz w:val="20"/>
              </w:rPr>
            </w:pPr>
          </w:p>
        </w:tc>
      </w:tr>
      <w:tr w:rsidR="00AF0B79" w:rsidRPr="004E2ADC" w:rsidTr="00AF0B79">
        <w:trPr>
          <w:trHeight w:val="766"/>
        </w:trPr>
        <w:tc>
          <w:tcPr>
            <w:tcW w:w="858" w:type="pct"/>
            <w:tcBorders>
              <w:top w:val="nil"/>
            </w:tcBorders>
          </w:tcPr>
          <w:p w:rsidR="00AF0B79" w:rsidRPr="004E2ADC" w:rsidRDefault="00AF0B79" w:rsidP="00AF0B79">
            <w:pPr>
              <w:keepNext/>
              <w:keepLines/>
              <w:jc w:val="left"/>
              <w:rPr>
                <w:rFonts w:ascii="Arial Narrow" w:hAnsi="Arial Narrow"/>
                <w:sz w:val="20"/>
              </w:rPr>
            </w:pPr>
            <w:r>
              <w:rPr>
                <w:rFonts w:ascii="Arial Narrow" w:hAnsi="Arial Narrow"/>
                <w:sz w:val="20"/>
              </w:rPr>
              <w:t>Ruperto</w:t>
            </w:r>
            <w:r w:rsidRPr="00B03F07">
              <w:rPr>
                <w:rFonts w:ascii="Arial Narrow" w:hAnsi="Arial Narrow"/>
                <w:sz w:val="20"/>
              </w:rPr>
              <w:t xml:space="preserve"> </w:t>
            </w:r>
          </w:p>
          <w:p w:rsidR="00AF0B79" w:rsidRPr="00B03F07" w:rsidRDefault="00AF0B79" w:rsidP="00C44DC6">
            <w:pPr>
              <w:keepNext/>
              <w:keepLines/>
              <w:jc w:val="left"/>
              <w:rPr>
                <w:rFonts w:ascii="Arial Narrow" w:hAnsi="Arial Narrow"/>
                <w:sz w:val="20"/>
              </w:rPr>
            </w:pPr>
          </w:p>
        </w:tc>
        <w:tc>
          <w:tcPr>
            <w:tcW w:w="3116" w:type="pct"/>
            <w:tcBorders>
              <w:top w:val="nil"/>
            </w:tcBorders>
          </w:tcPr>
          <w:p w:rsidR="00AF0B79" w:rsidRPr="00B03F07" w:rsidRDefault="00AF0B79" w:rsidP="00C44DC6">
            <w:pPr>
              <w:keepNext/>
              <w:keepLines/>
              <w:jc w:val="left"/>
              <w:rPr>
                <w:rFonts w:ascii="Arial Narrow" w:hAnsi="Arial Narrow"/>
                <w:sz w:val="20"/>
              </w:rPr>
            </w:pPr>
            <w:r w:rsidRPr="00B03F07">
              <w:rPr>
                <w:rFonts w:ascii="Arial Narrow" w:hAnsi="Arial Narrow"/>
                <w:sz w:val="20"/>
              </w:rPr>
              <w:t>Two Randomized Trials of Canakinumab in Systemic Juvenile Idiopathic Arthritis.</w:t>
            </w:r>
          </w:p>
        </w:tc>
        <w:tc>
          <w:tcPr>
            <w:tcW w:w="1026" w:type="pct"/>
            <w:tcBorders>
              <w:top w:val="nil"/>
            </w:tcBorders>
          </w:tcPr>
          <w:p w:rsidR="00AF0B79" w:rsidRPr="00B03F07" w:rsidRDefault="00AF0B79" w:rsidP="00AF0B79">
            <w:pPr>
              <w:keepNext/>
              <w:keepLines/>
              <w:jc w:val="left"/>
              <w:rPr>
                <w:rFonts w:ascii="Arial Narrow" w:hAnsi="Arial Narrow"/>
                <w:sz w:val="20"/>
              </w:rPr>
            </w:pPr>
            <w:r w:rsidRPr="00ED1002">
              <w:rPr>
                <w:rFonts w:ascii="Arial Narrow" w:hAnsi="Arial Narrow"/>
                <w:i/>
                <w:sz w:val="20"/>
              </w:rPr>
              <w:t>New England Journal of Medicine.</w:t>
            </w:r>
            <w:r>
              <w:rPr>
                <w:rFonts w:ascii="Arial Narrow" w:hAnsi="Arial Narrow"/>
                <w:sz w:val="20"/>
              </w:rPr>
              <w:t xml:space="preserve"> </w:t>
            </w:r>
            <w:r w:rsidRPr="00B03F07">
              <w:rPr>
                <w:rFonts w:ascii="Arial Narrow" w:hAnsi="Arial Narrow"/>
                <w:sz w:val="20"/>
              </w:rPr>
              <w:t>2012, 36 (25): 2396-2405.</w:t>
            </w:r>
          </w:p>
        </w:tc>
      </w:tr>
      <w:tr w:rsidR="008009C9" w:rsidRPr="004E2ADC" w:rsidTr="00AF0B79">
        <w:tc>
          <w:tcPr>
            <w:tcW w:w="858" w:type="pct"/>
          </w:tcPr>
          <w:p w:rsidR="00B97F1B" w:rsidRPr="00CF3281" w:rsidRDefault="00B97F1B" w:rsidP="00C44DC6">
            <w:pPr>
              <w:keepNext/>
              <w:keepLines/>
              <w:jc w:val="left"/>
              <w:rPr>
                <w:rFonts w:ascii="Arial Narrow" w:hAnsi="Arial Narrow"/>
                <w:b/>
                <w:sz w:val="20"/>
              </w:rPr>
            </w:pPr>
            <w:r w:rsidRPr="00CF3281">
              <w:rPr>
                <w:rFonts w:ascii="Arial Narrow" w:hAnsi="Arial Narrow"/>
                <w:b/>
                <w:sz w:val="20"/>
              </w:rPr>
              <w:t>Tocilizumab</w:t>
            </w:r>
          </w:p>
        </w:tc>
        <w:tc>
          <w:tcPr>
            <w:tcW w:w="3116" w:type="pct"/>
          </w:tcPr>
          <w:p w:rsidR="00B97F1B" w:rsidRPr="004E2ADC" w:rsidRDefault="00B97F1B" w:rsidP="00C44DC6">
            <w:pPr>
              <w:keepNext/>
              <w:keepLines/>
              <w:jc w:val="left"/>
              <w:rPr>
                <w:rFonts w:ascii="Arial Narrow" w:hAnsi="Arial Narrow"/>
                <w:sz w:val="20"/>
              </w:rPr>
            </w:pPr>
          </w:p>
        </w:tc>
        <w:tc>
          <w:tcPr>
            <w:tcW w:w="1026" w:type="pct"/>
          </w:tcPr>
          <w:p w:rsidR="00B97F1B" w:rsidRPr="004E2ADC" w:rsidRDefault="00B97F1B" w:rsidP="00C44DC6">
            <w:pPr>
              <w:keepNext/>
              <w:keepLines/>
              <w:jc w:val="left"/>
              <w:rPr>
                <w:rFonts w:ascii="Arial Narrow" w:hAnsi="Arial Narrow"/>
                <w:sz w:val="20"/>
              </w:rPr>
            </w:pPr>
          </w:p>
        </w:tc>
      </w:tr>
      <w:tr w:rsidR="008009C9" w:rsidRPr="004E2ADC" w:rsidTr="00AF0B79">
        <w:tc>
          <w:tcPr>
            <w:tcW w:w="858" w:type="pct"/>
          </w:tcPr>
          <w:p w:rsidR="008D67A5" w:rsidRDefault="008D67A5" w:rsidP="00C44DC6">
            <w:pPr>
              <w:keepNext/>
              <w:keepLines/>
              <w:jc w:val="left"/>
              <w:rPr>
                <w:rFonts w:ascii="Arial Narrow" w:hAnsi="Arial Narrow"/>
                <w:sz w:val="20"/>
              </w:rPr>
            </w:pPr>
            <w:r>
              <w:rPr>
                <w:rFonts w:ascii="Arial Narrow" w:hAnsi="Arial Narrow"/>
                <w:sz w:val="20"/>
              </w:rPr>
              <w:t xml:space="preserve">De Benedetti </w:t>
            </w:r>
          </w:p>
          <w:p w:rsidR="008D67A5" w:rsidRDefault="008D67A5" w:rsidP="00AF0B79">
            <w:pPr>
              <w:keepNext/>
              <w:keepLines/>
              <w:jc w:val="left"/>
              <w:rPr>
                <w:rFonts w:ascii="Arial Narrow" w:hAnsi="Arial Narrow"/>
                <w:sz w:val="20"/>
              </w:rPr>
            </w:pPr>
          </w:p>
        </w:tc>
        <w:tc>
          <w:tcPr>
            <w:tcW w:w="3116" w:type="pct"/>
          </w:tcPr>
          <w:p w:rsidR="008D67A5" w:rsidRDefault="008D67A5" w:rsidP="00C44DC6">
            <w:pPr>
              <w:keepNext/>
              <w:keepLines/>
              <w:jc w:val="left"/>
              <w:rPr>
                <w:rFonts w:ascii="Arial Narrow" w:hAnsi="Arial Narrow"/>
                <w:sz w:val="20"/>
              </w:rPr>
            </w:pPr>
            <w:r w:rsidRPr="00655EA3">
              <w:rPr>
                <w:rFonts w:ascii="Arial Narrow" w:hAnsi="Arial Narrow"/>
                <w:sz w:val="20"/>
              </w:rPr>
              <w:t>Randomized trial of tocilizumab in systemic juvenile idiopathic arthritis</w:t>
            </w:r>
            <w:r>
              <w:rPr>
                <w:rFonts w:ascii="Arial Narrow" w:hAnsi="Arial Narrow"/>
                <w:sz w:val="20"/>
              </w:rPr>
              <w:t>.</w:t>
            </w:r>
          </w:p>
        </w:tc>
        <w:tc>
          <w:tcPr>
            <w:tcW w:w="1026" w:type="pct"/>
          </w:tcPr>
          <w:p w:rsidR="008D67A5" w:rsidRPr="00AF0018" w:rsidRDefault="008D67A5" w:rsidP="00C44DC6">
            <w:pPr>
              <w:keepNext/>
              <w:keepLines/>
              <w:jc w:val="left"/>
              <w:rPr>
                <w:rFonts w:ascii="Arial Narrow" w:hAnsi="Arial Narrow"/>
                <w:sz w:val="20"/>
              </w:rPr>
            </w:pPr>
            <w:r w:rsidRPr="001523C8">
              <w:rPr>
                <w:rFonts w:ascii="Arial Narrow" w:hAnsi="Arial Narrow"/>
                <w:i/>
                <w:sz w:val="20"/>
              </w:rPr>
              <w:t>New England Journal of Medicine</w:t>
            </w:r>
            <w:r>
              <w:rPr>
                <w:rFonts w:ascii="Arial Narrow" w:hAnsi="Arial Narrow"/>
                <w:sz w:val="20"/>
              </w:rPr>
              <w:t>.</w:t>
            </w:r>
            <w:r w:rsidRPr="00AF0018">
              <w:rPr>
                <w:rFonts w:ascii="Arial Narrow" w:hAnsi="Arial Narrow"/>
                <w:sz w:val="20"/>
              </w:rPr>
              <w:t xml:space="preserve"> </w:t>
            </w:r>
            <w:r>
              <w:rPr>
                <w:rFonts w:ascii="Arial Narrow" w:hAnsi="Arial Narrow"/>
                <w:sz w:val="20"/>
              </w:rPr>
              <w:t xml:space="preserve">2012. </w:t>
            </w:r>
            <w:r w:rsidRPr="00AF0018">
              <w:rPr>
                <w:rFonts w:ascii="Arial Narrow" w:hAnsi="Arial Narrow"/>
                <w:sz w:val="20"/>
              </w:rPr>
              <w:t>367(25): 2385-2395.</w:t>
            </w:r>
          </w:p>
        </w:tc>
      </w:tr>
      <w:tr w:rsidR="008009C9" w:rsidRPr="004E2ADC" w:rsidTr="00AF0B79">
        <w:tc>
          <w:tcPr>
            <w:tcW w:w="858" w:type="pct"/>
          </w:tcPr>
          <w:p w:rsidR="008D67A5" w:rsidRPr="004E2ADC" w:rsidRDefault="001523C8" w:rsidP="00AF0B79">
            <w:pPr>
              <w:keepNext/>
              <w:keepLines/>
              <w:jc w:val="left"/>
              <w:rPr>
                <w:rFonts w:ascii="Arial Narrow" w:hAnsi="Arial Narrow"/>
                <w:sz w:val="20"/>
              </w:rPr>
            </w:pPr>
            <w:r>
              <w:rPr>
                <w:rFonts w:ascii="Arial Narrow" w:hAnsi="Arial Narrow"/>
                <w:sz w:val="20"/>
              </w:rPr>
              <w:t>Yokota</w:t>
            </w:r>
          </w:p>
        </w:tc>
        <w:tc>
          <w:tcPr>
            <w:tcW w:w="3116" w:type="pct"/>
          </w:tcPr>
          <w:p w:rsidR="008D67A5" w:rsidRPr="004E2ADC" w:rsidRDefault="001523C8" w:rsidP="00C44DC6">
            <w:pPr>
              <w:keepNext/>
              <w:keepLines/>
              <w:jc w:val="left"/>
              <w:rPr>
                <w:rFonts w:ascii="Arial Narrow" w:hAnsi="Arial Narrow"/>
                <w:sz w:val="20"/>
              </w:rPr>
            </w:pPr>
            <w:r w:rsidRPr="00173F9F">
              <w:rPr>
                <w:rFonts w:ascii="Arial Narrow" w:hAnsi="Arial Narrow"/>
              </w:rPr>
              <w:t>Efficacy and safety of tocilizumab in patients with systemic-onset juvenile idiopathic arthritis: a randomised, double-blind, placebo-controlled, withdrawal phase III trial.</w:t>
            </w:r>
          </w:p>
        </w:tc>
        <w:tc>
          <w:tcPr>
            <w:tcW w:w="1026" w:type="pct"/>
          </w:tcPr>
          <w:p w:rsidR="008D67A5" w:rsidRPr="004E2ADC" w:rsidRDefault="001523C8" w:rsidP="00C44DC6">
            <w:pPr>
              <w:keepNext/>
              <w:keepLines/>
              <w:jc w:val="left"/>
              <w:rPr>
                <w:rFonts w:ascii="Arial Narrow" w:hAnsi="Arial Narrow"/>
                <w:sz w:val="20"/>
              </w:rPr>
            </w:pPr>
            <w:r w:rsidRPr="001523C8">
              <w:rPr>
                <w:rFonts w:ascii="Arial Narrow" w:hAnsi="Arial Narrow"/>
                <w:i/>
              </w:rPr>
              <w:t>The Lancet</w:t>
            </w:r>
            <w:r w:rsidRPr="00173F9F">
              <w:rPr>
                <w:rFonts w:ascii="Arial Narrow" w:hAnsi="Arial Narrow"/>
              </w:rPr>
              <w:t>, 2008. 371; 998-1006</w:t>
            </w:r>
          </w:p>
        </w:tc>
      </w:tr>
      <w:tr w:rsidR="008009C9" w:rsidRPr="004E2ADC" w:rsidTr="00AF0B79">
        <w:tc>
          <w:tcPr>
            <w:tcW w:w="858" w:type="pct"/>
          </w:tcPr>
          <w:p w:rsidR="008D67A5" w:rsidRPr="00CF3281" w:rsidRDefault="008D67A5" w:rsidP="00C44DC6">
            <w:pPr>
              <w:keepNext/>
              <w:keepLines/>
              <w:jc w:val="left"/>
              <w:rPr>
                <w:rFonts w:ascii="Arial Narrow" w:hAnsi="Arial Narrow"/>
                <w:b/>
                <w:sz w:val="20"/>
              </w:rPr>
            </w:pPr>
            <w:r w:rsidRPr="00CF3281">
              <w:rPr>
                <w:rFonts w:ascii="Arial Narrow" w:hAnsi="Arial Narrow"/>
                <w:b/>
                <w:sz w:val="20"/>
              </w:rPr>
              <w:t>Etanercept</w:t>
            </w:r>
          </w:p>
        </w:tc>
        <w:tc>
          <w:tcPr>
            <w:tcW w:w="3116" w:type="pct"/>
          </w:tcPr>
          <w:p w:rsidR="008D67A5" w:rsidRPr="004E2ADC" w:rsidRDefault="008D67A5" w:rsidP="00C44DC6">
            <w:pPr>
              <w:keepNext/>
              <w:keepLines/>
              <w:widowControl w:val="0"/>
              <w:autoSpaceDE w:val="0"/>
              <w:autoSpaceDN w:val="0"/>
              <w:adjustRightInd w:val="0"/>
              <w:jc w:val="left"/>
              <w:rPr>
                <w:rFonts w:ascii="Arial Narrow" w:hAnsi="Arial Narrow"/>
                <w:sz w:val="20"/>
              </w:rPr>
            </w:pPr>
          </w:p>
        </w:tc>
        <w:tc>
          <w:tcPr>
            <w:tcW w:w="1026" w:type="pct"/>
          </w:tcPr>
          <w:p w:rsidR="008D67A5" w:rsidRPr="004E2ADC" w:rsidRDefault="008D67A5" w:rsidP="00C44DC6">
            <w:pPr>
              <w:keepNext/>
              <w:keepLines/>
              <w:jc w:val="left"/>
              <w:rPr>
                <w:rFonts w:ascii="Arial Narrow" w:hAnsi="Arial Narrow"/>
                <w:sz w:val="20"/>
              </w:rPr>
            </w:pPr>
          </w:p>
        </w:tc>
      </w:tr>
      <w:tr w:rsidR="008009C9" w:rsidRPr="004E2ADC" w:rsidTr="00AF0B79">
        <w:tc>
          <w:tcPr>
            <w:tcW w:w="858" w:type="pct"/>
          </w:tcPr>
          <w:p w:rsidR="008D67A5" w:rsidRPr="004E2ADC" w:rsidRDefault="008D67A5" w:rsidP="00AF0B79">
            <w:pPr>
              <w:keepNext/>
              <w:keepLines/>
              <w:jc w:val="left"/>
              <w:rPr>
                <w:rFonts w:ascii="Arial Narrow" w:hAnsi="Arial Narrow"/>
                <w:sz w:val="20"/>
              </w:rPr>
            </w:pPr>
            <w:r>
              <w:rPr>
                <w:rFonts w:ascii="Arial Narrow" w:hAnsi="Arial Narrow"/>
                <w:sz w:val="20"/>
              </w:rPr>
              <w:t xml:space="preserve">Lovell </w:t>
            </w:r>
          </w:p>
        </w:tc>
        <w:tc>
          <w:tcPr>
            <w:tcW w:w="3116" w:type="pct"/>
          </w:tcPr>
          <w:p w:rsidR="008D67A5" w:rsidRPr="004E2ADC" w:rsidRDefault="008D67A5" w:rsidP="00C44DC6">
            <w:pPr>
              <w:keepNext/>
              <w:keepLines/>
              <w:jc w:val="left"/>
              <w:rPr>
                <w:rFonts w:ascii="Arial Narrow" w:hAnsi="Arial Narrow"/>
                <w:sz w:val="20"/>
              </w:rPr>
            </w:pPr>
            <w:r w:rsidRPr="00F656D6">
              <w:rPr>
                <w:rFonts w:ascii="Arial Narrow" w:hAnsi="Arial Narrow"/>
                <w:sz w:val="20"/>
              </w:rPr>
              <w:t>Etanercept in children with polyarticular juvenile rheumatoid arthritis.</w:t>
            </w:r>
          </w:p>
        </w:tc>
        <w:tc>
          <w:tcPr>
            <w:tcW w:w="1026" w:type="pct"/>
          </w:tcPr>
          <w:p w:rsidR="008D67A5" w:rsidRPr="004E2ADC" w:rsidRDefault="008D67A5" w:rsidP="00C44DC6">
            <w:pPr>
              <w:keepNext/>
              <w:keepLines/>
              <w:jc w:val="left"/>
              <w:rPr>
                <w:rFonts w:ascii="Arial Narrow" w:hAnsi="Arial Narrow"/>
                <w:sz w:val="20"/>
              </w:rPr>
            </w:pPr>
            <w:r w:rsidRPr="001523C8">
              <w:rPr>
                <w:rFonts w:ascii="Arial Narrow" w:hAnsi="Arial Narrow"/>
                <w:i/>
                <w:sz w:val="20"/>
              </w:rPr>
              <w:t>New England Journal of Medicine</w:t>
            </w:r>
            <w:r w:rsidRPr="00F656D6">
              <w:rPr>
                <w:rFonts w:ascii="Arial Narrow" w:hAnsi="Arial Narrow"/>
                <w:sz w:val="20"/>
              </w:rPr>
              <w:t>.</w:t>
            </w:r>
            <w:r>
              <w:rPr>
                <w:rFonts w:ascii="Arial Narrow" w:hAnsi="Arial Narrow"/>
                <w:sz w:val="20"/>
              </w:rPr>
              <w:t xml:space="preserve"> 2000. 342(11):763-769</w:t>
            </w:r>
          </w:p>
        </w:tc>
      </w:tr>
      <w:tr w:rsidR="008009C9" w:rsidRPr="004E2ADC" w:rsidTr="00AF0B79">
        <w:tc>
          <w:tcPr>
            <w:tcW w:w="858" w:type="pct"/>
          </w:tcPr>
          <w:p w:rsidR="008D67A5" w:rsidRPr="00CF3281" w:rsidRDefault="008D67A5" w:rsidP="00C44DC6">
            <w:pPr>
              <w:keepNext/>
              <w:keepLines/>
              <w:jc w:val="left"/>
              <w:rPr>
                <w:rFonts w:ascii="Arial Narrow" w:hAnsi="Arial Narrow"/>
                <w:b/>
                <w:sz w:val="20"/>
              </w:rPr>
            </w:pPr>
            <w:r w:rsidRPr="00CF3281">
              <w:rPr>
                <w:rFonts w:ascii="Arial Narrow" w:hAnsi="Arial Narrow"/>
                <w:b/>
                <w:sz w:val="20"/>
              </w:rPr>
              <w:t>Adalimumab</w:t>
            </w:r>
          </w:p>
        </w:tc>
        <w:tc>
          <w:tcPr>
            <w:tcW w:w="3116" w:type="pct"/>
          </w:tcPr>
          <w:p w:rsidR="008D67A5" w:rsidRPr="004E2ADC" w:rsidRDefault="008D67A5" w:rsidP="00C44DC6">
            <w:pPr>
              <w:keepNext/>
              <w:keepLines/>
              <w:jc w:val="left"/>
              <w:rPr>
                <w:rFonts w:ascii="Arial Narrow" w:hAnsi="Arial Narrow"/>
                <w:sz w:val="20"/>
              </w:rPr>
            </w:pPr>
          </w:p>
        </w:tc>
        <w:tc>
          <w:tcPr>
            <w:tcW w:w="1026" w:type="pct"/>
          </w:tcPr>
          <w:p w:rsidR="008D67A5" w:rsidRPr="004E2ADC" w:rsidRDefault="008D67A5" w:rsidP="00C44DC6">
            <w:pPr>
              <w:keepNext/>
              <w:keepLines/>
              <w:jc w:val="left"/>
              <w:rPr>
                <w:rFonts w:ascii="Arial Narrow" w:hAnsi="Arial Narrow"/>
                <w:sz w:val="20"/>
              </w:rPr>
            </w:pPr>
          </w:p>
        </w:tc>
      </w:tr>
      <w:tr w:rsidR="008009C9" w:rsidRPr="004E2ADC" w:rsidTr="00AF0B79">
        <w:tc>
          <w:tcPr>
            <w:tcW w:w="858" w:type="pct"/>
            <w:tcBorders>
              <w:bottom w:val="single" w:sz="4" w:space="0" w:color="auto"/>
            </w:tcBorders>
          </w:tcPr>
          <w:p w:rsidR="008D67A5" w:rsidRPr="004E2ADC" w:rsidRDefault="008D67A5" w:rsidP="00AF0B79">
            <w:pPr>
              <w:keepNext/>
              <w:keepLines/>
              <w:jc w:val="left"/>
              <w:rPr>
                <w:rFonts w:ascii="Arial Narrow" w:hAnsi="Arial Narrow"/>
                <w:sz w:val="20"/>
              </w:rPr>
            </w:pPr>
            <w:r>
              <w:rPr>
                <w:rFonts w:ascii="Arial Narrow" w:hAnsi="Arial Narrow"/>
                <w:sz w:val="20"/>
              </w:rPr>
              <w:t xml:space="preserve">Lovell </w:t>
            </w:r>
          </w:p>
        </w:tc>
        <w:tc>
          <w:tcPr>
            <w:tcW w:w="3116" w:type="pct"/>
            <w:tcBorders>
              <w:bottom w:val="single" w:sz="4" w:space="0" w:color="auto"/>
            </w:tcBorders>
          </w:tcPr>
          <w:p w:rsidR="008D67A5" w:rsidRPr="004E2ADC" w:rsidRDefault="008D67A5" w:rsidP="00C44DC6">
            <w:pPr>
              <w:keepNext/>
              <w:keepLines/>
              <w:jc w:val="left"/>
              <w:rPr>
                <w:rFonts w:ascii="Arial Narrow" w:hAnsi="Arial Narrow"/>
                <w:sz w:val="20"/>
              </w:rPr>
            </w:pPr>
            <w:r w:rsidRPr="00F656D6">
              <w:rPr>
                <w:rFonts w:ascii="Arial Narrow" w:hAnsi="Arial Narrow"/>
                <w:sz w:val="20"/>
              </w:rPr>
              <w:t>Adalimumab with or without methotrexate in juvenile rheumatoid arthritis.</w:t>
            </w:r>
          </w:p>
        </w:tc>
        <w:tc>
          <w:tcPr>
            <w:tcW w:w="1026" w:type="pct"/>
            <w:tcBorders>
              <w:bottom w:val="single" w:sz="4" w:space="0" w:color="auto"/>
            </w:tcBorders>
          </w:tcPr>
          <w:p w:rsidR="008D67A5" w:rsidRPr="004E2ADC" w:rsidRDefault="008D67A5" w:rsidP="00C44DC6">
            <w:pPr>
              <w:keepNext/>
              <w:keepLines/>
              <w:jc w:val="left"/>
              <w:rPr>
                <w:rFonts w:ascii="Arial Narrow" w:hAnsi="Arial Narrow"/>
                <w:sz w:val="20"/>
              </w:rPr>
            </w:pPr>
            <w:r w:rsidRPr="001523C8">
              <w:rPr>
                <w:rFonts w:ascii="Arial Narrow" w:hAnsi="Arial Narrow"/>
                <w:i/>
                <w:sz w:val="20"/>
              </w:rPr>
              <w:t>New England Journal of Medicine</w:t>
            </w:r>
            <w:r w:rsidRPr="00F656D6">
              <w:rPr>
                <w:rFonts w:ascii="Arial Narrow" w:hAnsi="Arial Narrow"/>
                <w:sz w:val="20"/>
              </w:rPr>
              <w:t>. 200</w:t>
            </w:r>
            <w:r>
              <w:rPr>
                <w:rFonts w:ascii="Arial Narrow" w:hAnsi="Arial Narrow"/>
                <w:sz w:val="20"/>
              </w:rPr>
              <w:t>8</w:t>
            </w:r>
            <w:r w:rsidRPr="00F656D6">
              <w:rPr>
                <w:rFonts w:ascii="Arial Narrow" w:hAnsi="Arial Narrow"/>
                <w:sz w:val="20"/>
              </w:rPr>
              <w:t>. 3</w:t>
            </w:r>
            <w:r>
              <w:rPr>
                <w:rFonts w:ascii="Arial Narrow" w:hAnsi="Arial Narrow"/>
                <w:sz w:val="20"/>
              </w:rPr>
              <w:t>59</w:t>
            </w:r>
            <w:r w:rsidRPr="00F656D6">
              <w:rPr>
                <w:rFonts w:ascii="Arial Narrow" w:hAnsi="Arial Narrow"/>
                <w:sz w:val="20"/>
              </w:rPr>
              <w:t>(</w:t>
            </w:r>
            <w:r>
              <w:rPr>
                <w:rFonts w:ascii="Arial Narrow" w:hAnsi="Arial Narrow"/>
                <w:sz w:val="20"/>
              </w:rPr>
              <w:t>8</w:t>
            </w:r>
            <w:r w:rsidRPr="00F656D6">
              <w:rPr>
                <w:rFonts w:ascii="Arial Narrow" w:hAnsi="Arial Narrow"/>
                <w:sz w:val="20"/>
              </w:rPr>
              <w:t>):</w:t>
            </w:r>
            <w:r>
              <w:rPr>
                <w:rFonts w:ascii="Arial Narrow" w:hAnsi="Arial Narrow"/>
                <w:sz w:val="20"/>
              </w:rPr>
              <w:t>810</w:t>
            </w:r>
            <w:r w:rsidRPr="00F656D6">
              <w:rPr>
                <w:rFonts w:ascii="Arial Narrow" w:hAnsi="Arial Narrow"/>
                <w:sz w:val="20"/>
              </w:rPr>
              <w:t>-</w:t>
            </w:r>
            <w:r>
              <w:rPr>
                <w:rFonts w:ascii="Arial Narrow" w:hAnsi="Arial Narrow"/>
                <w:sz w:val="20"/>
              </w:rPr>
              <w:t>820</w:t>
            </w:r>
          </w:p>
        </w:tc>
      </w:tr>
      <w:tr w:rsidR="008009C9" w:rsidRPr="004E2ADC" w:rsidTr="00AF0B79">
        <w:tc>
          <w:tcPr>
            <w:tcW w:w="858" w:type="pct"/>
            <w:tcBorders>
              <w:bottom w:val="single" w:sz="4" w:space="0" w:color="auto"/>
            </w:tcBorders>
          </w:tcPr>
          <w:p w:rsidR="00AF0B79" w:rsidRPr="004E2ADC" w:rsidRDefault="00AF0B79" w:rsidP="00AF0B79">
            <w:pPr>
              <w:keepNext/>
              <w:keepLines/>
              <w:jc w:val="left"/>
              <w:rPr>
                <w:rFonts w:ascii="Arial Narrow" w:hAnsi="Arial Narrow"/>
                <w:sz w:val="20"/>
              </w:rPr>
            </w:pPr>
            <w:r>
              <w:rPr>
                <w:rFonts w:ascii="Arial Narrow" w:hAnsi="Arial Narrow"/>
                <w:sz w:val="20"/>
              </w:rPr>
              <w:t xml:space="preserve">Otten </w:t>
            </w:r>
          </w:p>
          <w:p w:rsidR="008D67A5" w:rsidRPr="004E2ADC" w:rsidRDefault="008D67A5" w:rsidP="00C44DC6">
            <w:pPr>
              <w:keepNext/>
              <w:keepLines/>
              <w:jc w:val="left"/>
              <w:rPr>
                <w:rFonts w:ascii="Arial Narrow" w:hAnsi="Arial Narrow"/>
                <w:sz w:val="20"/>
              </w:rPr>
            </w:pPr>
          </w:p>
        </w:tc>
        <w:tc>
          <w:tcPr>
            <w:tcW w:w="3116" w:type="pct"/>
            <w:tcBorders>
              <w:bottom w:val="single" w:sz="4" w:space="0" w:color="auto"/>
            </w:tcBorders>
          </w:tcPr>
          <w:p w:rsidR="008D67A5" w:rsidRPr="004E2ADC" w:rsidRDefault="008D67A5" w:rsidP="00C44DC6">
            <w:pPr>
              <w:keepNext/>
              <w:keepLines/>
              <w:jc w:val="left"/>
              <w:rPr>
                <w:rFonts w:ascii="Arial Narrow" w:hAnsi="Arial Narrow"/>
                <w:b/>
                <w:sz w:val="20"/>
              </w:rPr>
            </w:pPr>
            <w:r w:rsidRPr="00F60BAB">
              <w:rPr>
                <w:rFonts w:ascii="Arial Narrow" w:hAnsi="Arial Narrow"/>
                <w:sz w:val="20"/>
              </w:rPr>
              <w:t>Efficacy of biological agents in juvenile idiopathic arthritis: a systematic review using indirect comparisons</w:t>
            </w:r>
          </w:p>
        </w:tc>
        <w:tc>
          <w:tcPr>
            <w:tcW w:w="1026" w:type="pct"/>
            <w:tcBorders>
              <w:bottom w:val="single" w:sz="4" w:space="0" w:color="auto"/>
            </w:tcBorders>
          </w:tcPr>
          <w:p w:rsidR="008D67A5" w:rsidRPr="00F60BAB" w:rsidRDefault="008D67A5" w:rsidP="00C44DC6">
            <w:pPr>
              <w:keepNext/>
              <w:keepLines/>
              <w:jc w:val="left"/>
              <w:rPr>
                <w:rFonts w:ascii="Arial Narrow" w:hAnsi="Arial Narrow"/>
                <w:sz w:val="20"/>
              </w:rPr>
            </w:pPr>
            <w:r w:rsidRPr="001523C8">
              <w:rPr>
                <w:rFonts w:ascii="Arial Narrow" w:hAnsi="Arial Narrow"/>
                <w:i/>
                <w:sz w:val="20"/>
              </w:rPr>
              <w:t>Annals of the Rheumatic Diseases</w:t>
            </w:r>
            <w:r>
              <w:rPr>
                <w:rFonts w:ascii="Arial Narrow" w:hAnsi="Arial Narrow"/>
                <w:sz w:val="20"/>
              </w:rPr>
              <w:t>.</w:t>
            </w:r>
            <w:r w:rsidRPr="00F60BAB">
              <w:rPr>
                <w:rFonts w:ascii="Arial Narrow" w:hAnsi="Arial Narrow"/>
                <w:sz w:val="20"/>
              </w:rPr>
              <w:t xml:space="preserve"> 2013</w:t>
            </w:r>
            <w:r>
              <w:rPr>
                <w:rFonts w:ascii="Arial Narrow" w:hAnsi="Arial Narrow"/>
                <w:sz w:val="20"/>
              </w:rPr>
              <w:t>.</w:t>
            </w:r>
            <w:r w:rsidRPr="00F60BAB">
              <w:rPr>
                <w:rFonts w:ascii="Arial Narrow" w:hAnsi="Arial Narrow"/>
                <w:sz w:val="20"/>
              </w:rPr>
              <w:t xml:space="preserve"> 72</w:t>
            </w:r>
            <w:r>
              <w:rPr>
                <w:rFonts w:ascii="Arial Narrow" w:hAnsi="Arial Narrow"/>
                <w:sz w:val="20"/>
              </w:rPr>
              <w:t xml:space="preserve"> (11)</w:t>
            </w:r>
            <w:r w:rsidRPr="00F60BAB">
              <w:rPr>
                <w:rFonts w:ascii="Arial Narrow" w:hAnsi="Arial Narrow"/>
                <w:sz w:val="20"/>
              </w:rPr>
              <w:t>: 1806-1812.</w:t>
            </w:r>
          </w:p>
        </w:tc>
      </w:tr>
    </w:tbl>
    <w:p w:rsidR="00B97F1B" w:rsidRPr="008D67A5" w:rsidRDefault="00FB21FC" w:rsidP="00C44DC6">
      <w:pPr>
        <w:pStyle w:val="TableFooter"/>
        <w:keepNext/>
        <w:keepLines/>
        <w:ind w:left="709"/>
        <w:rPr>
          <w:szCs w:val="18"/>
        </w:rPr>
      </w:pPr>
      <w:r w:rsidRPr="008D67A5">
        <w:rPr>
          <w:szCs w:val="18"/>
        </w:rPr>
        <w:t xml:space="preserve">Source: </w:t>
      </w:r>
      <w:r w:rsidR="008D67A5">
        <w:t>Table 11</w:t>
      </w:r>
      <w:r w:rsidR="001523C8">
        <w:t>, p44-45</w:t>
      </w:r>
      <w:r w:rsidR="008D67A5">
        <w:t xml:space="preserve"> of the submission</w:t>
      </w:r>
    </w:p>
    <w:p w:rsidR="00862502" w:rsidRPr="008F120A" w:rsidRDefault="00862502" w:rsidP="008F120A">
      <w:pPr>
        <w:rPr>
          <w:szCs w:val="22"/>
        </w:rPr>
      </w:pPr>
    </w:p>
    <w:p w:rsidR="00EB1E67" w:rsidRPr="002F32DE" w:rsidRDefault="00EB1E67" w:rsidP="00490F0E">
      <w:pPr>
        <w:pStyle w:val="ListParagraph"/>
        <w:numPr>
          <w:ilvl w:val="1"/>
          <w:numId w:val="2"/>
        </w:numPr>
        <w:rPr>
          <w:szCs w:val="22"/>
        </w:rPr>
      </w:pPr>
      <w:r w:rsidRPr="002F32DE">
        <w:rPr>
          <w:szCs w:val="22"/>
        </w:rPr>
        <w:lastRenderedPageBreak/>
        <w:t xml:space="preserve">The Yokota </w:t>
      </w:r>
      <w:r w:rsidR="007A097D">
        <w:rPr>
          <w:szCs w:val="22"/>
        </w:rPr>
        <w:t>(</w:t>
      </w:r>
      <w:r w:rsidRPr="002F32DE">
        <w:rPr>
          <w:szCs w:val="22"/>
        </w:rPr>
        <w:t>2008</w:t>
      </w:r>
      <w:r w:rsidR="007A097D">
        <w:rPr>
          <w:szCs w:val="22"/>
        </w:rPr>
        <w:t>)</w:t>
      </w:r>
      <w:r w:rsidRPr="002F32DE">
        <w:rPr>
          <w:szCs w:val="22"/>
        </w:rPr>
        <w:t xml:space="preserve"> tocilizumab trial was excluded during the evaluation due to inapplicability (non-matching population and dose).</w:t>
      </w:r>
    </w:p>
    <w:p w:rsidR="00862502" w:rsidRPr="00EB1E67" w:rsidRDefault="008F120A" w:rsidP="00EB1E67">
      <w:pPr>
        <w:rPr>
          <w:szCs w:val="22"/>
        </w:rPr>
      </w:pPr>
      <w:r w:rsidRPr="00EB1E67">
        <w:rPr>
          <w:szCs w:val="22"/>
        </w:rPr>
        <w:t xml:space="preserve">  </w:t>
      </w:r>
    </w:p>
    <w:p w:rsidR="0084776A" w:rsidRPr="00B50DB8" w:rsidRDefault="00EB1E67" w:rsidP="00490F0E">
      <w:pPr>
        <w:pStyle w:val="ListParagraph"/>
        <w:numPr>
          <w:ilvl w:val="1"/>
          <w:numId w:val="2"/>
        </w:numPr>
        <w:rPr>
          <w:szCs w:val="22"/>
        </w:rPr>
      </w:pPr>
      <w:r w:rsidRPr="00B50DB8">
        <w:rPr>
          <w:szCs w:val="22"/>
        </w:rPr>
        <w:t>The key features of the randomised trial</w:t>
      </w:r>
      <w:r>
        <w:rPr>
          <w:szCs w:val="22"/>
        </w:rPr>
        <w:t>s</w:t>
      </w:r>
      <w:r w:rsidRPr="00B50DB8">
        <w:rPr>
          <w:szCs w:val="22"/>
        </w:rPr>
        <w:t xml:space="preserve"> </w:t>
      </w:r>
      <w:r>
        <w:rPr>
          <w:szCs w:val="22"/>
        </w:rPr>
        <w:t xml:space="preserve">included in the indirect comparisons </w:t>
      </w:r>
      <w:r w:rsidRPr="00B50DB8">
        <w:rPr>
          <w:szCs w:val="22"/>
        </w:rPr>
        <w:t>are summarised in the table below.</w:t>
      </w:r>
    </w:p>
    <w:p w:rsidR="007F1017" w:rsidRDefault="007F1017" w:rsidP="007F1017">
      <w:pPr>
        <w:rPr>
          <w:szCs w:val="22"/>
        </w:rPr>
      </w:pPr>
    </w:p>
    <w:p w:rsidR="007F1017" w:rsidRPr="00E2771E" w:rsidRDefault="007F1017" w:rsidP="00C44DC6">
      <w:pPr>
        <w:keepNext/>
        <w:keepLines/>
        <w:ind w:firstLine="720"/>
        <w:rPr>
          <w:rStyle w:val="CommentReference"/>
        </w:rPr>
      </w:pPr>
      <w:r w:rsidRPr="00E2771E">
        <w:rPr>
          <w:rStyle w:val="CommentReference"/>
        </w:rPr>
        <w:t>Key features of the included evidence</w:t>
      </w:r>
    </w:p>
    <w:tbl>
      <w:tblPr>
        <w:tblW w:w="4527"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features of the included evidence"/>
      </w:tblPr>
      <w:tblGrid>
        <w:gridCol w:w="1257"/>
        <w:gridCol w:w="546"/>
        <w:gridCol w:w="1824"/>
        <w:gridCol w:w="970"/>
        <w:gridCol w:w="1641"/>
        <w:gridCol w:w="1985"/>
      </w:tblGrid>
      <w:tr w:rsidR="00EB1E67" w:rsidRPr="00E2771E" w:rsidTr="00C44DC6">
        <w:trPr>
          <w:tblHeader/>
        </w:trPr>
        <w:tc>
          <w:tcPr>
            <w:tcW w:w="764" w:type="pct"/>
            <w:shd w:val="clear" w:color="auto" w:fill="auto"/>
            <w:vAlign w:val="center"/>
          </w:tcPr>
          <w:p w:rsidR="00811AF6" w:rsidRPr="00E2771E" w:rsidRDefault="00811AF6" w:rsidP="00C44DC6">
            <w:pPr>
              <w:keepNext/>
              <w:keepLines/>
              <w:jc w:val="left"/>
              <w:rPr>
                <w:rFonts w:ascii="Arial Narrow" w:hAnsi="Arial Narrow"/>
                <w:b/>
                <w:sz w:val="20"/>
                <w:lang w:val="en-US"/>
              </w:rPr>
            </w:pPr>
            <w:r w:rsidRPr="00E2771E">
              <w:rPr>
                <w:rFonts w:ascii="Arial Narrow" w:hAnsi="Arial Narrow"/>
                <w:b/>
                <w:sz w:val="20"/>
                <w:lang w:val="en-US"/>
              </w:rPr>
              <w:t>Trial</w:t>
            </w:r>
          </w:p>
        </w:tc>
        <w:tc>
          <w:tcPr>
            <w:tcW w:w="332" w:type="pct"/>
            <w:shd w:val="clear" w:color="auto" w:fill="auto"/>
            <w:vAlign w:val="center"/>
          </w:tcPr>
          <w:p w:rsidR="00811AF6" w:rsidRPr="00E2771E" w:rsidRDefault="00811AF6" w:rsidP="00C44DC6">
            <w:pPr>
              <w:keepNext/>
              <w:keepLines/>
              <w:jc w:val="center"/>
              <w:rPr>
                <w:rFonts w:ascii="Arial Narrow" w:hAnsi="Arial Narrow"/>
                <w:b/>
                <w:sz w:val="20"/>
                <w:lang w:val="en-US"/>
              </w:rPr>
            </w:pPr>
            <w:r w:rsidRPr="00E2771E">
              <w:rPr>
                <w:rFonts w:ascii="Arial Narrow" w:hAnsi="Arial Narrow"/>
                <w:b/>
                <w:sz w:val="20"/>
                <w:lang w:val="en-US"/>
              </w:rPr>
              <w:t>N</w:t>
            </w:r>
          </w:p>
        </w:tc>
        <w:tc>
          <w:tcPr>
            <w:tcW w:w="1109" w:type="pct"/>
            <w:shd w:val="clear" w:color="auto" w:fill="auto"/>
            <w:vAlign w:val="center"/>
          </w:tcPr>
          <w:p w:rsidR="00811AF6" w:rsidRPr="00E2771E" w:rsidRDefault="00811AF6" w:rsidP="00C44DC6">
            <w:pPr>
              <w:keepNext/>
              <w:keepLines/>
              <w:jc w:val="center"/>
              <w:rPr>
                <w:rFonts w:ascii="Arial Narrow" w:hAnsi="Arial Narrow"/>
                <w:b/>
                <w:sz w:val="20"/>
                <w:lang w:val="en-US"/>
              </w:rPr>
            </w:pPr>
            <w:r w:rsidRPr="00E2771E">
              <w:rPr>
                <w:rFonts w:ascii="Arial Narrow" w:hAnsi="Arial Narrow"/>
                <w:b/>
                <w:sz w:val="20"/>
                <w:lang w:val="en-US"/>
              </w:rPr>
              <w:t>Design/ duration</w:t>
            </w:r>
          </w:p>
        </w:tc>
        <w:tc>
          <w:tcPr>
            <w:tcW w:w="590" w:type="pct"/>
            <w:shd w:val="clear" w:color="auto" w:fill="auto"/>
            <w:vAlign w:val="center"/>
          </w:tcPr>
          <w:p w:rsidR="00811AF6" w:rsidRPr="00E2771E" w:rsidRDefault="00811AF6" w:rsidP="00C44DC6">
            <w:pPr>
              <w:keepNext/>
              <w:keepLines/>
              <w:jc w:val="center"/>
              <w:rPr>
                <w:rFonts w:ascii="Arial Narrow" w:hAnsi="Arial Narrow"/>
                <w:b/>
                <w:sz w:val="20"/>
                <w:lang w:val="en-US"/>
              </w:rPr>
            </w:pPr>
            <w:r w:rsidRPr="00E2771E">
              <w:rPr>
                <w:rFonts w:ascii="Arial Narrow" w:hAnsi="Arial Narrow"/>
                <w:b/>
                <w:sz w:val="20"/>
                <w:lang w:val="en-US"/>
              </w:rPr>
              <w:t>Risk of bias</w:t>
            </w:r>
          </w:p>
        </w:tc>
        <w:tc>
          <w:tcPr>
            <w:tcW w:w="998" w:type="pct"/>
            <w:shd w:val="clear" w:color="auto" w:fill="auto"/>
            <w:vAlign w:val="center"/>
          </w:tcPr>
          <w:p w:rsidR="00811AF6" w:rsidRPr="00E2771E" w:rsidRDefault="00811AF6" w:rsidP="00C44DC6">
            <w:pPr>
              <w:keepNext/>
              <w:keepLines/>
              <w:jc w:val="center"/>
              <w:rPr>
                <w:rFonts w:ascii="Arial Narrow" w:hAnsi="Arial Narrow"/>
                <w:b/>
                <w:sz w:val="20"/>
                <w:lang w:val="en-US"/>
              </w:rPr>
            </w:pPr>
            <w:r w:rsidRPr="00E2771E">
              <w:rPr>
                <w:rFonts w:ascii="Arial Narrow" w:hAnsi="Arial Narrow"/>
                <w:b/>
                <w:sz w:val="20"/>
                <w:lang w:val="en-US"/>
              </w:rPr>
              <w:t>Patient population</w:t>
            </w:r>
          </w:p>
        </w:tc>
        <w:tc>
          <w:tcPr>
            <w:tcW w:w="1208" w:type="pct"/>
            <w:shd w:val="clear" w:color="auto" w:fill="auto"/>
            <w:vAlign w:val="center"/>
          </w:tcPr>
          <w:p w:rsidR="00811AF6" w:rsidRPr="00E2771E" w:rsidRDefault="00811AF6" w:rsidP="00C44DC6">
            <w:pPr>
              <w:keepNext/>
              <w:keepLines/>
              <w:jc w:val="center"/>
              <w:rPr>
                <w:rFonts w:ascii="Arial Narrow" w:hAnsi="Arial Narrow"/>
                <w:b/>
                <w:sz w:val="20"/>
                <w:lang w:val="en-US"/>
              </w:rPr>
            </w:pPr>
            <w:r w:rsidRPr="00E2771E">
              <w:rPr>
                <w:rFonts w:ascii="Arial Narrow" w:hAnsi="Arial Narrow"/>
                <w:b/>
                <w:sz w:val="20"/>
                <w:lang w:val="en-US"/>
              </w:rPr>
              <w:t>Outcome(s)</w:t>
            </w:r>
          </w:p>
        </w:tc>
      </w:tr>
      <w:tr w:rsidR="007F1017" w:rsidRPr="00E2771E" w:rsidTr="00EB1E67">
        <w:tc>
          <w:tcPr>
            <w:tcW w:w="5000" w:type="pct"/>
            <w:gridSpan w:val="6"/>
            <w:shd w:val="clear" w:color="auto" w:fill="auto"/>
            <w:vAlign w:val="center"/>
          </w:tcPr>
          <w:p w:rsidR="007F1017" w:rsidRPr="00E2771E" w:rsidRDefault="00AF2F47" w:rsidP="00C44DC6">
            <w:pPr>
              <w:keepNext/>
              <w:keepLines/>
              <w:jc w:val="left"/>
              <w:rPr>
                <w:rFonts w:ascii="Arial Narrow" w:hAnsi="Arial Narrow"/>
                <w:b/>
                <w:sz w:val="20"/>
                <w:lang w:val="en-US"/>
              </w:rPr>
            </w:pPr>
            <w:r>
              <w:rPr>
                <w:rFonts w:ascii="Arial Narrow" w:hAnsi="Arial Narrow"/>
                <w:b/>
                <w:sz w:val="20"/>
                <w:lang w:val="en-US"/>
              </w:rPr>
              <w:t>C</w:t>
            </w:r>
            <w:r w:rsidR="00EB473A">
              <w:rPr>
                <w:rFonts w:ascii="Arial Narrow" w:hAnsi="Arial Narrow"/>
                <w:b/>
                <w:sz w:val="20"/>
                <w:lang w:val="en-US"/>
              </w:rPr>
              <w:t>anakinumab vs. placebo</w:t>
            </w:r>
          </w:p>
        </w:tc>
      </w:tr>
      <w:tr w:rsidR="00EB1E67" w:rsidRPr="00E2771E" w:rsidTr="00EB1E67">
        <w:tc>
          <w:tcPr>
            <w:tcW w:w="764" w:type="pct"/>
            <w:shd w:val="clear" w:color="auto" w:fill="auto"/>
            <w:vAlign w:val="center"/>
          </w:tcPr>
          <w:p w:rsidR="00811AF6" w:rsidRPr="00E2771E" w:rsidRDefault="00811AF6" w:rsidP="00C44DC6">
            <w:pPr>
              <w:keepNext/>
              <w:keepLines/>
              <w:jc w:val="left"/>
              <w:rPr>
                <w:rFonts w:ascii="Arial Narrow" w:hAnsi="Arial Narrow"/>
                <w:sz w:val="20"/>
                <w:lang w:val="en-US"/>
              </w:rPr>
            </w:pPr>
            <w:r>
              <w:rPr>
                <w:rFonts w:ascii="Arial Narrow" w:hAnsi="Arial Narrow"/>
                <w:sz w:val="20"/>
                <w:lang w:val="en-US"/>
              </w:rPr>
              <w:t>Trial 2305</w:t>
            </w:r>
          </w:p>
        </w:tc>
        <w:tc>
          <w:tcPr>
            <w:tcW w:w="332" w:type="pct"/>
            <w:shd w:val="clear" w:color="auto" w:fill="auto"/>
            <w:vAlign w:val="center"/>
          </w:tcPr>
          <w:p w:rsidR="00811AF6" w:rsidRPr="00E2771E" w:rsidRDefault="00811AF6" w:rsidP="00C44DC6">
            <w:pPr>
              <w:keepNext/>
              <w:keepLines/>
              <w:jc w:val="center"/>
              <w:rPr>
                <w:rFonts w:ascii="Arial Narrow" w:hAnsi="Arial Narrow"/>
                <w:sz w:val="20"/>
                <w:lang w:val="en-US"/>
              </w:rPr>
            </w:pPr>
            <w:r>
              <w:rPr>
                <w:rFonts w:ascii="Arial Narrow" w:hAnsi="Arial Narrow"/>
                <w:sz w:val="20"/>
                <w:lang w:val="en-US"/>
              </w:rPr>
              <w:t>84</w:t>
            </w:r>
          </w:p>
        </w:tc>
        <w:tc>
          <w:tcPr>
            <w:tcW w:w="1109" w:type="pct"/>
            <w:shd w:val="clear" w:color="auto" w:fill="auto"/>
            <w:vAlign w:val="center"/>
          </w:tcPr>
          <w:p w:rsidR="00811AF6" w:rsidRPr="00E2771E" w:rsidRDefault="00811AF6" w:rsidP="00C44DC6">
            <w:pPr>
              <w:keepNext/>
              <w:keepLines/>
              <w:jc w:val="center"/>
              <w:rPr>
                <w:rFonts w:ascii="Arial Narrow" w:hAnsi="Arial Narrow"/>
                <w:sz w:val="20"/>
                <w:lang w:val="en-US"/>
              </w:rPr>
            </w:pPr>
            <w:r w:rsidRPr="00E2771E">
              <w:rPr>
                <w:rFonts w:ascii="Arial Narrow" w:hAnsi="Arial Narrow"/>
                <w:sz w:val="20"/>
                <w:lang w:val="en-US"/>
              </w:rPr>
              <w:t>R, DB</w:t>
            </w:r>
          </w:p>
          <w:p w:rsidR="00811AF6" w:rsidRPr="00E2771E" w:rsidRDefault="00811AF6" w:rsidP="00C44DC6">
            <w:pPr>
              <w:keepNext/>
              <w:keepLines/>
              <w:jc w:val="center"/>
              <w:rPr>
                <w:rFonts w:ascii="Arial Narrow" w:hAnsi="Arial Narrow"/>
                <w:sz w:val="20"/>
                <w:lang w:val="en-US"/>
              </w:rPr>
            </w:pPr>
            <w:r>
              <w:rPr>
                <w:rFonts w:ascii="Arial Narrow" w:hAnsi="Arial Narrow"/>
                <w:sz w:val="20"/>
                <w:lang w:val="en-US"/>
              </w:rPr>
              <w:t>29 days</w:t>
            </w:r>
          </w:p>
        </w:tc>
        <w:tc>
          <w:tcPr>
            <w:tcW w:w="590" w:type="pct"/>
            <w:shd w:val="clear" w:color="auto" w:fill="auto"/>
            <w:vAlign w:val="center"/>
          </w:tcPr>
          <w:p w:rsidR="00811AF6" w:rsidRPr="00E2771E" w:rsidRDefault="00811AF6" w:rsidP="00C44DC6">
            <w:pPr>
              <w:keepNext/>
              <w:keepLines/>
              <w:jc w:val="center"/>
              <w:rPr>
                <w:rFonts w:ascii="Arial Narrow" w:hAnsi="Arial Narrow"/>
                <w:sz w:val="20"/>
                <w:lang w:val="en-US"/>
              </w:rPr>
            </w:pPr>
            <w:r w:rsidRPr="00E2771E">
              <w:rPr>
                <w:rFonts w:ascii="Arial Narrow" w:hAnsi="Arial Narrow"/>
                <w:sz w:val="20"/>
                <w:lang w:val="en-US"/>
              </w:rPr>
              <w:t>Low</w:t>
            </w:r>
          </w:p>
        </w:tc>
        <w:tc>
          <w:tcPr>
            <w:tcW w:w="998" w:type="pct"/>
            <w:shd w:val="clear" w:color="auto" w:fill="auto"/>
            <w:vAlign w:val="center"/>
          </w:tcPr>
          <w:p w:rsidR="00811AF6" w:rsidRDefault="00811AF6" w:rsidP="00C44DC6">
            <w:pPr>
              <w:keepNext/>
              <w:keepLines/>
              <w:jc w:val="center"/>
              <w:rPr>
                <w:rFonts w:ascii="Arial Narrow" w:hAnsi="Arial Narrow"/>
                <w:sz w:val="20"/>
                <w:lang w:val="en-US"/>
              </w:rPr>
            </w:pPr>
            <w:r>
              <w:rPr>
                <w:rFonts w:ascii="Arial Narrow" w:hAnsi="Arial Narrow"/>
                <w:sz w:val="20"/>
                <w:lang w:val="en-US"/>
              </w:rPr>
              <w:t>sJIA</w:t>
            </w:r>
          </w:p>
          <w:p w:rsidR="00811AF6" w:rsidRPr="00E2771E" w:rsidRDefault="00811AF6" w:rsidP="00C44DC6">
            <w:pPr>
              <w:keepNext/>
              <w:keepLines/>
              <w:jc w:val="center"/>
              <w:rPr>
                <w:rFonts w:ascii="Arial Narrow" w:hAnsi="Arial Narrow"/>
                <w:sz w:val="20"/>
                <w:lang w:val="en-US"/>
              </w:rPr>
            </w:pPr>
            <w:r>
              <w:rPr>
                <w:rFonts w:ascii="Arial Narrow" w:hAnsi="Arial Narrow"/>
                <w:sz w:val="20"/>
                <w:lang w:val="en-US"/>
              </w:rPr>
              <w:t>Treatment naive</w:t>
            </w:r>
          </w:p>
        </w:tc>
        <w:tc>
          <w:tcPr>
            <w:tcW w:w="1208" w:type="pct"/>
            <w:shd w:val="clear" w:color="auto" w:fill="auto"/>
            <w:vAlign w:val="center"/>
          </w:tcPr>
          <w:p w:rsidR="00811AF6" w:rsidRPr="00E2771E" w:rsidRDefault="00811AF6" w:rsidP="00C44DC6">
            <w:pPr>
              <w:keepNext/>
              <w:keepLines/>
              <w:jc w:val="center"/>
              <w:rPr>
                <w:rFonts w:ascii="Arial Narrow" w:hAnsi="Arial Narrow"/>
                <w:sz w:val="20"/>
                <w:lang w:val="en-US"/>
              </w:rPr>
            </w:pPr>
            <w:r>
              <w:rPr>
                <w:rFonts w:ascii="Arial Narrow" w:hAnsi="Arial Narrow"/>
                <w:sz w:val="20"/>
                <w:lang w:val="en-US"/>
              </w:rPr>
              <w:t>Response to ACR Pedi 30</w:t>
            </w:r>
          </w:p>
        </w:tc>
      </w:tr>
      <w:tr w:rsidR="00EB1E67" w:rsidRPr="00E2771E" w:rsidTr="00EB1E67">
        <w:tc>
          <w:tcPr>
            <w:tcW w:w="764" w:type="pct"/>
            <w:shd w:val="clear" w:color="auto" w:fill="auto"/>
            <w:vAlign w:val="center"/>
          </w:tcPr>
          <w:p w:rsidR="00811AF6" w:rsidRPr="00E2771E" w:rsidRDefault="00811AF6" w:rsidP="00C44DC6">
            <w:pPr>
              <w:keepNext/>
              <w:keepLines/>
              <w:jc w:val="left"/>
              <w:rPr>
                <w:rFonts w:ascii="Arial Narrow" w:hAnsi="Arial Narrow"/>
                <w:sz w:val="20"/>
                <w:lang w:val="en-US"/>
              </w:rPr>
            </w:pPr>
            <w:r>
              <w:rPr>
                <w:rFonts w:ascii="Arial Narrow" w:hAnsi="Arial Narrow"/>
                <w:sz w:val="20"/>
                <w:lang w:val="en-US"/>
              </w:rPr>
              <w:t>Trial 2301</w:t>
            </w:r>
          </w:p>
        </w:tc>
        <w:tc>
          <w:tcPr>
            <w:tcW w:w="332" w:type="pct"/>
            <w:shd w:val="clear" w:color="auto" w:fill="auto"/>
            <w:vAlign w:val="center"/>
          </w:tcPr>
          <w:p w:rsidR="00811AF6" w:rsidRPr="00E2771E" w:rsidRDefault="00811AF6" w:rsidP="00C44DC6">
            <w:pPr>
              <w:keepNext/>
              <w:keepLines/>
              <w:jc w:val="center"/>
              <w:rPr>
                <w:rFonts w:ascii="Arial Narrow" w:hAnsi="Arial Narrow"/>
                <w:sz w:val="20"/>
                <w:lang w:val="en-US"/>
              </w:rPr>
            </w:pPr>
            <w:r>
              <w:rPr>
                <w:rFonts w:ascii="Arial Narrow" w:hAnsi="Arial Narrow"/>
                <w:sz w:val="20"/>
                <w:lang w:val="en-US"/>
              </w:rPr>
              <w:t>100</w:t>
            </w:r>
          </w:p>
        </w:tc>
        <w:tc>
          <w:tcPr>
            <w:tcW w:w="1109" w:type="pct"/>
            <w:shd w:val="clear" w:color="auto" w:fill="auto"/>
            <w:vAlign w:val="center"/>
          </w:tcPr>
          <w:p w:rsidR="00811AF6" w:rsidRPr="00E2771E" w:rsidRDefault="00811AF6" w:rsidP="00C44DC6">
            <w:pPr>
              <w:keepNext/>
              <w:keepLines/>
              <w:jc w:val="center"/>
              <w:rPr>
                <w:rFonts w:ascii="Arial Narrow" w:hAnsi="Arial Narrow"/>
                <w:sz w:val="20"/>
                <w:lang w:val="en-US"/>
              </w:rPr>
            </w:pPr>
            <w:r w:rsidRPr="00E2771E">
              <w:rPr>
                <w:rFonts w:ascii="Arial Narrow" w:hAnsi="Arial Narrow"/>
                <w:sz w:val="20"/>
                <w:lang w:val="en-US"/>
              </w:rPr>
              <w:t>R, OL</w:t>
            </w:r>
            <w:r>
              <w:rPr>
                <w:rFonts w:ascii="Arial Narrow" w:hAnsi="Arial Narrow"/>
                <w:sz w:val="20"/>
                <w:lang w:val="en-US"/>
              </w:rPr>
              <w:t>/DB</w:t>
            </w:r>
          </w:p>
          <w:p w:rsidR="00811AF6" w:rsidRPr="00E2771E" w:rsidRDefault="00811AF6" w:rsidP="00C44DC6">
            <w:pPr>
              <w:keepNext/>
              <w:keepLines/>
              <w:jc w:val="center"/>
              <w:rPr>
                <w:rFonts w:ascii="Arial Narrow" w:hAnsi="Arial Narrow"/>
                <w:sz w:val="20"/>
                <w:lang w:val="en-US"/>
              </w:rPr>
            </w:pPr>
            <w:r>
              <w:rPr>
                <w:rFonts w:ascii="Arial Narrow" w:hAnsi="Arial Narrow"/>
                <w:sz w:val="20"/>
                <w:lang w:val="en-US"/>
              </w:rPr>
              <w:t>&gt;80mths*</w:t>
            </w:r>
          </w:p>
        </w:tc>
        <w:tc>
          <w:tcPr>
            <w:tcW w:w="590" w:type="pct"/>
            <w:shd w:val="clear" w:color="auto" w:fill="auto"/>
            <w:vAlign w:val="center"/>
          </w:tcPr>
          <w:p w:rsidR="00811AF6" w:rsidRPr="00E2771E" w:rsidRDefault="00433BE6" w:rsidP="00C44DC6">
            <w:pPr>
              <w:keepNext/>
              <w:keepLines/>
              <w:jc w:val="center"/>
              <w:rPr>
                <w:rFonts w:ascii="Arial Narrow" w:hAnsi="Arial Narrow"/>
                <w:sz w:val="20"/>
                <w:lang w:val="en-US"/>
              </w:rPr>
            </w:pPr>
            <w:r>
              <w:rPr>
                <w:rFonts w:ascii="Arial Narrow" w:hAnsi="Arial Narrow"/>
                <w:sz w:val="20"/>
                <w:lang w:val="en-US"/>
              </w:rPr>
              <w:t>Low</w:t>
            </w:r>
          </w:p>
        </w:tc>
        <w:tc>
          <w:tcPr>
            <w:tcW w:w="998" w:type="pct"/>
            <w:shd w:val="clear" w:color="auto" w:fill="auto"/>
            <w:vAlign w:val="center"/>
          </w:tcPr>
          <w:p w:rsidR="00811AF6" w:rsidRPr="00E2771E" w:rsidRDefault="00811AF6" w:rsidP="00C44DC6">
            <w:pPr>
              <w:keepNext/>
              <w:keepLines/>
              <w:jc w:val="center"/>
              <w:rPr>
                <w:rFonts w:ascii="Arial Narrow" w:hAnsi="Arial Narrow"/>
                <w:sz w:val="20"/>
                <w:lang w:val="en-US"/>
              </w:rPr>
            </w:pPr>
            <w:r>
              <w:rPr>
                <w:rFonts w:ascii="Arial Narrow" w:hAnsi="Arial Narrow"/>
                <w:sz w:val="20"/>
                <w:lang w:val="en-US"/>
              </w:rPr>
              <w:t>Responders to initial treatment</w:t>
            </w:r>
          </w:p>
        </w:tc>
        <w:tc>
          <w:tcPr>
            <w:tcW w:w="1208" w:type="pct"/>
            <w:shd w:val="clear" w:color="auto" w:fill="auto"/>
            <w:vAlign w:val="center"/>
          </w:tcPr>
          <w:p w:rsidR="00811AF6" w:rsidRPr="00E2771E" w:rsidRDefault="00811AF6" w:rsidP="00C44DC6">
            <w:pPr>
              <w:keepNext/>
              <w:keepLines/>
              <w:jc w:val="center"/>
              <w:rPr>
                <w:rFonts w:ascii="Arial Narrow" w:hAnsi="Arial Narrow"/>
                <w:sz w:val="20"/>
                <w:lang w:val="en-US"/>
              </w:rPr>
            </w:pPr>
            <w:r>
              <w:rPr>
                <w:rFonts w:ascii="Arial Narrow" w:hAnsi="Arial Narrow"/>
                <w:sz w:val="20"/>
                <w:lang w:val="en-US"/>
              </w:rPr>
              <w:t>Proportion without flare</w:t>
            </w:r>
          </w:p>
        </w:tc>
      </w:tr>
      <w:tr w:rsidR="00EB473A" w:rsidRPr="00E2771E" w:rsidTr="00EB1E67">
        <w:tc>
          <w:tcPr>
            <w:tcW w:w="5000" w:type="pct"/>
            <w:gridSpan w:val="6"/>
            <w:shd w:val="clear" w:color="auto" w:fill="auto"/>
            <w:vAlign w:val="center"/>
          </w:tcPr>
          <w:p w:rsidR="00EB473A" w:rsidRDefault="00AF2F47" w:rsidP="00C44DC6">
            <w:pPr>
              <w:keepNext/>
              <w:keepLines/>
              <w:jc w:val="left"/>
              <w:rPr>
                <w:rFonts w:ascii="Arial Narrow" w:hAnsi="Arial Narrow"/>
                <w:sz w:val="20"/>
                <w:lang w:val="en-US"/>
              </w:rPr>
            </w:pPr>
            <w:r>
              <w:rPr>
                <w:rFonts w:ascii="Arial Narrow" w:hAnsi="Arial Narrow"/>
                <w:b/>
                <w:sz w:val="20"/>
                <w:lang w:val="en-US"/>
              </w:rPr>
              <w:t xml:space="preserve">Tocilizumab </w:t>
            </w:r>
            <w:r w:rsidR="00EB473A">
              <w:rPr>
                <w:rFonts w:ascii="Arial Narrow" w:hAnsi="Arial Narrow"/>
                <w:b/>
                <w:sz w:val="20"/>
                <w:lang w:val="en-US"/>
              </w:rPr>
              <w:t>vs. placebo</w:t>
            </w:r>
          </w:p>
        </w:tc>
      </w:tr>
      <w:tr w:rsidR="00EB1E67" w:rsidRPr="00E2771E" w:rsidTr="00EB1E67">
        <w:tc>
          <w:tcPr>
            <w:tcW w:w="764" w:type="pct"/>
            <w:shd w:val="clear" w:color="auto" w:fill="auto"/>
            <w:vAlign w:val="center"/>
          </w:tcPr>
          <w:p w:rsidR="00811AF6" w:rsidRPr="00E2771E" w:rsidRDefault="00811AF6" w:rsidP="00C44DC6">
            <w:pPr>
              <w:keepNext/>
              <w:keepLines/>
              <w:jc w:val="left"/>
              <w:rPr>
                <w:rFonts w:ascii="Arial Narrow" w:hAnsi="Arial Narrow"/>
                <w:sz w:val="20"/>
                <w:lang w:val="en-US"/>
              </w:rPr>
            </w:pPr>
            <w:r>
              <w:rPr>
                <w:rFonts w:ascii="Arial Narrow" w:hAnsi="Arial Narrow"/>
                <w:sz w:val="20"/>
                <w:lang w:val="en-US"/>
              </w:rPr>
              <w:t>De Benedetti, 2012</w:t>
            </w:r>
          </w:p>
        </w:tc>
        <w:tc>
          <w:tcPr>
            <w:tcW w:w="332" w:type="pct"/>
            <w:shd w:val="clear" w:color="auto" w:fill="auto"/>
            <w:vAlign w:val="center"/>
          </w:tcPr>
          <w:p w:rsidR="00811AF6" w:rsidRPr="00E2771E" w:rsidRDefault="00811AF6" w:rsidP="00C44DC6">
            <w:pPr>
              <w:keepNext/>
              <w:keepLines/>
              <w:jc w:val="center"/>
              <w:rPr>
                <w:rFonts w:ascii="Arial Narrow" w:hAnsi="Arial Narrow"/>
                <w:sz w:val="20"/>
                <w:lang w:val="en-US"/>
              </w:rPr>
            </w:pPr>
            <w:r>
              <w:rPr>
                <w:rFonts w:ascii="Arial Narrow" w:hAnsi="Arial Narrow"/>
                <w:sz w:val="20"/>
                <w:lang w:val="en-US"/>
              </w:rPr>
              <w:t>112</w:t>
            </w:r>
          </w:p>
        </w:tc>
        <w:tc>
          <w:tcPr>
            <w:tcW w:w="1109" w:type="pct"/>
            <w:shd w:val="clear" w:color="auto" w:fill="auto"/>
            <w:vAlign w:val="center"/>
          </w:tcPr>
          <w:p w:rsidR="00811AF6" w:rsidRPr="00E2771E" w:rsidRDefault="00811AF6" w:rsidP="00C44DC6">
            <w:pPr>
              <w:keepNext/>
              <w:keepLines/>
              <w:jc w:val="center"/>
              <w:rPr>
                <w:rFonts w:ascii="Arial Narrow" w:hAnsi="Arial Narrow"/>
                <w:sz w:val="20"/>
                <w:lang w:val="en-US"/>
              </w:rPr>
            </w:pPr>
            <w:r w:rsidRPr="00E2771E">
              <w:rPr>
                <w:rFonts w:ascii="Arial Narrow" w:hAnsi="Arial Narrow"/>
                <w:sz w:val="20"/>
                <w:lang w:val="en-US"/>
              </w:rPr>
              <w:t>R, DB</w:t>
            </w:r>
          </w:p>
          <w:p w:rsidR="00811AF6" w:rsidRPr="00E2771E" w:rsidRDefault="00811AF6" w:rsidP="00C44DC6">
            <w:pPr>
              <w:keepNext/>
              <w:keepLines/>
              <w:jc w:val="center"/>
              <w:rPr>
                <w:rFonts w:ascii="Arial Narrow" w:hAnsi="Arial Narrow"/>
                <w:sz w:val="20"/>
                <w:lang w:val="en-US"/>
              </w:rPr>
            </w:pPr>
            <w:r>
              <w:rPr>
                <w:rFonts w:ascii="Arial Narrow" w:hAnsi="Arial Narrow"/>
                <w:sz w:val="20"/>
                <w:lang w:val="en-US"/>
              </w:rPr>
              <w:t>12 weeks</w:t>
            </w:r>
          </w:p>
        </w:tc>
        <w:tc>
          <w:tcPr>
            <w:tcW w:w="590" w:type="pct"/>
            <w:shd w:val="clear" w:color="auto" w:fill="auto"/>
            <w:vAlign w:val="center"/>
          </w:tcPr>
          <w:p w:rsidR="00811AF6" w:rsidRPr="00E2771E" w:rsidRDefault="00811AF6" w:rsidP="00C44DC6">
            <w:pPr>
              <w:keepNext/>
              <w:keepLines/>
              <w:jc w:val="center"/>
              <w:rPr>
                <w:rFonts w:ascii="Arial Narrow" w:hAnsi="Arial Narrow"/>
                <w:sz w:val="20"/>
                <w:lang w:val="en-US"/>
              </w:rPr>
            </w:pPr>
            <w:r w:rsidRPr="00E2771E">
              <w:rPr>
                <w:rFonts w:ascii="Arial Narrow" w:hAnsi="Arial Narrow"/>
                <w:sz w:val="20"/>
                <w:lang w:val="en-US"/>
              </w:rPr>
              <w:t>Low</w:t>
            </w:r>
          </w:p>
        </w:tc>
        <w:tc>
          <w:tcPr>
            <w:tcW w:w="998" w:type="pct"/>
            <w:shd w:val="clear" w:color="auto" w:fill="auto"/>
            <w:vAlign w:val="center"/>
          </w:tcPr>
          <w:p w:rsidR="00811AF6" w:rsidRDefault="00811AF6" w:rsidP="00C44DC6">
            <w:pPr>
              <w:keepNext/>
              <w:keepLines/>
              <w:jc w:val="center"/>
              <w:rPr>
                <w:rFonts w:ascii="Arial Narrow" w:hAnsi="Arial Narrow"/>
                <w:sz w:val="20"/>
                <w:lang w:val="en-US"/>
              </w:rPr>
            </w:pPr>
            <w:r>
              <w:rPr>
                <w:rFonts w:ascii="Arial Narrow" w:hAnsi="Arial Narrow"/>
                <w:sz w:val="20"/>
                <w:lang w:val="en-US"/>
              </w:rPr>
              <w:t>sJIA</w:t>
            </w:r>
          </w:p>
          <w:p w:rsidR="00811AF6" w:rsidRPr="00E2771E" w:rsidRDefault="00811AF6" w:rsidP="00C44DC6">
            <w:pPr>
              <w:keepNext/>
              <w:keepLines/>
              <w:jc w:val="center"/>
              <w:rPr>
                <w:rFonts w:ascii="Arial Narrow" w:hAnsi="Arial Narrow"/>
                <w:sz w:val="20"/>
                <w:lang w:val="en-US"/>
              </w:rPr>
            </w:pPr>
            <w:r>
              <w:rPr>
                <w:rFonts w:ascii="Arial Narrow" w:hAnsi="Arial Narrow"/>
                <w:sz w:val="20"/>
                <w:lang w:val="en-US"/>
              </w:rPr>
              <w:t>Treatment naive</w:t>
            </w:r>
          </w:p>
        </w:tc>
        <w:tc>
          <w:tcPr>
            <w:tcW w:w="1208" w:type="pct"/>
            <w:shd w:val="clear" w:color="auto" w:fill="auto"/>
            <w:vAlign w:val="center"/>
          </w:tcPr>
          <w:p w:rsidR="00811AF6" w:rsidRPr="00E2771E" w:rsidRDefault="00811AF6" w:rsidP="00C44DC6">
            <w:pPr>
              <w:keepNext/>
              <w:keepLines/>
              <w:jc w:val="center"/>
              <w:rPr>
                <w:rFonts w:ascii="Arial Narrow" w:hAnsi="Arial Narrow"/>
                <w:sz w:val="20"/>
                <w:lang w:val="en-US"/>
              </w:rPr>
            </w:pPr>
            <w:r>
              <w:rPr>
                <w:rFonts w:ascii="Arial Narrow" w:hAnsi="Arial Narrow"/>
                <w:sz w:val="20"/>
                <w:lang w:val="en-US"/>
              </w:rPr>
              <w:t>Response to ACR Pedi 30</w:t>
            </w:r>
          </w:p>
        </w:tc>
      </w:tr>
      <w:tr w:rsidR="00EB473A" w:rsidRPr="00E2771E" w:rsidTr="00EB1E67">
        <w:tc>
          <w:tcPr>
            <w:tcW w:w="5000" w:type="pct"/>
            <w:gridSpan w:val="6"/>
            <w:shd w:val="clear" w:color="auto" w:fill="auto"/>
            <w:vAlign w:val="center"/>
          </w:tcPr>
          <w:p w:rsidR="00EB473A" w:rsidRPr="00EB473A" w:rsidRDefault="00EB473A" w:rsidP="00C44DC6">
            <w:pPr>
              <w:keepNext/>
              <w:keepLines/>
              <w:jc w:val="left"/>
              <w:rPr>
                <w:rFonts w:ascii="Arial Narrow" w:hAnsi="Arial Narrow"/>
                <w:b/>
                <w:sz w:val="20"/>
                <w:lang w:val="en-US"/>
              </w:rPr>
            </w:pPr>
            <w:r w:rsidRPr="00EB473A">
              <w:rPr>
                <w:rFonts w:ascii="Arial Narrow" w:hAnsi="Arial Narrow"/>
                <w:b/>
                <w:sz w:val="20"/>
                <w:lang w:val="en-US"/>
              </w:rPr>
              <w:t>Etanercept vs placebo</w:t>
            </w:r>
          </w:p>
        </w:tc>
      </w:tr>
      <w:tr w:rsidR="00EB1E67" w:rsidRPr="00E2771E" w:rsidTr="00EB1E67">
        <w:tc>
          <w:tcPr>
            <w:tcW w:w="764" w:type="pct"/>
            <w:shd w:val="clear" w:color="auto" w:fill="auto"/>
            <w:vAlign w:val="center"/>
          </w:tcPr>
          <w:p w:rsidR="00811AF6" w:rsidRPr="00E2771E" w:rsidRDefault="00811AF6" w:rsidP="00C44DC6">
            <w:pPr>
              <w:keepNext/>
              <w:keepLines/>
              <w:jc w:val="left"/>
              <w:rPr>
                <w:rFonts w:ascii="Arial Narrow" w:hAnsi="Arial Narrow"/>
                <w:sz w:val="20"/>
                <w:lang w:val="en-US"/>
              </w:rPr>
            </w:pPr>
            <w:r>
              <w:rPr>
                <w:rFonts w:ascii="Arial Narrow" w:hAnsi="Arial Narrow"/>
                <w:sz w:val="20"/>
                <w:lang w:val="en-US"/>
              </w:rPr>
              <w:t>Lovell, 2000</w:t>
            </w:r>
          </w:p>
        </w:tc>
        <w:tc>
          <w:tcPr>
            <w:tcW w:w="332" w:type="pct"/>
            <w:shd w:val="clear" w:color="auto" w:fill="auto"/>
            <w:vAlign w:val="center"/>
          </w:tcPr>
          <w:p w:rsidR="00811AF6" w:rsidRPr="00E2771E" w:rsidRDefault="00811AF6" w:rsidP="00C44DC6">
            <w:pPr>
              <w:keepNext/>
              <w:keepLines/>
              <w:jc w:val="center"/>
              <w:rPr>
                <w:rFonts w:ascii="Arial Narrow" w:hAnsi="Arial Narrow"/>
                <w:sz w:val="20"/>
                <w:lang w:val="en-US"/>
              </w:rPr>
            </w:pPr>
            <w:r>
              <w:rPr>
                <w:rFonts w:ascii="Arial Narrow" w:hAnsi="Arial Narrow"/>
                <w:sz w:val="20"/>
                <w:lang w:val="en-US"/>
              </w:rPr>
              <w:t>51</w:t>
            </w:r>
          </w:p>
        </w:tc>
        <w:tc>
          <w:tcPr>
            <w:tcW w:w="1109" w:type="pct"/>
            <w:shd w:val="clear" w:color="auto" w:fill="auto"/>
            <w:vAlign w:val="center"/>
          </w:tcPr>
          <w:p w:rsidR="00811AF6" w:rsidRDefault="00811AF6" w:rsidP="00C44DC6">
            <w:pPr>
              <w:keepNext/>
              <w:keepLines/>
              <w:jc w:val="center"/>
              <w:rPr>
                <w:rFonts w:ascii="Arial Narrow" w:hAnsi="Arial Narrow"/>
                <w:sz w:val="20"/>
                <w:lang w:val="en-US"/>
              </w:rPr>
            </w:pPr>
            <w:r>
              <w:rPr>
                <w:rFonts w:ascii="Arial Narrow" w:hAnsi="Arial Narrow"/>
                <w:sz w:val="20"/>
                <w:lang w:val="en-US"/>
              </w:rPr>
              <w:t>R, OL/DB</w:t>
            </w:r>
          </w:p>
          <w:p w:rsidR="00811AF6" w:rsidRDefault="00811AF6" w:rsidP="00C44DC6">
            <w:pPr>
              <w:keepNext/>
              <w:keepLines/>
              <w:jc w:val="center"/>
              <w:rPr>
                <w:rFonts w:ascii="Arial Narrow" w:hAnsi="Arial Narrow"/>
                <w:sz w:val="20"/>
                <w:lang w:val="en-US"/>
              </w:rPr>
            </w:pPr>
            <w:r>
              <w:rPr>
                <w:rFonts w:ascii="Arial Narrow" w:hAnsi="Arial Narrow"/>
                <w:sz w:val="20"/>
                <w:lang w:val="en-US"/>
              </w:rPr>
              <w:t>16 weeks*</w:t>
            </w:r>
          </w:p>
          <w:p w:rsidR="00811AF6" w:rsidRPr="00E2771E" w:rsidRDefault="00811AF6" w:rsidP="00C44DC6">
            <w:pPr>
              <w:keepNext/>
              <w:keepLines/>
              <w:jc w:val="center"/>
              <w:rPr>
                <w:rFonts w:ascii="Arial Narrow" w:hAnsi="Arial Narrow"/>
                <w:sz w:val="20"/>
                <w:lang w:val="en-US"/>
              </w:rPr>
            </w:pPr>
          </w:p>
        </w:tc>
        <w:tc>
          <w:tcPr>
            <w:tcW w:w="590" w:type="pct"/>
            <w:shd w:val="clear" w:color="auto" w:fill="auto"/>
            <w:vAlign w:val="center"/>
          </w:tcPr>
          <w:p w:rsidR="00811AF6" w:rsidRPr="00E2771E" w:rsidRDefault="00433BE6" w:rsidP="00C44DC6">
            <w:pPr>
              <w:keepNext/>
              <w:keepLines/>
              <w:jc w:val="center"/>
              <w:rPr>
                <w:rFonts w:ascii="Arial Narrow" w:hAnsi="Arial Narrow"/>
                <w:sz w:val="20"/>
                <w:lang w:val="en-US"/>
              </w:rPr>
            </w:pPr>
            <w:r>
              <w:rPr>
                <w:rFonts w:ascii="Arial Narrow" w:hAnsi="Arial Narrow"/>
                <w:sz w:val="20"/>
                <w:lang w:val="en-US"/>
              </w:rPr>
              <w:t>Low</w:t>
            </w:r>
          </w:p>
        </w:tc>
        <w:tc>
          <w:tcPr>
            <w:tcW w:w="998" w:type="pct"/>
            <w:shd w:val="clear" w:color="auto" w:fill="auto"/>
            <w:vAlign w:val="center"/>
          </w:tcPr>
          <w:p w:rsidR="00811AF6" w:rsidRPr="00E2771E" w:rsidRDefault="00811AF6" w:rsidP="00C44DC6">
            <w:pPr>
              <w:keepNext/>
              <w:keepLines/>
              <w:jc w:val="center"/>
              <w:rPr>
                <w:rFonts w:ascii="Arial Narrow" w:hAnsi="Arial Narrow"/>
                <w:sz w:val="20"/>
                <w:lang w:val="en-US"/>
              </w:rPr>
            </w:pPr>
            <w:r>
              <w:rPr>
                <w:rFonts w:ascii="Arial Narrow" w:hAnsi="Arial Narrow"/>
                <w:sz w:val="20"/>
                <w:lang w:val="en-US"/>
              </w:rPr>
              <w:t>Responders to initial treatment</w:t>
            </w:r>
          </w:p>
        </w:tc>
        <w:tc>
          <w:tcPr>
            <w:tcW w:w="1208" w:type="pct"/>
            <w:shd w:val="clear" w:color="auto" w:fill="auto"/>
            <w:vAlign w:val="center"/>
          </w:tcPr>
          <w:p w:rsidR="00811AF6" w:rsidRPr="00E2771E" w:rsidRDefault="00811AF6" w:rsidP="00C44DC6">
            <w:pPr>
              <w:keepNext/>
              <w:keepLines/>
              <w:jc w:val="center"/>
              <w:rPr>
                <w:rFonts w:ascii="Arial Narrow" w:hAnsi="Arial Narrow"/>
                <w:sz w:val="20"/>
                <w:lang w:val="en-US"/>
              </w:rPr>
            </w:pPr>
            <w:r>
              <w:rPr>
                <w:rFonts w:ascii="Arial Narrow" w:hAnsi="Arial Narrow"/>
                <w:sz w:val="20"/>
                <w:lang w:val="en-US"/>
              </w:rPr>
              <w:t>Proportion without flare</w:t>
            </w:r>
          </w:p>
        </w:tc>
      </w:tr>
      <w:tr w:rsidR="00EB473A" w:rsidRPr="00E2771E" w:rsidTr="00EB1E67">
        <w:tc>
          <w:tcPr>
            <w:tcW w:w="5000" w:type="pct"/>
            <w:gridSpan w:val="6"/>
            <w:shd w:val="clear" w:color="auto" w:fill="auto"/>
            <w:vAlign w:val="center"/>
          </w:tcPr>
          <w:p w:rsidR="00EB473A" w:rsidRPr="00EB473A" w:rsidRDefault="00EB473A" w:rsidP="00C44DC6">
            <w:pPr>
              <w:keepNext/>
              <w:keepLines/>
              <w:jc w:val="left"/>
              <w:rPr>
                <w:rFonts w:ascii="Arial Narrow" w:hAnsi="Arial Narrow"/>
                <w:b/>
                <w:sz w:val="20"/>
                <w:lang w:val="en-US"/>
              </w:rPr>
            </w:pPr>
            <w:r w:rsidRPr="00EB473A">
              <w:rPr>
                <w:rFonts w:ascii="Arial Narrow" w:hAnsi="Arial Narrow"/>
                <w:b/>
                <w:sz w:val="20"/>
                <w:lang w:val="en-US"/>
              </w:rPr>
              <w:t>Adalimumab vs placebo</w:t>
            </w:r>
          </w:p>
        </w:tc>
      </w:tr>
      <w:tr w:rsidR="00EB1E67" w:rsidRPr="00E2771E" w:rsidTr="00EB1E67">
        <w:tc>
          <w:tcPr>
            <w:tcW w:w="764" w:type="pct"/>
            <w:shd w:val="clear" w:color="auto" w:fill="auto"/>
            <w:vAlign w:val="center"/>
          </w:tcPr>
          <w:p w:rsidR="00811AF6" w:rsidRPr="00E2771E" w:rsidRDefault="00811AF6" w:rsidP="00C44DC6">
            <w:pPr>
              <w:keepNext/>
              <w:keepLines/>
              <w:jc w:val="left"/>
              <w:rPr>
                <w:rFonts w:ascii="Arial Narrow" w:hAnsi="Arial Narrow"/>
                <w:sz w:val="20"/>
                <w:lang w:val="en-US"/>
              </w:rPr>
            </w:pPr>
            <w:r>
              <w:rPr>
                <w:rFonts w:ascii="Arial Narrow" w:hAnsi="Arial Narrow"/>
                <w:sz w:val="20"/>
                <w:lang w:val="en-US"/>
              </w:rPr>
              <w:t>Lovell, 2008</w:t>
            </w:r>
          </w:p>
        </w:tc>
        <w:tc>
          <w:tcPr>
            <w:tcW w:w="332" w:type="pct"/>
            <w:shd w:val="clear" w:color="auto" w:fill="auto"/>
            <w:vAlign w:val="center"/>
          </w:tcPr>
          <w:p w:rsidR="00811AF6" w:rsidRPr="00E2771E" w:rsidRDefault="00811AF6" w:rsidP="00C44DC6">
            <w:pPr>
              <w:keepNext/>
              <w:keepLines/>
              <w:jc w:val="center"/>
              <w:rPr>
                <w:rFonts w:ascii="Arial Narrow" w:hAnsi="Arial Narrow"/>
                <w:sz w:val="20"/>
                <w:lang w:val="en-US"/>
              </w:rPr>
            </w:pPr>
            <w:r>
              <w:rPr>
                <w:rFonts w:ascii="Arial Narrow" w:hAnsi="Arial Narrow"/>
                <w:sz w:val="20"/>
                <w:lang w:val="en-US"/>
              </w:rPr>
              <w:t>133</w:t>
            </w:r>
          </w:p>
        </w:tc>
        <w:tc>
          <w:tcPr>
            <w:tcW w:w="1109" w:type="pct"/>
            <w:shd w:val="clear" w:color="auto" w:fill="auto"/>
            <w:vAlign w:val="center"/>
          </w:tcPr>
          <w:p w:rsidR="00811AF6" w:rsidRDefault="00811AF6" w:rsidP="00C44DC6">
            <w:pPr>
              <w:keepNext/>
              <w:keepLines/>
              <w:jc w:val="center"/>
              <w:rPr>
                <w:rFonts w:ascii="Arial Narrow" w:hAnsi="Arial Narrow"/>
                <w:sz w:val="20"/>
                <w:lang w:val="en-US"/>
              </w:rPr>
            </w:pPr>
            <w:r>
              <w:rPr>
                <w:rFonts w:ascii="Arial Narrow" w:hAnsi="Arial Narrow"/>
                <w:sz w:val="20"/>
                <w:lang w:val="en-US"/>
              </w:rPr>
              <w:t>R, OL/DB</w:t>
            </w:r>
          </w:p>
          <w:p w:rsidR="00811AF6" w:rsidRPr="00E2771E" w:rsidRDefault="00811AF6" w:rsidP="00C44DC6">
            <w:pPr>
              <w:keepNext/>
              <w:keepLines/>
              <w:jc w:val="center"/>
              <w:rPr>
                <w:rFonts w:ascii="Arial Narrow" w:hAnsi="Arial Narrow"/>
                <w:sz w:val="20"/>
                <w:lang w:val="en-US"/>
              </w:rPr>
            </w:pPr>
            <w:r>
              <w:rPr>
                <w:rFonts w:ascii="Arial Narrow" w:hAnsi="Arial Narrow"/>
                <w:sz w:val="20"/>
                <w:lang w:val="en-US"/>
              </w:rPr>
              <w:t>32 weeks*</w:t>
            </w:r>
          </w:p>
        </w:tc>
        <w:tc>
          <w:tcPr>
            <w:tcW w:w="590" w:type="pct"/>
            <w:shd w:val="clear" w:color="auto" w:fill="auto"/>
            <w:vAlign w:val="center"/>
          </w:tcPr>
          <w:p w:rsidR="00811AF6" w:rsidRPr="00E2771E" w:rsidRDefault="00433BE6" w:rsidP="00C44DC6">
            <w:pPr>
              <w:keepNext/>
              <w:keepLines/>
              <w:jc w:val="center"/>
              <w:rPr>
                <w:rFonts w:ascii="Arial Narrow" w:hAnsi="Arial Narrow"/>
                <w:sz w:val="20"/>
                <w:lang w:val="en-US"/>
              </w:rPr>
            </w:pPr>
            <w:r>
              <w:rPr>
                <w:rFonts w:ascii="Arial Narrow" w:hAnsi="Arial Narrow"/>
                <w:sz w:val="20"/>
                <w:lang w:val="en-US"/>
              </w:rPr>
              <w:t>Low</w:t>
            </w:r>
          </w:p>
        </w:tc>
        <w:tc>
          <w:tcPr>
            <w:tcW w:w="998" w:type="pct"/>
            <w:shd w:val="clear" w:color="auto" w:fill="auto"/>
            <w:vAlign w:val="center"/>
          </w:tcPr>
          <w:p w:rsidR="00811AF6" w:rsidRPr="00E2771E" w:rsidRDefault="00811AF6" w:rsidP="00C44DC6">
            <w:pPr>
              <w:keepNext/>
              <w:keepLines/>
              <w:jc w:val="center"/>
              <w:rPr>
                <w:rFonts w:ascii="Arial Narrow" w:hAnsi="Arial Narrow"/>
                <w:sz w:val="20"/>
                <w:lang w:val="en-US"/>
              </w:rPr>
            </w:pPr>
            <w:r>
              <w:rPr>
                <w:rFonts w:ascii="Arial Narrow" w:hAnsi="Arial Narrow"/>
                <w:sz w:val="20"/>
                <w:lang w:val="en-US"/>
              </w:rPr>
              <w:t>Responders to initial treatment</w:t>
            </w:r>
          </w:p>
        </w:tc>
        <w:tc>
          <w:tcPr>
            <w:tcW w:w="1208" w:type="pct"/>
            <w:shd w:val="clear" w:color="auto" w:fill="auto"/>
            <w:vAlign w:val="center"/>
          </w:tcPr>
          <w:p w:rsidR="00811AF6" w:rsidRPr="00E2771E" w:rsidRDefault="00811AF6" w:rsidP="00C44DC6">
            <w:pPr>
              <w:keepNext/>
              <w:keepLines/>
              <w:jc w:val="center"/>
              <w:rPr>
                <w:rFonts w:ascii="Arial Narrow" w:hAnsi="Arial Narrow"/>
                <w:sz w:val="20"/>
                <w:lang w:val="en-US"/>
              </w:rPr>
            </w:pPr>
            <w:r>
              <w:rPr>
                <w:rFonts w:ascii="Arial Narrow" w:hAnsi="Arial Narrow"/>
                <w:sz w:val="20"/>
                <w:lang w:val="en-US"/>
              </w:rPr>
              <w:t>Proportion without flare</w:t>
            </w:r>
          </w:p>
        </w:tc>
      </w:tr>
      <w:tr w:rsidR="00AF2F47" w:rsidRPr="00E2771E" w:rsidTr="00EB1E67">
        <w:tc>
          <w:tcPr>
            <w:tcW w:w="5000" w:type="pct"/>
            <w:gridSpan w:val="6"/>
            <w:shd w:val="clear" w:color="auto" w:fill="auto"/>
            <w:vAlign w:val="center"/>
          </w:tcPr>
          <w:p w:rsidR="00AF2F47" w:rsidRPr="00AF2F47" w:rsidRDefault="00AF2F47" w:rsidP="00C44DC6">
            <w:pPr>
              <w:keepNext/>
              <w:keepLines/>
              <w:jc w:val="left"/>
              <w:rPr>
                <w:rFonts w:ascii="Arial Narrow" w:hAnsi="Arial Narrow"/>
                <w:b/>
                <w:sz w:val="20"/>
                <w:lang w:val="en-US"/>
              </w:rPr>
            </w:pPr>
            <w:r w:rsidRPr="00AF2F47">
              <w:rPr>
                <w:rFonts w:ascii="Arial Narrow" w:hAnsi="Arial Narrow"/>
                <w:b/>
                <w:sz w:val="20"/>
                <w:lang w:val="en-US"/>
              </w:rPr>
              <w:t>Meta-analysis</w:t>
            </w:r>
          </w:p>
        </w:tc>
      </w:tr>
      <w:tr w:rsidR="00811AF6" w:rsidRPr="00E2771E" w:rsidTr="00EB1E67">
        <w:tc>
          <w:tcPr>
            <w:tcW w:w="764" w:type="pct"/>
            <w:shd w:val="clear" w:color="auto" w:fill="auto"/>
            <w:vAlign w:val="center"/>
          </w:tcPr>
          <w:p w:rsidR="00811AF6" w:rsidRDefault="00811AF6" w:rsidP="00C44DC6">
            <w:pPr>
              <w:keepNext/>
              <w:keepLines/>
              <w:jc w:val="left"/>
              <w:rPr>
                <w:rFonts w:ascii="Arial Narrow" w:hAnsi="Arial Narrow"/>
                <w:sz w:val="20"/>
                <w:lang w:val="en-US"/>
              </w:rPr>
            </w:pPr>
            <w:r>
              <w:rPr>
                <w:rFonts w:ascii="Arial Narrow" w:hAnsi="Arial Narrow"/>
                <w:sz w:val="20"/>
                <w:lang w:val="en-US"/>
              </w:rPr>
              <w:t xml:space="preserve"> Otten, 2013</w:t>
            </w:r>
          </w:p>
        </w:tc>
        <w:tc>
          <w:tcPr>
            <w:tcW w:w="332" w:type="pct"/>
            <w:shd w:val="clear" w:color="auto" w:fill="auto"/>
            <w:vAlign w:val="center"/>
          </w:tcPr>
          <w:p w:rsidR="00811AF6" w:rsidRDefault="00811AF6" w:rsidP="00C44DC6">
            <w:pPr>
              <w:keepNext/>
              <w:keepLines/>
              <w:jc w:val="center"/>
              <w:rPr>
                <w:rFonts w:ascii="Arial Narrow" w:hAnsi="Arial Narrow"/>
                <w:sz w:val="20"/>
                <w:lang w:val="en-US"/>
              </w:rPr>
            </w:pPr>
            <w:r>
              <w:rPr>
                <w:rFonts w:ascii="Arial Narrow" w:hAnsi="Arial Narrow"/>
                <w:sz w:val="20"/>
                <w:lang w:val="en-US"/>
              </w:rPr>
              <w:t>196</w:t>
            </w:r>
          </w:p>
        </w:tc>
        <w:tc>
          <w:tcPr>
            <w:tcW w:w="3904" w:type="pct"/>
            <w:gridSpan w:val="4"/>
            <w:shd w:val="clear" w:color="auto" w:fill="auto"/>
            <w:vAlign w:val="center"/>
          </w:tcPr>
          <w:p w:rsidR="00811AF6" w:rsidRDefault="00811AF6" w:rsidP="00C44DC6">
            <w:pPr>
              <w:keepNext/>
              <w:keepLines/>
              <w:jc w:val="center"/>
              <w:rPr>
                <w:rFonts w:ascii="Arial Narrow" w:hAnsi="Arial Narrow"/>
                <w:sz w:val="20"/>
                <w:lang w:val="en-US"/>
              </w:rPr>
            </w:pPr>
            <w:r>
              <w:rPr>
                <w:rFonts w:ascii="Arial Narrow" w:hAnsi="Arial Narrow"/>
                <w:sz w:val="20"/>
                <w:lang w:val="en-US"/>
              </w:rPr>
              <w:t>Included De Benedetti 2012; and Ruperto, 2012 (trial 2305); Assessed ACR Pedi 30</w:t>
            </w:r>
          </w:p>
        </w:tc>
      </w:tr>
    </w:tbl>
    <w:p w:rsidR="007F1017" w:rsidRPr="0072416F" w:rsidRDefault="007F1017" w:rsidP="00C44DC6">
      <w:pPr>
        <w:pStyle w:val="TableFooter"/>
        <w:keepNext/>
        <w:keepLines/>
        <w:ind w:firstLine="720"/>
      </w:pPr>
      <w:r w:rsidRPr="0072416F">
        <w:t>DB=double blind; MC=multi-centre; OL=open label; OS=overall survival; PFS=progression-free survival; R=randomised.</w:t>
      </w:r>
    </w:p>
    <w:p w:rsidR="007F1017" w:rsidRPr="0072416F" w:rsidRDefault="007F1017" w:rsidP="00C44DC6">
      <w:pPr>
        <w:pStyle w:val="TableFooter"/>
        <w:keepNext/>
        <w:keepLines/>
        <w:ind w:firstLine="720"/>
      </w:pPr>
      <w:r w:rsidRPr="0072416F">
        <w:t>Source: compiled during the evaluation</w:t>
      </w:r>
      <w:r w:rsidR="000960D6">
        <w:t xml:space="preserve"> N/A=not applicable</w:t>
      </w:r>
      <w:r w:rsidR="00EB473A">
        <w:t xml:space="preserve"> *Duration refers to DB phase</w:t>
      </w:r>
    </w:p>
    <w:p w:rsidR="00B60939" w:rsidRPr="00882085" w:rsidRDefault="00B60939" w:rsidP="00B60939">
      <w:pPr>
        <w:rPr>
          <w:szCs w:val="22"/>
        </w:rPr>
      </w:pPr>
    </w:p>
    <w:p w:rsidR="00434EF0" w:rsidRPr="0019209F" w:rsidRDefault="00433BE6" w:rsidP="009C6341">
      <w:pPr>
        <w:pStyle w:val="ListParagraph"/>
        <w:numPr>
          <w:ilvl w:val="1"/>
          <w:numId w:val="2"/>
        </w:numPr>
      </w:pPr>
      <w:bookmarkStart w:id="7" w:name="_Toc409168634"/>
      <w:r w:rsidRPr="0019209F">
        <w:t xml:space="preserve">The </w:t>
      </w:r>
      <w:r w:rsidR="008448D2" w:rsidRPr="0019209F">
        <w:t>ESC</w:t>
      </w:r>
      <w:r w:rsidRPr="0019209F">
        <w:t xml:space="preserve"> questioned the evaluation’s assessment of the risk of bias f</w:t>
      </w:r>
      <w:r w:rsidR="00E33424" w:rsidRPr="0019209F">
        <w:t>or Trial 2301 as being ‘low’.</w:t>
      </w:r>
      <w:r w:rsidR="008448D2" w:rsidRPr="0019209F">
        <w:t xml:space="preserve"> </w:t>
      </w:r>
      <w:r w:rsidR="00E33424" w:rsidRPr="0019209F">
        <w:t>T</w:t>
      </w:r>
      <w:r w:rsidR="008448D2" w:rsidRPr="0019209F">
        <w:t>rial 2301 was a two part withdrawal trial.  In part 1</w:t>
      </w:r>
      <w:r w:rsidR="00E33424" w:rsidRPr="0019209F">
        <w:t xml:space="preserve"> of the trial</w:t>
      </w:r>
      <w:r w:rsidR="008448D2" w:rsidRPr="0019209F">
        <w:t>, all patients were treated with open-label canakinumab.  Part 1 of the trial included 77 patients from trial 2305 who were respo</w:t>
      </w:r>
      <w:r w:rsidR="00E33424" w:rsidRPr="0019209F">
        <w:t>nders and had rolled over into T</w:t>
      </w:r>
      <w:r w:rsidR="008448D2" w:rsidRPr="0019209F">
        <w:t>rial 2301.  Responders from part 1 (patients with ACR30 response and who also tapered treatment with glucocorticoids) then moved into part 2, the double-blind withdrawal</w:t>
      </w:r>
      <w:r w:rsidR="00E33424" w:rsidRPr="0019209F">
        <w:t xml:space="preserve"> phase. </w:t>
      </w:r>
      <w:r w:rsidR="00434EF0" w:rsidRPr="0019209F">
        <w:t>O</w:t>
      </w:r>
      <w:r w:rsidR="00E33424" w:rsidRPr="0019209F">
        <w:t xml:space="preserve">utcomes </w:t>
      </w:r>
      <w:r w:rsidR="00434EF0" w:rsidRPr="0019209F">
        <w:t xml:space="preserve">analysed </w:t>
      </w:r>
      <w:r w:rsidR="00E33424" w:rsidRPr="0019209F">
        <w:t>from T</w:t>
      </w:r>
      <w:r w:rsidR="008448D2" w:rsidRPr="0019209F">
        <w:t>rial 2301 were based on the withdrawal phase.</w:t>
      </w:r>
      <w:r w:rsidR="001443F2" w:rsidRPr="0019209F">
        <w:t xml:space="preserve"> </w:t>
      </w:r>
      <w:r w:rsidR="005E29E9" w:rsidRPr="0019209F">
        <w:t xml:space="preserve"> </w:t>
      </w:r>
      <w:r w:rsidR="00E33424" w:rsidRPr="0019209F">
        <w:t xml:space="preserve">For Trial 2301 in particular, the </w:t>
      </w:r>
      <w:r w:rsidR="007163F7">
        <w:t xml:space="preserve">PBAC agreed with the </w:t>
      </w:r>
      <w:r w:rsidR="00E33424" w:rsidRPr="0019209F">
        <w:t>ESC</w:t>
      </w:r>
      <w:r w:rsidR="007163F7">
        <w:t xml:space="preserve"> and</w:t>
      </w:r>
      <w:r w:rsidR="00E33424" w:rsidRPr="0019209F">
        <w:t xml:space="preserve"> considered that there is high potential for bias in favour of canakinumab.  The flow of trial subjects through the trial design ma</w:t>
      </w:r>
      <w:r w:rsidR="007A097D">
        <w:t>d</w:t>
      </w:r>
      <w:r w:rsidR="00E33424" w:rsidRPr="0019209F">
        <w:t>e it difficult to estimate a true difference in treatment effect between canakinumab and placebo.</w:t>
      </w:r>
      <w:r w:rsidR="001443F2" w:rsidRPr="0019209F">
        <w:t xml:space="preserve"> </w:t>
      </w:r>
      <w:r w:rsidR="00F250AB" w:rsidRPr="0019209F">
        <w:t>However, it was noted that the evidence from the “withdrawal” trial does not contribute to the non-inferiority claim of canakinumab vs tocilizumab</w:t>
      </w:r>
      <w:r w:rsidR="00434EF0" w:rsidRPr="0019209F">
        <w:t>.</w:t>
      </w:r>
      <w:r w:rsidR="00F250AB" w:rsidRPr="0019209F">
        <w:t xml:space="preserve"> </w:t>
      </w:r>
    </w:p>
    <w:p w:rsidR="00E33424" w:rsidRPr="0019209F" w:rsidRDefault="00434EF0" w:rsidP="00E33424">
      <w:pPr>
        <w:pStyle w:val="ListParagraph"/>
      </w:pPr>
      <w:r w:rsidRPr="0019209F" w:rsidDel="00434EF0">
        <w:t xml:space="preserve"> </w:t>
      </w:r>
    </w:p>
    <w:p w:rsidR="008448D2" w:rsidRPr="0019209F" w:rsidRDefault="00480135" w:rsidP="009C6341">
      <w:pPr>
        <w:pStyle w:val="ListParagraph"/>
        <w:numPr>
          <w:ilvl w:val="1"/>
          <w:numId w:val="2"/>
        </w:numPr>
      </w:pPr>
      <w:r w:rsidRPr="0019209F">
        <w:rPr>
          <w:lang w:val="en-US"/>
        </w:rPr>
        <w:t xml:space="preserve">Lovell (2000) for </w:t>
      </w:r>
      <w:r w:rsidR="00434EF0" w:rsidRPr="0019209F">
        <w:rPr>
          <w:lang w:val="en-US"/>
        </w:rPr>
        <w:t xml:space="preserve">the </w:t>
      </w:r>
      <w:r w:rsidRPr="0019209F">
        <w:rPr>
          <w:lang w:val="en-US"/>
        </w:rPr>
        <w:t>etanercept vs placebo comparison and Lovell (2008) for adalimumab vs placebo used the same two-part withdrawal trial design as Trial 2031 and so would also be considered to be at high risk of bias.</w:t>
      </w:r>
    </w:p>
    <w:p w:rsidR="00420634" w:rsidRDefault="00420634" w:rsidP="002C2775">
      <w:pPr>
        <w:pStyle w:val="Heading2"/>
        <w:rPr>
          <w:i/>
        </w:rPr>
      </w:pPr>
    </w:p>
    <w:p w:rsidR="00B36CB8" w:rsidRDefault="00B36CB8" w:rsidP="007A097D">
      <w:pPr>
        <w:ind w:left="436" w:firstLine="284"/>
      </w:pPr>
      <w:r>
        <w:rPr>
          <w:i/>
          <w:szCs w:val="22"/>
        </w:rPr>
        <w:t>For more detail on PBAC’s view, see section 7 “PBAC outcome”</w:t>
      </w:r>
    </w:p>
    <w:p w:rsidR="00B36CB8" w:rsidRDefault="00B36CB8" w:rsidP="00B36CB8"/>
    <w:p w:rsidR="0095170B" w:rsidRDefault="0095170B" w:rsidP="00B36CB8"/>
    <w:p w:rsidR="0095170B" w:rsidRPr="00B36CB8" w:rsidRDefault="0095170B" w:rsidP="00B36CB8"/>
    <w:p w:rsidR="00B60939" w:rsidRPr="002C2775" w:rsidRDefault="00B60939" w:rsidP="002C2775">
      <w:pPr>
        <w:pStyle w:val="Heading2"/>
        <w:rPr>
          <w:i/>
        </w:rPr>
      </w:pPr>
      <w:r w:rsidRPr="002C2775">
        <w:rPr>
          <w:i/>
        </w:rPr>
        <w:lastRenderedPageBreak/>
        <w:t>Comparative effectiveness</w:t>
      </w:r>
      <w:bookmarkEnd w:id="7"/>
    </w:p>
    <w:p w:rsidR="00B60939" w:rsidRPr="00882085" w:rsidRDefault="00B60939" w:rsidP="00B60939">
      <w:pPr>
        <w:rPr>
          <w:szCs w:val="22"/>
        </w:rPr>
      </w:pPr>
    </w:p>
    <w:p w:rsidR="00331355" w:rsidRDefault="00325BA6" w:rsidP="00490F0E">
      <w:pPr>
        <w:pStyle w:val="ListParagraph"/>
        <w:numPr>
          <w:ilvl w:val="1"/>
          <w:numId w:val="2"/>
        </w:numPr>
        <w:rPr>
          <w:szCs w:val="22"/>
        </w:rPr>
      </w:pPr>
      <w:r>
        <w:rPr>
          <w:szCs w:val="22"/>
        </w:rPr>
        <w:t>The table below</w:t>
      </w:r>
      <w:r w:rsidR="00EB1E67">
        <w:rPr>
          <w:szCs w:val="22"/>
        </w:rPr>
        <w:t xml:space="preserve"> presents</w:t>
      </w:r>
      <w:r w:rsidR="00B71D5F" w:rsidRPr="00B71D5F">
        <w:rPr>
          <w:szCs w:val="22"/>
        </w:rPr>
        <w:t xml:space="preserve"> a summary of the indirect comparison</w:t>
      </w:r>
      <w:r w:rsidR="00EB1E67">
        <w:rPr>
          <w:szCs w:val="22"/>
        </w:rPr>
        <w:t>s</w:t>
      </w:r>
      <w:r w:rsidR="00B71D5F" w:rsidRPr="00B71D5F">
        <w:rPr>
          <w:szCs w:val="22"/>
        </w:rPr>
        <w:t xml:space="preserve"> in the submission</w:t>
      </w:r>
      <w:r w:rsidR="00613C68">
        <w:rPr>
          <w:szCs w:val="22"/>
        </w:rPr>
        <w:t xml:space="preserve"> reporting </w:t>
      </w:r>
      <w:r w:rsidR="00D01B34">
        <w:rPr>
          <w:szCs w:val="22"/>
        </w:rPr>
        <w:t>odds ratios (</w:t>
      </w:r>
      <w:r w:rsidR="00613C68">
        <w:rPr>
          <w:szCs w:val="22"/>
        </w:rPr>
        <w:t>OR</w:t>
      </w:r>
      <w:r w:rsidR="00D01B34">
        <w:rPr>
          <w:szCs w:val="22"/>
        </w:rPr>
        <w:t>)</w:t>
      </w:r>
      <w:r w:rsidR="00613C68">
        <w:rPr>
          <w:szCs w:val="22"/>
        </w:rPr>
        <w:t xml:space="preserve"> as a measure of association</w:t>
      </w:r>
      <w:r w:rsidR="00B71D5F" w:rsidRPr="00B71D5F">
        <w:rPr>
          <w:szCs w:val="22"/>
        </w:rPr>
        <w:t xml:space="preserve">. </w:t>
      </w:r>
      <w:r w:rsidR="00E738B1">
        <w:rPr>
          <w:szCs w:val="22"/>
        </w:rPr>
        <w:t xml:space="preserve">The main indirect comparisons </w:t>
      </w:r>
      <w:r w:rsidR="00613C68">
        <w:rPr>
          <w:szCs w:val="22"/>
        </w:rPr>
        <w:t xml:space="preserve">were </w:t>
      </w:r>
      <w:r w:rsidR="00E738B1">
        <w:rPr>
          <w:szCs w:val="22"/>
        </w:rPr>
        <w:t>those of canakinumab ver</w:t>
      </w:r>
      <w:r w:rsidR="00F954DA">
        <w:rPr>
          <w:szCs w:val="22"/>
        </w:rPr>
        <w:t>sus tocili</w:t>
      </w:r>
      <w:r w:rsidR="00E738B1">
        <w:rPr>
          <w:szCs w:val="22"/>
        </w:rPr>
        <w:t xml:space="preserve">zumab </w:t>
      </w:r>
      <w:r w:rsidR="00613C68">
        <w:rPr>
          <w:szCs w:val="22"/>
        </w:rPr>
        <w:t xml:space="preserve">with respect to the </w:t>
      </w:r>
      <w:r w:rsidR="00E738B1">
        <w:rPr>
          <w:szCs w:val="22"/>
        </w:rPr>
        <w:t>ACR Pedi 30</w:t>
      </w:r>
      <w:r w:rsidR="00613C68">
        <w:rPr>
          <w:szCs w:val="22"/>
        </w:rPr>
        <w:t xml:space="preserve"> response.</w:t>
      </w:r>
      <w:r w:rsidR="0096272C">
        <w:rPr>
          <w:szCs w:val="22"/>
        </w:rPr>
        <w:t xml:space="preserve"> </w:t>
      </w:r>
      <w:r w:rsidR="00E738B1">
        <w:rPr>
          <w:szCs w:val="22"/>
        </w:rPr>
        <w:t xml:space="preserve">Additional comparisons </w:t>
      </w:r>
      <w:r w:rsidR="00613C68">
        <w:rPr>
          <w:szCs w:val="22"/>
        </w:rPr>
        <w:t>included</w:t>
      </w:r>
      <w:r w:rsidR="00E738B1">
        <w:rPr>
          <w:szCs w:val="22"/>
        </w:rPr>
        <w:t xml:space="preserve"> </w:t>
      </w:r>
      <w:r w:rsidR="00613C68">
        <w:rPr>
          <w:szCs w:val="22"/>
        </w:rPr>
        <w:t xml:space="preserve">canakinumab versus adalimumab with respect to the ACR Pedi 30 response; and </w:t>
      </w:r>
      <w:r w:rsidR="00E738B1">
        <w:rPr>
          <w:szCs w:val="22"/>
        </w:rPr>
        <w:t xml:space="preserve">canakinumab versus etanercept and adalimumab </w:t>
      </w:r>
      <w:r w:rsidR="00613C68">
        <w:rPr>
          <w:szCs w:val="22"/>
        </w:rPr>
        <w:t xml:space="preserve">with respect to </w:t>
      </w:r>
      <w:r w:rsidR="00E738B1">
        <w:rPr>
          <w:szCs w:val="22"/>
        </w:rPr>
        <w:t xml:space="preserve">the proportion of patients having a disease flare. </w:t>
      </w:r>
    </w:p>
    <w:p w:rsidR="00E738B1" w:rsidRPr="00E738B1" w:rsidRDefault="00E738B1" w:rsidP="00E738B1">
      <w:pPr>
        <w:rPr>
          <w:szCs w:val="22"/>
        </w:rPr>
      </w:pPr>
    </w:p>
    <w:p w:rsidR="00331355" w:rsidRPr="00331355" w:rsidRDefault="00331355" w:rsidP="00C44DC6">
      <w:pPr>
        <w:keepNext/>
        <w:keepLines/>
        <w:ind w:left="709"/>
        <w:rPr>
          <w:rFonts w:ascii="Arial Narrow" w:hAnsi="Arial Narrow"/>
          <w:b/>
          <w:sz w:val="20"/>
        </w:rPr>
      </w:pPr>
      <w:r w:rsidRPr="00331355">
        <w:rPr>
          <w:rFonts w:ascii="Arial Narrow" w:hAnsi="Arial Narrow"/>
          <w:b/>
          <w:sz w:val="20"/>
        </w:rPr>
        <w:t>Results of the indirect comparison</w:t>
      </w:r>
      <w:r w:rsidR="00947BE2">
        <w:rPr>
          <w:rFonts w:ascii="Arial Narrow" w:hAnsi="Arial Narrow"/>
          <w:b/>
          <w:sz w:val="20"/>
        </w:rPr>
        <w:t>s</w:t>
      </w:r>
      <w:r w:rsidRPr="00331355">
        <w:rPr>
          <w:rFonts w:ascii="Arial Narrow" w:hAnsi="Arial Narrow"/>
          <w:b/>
          <w:sz w:val="20"/>
        </w:rPr>
        <w:t xml:space="preserve"> presented in the submission</w:t>
      </w:r>
    </w:p>
    <w:tbl>
      <w:tblPr>
        <w:tblW w:w="4527"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Caption w:val="Comparative effectiveness"/>
        <w:tblDescription w:val="Indirect comparisons with placebo and comparator"/>
      </w:tblPr>
      <w:tblGrid>
        <w:gridCol w:w="1412"/>
        <w:gridCol w:w="1270"/>
        <w:gridCol w:w="1163"/>
        <w:gridCol w:w="1168"/>
        <w:gridCol w:w="1229"/>
        <w:gridCol w:w="1131"/>
        <w:gridCol w:w="850"/>
      </w:tblGrid>
      <w:tr w:rsidR="00EB1E67" w:rsidRPr="00A754E0" w:rsidTr="001D027F">
        <w:tc>
          <w:tcPr>
            <w:tcW w:w="2338" w:type="pct"/>
            <w:gridSpan w:val="3"/>
            <w:tcBorders>
              <w:top w:val="single" w:sz="4" w:space="0" w:color="auto"/>
              <w:left w:val="single" w:sz="4" w:space="0" w:color="auto"/>
              <w:bottom w:val="single" w:sz="4" w:space="0" w:color="auto"/>
              <w:right w:val="double" w:sz="4" w:space="0" w:color="auto"/>
            </w:tcBorders>
            <w:vAlign w:val="center"/>
          </w:tcPr>
          <w:p w:rsidR="00331355" w:rsidRPr="00EB1E67" w:rsidRDefault="00331355" w:rsidP="00C44DC6">
            <w:pPr>
              <w:keepNext/>
              <w:keepLines/>
              <w:jc w:val="center"/>
              <w:rPr>
                <w:rFonts w:ascii="Arial Narrow" w:eastAsia="SimSun" w:hAnsi="Arial Narrow" w:cs="Times New Roman"/>
                <w:b/>
                <w:snapToGrid/>
                <w:sz w:val="19"/>
                <w:szCs w:val="19"/>
                <w:lang w:eastAsia="zh-CN"/>
              </w:rPr>
            </w:pPr>
            <w:r w:rsidRPr="00EB1E67">
              <w:rPr>
                <w:rFonts w:ascii="Arial Narrow" w:eastAsia="SimSun" w:hAnsi="Arial Narrow" w:cs="Times New Roman"/>
                <w:b/>
                <w:snapToGrid/>
                <w:sz w:val="19"/>
                <w:szCs w:val="19"/>
                <w:lang w:eastAsia="zh-CN"/>
              </w:rPr>
              <w:t xml:space="preserve">Canakinumab  </w:t>
            </w:r>
          </w:p>
        </w:tc>
        <w:tc>
          <w:tcPr>
            <w:tcW w:w="2145" w:type="pct"/>
            <w:gridSpan w:val="3"/>
            <w:tcBorders>
              <w:top w:val="single" w:sz="4" w:space="0" w:color="auto"/>
              <w:left w:val="nil"/>
              <w:bottom w:val="single" w:sz="4" w:space="0" w:color="auto"/>
              <w:right w:val="single" w:sz="4" w:space="0" w:color="auto"/>
            </w:tcBorders>
            <w:vAlign w:val="center"/>
          </w:tcPr>
          <w:p w:rsidR="00331355" w:rsidRPr="00EB1E67" w:rsidRDefault="00331355" w:rsidP="00C44DC6">
            <w:pPr>
              <w:keepNext/>
              <w:keepLines/>
              <w:widowControl w:val="0"/>
              <w:jc w:val="center"/>
              <w:rPr>
                <w:rFonts w:ascii="Arial Narrow" w:hAnsi="Arial Narrow"/>
                <w:b/>
                <w:bCs/>
                <w:snapToGrid/>
                <w:sz w:val="19"/>
                <w:szCs w:val="19"/>
              </w:rPr>
            </w:pPr>
            <w:r w:rsidRPr="00EB1E67">
              <w:rPr>
                <w:rFonts w:ascii="Arial Narrow" w:hAnsi="Arial Narrow"/>
                <w:b/>
                <w:bCs/>
                <w:snapToGrid/>
                <w:sz w:val="19"/>
                <w:szCs w:val="19"/>
              </w:rPr>
              <w:t>Comparator</w:t>
            </w:r>
          </w:p>
        </w:tc>
        <w:tc>
          <w:tcPr>
            <w:tcW w:w="518" w:type="pct"/>
            <w:tcBorders>
              <w:top w:val="single" w:sz="4" w:space="0" w:color="auto"/>
              <w:left w:val="single" w:sz="4" w:space="0" w:color="auto"/>
              <w:bottom w:val="single" w:sz="4" w:space="0" w:color="auto"/>
              <w:right w:val="single" w:sz="4" w:space="0" w:color="auto"/>
            </w:tcBorders>
            <w:vAlign w:val="center"/>
          </w:tcPr>
          <w:p w:rsidR="00331355" w:rsidRPr="00EB1E67" w:rsidRDefault="00331355" w:rsidP="00C44DC6">
            <w:pPr>
              <w:keepNext/>
              <w:keepLines/>
              <w:widowControl w:val="0"/>
              <w:jc w:val="center"/>
              <w:rPr>
                <w:rFonts w:ascii="Arial Narrow" w:hAnsi="Arial Narrow"/>
                <w:b/>
                <w:bCs/>
                <w:snapToGrid/>
                <w:sz w:val="19"/>
                <w:szCs w:val="19"/>
              </w:rPr>
            </w:pPr>
          </w:p>
        </w:tc>
      </w:tr>
      <w:tr w:rsidR="00EB1E67" w:rsidRPr="00A754E0" w:rsidTr="001D027F">
        <w:tc>
          <w:tcPr>
            <w:tcW w:w="859" w:type="pct"/>
            <w:tcBorders>
              <w:top w:val="single" w:sz="4" w:space="0" w:color="auto"/>
              <w:left w:val="single" w:sz="4" w:space="0" w:color="auto"/>
              <w:bottom w:val="single" w:sz="4" w:space="0" w:color="auto"/>
              <w:right w:val="single" w:sz="4" w:space="0" w:color="auto"/>
            </w:tcBorders>
            <w:vAlign w:val="center"/>
          </w:tcPr>
          <w:p w:rsidR="00331355" w:rsidRPr="00EB1E67" w:rsidRDefault="00331355" w:rsidP="00C44DC6">
            <w:pPr>
              <w:keepNext/>
              <w:keepLines/>
              <w:widowControl w:val="0"/>
              <w:jc w:val="center"/>
              <w:rPr>
                <w:rFonts w:ascii="Arial Narrow" w:hAnsi="Arial Narrow"/>
                <w:b/>
                <w:bCs/>
                <w:snapToGrid/>
                <w:sz w:val="19"/>
                <w:szCs w:val="19"/>
              </w:rPr>
            </w:pPr>
            <w:r w:rsidRPr="00EB1E67">
              <w:rPr>
                <w:rFonts w:ascii="Arial Narrow" w:hAnsi="Arial Narrow"/>
                <w:b/>
                <w:bCs/>
                <w:snapToGrid/>
                <w:sz w:val="19"/>
                <w:szCs w:val="19"/>
              </w:rPr>
              <w:t>Treatment effect</w:t>
            </w:r>
            <w:r w:rsidRPr="00EB1E67">
              <w:rPr>
                <w:rFonts w:ascii="Arial Narrow" w:hAnsi="Arial Narrow"/>
                <w:b/>
                <w:bCs/>
                <w:snapToGrid/>
                <w:sz w:val="19"/>
                <w:szCs w:val="19"/>
                <w:vertAlign w:val="superscript"/>
              </w:rPr>
              <w:br/>
            </w:r>
            <w:r w:rsidRPr="00EB1E67">
              <w:rPr>
                <w:rFonts w:ascii="Arial Narrow" w:hAnsi="Arial Narrow"/>
                <w:b/>
                <w:bCs/>
                <w:snapToGrid/>
                <w:sz w:val="19"/>
                <w:szCs w:val="19"/>
              </w:rPr>
              <w:t>OR</w:t>
            </w:r>
            <w:r w:rsidRPr="00EB1E67">
              <w:rPr>
                <w:rFonts w:ascii="Arial Narrow" w:hAnsi="Arial Narrow"/>
                <w:b/>
                <w:bCs/>
                <w:snapToGrid/>
                <w:sz w:val="19"/>
                <w:szCs w:val="19"/>
              </w:rPr>
              <w:br/>
              <w:t>(95% CI)</w:t>
            </w:r>
          </w:p>
        </w:tc>
        <w:tc>
          <w:tcPr>
            <w:tcW w:w="772" w:type="pct"/>
            <w:tcBorders>
              <w:top w:val="single" w:sz="4" w:space="0" w:color="auto"/>
              <w:left w:val="single" w:sz="4" w:space="0" w:color="auto"/>
              <w:bottom w:val="single" w:sz="4" w:space="0" w:color="auto"/>
              <w:right w:val="single" w:sz="4" w:space="0" w:color="auto"/>
            </w:tcBorders>
            <w:vAlign w:val="center"/>
          </w:tcPr>
          <w:p w:rsidR="00331355" w:rsidRPr="00EB1E67" w:rsidRDefault="00331355" w:rsidP="00C44DC6">
            <w:pPr>
              <w:keepNext/>
              <w:keepLines/>
              <w:widowControl w:val="0"/>
              <w:jc w:val="center"/>
              <w:rPr>
                <w:rFonts w:ascii="Arial Narrow" w:hAnsi="Arial Narrow"/>
                <w:b/>
                <w:bCs/>
                <w:snapToGrid/>
                <w:sz w:val="19"/>
                <w:szCs w:val="19"/>
              </w:rPr>
            </w:pPr>
            <w:r w:rsidRPr="00EB1E67">
              <w:rPr>
                <w:rFonts w:ascii="Arial Narrow" w:eastAsia="SimSun" w:hAnsi="Arial Narrow" w:cs="Times New Roman"/>
                <w:b/>
                <w:bCs/>
                <w:snapToGrid/>
                <w:sz w:val="19"/>
                <w:szCs w:val="19"/>
              </w:rPr>
              <w:t>Canakinumab</w:t>
            </w:r>
            <w:r w:rsidRPr="00EB1E67">
              <w:rPr>
                <w:rFonts w:ascii="Arial Narrow" w:hAnsi="Arial Narrow"/>
                <w:b/>
                <w:bCs/>
                <w:snapToGrid/>
                <w:sz w:val="19"/>
                <w:szCs w:val="19"/>
              </w:rPr>
              <w:br/>
            </w:r>
            <w:r w:rsidRPr="00EB1E67">
              <w:rPr>
                <w:rFonts w:ascii="Arial Narrow" w:hAnsi="Arial Narrow"/>
                <w:b/>
                <w:bCs/>
                <w:i/>
                <w:iCs/>
                <w:snapToGrid/>
                <w:sz w:val="19"/>
                <w:szCs w:val="19"/>
              </w:rPr>
              <w:t>n</w:t>
            </w:r>
            <w:r w:rsidRPr="00EB1E67">
              <w:rPr>
                <w:rFonts w:ascii="Arial Narrow" w:hAnsi="Arial Narrow"/>
                <w:b/>
                <w:bCs/>
                <w:snapToGrid/>
                <w:sz w:val="19"/>
                <w:szCs w:val="19"/>
              </w:rPr>
              <w:t xml:space="preserve"> with event/</w:t>
            </w:r>
            <w:r w:rsidRPr="00EB1E67">
              <w:rPr>
                <w:rFonts w:ascii="Arial Narrow" w:hAnsi="Arial Narrow"/>
                <w:b/>
                <w:bCs/>
                <w:i/>
                <w:iCs/>
                <w:snapToGrid/>
                <w:sz w:val="19"/>
                <w:szCs w:val="19"/>
              </w:rPr>
              <w:t>N</w:t>
            </w:r>
            <w:r w:rsidRPr="00EB1E67">
              <w:rPr>
                <w:rFonts w:ascii="Arial Narrow" w:hAnsi="Arial Narrow"/>
                <w:b/>
                <w:bCs/>
                <w:snapToGrid/>
                <w:sz w:val="19"/>
                <w:szCs w:val="19"/>
              </w:rPr>
              <w:t xml:space="preserve"> (%)</w:t>
            </w:r>
          </w:p>
        </w:tc>
        <w:tc>
          <w:tcPr>
            <w:tcW w:w="707" w:type="pct"/>
            <w:tcBorders>
              <w:top w:val="single" w:sz="4" w:space="0" w:color="auto"/>
              <w:left w:val="single" w:sz="4" w:space="0" w:color="auto"/>
              <w:bottom w:val="single" w:sz="4" w:space="0" w:color="auto"/>
              <w:right w:val="double" w:sz="4" w:space="0" w:color="auto"/>
            </w:tcBorders>
            <w:vAlign w:val="center"/>
          </w:tcPr>
          <w:p w:rsidR="00331355" w:rsidRPr="00EB1E67" w:rsidRDefault="00331355" w:rsidP="00C44DC6">
            <w:pPr>
              <w:keepNext/>
              <w:keepLines/>
              <w:widowControl w:val="0"/>
              <w:jc w:val="center"/>
              <w:rPr>
                <w:rFonts w:ascii="Arial Narrow" w:hAnsi="Arial Narrow"/>
                <w:b/>
                <w:bCs/>
                <w:snapToGrid/>
                <w:sz w:val="19"/>
                <w:szCs w:val="19"/>
              </w:rPr>
            </w:pPr>
            <w:r w:rsidRPr="00EB1E67">
              <w:rPr>
                <w:rFonts w:ascii="Arial Narrow" w:hAnsi="Arial Narrow"/>
                <w:b/>
                <w:bCs/>
                <w:snapToGrid/>
                <w:sz w:val="19"/>
                <w:szCs w:val="19"/>
              </w:rPr>
              <w:t>Placebo</w:t>
            </w:r>
            <w:r w:rsidRPr="00EB1E67">
              <w:rPr>
                <w:rFonts w:ascii="Arial Narrow" w:hAnsi="Arial Narrow"/>
                <w:b/>
                <w:bCs/>
                <w:snapToGrid/>
                <w:sz w:val="19"/>
                <w:szCs w:val="19"/>
              </w:rPr>
              <w:br/>
            </w:r>
            <w:r w:rsidRPr="00EB1E67">
              <w:rPr>
                <w:rFonts w:ascii="Arial Narrow" w:hAnsi="Arial Narrow"/>
                <w:b/>
                <w:bCs/>
                <w:i/>
                <w:iCs/>
                <w:snapToGrid/>
                <w:sz w:val="19"/>
                <w:szCs w:val="19"/>
              </w:rPr>
              <w:t>n</w:t>
            </w:r>
            <w:r w:rsidRPr="00EB1E67">
              <w:rPr>
                <w:rFonts w:ascii="Arial Narrow" w:hAnsi="Arial Narrow"/>
                <w:b/>
                <w:bCs/>
                <w:snapToGrid/>
                <w:sz w:val="19"/>
                <w:szCs w:val="19"/>
              </w:rPr>
              <w:t xml:space="preserve"> with event/</w:t>
            </w:r>
            <w:r w:rsidRPr="00EB1E67">
              <w:rPr>
                <w:rFonts w:ascii="Arial Narrow" w:hAnsi="Arial Narrow"/>
                <w:b/>
                <w:bCs/>
                <w:i/>
                <w:iCs/>
                <w:snapToGrid/>
                <w:sz w:val="19"/>
                <w:szCs w:val="19"/>
              </w:rPr>
              <w:t>N</w:t>
            </w:r>
            <w:r w:rsidRPr="00EB1E67">
              <w:rPr>
                <w:rFonts w:ascii="Arial Narrow" w:hAnsi="Arial Narrow"/>
                <w:b/>
                <w:bCs/>
                <w:snapToGrid/>
                <w:sz w:val="19"/>
                <w:szCs w:val="19"/>
              </w:rPr>
              <w:t xml:space="preserve"> (%)</w:t>
            </w:r>
          </w:p>
        </w:tc>
        <w:tc>
          <w:tcPr>
            <w:tcW w:w="710" w:type="pct"/>
            <w:tcBorders>
              <w:top w:val="single" w:sz="4" w:space="0" w:color="auto"/>
              <w:left w:val="double" w:sz="4" w:space="0" w:color="auto"/>
              <w:bottom w:val="single" w:sz="4" w:space="0" w:color="auto"/>
              <w:right w:val="single" w:sz="4" w:space="0" w:color="auto"/>
            </w:tcBorders>
            <w:vAlign w:val="center"/>
          </w:tcPr>
          <w:p w:rsidR="00331355" w:rsidRPr="00EB1E67" w:rsidRDefault="00331355" w:rsidP="00C44DC6">
            <w:pPr>
              <w:keepNext/>
              <w:keepLines/>
              <w:widowControl w:val="0"/>
              <w:jc w:val="center"/>
              <w:rPr>
                <w:rFonts w:ascii="Arial Narrow" w:hAnsi="Arial Narrow"/>
                <w:b/>
                <w:bCs/>
                <w:snapToGrid/>
                <w:sz w:val="19"/>
                <w:szCs w:val="19"/>
              </w:rPr>
            </w:pPr>
            <w:r w:rsidRPr="00EB1E67">
              <w:rPr>
                <w:rFonts w:ascii="Arial Narrow" w:hAnsi="Arial Narrow"/>
                <w:b/>
                <w:bCs/>
                <w:snapToGrid/>
                <w:sz w:val="19"/>
                <w:szCs w:val="19"/>
              </w:rPr>
              <w:t>Placebo</w:t>
            </w:r>
          </w:p>
          <w:p w:rsidR="00331355" w:rsidRPr="00EB1E67" w:rsidRDefault="00331355" w:rsidP="00C44DC6">
            <w:pPr>
              <w:keepNext/>
              <w:keepLines/>
              <w:widowControl w:val="0"/>
              <w:jc w:val="center"/>
              <w:rPr>
                <w:rFonts w:ascii="Arial Narrow" w:hAnsi="Arial Narrow"/>
                <w:b/>
                <w:bCs/>
                <w:snapToGrid/>
                <w:sz w:val="19"/>
                <w:szCs w:val="19"/>
              </w:rPr>
            </w:pPr>
            <w:r w:rsidRPr="00EB1E67">
              <w:rPr>
                <w:rFonts w:ascii="Arial Narrow" w:hAnsi="Arial Narrow"/>
                <w:b/>
                <w:bCs/>
                <w:i/>
                <w:iCs/>
                <w:snapToGrid/>
                <w:sz w:val="19"/>
                <w:szCs w:val="19"/>
              </w:rPr>
              <w:t>n</w:t>
            </w:r>
            <w:r w:rsidRPr="00EB1E67">
              <w:rPr>
                <w:rFonts w:ascii="Arial Narrow" w:hAnsi="Arial Narrow"/>
                <w:b/>
                <w:bCs/>
                <w:snapToGrid/>
                <w:sz w:val="19"/>
                <w:szCs w:val="19"/>
              </w:rPr>
              <w:t xml:space="preserve"> with event/</w:t>
            </w:r>
            <w:r w:rsidRPr="00EB1E67">
              <w:rPr>
                <w:rFonts w:ascii="Arial Narrow" w:hAnsi="Arial Narrow"/>
                <w:b/>
                <w:bCs/>
                <w:i/>
                <w:iCs/>
                <w:snapToGrid/>
                <w:sz w:val="19"/>
                <w:szCs w:val="19"/>
              </w:rPr>
              <w:t>N</w:t>
            </w:r>
            <w:r w:rsidRPr="00EB1E67">
              <w:rPr>
                <w:rFonts w:ascii="Arial Narrow" w:hAnsi="Arial Narrow"/>
                <w:b/>
                <w:bCs/>
                <w:snapToGrid/>
                <w:sz w:val="19"/>
                <w:szCs w:val="19"/>
              </w:rPr>
              <w:t xml:space="preserve"> (%)</w:t>
            </w:r>
          </w:p>
        </w:tc>
        <w:tc>
          <w:tcPr>
            <w:tcW w:w="747" w:type="pct"/>
            <w:tcBorders>
              <w:top w:val="single" w:sz="4" w:space="0" w:color="auto"/>
              <w:left w:val="single" w:sz="4" w:space="0" w:color="auto"/>
              <w:bottom w:val="single" w:sz="4" w:space="0" w:color="auto"/>
              <w:right w:val="single" w:sz="4" w:space="0" w:color="auto"/>
            </w:tcBorders>
            <w:vAlign w:val="center"/>
          </w:tcPr>
          <w:p w:rsidR="00331355" w:rsidRPr="00EB1E67" w:rsidRDefault="00331355" w:rsidP="00C44DC6">
            <w:pPr>
              <w:keepNext/>
              <w:keepLines/>
              <w:widowControl w:val="0"/>
              <w:jc w:val="center"/>
              <w:rPr>
                <w:rFonts w:ascii="Arial Narrow" w:hAnsi="Arial Narrow"/>
                <w:b/>
                <w:bCs/>
                <w:snapToGrid/>
                <w:sz w:val="19"/>
                <w:szCs w:val="19"/>
              </w:rPr>
            </w:pPr>
            <w:r w:rsidRPr="00EB1E67">
              <w:rPr>
                <w:rFonts w:ascii="Arial Narrow" w:hAnsi="Arial Narrow"/>
                <w:b/>
                <w:bCs/>
                <w:snapToGrid/>
                <w:sz w:val="19"/>
                <w:szCs w:val="19"/>
              </w:rPr>
              <w:t>Comparator</w:t>
            </w:r>
            <w:r w:rsidRPr="00EB1E67">
              <w:rPr>
                <w:rFonts w:ascii="Arial Narrow" w:hAnsi="Arial Narrow"/>
                <w:b/>
                <w:bCs/>
                <w:snapToGrid/>
                <w:sz w:val="19"/>
                <w:szCs w:val="19"/>
              </w:rPr>
              <w:br/>
            </w:r>
            <w:r w:rsidRPr="00EB1E67">
              <w:rPr>
                <w:rFonts w:ascii="Arial Narrow" w:hAnsi="Arial Narrow"/>
                <w:b/>
                <w:bCs/>
                <w:i/>
                <w:iCs/>
                <w:snapToGrid/>
                <w:sz w:val="19"/>
                <w:szCs w:val="19"/>
              </w:rPr>
              <w:t>n</w:t>
            </w:r>
            <w:r w:rsidRPr="00EB1E67">
              <w:rPr>
                <w:rFonts w:ascii="Arial Narrow" w:hAnsi="Arial Narrow"/>
                <w:b/>
                <w:bCs/>
                <w:snapToGrid/>
                <w:sz w:val="19"/>
                <w:szCs w:val="19"/>
              </w:rPr>
              <w:t xml:space="preserve"> with event/</w:t>
            </w:r>
            <w:r w:rsidRPr="00EB1E67">
              <w:rPr>
                <w:rFonts w:ascii="Arial Narrow" w:hAnsi="Arial Narrow"/>
                <w:b/>
                <w:bCs/>
                <w:i/>
                <w:iCs/>
                <w:snapToGrid/>
                <w:sz w:val="19"/>
                <w:szCs w:val="19"/>
              </w:rPr>
              <w:t>N</w:t>
            </w:r>
            <w:r w:rsidRPr="00EB1E67">
              <w:rPr>
                <w:rFonts w:ascii="Arial Narrow" w:hAnsi="Arial Narrow"/>
                <w:b/>
                <w:bCs/>
                <w:snapToGrid/>
                <w:sz w:val="19"/>
                <w:szCs w:val="19"/>
              </w:rPr>
              <w:t xml:space="preserve"> (%)</w:t>
            </w:r>
          </w:p>
        </w:tc>
        <w:tc>
          <w:tcPr>
            <w:tcW w:w="688" w:type="pct"/>
            <w:tcBorders>
              <w:top w:val="single" w:sz="4" w:space="0" w:color="auto"/>
              <w:left w:val="single" w:sz="4" w:space="0" w:color="auto"/>
              <w:bottom w:val="single" w:sz="4" w:space="0" w:color="auto"/>
              <w:right w:val="single" w:sz="4" w:space="0" w:color="auto"/>
            </w:tcBorders>
            <w:vAlign w:val="center"/>
          </w:tcPr>
          <w:p w:rsidR="00331355" w:rsidRPr="00EB1E67" w:rsidRDefault="00331355" w:rsidP="00C44DC6">
            <w:pPr>
              <w:keepNext/>
              <w:keepLines/>
              <w:widowControl w:val="0"/>
              <w:jc w:val="center"/>
              <w:rPr>
                <w:rFonts w:ascii="Arial Narrow" w:hAnsi="Arial Narrow"/>
                <w:b/>
                <w:bCs/>
                <w:snapToGrid/>
                <w:sz w:val="19"/>
                <w:szCs w:val="19"/>
              </w:rPr>
            </w:pPr>
            <w:r w:rsidRPr="00EB1E67">
              <w:rPr>
                <w:rFonts w:ascii="Arial Narrow" w:hAnsi="Arial Narrow"/>
                <w:b/>
                <w:bCs/>
                <w:snapToGrid/>
                <w:sz w:val="19"/>
                <w:szCs w:val="19"/>
              </w:rPr>
              <w:t>Treatment effect</w:t>
            </w:r>
            <w:r w:rsidRPr="00EB1E67">
              <w:rPr>
                <w:rFonts w:ascii="Arial Narrow" w:hAnsi="Arial Narrow"/>
                <w:b/>
                <w:bCs/>
                <w:snapToGrid/>
                <w:sz w:val="19"/>
                <w:szCs w:val="19"/>
                <w:vertAlign w:val="superscript"/>
              </w:rPr>
              <w:br/>
            </w:r>
            <w:r w:rsidRPr="00EB1E67">
              <w:rPr>
                <w:rFonts w:ascii="Arial Narrow" w:hAnsi="Arial Narrow"/>
                <w:b/>
                <w:bCs/>
                <w:snapToGrid/>
                <w:sz w:val="19"/>
                <w:szCs w:val="19"/>
              </w:rPr>
              <w:t>OR</w:t>
            </w:r>
            <w:r w:rsidRPr="00EB1E67">
              <w:rPr>
                <w:rFonts w:ascii="Arial Narrow" w:hAnsi="Arial Narrow"/>
                <w:b/>
                <w:bCs/>
                <w:snapToGrid/>
                <w:sz w:val="19"/>
                <w:szCs w:val="19"/>
              </w:rPr>
              <w:br/>
              <w:t>(95% CI)</w:t>
            </w:r>
          </w:p>
        </w:tc>
        <w:tc>
          <w:tcPr>
            <w:tcW w:w="518" w:type="pct"/>
            <w:tcBorders>
              <w:top w:val="single" w:sz="4" w:space="0" w:color="auto"/>
              <w:left w:val="single" w:sz="4" w:space="0" w:color="auto"/>
              <w:bottom w:val="single" w:sz="4" w:space="0" w:color="auto"/>
              <w:right w:val="single" w:sz="4" w:space="0" w:color="auto"/>
            </w:tcBorders>
            <w:vAlign w:val="center"/>
          </w:tcPr>
          <w:p w:rsidR="00331355" w:rsidRPr="00EB1E67" w:rsidRDefault="00914937" w:rsidP="00C44DC6">
            <w:pPr>
              <w:keepNext/>
              <w:keepLines/>
              <w:widowControl w:val="0"/>
              <w:jc w:val="center"/>
              <w:rPr>
                <w:rFonts w:ascii="Arial Narrow" w:hAnsi="Arial Narrow"/>
                <w:b/>
                <w:bCs/>
                <w:snapToGrid/>
                <w:sz w:val="19"/>
                <w:szCs w:val="19"/>
              </w:rPr>
            </w:pPr>
            <w:r w:rsidRPr="00EB1E67">
              <w:rPr>
                <w:rFonts w:ascii="Arial Narrow" w:hAnsi="Arial Narrow"/>
                <w:b/>
                <w:bCs/>
                <w:snapToGrid/>
                <w:sz w:val="19"/>
                <w:szCs w:val="19"/>
              </w:rPr>
              <w:t>Indirect OR</w:t>
            </w:r>
            <w:r w:rsidRPr="00EB1E67">
              <w:rPr>
                <w:rFonts w:ascii="Arial Narrow" w:hAnsi="Arial Narrow"/>
                <w:b/>
                <w:bCs/>
                <w:snapToGrid/>
                <w:sz w:val="19"/>
                <w:szCs w:val="19"/>
              </w:rPr>
              <w:br/>
              <w:t>(95% CI)</w:t>
            </w:r>
          </w:p>
        </w:tc>
      </w:tr>
      <w:tr w:rsidR="00EB1E67" w:rsidRPr="00A754E0" w:rsidTr="001D027F">
        <w:tc>
          <w:tcPr>
            <w:tcW w:w="5000" w:type="pct"/>
            <w:gridSpan w:val="7"/>
            <w:tcBorders>
              <w:top w:val="single" w:sz="4" w:space="0" w:color="auto"/>
              <w:left w:val="single" w:sz="4" w:space="0" w:color="auto"/>
              <w:bottom w:val="single" w:sz="4" w:space="0" w:color="auto"/>
              <w:right w:val="single" w:sz="4" w:space="0" w:color="auto"/>
            </w:tcBorders>
            <w:tcMar>
              <w:right w:w="28" w:type="dxa"/>
            </w:tcMar>
            <w:vAlign w:val="center"/>
          </w:tcPr>
          <w:p w:rsidR="00331355" w:rsidRPr="00EB1E67" w:rsidRDefault="00331355" w:rsidP="00C44DC6">
            <w:pPr>
              <w:keepNext/>
              <w:keepLines/>
              <w:jc w:val="center"/>
              <w:rPr>
                <w:rFonts w:ascii="Arial Narrow" w:eastAsia="SimSun" w:hAnsi="Arial Narrow" w:cs="Times New Roman"/>
                <w:b/>
                <w:snapToGrid/>
                <w:sz w:val="19"/>
                <w:szCs w:val="19"/>
                <w:lang w:eastAsia="zh-CN"/>
              </w:rPr>
            </w:pPr>
            <w:r w:rsidRPr="00EB1E67">
              <w:rPr>
                <w:rFonts w:ascii="Arial Narrow" w:eastAsia="SimSun" w:hAnsi="Arial Narrow" w:cs="Times New Roman"/>
                <w:b/>
                <w:snapToGrid/>
                <w:sz w:val="19"/>
                <w:szCs w:val="19"/>
                <w:lang w:eastAsia="zh-CN"/>
              </w:rPr>
              <w:t>Canakinumab (trial 2305) vs tocilizumab (De Benedetti 2012) - proportion of the JIA ACR Pedi 30 responders</w:t>
            </w:r>
          </w:p>
        </w:tc>
      </w:tr>
      <w:tr w:rsidR="00EB1E67" w:rsidRPr="00A754E0" w:rsidTr="001D027F">
        <w:tc>
          <w:tcPr>
            <w:tcW w:w="859" w:type="pct"/>
            <w:tcBorders>
              <w:top w:val="single" w:sz="4" w:space="0" w:color="auto"/>
              <w:left w:val="single" w:sz="4" w:space="0" w:color="auto"/>
              <w:bottom w:val="single" w:sz="4" w:space="0" w:color="auto"/>
              <w:right w:val="single" w:sz="4" w:space="0" w:color="auto"/>
            </w:tcBorders>
            <w:vAlign w:val="center"/>
          </w:tcPr>
          <w:p w:rsidR="00331355" w:rsidRPr="00EB1E67" w:rsidRDefault="00331355" w:rsidP="00C44DC6">
            <w:pPr>
              <w:keepNext/>
              <w:keepLines/>
              <w:jc w:val="center"/>
              <w:rPr>
                <w:rFonts w:ascii="Arial Narrow" w:eastAsia="SimSun" w:hAnsi="Arial Narrow" w:cs="Times New Roman"/>
                <w:snapToGrid/>
                <w:sz w:val="19"/>
                <w:szCs w:val="19"/>
                <w:lang w:eastAsia="zh-CN"/>
              </w:rPr>
            </w:pPr>
            <w:r w:rsidRPr="00EB1E67">
              <w:rPr>
                <w:rFonts w:ascii="Arial Narrow" w:eastAsia="SimSun" w:hAnsi="Arial Narrow" w:cs="Times New Roman"/>
                <w:snapToGrid/>
                <w:sz w:val="19"/>
                <w:szCs w:val="19"/>
                <w:lang w:eastAsia="zh-CN"/>
              </w:rPr>
              <w:t>47.57</w:t>
            </w:r>
          </w:p>
          <w:p w:rsidR="00331355" w:rsidRPr="00EB1E67" w:rsidRDefault="00331355" w:rsidP="00C44DC6">
            <w:pPr>
              <w:keepNext/>
              <w:keepLines/>
              <w:jc w:val="center"/>
              <w:rPr>
                <w:rFonts w:ascii="Arial Narrow" w:eastAsia="SimSun" w:hAnsi="Arial Narrow" w:cs="Times New Roman"/>
                <w:snapToGrid/>
                <w:sz w:val="19"/>
                <w:szCs w:val="19"/>
                <w:lang w:eastAsia="zh-CN"/>
              </w:rPr>
            </w:pPr>
            <w:r w:rsidRPr="00EB1E67">
              <w:rPr>
                <w:rFonts w:ascii="Arial Narrow" w:eastAsia="SimSun" w:hAnsi="Arial Narrow" w:cs="Times New Roman"/>
                <w:snapToGrid/>
                <w:sz w:val="19"/>
                <w:szCs w:val="19"/>
                <w:lang w:eastAsia="zh-CN"/>
              </w:rPr>
              <w:t>(12.82-176.55)</w:t>
            </w:r>
          </w:p>
        </w:tc>
        <w:tc>
          <w:tcPr>
            <w:tcW w:w="772" w:type="pct"/>
            <w:tcBorders>
              <w:top w:val="single" w:sz="4" w:space="0" w:color="auto"/>
              <w:left w:val="single" w:sz="4" w:space="0" w:color="auto"/>
              <w:bottom w:val="single" w:sz="4" w:space="0" w:color="auto"/>
              <w:right w:val="single" w:sz="4" w:space="0" w:color="auto"/>
            </w:tcBorders>
            <w:vAlign w:val="center"/>
          </w:tcPr>
          <w:p w:rsidR="00331355" w:rsidRPr="00EB1E67" w:rsidRDefault="00331355" w:rsidP="00C44DC6">
            <w:pPr>
              <w:keepNext/>
              <w:keepLines/>
              <w:widowControl w:val="0"/>
              <w:jc w:val="center"/>
              <w:rPr>
                <w:rFonts w:ascii="Arial Narrow" w:hAnsi="Arial Narrow" w:cs="Arial Narrow"/>
                <w:snapToGrid/>
                <w:sz w:val="19"/>
                <w:szCs w:val="19"/>
              </w:rPr>
            </w:pPr>
            <w:r w:rsidRPr="00EB1E67">
              <w:rPr>
                <w:rFonts w:ascii="Arial Narrow" w:hAnsi="Arial Narrow" w:cs="Arial Narrow"/>
                <w:snapToGrid/>
                <w:sz w:val="19"/>
                <w:szCs w:val="19"/>
              </w:rPr>
              <w:t>36/43 (83.7)*</w:t>
            </w:r>
          </w:p>
        </w:tc>
        <w:tc>
          <w:tcPr>
            <w:tcW w:w="707" w:type="pct"/>
            <w:tcBorders>
              <w:top w:val="single" w:sz="4" w:space="0" w:color="auto"/>
              <w:left w:val="single" w:sz="4" w:space="0" w:color="auto"/>
              <w:bottom w:val="single" w:sz="4" w:space="0" w:color="auto"/>
              <w:right w:val="double" w:sz="4" w:space="0" w:color="auto"/>
            </w:tcBorders>
            <w:vAlign w:val="center"/>
          </w:tcPr>
          <w:p w:rsidR="00331355" w:rsidRPr="00EB1E67" w:rsidRDefault="00331355" w:rsidP="00C44DC6">
            <w:pPr>
              <w:keepNext/>
              <w:keepLines/>
              <w:widowControl w:val="0"/>
              <w:jc w:val="center"/>
              <w:rPr>
                <w:rFonts w:ascii="Arial Narrow" w:hAnsi="Arial Narrow" w:cs="Arial Narrow"/>
                <w:snapToGrid/>
                <w:sz w:val="19"/>
                <w:szCs w:val="19"/>
              </w:rPr>
            </w:pPr>
            <w:r w:rsidRPr="00EB1E67">
              <w:rPr>
                <w:rFonts w:ascii="Arial Narrow" w:hAnsi="Arial Narrow" w:cs="Arial Narrow"/>
                <w:snapToGrid/>
                <w:sz w:val="19"/>
                <w:szCs w:val="19"/>
              </w:rPr>
              <w:t>4/41 (9.8)*</w:t>
            </w:r>
          </w:p>
        </w:tc>
        <w:tc>
          <w:tcPr>
            <w:tcW w:w="710" w:type="pct"/>
            <w:tcBorders>
              <w:top w:val="single" w:sz="4" w:space="0" w:color="auto"/>
              <w:left w:val="double" w:sz="4" w:space="0" w:color="auto"/>
              <w:bottom w:val="single" w:sz="4" w:space="0" w:color="auto"/>
              <w:right w:val="single" w:sz="4" w:space="0" w:color="auto"/>
            </w:tcBorders>
            <w:vAlign w:val="center"/>
          </w:tcPr>
          <w:p w:rsidR="00331355" w:rsidRPr="00EB1E67" w:rsidRDefault="00331355" w:rsidP="00C44DC6">
            <w:pPr>
              <w:keepNext/>
              <w:keepLines/>
              <w:widowControl w:val="0"/>
              <w:jc w:val="center"/>
              <w:rPr>
                <w:rFonts w:ascii="Arial Narrow" w:hAnsi="Arial Narrow" w:cs="Arial Narrow"/>
                <w:snapToGrid/>
                <w:sz w:val="19"/>
                <w:szCs w:val="19"/>
              </w:rPr>
            </w:pPr>
            <w:r w:rsidRPr="00EB1E67">
              <w:rPr>
                <w:rFonts w:ascii="Arial Narrow" w:hAnsi="Arial Narrow" w:cs="Arial Narrow"/>
                <w:snapToGrid/>
                <w:sz w:val="19"/>
                <w:szCs w:val="19"/>
              </w:rPr>
              <w:t>9/37 (24)</w:t>
            </w:r>
            <w:r w:rsidRPr="00EB1E67">
              <w:rPr>
                <w:rFonts w:ascii="Arial Narrow" w:hAnsi="Arial Narrow" w:cs="Arial Narrow"/>
                <w:snapToGrid/>
                <w:sz w:val="19"/>
                <w:szCs w:val="19"/>
                <w:vertAlign w:val="superscript"/>
              </w:rPr>
              <w:t>†</w:t>
            </w:r>
          </w:p>
        </w:tc>
        <w:tc>
          <w:tcPr>
            <w:tcW w:w="747" w:type="pct"/>
            <w:tcBorders>
              <w:top w:val="single" w:sz="4" w:space="0" w:color="auto"/>
              <w:left w:val="single" w:sz="4" w:space="0" w:color="auto"/>
              <w:bottom w:val="single" w:sz="4" w:space="0" w:color="auto"/>
              <w:right w:val="single" w:sz="4" w:space="0" w:color="auto"/>
            </w:tcBorders>
            <w:vAlign w:val="center"/>
          </w:tcPr>
          <w:p w:rsidR="00331355" w:rsidRPr="00EB1E67" w:rsidRDefault="00331355" w:rsidP="00C44DC6">
            <w:pPr>
              <w:keepNext/>
              <w:keepLines/>
              <w:widowControl w:val="0"/>
              <w:jc w:val="center"/>
              <w:rPr>
                <w:rFonts w:ascii="Arial Narrow" w:hAnsi="Arial Narrow" w:cs="Arial Narrow"/>
                <w:snapToGrid/>
                <w:sz w:val="19"/>
                <w:szCs w:val="19"/>
              </w:rPr>
            </w:pPr>
            <w:r w:rsidRPr="00EB1E67">
              <w:rPr>
                <w:rFonts w:ascii="Arial Narrow" w:hAnsi="Arial Narrow" w:cs="Arial Narrow"/>
                <w:snapToGrid/>
                <w:sz w:val="19"/>
                <w:szCs w:val="19"/>
              </w:rPr>
              <w:t>64/75 (85)</w:t>
            </w:r>
            <w:r w:rsidRPr="00EB1E67">
              <w:rPr>
                <w:rFonts w:ascii="Arial Narrow" w:hAnsi="Arial Narrow" w:cs="Arial Narrow"/>
                <w:snapToGrid/>
                <w:sz w:val="19"/>
                <w:szCs w:val="19"/>
                <w:vertAlign w:val="superscript"/>
              </w:rPr>
              <w:t>†</w:t>
            </w:r>
          </w:p>
        </w:tc>
        <w:tc>
          <w:tcPr>
            <w:tcW w:w="688" w:type="pct"/>
            <w:tcBorders>
              <w:top w:val="single" w:sz="4" w:space="0" w:color="auto"/>
              <w:left w:val="single" w:sz="4" w:space="0" w:color="auto"/>
              <w:bottom w:val="single" w:sz="4" w:space="0" w:color="auto"/>
              <w:right w:val="single" w:sz="4" w:space="0" w:color="auto"/>
            </w:tcBorders>
            <w:vAlign w:val="center"/>
          </w:tcPr>
          <w:p w:rsidR="00331355" w:rsidRPr="00EB1E67" w:rsidRDefault="00331355" w:rsidP="00C44DC6">
            <w:pPr>
              <w:keepNext/>
              <w:keepLines/>
              <w:jc w:val="center"/>
              <w:rPr>
                <w:rFonts w:ascii="Arial Narrow" w:eastAsia="SimSun" w:hAnsi="Arial Narrow" w:cs="Times New Roman"/>
                <w:snapToGrid/>
                <w:sz w:val="19"/>
                <w:szCs w:val="19"/>
                <w:lang w:eastAsia="zh-CN"/>
              </w:rPr>
            </w:pPr>
            <w:r w:rsidRPr="00EB1E67">
              <w:rPr>
                <w:rFonts w:ascii="Arial Narrow" w:eastAsia="SimSun" w:hAnsi="Arial Narrow" w:cs="Times New Roman"/>
                <w:snapToGrid/>
                <w:sz w:val="19"/>
                <w:szCs w:val="19"/>
                <w:lang w:eastAsia="zh-CN"/>
              </w:rPr>
              <w:t>18.10</w:t>
            </w:r>
          </w:p>
          <w:p w:rsidR="00331355" w:rsidRPr="00EB1E67" w:rsidRDefault="00331355" w:rsidP="00C44DC6">
            <w:pPr>
              <w:keepNext/>
              <w:keepLines/>
              <w:jc w:val="center"/>
              <w:rPr>
                <w:rFonts w:ascii="Arial Narrow" w:eastAsia="SimSun" w:hAnsi="Arial Narrow" w:cs="Times New Roman"/>
                <w:snapToGrid/>
                <w:sz w:val="19"/>
                <w:szCs w:val="19"/>
                <w:lang w:eastAsia="zh-CN"/>
              </w:rPr>
            </w:pPr>
            <w:r w:rsidRPr="00EB1E67">
              <w:rPr>
                <w:rFonts w:ascii="Arial Narrow" w:eastAsia="SimSun" w:hAnsi="Arial Narrow" w:cs="Times New Roman"/>
                <w:snapToGrid/>
                <w:sz w:val="19"/>
                <w:szCs w:val="19"/>
                <w:lang w:eastAsia="zh-CN"/>
              </w:rPr>
              <w:t>(6.75-48.55)</w:t>
            </w:r>
          </w:p>
        </w:tc>
        <w:tc>
          <w:tcPr>
            <w:tcW w:w="518" w:type="pct"/>
            <w:tcBorders>
              <w:top w:val="single" w:sz="4" w:space="0" w:color="auto"/>
              <w:left w:val="single" w:sz="4" w:space="0" w:color="auto"/>
              <w:bottom w:val="single" w:sz="4" w:space="0" w:color="auto"/>
              <w:right w:val="single" w:sz="4" w:space="0" w:color="auto"/>
            </w:tcBorders>
            <w:vAlign w:val="center"/>
          </w:tcPr>
          <w:p w:rsidR="00331355" w:rsidRPr="00EB1E67" w:rsidRDefault="00331355" w:rsidP="00C44DC6">
            <w:pPr>
              <w:keepNext/>
              <w:keepLines/>
              <w:jc w:val="center"/>
              <w:rPr>
                <w:rFonts w:ascii="Arial Narrow" w:eastAsia="SimSun" w:hAnsi="Arial Narrow" w:cs="Times New Roman"/>
                <w:snapToGrid/>
                <w:sz w:val="19"/>
                <w:szCs w:val="19"/>
                <w:lang w:eastAsia="zh-CN"/>
              </w:rPr>
            </w:pPr>
            <w:r w:rsidRPr="00EB1E67">
              <w:rPr>
                <w:rFonts w:ascii="Arial Narrow" w:eastAsia="SimSun" w:hAnsi="Arial Narrow" w:cs="Times New Roman"/>
                <w:snapToGrid/>
                <w:sz w:val="19"/>
                <w:szCs w:val="19"/>
                <w:lang w:eastAsia="zh-CN"/>
              </w:rPr>
              <w:t>2.63</w:t>
            </w:r>
          </w:p>
          <w:p w:rsidR="00331355" w:rsidRPr="00EB1E67" w:rsidRDefault="00331355" w:rsidP="00C44DC6">
            <w:pPr>
              <w:keepNext/>
              <w:keepLines/>
              <w:jc w:val="center"/>
              <w:rPr>
                <w:rFonts w:ascii="Arial Narrow" w:eastAsia="SimSun" w:hAnsi="Arial Narrow" w:cs="Times New Roman"/>
                <w:snapToGrid/>
                <w:sz w:val="19"/>
                <w:szCs w:val="19"/>
                <w:lang w:eastAsia="zh-CN"/>
              </w:rPr>
            </w:pPr>
            <w:r w:rsidRPr="00EB1E67">
              <w:rPr>
                <w:rFonts w:ascii="Arial Narrow" w:eastAsia="SimSun" w:hAnsi="Arial Narrow" w:cs="Times New Roman"/>
                <w:snapToGrid/>
                <w:sz w:val="19"/>
                <w:szCs w:val="19"/>
                <w:lang w:eastAsia="zh-CN"/>
              </w:rPr>
              <w:t>(0.51-13.56)</w:t>
            </w:r>
          </w:p>
        </w:tc>
      </w:tr>
      <w:tr w:rsidR="00EB1E67" w:rsidRPr="00A754E0" w:rsidTr="001D027F">
        <w:tc>
          <w:tcPr>
            <w:tcW w:w="5000" w:type="pct"/>
            <w:gridSpan w:val="7"/>
            <w:tcBorders>
              <w:top w:val="single" w:sz="4" w:space="0" w:color="auto"/>
              <w:left w:val="single" w:sz="4" w:space="0" w:color="auto"/>
              <w:bottom w:val="single" w:sz="4" w:space="0" w:color="auto"/>
              <w:right w:val="single" w:sz="4" w:space="0" w:color="auto"/>
            </w:tcBorders>
            <w:tcMar>
              <w:right w:w="28" w:type="dxa"/>
            </w:tcMar>
            <w:vAlign w:val="center"/>
          </w:tcPr>
          <w:p w:rsidR="00331355" w:rsidRPr="00EB1E67" w:rsidRDefault="00331355" w:rsidP="00C44DC6">
            <w:pPr>
              <w:keepNext/>
              <w:keepLines/>
              <w:jc w:val="center"/>
              <w:rPr>
                <w:rFonts w:ascii="Arial Narrow" w:eastAsia="SimSun" w:hAnsi="Arial Narrow" w:cs="Times New Roman"/>
                <w:snapToGrid/>
                <w:sz w:val="19"/>
                <w:szCs w:val="19"/>
                <w:lang w:eastAsia="zh-CN"/>
              </w:rPr>
            </w:pPr>
            <w:r w:rsidRPr="00EB1E67">
              <w:rPr>
                <w:rFonts w:ascii="Arial Narrow" w:eastAsia="SimSun" w:hAnsi="Arial Narrow" w:cs="Times New Roman"/>
                <w:b/>
                <w:snapToGrid/>
                <w:sz w:val="19"/>
                <w:szCs w:val="19"/>
                <w:lang w:eastAsia="zh-CN"/>
              </w:rPr>
              <w:t xml:space="preserve">Canakinumab (trial 2305) vs </w:t>
            </w:r>
            <w:r w:rsidR="00E738B1" w:rsidRPr="00EB1E67">
              <w:rPr>
                <w:rFonts w:ascii="Arial Narrow" w:eastAsia="SimSun" w:hAnsi="Arial Narrow" w:cs="Times New Roman"/>
                <w:b/>
                <w:snapToGrid/>
                <w:sz w:val="19"/>
                <w:szCs w:val="19"/>
                <w:lang w:eastAsia="zh-CN"/>
              </w:rPr>
              <w:t>adalimumab</w:t>
            </w:r>
            <w:r w:rsidRPr="00EB1E67">
              <w:rPr>
                <w:rFonts w:ascii="Arial Narrow" w:eastAsia="SimSun" w:hAnsi="Arial Narrow" w:cs="Times New Roman"/>
                <w:b/>
                <w:snapToGrid/>
                <w:sz w:val="19"/>
                <w:szCs w:val="19"/>
                <w:lang w:eastAsia="zh-CN"/>
              </w:rPr>
              <w:t xml:space="preserve"> (Lovell 200</w:t>
            </w:r>
            <w:r w:rsidR="00E738B1" w:rsidRPr="00EB1E67">
              <w:rPr>
                <w:rFonts w:ascii="Arial Narrow" w:eastAsia="SimSun" w:hAnsi="Arial Narrow" w:cs="Times New Roman"/>
                <w:b/>
                <w:snapToGrid/>
                <w:sz w:val="19"/>
                <w:szCs w:val="19"/>
                <w:lang w:eastAsia="zh-CN"/>
              </w:rPr>
              <w:t>8</w:t>
            </w:r>
            <w:r w:rsidRPr="00EB1E67">
              <w:rPr>
                <w:rFonts w:ascii="Arial Narrow" w:eastAsia="SimSun" w:hAnsi="Arial Narrow" w:cs="Times New Roman"/>
                <w:b/>
                <w:snapToGrid/>
                <w:sz w:val="19"/>
                <w:szCs w:val="19"/>
                <w:lang w:eastAsia="zh-CN"/>
              </w:rPr>
              <w:t>) - proportion of the JIA ACR Pedi 30 responders</w:t>
            </w:r>
          </w:p>
        </w:tc>
      </w:tr>
      <w:tr w:rsidR="00EB1E67" w:rsidRPr="00A754E0" w:rsidTr="001D027F">
        <w:tc>
          <w:tcPr>
            <w:tcW w:w="859" w:type="pct"/>
            <w:tcBorders>
              <w:top w:val="single" w:sz="4" w:space="0" w:color="auto"/>
              <w:left w:val="single" w:sz="4" w:space="0" w:color="auto"/>
              <w:bottom w:val="single" w:sz="4" w:space="0" w:color="auto"/>
              <w:right w:val="single" w:sz="4" w:space="0" w:color="auto"/>
            </w:tcBorders>
            <w:vAlign w:val="center"/>
          </w:tcPr>
          <w:p w:rsidR="00331355" w:rsidRPr="00EB1E67" w:rsidRDefault="00331355" w:rsidP="00C44DC6">
            <w:pPr>
              <w:keepNext/>
              <w:keepLines/>
              <w:jc w:val="center"/>
              <w:rPr>
                <w:rFonts w:ascii="Arial Narrow" w:eastAsia="SimSun" w:hAnsi="Arial Narrow" w:cs="Times New Roman"/>
                <w:snapToGrid/>
                <w:sz w:val="19"/>
                <w:szCs w:val="19"/>
                <w:lang w:eastAsia="zh-CN"/>
              </w:rPr>
            </w:pPr>
            <w:r w:rsidRPr="00EB1E67">
              <w:rPr>
                <w:rFonts w:ascii="Arial Narrow" w:eastAsia="SimSun" w:hAnsi="Arial Narrow" w:cs="Times New Roman"/>
                <w:snapToGrid/>
                <w:sz w:val="19"/>
                <w:szCs w:val="19"/>
                <w:lang w:eastAsia="zh-CN"/>
              </w:rPr>
              <w:t>47.57</w:t>
            </w:r>
          </w:p>
          <w:p w:rsidR="00331355" w:rsidRPr="00EB1E67" w:rsidRDefault="00331355" w:rsidP="00C44DC6">
            <w:pPr>
              <w:keepNext/>
              <w:keepLines/>
              <w:jc w:val="center"/>
              <w:rPr>
                <w:rFonts w:ascii="Arial Narrow" w:eastAsia="SimSun" w:hAnsi="Arial Narrow" w:cs="Times New Roman"/>
                <w:snapToGrid/>
                <w:sz w:val="19"/>
                <w:szCs w:val="19"/>
                <w:lang w:eastAsia="zh-CN"/>
              </w:rPr>
            </w:pPr>
            <w:r w:rsidRPr="00EB1E67">
              <w:rPr>
                <w:rFonts w:ascii="Arial Narrow" w:eastAsia="SimSun" w:hAnsi="Arial Narrow" w:cs="Times New Roman"/>
                <w:snapToGrid/>
                <w:sz w:val="19"/>
                <w:szCs w:val="19"/>
                <w:lang w:eastAsia="zh-CN"/>
              </w:rPr>
              <w:t>(12.82-176.55)</w:t>
            </w:r>
          </w:p>
        </w:tc>
        <w:tc>
          <w:tcPr>
            <w:tcW w:w="772" w:type="pct"/>
            <w:tcBorders>
              <w:top w:val="single" w:sz="4" w:space="0" w:color="auto"/>
              <w:left w:val="single" w:sz="4" w:space="0" w:color="auto"/>
              <w:bottom w:val="single" w:sz="4" w:space="0" w:color="auto"/>
              <w:right w:val="single" w:sz="4" w:space="0" w:color="auto"/>
            </w:tcBorders>
            <w:vAlign w:val="center"/>
          </w:tcPr>
          <w:p w:rsidR="00331355" w:rsidRPr="00EB1E67" w:rsidRDefault="00331355" w:rsidP="00C44DC6">
            <w:pPr>
              <w:keepNext/>
              <w:keepLines/>
              <w:widowControl w:val="0"/>
              <w:jc w:val="center"/>
              <w:rPr>
                <w:rFonts w:ascii="Arial Narrow" w:hAnsi="Arial Narrow" w:cs="Arial Narrow"/>
                <w:snapToGrid/>
                <w:sz w:val="19"/>
                <w:szCs w:val="19"/>
              </w:rPr>
            </w:pPr>
            <w:r w:rsidRPr="00EB1E67">
              <w:rPr>
                <w:rFonts w:ascii="Arial Narrow" w:hAnsi="Arial Narrow" w:cs="Arial Narrow"/>
                <w:snapToGrid/>
                <w:sz w:val="19"/>
                <w:szCs w:val="19"/>
              </w:rPr>
              <w:t>36/43 (83.7)*</w:t>
            </w:r>
          </w:p>
        </w:tc>
        <w:tc>
          <w:tcPr>
            <w:tcW w:w="707" w:type="pct"/>
            <w:tcBorders>
              <w:top w:val="single" w:sz="4" w:space="0" w:color="auto"/>
              <w:left w:val="single" w:sz="4" w:space="0" w:color="auto"/>
              <w:bottom w:val="single" w:sz="4" w:space="0" w:color="auto"/>
              <w:right w:val="double" w:sz="4" w:space="0" w:color="auto"/>
            </w:tcBorders>
            <w:vAlign w:val="center"/>
          </w:tcPr>
          <w:p w:rsidR="00331355" w:rsidRPr="00EB1E67" w:rsidRDefault="00331355" w:rsidP="00C44DC6">
            <w:pPr>
              <w:keepNext/>
              <w:keepLines/>
              <w:widowControl w:val="0"/>
              <w:jc w:val="center"/>
              <w:rPr>
                <w:rFonts w:ascii="Arial Narrow" w:hAnsi="Arial Narrow" w:cs="Arial Narrow"/>
                <w:snapToGrid/>
                <w:sz w:val="19"/>
                <w:szCs w:val="19"/>
              </w:rPr>
            </w:pPr>
            <w:r w:rsidRPr="00EB1E67">
              <w:rPr>
                <w:rFonts w:ascii="Arial Narrow" w:hAnsi="Arial Narrow" w:cs="Arial Narrow"/>
                <w:snapToGrid/>
                <w:sz w:val="19"/>
                <w:szCs w:val="19"/>
              </w:rPr>
              <w:t>4/41 (9.8)*</w:t>
            </w:r>
          </w:p>
        </w:tc>
        <w:tc>
          <w:tcPr>
            <w:tcW w:w="710" w:type="pct"/>
            <w:tcBorders>
              <w:top w:val="single" w:sz="4" w:space="0" w:color="auto"/>
              <w:left w:val="double" w:sz="4" w:space="0" w:color="auto"/>
              <w:bottom w:val="single" w:sz="4" w:space="0" w:color="auto"/>
              <w:right w:val="single" w:sz="4" w:space="0" w:color="auto"/>
            </w:tcBorders>
            <w:vAlign w:val="center"/>
          </w:tcPr>
          <w:p w:rsidR="00331355" w:rsidRPr="00EB1E67" w:rsidRDefault="00327F2A" w:rsidP="00C44DC6">
            <w:pPr>
              <w:keepNext/>
              <w:keepLines/>
              <w:widowControl w:val="0"/>
              <w:jc w:val="center"/>
              <w:rPr>
                <w:rFonts w:ascii="Arial Narrow" w:hAnsi="Arial Narrow" w:cs="Arial Narrow"/>
                <w:snapToGrid/>
                <w:sz w:val="19"/>
                <w:szCs w:val="19"/>
              </w:rPr>
            </w:pPr>
            <w:r w:rsidRPr="00EB1E67">
              <w:rPr>
                <w:rFonts w:ascii="Arial Narrow" w:hAnsi="Arial Narrow" w:cs="Arial Narrow"/>
                <w:snapToGrid/>
                <w:sz w:val="19"/>
                <w:szCs w:val="19"/>
              </w:rPr>
              <w:t>23/65</w:t>
            </w:r>
            <w:r w:rsidR="00E738B1" w:rsidRPr="00EB1E67">
              <w:rPr>
                <w:rFonts w:ascii="Arial Narrow" w:hAnsi="Arial Narrow" w:cs="Arial Narrow"/>
                <w:snapToGrid/>
                <w:sz w:val="19"/>
                <w:szCs w:val="19"/>
              </w:rPr>
              <w:t>°</w:t>
            </w:r>
            <w:r w:rsidR="00311255" w:rsidRPr="00EB1E67">
              <w:rPr>
                <w:rFonts w:ascii="Arial Narrow" w:hAnsi="Arial Narrow" w:cs="Arial Narrow"/>
                <w:snapToGrid/>
                <w:sz w:val="19"/>
                <w:szCs w:val="19"/>
              </w:rPr>
              <w:t xml:space="preserve"> (35.4)</w:t>
            </w:r>
          </w:p>
        </w:tc>
        <w:tc>
          <w:tcPr>
            <w:tcW w:w="747" w:type="pct"/>
            <w:tcBorders>
              <w:top w:val="single" w:sz="4" w:space="0" w:color="auto"/>
              <w:left w:val="single" w:sz="4" w:space="0" w:color="auto"/>
              <w:bottom w:val="single" w:sz="4" w:space="0" w:color="auto"/>
              <w:right w:val="single" w:sz="4" w:space="0" w:color="auto"/>
            </w:tcBorders>
            <w:vAlign w:val="center"/>
          </w:tcPr>
          <w:p w:rsidR="00331355" w:rsidRPr="00EB1E67" w:rsidRDefault="00327F2A" w:rsidP="00C44DC6">
            <w:pPr>
              <w:keepNext/>
              <w:keepLines/>
              <w:widowControl w:val="0"/>
              <w:jc w:val="center"/>
              <w:rPr>
                <w:rFonts w:ascii="Arial Narrow" w:hAnsi="Arial Narrow" w:cs="Arial Narrow"/>
                <w:snapToGrid/>
                <w:sz w:val="19"/>
                <w:szCs w:val="19"/>
              </w:rPr>
            </w:pPr>
            <w:r w:rsidRPr="00EB1E67">
              <w:rPr>
                <w:rFonts w:ascii="Arial Narrow" w:hAnsi="Arial Narrow" w:cs="Arial Narrow"/>
                <w:snapToGrid/>
                <w:sz w:val="19"/>
                <w:szCs w:val="19"/>
              </w:rPr>
              <w:t>41/68</w:t>
            </w:r>
            <w:r w:rsidR="00E738B1" w:rsidRPr="00EB1E67">
              <w:rPr>
                <w:rFonts w:ascii="Arial Narrow" w:hAnsi="Arial Narrow" w:cs="Arial Narrow"/>
                <w:snapToGrid/>
                <w:sz w:val="19"/>
                <w:szCs w:val="19"/>
              </w:rPr>
              <w:t xml:space="preserve">° </w:t>
            </w:r>
            <w:r w:rsidR="00311255" w:rsidRPr="00EB1E67">
              <w:rPr>
                <w:rFonts w:ascii="Arial Narrow" w:hAnsi="Arial Narrow" w:cs="Arial Narrow"/>
                <w:snapToGrid/>
                <w:sz w:val="19"/>
                <w:szCs w:val="19"/>
              </w:rPr>
              <w:t>(60.3)</w:t>
            </w:r>
          </w:p>
        </w:tc>
        <w:tc>
          <w:tcPr>
            <w:tcW w:w="688" w:type="pct"/>
            <w:tcBorders>
              <w:top w:val="single" w:sz="4" w:space="0" w:color="auto"/>
              <w:left w:val="single" w:sz="4" w:space="0" w:color="auto"/>
              <w:bottom w:val="single" w:sz="4" w:space="0" w:color="auto"/>
              <w:right w:val="single" w:sz="4" w:space="0" w:color="auto"/>
            </w:tcBorders>
            <w:vAlign w:val="center"/>
          </w:tcPr>
          <w:p w:rsidR="00331355" w:rsidRPr="00EB1E67" w:rsidRDefault="00327F2A" w:rsidP="00C44DC6">
            <w:pPr>
              <w:keepNext/>
              <w:keepLines/>
              <w:jc w:val="center"/>
              <w:rPr>
                <w:rFonts w:ascii="Arial Narrow" w:eastAsia="SimSun" w:hAnsi="Arial Narrow" w:cs="Times New Roman"/>
                <w:snapToGrid/>
                <w:sz w:val="19"/>
                <w:szCs w:val="19"/>
                <w:lang w:eastAsia="zh-CN"/>
              </w:rPr>
            </w:pPr>
            <w:r w:rsidRPr="00EB1E67">
              <w:rPr>
                <w:rFonts w:ascii="Arial Narrow" w:eastAsia="SimSun" w:hAnsi="Arial Narrow" w:cs="Times New Roman"/>
                <w:snapToGrid/>
                <w:sz w:val="19"/>
                <w:szCs w:val="19"/>
                <w:lang w:eastAsia="zh-CN"/>
              </w:rPr>
              <w:t>2.77</w:t>
            </w:r>
          </w:p>
          <w:p w:rsidR="00327F2A" w:rsidRPr="00EB1E67" w:rsidRDefault="00327F2A" w:rsidP="00C44DC6">
            <w:pPr>
              <w:keepNext/>
              <w:keepLines/>
              <w:jc w:val="center"/>
              <w:rPr>
                <w:rFonts w:ascii="Arial Narrow" w:eastAsia="SimSun" w:hAnsi="Arial Narrow" w:cs="Times New Roman"/>
                <w:snapToGrid/>
                <w:sz w:val="19"/>
                <w:szCs w:val="19"/>
                <w:lang w:eastAsia="zh-CN"/>
              </w:rPr>
            </w:pPr>
            <w:r w:rsidRPr="00EB1E67">
              <w:rPr>
                <w:rFonts w:ascii="Arial Narrow" w:eastAsia="SimSun" w:hAnsi="Arial Narrow" w:cs="Times New Roman"/>
                <w:snapToGrid/>
                <w:sz w:val="19"/>
                <w:szCs w:val="19"/>
                <w:lang w:eastAsia="zh-CN"/>
              </w:rPr>
              <w:t>(1.37-5.6)</w:t>
            </w:r>
          </w:p>
        </w:tc>
        <w:tc>
          <w:tcPr>
            <w:tcW w:w="518" w:type="pct"/>
            <w:tcBorders>
              <w:top w:val="single" w:sz="4" w:space="0" w:color="auto"/>
              <w:left w:val="single" w:sz="4" w:space="0" w:color="auto"/>
              <w:bottom w:val="single" w:sz="4" w:space="0" w:color="auto"/>
              <w:right w:val="single" w:sz="4" w:space="0" w:color="auto"/>
            </w:tcBorders>
            <w:vAlign w:val="center"/>
          </w:tcPr>
          <w:p w:rsidR="00331355" w:rsidRPr="00EB1E67" w:rsidRDefault="00327F2A" w:rsidP="00C44DC6">
            <w:pPr>
              <w:keepNext/>
              <w:keepLines/>
              <w:jc w:val="center"/>
              <w:rPr>
                <w:rFonts w:ascii="Arial Narrow" w:eastAsia="SimSun" w:hAnsi="Arial Narrow" w:cs="Times New Roman"/>
                <w:snapToGrid/>
                <w:sz w:val="19"/>
                <w:szCs w:val="19"/>
                <w:lang w:eastAsia="zh-CN"/>
              </w:rPr>
            </w:pPr>
            <w:r w:rsidRPr="00EB1E67">
              <w:rPr>
                <w:rFonts w:ascii="Arial Narrow" w:eastAsia="SimSun" w:hAnsi="Arial Narrow" w:cs="Times New Roman"/>
                <w:snapToGrid/>
                <w:sz w:val="19"/>
                <w:szCs w:val="19"/>
                <w:lang w:eastAsia="zh-CN"/>
              </w:rPr>
              <w:t>17.17</w:t>
            </w:r>
          </w:p>
          <w:p w:rsidR="00327F2A" w:rsidRPr="00EB1E67" w:rsidRDefault="00327F2A" w:rsidP="00C44DC6">
            <w:pPr>
              <w:keepNext/>
              <w:keepLines/>
              <w:jc w:val="center"/>
              <w:rPr>
                <w:rFonts w:ascii="Arial Narrow" w:eastAsia="SimSun" w:hAnsi="Arial Narrow" w:cs="Times New Roman"/>
                <w:snapToGrid/>
                <w:sz w:val="19"/>
                <w:szCs w:val="19"/>
                <w:lang w:eastAsia="zh-CN"/>
              </w:rPr>
            </w:pPr>
            <w:r w:rsidRPr="00EB1E67">
              <w:rPr>
                <w:rFonts w:ascii="Arial Narrow" w:eastAsia="SimSun" w:hAnsi="Arial Narrow" w:cs="Times New Roman"/>
                <w:snapToGrid/>
                <w:sz w:val="19"/>
                <w:szCs w:val="19"/>
                <w:lang w:eastAsia="zh-CN"/>
              </w:rPr>
              <w:t>(3.9-76.1)</w:t>
            </w:r>
          </w:p>
        </w:tc>
      </w:tr>
      <w:tr w:rsidR="00EB1E67" w:rsidRPr="00A754E0" w:rsidTr="001D027F">
        <w:tc>
          <w:tcPr>
            <w:tcW w:w="5000" w:type="pct"/>
            <w:gridSpan w:val="7"/>
            <w:tcBorders>
              <w:top w:val="single" w:sz="4" w:space="0" w:color="auto"/>
              <w:left w:val="single" w:sz="4" w:space="0" w:color="auto"/>
              <w:bottom w:val="single" w:sz="4" w:space="0" w:color="auto"/>
              <w:right w:val="single" w:sz="4" w:space="0" w:color="auto"/>
            </w:tcBorders>
            <w:tcMar>
              <w:right w:w="28" w:type="dxa"/>
            </w:tcMar>
            <w:vAlign w:val="center"/>
          </w:tcPr>
          <w:p w:rsidR="00331355" w:rsidRPr="00EB1E67" w:rsidRDefault="00331355" w:rsidP="00C44DC6">
            <w:pPr>
              <w:keepNext/>
              <w:keepLines/>
              <w:jc w:val="center"/>
              <w:rPr>
                <w:rFonts w:ascii="Arial Narrow" w:eastAsia="SimSun" w:hAnsi="Arial Narrow" w:cs="Times New Roman"/>
                <w:b/>
                <w:snapToGrid/>
                <w:sz w:val="19"/>
                <w:szCs w:val="19"/>
                <w:lang w:eastAsia="zh-CN"/>
              </w:rPr>
            </w:pPr>
            <w:r w:rsidRPr="00EB1E67">
              <w:rPr>
                <w:rFonts w:ascii="Arial Narrow" w:eastAsia="SimSun" w:hAnsi="Arial Narrow" w:cs="Times New Roman"/>
                <w:b/>
                <w:snapToGrid/>
                <w:sz w:val="19"/>
                <w:szCs w:val="19"/>
                <w:lang w:eastAsia="zh-CN"/>
              </w:rPr>
              <w:t xml:space="preserve">Canakinumab (trial 2301) vs etanercept (Lovell 2000) </w:t>
            </w:r>
            <w:r w:rsidR="00327F2A" w:rsidRPr="00EB1E67">
              <w:rPr>
                <w:rFonts w:ascii="Arial Narrow" w:eastAsia="SimSun" w:hAnsi="Arial Narrow" w:cs="Times New Roman"/>
                <w:b/>
                <w:snapToGrid/>
                <w:sz w:val="19"/>
                <w:szCs w:val="19"/>
                <w:lang w:eastAsia="zh-CN"/>
              </w:rPr>
              <w:t>–</w:t>
            </w:r>
            <w:r w:rsidRPr="00EB1E67">
              <w:rPr>
                <w:rFonts w:ascii="Arial Narrow" w:eastAsia="SimSun" w:hAnsi="Arial Narrow" w:cs="Times New Roman"/>
                <w:b/>
                <w:snapToGrid/>
                <w:sz w:val="19"/>
                <w:szCs w:val="19"/>
                <w:lang w:eastAsia="zh-CN"/>
              </w:rPr>
              <w:t xml:space="preserve"> proportion with flare event</w:t>
            </w:r>
          </w:p>
        </w:tc>
      </w:tr>
      <w:tr w:rsidR="00EB1E67" w:rsidRPr="00A754E0" w:rsidTr="001D027F">
        <w:tc>
          <w:tcPr>
            <w:tcW w:w="859" w:type="pct"/>
            <w:tcBorders>
              <w:top w:val="single" w:sz="4" w:space="0" w:color="auto"/>
              <w:left w:val="single" w:sz="4" w:space="0" w:color="auto"/>
              <w:bottom w:val="single" w:sz="4" w:space="0" w:color="auto"/>
              <w:right w:val="single" w:sz="4" w:space="0" w:color="auto"/>
            </w:tcBorders>
            <w:vAlign w:val="center"/>
          </w:tcPr>
          <w:p w:rsidR="00331355" w:rsidRPr="00EB1E67" w:rsidRDefault="00331355" w:rsidP="00C44DC6">
            <w:pPr>
              <w:keepNext/>
              <w:keepLines/>
              <w:jc w:val="center"/>
              <w:rPr>
                <w:rFonts w:ascii="Arial Narrow" w:eastAsia="SimSun" w:hAnsi="Arial Narrow" w:cs="Times New Roman"/>
                <w:snapToGrid/>
                <w:sz w:val="19"/>
                <w:szCs w:val="19"/>
                <w:lang w:eastAsia="zh-CN"/>
              </w:rPr>
            </w:pPr>
            <w:r w:rsidRPr="00EB1E67">
              <w:rPr>
                <w:rFonts w:ascii="Arial Narrow" w:eastAsia="SimSun" w:hAnsi="Arial Narrow" w:cs="Times New Roman"/>
                <w:snapToGrid/>
                <w:sz w:val="19"/>
                <w:szCs w:val="19"/>
                <w:lang w:eastAsia="zh-CN"/>
              </w:rPr>
              <w:t xml:space="preserve">0.26 </w:t>
            </w:r>
          </w:p>
          <w:p w:rsidR="00331355" w:rsidRPr="00EB1E67" w:rsidRDefault="00331355" w:rsidP="00C44DC6">
            <w:pPr>
              <w:keepNext/>
              <w:keepLines/>
              <w:jc w:val="center"/>
              <w:rPr>
                <w:rFonts w:ascii="Arial Narrow" w:eastAsia="SimSun" w:hAnsi="Arial Narrow" w:cs="Times New Roman"/>
                <w:snapToGrid/>
                <w:sz w:val="19"/>
                <w:szCs w:val="19"/>
                <w:lang w:eastAsia="zh-CN"/>
              </w:rPr>
            </w:pPr>
            <w:r w:rsidRPr="00EB1E67">
              <w:rPr>
                <w:rFonts w:ascii="Arial Narrow" w:eastAsia="SimSun" w:hAnsi="Arial Narrow" w:cs="Times New Roman"/>
                <w:snapToGrid/>
                <w:sz w:val="19"/>
                <w:szCs w:val="19"/>
                <w:lang w:eastAsia="zh-CN"/>
              </w:rPr>
              <w:t>(0.11-0.62)</w:t>
            </w:r>
          </w:p>
        </w:tc>
        <w:tc>
          <w:tcPr>
            <w:tcW w:w="772" w:type="pct"/>
            <w:tcBorders>
              <w:top w:val="single" w:sz="4" w:space="0" w:color="auto"/>
              <w:left w:val="single" w:sz="4" w:space="0" w:color="auto"/>
              <w:bottom w:val="single" w:sz="4" w:space="0" w:color="auto"/>
              <w:right w:val="single" w:sz="4" w:space="0" w:color="auto"/>
            </w:tcBorders>
            <w:vAlign w:val="center"/>
          </w:tcPr>
          <w:p w:rsidR="00331355" w:rsidRPr="00EB1E67" w:rsidRDefault="00331355" w:rsidP="00C44DC6">
            <w:pPr>
              <w:keepNext/>
              <w:keepLines/>
              <w:widowControl w:val="0"/>
              <w:jc w:val="center"/>
              <w:rPr>
                <w:rFonts w:ascii="Arial Narrow" w:hAnsi="Arial Narrow" w:cs="Arial Narrow"/>
                <w:snapToGrid/>
                <w:sz w:val="19"/>
                <w:szCs w:val="19"/>
              </w:rPr>
            </w:pPr>
            <w:r w:rsidRPr="00EB1E67">
              <w:rPr>
                <w:rFonts w:ascii="Arial Narrow" w:hAnsi="Arial Narrow" w:cs="Arial Narrow"/>
                <w:snapToGrid/>
                <w:sz w:val="19"/>
                <w:szCs w:val="19"/>
              </w:rPr>
              <w:t>11/50 (22)</w:t>
            </w:r>
          </w:p>
        </w:tc>
        <w:tc>
          <w:tcPr>
            <w:tcW w:w="707" w:type="pct"/>
            <w:tcBorders>
              <w:top w:val="single" w:sz="4" w:space="0" w:color="auto"/>
              <w:left w:val="single" w:sz="4" w:space="0" w:color="auto"/>
              <w:bottom w:val="single" w:sz="4" w:space="0" w:color="auto"/>
              <w:right w:val="double" w:sz="4" w:space="0" w:color="auto"/>
            </w:tcBorders>
            <w:vAlign w:val="center"/>
          </w:tcPr>
          <w:p w:rsidR="00331355" w:rsidRPr="00EB1E67" w:rsidRDefault="00331355" w:rsidP="00C44DC6">
            <w:pPr>
              <w:keepNext/>
              <w:keepLines/>
              <w:widowControl w:val="0"/>
              <w:jc w:val="center"/>
              <w:rPr>
                <w:rFonts w:ascii="Arial Narrow" w:hAnsi="Arial Narrow" w:cs="Arial Narrow"/>
                <w:snapToGrid/>
                <w:sz w:val="19"/>
                <w:szCs w:val="19"/>
              </w:rPr>
            </w:pPr>
            <w:r w:rsidRPr="00EB1E67">
              <w:rPr>
                <w:rFonts w:ascii="Arial Narrow" w:hAnsi="Arial Narrow" w:cs="Arial Narrow"/>
                <w:snapToGrid/>
                <w:sz w:val="19"/>
                <w:szCs w:val="19"/>
              </w:rPr>
              <w:t>26/50 (52)</w:t>
            </w:r>
          </w:p>
        </w:tc>
        <w:tc>
          <w:tcPr>
            <w:tcW w:w="710" w:type="pct"/>
            <w:tcBorders>
              <w:top w:val="single" w:sz="4" w:space="0" w:color="auto"/>
              <w:left w:val="double" w:sz="4" w:space="0" w:color="auto"/>
              <w:bottom w:val="single" w:sz="4" w:space="0" w:color="auto"/>
              <w:right w:val="single" w:sz="4" w:space="0" w:color="auto"/>
            </w:tcBorders>
            <w:vAlign w:val="center"/>
          </w:tcPr>
          <w:p w:rsidR="00331355" w:rsidRPr="00EB1E67" w:rsidRDefault="00331355" w:rsidP="00C44DC6">
            <w:pPr>
              <w:keepNext/>
              <w:keepLines/>
              <w:widowControl w:val="0"/>
              <w:jc w:val="center"/>
              <w:rPr>
                <w:rFonts w:ascii="Arial Narrow" w:hAnsi="Arial Narrow" w:cs="Arial Narrow"/>
                <w:snapToGrid/>
                <w:sz w:val="19"/>
                <w:szCs w:val="19"/>
              </w:rPr>
            </w:pPr>
            <w:r w:rsidRPr="00EB1E67">
              <w:rPr>
                <w:rFonts w:ascii="Arial Narrow" w:hAnsi="Arial Narrow" w:cs="Arial Narrow"/>
                <w:snapToGrid/>
                <w:sz w:val="19"/>
                <w:szCs w:val="19"/>
              </w:rPr>
              <w:t>21/26 (80.8)</w:t>
            </w:r>
          </w:p>
        </w:tc>
        <w:tc>
          <w:tcPr>
            <w:tcW w:w="747" w:type="pct"/>
            <w:tcBorders>
              <w:top w:val="single" w:sz="4" w:space="0" w:color="auto"/>
              <w:left w:val="single" w:sz="4" w:space="0" w:color="auto"/>
              <w:bottom w:val="single" w:sz="4" w:space="0" w:color="auto"/>
              <w:right w:val="single" w:sz="4" w:space="0" w:color="auto"/>
            </w:tcBorders>
            <w:vAlign w:val="center"/>
          </w:tcPr>
          <w:p w:rsidR="00331355" w:rsidRPr="00EB1E67" w:rsidRDefault="00331355" w:rsidP="00C44DC6">
            <w:pPr>
              <w:keepNext/>
              <w:keepLines/>
              <w:widowControl w:val="0"/>
              <w:jc w:val="center"/>
              <w:rPr>
                <w:rFonts w:ascii="Arial Narrow" w:hAnsi="Arial Narrow" w:cs="Arial Narrow"/>
                <w:snapToGrid/>
                <w:sz w:val="19"/>
                <w:szCs w:val="19"/>
              </w:rPr>
            </w:pPr>
            <w:r w:rsidRPr="00EB1E67">
              <w:rPr>
                <w:rFonts w:ascii="Arial Narrow" w:hAnsi="Arial Narrow" w:cs="Arial Narrow"/>
                <w:snapToGrid/>
                <w:sz w:val="19"/>
                <w:szCs w:val="19"/>
              </w:rPr>
              <w:t>7/25 (28)</w:t>
            </w:r>
          </w:p>
        </w:tc>
        <w:tc>
          <w:tcPr>
            <w:tcW w:w="688" w:type="pct"/>
            <w:tcBorders>
              <w:top w:val="single" w:sz="4" w:space="0" w:color="auto"/>
              <w:left w:val="single" w:sz="4" w:space="0" w:color="auto"/>
              <w:bottom w:val="single" w:sz="4" w:space="0" w:color="auto"/>
              <w:right w:val="single" w:sz="4" w:space="0" w:color="auto"/>
            </w:tcBorders>
            <w:vAlign w:val="center"/>
          </w:tcPr>
          <w:p w:rsidR="00331355" w:rsidRPr="00EB1E67" w:rsidRDefault="00331355" w:rsidP="00C44DC6">
            <w:pPr>
              <w:keepNext/>
              <w:keepLines/>
              <w:jc w:val="center"/>
              <w:rPr>
                <w:rFonts w:ascii="Arial Narrow" w:eastAsia="SimSun" w:hAnsi="Arial Narrow" w:cs="Times New Roman"/>
                <w:snapToGrid/>
                <w:sz w:val="19"/>
                <w:szCs w:val="19"/>
                <w:lang w:eastAsia="zh-CN"/>
              </w:rPr>
            </w:pPr>
            <w:r w:rsidRPr="00EB1E67">
              <w:rPr>
                <w:rFonts w:ascii="Arial Narrow" w:eastAsia="SimSun" w:hAnsi="Arial Narrow" w:cs="Times New Roman"/>
                <w:snapToGrid/>
                <w:sz w:val="19"/>
                <w:szCs w:val="19"/>
                <w:lang w:eastAsia="zh-CN"/>
              </w:rPr>
              <w:t>0.09</w:t>
            </w:r>
          </w:p>
          <w:p w:rsidR="00331355" w:rsidRPr="00EB1E67" w:rsidRDefault="00331355" w:rsidP="00C44DC6">
            <w:pPr>
              <w:keepNext/>
              <w:keepLines/>
              <w:jc w:val="center"/>
              <w:rPr>
                <w:rFonts w:ascii="Arial Narrow" w:eastAsia="SimSun" w:hAnsi="Arial Narrow" w:cs="Times New Roman"/>
                <w:snapToGrid/>
                <w:sz w:val="19"/>
                <w:szCs w:val="19"/>
                <w:lang w:eastAsia="zh-CN"/>
              </w:rPr>
            </w:pPr>
            <w:r w:rsidRPr="00EB1E67">
              <w:rPr>
                <w:rFonts w:ascii="Arial Narrow" w:eastAsia="SimSun" w:hAnsi="Arial Narrow" w:cs="Times New Roman"/>
                <w:snapToGrid/>
                <w:sz w:val="19"/>
                <w:szCs w:val="19"/>
                <w:lang w:eastAsia="zh-CN"/>
              </w:rPr>
              <w:t>(0.03-0.34)</w:t>
            </w:r>
          </w:p>
        </w:tc>
        <w:tc>
          <w:tcPr>
            <w:tcW w:w="518" w:type="pct"/>
            <w:tcBorders>
              <w:top w:val="single" w:sz="4" w:space="0" w:color="auto"/>
              <w:left w:val="single" w:sz="4" w:space="0" w:color="auto"/>
              <w:bottom w:val="single" w:sz="4" w:space="0" w:color="auto"/>
              <w:right w:val="single" w:sz="4" w:space="0" w:color="auto"/>
            </w:tcBorders>
            <w:vAlign w:val="center"/>
          </w:tcPr>
          <w:p w:rsidR="00331355" w:rsidRPr="00EB1E67" w:rsidRDefault="00331355" w:rsidP="00C44DC6">
            <w:pPr>
              <w:keepNext/>
              <w:keepLines/>
              <w:jc w:val="center"/>
              <w:rPr>
                <w:rFonts w:ascii="Arial Narrow" w:hAnsi="Arial Narrow" w:cs="Arial Narrow"/>
                <w:snapToGrid/>
                <w:sz w:val="19"/>
                <w:szCs w:val="19"/>
              </w:rPr>
            </w:pPr>
            <w:r w:rsidRPr="00EB1E67">
              <w:rPr>
                <w:rFonts w:ascii="Arial Narrow" w:hAnsi="Arial Narrow" w:cs="Arial Narrow"/>
                <w:snapToGrid/>
                <w:sz w:val="19"/>
                <w:szCs w:val="19"/>
              </w:rPr>
              <w:t>2.89</w:t>
            </w:r>
          </w:p>
          <w:p w:rsidR="00331355" w:rsidRPr="00EB1E67" w:rsidRDefault="00331355" w:rsidP="00C44DC6">
            <w:pPr>
              <w:keepNext/>
              <w:keepLines/>
              <w:jc w:val="center"/>
              <w:rPr>
                <w:rFonts w:ascii="Arial Narrow" w:eastAsia="SimSun" w:hAnsi="Arial Narrow" w:cs="Times New Roman"/>
                <w:snapToGrid/>
                <w:sz w:val="19"/>
                <w:szCs w:val="19"/>
                <w:lang w:eastAsia="zh-CN"/>
              </w:rPr>
            </w:pPr>
            <w:r w:rsidRPr="00EB1E67">
              <w:rPr>
                <w:rFonts w:ascii="Arial Narrow" w:eastAsia="SimSun" w:hAnsi="Arial Narrow" w:cs="Times New Roman"/>
                <w:snapToGrid/>
                <w:sz w:val="19"/>
                <w:szCs w:val="19"/>
                <w:lang w:eastAsia="zh-CN"/>
              </w:rPr>
              <w:t xml:space="preserve"> (0.65-12.82)</w:t>
            </w:r>
          </w:p>
        </w:tc>
      </w:tr>
      <w:tr w:rsidR="00EB1E67" w:rsidRPr="00A754E0" w:rsidTr="001D027F">
        <w:tc>
          <w:tcPr>
            <w:tcW w:w="5000" w:type="pct"/>
            <w:gridSpan w:val="7"/>
            <w:tcBorders>
              <w:top w:val="single" w:sz="4" w:space="0" w:color="auto"/>
              <w:left w:val="single" w:sz="4" w:space="0" w:color="auto"/>
              <w:bottom w:val="single" w:sz="4" w:space="0" w:color="auto"/>
              <w:right w:val="single" w:sz="4" w:space="0" w:color="auto"/>
            </w:tcBorders>
            <w:vAlign w:val="center"/>
          </w:tcPr>
          <w:p w:rsidR="00327F2A" w:rsidRPr="00EB1E67" w:rsidRDefault="00327F2A" w:rsidP="00C44DC6">
            <w:pPr>
              <w:keepNext/>
              <w:keepLines/>
              <w:jc w:val="center"/>
              <w:rPr>
                <w:rFonts w:ascii="Arial Narrow" w:hAnsi="Arial Narrow" w:cs="Arial Narrow"/>
                <w:snapToGrid/>
                <w:sz w:val="19"/>
                <w:szCs w:val="19"/>
              </w:rPr>
            </w:pPr>
            <w:r w:rsidRPr="00EB1E67">
              <w:rPr>
                <w:rFonts w:ascii="Arial Narrow" w:eastAsia="SimSun" w:hAnsi="Arial Narrow" w:cs="Times New Roman"/>
                <w:b/>
                <w:snapToGrid/>
                <w:sz w:val="19"/>
                <w:szCs w:val="19"/>
                <w:lang w:eastAsia="zh-CN"/>
              </w:rPr>
              <w:t>Canakinumab (trial 2305) vs etanercept (Lovell 2000) – proportion with flare event</w:t>
            </w:r>
          </w:p>
        </w:tc>
      </w:tr>
      <w:tr w:rsidR="00EB1E67" w:rsidRPr="00A754E0" w:rsidTr="001D027F">
        <w:tc>
          <w:tcPr>
            <w:tcW w:w="859" w:type="pct"/>
            <w:tcBorders>
              <w:top w:val="single" w:sz="4" w:space="0" w:color="auto"/>
              <w:left w:val="single" w:sz="4" w:space="0" w:color="auto"/>
              <w:bottom w:val="single" w:sz="4" w:space="0" w:color="auto"/>
              <w:right w:val="single" w:sz="4" w:space="0" w:color="auto"/>
            </w:tcBorders>
            <w:vAlign w:val="center"/>
          </w:tcPr>
          <w:p w:rsidR="00327F2A" w:rsidRPr="00EB1E67" w:rsidRDefault="00327F2A" w:rsidP="00C44DC6">
            <w:pPr>
              <w:keepNext/>
              <w:keepLines/>
              <w:jc w:val="center"/>
              <w:rPr>
                <w:rFonts w:ascii="Arial Narrow" w:eastAsia="SimSun" w:hAnsi="Arial Narrow" w:cs="Times New Roman"/>
                <w:snapToGrid/>
                <w:sz w:val="19"/>
                <w:szCs w:val="19"/>
                <w:lang w:eastAsia="zh-CN"/>
              </w:rPr>
            </w:pPr>
            <w:r w:rsidRPr="00EB1E67">
              <w:rPr>
                <w:rFonts w:ascii="Arial Narrow" w:eastAsia="SimSun" w:hAnsi="Arial Narrow" w:cs="Times New Roman"/>
                <w:snapToGrid/>
                <w:sz w:val="19"/>
                <w:szCs w:val="19"/>
                <w:lang w:eastAsia="zh-CN"/>
              </w:rPr>
              <w:t>0.02</w:t>
            </w:r>
          </w:p>
          <w:p w:rsidR="00327F2A" w:rsidRPr="00EB1E67" w:rsidRDefault="00327F2A" w:rsidP="00C44DC6">
            <w:pPr>
              <w:keepNext/>
              <w:keepLines/>
              <w:jc w:val="center"/>
              <w:rPr>
                <w:rFonts w:ascii="Arial Narrow" w:eastAsia="SimSun" w:hAnsi="Arial Narrow" w:cs="Times New Roman"/>
                <w:snapToGrid/>
                <w:sz w:val="19"/>
                <w:szCs w:val="19"/>
                <w:lang w:eastAsia="zh-CN"/>
              </w:rPr>
            </w:pPr>
            <w:r w:rsidRPr="00EB1E67">
              <w:rPr>
                <w:rFonts w:ascii="Arial Narrow" w:eastAsia="SimSun" w:hAnsi="Arial Narrow" w:cs="Times New Roman"/>
                <w:snapToGrid/>
                <w:sz w:val="19"/>
                <w:szCs w:val="19"/>
                <w:lang w:eastAsia="zh-CN"/>
              </w:rPr>
              <w:t>(0.01-0.1)</w:t>
            </w:r>
          </w:p>
        </w:tc>
        <w:tc>
          <w:tcPr>
            <w:tcW w:w="772" w:type="pct"/>
            <w:tcBorders>
              <w:top w:val="single" w:sz="4" w:space="0" w:color="auto"/>
              <w:left w:val="single" w:sz="4" w:space="0" w:color="auto"/>
              <w:bottom w:val="single" w:sz="4" w:space="0" w:color="auto"/>
              <w:right w:val="single" w:sz="4" w:space="0" w:color="auto"/>
            </w:tcBorders>
            <w:vAlign w:val="center"/>
          </w:tcPr>
          <w:p w:rsidR="00327F2A" w:rsidRPr="00EB1E67" w:rsidRDefault="00327F2A" w:rsidP="00C44DC6">
            <w:pPr>
              <w:keepNext/>
              <w:keepLines/>
              <w:widowControl w:val="0"/>
              <w:jc w:val="center"/>
              <w:rPr>
                <w:rFonts w:ascii="Arial Narrow" w:hAnsi="Arial Narrow" w:cs="Arial Narrow"/>
                <w:snapToGrid/>
                <w:sz w:val="19"/>
                <w:szCs w:val="19"/>
              </w:rPr>
            </w:pPr>
            <w:r w:rsidRPr="00EB1E67">
              <w:rPr>
                <w:rFonts w:ascii="Arial Narrow" w:hAnsi="Arial Narrow" w:cs="Arial Narrow"/>
                <w:snapToGrid/>
                <w:sz w:val="19"/>
                <w:szCs w:val="19"/>
              </w:rPr>
              <w:t>3/43(</w:t>
            </w:r>
            <w:r w:rsidR="00311255" w:rsidRPr="00EB1E67">
              <w:rPr>
                <w:rFonts w:ascii="Arial Narrow" w:hAnsi="Arial Narrow" w:cs="Arial Narrow"/>
                <w:snapToGrid/>
                <w:sz w:val="19"/>
                <w:szCs w:val="19"/>
              </w:rPr>
              <w:t>6.9)</w:t>
            </w:r>
          </w:p>
        </w:tc>
        <w:tc>
          <w:tcPr>
            <w:tcW w:w="707" w:type="pct"/>
            <w:tcBorders>
              <w:top w:val="single" w:sz="4" w:space="0" w:color="auto"/>
              <w:left w:val="single" w:sz="4" w:space="0" w:color="auto"/>
              <w:bottom w:val="single" w:sz="4" w:space="0" w:color="auto"/>
              <w:right w:val="double" w:sz="4" w:space="0" w:color="auto"/>
            </w:tcBorders>
            <w:vAlign w:val="center"/>
          </w:tcPr>
          <w:p w:rsidR="00327F2A" w:rsidRPr="00EB1E67" w:rsidRDefault="00327F2A" w:rsidP="00C44DC6">
            <w:pPr>
              <w:keepNext/>
              <w:keepLines/>
              <w:widowControl w:val="0"/>
              <w:jc w:val="center"/>
              <w:rPr>
                <w:rFonts w:ascii="Arial Narrow" w:hAnsi="Arial Narrow" w:cs="Arial Narrow"/>
                <w:snapToGrid/>
                <w:sz w:val="19"/>
                <w:szCs w:val="19"/>
              </w:rPr>
            </w:pPr>
            <w:r w:rsidRPr="00EB1E67">
              <w:rPr>
                <w:rFonts w:ascii="Arial Narrow" w:hAnsi="Arial Narrow" w:cs="Arial Narrow"/>
                <w:snapToGrid/>
                <w:sz w:val="19"/>
                <w:szCs w:val="19"/>
              </w:rPr>
              <w:t>31/41</w:t>
            </w:r>
            <w:r w:rsidR="00311255" w:rsidRPr="00EB1E67">
              <w:rPr>
                <w:rFonts w:ascii="Arial Narrow" w:hAnsi="Arial Narrow" w:cs="Arial Narrow"/>
                <w:snapToGrid/>
                <w:sz w:val="19"/>
                <w:szCs w:val="19"/>
              </w:rPr>
              <w:t>(75.6)</w:t>
            </w:r>
          </w:p>
        </w:tc>
        <w:tc>
          <w:tcPr>
            <w:tcW w:w="710" w:type="pct"/>
            <w:tcBorders>
              <w:top w:val="single" w:sz="4" w:space="0" w:color="auto"/>
              <w:left w:val="double" w:sz="4" w:space="0" w:color="auto"/>
              <w:bottom w:val="single" w:sz="4" w:space="0" w:color="auto"/>
              <w:right w:val="single" w:sz="4" w:space="0" w:color="auto"/>
            </w:tcBorders>
            <w:vAlign w:val="center"/>
          </w:tcPr>
          <w:p w:rsidR="00327F2A" w:rsidRPr="00EB1E67" w:rsidRDefault="00327F2A" w:rsidP="00C44DC6">
            <w:pPr>
              <w:keepNext/>
              <w:keepLines/>
              <w:widowControl w:val="0"/>
              <w:jc w:val="center"/>
              <w:rPr>
                <w:rFonts w:ascii="Arial Narrow" w:hAnsi="Arial Narrow" w:cs="Arial Narrow"/>
                <w:snapToGrid/>
                <w:sz w:val="19"/>
                <w:szCs w:val="19"/>
              </w:rPr>
            </w:pPr>
            <w:r w:rsidRPr="00EB1E67">
              <w:rPr>
                <w:rFonts w:ascii="Arial Narrow" w:hAnsi="Arial Narrow" w:cs="Arial Narrow"/>
                <w:snapToGrid/>
                <w:sz w:val="19"/>
                <w:szCs w:val="19"/>
              </w:rPr>
              <w:t>21/26 (80.8)</w:t>
            </w:r>
          </w:p>
        </w:tc>
        <w:tc>
          <w:tcPr>
            <w:tcW w:w="747" w:type="pct"/>
            <w:tcBorders>
              <w:top w:val="single" w:sz="4" w:space="0" w:color="auto"/>
              <w:left w:val="single" w:sz="4" w:space="0" w:color="auto"/>
              <w:bottom w:val="single" w:sz="4" w:space="0" w:color="auto"/>
              <w:right w:val="single" w:sz="4" w:space="0" w:color="auto"/>
            </w:tcBorders>
            <w:vAlign w:val="center"/>
          </w:tcPr>
          <w:p w:rsidR="00327F2A" w:rsidRPr="00EB1E67" w:rsidRDefault="00327F2A" w:rsidP="00C44DC6">
            <w:pPr>
              <w:keepNext/>
              <w:keepLines/>
              <w:widowControl w:val="0"/>
              <w:jc w:val="center"/>
              <w:rPr>
                <w:rFonts w:ascii="Arial Narrow" w:hAnsi="Arial Narrow" w:cs="Arial Narrow"/>
                <w:snapToGrid/>
                <w:sz w:val="19"/>
                <w:szCs w:val="19"/>
              </w:rPr>
            </w:pPr>
            <w:r w:rsidRPr="00EB1E67">
              <w:rPr>
                <w:rFonts w:ascii="Arial Narrow" w:hAnsi="Arial Narrow" w:cs="Arial Narrow"/>
                <w:snapToGrid/>
                <w:sz w:val="19"/>
                <w:szCs w:val="19"/>
              </w:rPr>
              <w:t>7/25 (28)</w:t>
            </w:r>
          </w:p>
        </w:tc>
        <w:tc>
          <w:tcPr>
            <w:tcW w:w="688" w:type="pct"/>
            <w:tcBorders>
              <w:top w:val="single" w:sz="4" w:space="0" w:color="auto"/>
              <w:left w:val="single" w:sz="4" w:space="0" w:color="auto"/>
              <w:bottom w:val="single" w:sz="4" w:space="0" w:color="auto"/>
              <w:right w:val="single" w:sz="4" w:space="0" w:color="auto"/>
            </w:tcBorders>
            <w:vAlign w:val="center"/>
          </w:tcPr>
          <w:p w:rsidR="00327F2A" w:rsidRPr="00EB1E67" w:rsidRDefault="00327F2A" w:rsidP="00C44DC6">
            <w:pPr>
              <w:keepNext/>
              <w:keepLines/>
              <w:jc w:val="center"/>
              <w:rPr>
                <w:rFonts w:ascii="Arial Narrow" w:eastAsia="SimSun" w:hAnsi="Arial Narrow" w:cs="Times New Roman"/>
                <w:snapToGrid/>
                <w:sz w:val="19"/>
                <w:szCs w:val="19"/>
                <w:lang w:eastAsia="zh-CN"/>
              </w:rPr>
            </w:pPr>
            <w:r w:rsidRPr="00EB1E67">
              <w:rPr>
                <w:rFonts w:ascii="Arial Narrow" w:eastAsia="SimSun" w:hAnsi="Arial Narrow" w:cs="Times New Roman"/>
                <w:snapToGrid/>
                <w:sz w:val="19"/>
                <w:szCs w:val="19"/>
                <w:lang w:eastAsia="zh-CN"/>
              </w:rPr>
              <w:t>0.09</w:t>
            </w:r>
          </w:p>
          <w:p w:rsidR="00327F2A" w:rsidRPr="00EB1E67" w:rsidRDefault="00327F2A" w:rsidP="00C44DC6">
            <w:pPr>
              <w:keepNext/>
              <w:keepLines/>
              <w:jc w:val="center"/>
              <w:rPr>
                <w:rFonts w:ascii="Arial Narrow" w:eastAsia="SimSun" w:hAnsi="Arial Narrow" w:cs="Times New Roman"/>
                <w:snapToGrid/>
                <w:sz w:val="19"/>
                <w:szCs w:val="19"/>
                <w:lang w:eastAsia="zh-CN"/>
              </w:rPr>
            </w:pPr>
            <w:r w:rsidRPr="00EB1E67">
              <w:rPr>
                <w:rFonts w:ascii="Arial Narrow" w:eastAsia="SimSun" w:hAnsi="Arial Narrow" w:cs="Times New Roman"/>
                <w:snapToGrid/>
                <w:sz w:val="19"/>
                <w:szCs w:val="19"/>
                <w:lang w:eastAsia="zh-CN"/>
              </w:rPr>
              <w:t>(0.03-0.34)</w:t>
            </w:r>
          </w:p>
        </w:tc>
        <w:tc>
          <w:tcPr>
            <w:tcW w:w="518" w:type="pct"/>
            <w:tcBorders>
              <w:top w:val="single" w:sz="4" w:space="0" w:color="auto"/>
              <w:left w:val="single" w:sz="4" w:space="0" w:color="auto"/>
              <w:bottom w:val="single" w:sz="4" w:space="0" w:color="auto"/>
              <w:right w:val="single" w:sz="4" w:space="0" w:color="auto"/>
            </w:tcBorders>
            <w:vAlign w:val="center"/>
          </w:tcPr>
          <w:p w:rsidR="00327F2A" w:rsidRPr="00EB1E67" w:rsidRDefault="00327F2A" w:rsidP="00C44DC6">
            <w:pPr>
              <w:keepNext/>
              <w:keepLines/>
              <w:jc w:val="center"/>
              <w:rPr>
                <w:rFonts w:ascii="Arial Narrow" w:hAnsi="Arial Narrow" w:cs="Arial Narrow"/>
                <w:snapToGrid/>
                <w:sz w:val="19"/>
                <w:szCs w:val="19"/>
              </w:rPr>
            </w:pPr>
            <w:r w:rsidRPr="00EB1E67">
              <w:rPr>
                <w:rFonts w:ascii="Arial Narrow" w:hAnsi="Arial Narrow" w:cs="Arial Narrow"/>
                <w:snapToGrid/>
                <w:sz w:val="19"/>
                <w:szCs w:val="19"/>
              </w:rPr>
              <w:t>0.22</w:t>
            </w:r>
          </w:p>
          <w:p w:rsidR="00327F2A" w:rsidRPr="00EB1E67" w:rsidRDefault="00327F2A" w:rsidP="00C44DC6">
            <w:pPr>
              <w:keepNext/>
              <w:keepLines/>
              <w:jc w:val="center"/>
              <w:rPr>
                <w:rFonts w:ascii="Arial Narrow" w:hAnsi="Arial Narrow" w:cs="Arial Narrow"/>
                <w:snapToGrid/>
                <w:sz w:val="19"/>
                <w:szCs w:val="19"/>
              </w:rPr>
            </w:pPr>
            <w:r w:rsidRPr="00EB1E67">
              <w:rPr>
                <w:rFonts w:ascii="Arial Narrow" w:hAnsi="Arial Narrow" w:cs="Arial Narrow"/>
                <w:snapToGrid/>
                <w:sz w:val="19"/>
                <w:szCs w:val="19"/>
              </w:rPr>
              <w:t>(0.04-1.2)</w:t>
            </w:r>
          </w:p>
        </w:tc>
      </w:tr>
      <w:tr w:rsidR="00311255" w:rsidRPr="00A754E0" w:rsidTr="001D027F">
        <w:tc>
          <w:tcPr>
            <w:tcW w:w="5000" w:type="pct"/>
            <w:gridSpan w:val="7"/>
            <w:tcBorders>
              <w:top w:val="single" w:sz="4" w:space="0" w:color="auto"/>
              <w:left w:val="single" w:sz="4" w:space="0" w:color="auto"/>
              <w:bottom w:val="single" w:sz="4" w:space="0" w:color="auto"/>
              <w:right w:val="single" w:sz="4" w:space="0" w:color="auto"/>
            </w:tcBorders>
            <w:vAlign w:val="center"/>
          </w:tcPr>
          <w:p w:rsidR="00311255" w:rsidRPr="00EB1E67" w:rsidRDefault="00311255" w:rsidP="00C44DC6">
            <w:pPr>
              <w:keepNext/>
              <w:keepLines/>
              <w:jc w:val="center"/>
              <w:rPr>
                <w:rFonts w:ascii="Arial Narrow" w:hAnsi="Arial Narrow" w:cs="Arial Narrow"/>
                <w:snapToGrid/>
                <w:sz w:val="19"/>
                <w:szCs w:val="19"/>
              </w:rPr>
            </w:pPr>
            <w:r w:rsidRPr="00EB1E67">
              <w:rPr>
                <w:rFonts w:ascii="Arial Narrow" w:eastAsia="SimSun" w:hAnsi="Arial Narrow" w:cs="Times New Roman"/>
                <w:b/>
                <w:snapToGrid/>
                <w:sz w:val="19"/>
                <w:szCs w:val="19"/>
                <w:lang w:eastAsia="zh-CN"/>
              </w:rPr>
              <w:t>Canakinumab (trial 2305+trial 2301) vs etanercept (Lovell 2000) – proportion with flare event</w:t>
            </w:r>
          </w:p>
        </w:tc>
      </w:tr>
      <w:tr w:rsidR="00EB1E67" w:rsidRPr="00A754E0" w:rsidTr="001D027F">
        <w:tc>
          <w:tcPr>
            <w:tcW w:w="859" w:type="pct"/>
            <w:tcBorders>
              <w:top w:val="single" w:sz="4" w:space="0" w:color="auto"/>
              <w:left w:val="single" w:sz="4" w:space="0" w:color="auto"/>
              <w:bottom w:val="single" w:sz="4" w:space="0" w:color="auto"/>
              <w:right w:val="single" w:sz="4" w:space="0" w:color="auto"/>
            </w:tcBorders>
            <w:vAlign w:val="center"/>
          </w:tcPr>
          <w:p w:rsidR="00311255" w:rsidRPr="00EB1E67" w:rsidRDefault="00311255" w:rsidP="00C44DC6">
            <w:pPr>
              <w:keepNext/>
              <w:keepLines/>
              <w:jc w:val="center"/>
              <w:rPr>
                <w:rFonts w:ascii="Arial Narrow" w:eastAsia="SimSun" w:hAnsi="Arial Narrow" w:cs="Times New Roman"/>
                <w:snapToGrid/>
                <w:sz w:val="19"/>
                <w:szCs w:val="19"/>
                <w:lang w:eastAsia="zh-CN"/>
              </w:rPr>
            </w:pPr>
            <w:r w:rsidRPr="00EB1E67">
              <w:rPr>
                <w:rFonts w:ascii="Arial Narrow" w:eastAsia="SimSun" w:hAnsi="Arial Narrow" w:cs="Times New Roman"/>
                <w:snapToGrid/>
                <w:sz w:val="19"/>
                <w:szCs w:val="19"/>
                <w:lang w:eastAsia="zh-CN"/>
              </w:rPr>
              <w:t>0.08</w:t>
            </w:r>
          </w:p>
          <w:p w:rsidR="00311255" w:rsidRPr="00EB1E67" w:rsidRDefault="00311255" w:rsidP="00C44DC6">
            <w:pPr>
              <w:keepNext/>
              <w:keepLines/>
              <w:jc w:val="center"/>
              <w:rPr>
                <w:rFonts w:ascii="Arial Narrow" w:eastAsia="SimSun" w:hAnsi="Arial Narrow" w:cs="Times New Roman"/>
                <w:snapToGrid/>
                <w:sz w:val="19"/>
                <w:szCs w:val="19"/>
                <w:lang w:eastAsia="zh-CN"/>
              </w:rPr>
            </w:pPr>
            <w:r w:rsidRPr="00EB1E67">
              <w:rPr>
                <w:rFonts w:ascii="Arial Narrow" w:eastAsia="SimSun" w:hAnsi="Arial Narrow" w:cs="Times New Roman"/>
                <w:snapToGrid/>
                <w:sz w:val="19"/>
                <w:szCs w:val="19"/>
                <w:lang w:eastAsia="zh-CN"/>
              </w:rPr>
              <w:t>(0.01-0.87)</w:t>
            </w:r>
          </w:p>
        </w:tc>
        <w:tc>
          <w:tcPr>
            <w:tcW w:w="772" w:type="pct"/>
            <w:tcBorders>
              <w:top w:val="single" w:sz="4" w:space="0" w:color="auto"/>
              <w:left w:val="single" w:sz="4" w:space="0" w:color="auto"/>
              <w:bottom w:val="single" w:sz="4" w:space="0" w:color="auto"/>
              <w:right w:val="single" w:sz="4" w:space="0" w:color="auto"/>
            </w:tcBorders>
            <w:vAlign w:val="center"/>
          </w:tcPr>
          <w:p w:rsidR="00311255" w:rsidRPr="00EB1E67" w:rsidRDefault="00311255" w:rsidP="00C44DC6">
            <w:pPr>
              <w:keepNext/>
              <w:keepLines/>
              <w:widowControl w:val="0"/>
              <w:jc w:val="center"/>
              <w:rPr>
                <w:rFonts w:ascii="Arial Narrow" w:hAnsi="Arial Narrow" w:cs="Arial Narrow"/>
                <w:snapToGrid/>
                <w:sz w:val="19"/>
                <w:szCs w:val="19"/>
              </w:rPr>
            </w:pPr>
            <w:r w:rsidRPr="00EB1E67">
              <w:rPr>
                <w:rFonts w:ascii="Arial Narrow" w:hAnsi="Arial Narrow" w:cs="Arial Narrow"/>
                <w:snapToGrid/>
                <w:sz w:val="19"/>
                <w:szCs w:val="19"/>
              </w:rPr>
              <w:t>14/93 (15.1)</w:t>
            </w:r>
          </w:p>
        </w:tc>
        <w:tc>
          <w:tcPr>
            <w:tcW w:w="707" w:type="pct"/>
            <w:tcBorders>
              <w:top w:val="single" w:sz="4" w:space="0" w:color="auto"/>
              <w:left w:val="single" w:sz="4" w:space="0" w:color="auto"/>
              <w:bottom w:val="single" w:sz="4" w:space="0" w:color="auto"/>
              <w:right w:val="double" w:sz="4" w:space="0" w:color="auto"/>
            </w:tcBorders>
            <w:vAlign w:val="center"/>
          </w:tcPr>
          <w:p w:rsidR="00311255" w:rsidRPr="00EB1E67" w:rsidRDefault="00311255" w:rsidP="00C44DC6">
            <w:pPr>
              <w:keepNext/>
              <w:keepLines/>
              <w:widowControl w:val="0"/>
              <w:jc w:val="center"/>
              <w:rPr>
                <w:rFonts w:ascii="Arial Narrow" w:hAnsi="Arial Narrow" w:cs="Arial Narrow"/>
                <w:snapToGrid/>
                <w:sz w:val="19"/>
                <w:szCs w:val="19"/>
              </w:rPr>
            </w:pPr>
            <w:r w:rsidRPr="00EB1E67">
              <w:rPr>
                <w:rFonts w:ascii="Arial Narrow" w:hAnsi="Arial Narrow" w:cs="Arial Narrow"/>
                <w:snapToGrid/>
                <w:sz w:val="19"/>
                <w:szCs w:val="19"/>
              </w:rPr>
              <w:t>57/91(62.4)</w:t>
            </w:r>
          </w:p>
        </w:tc>
        <w:tc>
          <w:tcPr>
            <w:tcW w:w="710" w:type="pct"/>
            <w:tcBorders>
              <w:top w:val="single" w:sz="4" w:space="0" w:color="auto"/>
              <w:left w:val="double" w:sz="4" w:space="0" w:color="auto"/>
              <w:bottom w:val="single" w:sz="4" w:space="0" w:color="auto"/>
              <w:right w:val="single" w:sz="4" w:space="0" w:color="auto"/>
            </w:tcBorders>
            <w:vAlign w:val="center"/>
          </w:tcPr>
          <w:p w:rsidR="00311255" w:rsidRPr="00EB1E67" w:rsidRDefault="00311255" w:rsidP="00C44DC6">
            <w:pPr>
              <w:keepNext/>
              <w:keepLines/>
              <w:widowControl w:val="0"/>
              <w:jc w:val="center"/>
              <w:rPr>
                <w:rFonts w:ascii="Arial Narrow" w:hAnsi="Arial Narrow" w:cs="Arial Narrow"/>
                <w:snapToGrid/>
                <w:sz w:val="19"/>
                <w:szCs w:val="19"/>
              </w:rPr>
            </w:pPr>
            <w:r w:rsidRPr="00EB1E67">
              <w:rPr>
                <w:rFonts w:ascii="Arial Narrow" w:hAnsi="Arial Narrow" w:cs="Arial Narrow"/>
                <w:snapToGrid/>
                <w:sz w:val="19"/>
                <w:szCs w:val="19"/>
              </w:rPr>
              <w:t>21/26 (80.8)</w:t>
            </w:r>
          </w:p>
        </w:tc>
        <w:tc>
          <w:tcPr>
            <w:tcW w:w="747" w:type="pct"/>
            <w:tcBorders>
              <w:top w:val="single" w:sz="4" w:space="0" w:color="auto"/>
              <w:left w:val="single" w:sz="4" w:space="0" w:color="auto"/>
              <w:bottom w:val="single" w:sz="4" w:space="0" w:color="auto"/>
              <w:right w:val="single" w:sz="4" w:space="0" w:color="auto"/>
            </w:tcBorders>
            <w:vAlign w:val="center"/>
          </w:tcPr>
          <w:p w:rsidR="00311255" w:rsidRPr="00EB1E67" w:rsidRDefault="00311255" w:rsidP="00C44DC6">
            <w:pPr>
              <w:keepNext/>
              <w:keepLines/>
              <w:widowControl w:val="0"/>
              <w:jc w:val="center"/>
              <w:rPr>
                <w:rFonts w:ascii="Arial Narrow" w:hAnsi="Arial Narrow" w:cs="Arial Narrow"/>
                <w:snapToGrid/>
                <w:sz w:val="19"/>
                <w:szCs w:val="19"/>
              </w:rPr>
            </w:pPr>
            <w:r w:rsidRPr="00EB1E67">
              <w:rPr>
                <w:rFonts w:ascii="Arial Narrow" w:hAnsi="Arial Narrow" w:cs="Arial Narrow"/>
                <w:snapToGrid/>
                <w:sz w:val="19"/>
                <w:szCs w:val="19"/>
              </w:rPr>
              <w:t>7/25 (28)</w:t>
            </w:r>
          </w:p>
        </w:tc>
        <w:tc>
          <w:tcPr>
            <w:tcW w:w="688" w:type="pct"/>
            <w:tcBorders>
              <w:top w:val="single" w:sz="4" w:space="0" w:color="auto"/>
              <w:left w:val="single" w:sz="4" w:space="0" w:color="auto"/>
              <w:bottom w:val="single" w:sz="4" w:space="0" w:color="auto"/>
              <w:right w:val="single" w:sz="4" w:space="0" w:color="auto"/>
            </w:tcBorders>
            <w:vAlign w:val="center"/>
          </w:tcPr>
          <w:p w:rsidR="00311255" w:rsidRPr="00EB1E67" w:rsidRDefault="00311255" w:rsidP="00C44DC6">
            <w:pPr>
              <w:keepNext/>
              <w:keepLines/>
              <w:jc w:val="center"/>
              <w:rPr>
                <w:rFonts w:ascii="Arial Narrow" w:eastAsia="SimSun" w:hAnsi="Arial Narrow" w:cs="Times New Roman"/>
                <w:snapToGrid/>
                <w:sz w:val="19"/>
                <w:szCs w:val="19"/>
                <w:lang w:eastAsia="zh-CN"/>
              </w:rPr>
            </w:pPr>
            <w:r w:rsidRPr="00EB1E67">
              <w:rPr>
                <w:rFonts w:ascii="Arial Narrow" w:eastAsia="SimSun" w:hAnsi="Arial Narrow" w:cs="Times New Roman"/>
                <w:snapToGrid/>
                <w:sz w:val="19"/>
                <w:szCs w:val="19"/>
                <w:lang w:eastAsia="zh-CN"/>
              </w:rPr>
              <w:t>0.09</w:t>
            </w:r>
          </w:p>
          <w:p w:rsidR="00311255" w:rsidRPr="00EB1E67" w:rsidRDefault="00311255" w:rsidP="00C44DC6">
            <w:pPr>
              <w:keepNext/>
              <w:keepLines/>
              <w:jc w:val="center"/>
              <w:rPr>
                <w:rFonts w:ascii="Arial Narrow" w:eastAsia="SimSun" w:hAnsi="Arial Narrow" w:cs="Times New Roman"/>
                <w:snapToGrid/>
                <w:sz w:val="19"/>
                <w:szCs w:val="19"/>
                <w:lang w:eastAsia="zh-CN"/>
              </w:rPr>
            </w:pPr>
            <w:r w:rsidRPr="00EB1E67">
              <w:rPr>
                <w:rFonts w:ascii="Arial Narrow" w:eastAsia="SimSun" w:hAnsi="Arial Narrow" w:cs="Times New Roman"/>
                <w:snapToGrid/>
                <w:sz w:val="19"/>
                <w:szCs w:val="19"/>
                <w:lang w:eastAsia="zh-CN"/>
              </w:rPr>
              <w:t>(0.03-0.34)</w:t>
            </w:r>
          </w:p>
        </w:tc>
        <w:tc>
          <w:tcPr>
            <w:tcW w:w="518" w:type="pct"/>
            <w:tcBorders>
              <w:top w:val="single" w:sz="4" w:space="0" w:color="auto"/>
              <w:left w:val="single" w:sz="4" w:space="0" w:color="auto"/>
              <w:bottom w:val="single" w:sz="4" w:space="0" w:color="auto"/>
              <w:right w:val="single" w:sz="4" w:space="0" w:color="auto"/>
            </w:tcBorders>
            <w:vAlign w:val="center"/>
          </w:tcPr>
          <w:p w:rsidR="00311255" w:rsidRPr="00EB1E67" w:rsidRDefault="00311255" w:rsidP="00C44DC6">
            <w:pPr>
              <w:keepNext/>
              <w:keepLines/>
              <w:jc w:val="center"/>
              <w:rPr>
                <w:rFonts w:ascii="Arial Narrow" w:hAnsi="Arial Narrow" w:cs="Arial Narrow"/>
                <w:snapToGrid/>
                <w:sz w:val="19"/>
                <w:szCs w:val="19"/>
              </w:rPr>
            </w:pPr>
            <w:r w:rsidRPr="00EB1E67">
              <w:rPr>
                <w:rFonts w:ascii="Arial Narrow" w:hAnsi="Arial Narrow" w:cs="Arial Narrow"/>
                <w:snapToGrid/>
                <w:sz w:val="19"/>
                <w:szCs w:val="19"/>
              </w:rPr>
              <w:t>0.89</w:t>
            </w:r>
          </w:p>
          <w:p w:rsidR="00311255" w:rsidRPr="00EB1E67" w:rsidRDefault="00311255" w:rsidP="00C44DC6">
            <w:pPr>
              <w:keepNext/>
              <w:keepLines/>
              <w:jc w:val="center"/>
              <w:rPr>
                <w:rFonts w:ascii="Arial Narrow" w:hAnsi="Arial Narrow" w:cs="Arial Narrow"/>
                <w:snapToGrid/>
                <w:sz w:val="19"/>
                <w:szCs w:val="19"/>
              </w:rPr>
            </w:pPr>
            <w:r w:rsidRPr="00EB1E67">
              <w:rPr>
                <w:rFonts w:ascii="Arial Narrow" w:hAnsi="Arial Narrow" w:cs="Arial Narrow"/>
                <w:snapToGrid/>
                <w:sz w:val="19"/>
                <w:szCs w:val="19"/>
              </w:rPr>
              <w:t>(0.07-11.3)</w:t>
            </w:r>
          </w:p>
        </w:tc>
      </w:tr>
      <w:tr w:rsidR="00327F2A" w:rsidRPr="00A754E0" w:rsidTr="001D027F">
        <w:tc>
          <w:tcPr>
            <w:tcW w:w="5000" w:type="pct"/>
            <w:gridSpan w:val="7"/>
            <w:tcBorders>
              <w:top w:val="single" w:sz="4" w:space="0" w:color="auto"/>
              <w:left w:val="single" w:sz="4" w:space="0" w:color="auto"/>
              <w:bottom w:val="single" w:sz="4" w:space="0" w:color="auto"/>
              <w:right w:val="single" w:sz="4" w:space="0" w:color="auto"/>
            </w:tcBorders>
            <w:vAlign w:val="center"/>
          </w:tcPr>
          <w:p w:rsidR="00327F2A" w:rsidRPr="00EB1E67" w:rsidRDefault="00327F2A" w:rsidP="00C44DC6">
            <w:pPr>
              <w:keepNext/>
              <w:keepLines/>
              <w:jc w:val="center"/>
              <w:rPr>
                <w:rFonts w:ascii="Arial Narrow" w:hAnsi="Arial Narrow" w:cs="Arial Narrow"/>
                <w:snapToGrid/>
                <w:sz w:val="19"/>
                <w:szCs w:val="19"/>
              </w:rPr>
            </w:pPr>
            <w:r w:rsidRPr="00EB1E67">
              <w:rPr>
                <w:rFonts w:ascii="Arial Narrow" w:eastAsia="SimSun" w:hAnsi="Arial Narrow" w:cs="Times New Roman"/>
                <w:b/>
                <w:snapToGrid/>
                <w:sz w:val="19"/>
                <w:szCs w:val="19"/>
                <w:lang w:eastAsia="zh-CN"/>
              </w:rPr>
              <w:t>Canakinumab( trial 2301) vs adalimumab (Lovell 2008) – proportion with flare event</w:t>
            </w:r>
          </w:p>
        </w:tc>
      </w:tr>
      <w:tr w:rsidR="00EB1E67" w:rsidRPr="00A754E0" w:rsidTr="001D027F">
        <w:tc>
          <w:tcPr>
            <w:tcW w:w="859" w:type="pct"/>
            <w:tcBorders>
              <w:top w:val="single" w:sz="4" w:space="0" w:color="auto"/>
              <w:left w:val="single" w:sz="4" w:space="0" w:color="auto"/>
              <w:bottom w:val="single" w:sz="4" w:space="0" w:color="auto"/>
              <w:right w:val="single" w:sz="4" w:space="0" w:color="auto"/>
            </w:tcBorders>
            <w:vAlign w:val="center"/>
          </w:tcPr>
          <w:p w:rsidR="00331355" w:rsidRPr="00EB1E67" w:rsidRDefault="00331355" w:rsidP="00C44DC6">
            <w:pPr>
              <w:keepNext/>
              <w:keepLines/>
              <w:jc w:val="center"/>
              <w:rPr>
                <w:rFonts w:ascii="Arial Narrow" w:eastAsia="SimSun" w:hAnsi="Arial Narrow" w:cs="Times New Roman"/>
                <w:snapToGrid/>
                <w:sz w:val="19"/>
                <w:szCs w:val="19"/>
                <w:lang w:eastAsia="zh-CN"/>
              </w:rPr>
            </w:pPr>
            <w:r w:rsidRPr="00EB1E67">
              <w:rPr>
                <w:rFonts w:ascii="Arial Narrow" w:eastAsia="SimSun" w:hAnsi="Arial Narrow" w:cs="Times New Roman"/>
                <w:snapToGrid/>
                <w:sz w:val="19"/>
                <w:szCs w:val="19"/>
                <w:lang w:eastAsia="zh-CN"/>
              </w:rPr>
              <w:t xml:space="preserve">0.26 </w:t>
            </w:r>
          </w:p>
          <w:p w:rsidR="00331355" w:rsidRPr="00EB1E67" w:rsidRDefault="00331355" w:rsidP="00C44DC6">
            <w:pPr>
              <w:keepNext/>
              <w:keepLines/>
              <w:jc w:val="center"/>
              <w:rPr>
                <w:rFonts w:ascii="Arial Narrow" w:hAnsi="Arial Narrow"/>
                <w:snapToGrid/>
                <w:sz w:val="19"/>
                <w:szCs w:val="19"/>
              </w:rPr>
            </w:pPr>
            <w:r w:rsidRPr="00EB1E67">
              <w:rPr>
                <w:rFonts w:ascii="Arial Narrow" w:eastAsia="SimSun" w:hAnsi="Arial Narrow" w:cs="Times New Roman"/>
                <w:snapToGrid/>
                <w:sz w:val="19"/>
                <w:szCs w:val="19"/>
                <w:lang w:eastAsia="zh-CN"/>
              </w:rPr>
              <w:t>(0.11-0.62)</w:t>
            </w:r>
          </w:p>
        </w:tc>
        <w:tc>
          <w:tcPr>
            <w:tcW w:w="772" w:type="pct"/>
            <w:tcBorders>
              <w:top w:val="single" w:sz="4" w:space="0" w:color="auto"/>
              <w:left w:val="single" w:sz="4" w:space="0" w:color="auto"/>
              <w:bottom w:val="single" w:sz="4" w:space="0" w:color="auto"/>
              <w:right w:val="single" w:sz="4" w:space="0" w:color="auto"/>
            </w:tcBorders>
            <w:vAlign w:val="center"/>
          </w:tcPr>
          <w:p w:rsidR="00331355" w:rsidRPr="00EB1E67" w:rsidRDefault="00331355" w:rsidP="00C44DC6">
            <w:pPr>
              <w:keepNext/>
              <w:keepLines/>
              <w:widowControl w:val="0"/>
              <w:jc w:val="center"/>
              <w:rPr>
                <w:rFonts w:ascii="Arial Narrow" w:hAnsi="Arial Narrow"/>
                <w:snapToGrid/>
                <w:sz w:val="19"/>
                <w:szCs w:val="19"/>
              </w:rPr>
            </w:pPr>
            <w:r w:rsidRPr="00EB1E67">
              <w:rPr>
                <w:rFonts w:ascii="Arial Narrow" w:hAnsi="Arial Narrow" w:cs="Arial Narrow"/>
                <w:snapToGrid/>
                <w:sz w:val="19"/>
                <w:szCs w:val="19"/>
              </w:rPr>
              <w:t>11/50 (22)</w:t>
            </w:r>
          </w:p>
        </w:tc>
        <w:tc>
          <w:tcPr>
            <w:tcW w:w="707" w:type="pct"/>
            <w:tcBorders>
              <w:top w:val="single" w:sz="4" w:space="0" w:color="auto"/>
              <w:left w:val="single" w:sz="4" w:space="0" w:color="auto"/>
              <w:bottom w:val="single" w:sz="4" w:space="0" w:color="auto"/>
              <w:right w:val="double" w:sz="4" w:space="0" w:color="auto"/>
            </w:tcBorders>
            <w:vAlign w:val="center"/>
          </w:tcPr>
          <w:p w:rsidR="00331355" w:rsidRPr="00EB1E67" w:rsidRDefault="00331355" w:rsidP="00C44DC6">
            <w:pPr>
              <w:keepNext/>
              <w:keepLines/>
              <w:widowControl w:val="0"/>
              <w:jc w:val="center"/>
              <w:rPr>
                <w:rFonts w:ascii="Arial Narrow" w:hAnsi="Arial Narrow"/>
                <w:snapToGrid/>
                <w:sz w:val="19"/>
                <w:szCs w:val="19"/>
              </w:rPr>
            </w:pPr>
            <w:r w:rsidRPr="00EB1E67">
              <w:rPr>
                <w:rFonts w:ascii="Arial Narrow" w:hAnsi="Arial Narrow" w:cs="Arial Narrow"/>
                <w:snapToGrid/>
                <w:sz w:val="19"/>
                <w:szCs w:val="19"/>
              </w:rPr>
              <w:t>26/50 (52)</w:t>
            </w:r>
          </w:p>
        </w:tc>
        <w:tc>
          <w:tcPr>
            <w:tcW w:w="710" w:type="pct"/>
            <w:tcBorders>
              <w:top w:val="single" w:sz="4" w:space="0" w:color="auto"/>
              <w:left w:val="double" w:sz="4" w:space="0" w:color="auto"/>
              <w:bottom w:val="single" w:sz="4" w:space="0" w:color="auto"/>
              <w:right w:val="single" w:sz="4" w:space="0" w:color="auto"/>
            </w:tcBorders>
            <w:vAlign w:val="center"/>
          </w:tcPr>
          <w:p w:rsidR="00331355" w:rsidRPr="00EB1E67" w:rsidRDefault="00331355" w:rsidP="00C44DC6">
            <w:pPr>
              <w:keepNext/>
              <w:keepLines/>
              <w:widowControl w:val="0"/>
              <w:jc w:val="center"/>
              <w:rPr>
                <w:rFonts w:ascii="Arial Narrow" w:hAnsi="Arial Narrow"/>
                <w:snapToGrid/>
                <w:sz w:val="19"/>
                <w:szCs w:val="19"/>
              </w:rPr>
            </w:pPr>
            <w:r w:rsidRPr="00EB1E67">
              <w:rPr>
                <w:rFonts w:ascii="Arial Narrow" w:hAnsi="Arial Narrow" w:cs="Arial Narrow"/>
                <w:snapToGrid/>
                <w:sz w:val="19"/>
                <w:szCs w:val="19"/>
              </w:rPr>
              <w:t>44/65° (67.7)</w:t>
            </w:r>
          </w:p>
        </w:tc>
        <w:tc>
          <w:tcPr>
            <w:tcW w:w="747" w:type="pct"/>
            <w:tcBorders>
              <w:top w:val="single" w:sz="4" w:space="0" w:color="auto"/>
              <w:left w:val="single" w:sz="4" w:space="0" w:color="auto"/>
              <w:bottom w:val="single" w:sz="4" w:space="0" w:color="auto"/>
              <w:right w:val="single" w:sz="4" w:space="0" w:color="auto"/>
            </w:tcBorders>
            <w:vAlign w:val="center"/>
          </w:tcPr>
          <w:p w:rsidR="00331355" w:rsidRPr="00EB1E67" w:rsidRDefault="00331355" w:rsidP="00C44DC6">
            <w:pPr>
              <w:keepNext/>
              <w:keepLines/>
              <w:widowControl w:val="0"/>
              <w:jc w:val="center"/>
              <w:rPr>
                <w:rFonts w:ascii="Arial Narrow" w:hAnsi="Arial Narrow"/>
                <w:snapToGrid/>
                <w:sz w:val="19"/>
                <w:szCs w:val="19"/>
              </w:rPr>
            </w:pPr>
            <w:r w:rsidRPr="00EB1E67">
              <w:rPr>
                <w:rFonts w:ascii="Arial Narrow" w:hAnsi="Arial Narrow" w:cs="Arial Narrow"/>
                <w:snapToGrid/>
                <w:sz w:val="19"/>
                <w:szCs w:val="19"/>
              </w:rPr>
              <w:t>27/68° (39.7)</w:t>
            </w:r>
          </w:p>
        </w:tc>
        <w:tc>
          <w:tcPr>
            <w:tcW w:w="688" w:type="pct"/>
            <w:tcBorders>
              <w:top w:val="single" w:sz="4" w:space="0" w:color="auto"/>
              <w:left w:val="single" w:sz="4" w:space="0" w:color="auto"/>
              <w:bottom w:val="single" w:sz="4" w:space="0" w:color="auto"/>
              <w:right w:val="single" w:sz="4" w:space="0" w:color="auto"/>
            </w:tcBorders>
            <w:vAlign w:val="center"/>
          </w:tcPr>
          <w:p w:rsidR="00331355" w:rsidRPr="00EB1E67" w:rsidRDefault="00331355" w:rsidP="00C44DC6">
            <w:pPr>
              <w:keepNext/>
              <w:keepLines/>
              <w:widowControl w:val="0"/>
              <w:jc w:val="center"/>
              <w:rPr>
                <w:rFonts w:ascii="Arial Narrow" w:hAnsi="Arial Narrow"/>
                <w:snapToGrid/>
                <w:sz w:val="19"/>
                <w:szCs w:val="19"/>
              </w:rPr>
            </w:pPr>
            <w:r w:rsidRPr="00EB1E67">
              <w:rPr>
                <w:rFonts w:ascii="Arial Narrow" w:hAnsi="Arial Narrow"/>
                <w:snapToGrid/>
                <w:sz w:val="19"/>
                <w:szCs w:val="19"/>
              </w:rPr>
              <w:t>0.31</w:t>
            </w:r>
          </w:p>
          <w:p w:rsidR="00331355" w:rsidRPr="00EB1E67" w:rsidRDefault="00331355" w:rsidP="00C44DC6">
            <w:pPr>
              <w:keepNext/>
              <w:keepLines/>
              <w:widowControl w:val="0"/>
              <w:jc w:val="center"/>
              <w:rPr>
                <w:rFonts w:ascii="Arial Narrow" w:hAnsi="Arial Narrow"/>
                <w:snapToGrid/>
                <w:sz w:val="19"/>
                <w:szCs w:val="19"/>
              </w:rPr>
            </w:pPr>
            <w:r w:rsidRPr="00EB1E67">
              <w:rPr>
                <w:rFonts w:ascii="Arial Narrow" w:hAnsi="Arial Narrow"/>
                <w:snapToGrid/>
                <w:sz w:val="19"/>
                <w:szCs w:val="19"/>
              </w:rPr>
              <w:t>(0.15-0.64)</w:t>
            </w:r>
          </w:p>
        </w:tc>
        <w:tc>
          <w:tcPr>
            <w:tcW w:w="518" w:type="pct"/>
            <w:tcBorders>
              <w:top w:val="single" w:sz="4" w:space="0" w:color="auto"/>
              <w:left w:val="single" w:sz="4" w:space="0" w:color="auto"/>
              <w:bottom w:val="single" w:sz="4" w:space="0" w:color="auto"/>
              <w:right w:val="single" w:sz="4" w:space="0" w:color="auto"/>
            </w:tcBorders>
            <w:vAlign w:val="center"/>
          </w:tcPr>
          <w:p w:rsidR="00331355" w:rsidRPr="00EB1E67" w:rsidRDefault="00331355" w:rsidP="00C44DC6">
            <w:pPr>
              <w:keepNext/>
              <w:keepLines/>
              <w:jc w:val="center"/>
              <w:rPr>
                <w:rFonts w:ascii="Arial Narrow" w:hAnsi="Arial Narrow"/>
                <w:snapToGrid/>
                <w:sz w:val="19"/>
                <w:szCs w:val="19"/>
              </w:rPr>
            </w:pPr>
            <w:r w:rsidRPr="00EB1E67">
              <w:rPr>
                <w:rFonts w:ascii="Arial Narrow" w:hAnsi="Arial Narrow"/>
                <w:snapToGrid/>
                <w:sz w:val="19"/>
                <w:szCs w:val="19"/>
              </w:rPr>
              <w:t>0.84</w:t>
            </w:r>
          </w:p>
          <w:p w:rsidR="00331355" w:rsidRPr="00EB1E67" w:rsidRDefault="00331355" w:rsidP="00C44DC6">
            <w:pPr>
              <w:keepNext/>
              <w:keepLines/>
              <w:widowControl w:val="0"/>
              <w:jc w:val="center"/>
              <w:rPr>
                <w:rFonts w:ascii="Arial Narrow" w:hAnsi="Arial Narrow"/>
                <w:snapToGrid/>
                <w:sz w:val="19"/>
                <w:szCs w:val="19"/>
              </w:rPr>
            </w:pPr>
            <w:r w:rsidRPr="00EB1E67">
              <w:rPr>
                <w:rFonts w:ascii="Arial Narrow" w:hAnsi="Arial Narrow"/>
                <w:snapToGrid/>
                <w:sz w:val="19"/>
                <w:szCs w:val="19"/>
              </w:rPr>
              <w:t>(0.27-2.59)</w:t>
            </w:r>
          </w:p>
        </w:tc>
      </w:tr>
      <w:tr w:rsidR="00311255" w:rsidRPr="00A754E0" w:rsidTr="001D027F">
        <w:tc>
          <w:tcPr>
            <w:tcW w:w="5000" w:type="pct"/>
            <w:gridSpan w:val="7"/>
            <w:tcBorders>
              <w:top w:val="single" w:sz="4" w:space="0" w:color="auto"/>
              <w:left w:val="single" w:sz="4" w:space="0" w:color="auto"/>
              <w:bottom w:val="single" w:sz="4" w:space="0" w:color="auto"/>
              <w:right w:val="single" w:sz="4" w:space="0" w:color="auto"/>
            </w:tcBorders>
            <w:vAlign w:val="center"/>
          </w:tcPr>
          <w:p w:rsidR="00311255" w:rsidRPr="00EB1E67" w:rsidRDefault="00311255" w:rsidP="00C44DC6">
            <w:pPr>
              <w:keepNext/>
              <w:keepLines/>
              <w:jc w:val="center"/>
              <w:rPr>
                <w:rFonts w:ascii="Arial Narrow" w:hAnsi="Arial Narrow"/>
                <w:snapToGrid/>
                <w:sz w:val="19"/>
                <w:szCs w:val="19"/>
              </w:rPr>
            </w:pPr>
            <w:r w:rsidRPr="00EB1E67">
              <w:rPr>
                <w:rFonts w:ascii="Arial Narrow" w:eastAsia="SimSun" w:hAnsi="Arial Narrow" w:cs="Times New Roman"/>
                <w:b/>
                <w:snapToGrid/>
                <w:sz w:val="19"/>
                <w:szCs w:val="19"/>
                <w:lang w:eastAsia="zh-CN"/>
              </w:rPr>
              <w:t>Canakinumab( trial 2305) vs adalimumab (Lovell 2008) – proportion with flare event</w:t>
            </w:r>
          </w:p>
        </w:tc>
      </w:tr>
      <w:tr w:rsidR="00EB1E67" w:rsidRPr="00A754E0" w:rsidTr="001D027F">
        <w:tc>
          <w:tcPr>
            <w:tcW w:w="859" w:type="pct"/>
            <w:tcBorders>
              <w:top w:val="single" w:sz="4" w:space="0" w:color="auto"/>
              <w:left w:val="single" w:sz="4" w:space="0" w:color="auto"/>
              <w:bottom w:val="single" w:sz="4" w:space="0" w:color="auto"/>
              <w:right w:val="single" w:sz="4" w:space="0" w:color="auto"/>
            </w:tcBorders>
            <w:vAlign w:val="center"/>
          </w:tcPr>
          <w:p w:rsidR="00311255" w:rsidRPr="00EB1E67" w:rsidRDefault="00311255" w:rsidP="00C44DC6">
            <w:pPr>
              <w:keepNext/>
              <w:keepLines/>
              <w:jc w:val="center"/>
              <w:rPr>
                <w:rFonts w:ascii="Arial Narrow" w:eastAsia="SimSun" w:hAnsi="Arial Narrow" w:cs="Times New Roman"/>
                <w:snapToGrid/>
                <w:sz w:val="19"/>
                <w:szCs w:val="19"/>
                <w:lang w:eastAsia="zh-CN"/>
              </w:rPr>
            </w:pPr>
            <w:r w:rsidRPr="00EB1E67">
              <w:rPr>
                <w:rFonts w:ascii="Arial Narrow" w:eastAsia="SimSun" w:hAnsi="Arial Narrow" w:cs="Times New Roman"/>
                <w:snapToGrid/>
                <w:sz w:val="19"/>
                <w:szCs w:val="19"/>
                <w:lang w:eastAsia="zh-CN"/>
              </w:rPr>
              <w:t>0.02</w:t>
            </w:r>
          </w:p>
          <w:p w:rsidR="00311255" w:rsidRPr="00EB1E67" w:rsidRDefault="00311255" w:rsidP="00C44DC6">
            <w:pPr>
              <w:keepNext/>
              <w:keepLines/>
              <w:jc w:val="center"/>
              <w:rPr>
                <w:rFonts w:ascii="Arial Narrow" w:eastAsia="SimSun" w:hAnsi="Arial Narrow" w:cs="Times New Roman"/>
                <w:snapToGrid/>
                <w:sz w:val="19"/>
                <w:szCs w:val="19"/>
                <w:lang w:eastAsia="zh-CN"/>
              </w:rPr>
            </w:pPr>
            <w:r w:rsidRPr="00EB1E67">
              <w:rPr>
                <w:rFonts w:ascii="Arial Narrow" w:eastAsia="SimSun" w:hAnsi="Arial Narrow" w:cs="Times New Roman"/>
                <w:snapToGrid/>
                <w:sz w:val="19"/>
                <w:szCs w:val="19"/>
                <w:lang w:eastAsia="zh-CN"/>
              </w:rPr>
              <w:t>(0.01-0.1)</w:t>
            </w:r>
          </w:p>
        </w:tc>
        <w:tc>
          <w:tcPr>
            <w:tcW w:w="772" w:type="pct"/>
            <w:tcBorders>
              <w:top w:val="single" w:sz="4" w:space="0" w:color="auto"/>
              <w:left w:val="single" w:sz="4" w:space="0" w:color="auto"/>
              <w:bottom w:val="single" w:sz="4" w:space="0" w:color="auto"/>
              <w:right w:val="single" w:sz="4" w:space="0" w:color="auto"/>
            </w:tcBorders>
            <w:vAlign w:val="center"/>
          </w:tcPr>
          <w:p w:rsidR="00311255" w:rsidRPr="00EB1E67" w:rsidRDefault="00311255" w:rsidP="00C44DC6">
            <w:pPr>
              <w:keepNext/>
              <w:keepLines/>
              <w:widowControl w:val="0"/>
              <w:jc w:val="center"/>
              <w:rPr>
                <w:rFonts w:ascii="Arial Narrow" w:hAnsi="Arial Narrow" w:cs="Arial Narrow"/>
                <w:snapToGrid/>
                <w:sz w:val="19"/>
                <w:szCs w:val="19"/>
              </w:rPr>
            </w:pPr>
            <w:r w:rsidRPr="00EB1E67">
              <w:rPr>
                <w:rFonts w:ascii="Arial Narrow" w:hAnsi="Arial Narrow" w:cs="Arial Narrow"/>
                <w:snapToGrid/>
                <w:sz w:val="19"/>
                <w:szCs w:val="19"/>
              </w:rPr>
              <w:t>3/43(6.9)</w:t>
            </w:r>
          </w:p>
        </w:tc>
        <w:tc>
          <w:tcPr>
            <w:tcW w:w="707" w:type="pct"/>
            <w:tcBorders>
              <w:top w:val="single" w:sz="4" w:space="0" w:color="auto"/>
              <w:left w:val="single" w:sz="4" w:space="0" w:color="auto"/>
              <w:bottom w:val="single" w:sz="4" w:space="0" w:color="auto"/>
              <w:right w:val="double" w:sz="4" w:space="0" w:color="auto"/>
            </w:tcBorders>
            <w:vAlign w:val="center"/>
          </w:tcPr>
          <w:p w:rsidR="00311255" w:rsidRPr="00EB1E67" w:rsidRDefault="00311255" w:rsidP="00C44DC6">
            <w:pPr>
              <w:keepNext/>
              <w:keepLines/>
              <w:widowControl w:val="0"/>
              <w:jc w:val="center"/>
              <w:rPr>
                <w:rFonts w:ascii="Arial Narrow" w:hAnsi="Arial Narrow" w:cs="Arial Narrow"/>
                <w:snapToGrid/>
                <w:sz w:val="19"/>
                <w:szCs w:val="19"/>
              </w:rPr>
            </w:pPr>
            <w:r w:rsidRPr="00EB1E67">
              <w:rPr>
                <w:rFonts w:ascii="Arial Narrow" w:hAnsi="Arial Narrow" w:cs="Arial Narrow"/>
                <w:snapToGrid/>
                <w:sz w:val="19"/>
                <w:szCs w:val="19"/>
              </w:rPr>
              <w:t>31/41(75.6)</w:t>
            </w:r>
          </w:p>
        </w:tc>
        <w:tc>
          <w:tcPr>
            <w:tcW w:w="710" w:type="pct"/>
            <w:tcBorders>
              <w:top w:val="single" w:sz="4" w:space="0" w:color="auto"/>
              <w:left w:val="double" w:sz="4" w:space="0" w:color="auto"/>
              <w:bottom w:val="single" w:sz="4" w:space="0" w:color="auto"/>
              <w:right w:val="single" w:sz="4" w:space="0" w:color="auto"/>
            </w:tcBorders>
            <w:vAlign w:val="center"/>
          </w:tcPr>
          <w:p w:rsidR="00311255" w:rsidRPr="00EB1E67" w:rsidRDefault="00311255" w:rsidP="00C44DC6">
            <w:pPr>
              <w:keepNext/>
              <w:keepLines/>
              <w:widowControl w:val="0"/>
              <w:jc w:val="center"/>
              <w:rPr>
                <w:rFonts w:ascii="Arial Narrow" w:hAnsi="Arial Narrow" w:cs="Arial Narrow"/>
                <w:snapToGrid/>
                <w:sz w:val="19"/>
                <w:szCs w:val="19"/>
              </w:rPr>
            </w:pPr>
            <w:r w:rsidRPr="00EB1E67">
              <w:rPr>
                <w:rFonts w:ascii="Arial Narrow" w:hAnsi="Arial Narrow" w:cs="Arial Narrow"/>
                <w:snapToGrid/>
                <w:sz w:val="19"/>
                <w:szCs w:val="19"/>
              </w:rPr>
              <w:t>44/65° (67.7)</w:t>
            </w:r>
          </w:p>
        </w:tc>
        <w:tc>
          <w:tcPr>
            <w:tcW w:w="747" w:type="pct"/>
            <w:tcBorders>
              <w:top w:val="single" w:sz="4" w:space="0" w:color="auto"/>
              <w:left w:val="single" w:sz="4" w:space="0" w:color="auto"/>
              <w:bottom w:val="single" w:sz="4" w:space="0" w:color="auto"/>
              <w:right w:val="single" w:sz="4" w:space="0" w:color="auto"/>
            </w:tcBorders>
            <w:vAlign w:val="center"/>
          </w:tcPr>
          <w:p w:rsidR="00311255" w:rsidRPr="00EB1E67" w:rsidRDefault="00311255" w:rsidP="00C44DC6">
            <w:pPr>
              <w:keepNext/>
              <w:keepLines/>
              <w:widowControl w:val="0"/>
              <w:jc w:val="center"/>
              <w:rPr>
                <w:rFonts w:ascii="Arial Narrow" w:hAnsi="Arial Narrow" w:cs="Arial Narrow"/>
                <w:snapToGrid/>
                <w:sz w:val="19"/>
                <w:szCs w:val="19"/>
              </w:rPr>
            </w:pPr>
            <w:r w:rsidRPr="00EB1E67">
              <w:rPr>
                <w:rFonts w:ascii="Arial Narrow" w:hAnsi="Arial Narrow" w:cs="Arial Narrow"/>
                <w:snapToGrid/>
                <w:sz w:val="19"/>
                <w:szCs w:val="19"/>
              </w:rPr>
              <w:t>27/68° (39.7)</w:t>
            </w:r>
          </w:p>
        </w:tc>
        <w:tc>
          <w:tcPr>
            <w:tcW w:w="688" w:type="pct"/>
            <w:tcBorders>
              <w:top w:val="single" w:sz="4" w:space="0" w:color="auto"/>
              <w:left w:val="single" w:sz="4" w:space="0" w:color="auto"/>
              <w:bottom w:val="single" w:sz="4" w:space="0" w:color="auto"/>
              <w:right w:val="single" w:sz="4" w:space="0" w:color="auto"/>
            </w:tcBorders>
            <w:vAlign w:val="center"/>
          </w:tcPr>
          <w:p w:rsidR="00311255" w:rsidRPr="00EB1E67" w:rsidRDefault="00311255" w:rsidP="00C44DC6">
            <w:pPr>
              <w:keepNext/>
              <w:keepLines/>
              <w:widowControl w:val="0"/>
              <w:jc w:val="center"/>
              <w:rPr>
                <w:rFonts w:ascii="Arial Narrow" w:hAnsi="Arial Narrow"/>
                <w:snapToGrid/>
                <w:sz w:val="19"/>
                <w:szCs w:val="19"/>
              </w:rPr>
            </w:pPr>
            <w:r w:rsidRPr="00EB1E67">
              <w:rPr>
                <w:rFonts w:ascii="Arial Narrow" w:hAnsi="Arial Narrow"/>
                <w:snapToGrid/>
                <w:sz w:val="19"/>
                <w:szCs w:val="19"/>
              </w:rPr>
              <w:t>0.31</w:t>
            </w:r>
          </w:p>
          <w:p w:rsidR="00311255" w:rsidRPr="00EB1E67" w:rsidRDefault="00311255" w:rsidP="00C44DC6">
            <w:pPr>
              <w:keepNext/>
              <w:keepLines/>
              <w:widowControl w:val="0"/>
              <w:jc w:val="center"/>
              <w:rPr>
                <w:rFonts w:ascii="Arial Narrow" w:hAnsi="Arial Narrow"/>
                <w:snapToGrid/>
                <w:sz w:val="19"/>
                <w:szCs w:val="19"/>
              </w:rPr>
            </w:pPr>
            <w:r w:rsidRPr="00EB1E67">
              <w:rPr>
                <w:rFonts w:ascii="Arial Narrow" w:hAnsi="Arial Narrow"/>
                <w:snapToGrid/>
                <w:sz w:val="19"/>
                <w:szCs w:val="19"/>
              </w:rPr>
              <w:t>(0.15-0.64)</w:t>
            </w:r>
          </w:p>
        </w:tc>
        <w:tc>
          <w:tcPr>
            <w:tcW w:w="518" w:type="pct"/>
            <w:tcBorders>
              <w:top w:val="single" w:sz="4" w:space="0" w:color="auto"/>
              <w:left w:val="single" w:sz="4" w:space="0" w:color="auto"/>
              <w:bottom w:val="single" w:sz="4" w:space="0" w:color="auto"/>
              <w:right w:val="single" w:sz="4" w:space="0" w:color="auto"/>
            </w:tcBorders>
            <w:vAlign w:val="center"/>
          </w:tcPr>
          <w:p w:rsidR="00311255" w:rsidRPr="00EB1E67" w:rsidRDefault="00311255" w:rsidP="00C44DC6">
            <w:pPr>
              <w:keepNext/>
              <w:keepLines/>
              <w:jc w:val="center"/>
              <w:rPr>
                <w:rFonts w:ascii="Arial Narrow" w:hAnsi="Arial Narrow"/>
                <w:snapToGrid/>
                <w:sz w:val="19"/>
                <w:szCs w:val="19"/>
              </w:rPr>
            </w:pPr>
            <w:r w:rsidRPr="00EB1E67">
              <w:rPr>
                <w:rFonts w:ascii="Arial Narrow" w:hAnsi="Arial Narrow"/>
                <w:snapToGrid/>
                <w:sz w:val="19"/>
                <w:szCs w:val="19"/>
              </w:rPr>
              <w:t>0.065</w:t>
            </w:r>
          </w:p>
          <w:p w:rsidR="00311255" w:rsidRPr="00EB1E67" w:rsidRDefault="00311255" w:rsidP="00C44DC6">
            <w:pPr>
              <w:keepNext/>
              <w:keepLines/>
              <w:jc w:val="center"/>
              <w:rPr>
                <w:rFonts w:ascii="Arial Narrow" w:hAnsi="Arial Narrow"/>
                <w:snapToGrid/>
                <w:sz w:val="19"/>
                <w:szCs w:val="19"/>
              </w:rPr>
            </w:pPr>
            <w:r w:rsidRPr="00EB1E67">
              <w:rPr>
                <w:rFonts w:ascii="Arial Narrow" w:hAnsi="Arial Narrow"/>
                <w:snapToGrid/>
                <w:sz w:val="19"/>
                <w:szCs w:val="19"/>
              </w:rPr>
              <w:t>(0.017-0.25)</w:t>
            </w:r>
          </w:p>
        </w:tc>
      </w:tr>
      <w:tr w:rsidR="00311255" w:rsidRPr="00A754E0" w:rsidTr="001D027F">
        <w:tc>
          <w:tcPr>
            <w:tcW w:w="5000" w:type="pct"/>
            <w:gridSpan w:val="7"/>
            <w:tcBorders>
              <w:top w:val="single" w:sz="4" w:space="0" w:color="auto"/>
              <w:left w:val="single" w:sz="4" w:space="0" w:color="auto"/>
              <w:bottom w:val="single" w:sz="4" w:space="0" w:color="auto"/>
              <w:right w:val="single" w:sz="4" w:space="0" w:color="auto"/>
            </w:tcBorders>
            <w:vAlign w:val="center"/>
          </w:tcPr>
          <w:p w:rsidR="00311255" w:rsidRPr="00EB1E67" w:rsidRDefault="00311255" w:rsidP="00C44DC6">
            <w:pPr>
              <w:keepNext/>
              <w:keepLines/>
              <w:jc w:val="center"/>
              <w:rPr>
                <w:rFonts w:ascii="Arial Narrow" w:hAnsi="Arial Narrow"/>
                <w:snapToGrid/>
                <w:sz w:val="19"/>
                <w:szCs w:val="19"/>
              </w:rPr>
            </w:pPr>
            <w:r w:rsidRPr="00EB1E67">
              <w:rPr>
                <w:rFonts w:ascii="Arial Narrow" w:eastAsia="SimSun" w:hAnsi="Arial Narrow" w:cs="Times New Roman"/>
                <w:b/>
                <w:snapToGrid/>
                <w:sz w:val="19"/>
                <w:szCs w:val="19"/>
                <w:lang w:eastAsia="zh-CN"/>
              </w:rPr>
              <w:t>Canakinumab (trial 2305+trial 2301) vs adalimumab (Lovell 2008) – proportion with flare event</w:t>
            </w:r>
          </w:p>
        </w:tc>
      </w:tr>
      <w:tr w:rsidR="00EB1E67" w:rsidRPr="00A754E0" w:rsidTr="001D027F">
        <w:tc>
          <w:tcPr>
            <w:tcW w:w="859" w:type="pct"/>
            <w:tcBorders>
              <w:top w:val="single" w:sz="4" w:space="0" w:color="auto"/>
              <w:left w:val="single" w:sz="4" w:space="0" w:color="auto"/>
              <w:bottom w:val="single" w:sz="4" w:space="0" w:color="auto"/>
              <w:right w:val="single" w:sz="4" w:space="0" w:color="auto"/>
            </w:tcBorders>
            <w:vAlign w:val="center"/>
          </w:tcPr>
          <w:p w:rsidR="00311255" w:rsidRPr="00EB1E67" w:rsidRDefault="00311255" w:rsidP="00C44DC6">
            <w:pPr>
              <w:keepNext/>
              <w:keepLines/>
              <w:jc w:val="center"/>
              <w:rPr>
                <w:rFonts w:ascii="Arial Narrow" w:eastAsia="SimSun" w:hAnsi="Arial Narrow" w:cs="Times New Roman"/>
                <w:snapToGrid/>
                <w:sz w:val="19"/>
                <w:szCs w:val="19"/>
                <w:lang w:eastAsia="zh-CN"/>
              </w:rPr>
            </w:pPr>
            <w:r w:rsidRPr="00EB1E67">
              <w:rPr>
                <w:rFonts w:ascii="Arial Narrow" w:eastAsia="SimSun" w:hAnsi="Arial Narrow" w:cs="Times New Roman"/>
                <w:snapToGrid/>
                <w:sz w:val="19"/>
                <w:szCs w:val="19"/>
                <w:lang w:eastAsia="zh-CN"/>
              </w:rPr>
              <w:t>0.08</w:t>
            </w:r>
          </w:p>
          <w:p w:rsidR="00311255" w:rsidRPr="00EB1E67" w:rsidRDefault="00311255" w:rsidP="00C44DC6">
            <w:pPr>
              <w:keepNext/>
              <w:keepLines/>
              <w:jc w:val="center"/>
              <w:rPr>
                <w:rFonts w:ascii="Arial Narrow" w:eastAsia="SimSun" w:hAnsi="Arial Narrow" w:cs="Times New Roman"/>
                <w:snapToGrid/>
                <w:sz w:val="19"/>
                <w:szCs w:val="19"/>
                <w:lang w:eastAsia="zh-CN"/>
              </w:rPr>
            </w:pPr>
            <w:r w:rsidRPr="00EB1E67">
              <w:rPr>
                <w:rFonts w:ascii="Arial Narrow" w:eastAsia="SimSun" w:hAnsi="Arial Narrow" w:cs="Times New Roman"/>
                <w:snapToGrid/>
                <w:sz w:val="19"/>
                <w:szCs w:val="19"/>
                <w:lang w:eastAsia="zh-CN"/>
              </w:rPr>
              <w:t>(0.01-0.87)</w:t>
            </w:r>
          </w:p>
        </w:tc>
        <w:tc>
          <w:tcPr>
            <w:tcW w:w="772" w:type="pct"/>
            <w:tcBorders>
              <w:top w:val="single" w:sz="4" w:space="0" w:color="auto"/>
              <w:left w:val="single" w:sz="4" w:space="0" w:color="auto"/>
              <w:bottom w:val="single" w:sz="4" w:space="0" w:color="auto"/>
              <w:right w:val="single" w:sz="4" w:space="0" w:color="auto"/>
            </w:tcBorders>
            <w:vAlign w:val="center"/>
          </w:tcPr>
          <w:p w:rsidR="00311255" w:rsidRPr="00EB1E67" w:rsidRDefault="00311255" w:rsidP="00C44DC6">
            <w:pPr>
              <w:keepNext/>
              <w:keepLines/>
              <w:widowControl w:val="0"/>
              <w:jc w:val="center"/>
              <w:rPr>
                <w:rFonts w:ascii="Arial Narrow" w:hAnsi="Arial Narrow" w:cs="Arial Narrow"/>
                <w:snapToGrid/>
                <w:sz w:val="19"/>
                <w:szCs w:val="19"/>
              </w:rPr>
            </w:pPr>
            <w:r w:rsidRPr="00EB1E67">
              <w:rPr>
                <w:rFonts w:ascii="Arial Narrow" w:hAnsi="Arial Narrow" w:cs="Arial Narrow"/>
                <w:snapToGrid/>
                <w:sz w:val="19"/>
                <w:szCs w:val="19"/>
              </w:rPr>
              <w:t>14/93 (15.1)</w:t>
            </w:r>
          </w:p>
        </w:tc>
        <w:tc>
          <w:tcPr>
            <w:tcW w:w="707" w:type="pct"/>
            <w:tcBorders>
              <w:top w:val="single" w:sz="4" w:space="0" w:color="auto"/>
              <w:left w:val="single" w:sz="4" w:space="0" w:color="auto"/>
              <w:bottom w:val="single" w:sz="4" w:space="0" w:color="auto"/>
              <w:right w:val="double" w:sz="4" w:space="0" w:color="auto"/>
            </w:tcBorders>
            <w:vAlign w:val="center"/>
          </w:tcPr>
          <w:p w:rsidR="00311255" w:rsidRPr="00EB1E67" w:rsidRDefault="00311255" w:rsidP="00C44DC6">
            <w:pPr>
              <w:keepNext/>
              <w:keepLines/>
              <w:widowControl w:val="0"/>
              <w:jc w:val="center"/>
              <w:rPr>
                <w:rFonts w:ascii="Arial Narrow" w:hAnsi="Arial Narrow" w:cs="Arial Narrow"/>
                <w:snapToGrid/>
                <w:sz w:val="19"/>
                <w:szCs w:val="19"/>
              </w:rPr>
            </w:pPr>
            <w:r w:rsidRPr="00EB1E67">
              <w:rPr>
                <w:rFonts w:ascii="Arial Narrow" w:hAnsi="Arial Narrow" w:cs="Arial Narrow"/>
                <w:snapToGrid/>
                <w:sz w:val="19"/>
                <w:szCs w:val="19"/>
              </w:rPr>
              <w:t>57/91(62.4)</w:t>
            </w:r>
          </w:p>
        </w:tc>
        <w:tc>
          <w:tcPr>
            <w:tcW w:w="710" w:type="pct"/>
            <w:tcBorders>
              <w:top w:val="single" w:sz="4" w:space="0" w:color="auto"/>
              <w:left w:val="double" w:sz="4" w:space="0" w:color="auto"/>
              <w:bottom w:val="single" w:sz="4" w:space="0" w:color="auto"/>
              <w:right w:val="single" w:sz="4" w:space="0" w:color="auto"/>
            </w:tcBorders>
            <w:vAlign w:val="center"/>
          </w:tcPr>
          <w:p w:rsidR="00311255" w:rsidRPr="00EB1E67" w:rsidRDefault="00311255" w:rsidP="00C44DC6">
            <w:pPr>
              <w:keepNext/>
              <w:keepLines/>
              <w:widowControl w:val="0"/>
              <w:jc w:val="center"/>
              <w:rPr>
                <w:rFonts w:ascii="Arial Narrow" w:hAnsi="Arial Narrow" w:cs="Arial Narrow"/>
                <w:snapToGrid/>
                <w:sz w:val="19"/>
                <w:szCs w:val="19"/>
              </w:rPr>
            </w:pPr>
            <w:r w:rsidRPr="00EB1E67">
              <w:rPr>
                <w:rFonts w:ascii="Arial Narrow" w:hAnsi="Arial Narrow" w:cs="Arial Narrow"/>
                <w:snapToGrid/>
                <w:sz w:val="19"/>
                <w:szCs w:val="19"/>
              </w:rPr>
              <w:t>44/65° (67.7)</w:t>
            </w:r>
          </w:p>
        </w:tc>
        <w:tc>
          <w:tcPr>
            <w:tcW w:w="747" w:type="pct"/>
            <w:tcBorders>
              <w:top w:val="single" w:sz="4" w:space="0" w:color="auto"/>
              <w:left w:val="single" w:sz="4" w:space="0" w:color="auto"/>
              <w:bottom w:val="single" w:sz="4" w:space="0" w:color="auto"/>
              <w:right w:val="single" w:sz="4" w:space="0" w:color="auto"/>
            </w:tcBorders>
            <w:vAlign w:val="center"/>
          </w:tcPr>
          <w:p w:rsidR="00311255" w:rsidRPr="00EB1E67" w:rsidRDefault="00311255" w:rsidP="00C44DC6">
            <w:pPr>
              <w:keepNext/>
              <w:keepLines/>
              <w:widowControl w:val="0"/>
              <w:jc w:val="center"/>
              <w:rPr>
                <w:rFonts w:ascii="Arial Narrow" w:hAnsi="Arial Narrow" w:cs="Arial Narrow"/>
                <w:snapToGrid/>
                <w:sz w:val="19"/>
                <w:szCs w:val="19"/>
              </w:rPr>
            </w:pPr>
            <w:r w:rsidRPr="00EB1E67">
              <w:rPr>
                <w:rFonts w:ascii="Arial Narrow" w:hAnsi="Arial Narrow" w:cs="Arial Narrow"/>
                <w:snapToGrid/>
                <w:sz w:val="19"/>
                <w:szCs w:val="19"/>
              </w:rPr>
              <w:t>27/68° (39.7)</w:t>
            </w:r>
          </w:p>
        </w:tc>
        <w:tc>
          <w:tcPr>
            <w:tcW w:w="688" w:type="pct"/>
            <w:tcBorders>
              <w:top w:val="single" w:sz="4" w:space="0" w:color="auto"/>
              <w:left w:val="single" w:sz="4" w:space="0" w:color="auto"/>
              <w:bottom w:val="single" w:sz="4" w:space="0" w:color="auto"/>
              <w:right w:val="single" w:sz="4" w:space="0" w:color="auto"/>
            </w:tcBorders>
            <w:vAlign w:val="center"/>
          </w:tcPr>
          <w:p w:rsidR="00311255" w:rsidRPr="00EB1E67" w:rsidRDefault="00311255" w:rsidP="00C44DC6">
            <w:pPr>
              <w:keepNext/>
              <w:keepLines/>
              <w:widowControl w:val="0"/>
              <w:jc w:val="center"/>
              <w:rPr>
                <w:rFonts w:ascii="Arial Narrow" w:hAnsi="Arial Narrow"/>
                <w:snapToGrid/>
                <w:sz w:val="19"/>
                <w:szCs w:val="19"/>
              </w:rPr>
            </w:pPr>
            <w:r w:rsidRPr="00EB1E67">
              <w:rPr>
                <w:rFonts w:ascii="Arial Narrow" w:hAnsi="Arial Narrow"/>
                <w:snapToGrid/>
                <w:sz w:val="19"/>
                <w:szCs w:val="19"/>
              </w:rPr>
              <w:t>0.31</w:t>
            </w:r>
          </w:p>
          <w:p w:rsidR="00311255" w:rsidRPr="00EB1E67" w:rsidRDefault="00311255" w:rsidP="00C44DC6">
            <w:pPr>
              <w:keepNext/>
              <w:keepLines/>
              <w:widowControl w:val="0"/>
              <w:jc w:val="center"/>
              <w:rPr>
                <w:rFonts w:ascii="Arial Narrow" w:hAnsi="Arial Narrow"/>
                <w:snapToGrid/>
                <w:sz w:val="19"/>
                <w:szCs w:val="19"/>
              </w:rPr>
            </w:pPr>
            <w:r w:rsidRPr="00EB1E67">
              <w:rPr>
                <w:rFonts w:ascii="Arial Narrow" w:hAnsi="Arial Narrow"/>
                <w:snapToGrid/>
                <w:sz w:val="19"/>
                <w:szCs w:val="19"/>
              </w:rPr>
              <w:t>(0.15-0.64)</w:t>
            </w:r>
          </w:p>
        </w:tc>
        <w:tc>
          <w:tcPr>
            <w:tcW w:w="518" w:type="pct"/>
            <w:tcBorders>
              <w:top w:val="single" w:sz="4" w:space="0" w:color="auto"/>
              <w:left w:val="single" w:sz="4" w:space="0" w:color="auto"/>
              <w:bottom w:val="single" w:sz="4" w:space="0" w:color="auto"/>
              <w:right w:val="single" w:sz="4" w:space="0" w:color="auto"/>
            </w:tcBorders>
            <w:vAlign w:val="center"/>
          </w:tcPr>
          <w:p w:rsidR="00311255" w:rsidRPr="00EB1E67" w:rsidRDefault="00311255" w:rsidP="00C44DC6">
            <w:pPr>
              <w:keepNext/>
              <w:keepLines/>
              <w:jc w:val="center"/>
              <w:rPr>
                <w:rFonts w:ascii="Arial Narrow" w:hAnsi="Arial Narrow"/>
                <w:snapToGrid/>
                <w:sz w:val="19"/>
                <w:szCs w:val="19"/>
              </w:rPr>
            </w:pPr>
            <w:r w:rsidRPr="00EB1E67">
              <w:rPr>
                <w:rFonts w:ascii="Arial Narrow" w:hAnsi="Arial Narrow"/>
                <w:snapToGrid/>
                <w:sz w:val="19"/>
                <w:szCs w:val="19"/>
              </w:rPr>
              <w:t>0.26</w:t>
            </w:r>
          </w:p>
          <w:p w:rsidR="00311255" w:rsidRPr="00EB1E67" w:rsidRDefault="00311255" w:rsidP="00C44DC6">
            <w:pPr>
              <w:keepNext/>
              <w:keepLines/>
              <w:jc w:val="center"/>
              <w:rPr>
                <w:rFonts w:ascii="Arial Narrow" w:hAnsi="Arial Narrow"/>
                <w:snapToGrid/>
                <w:sz w:val="19"/>
                <w:szCs w:val="19"/>
              </w:rPr>
            </w:pPr>
            <w:r w:rsidRPr="00EB1E67">
              <w:rPr>
                <w:rFonts w:ascii="Arial Narrow" w:hAnsi="Arial Narrow"/>
                <w:snapToGrid/>
                <w:sz w:val="19"/>
                <w:szCs w:val="19"/>
              </w:rPr>
              <w:t>(0.025-2.7)</w:t>
            </w:r>
          </w:p>
        </w:tc>
      </w:tr>
    </w:tbl>
    <w:p w:rsidR="00331355" w:rsidRPr="00A754E0" w:rsidRDefault="00331355" w:rsidP="00C44DC6">
      <w:pPr>
        <w:pStyle w:val="TableFooter"/>
        <w:keepNext/>
        <w:keepLines/>
        <w:ind w:left="709"/>
      </w:pPr>
      <w:r w:rsidRPr="00A754E0">
        <w:t>CI = confidence interval;</w:t>
      </w:r>
      <w:r w:rsidRPr="00A754E0">
        <w:rPr>
          <w:i/>
          <w:iCs/>
        </w:rPr>
        <w:t xml:space="preserve"> n </w:t>
      </w:r>
      <w:r w:rsidRPr="00A754E0">
        <w:t>= number with event;</w:t>
      </w:r>
      <w:r w:rsidRPr="00A754E0">
        <w:rPr>
          <w:i/>
          <w:iCs/>
        </w:rPr>
        <w:t xml:space="preserve"> N </w:t>
      </w:r>
      <w:r w:rsidRPr="00A754E0">
        <w:t xml:space="preserve">= number in group; </w:t>
      </w:r>
      <w:r w:rsidR="008448D2">
        <w:t>OR = odds ratio</w:t>
      </w:r>
    </w:p>
    <w:p w:rsidR="00331355" w:rsidRPr="00A754E0" w:rsidRDefault="00331355" w:rsidP="00C44DC6">
      <w:pPr>
        <w:pStyle w:val="TableFooter"/>
        <w:keepNext/>
        <w:keepLines/>
        <w:ind w:left="709"/>
      </w:pPr>
      <w:r w:rsidRPr="00A754E0">
        <w:t>* ACR Pedi 30 response at Day 15.</w:t>
      </w:r>
    </w:p>
    <w:p w:rsidR="00331355" w:rsidRPr="00A754E0" w:rsidRDefault="00331355" w:rsidP="00C44DC6">
      <w:pPr>
        <w:pStyle w:val="TableFooter"/>
        <w:keepNext/>
        <w:keepLines/>
        <w:ind w:left="709"/>
        <w:rPr>
          <w:rFonts w:eastAsia="SimSun" w:cs="Times New Roman"/>
          <w:snapToGrid/>
          <w:szCs w:val="22"/>
          <w:lang w:eastAsia="zh-CN"/>
        </w:rPr>
      </w:pPr>
      <w:r w:rsidRPr="00A754E0">
        <w:rPr>
          <w:rFonts w:ascii="Calibri" w:eastAsia="SimSun" w:hAnsi="Calibri" w:cs="Times New Roman"/>
          <w:snapToGrid/>
          <w:sz w:val="20"/>
          <w:szCs w:val="22"/>
          <w:vertAlign w:val="superscript"/>
          <w:lang w:eastAsia="zh-CN"/>
        </w:rPr>
        <w:t>†</w:t>
      </w:r>
      <w:r w:rsidRPr="00A754E0">
        <w:rPr>
          <w:rFonts w:ascii="Calibri" w:eastAsia="SimSun" w:hAnsi="Calibri" w:cs="Times New Roman"/>
          <w:snapToGrid/>
          <w:szCs w:val="22"/>
          <w:lang w:eastAsia="zh-CN"/>
        </w:rPr>
        <w:t xml:space="preserve"> </w:t>
      </w:r>
      <w:r w:rsidRPr="00A754E0">
        <w:rPr>
          <w:rFonts w:eastAsia="SimSun" w:cs="Times New Roman"/>
          <w:snapToGrid/>
          <w:szCs w:val="22"/>
          <w:lang w:eastAsia="zh-CN"/>
        </w:rPr>
        <w:t>ACR Pedi 30 response at 12 weeks</w:t>
      </w:r>
    </w:p>
    <w:p w:rsidR="00331355" w:rsidRPr="00A754E0" w:rsidRDefault="00331355" w:rsidP="00C44DC6">
      <w:pPr>
        <w:pStyle w:val="TableFooter"/>
        <w:keepNext/>
        <w:keepLines/>
        <w:ind w:left="709"/>
        <w:rPr>
          <w:rFonts w:eastAsia="SimSun" w:cs="Times New Roman"/>
          <w:snapToGrid/>
          <w:szCs w:val="22"/>
          <w:lang w:eastAsia="zh-CN"/>
        </w:rPr>
      </w:pPr>
      <w:r w:rsidRPr="00A754E0">
        <w:rPr>
          <w:rFonts w:ascii="Calibri" w:eastAsia="SimSun" w:hAnsi="Calibri" w:cs="Times New Roman"/>
          <w:snapToGrid/>
          <w:szCs w:val="22"/>
          <w:lang w:eastAsia="zh-CN"/>
        </w:rPr>
        <w:t xml:space="preserve">° </w:t>
      </w:r>
      <w:r w:rsidRPr="00A754E0">
        <w:rPr>
          <w:rFonts w:eastAsia="SimSun" w:cs="Times New Roman"/>
          <w:snapToGrid/>
          <w:szCs w:val="22"/>
          <w:lang w:eastAsia="zh-CN"/>
        </w:rPr>
        <w:t>combined subgroups with and without MXT</w:t>
      </w:r>
    </w:p>
    <w:p w:rsidR="00E738B1" w:rsidRPr="00710A4E" w:rsidRDefault="00E738B1" w:rsidP="00710A4E">
      <w:pPr>
        <w:rPr>
          <w:i/>
          <w:szCs w:val="22"/>
        </w:rPr>
      </w:pPr>
    </w:p>
    <w:p w:rsidR="00D84B46" w:rsidRPr="002F32DE" w:rsidRDefault="00E738B1" w:rsidP="00490F0E">
      <w:pPr>
        <w:pStyle w:val="ListParagraph"/>
        <w:numPr>
          <w:ilvl w:val="1"/>
          <w:numId w:val="2"/>
        </w:numPr>
        <w:rPr>
          <w:szCs w:val="22"/>
        </w:rPr>
      </w:pPr>
      <w:r w:rsidRPr="0079786D">
        <w:rPr>
          <w:szCs w:val="22"/>
        </w:rPr>
        <w:t xml:space="preserve">The submission presented </w:t>
      </w:r>
      <w:r w:rsidR="00D84B46">
        <w:rPr>
          <w:szCs w:val="22"/>
        </w:rPr>
        <w:t>an indirect comparison</w:t>
      </w:r>
      <w:r w:rsidRPr="0079786D">
        <w:rPr>
          <w:szCs w:val="22"/>
        </w:rPr>
        <w:t xml:space="preserve"> of populations in which treatment naïve patients</w:t>
      </w:r>
      <w:r w:rsidR="00F76781">
        <w:rPr>
          <w:szCs w:val="22"/>
        </w:rPr>
        <w:t xml:space="preserve"> (</w:t>
      </w:r>
      <w:r w:rsidR="0031714E">
        <w:rPr>
          <w:szCs w:val="22"/>
        </w:rPr>
        <w:t>with</w:t>
      </w:r>
      <w:r w:rsidR="00F76781">
        <w:rPr>
          <w:szCs w:val="22"/>
        </w:rPr>
        <w:t xml:space="preserve"> respect to the intervention)</w:t>
      </w:r>
      <w:r w:rsidRPr="0079786D">
        <w:rPr>
          <w:szCs w:val="22"/>
        </w:rPr>
        <w:t xml:space="preserve"> </w:t>
      </w:r>
      <w:r w:rsidR="00D84B46">
        <w:rPr>
          <w:szCs w:val="22"/>
        </w:rPr>
        <w:t>treated with canakinumab</w:t>
      </w:r>
      <w:r w:rsidR="00480135">
        <w:rPr>
          <w:szCs w:val="22"/>
        </w:rPr>
        <w:t xml:space="preserve"> (T</w:t>
      </w:r>
      <w:r w:rsidR="0031714E">
        <w:rPr>
          <w:szCs w:val="22"/>
        </w:rPr>
        <w:t>rial 2305)</w:t>
      </w:r>
      <w:r w:rsidR="00D84B46">
        <w:rPr>
          <w:szCs w:val="22"/>
        </w:rPr>
        <w:t xml:space="preserve"> were compared to treatment naïve patients receiving tocilizumab</w:t>
      </w:r>
      <w:r w:rsidR="0031714E">
        <w:rPr>
          <w:szCs w:val="22"/>
        </w:rPr>
        <w:t xml:space="preserve"> (</w:t>
      </w:r>
      <w:r w:rsidR="0031714E" w:rsidRPr="0031714E">
        <w:rPr>
          <w:szCs w:val="22"/>
        </w:rPr>
        <w:t>De Benedetti, 2012</w:t>
      </w:r>
      <w:r w:rsidR="0031714E">
        <w:rPr>
          <w:szCs w:val="22"/>
        </w:rPr>
        <w:t>)</w:t>
      </w:r>
      <w:r w:rsidR="00D84B46">
        <w:rPr>
          <w:szCs w:val="22"/>
        </w:rPr>
        <w:t xml:space="preserve">. </w:t>
      </w:r>
      <w:r w:rsidR="00797C03">
        <w:rPr>
          <w:szCs w:val="22"/>
        </w:rPr>
        <w:t>However</w:t>
      </w:r>
      <w:r w:rsidR="001754EB">
        <w:rPr>
          <w:szCs w:val="22"/>
        </w:rPr>
        <w:t>,</w:t>
      </w:r>
      <w:r w:rsidR="00797C03" w:rsidRPr="002F32DE">
        <w:rPr>
          <w:szCs w:val="22"/>
        </w:rPr>
        <w:t xml:space="preserve"> </w:t>
      </w:r>
      <w:r w:rsidR="00F76781" w:rsidRPr="002F32DE">
        <w:rPr>
          <w:szCs w:val="22"/>
        </w:rPr>
        <w:t>the</w:t>
      </w:r>
      <w:r w:rsidR="001754EB">
        <w:rPr>
          <w:szCs w:val="22"/>
        </w:rPr>
        <w:t xml:space="preserve"> evaluation identified </w:t>
      </w:r>
      <w:r w:rsidR="00F76781" w:rsidRPr="002F32DE">
        <w:rPr>
          <w:szCs w:val="22"/>
        </w:rPr>
        <w:t>concerns with this comparison because:</w:t>
      </w:r>
    </w:p>
    <w:p w:rsidR="00F76781" w:rsidRPr="002F32DE" w:rsidRDefault="00F76781" w:rsidP="007A097D">
      <w:pPr>
        <w:pStyle w:val="ListParagraph"/>
        <w:numPr>
          <w:ilvl w:val="0"/>
          <w:numId w:val="7"/>
        </w:numPr>
        <w:ind w:left="993" w:hanging="284"/>
        <w:rPr>
          <w:szCs w:val="22"/>
        </w:rPr>
      </w:pPr>
      <w:r w:rsidRPr="002F32DE">
        <w:rPr>
          <w:szCs w:val="22"/>
        </w:rPr>
        <w:t xml:space="preserve">the trials </w:t>
      </w:r>
      <w:r w:rsidR="00434EF0">
        <w:rPr>
          <w:szCs w:val="22"/>
        </w:rPr>
        <w:t xml:space="preserve">were significantly different in duration: </w:t>
      </w:r>
      <w:r w:rsidR="0031714E" w:rsidRPr="002F32DE">
        <w:rPr>
          <w:szCs w:val="22"/>
        </w:rPr>
        <w:t xml:space="preserve">29 </w:t>
      </w:r>
      <w:r w:rsidRPr="002F32DE">
        <w:rPr>
          <w:szCs w:val="22"/>
        </w:rPr>
        <w:t>days versus 12 weeks</w:t>
      </w:r>
      <w:r w:rsidR="0079121D">
        <w:rPr>
          <w:szCs w:val="22"/>
        </w:rPr>
        <w:t>; and</w:t>
      </w:r>
    </w:p>
    <w:p w:rsidR="00F76781" w:rsidRDefault="00434EF0" w:rsidP="007A097D">
      <w:pPr>
        <w:pStyle w:val="ListParagraph"/>
        <w:numPr>
          <w:ilvl w:val="0"/>
          <w:numId w:val="7"/>
        </w:numPr>
        <w:ind w:left="993" w:hanging="284"/>
        <w:rPr>
          <w:szCs w:val="22"/>
        </w:rPr>
      </w:pPr>
      <w:r>
        <w:rPr>
          <w:szCs w:val="22"/>
        </w:rPr>
        <w:lastRenderedPageBreak/>
        <w:t>the p</w:t>
      </w:r>
      <w:r w:rsidR="00BB3B2B">
        <w:rPr>
          <w:szCs w:val="22"/>
        </w:rPr>
        <w:t>opulation</w:t>
      </w:r>
      <w:r>
        <w:rPr>
          <w:szCs w:val="22"/>
        </w:rPr>
        <w:t>s were very heterogeneous with respect to</w:t>
      </w:r>
      <w:r w:rsidR="00F76781" w:rsidRPr="002F32DE">
        <w:rPr>
          <w:szCs w:val="22"/>
        </w:rPr>
        <w:t xml:space="preserve"> </w:t>
      </w:r>
      <w:r w:rsidR="0044137E" w:rsidRPr="002F32DE">
        <w:rPr>
          <w:szCs w:val="22"/>
        </w:rPr>
        <w:t xml:space="preserve">exposure to </w:t>
      </w:r>
      <w:r w:rsidR="00F76781" w:rsidRPr="002F32DE">
        <w:rPr>
          <w:szCs w:val="22"/>
        </w:rPr>
        <w:t>previous treatments,</w:t>
      </w:r>
      <w:r w:rsidR="0044137E" w:rsidRPr="002F32DE">
        <w:rPr>
          <w:szCs w:val="22"/>
        </w:rPr>
        <w:t xml:space="preserve"> duration of disease</w:t>
      </w:r>
      <w:r>
        <w:rPr>
          <w:szCs w:val="22"/>
        </w:rPr>
        <w:t xml:space="preserve"> and </w:t>
      </w:r>
      <w:r w:rsidR="00F213EE" w:rsidRPr="002F32DE">
        <w:rPr>
          <w:szCs w:val="22"/>
        </w:rPr>
        <w:t>active joint count</w:t>
      </w:r>
      <w:r w:rsidR="00947BE2" w:rsidRPr="002F32DE">
        <w:rPr>
          <w:szCs w:val="22"/>
        </w:rPr>
        <w:t>.</w:t>
      </w:r>
      <w:r w:rsidR="00F76781" w:rsidRPr="002F32DE">
        <w:rPr>
          <w:szCs w:val="22"/>
        </w:rPr>
        <w:t xml:space="preserve"> </w:t>
      </w:r>
    </w:p>
    <w:p w:rsidR="00E738B1" w:rsidRPr="00710A4E" w:rsidRDefault="00E738B1" w:rsidP="00710A4E">
      <w:pPr>
        <w:rPr>
          <w:i/>
          <w:szCs w:val="22"/>
        </w:rPr>
      </w:pPr>
    </w:p>
    <w:p w:rsidR="002C2775" w:rsidRPr="007559AB" w:rsidRDefault="007559AB" w:rsidP="00490F0E">
      <w:pPr>
        <w:pStyle w:val="ListParagraph"/>
        <w:numPr>
          <w:ilvl w:val="1"/>
          <w:numId w:val="2"/>
        </w:numPr>
        <w:rPr>
          <w:i/>
          <w:szCs w:val="22"/>
        </w:rPr>
      </w:pPr>
      <w:r w:rsidRPr="007559AB">
        <w:rPr>
          <w:szCs w:val="22"/>
        </w:rPr>
        <w:t>The table below presents the indirect comp</w:t>
      </w:r>
      <w:r w:rsidR="00F954DA">
        <w:rPr>
          <w:szCs w:val="22"/>
        </w:rPr>
        <w:t>arison of canakinumab and tocili</w:t>
      </w:r>
      <w:r w:rsidRPr="007559AB">
        <w:rPr>
          <w:szCs w:val="22"/>
        </w:rPr>
        <w:t>zumab</w:t>
      </w:r>
      <w:r w:rsidR="00840D4D">
        <w:rPr>
          <w:szCs w:val="22"/>
        </w:rPr>
        <w:t xml:space="preserve"> in treatment naïve patients</w:t>
      </w:r>
      <w:r w:rsidR="00434EF0">
        <w:rPr>
          <w:szCs w:val="22"/>
        </w:rPr>
        <w:t>,</w:t>
      </w:r>
      <w:r w:rsidRPr="007559AB">
        <w:rPr>
          <w:szCs w:val="22"/>
        </w:rPr>
        <w:t xml:space="preserve"> using placebo as </w:t>
      </w:r>
      <w:r w:rsidR="004D095B">
        <w:rPr>
          <w:szCs w:val="22"/>
        </w:rPr>
        <w:t xml:space="preserve">a </w:t>
      </w:r>
      <w:r w:rsidRPr="007559AB">
        <w:rPr>
          <w:szCs w:val="22"/>
        </w:rPr>
        <w:t>common reference</w:t>
      </w:r>
      <w:r w:rsidR="00434EF0">
        <w:rPr>
          <w:szCs w:val="22"/>
        </w:rPr>
        <w:t>,</w:t>
      </w:r>
      <w:r w:rsidRPr="007559AB">
        <w:rPr>
          <w:szCs w:val="22"/>
        </w:rPr>
        <w:t xml:space="preserve"> </w:t>
      </w:r>
      <w:r w:rsidR="00314938">
        <w:rPr>
          <w:szCs w:val="22"/>
        </w:rPr>
        <w:t>for</w:t>
      </w:r>
      <w:r w:rsidRPr="007559AB">
        <w:rPr>
          <w:szCs w:val="22"/>
        </w:rPr>
        <w:t xml:space="preserve"> </w:t>
      </w:r>
      <w:r w:rsidR="00BB3B2B">
        <w:rPr>
          <w:szCs w:val="22"/>
        </w:rPr>
        <w:t xml:space="preserve">the </w:t>
      </w:r>
      <w:r w:rsidRPr="007559AB">
        <w:rPr>
          <w:szCs w:val="22"/>
        </w:rPr>
        <w:t>proportion of patients who achieved an ACR Pedi 30 response</w:t>
      </w:r>
      <w:r w:rsidR="00434EF0">
        <w:rPr>
          <w:szCs w:val="22"/>
        </w:rPr>
        <w:t>. This analysis</w:t>
      </w:r>
      <w:r w:rsidR="00314938">
        <w:rPr>
          <w:szCs w:val="22"/>
        </w:rPr>
        <w:t xml:space="preserve"> was conducted during the evaluation</w:t>
      </w:r>
      <w:r w:rsidR="007F1017" w:rsidRPr="00B50DB8">
        <w:rPr>
          <w:color w:val="3366FF"/>
          <w:szCs w:val="22"/>
        </w:rPr>
        <w:t>.</w:t>
      </w:r>
      <w:r>
        <w:rPr>
          <w:color w:val="3366FF"/>
          <w:szCs w:val="22"/>
        </w:rPr>
        <w:t xml:space="preserve"> </w:t>
      </w:r>
      <w:r w:rsidR="00314938" w:rsidRPr="002F32DE">
        <w:rPr>
          <w:szCs w:val="22"/>
        </w:rPr>
        <w:t>T</w:t>
      </w:r>
      <w:r w:rsidRPr="002F32DE">
        <w:rPr>
          <w:szCs w:val="22"/>
        </w:rPr>
        <w:t xml:space="preserve">he </w:t>
      </w:r>
      <w:r w:rsidR="00C5793C">
        <w:rPr>
          <w:szCs w:val="22"/>
        </w:rPr>
        <w:t xml:space="preserve">evaluation advised that the </w:t>
      </w:r>
      <w:r w:rsidRPr="002F32DE">
        <w:rPr>
          <w:szCs w:val="22"/>
        </w:rPr>
        <w:t>large time difference between the observations points in the two trials (15 days in 2305 canakinumab trial vs 12</w:t>
      </w:r>
      <w:r w:rsidR="00C5793C">
        <w:rPr>
          <w:szCs w:val="22"/>
        </w:rPr>
        <w:t> </w:t>
      </w:r>
      <w:r w:rsidRPr="002F32DE">
        <w:rPr>
          <w:szCs w:val="22"/>
        </w:rPr>
        <w:t>weeks in tocilizumab trial) ma</w:t>
      </w:r>
      <w:r w:rsidR="007A097D">
        <w:rPr>
          <w:szCs w:val="22"/>
        </w:rPr>
        <w:t>d</w:t>
      </w:r>
      <w:r w:rsidRPr="002F32DE">
        <w:rPr>
          <w:szCs w:val="22"/>
        </w:rPr>
        <w:t xml:space="preserve">e the outcomes </w:t>
      </w:r>
      <w:r w:rsidR="00C5793C">
        <w:rPr>
          <w:szCs w:val="22"/>
        </w:rPr>
        <w:t>difficult to</w:t>
      </w:r>
      <w:r w:rsidR="00C5793C" w:rsidRPr="002F32DE">
        <w:rPr>
          <w:szCs w:val="22"/>
        </w:rPr>
        <w:t xml:space="preserve"> </w:t>
      </w:r>
      <w:r w:rsidRPr="002F32DE">
        <w:rPr>
          <w:szCs w:val="22"/>
        </w:rPr>
        <w:t>compar</w:t>
      </w:r>
      <w:r w:rsidR="00C5793C">
        <w:rPr>
          <w:szCs w:val="22"/>
        </w:rPr>
        <w:t>e</w:t>
      </w:r>
      <w:r w:rsidRPr="002F32DE">
        <w:rPr>
          <w:szCs w:val="22"/>
        </w:rPr>
        <w:t xml:space="preserve"> because it </w:t>
      </w:r>
      <w:r w:rsidR="00C5793C">
        <w:rPr>
          <w:szCs w:val="22"/>
        </w:rPr>
        <w:t>wa</w:t>
      </w:r>
      <w:r w:rsidRPr="002F32DE">
        <w:rPr>
          <w:szCs w:val="22"/>
        </w:rPr>
        <w:t>s not possible to determine if the response in the canakinumab trial is maintained at 12</w:t>
      </w:r>
      <w:r w:rsidR="00C5793C">
        <w:rPr>
          <w:szCs w:val="22"/>
        </w:rPr>
        <w:t> </w:t>
      </w:r>
      <w:r w:rsidRPr="002F32DE">
        <w:rPr>
          <w:szCs w:val="22"/>
        </w:rPr>
        <w:t>weeks</w:t>
      </w:r>
      <w:r w:rsidRPr="007559AB">
        <w:rPr>
          <w:i/>
          <w:szCs w:val="22"/>
        </w:rPr>
        <w:t>.</w:t>
      </w:r>
    </w:p>
    <w:p w:rsidR="007F1017" w:rsidRDefault="007F1017" w:rsidP="007F1017">
      <w:pPr>
        <w:rPr>
          <w:szCs w:val="22"/>
        </w:rPr>
      </w:pPr>
    </w:p>
    <w:p w:rsidR="007559AB" w:rsidRDefault="007559AB" w:rsidP="000F515C">
      <w:pPr>
        <w:keepNext/>
        <w:keepLines/>
        <w:ind w:left="709"/>
        <w:rPr>
          <w:rStyle w:val="CommentReference"/>
        </w:rPr>
      </w:pPr>
      <w:r>
        <w:rPr>
          <w:rStyle w:val="CommentReference"/>
        </w:rPr>
        <w:t>R</w:t>
      </w:r>
      <w:r w:rsidRPr="00CA7B09">
        <w:rPr>
          <w:rStyle w:val="CommentReference"/>
        </w:rPr>
        <w:t>esults of the indirect comparison</w:t>
      </w:r>
      <w:r>
        <w:rPr>
          <w:rStyle w:val="CommentReference"/>
        </w:rPr>
        <w:t xml:space="preserve"> proportion of JIA ACR Pedi 30 responders</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70"/>
        <w:gridCol w:w="1161"/>
        <w:gridCol w:w="749"/>
        <w:gridCol w:w="1162"/>
        <w:gridCol w:w="1159"/>
        <w:gridCol w:w="937"/>
        <w:gridCol w:w="1162"/>
        <w:gridCol w:w="963"/>
      </w:tblGrid>
      <w:tr w:rsidR="007559AB" w:rsidRPr="004E2ADC" w:rsidTr="001D027F">
        <w:tc>
          <w:tcPr>
            <w:tcW w:w="639" w:type="pct"/>
            <w:vMerge w:val="restart"/>
            <w:tcBorders>
              <w:top w:val="single" w:sz="4" w:space="0" w:color="auto"/>
              <w:left w:val="single" w:sz="4" w:space="0" w:color="auto"/>
              <w:bottom w:val="single" w:sz="4" w:space="0" w:color="auto"/>
              <w:right w:val="single" w:sz="4" w:space="0" w:color="auto"/>
            </w:tcBorders>
            <w:tcMar>
              <w:right w:w="28" w:type="dxa"/>
            </w:tcMar>
            <w:vAlign w:val="center"/>
          </w:tcPr>
          <w:p w:rsidR="007559AB" w:rsidRPr="004E2ADC" w:rsidRDefault="007559AB" w:rsidP="00655920">
            <w:pPr>
              <w:pStyle w:val="TableHeading"/>
              <w:keepLines/>
              <w:spacing w:before="0" w:after="0"/>
              <w:rPr>
                <w:rFonts w:cs="Arial"/>
              </w:rPr>
            </w:pPr>
            <w:r w:rsidRPr="004E2ADC">
              <w:rPr>
                <w:rFonts w:cs="Arial"/>
              </w:rPr>
              <w:t>Trial ID</w:t>
            </w:r>
          </w:p>
        </w:tc>
        <w:tc>
          <w:tcPr>
            <w:tcW w:w="1837" w:type="pct"/>
            <w:gridSpan w:val="3"/>
            <w:tcBorders>
              <w:top w:val="single" w:sz="4" w:space="0" w:color="auto"/>
              <w:left w:val="nil"/>
              <w:bottom w:val="single" w:sz="4" w:space="0" w:color="auto"/>
              <w:right w:val="double" w:sz="4" w:space="0" w:color="auto"/>
            </w:tcBorders>
            <w:vAlign w:val="center"/>
          </w:tcPr>
          <w:p w:rsidR="007559AB" w:rsidRPr="00C346AC" w:rsidRDefault="007559AB" w:rsidP="00594B5E">
            <w:pPr>
              <w:keepNext/>
              <w:keepLines/>
              <w:jc w:val="center"/>
              <w:rPr>
                <w:rFonts w:ascii="Arial Narrow" w:hAnsi="Arial Narrow"/>
                <w:b/>
                <w:sz w:val="20"/>
              </w:rPr>
            </w:pPr>
            <w:r w:rsidRPr="001073CF">
              <w:rPr>
                <w:rFonts w:ascii="Arial Narrow" w:eastAsia="SimSun" w:hAnsi="Arial Narrow" w:cs="Times New Roman"/>
                <w:b/>
                <w:snapToGrid/>
                <w:sz w:val="20"/>
              </w:rPr>
              <w:t>Canakinumab</w:t>
            </w:r>
            <w:r>
              <w:rPr>
                <w:rFonts w:ascii="Arial Narrow" w:eastAsia="SimSun" w:hAnsi="Arial Narrow" w:cs="Times New Roman"/>
                <w:b/>
                <w:snapToGrid/>
                <w:sz w:val="20"/>
              </w:rPr>
              <w:t xml:space="preserve"> </w:t>
            </w:r>
            <w:r w:rsidRPr="00C346AC">
              <w:rPr>
                <w:rFonts w:ascii="Arial Narrow" w:eastAsia="SimSun" w:hAnsi="Arial Narrow" w:cs="Times New Roman"/>
                <w:b/>
                <w:snapToGrid/>
                <w:sz w:val="20"/>
              </w:rPr>
              <w:t xml:space="preserve">2305 </w:t>
            </w:r>
          </w:p>
        </w:tc>
        <w:tc>
          <w:tcPr>
            <w:tcW w:w="1948" w:type="pct"/>
            <w:gridSpan w:val="3"/>
            <w:tcBorders>
              <w:top w:val="single" w:sz="4" w:space="0" w:color="auto"/>
              <w:left w:val="nil"/>
              <w:bottom w:val="single" w:sz="4" w:space="0" w:color="auto"/>
              <w:right w:val="single" w:sz="4" w:space="0" w:color="auto"/>
            </w:tcBorders>
            <w:vAlign w:val="center"/>
          </w:tcPr>
          <w:p w:rsidR="007559AB" w:rsidRPr="004E2ADC" w:rsidRDefault="007559AB" w:rsidP="00655920">
            <w:pPr>
              <w:pStyle w:val="TableHeading"/>
              <w:keepLines/>
              <w:spacing w:before="0" w:after="0"/>
              <w:jc w:val="center"/>
              <w:rPr>
                <w:rFonts w:cs="Arial"/>
              </w:rPr>
            </w:pPr>
            <w:r w:rsidRPr="00C346AC">
              <w:rPr>
                <w:rFonts w:cs="Arial"/>
              </w:rPr>
              <w:t>Tocilizumab</w:t>
            </w:r>
            <w:r>
              <w:rPr>
                <w:rFonts w:cs="Arial"/>
              </w:rPr>
              <w:t xml:space="preserve"> </w:t>
            </w:r>
            <w:r>
              <w:rPr>
                <w:rFonts w:eastAsia="SimSun" w:cs="Times New Roman"/>
              </w:rPr>
              <w:t>(</w:t>
            </w:r>
            <w:r w:rsidRPr="005B0E70">
              <w:rPr>
                <w:rFonts w:eastAsia="SimSun" w:cs="Times New Roman"/>
              </w:rPr>
              <w:t>De Benedetti 2012</w:t>
            </w:r>
            <w:r>
              <w:rPr>
                <w:rFonts w:eastAsia="SimSun" w:cs="Times New Roman"/>
              </w:rPr>
              <w:t>)</w:t>
            </w:r>
          </w:p>
        </w:tc>
        <w:tc>
          <w:tcPr>
            <w:tcW w:w="576" w:type="pct"/>
            <w:vMerge w:val="restart"/>
            <w:tcBorders>
              <w:top w:val="single" w:sz="4" w:space="0" w:color="auto"/>
              <w:left w:val="single" w:sz="4" w:space="0" w:color="auto"/>
              <w:bottom w:val="single" w:sz="4" w:space="0" w:color="auto"/>
              <w:right w:val="single" w:sz="4" w:space="0" w:color="auto"/>
            </w:tcBorders>
            <w:vAlign w:val="center"/>
          </w:tcPr>
          <w:p w:rsidR="007559AB" w:rsidRPr="004E2ADC" w:rsidRDefault="007559AB" w:rsidP="00655920">
            <w:pPr>
              <w:pStyle w:val="TableHeading"/>
              <w:keepLines/>
              <w:spacing w:before="0" w:after="0"/>
              <w:jc w:val="center"/>
              <w:rPr>
                <w:rFonts w:cs="Arial"/>
              </w:rPr>
            </w:pPr>
            <w:r w:rsidRPr="004E2ADC">
              <w:rPr>
                <w:rFonts w:cs="Arial"/>
                <w:b w:val="0"/>
                <w:bCs w:val="0"/>
              </w:rPr>
              <w:br/>
            </w:r>
            <w:r w:rsidRPr="004E2ADC">
              <w:rPr>
                <w:rFonts w:cs="Arial"/>
              </w:rPr>
              <w:t>Indirect RR</w:t>
            </w:r>
            <w:r w:rsidRPr="004E2ADC">
              <w:rPr>
                <w:rFonts w:cs="Arial"/>
              </w:rPr>
              <w:br/>
              <w:t>(95% CI)</w:t>
            </w:r>
          </w:p>
        </w:tc>
      </w:tr>
      <w:tr w:rsidR="000F515C" w:rsidRPr="004E2ADC" w:rsidTr="001D027F">
        <w:tc>
          <w:tcPr>
            <w:tcW w:w="639" w:type="pct"/>
            <w:vMerge/>
            <w:tcBorders>
              <w:top w:val="single" w:sz="4" w:space="0" w:color="auto"/>
              <w:left w:val="single" w:sz="4" w:space="0" w:color="auto"/>
              <w:bottom w:val="single" w:sz="4" w:space="0" w:color="auto"/>
              <w:right w:val="single" w:sz="4" w:space="0" w:color="auto"/>
            </w:tcBorders>
            <w:tcMar>
              <w:right w:w="28" w:type="dxa"/>
            </w:tcMar>
            <w:vAlign w:val="center"/>
          </w:tcPr>
          <w:p w:rsidR="007559AB" w:rsidRPr="004E2ADC" w:rsidRDefault="007559AB" w:rsidP="00655920">
            <w:pPr>
              <w:pStyle w:val="TableText0"/>
              <w:keepLines/>
              <w:spacing w:before="0" w:after="0"/>
              <w:rPr>
                <w:rFonts w:cs="Arial"/>
              </w:rPr>
            </w:pPr>
          </w:p>
        </w:tc>
        <w:tc>
          <w:tcPr>
            <w:tcW w:w="694" w:type="pct"/>
            <w:tcBorders>
              <w:top w:val="single" w:sz="4" w:space="0" w:color="auto"/>
              <w:left w:val="single" w:sz="4" w:space="0" w:color="auto"/>
              <w:bottom w:val="single" w:sz="4" w:space="0" w:color="auto"/>
              <w:right w:val="single" w:sz="4" w:space="0" w:color="auto"/>
            </w:tcBorders>
            <w:vAlign w:val="center"/>
          </w:tcPr>
          <w:p w:rsidR="007559AB" w:rsidRPr="004E2ADC" w:rsidRDefault="007559AB" w:rsidP="00655920">
            <w:pPr>
              <w:pStyle w:val="TableHeading"/>
              <w:keepLines/>
              <w:spacing w:before="0" w:after="0"/>
              <w:jc w:val="center"/>
              <w:rPr>
                <w:rFonts w:cs="Arial"/>
              </w:rPr>
            </w:pPr>
            <w:r w:rsidRPr="004E2ADC">
              <w:rPr>
                <w:rFonts w:cs="Arial"/>
              </w:rPr>
              <w:t>Treatment effect</w:t>
            </w:r>
            <w:r w:rsidRPr="004E2ADC">
              <w:rPr>
                <w:rFonts w:cs="Arial"/>
                <w:vertAlign w:val="superscript"/>
              </w:rPr>
              <w:br/>
            </w:r>
            <w:r w:rsidRPr="004E2ADC">
              <w:rPr>
                <w:rFonts w:cs="Arial"/>
              </w:rPr>
              <w:t>RR</w:t>
            </w:r>
            <w:r w:rsidRPr="004E2ADC">
              <w:rPr>
                <w:rFonts w:cs="Arial"/>
              </w:rPr>
              <w:br/>
              <w:t>(95% CI)</w:t>
            </w:r>
          </w:p>
        </w:tc>
        <w:tc>
          <w:tcPr>
            <w:tcW w:w="448" w:type="pct"/>
            <w:tcBorders>
              <w:top w:val="single" w:sz="4" w:space="0" w:color="auto"/>
              <w:left w:val="single" w:sz="4" w:space="0" w:color="auto"/>
              <w:bottom w:val="single" w:sz="4" w:space="0" w:color="auto"/>
              <w:right w:val="single" w:sz="4" w:space="0" w:color="auto"/>
            </w:tcBorders>
            <w:vAlign w:val="center"/>
          </w:tcPr>
          <w:p w:rsidR="007559AB" w:rsidRPr="004E2ADC" w:rsidRDefault="007559AB" w:rsidP="000F515C">
            <w:pPr>
              <w:pStyle w:val="TableHeading"/>
              <w:keepLines/>
              <w:spacing w:before="0" w:after="0"/>
              <w:jc w:val="center"/>
              <w:rPr>
                <w:rFonts w:cs="Arial"/>
              </w:rPr>
            </w:pPr>
            <w:r w:rsidRPr="00C346AC">
              <w:rPr>
                <w:rFonts w:eastAsia="SimSun" w:cs="Times New Roman"/>
              </w:rPr>
              <w:t>Canak</w:t>
            </w:r>
            <w:r w:rsidR="000F515C">
              <w:rPr>
                <w:rFonts w:eastAsia="SimSun" w:cs="Times New Roman"/>
              </w:rPr>
              <w:t>’</w:t>
            </w:r>
            <w:r w:rsidRPr="00C346AC">
              <w:rPr>
                <w:rFonts w:eastAsia="SimSun" w:cs="Times New Roman"/>
              </w:rPr>
              <w:t>b</w:t>
            </w:r>
            <w:r w:rsidRPr="004E2ADC">
              <w:rPr>
                <w:rFonts w:cs="Arial"/>
              </w:rPr>
              <w:br/>
            </w:r>
            <w:r w:rsidRPr="004E2ADC">
              <w:rPr>
                <w:rFonts w:cs="Arial"/>
                <w:i/>
                <w:iCs/>
              </w:rPr>
              <w:t>n</w:t>
            </w:r>
            <w:r w:rsidRPr="004E2ADC">
              <w:rPr>
                <w:rFonts w:cs="Arial"/>
              </w:rPr>
              <w:t xml:space="preserve"> with event/</w:t>
            </w:r>
            <w:r w:rsidRPr="004E2ADC">
              <w:rPr>
                <w:rFonts w:cs="Arial"/>
                <w:i/>
                <w:iCs/>
              </w:rPr>
              <w:t>N</w:t>
            </w:r>
            <w:r w:rsidRPr="004E2ADC">
              <w:rPr>
                <w:rFonts w:cs="Arial"/>
              </w:rPr>
              <w:t xml:space="preserve"> (%)</w:t>
            </w:r>
          </w:p>
        </w:tc>
        <w:tc>
          <w:tcPr>
            <w:tcW w:w="694" w:type="pct"/>
            <w:tcBorders>
              <w:top w:val="single" w:sz="4" w:space="0" w:color="auto"/>
              <w:left w:val="single" w:sz="4" w:space="0" w:color="auto"/>
              <w:bottom w:val="single" w:sz="4" w:space="0" w:color="auto"/>
              <w:right w:val="double" w:sz="4" w:space="0" w:color="auto"/>
            </w:tcBorders>
            <w:vAlign w:val="center"/>
          </w:tcPr>
          <w:p w:rsidR="007559AB" w:rsidRPr="004E2ADC" w:rsidRDefault="007559AB" w:rsidP="00655920">
            <w:pPr>
              <w:pStyle w:val="TableHeading"/>
              <w:keepLines/>
              <w:spacing w:before="0" w:after="0"/>
              <w:jc w:val="center"/>
              <w:rPr>
                <w:rFonts w:cs="Arial"/>
              </w:rPr>
            </w:pPr>
            <w:r>
              <w:rPr>
                <w:rFonts w:cs="Arial"/>
              </w:rPr>
              <w:t>Placebo</w:t>
            </w:r>
            <w:r w:rsidRPr="004E2ADC">
              <w:rPr>
                <w:rFonts w:cs="Arial"/>
              </w:rPr>
              <w:br/>
            </w:r>
            <w:r w:rsidRPr="004E2ADC">
              <w:rPr>
                <w:rFonts w:cs="Arial"/>
                <w:i/>
                <w:iCs/>
              </w:rPr>
              <w:t>n</w:t>
            </w:r>
            <w:r w:rsidRPr="004E2ADC">
              <w:rPr>
                <w:rFonts w:cs="Arial"/>
              </w:rPr>
              <w:t xml:space="preserve"> with event/</w:t>
            </w:r>
            <w:r w:rsidRPr="004E2ADC">
              <w:rPr>
                <w:rFonts w:cs="Arial"/>
                <w:i/>
                <w:iCs/>
              </w:rPr>
              <w:t>N</w:t>
            </w:r>
            <w:r w:rsidRPr="004E2ADC">
              <w:rPr>
                <w:rFonts w:cs="Arial"/>
              </w:rPr>
              <w:t xml:space="preserve"> (%)</w:t>
            </w:r>
          </w:p>
        </w:tc>
        <w:tc>
          <w:tcPr>
            <w:tcW w:w="693" w:type="pct"/>
            <w:tcBorders>
              <w:top w:val="single" w:sz="4" w:space="0" w:color="auto"/>
              <w:left w:val="double" w:sz="4" w:space="0" w:color="auto"/>
              <w:bottom w:val="single" w:sz="4" w:space="0" w:color="auto"/>
              <w:right w:val="single" w:sz="4" w:space="0" w:color="auto"/>
            </w:tcBorders>
            <w:vAlign w:val="center"/>
          </w:tcPr>
          <w:p w:rsidR="007559AB" w:rsidRDefault="007559AB" w:rsidP="00655920">
            <w:pPr>
              <w:pStyle w:val="TableHeading"/>
              <w:keepLines/>
              <w:spacing w:before="0" w:after="0"/>
              <w:jc w:val="center"/>
              <w:rPr>
                <w:rFonts w:cs="Arial"/>
              </w:rPr>
            </w:pPr>
            <w:r>
              <w:rPr>
                <w:rFonts w:cs="Arial"/>
              </w:rPr>
              <w:t>Placebo</w:t>
            </w:r>
          </w:p>
          <w:p w:rsidR="007559AB" w:rsidRPr="004E2ADC" w:rsidRDefault="007559AB" w:rsidP="00655920">
            <w:pPr>
              <w:pStyle w:val="TableHeading"/>
              <w:keepLines/>
              <w:spacing w:before="0" w:after="0"/>
              <w:jc w:val="center"/>
              <w:rPr>
                <w:rFonts w:cs="Arial"/>
              </w:rPr>
            </w:pPr>
            <w:r w:rsidRPr="004E2ADC">
              <w:rPr>
                <w:rFonts w:cs="Arial"/>
                <w:i/>
                <w:iCs/>
              </w:rPr>
              <w:t>n</w:t>
            </w:r>
            <w:r w:rsidRPr="004E2ADC">
              <w:rPr>
                <w:rFonts w:cs="Arial"/>
              </w:rPr>
              <w:t xml:space="preserve"> with event/</w:t>
            </w:r>
            <w:r w:rsidRPr="004E2ADC">
              <w:rPr>
                <w:rFonts w:cs="Arial"/>
                <w:i/>
                <w:iCs/>
              </w:rPr>
              <w:t>N</w:t>
            </w:r>
            <w:r w:rsidRPr="004E2ADC">
              <w:rPr>
                <w:rFonts w:cs="Arial"/>
              </w:rPr>
              <w:t xml:space="preserve"> (%)</w:t>
            </w:r>
          </w:p>
        </w:tc>
        <w:tc>
          <w:tcPr>
            <w:tcW w:w="560" w:type="pct"/>
            <w:tcBorders>
              <w:top w:val="single" w:sz="4" w:space="0" w:color="auto"/>
              <w:left w:val="single" w:sz="4" w:space="0" w:color="auto"/>
              <w:bottom w:val="single" w:sz="4" w:space="0" w:color="auto"/>
              <w:right w:val="single" w:sz="4" w:space="0" w:color="auto"/>
            </w:tcBorders>
            <w:vAlign w:val="center"/>
          </w:tcPr>
          <w:p w:rsidR="007559AB" w:rsidRPr="004E2ADC" w:rsidRDefault="007559AB" w:rsidP="000F515C">
            <w:pPr>
              <w:pStyle w:val="TableHeading"/>
              <w:keepLines/>
              <w:spacing w:before="0" w:after="0"/>
              <w:jc w:val="center"/>
              <w:rPr>
                <w:rFonts w:cs="Arial"/>
              </w:rPr>
            </w:pPr>
            <w:r w:rsidRPr="00C346AC">
              <w:rPr>
                <w:rFonts w:cs="Arial"/>
              </w:rPr>
              <w:t>Tocil</w:t>
            </w:r>
            <w:r w:rsidR="000F515C">
              <w:rPr>
                <w:rFonts w:cs="Arial"/>
              </w:rPr>
              <w:t>’</w:t>
            </w:r>
            <w:r w:rsidRPr="00C346AC">
              <w:rPr>
                <w:rFonts w:cs="Arial"/>
              </w:rPr>
              <w:t>b</w:t>
            </w:r>
            <w:r w:rsidRPr="004E2ADC">
              <w:rPr>
                <w:rFonts w:cs="Arial"/>
              </w:rPr>
              <w:br/>
            </w:r>
            <w:r w:rsidRPr="004E2ADC">
              <w:rPr>
                <w:rFonts w:cs="Arial"/>
                <w:i/>
                <w:iCs/>
              </w:rPr>
              <w:t>n</w:t>
            </w:r>
            <w:r w:rsidRPr="004E2ADC">
              <w:rPr>
                <w:rFonts w:cs="Arial"/>
              </w:rPr>
              <w:t xml:space="preserve"> with event/</w:t>
            </w:r>
            <w:r w:rsidRPr="004E2ADC">
              <w:rPr>
                <w:rFonts w:cs="Arial"/>
                <w:i/>
                <w:iCs/>
              </w:rPr>
              <w:t>N</w:t>
            </w:r>
            <w:r w:rsidRPr="004E2ADC">
              <w:rPr>
                <w:rFonts w:cs="Arial"/>
              </w:rPr>
              <w:t xml:space="preserve"> (%)</w:t>
            </w:r>
          </w:p>
        </w:tc>
        <w:tc>
          <w:tcPr>
            <w:tcW w:w="695" w:type="pct"/>
            <w:tcBorders>
              <w:top w:val="single" w:sz="4" w:space="0" w:color="auto"/>
              <w:left w:val="single" w:sz="4" w:space="0" w:color="auto"/>
              <w:bottom w:val="single" w:sz="4" w:space="0" w:color="auto"/>
              <w:right w:val="single" w:sz="4" w:space="0" w:color="auto"/>
            </w:tcBorders>
            <w:vAlign w:val="center"/>
          </w:tcPr>
          <w:p w:rsidR="007559AB" w:rsidRPr="004E2ADC" w:rsidRDefault="007559AB" w:rsidP="00655920">
            <w:pPr>
              <w:pStyle w:val="TableHeading"/>
              <w:keepLines/>
              <w:spacing w:before="0" w:after="0"/>
              <w:jc w:val="center"/>
              <w:rPr>
                <w:rFonts w:cs="Arial"/>
              </w:rPr>
            </w:pPr>
            <w:r w:rsidRPr="004E2ADC">
              <w:rPr>
                <w:rFonts w:cs="Arial"/>
              </w:rPr>
              <w:t>Treatment effect</w:t>
            </w:r>
            <w:r w:rsidRPr="004E2ADC">
              <w:rPr>
                <w:rFonts w:cs="Arial"/>
                <w:vertAlign w:val="superscript"/>
              </w:rPr>
              <w:br/>
            </w:r>
            <w:r w:rsidRPr="004E2ADC">
              <w:rPr>
                <w:rFonts w:cs="Arial"/>
              </w:rPr>
              <w:t>RR</w:t>
            </w:r>
            <w:r w:rsidRPr="004E2ADC">
              <w:rPr>
                <w:rFonts w:cs="Arial"/>
              </w:rPr>
              <w:br/>
              <w:t>(95% CI)</w:t>
            </w:r>
          </w:p>
        </w:tc>
        <w:tc>
          <w:tcPr>
            <w:tcW w:w="576" w:type="pct"/>
            <w:vMerge/>
            <w:tcBorders>
              <w:top w:val="single" w:sz="4" w:space="0" w:color="auto"/>
              <w:left w:val="single" w:sz="4" w:space="0" w:color="auto"/>
              <w:bottom w:val="single" w:sz="4" w:space="0" w:color="auto"/>
              <w:right w:val="single" w:sz="4" w:space="0" w:color="auto"/>
            </w:tcBorders>
            <w:vAlign w:val="center"/>
          </w:tcPr>
          <w:p w:rsidR="007559AB" w:rsidRPr="004E2ADC" w:rsidRDefault="007559AB" w:rsidP="00655920">
            <w:pPr>
              <w:pStyle w:val="TableHeading"/>
              <w:keepLines/>
              <w:spacing w:before="0" w:after="0"/>
              <w:jc w:val="center"/>
              <w:rPr>
                <w:rFonts w:cs="Arial"/>
              </w:rPr>
            </w:pPr>
          </w:p>
        </w:tc>
      </w:tr>
      <w:tr w:rsidR="000F515C" w:rsidRPr="004E2ADC" w:rsidTr="001D027F">
        <w:tc>
          <w:tcPr>
            <w:tcW w:w="639" w:type="pct"/>
            <w:tcBorders>
              <w:top w:val="single" w:sz="4" w:space="0" w:color="auto"/>
              <w:left w:val="single" w:sz="4" w:space="0" w:color="auto"/>
              <w:bottom w:val="single" w:sz="4" w:space="0" w:color="auto"/>
              <w:right w:val="single" w:sz="4" w:space="0" w:color="auto"/>
            </w:tcBorders>
            <w:tcMar>
              <w:right w:w="28" w:type="dxa"/>
            </w:tcMar>
            <w:vAlign w:val="center"/>
          </w:tcPr>
          <w:p w:rsidR="007559AB" w:rsidRDefault="007559AB" w:rsidP="00655920">
            <w:pPr>
              <w:pStyle w:val="TableText0"/>
              <w:keepLines/>
              <w:spacing w:before="0" w:after="0"/>
              <w:rPr>
                <w:rFonts w:eastAsia="SimSun" w:cs="Times New Roman"/>
              </w:rPr>
            </w:pPr>
            <w:r>
              <w:rPr>
                <w:rFonts w:eastAsia="SimSun" w:cs="Times New Roman"/>
              </w:rPr>
              <w:t>C</w:t>
            </w:r>
            <w:r w:rsidRPr="001847AC">
              <w:rPr>
                <w:rFonts w:eastAsia="SimSun" w:cs="Times New Roman"/>
              </w:rPr>
              <w:t>anakinumab</w:t>
            </w:r>
            <w:r>
              <w:rPr>
                <w:rFonts w:eastAsia="SimSun" w:cs="Times New Roman"/>
              </w:rPr>
              <w:t xml:space="preserve">  </w:t>
            </w:r>
            <w:r>
              <w:t>2305</w:t>
            </w:r>
            <w:r w:rsidRPr="001847AC">
              <w:rPr>
                <w:rFonts w:eastAsia="SimSun" w:cs="Times New Roman"/>
              </w:rPr>
              <w:t xml:space="preserve"> </w:t>
            </w:r>
            <w:r>
              <w:rPr>
                <w:rFonts w:eastAsia="SimSun" w:cs="Times New Roman"/>
              </w:rPr>
              <w:t>vs</w:t>
            </w:r>
          </w:p>
          <w:p w:rsidR="007559AB" w:rsidRPr="004E2ADC" w:rsidRDefault="007559AB" w:rsidP="00655920">
            <w:pPr>
              <w:pStyle w:val="TableText0"/>
              <w:keepLines/>
              <w:spacing w:before="0" w:after="0"/>
              <w:rPr>
                <w:rFonts w:cs="Arial"/>
              </w:rPr>
            </w:pPr>
            <w:r w:rsidRPr="0027675D">
              <w:rPr>
                <w:rFonts w:cs="Arial"/>
              </w:rPr>
              <w:t>Tocilizumab (De Benedetti 2012)</w:t>
            </w:r>
          </w:p>
        </w:tc>
        <w:tc>
          <w:tcPr>
            <w:tcW w:w="694" w:type="pct"/>
            <w:tcBorders>
              <w:top w:val="single" w:sz="4" w:space="0" w:color="auto"/>
              <w:left w:val="single" w:sz="4" w:space="0" w:color="auto"/>
              <w:bottom w:val="single" w:sz="4" w:space="0" w:color="auto"/>
              <w:right w:val="single" w:sz="4" w:space="0" w:color="auto"/>
            </w:tcBorders>
            <w:vAlign w:val="center"/>
          </w:tcPr>
          <w:p w:rsidR="007559AB" w:rsidRPr="00314938" w:rsidRDefault="007559AB" w:rsidP="00655920">
            <w:pPr>
              <w:keepNext/>
              <w:keepLines/>
              <w:jc w:val="center"/>
              <w:rPr>
                <w:rFonts w:ascii="Arial Narrow" w:hAnsi="Arial Narrow"/>
                <w:i/>
                <w:sz w:val="20"/>
              </w:rPr>
            </w:pPr>
            <w:r w:rsidRPr="00314938">
              <w:rPr>
                <w:rFonts w:ascii="Arial Narrow" w:hAnsi="Arial Narrow"/>
                <w:i/>
                <w:sz w:val="20"/>
              </w:rPr>
              <w:t>8.58</w:t>
            </w:r>
          </w:p>
          <w:p w:rsidR="007559AB" w:rsidRPr="00314938" w:rsidRDefault="007559AB" w:rsidP="00655920">
            <w:pPr>
              <w:pStyle w:val="TableText0"/>
              <w:keepLines/>
              <w:spacing w:before="0" w:after="0"/>
              <w:jc w:val="center"/>
              <w:rPr>
                <w:rFonts w:cs="Arial"/>
                <w:i/>
              </w:rPr>
            </w:pPr>
            <w:r w:rsidRPr="00314938">
              <w:rPr>
                <w:i/>
              </w:rPr>
              <w:t>(3.35-21.97)</w:t>
            </w:r>
          </w:p>
        </w:tc>
        <w:tc>
          <w:tcPr>
            <w:tcW w:w="448" w:type="pct"/>
            <w:tcBorders>
              <w:top w:val="single" w:sz="4" w:space="0" w:color="auto"/>
              <w:left w:val="single" w:sz="4" w:space="0" w:color="auto"/>
              <w:bottom w:val="single" w:sz="4" w:space="0" w:color="auto"/>
              <w:right w:val="single" w:sz="4" w:space="0" w:color="auto"/>
            </w:tcBorders>
            <w:vAlign w:val="center"/>
          </w:tcPr>
          <w:p w:rsidR="007559AB" w:rsidRPr="00314938" w:rsidRDefault="007559AB" w:rsidP="00655920">
            <w:pPr>
              <w:pStyle w:val="TableText0"/>
              <w:keepLines/>
              <w:spacing w:before="0" w:after="0"/>
              <w:jc w:val="center"/>
              <w:rPr>
                <w:rFonts w:cs="Arial"/>
                <w:i/>
              </w:rPr>
            </w:pPr>
            <w:r w:rsidRPr="00314938">
              <w:rPr>
                <w:i/>
              </w:rPr>
              <w:t>36/43 (83.7)*</w:t>
            </w:r>
          </w:p>
        </w:tc>
        <w:tc>
          <w:tcPr>
            <w:tcW w:w="694" w:type="pct"/>
            <w:tcBorders>
              <w:top w:val="single" w:sz="4" w:space="0" w:color="auto"/>
              <w:left w:val="single" w:sz="4" w:space="0" w:color="auto"/>
              <w:bottom w:val="single" w:sz="4" w:space="0" w:color="auto"/>
              <w:right w:val="double" w:sz="4" w:space="0" w:color="auto"/>
            </w:tcBorders>
            <w:vAlign w:val="center"/>
          </w:tcPr>
          <w:p w:rsidR="007559AB" w:rsidRPr="00314938" w:rsidRDefault="007559AB" w:rsidP="00655920">
            <w:pPr>
              <w:pStyle w:val="TableText0"/>
              <w:keepLines/>
              <w:spacing w:before="0" w:after="0"/>
              <w:jc w:val="center"/>
              <w:rPr>
                <w:rFonts w:cs="Arial"/>
                <w:i/>
              </w:rPr>
            </w:pPr>
            <w:r w:rsidRPr="00314938">
              <w:rPr>
                <w:i/>
              </w:rPr>
              <w:t>4/41 (9.8)*</w:t>
            </w:r>
          </w:p>
        </w:tc>
        <w:tc>
          <w:tcPr>
            <w:tcW w:w="693" w:type="pct"/>
            <w:tcBorders>
              <w:top w:val="single" w:sz="4" w:space="0" w:color="auto"/>
              <w:left w:val="double" w:sz="4" w:space="0" w:color="auto"/>
              <w:bottom w:val="single" w:sz="4" w:space="0" w:color="auto"/>
              <w:right w:val="single" w:sz="4" w:space="0" w:color="auto"/>
            </w:tcBorders>
            <w:vAlign w:val="center"/>
          </w:tcPr>
          <w:p w:rsidR="007559AB" w:rsidRPr="00314938" w:rsidRDefault="007559AB" w:rsidP="00655920">
            <w:pPr>
              <w:pStyle w:val="TableText0"/>
              <w:keepLines/>
              <w:spacing w:before="0" w:after="0"/>
              <w:jc w:val="center"/>
              <w:rPr>
                <w:rFonts w:cs="Arial"/>
                <w:i/>
              </w:rPr>
            </w:pPr>
            <w:r w:rsidRPr="00314938">
              <w:rPr>
                <w:i/>
              </w:rPr>
              <w:t>9/37 (24)</w:t>
            </w:r>
            <w:r w:rsidRPr="00314938">
              <w:rPr>
                <w:rFonts w:ascii="Calibri" w:hAnsi="Calibri"/>
                <w:i/>
                <w:vertAlign w:val="superscript"/>
              </w:rPr>
              <w:t>†</w:t>
            </w:r>
          </w:p>
        </w:tc>
        <w:tc>
          <w:tcPr>
            <w:tcW w:w="560" w:type="pct"/>
            <w:tcBorders>
              <w:top w:val="single" w:sz="4" w:space="0" w:color="auto"/>
              <w:left w:val="single" w:sz="4" w:space="0" w:color="auto"/>
              <w:bottom w:val="single" w:sz="4" w:space="0" w:color="auto"/>
              <w:right w:val="single" w:sz="4" w:space="0" w:color="auto"/>
            </w:tcBorders>
            <w:vAlign w:val="center"/>
          </w:tcPr>
          <w:p w:rsidR="007559AB" w:rsidRPr="00314938" w:rsidRDefault="007559AB" w:rsidP="00655920">
            <w:pPr>
              <w:pStyle w:val="TableText0"/>
              <w:keepLines/>
              <w:spacing w:before="0" w:after="0"/>
              <w:jc w:val="center"/>
              <w:rPr>
                <w:rFonts w:cs="Arial"/>
                <w:i/>
              </w:rPr>
            </w:pPr>
            <w:r w:rsidRPr="00314938">
              <w:rPr>
                <w:i/>
              </w:rPr>
              <w:t>64/75 (85)</w:t>
            </w:r>
            <w:r w:rsidRPr="00314938">
              <w:rPr>
                <w:rFonts w:ascii="Calibri" w:hAnsi="Calibri"/>
                <w:i/>
                <w:vertAlign w:val="superscript"/>
              </w:rPr>
              <w:t>†</w:t>
            </w:r>
          </w:p>
        </w:tc>
        <w:tc>
          <w:tcPr>
            <w:tcW w:w="695" w:type="pct"/>
            <w:tcBorders>
              <w:top w:val="single" w:sz="4" w:space="0" w:color="auto"/>
              <w:left w:val="single" w:sz="4" w:space="0" w:color="auto"/>
              <w:bottom w:val="single" w:sz="4" w:space="0" w:color="auto"/>
              <w:right w:val="single" w:sz="4" w:space="0" w:color="auto"/>
            </w:tcBorders>
            <w:vAlign w:val="center"/>
          </w:tcPr>
          <w:p w:rsidR="007559AB" w:rsidRPr="00314938" w:rsidRDefault="007559AB" w:rsidP="00655920">
            <w:pPr>
              <w:keepNext/>
              <w:keepLines/>
              <w:jc w:val="center"/>
              <w:rPr>
                <w:rFonts w:ascii="Arial Narrow" w:hAnsi="Arial Narrow"/>
                <w:i/>
                <w:sz w:val="20"/>
              </w:rPr>
            </w:pPr>
            <w:r w:rsidRPr="00314938">
              <w:rPr>
                <w:rFonts w:ascii="Arial Narrow" w:hAnsi="Arial Narrow"/>
                <w:i/>
                <w:sz w:val="20"/>
              </w:rPr>
              <w:t>3.50</w:t>
            </w:r>
          </w:p>
          <w:p w:rsidR="007559AB" w:rsidRPr="00314938" w:rsidRDefault="007559AB" w:rsidP="00655920">
            <w:pPr>
              <w:pStyle w:val="TableText0"/>
              <w:keepLines/>
              <w:spacing w:before="0" w:after="0"/>
              <w:jc w:val="center"/>
              <w:rPr>
                <w:rFonts w:cs="Arial"/>
                <w:i/>
              </w:rPr>
            </w:pPr>
            <w:r w:rsidRPr="00314938">
              <w:rPr>
                <w:i/>
              </w:rPr>
              <w:t>(1.97-6.24)</w:t>
            </w:r>
          </w:p>
        </w:tc>
        <w:tc>
          <w:tcPr>
            <w:tcW w:w="576" w:type="pct"/>
            <w:tcBorders>
              <w:top w:val="single" w:sz="4" w:space="0" w:color="auto"/>
              <w:left w:val="single" w:sz="4" w:space="0" w:color="auto"/>
              <w:bottom w:val="single" w:sz="4" w:space="0" w:color="auto"/>
              <w:right w:val="single" w:sz="4" w:space="0" w:color="auto"/>
            </w:tcBorders>
            <w:vAlign w:val="center"/>
          </w:tcPr>
          <w:p w:rsidR="007559AB" w:rsidRPr="00314938" w:rsidRDefault="007559AB" w:rsidP="00655920">
            <w:pPr>
              <w:keepNext/>
              <w:keepLines/>
              <w:jc w:val="center"/>
              <w:rPr>
                <w:rFonts w:ascii="Arial Narrow" w:hAnsi="Arial Narrow"/>
                <w:i/>
                <w:sz w:val="20"/>
              </w:rPr>
            </w:pPr>
            <w:r w:rsidRPr="00314938">
              <w:rPr>
                <w:rFonts w:ascii="Arial Narrow" w:hAnsi="Arial Narrow"/>
                <w:i/>
                <w:sz w:val="20"/>
              </w:rPr>
              <w:t>2.45</w:t>
            </w:r>
          </w:p>
          <w:p w:rsidR="007559AB" w:rsidRPr="00314938" w:rsidRDefault="007559AB" w:rsidP="00655920">
            <w:pPr>
              <w:pStyle w:val="TableText0"/>
              <w:keepLines/>
              <w:spacing w:before="0" w:after="0"/>
              <w:jc w:val="center"/>
              <w:rPr>
                <w:rFonts w:cs="Arial"/>
                <w:i/>
              </w:rPr>
            </w:pPr>
            <w:r w:rsidRPr="00314938">
              <w:rPr>
                <w:i/>
              </w:rPr>
              <w:t>(0.81-7.39)</w:t>
            </w:r>
          </w:p>
        </w:tc>
      </w:tr>
    </w:tbl>
    <w:p w:rsidR="007559AB" w:rsidRDefault="007559AB" w:rsidP="000F515C">
      <w:pPr>
        <w:pStyle w:val="TableFooter"/>
        <w:keepNext/>
        <w:keepLines/>
        <w:ind w:left="709"/>
      </w:pPr>
      <w:r w:rsidRPr="00D13A3E">
        <w:t>CI = confidence interval;</w:t>
      </w:r>
      <w:r w:rsidRPr="00D13A3E">
        <w:rPr>
          <w:i/>
          <w:iCs/>
        </w:rPr>
        <w:t xml:space="preserve"> n </w:t>
      </w:r>
      <w:r w:rsidRPr="00D13A3E">
        <w:t>= number with event;</w:t>
      </w:r>
      <w:r w:rsidRPr="00D13A3E">
        <w:rPr>
          <w:i/>
          <w:iCs/>
        </w:rPr>
        <w:t xml:space="preserve"> N </w:t>
      </w:r>
      <w:r w:rsidRPr="00D13A3E">
        <w:t>= number in group; RR = relative risk</w:t>
      </w:r>
    </w:p>
    <w:p w:rsidR="007559AB" w:rsidRPr="00D13A3E" w:rsidRDefault="007559AB" w:rsidP="000F515C">
      <w:pPr>
        <w:pStyle w:val="TableFooter"/>
        <w:keepNext/>
        <w:keepLines/>
        <w:ind w:left="709"/>
      </w:pPr>
      <w:r>
        <w:t>*</w:t>
      </w:r>
      <w:r w:rsidRPr="00403BBF">
        <w:t xml:space="preserve"> ACR Pedi 30 response at Day 15.</w:t>
      </w:r>
    </w:p>
    <w:p w:rsidR="007559AB" w:rsidRDefault="007559AB" w:rsidP="000F515C">
      <w:pPr>
        <w:keepNext/>
        <w:keepLines/>
        <w:ind w:left="709"/>
        <w:rPr>
          <w:rFonts w:ascii="Arial Narrow" w:hAnsi="Arial Narrow"/>
          <w:sz w:val="18"/>
        </w:rPr>
      </w:pPr>
      <w:r w:rsidRPr="00E63F47">
        <w:rPr>
          <w:rFonts w:ascii="Calibri" w:hAnsi="Calibri"/>
          <w:sz w:val="20"/>
          <w:vertAlign w:val="superscript"/>
        </w:rPr>
        <w:t>†</w:t>
      </w:r>
      <w:r w:rsidRPr="00403BBF">
        <w:t xml:space="preserve"> </w:t>
      </w:r>
      <w:r w:rsidRPr="00817A11">
        <w:rPr>
          <w:rFonts w:ascii="Arial Narrow" w:hAnsi="Arial Narrow"/>
          <w:sz w:val="18"/>
        </w:rPr>
        <w:t xml:space="preserve">ACR Pedi 30 response at </w:t>
      </w:r>
      <w:r>
        <w:rPr>
          <w:rFonts w:ascii="Arial Narrow" w:hAnsi="Arial Narrow"/>
          <w:sz w:val="18"/>
        </w:rPr>
        <w:t>12 weeks</w:t>
      </w:r>
      <w:r w:rsidRPr="00817A11">
        <w:rPr>
          <w:rFonts w:ascii="Arial Narrow" w:hAnsi="Arial Narrow"/>
          <w:sz w:val="18"/>
        </w:rPr>
        <w:t>.</w:t>
      </w:r>
    </w:p>
    <w:p w:rsidR="007559AB" w:rsidRDefault="007559AB" w:rsidP="00B60939">
      <w:pPr>
        <w:rPr>
          <w:szCs w:val="22"/>
        </w:rPr>
      </w:pPr>
    </w:p>
    <w:p w:rsidR="00AB29BF" w:rsidRPr="007A097D" w:rsidRDefault="000D033E" w:rsidP="007A097D">
      <w:pPr>
        <w:pStyle w:val="ListParagraph"/>
        <w:numPr>
          <w:ilvl w:val="1"/>
          <w:numId w:val="2"/>
        </w:numPr>
        <w:rPr>
          <w:szCs w:val="22"/>
        </w:rPr>
      </w:pPr>
      <w:r>
        <w:rPr>
          <w:szCs w:val="22"/>
        </w:rPr>
        <w:t>The table below presents indirect comparisons of canakinumab and the secondary comparators etanercept and adalimumab</w:t>
      </w:r>
      <w:r w:rsidRPr="00974E0E">
        <w:rPr>
          <w:szCs w:val="22"/>
        </w:rPr>
        <w:t>.</w:t>
      </w:r>
      <w:r>
        <w:rPr>
          <w:szCs w:val="22"/>
        </w:rPr>
        <w:t xml:space="preserve"> The table shows the proportion of patients who had a disease flare in the population who responded to original treatment and who were randomised to treatment or placebo.</w:t>
      </w:r>
      <w:r w:rsidRPr="00974E0E">
        <w:rPr>
          <w:szCs w:val="22"/>
        </w:rPr>
        <w:t xml:space="preserve"> </w:t>
      </w:r>
    </w:p>
    <w:p w:rsidR="00BF0883" w:rsidRDefault="00BF0883" w:rsidP="000E3E63">
      <w:pPr>
        <w:keepNext/>
        <w:keepLines/>
        <w:widowControl w:val="0"/>
        <w:rPr>
          <w:rFonts w:ascii="Arial Narrow" w:hAnsi="Arial Narrow"/>
          <w:b/>
          <w:sz w:val="20"/>
          <w:szCs w:val="16"/>
        </w:rPr>
      </w:pPr>
    </w:p>
    <w:p w:rsidR="000E3E63" w:rsidRPr="00A754E0" w:rsidRDefault="000E3E63" w:rsidP="00BF0883">
      <w:pPr>
        <w:keepNext/>
        <w:keepLines/>
        <w:widowControl w:val="0"/>
        <w:ind w:left="709"/>
        <w:rPr>
          <w:rFonts w:ascii="Arial Narrow" w:hAnsi="Arial Narrow"/>
          <w:b/>
          <w:sz w:val="20"/>
          <w:szCs w:val="16"/>
        </w:rPr>
      </w:pPr>
      <w:r w:rsidRPr="00A754E0">
        <w:rPr>
          <w:rFonts w:ascii="Arial Narrow" w:hAnsi="Arial Narrow"/>
          <w:b/>
          <w:sz w:val="20"/>
          <w:szCs w:val="16"/>
        </w:rPr>
        <w:t>Results of the indirect comparison proportion of patients with flare event in the population of treatment responders</w:t>
      </w:r>
    </w:p>
    <w:tbl>
      <w:tblPr>
        <w:tblStyle w:val="TableGrid1"/>
        <w:tblW w:w="4534" w:type="pct"/>
        <w:tblInd w:w="817" w:type="dxa"/>
        <w:tblLook w:val="0000" w:firstRow="0" w:lastRow="0" w:firstColumn="0" w:lastColumn="0" w:noHBand="0" w:noVBand="0"/>
      </w:tblPr>
      <w:tblGrid>
        <w:gridCol w:w="1135"/>
        <w:gridCol w:w="1296"/>
        <w:gridCol w:w="1163"/>
        <w:gridCol w:w="1163"/>
        <w:gridCol w:w="1163"/>
        <w:gridCol w:w="1170"/>
        <w:gridCol w:w="1291"/>
      </w:tblGrid>
      <w:tr w:rsidR="000E3E63" w:rsidRPr="00A754E0" w:rsidTr="00BF0883">
        <w:tc>
          <w:tcPr>
            <w:tcW w:w="2144" w:type="pct"/>
            <w:gridSpan w:val="3"/>
          </w:tcPr>
          <w:p w:rsidR="000E3E63" w:rsidRPr="00A754E0" w:rsidRDefault="000E3E63" w:rsidP="00851FD5">
            <w:pPr>
              <w:keepNext/>
              <w:keepLines/>
              <w:widowControl w:val="0"/>
              <w:jc w:val="center"/>
              <w:rPr>
                <w:rFonts w:ascii="Arial Narrow" w:hAnsi="Arial Narrow"/>
                <w:b/>
                <w:sz w:val="20"/>
              </w:rPr>
            </w:pPr>
            <w:r w:rsidRPr="00A754E0">
              <w:rPr>
                <w:rFonts w:ascii="Arial Narrow" w:eastAsia="SimSun" w:hAnsi="Arial Narrow" w:cs="Times New Roman"/>
                <w:b/>
                <w:snapToGrid/>
                <w:sz w:val="20"/>
              </w:rPr>
              <w:t xml:space="preserve">Canakinumab 2301 </w:t>
            </w:r>
          </w:p>
        </w:tc>
        <w:tc>
          <w:tcPr>
            <w:tcW w:w="2086" w:type="pct"/>
            <w:gridSpan w:val="3"/>
          </w:tcPr>
          <w:p w:rsidR="000E3E63" w:rsidRPr="00A754E0" w:rsidRDefault="000E3E63" w:rsidP="00851FD5">
            <w:pPr>
              <w:keepNext/>
              <w:keepLines/>
              <w:jc w:val="center"/>
              <w:rPr>
                <w:rFonts w:ascii="Arial Narrow" w:hAnsi="Arial Narrow"/>
                <w:b/>
                <w:bCs/>
                <w:snapToGrid/>
                <w:sz w:val="20"/>
              </w:rPr>
            </w:pPr>
            <w:r w:rsidRPr="00A754E0">
              <w:rPr>
                <w:rFonts w:ascii="Arial Narrow" w:hAnsi="Arial Narrow"/>
                <w:b/>
                <w:bCs/>
                <w:snapToGrid/>
                <w:sz w:val="20"/>
              </w:rPr>
              <w:t>Comparator</w:t>
            </w:r>
          </w:p>
        </w:tc>
        <w:tc>
          <w:tcPr>
            <w:tcW w:w="770" w:type="pct"/>
            <w:vMerge w:val="restart"/>
          </w:tcPr>
          <w:p w:rsidR="000E3E63" w:rsidRPr="00A754E0" w:rsidRDefault="000E3E63" w:rsidP="00851FD5">
            <w:pPr>
              <w:keepNext/>
              <w:keepLines/>
              <w:jc w:val="center"/>
              <w:rPr>
                <w:rFonts w:ascii="Arial Narrow" w:hAnsi="Arial Narrow"/>
                <w:b/>
                <w:bCs/>
                <w:snapToGrid/>
                <w:sz w:val="20"/>
              </w:rPr>
            </w:pPr>
            <w:r w:rsidRPr="00A754E0">
              <w:rPr>
                <w:rFonts w:ascii="Arial Narrow" w:hAnsi="Arial Narrow"/>
                <w:snapToGrid/>
                <w:sz w:val="20"/>
              </w:rPr>
              <w:br/>
            </w:r>
            <w:r w:rsidRPr="00A754E0">
              <w:rPr>
                <w:rFonts w:ascii="Arial Narrow" w:hAnsi="Arial Narrow"/>
                <w:b/>
                <w:bCs/>
                <w:snapToGrid/>
                <w:sz w:val="20"/>
              </w:rPr>
              <w:t>Indirect RR</w:t>
            </w:r>
            <w:r w:rsidRPr="00A754E0">
              <w:rPr>
                <w:rFonts w:ascii="Arial Narrow" w:hAnsi="Arial Narrow"/>
                <w:b/>
                <w:bCs/>
                <w:snapToGrid/>
                <w:sz w:val="20"/>
              </w:rPr>
              <w:br/>
              <w:t>(95% CI)</w:t>
            </w:r>
          </w:p>
        </w:tc>
      </w:tr>
      <w:tr w:rsidR="000E3E63" w:rsidRPr="00A754E0" w:rsidTr="00BF0883">
        <w:tc>
          <w:tcPr>
            <w:tcW w:w="677" w:type="pct"/>
          </w:tcPr>
          <w:p w:rsidR="000E3E63" w:rsidRPr="00A754E0" w:rsidRDefault="000E3E63" w:rsidP="00851FD5">
            <w:pPr>
              <w:keepNext/>
              <w:keepLines/>
              <w:jc w:val="center"/>
              <w:rPr>
                <w:rFonts w:ascii="Arial Narrow" w:hAnsi="Arial Narrow"/>
                <w:b/>
                <w:bCs/>
                <w:snapToGrid/>
                <w:sz w:val="20"/>
              </w:rPr>
            </w:pPr>
            <w:r w:rsidRPr="00A754E0">
              <w:rPr>
                <w:rFonts w:ascii="Arial Narrow" w:hAnsi="Arial Narrow"/>
                <w:b/>
                <w:bCs/>
                <w:snapToGrid/>
                <w:sz w:val="20"/>
              </w:rPr>
              <w:t>Treatment effect</w:t>
            </w:r>
            <w:r w:rsidR="00BF0883">
              <w:rPr>
                <w:rFonts w:ascii="Arial Narrow" w:hAnsi="Arial Narrow"/>
                <w:b/>
                <w:bCs/>
                <w:snapToGrid/>
                <w:sz w:val="20"/>
                <w:vertAlign w:val="superscript"/>
              </w:rPr>
              <w:t xml:space="preserve"> </w:t>
            </w:r>
            <w:r w:rsidRPr="00A754E0">
              <w:rPr>
                <w:rFonts w:ascii="Arial Narrow" w:hAnsi="Arial Narrow"/>
                <w:b/>
                <w:bCs/>
                <w:snapToGrid/>
                <w:sz w:val="20"/>
              </w:rPr>
              <w:t>RR</w:t>
            </w:r>
            <w:r w:rsidRPr="00A754E0">
              <w:rPr>
                <w:rFonts w:ascii="Arial Narrow" w:hAnsi="Arial Narrow"/>
                <w:b/>
                <w:bCs/>
                <w:snapToGrid/>
                <w:sz w:val="20"/>
              </w:rPr>
              <w:br/>
              <w:t>(95% CI)</w:t>
            </w:r>
          </w:p>
        </w:tc>
        <w:tc>
          <w:tcPr>
            <w:tcW w:w="773" w:type="pct"/>
          </w:tcPr>
          <w:p w:rsidR="000E3E63" w:rsidRPr="00A754E0" w:rsidRDefault="000E3E63" w:rsidP="00851FD5">
            <w:pPr>
              <w:keepNext/>
              <w:keepLines/>
              <w:jc w:val="center"/>
              <w:rPr>
                <w:rFonts w:ascii="Arial Narrow" w:hAnsi="Arial Narrow"/>
                <w:b/>
                <w:bCs/>
                <w:snapToGrid/>
                <w:sz w:val="20"/>
              </w:rPr>
            </w:pPr>
            <w:r w:rsidRPr="00A754E0">
              <w:rPr>
                <w:rFonts w:ascii="Arial Narrow" w:eastAsia="SimSun" w:hAnsi="Arial Narrow" w:cs="Times New Roman"/>
                <w:b/>
                <w:bCs/>
                <w:snapToGrid/>
                <w:sz w:val="20"/>
              </w:rPr>
              <w:t>Canakinumab</w:t>
            </w:r>
            <w:r w:rsidRPr="00A754E0">
              <w:rPr>
                <w:rFonts w:ascii="Arial Narrow" w:hAnsi="Arial Narrow"/>
                <w:b/>
                <w:bCs/>
                <w:snapToGrid/>
                <w:sz w:val="20"/>
              </w:rPr>
              <w:br/>
            </w:r>
            <w:r w:rsidRPr="00A754E0">
              <w:rPr>
                <w:rFonts w:ascii="Arial Narrow" w:hAnsi="Arial Narrow"/>
                <w:b/>
                <w:bCs/>
                <w:i/>
                <w:iCs/>
                <w:snapToGrid/>
                <w:sz w:val="20"/>
              </w:rPr>
              <w:t>n</w:t>
            </w:r>
            <w:r w:rsidRPr="00A754E0">
              <w:rPr>
                <w:rFonts w:ascii="Arial Narrow" w:hAnsi="Arial Narrow"/>
                <w:b/>
                <w:bCs/>
                <w:snapToGrid/>
                <w:sz w:val="20"/>
              </w:rPr>
              <w:t xml:space="preserve"> with event/</w:t>
            </w:r>
            <w:r w:rsidRPr="00A754E0">
              <w:rPr>
                <w:rFonts w:ascii="Arial Narrow" w:hAnsi="Arial Narrow"/>
                <w:b/>
                <w:bCs/>
                <w:i/>
                <w:iCs/>
                <w:snapToGrid/>
                <w:sz w:val="20"/>
              </w:rPr>
              <w:t>N</w:t>
            </w:r>
            <w:r w:rsidRPr="00A754E0">
              <w:rPr>
                <w:rFonts w:ascii="Arial Narrow" w:hAnsi="Arial Narrow"/>
                <w:b/>
                <w:bCs/>
                <w:snapToGrid/>
                <w:sz w:val="20"/>
              </w:rPr>
              <w:t xml:space="preserve"> (%)</w:t>
            </w:r>
          </w:p>
        </w:tc>
        <w:tc>
          <w:tcPr>
            <w:tcW w:w="694" w:type="pct"/>
          </w:tcPr>
          <w:p w:rsidR="000E3E63" w:rsidRPr="00A754E0" w:rsidRDefault="000E3E63" w:rsidP="00851FD5">
            <w:pPr>
              <w:keepNext/>
              <w:keepLines/>
              <w:jc w:val="center"/>
              <w:rPr>
                <w:rFonts w:ascii="Arial Narrow" w:hAnsi="Arial Narrow"/>
                <w:b/>
                <w:bCs/>
                <w:snapToGrid/>
                <w:sz w:val="20"/>
              </w:rPr>
            </w:pPr>
            <w:r w:rsidRPr="00A754E0">
              <w:rPr>
                <w:rFonts w:ascii="Arial Narrow" w:hAnsi="Arial Narrow"/>
                <w:b/>
                <w:bCs/>
                <w:snapToGrid/>
                <w:sz w:val="20"/>
              </w:rPr>
              <w:t>Placebo</w:t>
            </w:r>
            <w:r w:rsidRPr="00A754E0">
              <w:rPr>
                <w:rFonts w:ascii="Arial Narrow" w:hAnsi="Arial Narrow"/>
                <w:b/>
                <w:bCs/>
                <w:snapToGrid/>
                <w:sz w:val="20"/>
              </w:rPr>
              <w:br/>
            </w:r>
            <w:r w:rsidRPr="00A754E0">
              <w:rPr>
                <w:rFonts w:ascii="Arial Narrow" w:hAnsi="Arial Narrow"/>
                <w:b/>
                <w:bCs/>
                <w:i/>
                <w:iCs/>
                <w:snapToGrid/>
                <w:sz w:val="20"/>
              </w:rPr>
              <w:t>n</w:t>
            </w:r>
            <w:r w:rsidRPr="00A754E0">
              <w:rPr>
                <w:rFonts w:ascii="Arial Narrow" w:hAnsi="Arial Narrow"/>
                <w:b/>
                <w:bCs/>
                <w:snapToGrid/>
                <w:sz w:val="20"/>
              </w:rPr>
              <w:t xml:space="preserve"> with event/</w:t>
            </w:r>
            <w:r w:rsidRPr="00A754E0">
              <w:rPr>
                <w:rFonts w:ascii="Arial Narrow" w:hAnsi="Arial Narrow"/>
                <w:b/>
                <w:bCs/>
                <w:i/>
                <w:iCs/>
                <w:snapToGrid/>
                <w:sz w:val="20"/>
              </w:rPr>
              <w:t>N</w:t>
            </w:r>
            <w:r w:rsidRPr="00A754E0">
              <w:rPr>
                <w:rFonts w:ascii="Arial Narrow" w:hAnsi="Arial Narrow"/>
                <w:b/>
                <w:bCs/>
                <w:snapToGrid/>
                <w:sz w:val="20"/>
              </w:rPr>
              <w:t xml:space="preserve"> (%)</w:t>
            </w:r>
          </w:p>
        </w:tc>
        <w:tc>
          <w:tcPr>
            <w:tcW w:w="694" w:type="pct"/>
          </w:tcPr>
          <w:p w:rsidR="000E3E63" w:rsidRPr="00A754E0" w:rsidRDefault="000E3E63" w:rsidP="00851FD5">
            <w:pPr>
              <w:keepNext/>
              <w:keepLines/>
              <w:jc w:val="center"/>
              <w:rPr>
                <w:rFonts w:ascii="Arial Narrow" w:hAnsi="Arial Narrow"/>
                <w:b/>
                <w:bCs/>
                <w:snapToGrid/>
                <w:sz w:val="20"/>
              </w:rPr>
            </w:pPr>
            <w:r w:rsidRPr="00A754E0">
              <w:rPr>
                <w:rFonts w:ascii="Arial Narrow" w:hAnsi="Arial Narrow"/>
                <w:b/>
                <w:bCs/>
                <w:snapToGrid/>
                <w:sz w:val="20"/>
              </w:rPr>
              <w:t>Placebo</w:t>
            </w:r>
          </w:p>
          <w:p w:rsidR="000E3E63" w:rsidRPr="00A754E0" w:rsidRDefault="000E3E63" w:rsidP="00851FD5">
            <w:pPr>
              <w:keepNext/>
              <w:keepLines/>
              <w:jc w:val="center"/>
              <w:rPr>
                <w:rFonts w:ascii="Arial Narrow" w:hAnsi="Arial Narrow"/>
                <w:b/>
                <w:bCs/>
                <w:snapToGrid/>
                <w:sz w:val="20"/>
              </w:rPr>
            </w:pPr>
            <w:r w:rsidRPr="00A754E0">
              <w:rPr>
                <w:rFonts w:ascii="Arial Narrow" w:hAnsi="Arial Narrow"/>
                <w:b/>
                <w:bCs/>
                <w:i/>
                <w:iCs/>
                <w:snapToGrid/>
                <w:sz w:val="20"/>
              </w:rPr>
              <w:t>n</w:t>
            </w:r>
            <w:r w:rsidRPr="00A754E0">
              <w:rPr>
                <w:rFonts w:ascii="Arial Narrow" w:hAnsi="Arial Narrow"/>
                <w:b/>
                <w:bCs/>
                <w:snapToGrid/>
                <w:sz w:val="20"/>
              </w:rPr>
              <w:t xml:space="preserve"> with event/</w:t>
            </w:r>
            <w:r w:rsidRPr="00A754E0">
              <w:rPr>
                <w:rFonts w:ascii="Arial Narrow" w:hAnsi="Arial Narrow"/>
                <w:b/>
                <w:bCs/>
                <w:i/>
                <w:iCs/>
                <w:snapToGrid/>
                <w:sz w:val="20"/>
              </w:rPr>
              <w:t>N</w:t>
            </w:r>
            <w:r w:rsidRPr="00A754E0">
              <w:rPr>
                <w:rFonts w:ascii="Arial Narrow" w:hAnsi="Arial Narrow"/>
                <w:b/>
                <w:bCs/>
                <w:snapToGrid/>
                <w:sz w:val="20"/>
              </w:rPr>
              <w:t xml:space="preserve"> (%)</w:t>
            </w:r>
          </w:p>
        </w:tc>
        <w:tc>
          <w:tcPr>
            <w:tcW w:w="694" w:type="pct"/>
          </w:tcPr>
          <w:p w:rsidR="000E3E63" w:rsidRPr="00A754E0" w:rsidRDefault="000E3E63" w:rsidP="00851FD5">
            <w:pPr>
              <w:keepNext/>
              <w:keepLines/>
              <w:jc w:val="center"/>
              <w:rPr>
                <w:rFonts w:ascii="Arial Narrow" w:hAnsi="Arial Narrow"/>
                <w:b/>
                <w:bCs/>
                <w:snapToGrid/>
                <w:sz w:val="20"/>
              </w:rPr>
            </w:pPr>
            <w:r w:rsidRPr="00A754E0">
              <w:rPr>
                <w:rFonts w:ascii="Arial Narrow" w:hAnsi="Arial Narrow"/>
                <w:b/>
                <w:bCs/>
                <w:snapToGrid/>
                <w:sz w:val="20"/>
              </w:rPr>
              <w:t>Etanercept</w:t>
            </w:r>
            <w:r w:rsidRPr="00A754E0">
              <w:rPr>
                <w:rFonts w:ascii="Arial Narrow" w:hAnsi="Arial Narrow"/>
                <w:b/>
                <w:bCs/>
                <w:snapToGrid/>
                <w:sz w:val="20"/>
              </w:rPr>
              <w:br/>
            </w:r>
            <w:r w:rsidRPr="00A754E0">
              <w:rPr>
                <w:rFonts w:ascii="Arial Narrow" w:hAnsi="Arial Narrow"/>
                <w:b/>
                <w:bCs/>
                <w:i/>
                <w:iCs/>
                <w:snapToGrid/>
                <w:sz w:val="20"/>
              </w:rPr>
              <w:t>n</w:t>
            </w:r>
            <w:r w:rsidRPr="00A754E0">
              <w:rPr>
                <w:rFonts w:ascii="Arial Narrow" w:hAnsi="Arial Narrow"/>
                <w:b/>
                <w:bCs/>
                <w:snapToGrid/>
                <w:sz w:val="20"/>
              </w:rPr>
              <w:t xml:space="preserve"> with event/</w:t>
            </w:r>
            <w:r w:rsidRPr="00A754E0">
              <w:rPr>
                <w:rFonts w:ascii="Arial Narrow" w:hAnsi="Arial Narrow"/>
                <w:b/>
                <w:bCs/>
                <w:i/>
                <w:iCs/>
                <w:snapToGrid/>
                <w:sz w:val="20"/>
              </w:rPr>
              <w:t>N</w:t>
            </w:r>
            <w:r w:rsidRPr="00A754E0">
              <w:rPr>
                <w:rFonts w:ascii="Arial Narrow" w:hAnsi="Arial Narrow"/>
                <w:b/>
                <w:bCs/>
                <w:snapToGrid/>
                <w:sz w:val="20"/>
              </w:rPr>
              <w:t xml:space="preserve"> (%)</w:t>
            </w:r>
          </w:p>
        </w:tc>
        <w:tc>
          <w:tcPr>
            <w:tcW w:w="698" w:type="pct"/>
          </w:tcPr>
          <w:p w:rsidR="000E3E63" w:rsidRPr="00A754E0" w:rsidRDefault="000E3E63" w:rsidP="00851FD5">
            <w:pPr>
              <w:keepNext/>
              <w:keepLines/>
              <w:jc w:val="center"/>
              <w:rPr>
                <w:rFonts w:ascii="Arial Narrow" w:hAnsi="Arial Narrow"/>
                <w:b/>
                <w:bCs/>
                <w:snapToGrid/>
                <w:sz w:val="20"/>
              </w:rPr>
            </w:pPr>
            <w:r w:rsidRPr="00A754E0">
              <w:rPr>
                <w:rFonts w:ascii="Arial Narrow" w:hAnsi="Arial Narrow"/>
                <w:b/>
                <w:bCs/>
                <w:snapToGrid/>
                <w:sz w:val="20"/>
              </w:rPr>
              <w:t>Treatment effect</w:t>
            </w:r>
            <w:r w:rsidR="00BF0883">
              <w:rPr>
                <w:rFonts w:ascii="Arial Narrow" w:hAnsi="Arial Narrow"/>
                <w:b/>
                <w:bCs/>
                <w:snapToGrid/>
                <w:sz w:val="20"/>
                <w:vertAlign w:val="superscript"/>
              </w:rPr>
              <w:t xml:space="preserve"> </w:t>
            </w:r>
            <w:r w:rsidRPr="00A754E0">
              <w:rPr>
                <w:rFonts w:ascii="Arial Narrow" w:hAnsi="Arial Narrow"/>
                <w:b/>
                <w:bCs/>
                <w:snapToGrid/>
                <w:sz w:val="20"/>
              </w:rPr>
              <w:t>RR</w:t>
            </w:r>
            <w:r w:rsidRPr="00A754E0">
              <w:rPr>
                <w:rFonts w:ascii="Arial Narrow" w:hAnsi="Arial Narrow"/>
                <w:b/>
                <w:bCs/>
                <w:snapToGrid/>
                <w:sz w:val="20"/>
              </w:rPr>
              <w:br/>
              <w:t>(95% CI)</w:t>
            </w:r>
          </w:p>
        </w:tc>
        <w:tc>
          <w:tcPr>
            <w:tcW w:w="770" w:type="pct"/>
            <w:vMerge/>
          </w:tcPr>
          <w:p w:rsidR="000E3E63" w:rsidRPr="00A754E0" w:rsidRDefault="000E3E63" w:rsidP="00851FD5">
            <w:pPr>
              <w:keepNext/>
              <w:keepLines/>
              <w:jc w:val="center"/>
              <w:rPr>
                <w:rFonts w:ascii="Arial Narrow" w:hAnsi="Arial Narrow"/>
                <w:b/>
                <w:bCs/>
                <w:snapToGrid/>
                <w:sz w:val="20"/>
              </w:rPr>
            </w:pPr>
          </w:p>
        </w:tc>
      </w:tr>
      <w:tr w:rsidR="000E3E63" w:rsidRPr="00A754E0" w:rsidTr="00BF0883">
        <w:tc>
          <w:tcPr>
            <w:tcW w:w="5000" w:type="pct"/>
            <w:gridSpan w:val="7"/>
          </w:tcPr>
          <w:p w:rsidR="000E3E63" w:rsidRPr="00A754E0" w:rsidRDefault="000E3E63" w:rsidP="00851FD5">
            <w:pPr>
              <w:keepNext/>
              <w:keepLines/>
              <w:jc w:val="center"/>
              <w:rPr>
                <w:rFonts w:ascii="Arial Narrow" w:hAnsi="Arial Narrow" w:cs="Arial Narrow"/>
                <w:b/>
                <w:snapToGrid/>
                <w:sz w:val="20"/>
              </w:rPr>
            </w:pPr>
            <w:r w:rsidRPr="00A754E0">
              <w:rPr>
                <w:rFonts w:ascii="Arial Narrow" w:hAnsi="Arial Narrow" w:cs="Arial Narrow"/>
                <w:b/>
                <w:snapToGrid/>
                <w:sz w:val="20"/>
              </w:rPr>
              <w:t>Canakinumab (trial 2301) vs, etanercept (Lovell 2000) - proportion with flare event</w:t>
            </w:r>
          </w:p>
        </w:tc>
      </w:tr>
      <w:tr w:rsidR="000E3E63" w:rsidRPr="00A754E0" w:rsidTr="00F43D8F">
        <w:tc>
          <w:tcPr>
            <w:tcW w:w="677" w:type="pct"/>
            <w:vAlign w:val="center"/>
          </w:tcPr>
          <w:p w:rsidR="000E3E63" w:rsidRPr="00F43D8F" w:rsidRDefault="000E3E63" w:rsidP="00851FD5">
            <w:pPr>
              <w:keepNext/>
              <w:keepLines/>
              <w:widowControl w:val="0"/>
              <w:jc w:val="center"/>
              <w:rPr>
                <w:rFonts w:ascii="Arial Narrow" w:hAnsi="Arial Narrow"/>
                <w:i/>
                <w:sz w:val="20"/>
              </w:rPr>
            </w:pPr>
            <w:r w:rsidRPr="00F43D8F">
              <w:rPr>
                <w:rFonts w:ascii="Arial Narrow" w:hAnsi="Arial Narrow"/>
                <w:i/>
                <w:sz w:val="20"/>
              </w:rPr>
              <w:t xml:space="preserve">0.42 </w:t>
            </w:r>
          </w:p>
          <w:p w:rsidR="000E3E63" w:rsidRPr="00F43D8F" w:rsidRDefault="000E3E63" w:rsidP="00851FD5">
            <w:pPr>
              <w:keepNext/>
              <w:keepLines/>
              <w:jc w:val="center"/>
              <w:rPr>
                <w:rFonts w:ascii="Arial Narrow" w:hAnsi="Arial Narrow"/>
                <w:i/>
                <w:snapToGrid/>
                <w:sz w:val="20"/>
              </w:rPr>
            </w:pPr>
            <w:r w:rsidRPr="00F43D8F">
              <w:rPr>
                <w:rFonts w:ascii="Arial Narrow" w:hAnsi="Arial Narrow" w:cs="Arial Narrow"/>
                <w:i/>
                <w:snapToGrid/>
                <w:sz w:val="20"/>
              </w:rPr>
              <w:t>(0.24-0.76)</w:t>
            </w:r>
          </w:p>
        </w:tc>
        <w:tc>
          <w:tcPr>
            <w:tcW w:w="773" w:type="pct"/>
            <w:vAlign w:val="center"/>
          </w:tcPr>
          <w:p w:rsidR="000E3E63" w:rsidRPr="00F43D8F" w:rsidRDefault="000E3E63" w:rsidP="00851FD5">
            <w:pPr>
              <w:keepNext/>
              <w:keepLines/>
              <w:jc w:val="center"/>
              <w:rPr>
                <w:rFonts w:ascii="Arial Narrow" w:hAnsi="Arial Narrow"/>
                <w:i/>
                <w:snapToGrid/>
                <w:sz w:val="20"/>
              </w:rPr>
            </w:pPr>
            <w:r w:rsidRPr="00F43D8F">
              <w:rPr>
                <w:rFonts w:ascii="Arial Narrow" w:hAnsi="Arial Narrow" w:cs="Arial Narrow"/>
                <w:i/>
                <w:snapToGrid/>
                <w:sz w:val="20"/>
              </w:rPr>
              <w:t>11/50 (22)</w:t>
            </w:r>
          </w:p>
        </w:tc>
        <w:tc>
          <w:tcPr>
            <w:tcW w:w="694" w:type="pct"/>
            <w:vAlign w:val="center"/>
          </w:tcPr>
          <w:p w:rsidR="000E3E63" w:rsidRPr="00F43D8F" w:rsidRDefault="000E3E63" w:rsidP="00851FD5">
            <w:pPr>
              <w:keepNext/>
              <w:keepLines/>
              <w:jc w:val="center"/>
              <w:rPr>
                <w:rFonts w:ascii="Arial Narrow" w:hAnsi="Arial Narrow"/>
                <w:i/>
                <w:snapToGrid/>
                <w:sz w:val="20"/>
              </w:rPr>
            </w:pPr>
            <w:r w:rsidRPr="00F43D8F">
              <w:rPr>
                <w:rFonts w:ascii="Arial Narrow" w:hAnsi="Arial Narrow" w:cs="Arial Narrow"/>
                <w:i/>
                <w:snapToGrid/>
                <w:sz w:val="20"/>
              </w:rPr>
              <w:t>26/50 (52)</w:t>
            </w:r>
          </w:p>
        </w:tc>
        <w:tc>
          <w:tcPr>
            <w:tcW w:w="694" w:type="pct"/>
            <w:vAlign w:val="center"/>
          </w:tcPr>
          <w:p w:rsidR="000E3E63" w:rsidRPr="00F43D8F" w:rsidRDefault="000E3E63" w:rsidP="00851FD5">
            <w:pPr>
              <w:keepNext/>
              <w:keepLines/>
              <w:jc w:val="center"/>
              <w:rPr>
                <w:rFonts w:ascii="Arial Narrow" w:hAnsi="Arial Narrow"/>
                <w:i/>
                <w:snapToGrid/>
                <w:sz w:val="20"/>
              </w:rPr>
            </w:pPr>
            <w:r w:rsidRPr="00F43D8F">
              <w:rPr>
                <w:rFonts w:ascii="Arial Narrow" w:hAnsi="Arial Narrow" w:cs="Arial Narrow"/>
                <w:i/>
                <w:snapToGrid/>
                <w:sz w:val="20"/>
              </w:rPr>
              <w:t>21/26 (80.8)</w:t>
            </w:r>
          </w:p>
        </w:tc>
        <w:tc>
          <w:tcPr>
            <w:tcW w:w="694" w:type="pct"/>
            <w:vAlign w:val="center"/>
          </w:tcPr>
          <w:p w:rsidR="000E3E63" w:rsidRPr="00F43D8F" w:rsidRDefault="000E3E63" w:rsidP="00851FD5">
            <w:pPr>
              <w:keepNext/>
              <w:keepLines/>
              <w:jc w:val="center"/>
              <w:rPr>
                <w:rFonts w:ascii="Arial Narrow" w:hAnsi="Arial Narrow"/>
                <w:i/>
                <w:snapToGrid/>
                <w:sz w:val="20"/>
              </w:rPr>
            </w:pPr>
            <w:r w:rsidRPr="00F43D8F">
              <w:rPr>
                <w:rFonts w:ascii="Arial Narrow" w:hAnsi="Arial Narrow" w:cs="Arial Narrow"/>
                <w:i/>
                <w:snapToGrid/>
                <w:sz w:val="20"/>
              </w:rPr>
              <w:t>7/25 (28)</w:t>
            </w:r>
          </w:p>
        </w:tc>
        <w:tc>
          <w:tcPr>
            <w:tcW w:w="698" w:type="pct"/>
            <w:vAlign w:val="center"/>
          </w:tcPr>
          <w:p w:rsidR="000E3E63" w:rsidRPr="00F43D8F" w:rsidRDefault="000E3E63" w:rsidP="00851FD5">
            <w:pPr>
              <w:keepNext/>
              <w:keepLines/>
              <w:widowControl w:val="0"/>
              <w:jc w:val="center"/>
              <w:rPr>
                <w:rFonts w:ascii="Arial Narrow" w:hAnsi="Arial Narrow"/>
                <w:i/>
                <w:sz w:val="20"/>
              </w:rPr>
            </w:pPr>
            <w:r w:rsidRPr="00F43D8F">
              <w:rPr>
                <w:rFonts w:ascii="Arial Narrow" w:hAnsi="Arial Narrow"/>
                <w:i/>
                <w:sz w:val="20"/>
              </w:rPr>
              <w:t>0.35</w:t>
            </w:r>
          </w:p>
          <w:p w:rsidR="000E3E63" w:rsidRPr="00F43D8F" w:rsidRDefault="000E3E63" w:rsidP="00851FD5">
            <w:pPr>
              <w:keepNext/>
              <w:keepLines/>
              <w:jc w:val="center"/>
              <w:rPr>
                <w:rFonts w:ascii="Arial Narrow" w:hAnsi="Arial Narrow"/>
                <w:i/>
                <w:snapToGrid/>
                <w:sz w:val="20"/>
              </w:rPr>
            </w:pPr>
            <w:r w:rsidRPr="00F43D8F">
              <w:rPr>
                <w:rFonts w:ascii="Arial Narrow" w:hAnsi="Arial Narrow" w:cs="Arial Narrow"/>
                <w:i/>
                <w:snapToGrid/>
                <w:sz w:val="20"/>
              </w:rPr>
              <w:t>(0.18-0.67)</w:t>
            </w:r>
          </w:p>
        </w:tc>
        <w:tc>
          <w:tcPr>
            <w:tcW w:w="770" w:type="pct"/>
            <w:vAlign w:val="center"/>
          </w:tcPr>
          <w:p w:rsidR="000E3E63" w:rsidRPr="00F43D8F" w:rsidRDefault="000E3E63" w:rsidP="00851FD5">
            <w:pPr>
              <w:keepNext/>
              <w:keepLines/>
              <w:jc w:val="center"/>
              <w:rPr>
                <w:rFonts w:ascii="Arial Narrow" w:hAnsi="Arial Narrow" w:cs="Arial Narrow"/>
                <w:i/>
                <w:snapToGrid/>
                <w:sz w:val="20"/>
              </w:rPr>
            </w:pPr>
            <w:r w:rsidRPr="00F43D8F">
              <w:rPr>
                <w:rFonts w:ascii="Arial Narrow" w:hAnsi="Arial Narrow" w:cs="Arial Narrow"/>
                <w:i/>
                <w:snapToGrid/>
                <w:sz w:val="20"/>
              </w:rPr>
              <w:t>1.2</w:t>
            </w:r>
          </w:p>
          <w:p w:rsidR="000E3E63" w:rsidRPr="00F43D8F" w:rsidRDefault="000E3E63" w:rsidP="00851FD5">
            <w:pPr>
              <w:keepNext/>
              <w:keepLines/>
              <w:jc w:val="center"/>
              <w:rPr>
                <w:rFonts w:ascii="Arial Narrow" w:hAnsi="Arial Narrow"/>
                <w:i/>
                <w:snapToGrid/>
                <w:sz w:val="20"/>
              </w:rPr>
            </w:pPr>
            <w:r w:rsidRPr="00F43D8F">
              <w:rPr>
                <w:rFonts w:ascii="Arial Narrow" w:hAnsi="Arial Narrow" w:cs="Arial Narrow"/>
                <w:i/>
                <w:snapToGrid/>
                <w:sz w:val="20"/>
              </w:rPr>
              <w:t xml:space="preserve"> (0.5-2.88)</w:t>
            </w:r>
          </w:p>
        </w:tc>
      </w:tr>
      <w:tr w:rsidR="000E3E63" w:rsidRPr="00A754E0" w:rsidTr="00F43D8F">
        <w:tc>
          <w:tcPr>
            <w:tcW w:w="5000" w:type="pct"/>
            <w:gridSpan w:val="7"/>
            <w:vAlign w:val="center"/>
          </w:tcPr>
          <w:p w:rsidR="000E3E63" w:rsidRPr="00A754E0" w:rsidRDefault="000E3E63" w:rsidP="00851FD5">
            <w:pPr>
              <w:keepNext/>
              <w:keepLines/>
              <w:jc w:val="center"/>
              <w:rPr>
                <w:rFonts w:ascii="Arial Narrow" w:hAnsi="Arial Narrow" w:cs="Arial Narrow"/>
                <w:b/>
                <w:snapToGrid/>
                <w:sz w:val="20"/>
              </w:rPr>
            </w:pPr>
            <w:r w:rsidRPr="00A754E0">
              <w:rPr>
                <w:rFonts w:ascii="Arial Narrow" w:hAnsi="Arial Narrow" w:cs="Arial Narrow"/>
                <w:b/>
                <w:snapToGrid/>
                <w:sz w:val="20"/>
              </w:rPr>
              <w:t>Canakinumab (trial 2301) vs adalimumab (Lovell 2008) - proportion with flare event</w:t>
            </w:r>
          </w:p>
        </w:tc>
      </w:tr>
      <w:tr w:rsidR="000E3E63" w:rsidRPr="00A754E0" w:rsidTr="00F43D8F">
        <w:tc>
          <w:tcPr>
            <w:tcW w:w="677" w:type="pct"/>
            <w:vAlign w:val="center"/>
          </w:tcPr>
          <w:p w:rsidR="000E3E63" w:rsidRPr="00F43D8F" w:rsidRDefault="000E3E63" w:rsidP="00851FD5">
            <w:pPr>
              <w:keepNext/>
              <w:keepLines/>
              <w:widowControl w:val="0"/>
              <w:jc w:val="center"/>
              <w:rPr>
                <w:rFonts w:ascii="Arial Narrow" w:hAnsi="Arial Narrow"/>
                <w:i/>
                <w:sz w:val="20"/>
              </w:rPr>
            </w:pPr>
            <w:r w:rsidRPr="00F43D8F">
              <w:rPr>
                <w:rFonts w:ascii="Arial Narrow" w:hAnsi="Arial Narrow"/>
                <w:i/>
                <w:sz w:val="20"/>
              </w:rPr>
              <w:t xml:space="preserve">0.42 </w:t>
            </w:r>
          </w:p>
          <w:p w:rsidR="000E3E63" w:rsidRPr="00F43D8F" w:rsidRDefault="000E3E63" w:rsidP="00851FD5">
            <w:pPr>
              <w:keepNext/>
              <w:keepLines/>
              <w:widowControl w:val="0"/>
              <w:jc w:val="center"/>
              <w:rPr>
                <w:rFonts w:ascii="Arial Narrow" w:hAnsi="Arial Narrow"/>
                <w:i/>
                <w:sz w:val="20"/>
              </w:rPr>
            </w:pPr>
            <w:r w:rsidRPr="00F43D8F">
              <w:rPr>
                <w:rFonts w:ascii="Arial Narrow" w:hAnsi="Arial Narrow"/>
                <w:i/>
                <w:sz w:val="20"/>
              </w:rPr>
              <w:t>(0.24-0.76)</w:t>
            </w:r>
          </w:p>
        </w:tc>
        <w:tc>
          <w:tcPr>
            <w:tcW w:w="773" w:type="pct"/>
            <w:vAlign w:val="center"/>
          </w:tcPr>
          <w:p w:rsidR="000E3E63" w:rsidRPr="00F43D8F" w:rsidRDefault="000E3E63" w:rsidP="00851FD5">
            <w:pPr>
              <w:keepNext/>
              <w:keepLines/>
              <w:jc w:val="center"/>
              <w:rPr>
                <w:rFonts w:ascii="Arial Narrow" w:hAnsi="Arial Narrow" w:cs="Arial Narrow"/>
                <w:i/>
                <w:snapToGrid/>
                <w:sz w:val="20"/>
              </w:rPr>
            </w:pPr>
            <w:r w:rsidRPr="00F43D8F">
              <w:rPr>
                <w:rFonts w:ascii="Arial Narrow" w:hAnsi="Arial Narrow" w:cs="Arial Narrow"/>
                <w:i/>
                <w:snapToGrid/>
                <w:sz w:val="20"/>
              </w:rPr>
              <w:t>11/50 (22)</w:t>
            </w:r>
          </w:p>
        </w:tc>
        <w:tc>
          <w:tcPr>
            <w:tcW w:w="694" w:type="pct"/>
            <w:vAlign w:val="center"/>
          </w:tcPr>
          <w:p w:rsidR="000E3E63" w:rsidRPr="00F43D8F" w:rsidRDefault="000E3E63" w:rsidP="00851FD5">
            <w:pPr>
              <w:keepNext/>
              <w:keepLines/>
              <w:jc w:val="center"/>
              <w:rPr>
                <w:rFonts w:ascii="Arial Narrow" w:hAnsi="Arial Narrow" w:cs="Arial Narrow"/>
                <w:i/>
                <w:snapToGrid/>
                <w:sz w:val="20"/>
              </w:rPr>
            </w:pPr>
            <w:r w:rsidRPr="00F43D8F">
              <w:rPr>
                <w:rFonts w:ascii="Arial Narrow" w:hAnsi="Arial Narrow" w:cs="Arial Narrow"/>
                <w:i/>
                <w:snapToGrid/>
                <w:sz w:val="20"/>
              </w:rPr>
              <w:t>26/50 (52)</w:t>
            </w:r>
          </w:p>
        </w:tc>
        <w:tc>
          <w:tcPr>
            <w:tcW w:w="694" w:type="pct"/>
            <w:vAlign w:val="center"/>
          </w:tcPr>
          <w:p w:rsidR="000E3E63" w:rsidRPr="00F43D8F" w:rsidRDefault="000E3E63" w:rsidP="00851FD5">
            <w:pPr>
              <w:keepNext/>
              <w:keepLines/>
              <w:jc w:val="center"/>
              <w:rPr>
                <w:rFonts w:ascii="Arial Narrow" w:hAnsi="Arial Narrow" w:cs="Arial Narrow"/>
                <w:i/>
                <w:snapToGrid/>
                <w:sz w:val="20"/>
              </w:rPr>
            </w:pPr>
            <w:r w:rsidRPr="00F43D8F">
              <w:rPr>
                <w:rFonts w:ascii="Arial Narrow" w:hAnsi="Arial Narrow" w:cs="Arial Narrow"/>
                <w:i/>
                <w:snapToGrid/>
                <w:sz w:val="20"/>
              </w:rPr>
              <w:t>44/65* (60)</w:t>
            </w:r>
          </w:p>
        </w:tc>
        <w:tc>
          <w:tcPr>
            <w:tcW w:w="694" w:type="pct"/>
            <w:vAlign w:val="center"/>
          </w:tcPr>
          <w:p w:rsidR="000E3E63" w:rsidRPr="00F43D8F" w:rsidRDefault="000E3E63" w:rsidP="00851FD5">
            <w:pPr>
              <w:keepNext/>
              <w:keepLines/>
              <w:jc w:val="center"/>
              <w:rPr>
                <w:rFonts w:ascii="Arial Narrow" w:hAnsi="Arial Narrow" w:cs="Arial Narrow"/>
                <w:i/>
                <w:snapToGrid/>
                <w:sz w:val="20"/>
              </w:rPr>
            </w:pPr>
            <w:r w:rsidRPr="00F43D8F">
              <w:rPr>
                <w:rFonts w:ascii="Arial Narrow" w:hAnsi="Arial Narrow" w:cs="Arial Narrow"/>
                <w:i/>
                <w:snapToGrid/>
                <w:sz w:val="20"/>
              </w:rPr>
              <w:t>27/68* (35)</w:t>
            </w:r>
          </w:p>
        </w:tc>
        <w:tc>
          <w:tcPr>
            <w:tcW w:w="698" w:type="pct"/>
            <w:vAlign w:val="center"/>
          </w:tcPr>
          <w:p w:rsidR="000E3E63" w:rsidRPr="00F43D8F" w:rsidRDefault="000E3E63" w:rsidP="00851FD5">
            <w:pPr>
              <w:keepNext/>
              <w:keepLines/>
              <w:jc w:val="center"/>
              <w:rPr>
                <w:rFonts w:ascii="Arial Narrow" w:hAnsi="Arial Narrow"/>
                <w:i/>
                <w:snapToGrid/>
                <w:sz w:val="20"/>
              </w:rPr>
            </w:pPr>
            <w:r w:rsidRPr="00F43D8F">
              <w:rPr>
                <w:rFonts w:ascii="Arial Narrow" w:hAnsi="Arial Narrow"/>
                <w:i/>
                <w:snapToGrid/>
                <w:sz w:val="20"/>
              </w:rPr>
              <w:t>0.59</w:t>
            </w:r>
          </w:p>
          <w:p w:rsidR="000E3E63" w:rsidRPr="00F43D8F" w:rsidRDefault="000E3E63" w:rsidP="00851FD5">
            <w:pPr>
              <w:keepNext/>
              <w:keepLines/>
              <w:widowControl w:val="0"/>
              <w:jc w:val="center"/>
              <w:rPr>
                <w:rFonts w:ascii="Arial Narrow" w:hAnsi="Arial Narrow"/>
                <w:i/>
                <w:sz w:val="20"/>
              </w:rPr>
            </w:pPr>
            <w:r w:rsidRPr="00F43D8F">
              <w:rPr>
                <w:rFonts w:ascii="Arial Narrow" w:hAnsi="Arial Narrow"/>
                <w:i/>
                <w:sz w:val="20"/>
              </w:rPr>
              <w:t>(0.42-0.82)</w:t>
            </w:r>
          </w:p>
        </w:tc>
        <w:tc>
          <w:tcPr>
            <w:tcW w:w="770" w:type="pct"/>
            <w:vAlign w:val="center"/>
          </w:tcPr>
          <w:p w:rsidR="000E3E63" w:rsidRPr="00F43D8F" w:rsidRDefault="000E3E63" w:rsidP="00851FD5">
            <w:pPr>
              <w:keepNext/>
              <w:keepLines/>
              <w:jc w:val="center"/>
              <w:rPr>
                <w:rFonts w:ascii="Arial Narrow" w:hAnsi="Arial Narrow"/>
                <w:i/>
                <w:snapToGrid/>
                <w:sz w:val="20"/>
              </w:rPr>
            </w:pPr>
            <w:r w:rsidRPr="00F43D8F">
              <w:rPr>
                <w:rFonts w:ascii="Arial Narrow" w:hAnsi="Arial Narrow"/>
                <w:i/>
                <w:snapToGrid/>
                <w:sz w:val="20"/>
              </w:rPr>
              <w:t>0.71</w:t>
            </w:r>
          </w:p>
          <w:p w:rsidR="000E3E63" w:rsidRPr="00F43D8F" w:rsidRDefault="000E3E63" w:rsidP="00851FD5">
            <w:pPr>
              <w:keepNext/>
              <w:keepLines/>
              <w:jc w:val="center"/>
              <w:rPr>
                <w:rFonts w:ascii="Arial Narrow" w:hAnsi="Arial Narrow" w:cs="Arial Narrow"/>
                <w:i/>
                <w:snapToGrid/>
                <w:sz w:val="20"/>
              </w:rPr>
            </w:pPr>
            <w:r w:rsidRPr="00F43D8F">
              <w:rPr>
                <w:rFonts w:ascii="Arial Narrow" w:hAnsi="Arial Narrow"/>
                <w:i/>
                <w:snapToGrid/>
                <w:sz w:val="20"/>
              </w:rPr>
              <w:t>(0.37-1.4)</w:t>
            </w:r>
          </w:p>
        </w:tc>
      </w:tr>
    </w:tbl>
    <w:p w:rsidR="000E3E63" w:rsidRPr="00A754E0" w:rsidRDefault="000E3E63" w:rsidP="00BF0883">
      <w:pPr>
        <w:keepNext/>
        <w:keepLines/>
        <w:widowControl w:val="0"/>
        <w:ind w:left="709"/>
        <w:rPr>
          <w:rFonts w:ascii="Arial Narrow" w:hAnsi="Arial Narrow"/>
          <w:sz w:val="18"/>
        </w:rPr>
      </w:pPr>
      <w:r w:rsidRPr="00A754E0">
        <w:rPr>
          <w:rFonts w:ascii="Arial Narrow" w:hAnsi="Arial Narrow"/>
          <w:sz w:val="18"/>
        </w:rPr>
        <w:t>CI = confidence interval;</w:t>
      </w:r>
      <w:r w:rsidRPr="00A754E0">
        <w:rPr>
          <w:rFonts w:ascii="Arial Narrow" w:hAnsi="Arial Narrow"/>
          <w:i/>
          <w:iCs/>
          <w:sz w:val="18"/>
        </w:rPr>
        <w:t xml:space="preserve"> n </w:t>
      </w:r>
      <w:r w:rsidRPr="00A754E0">
        <w:rPr>
          <w:rFonts w:ascii="Arial Narrow" w:hAnsi="Arial Narrow"/>
          <w:sz w:val="18"/>
        </w:rPr>
        <w:t>= number with event;</w:t>
      </w:r>
      <w:r w:rsidRPr="00A754E0">
        <w:rPr>
          <w:rFonts w:ascii="Arial Narrow" w:hAnsi="Arial Narrow"/>
          <w:i/>
          <w:iCs/>
          <w:sz w:val="18"/>
        </w:rPr>
        <w:t xml:space="preserve"> N </w:t>
      </w:r>
      <w:r w:rsidRPr="00A754E0">
        <w:rPr>
          <w:rFonts w:ascii="Arial Narrow" w:hAnsi="Arial Narrow"/>
          <w:sz w:val="18"/>
        </w:rPr>
        <w:t>= number in group; RR = relative risk</w:t>
      </w:r>
    </w:p>
    <w:p w:rsidR="000E3E63" w:rsidRPr="00A754E0" w:rsidRDefault="000E3E63" w:rsidP="00BF0883">
      <w:pPr>
        <w:keepNext/>
        <w:keepLines/>
        <w:widowControl w:val="0"/>
        <w:ind w:left="709"/>
        <w:rPr>
          <w:rFonts w:ascii="Arial Narrow" w:hAnsi="Arial Narrow"/>
          <w:sz w:val="18"/>
        </w:rPr>
      </w:pPr>
      <w:r w:rsidRPr="00A754E0">
        <w:t>*</w:t>
      </w:r>
      <w:r w:rsidRPr="00A754E0">
        <w:rPr>
          <w:rFonts w:ascii="Arial Narrow" w:hAnsi="Arial Narrow"/>
          <w:sz w:val="18"/>
        </w:rPr>
        <w:t xml:space="preserve">combined subgroups with and without MXT </w:t>
      </w:r>
    </w:p>
    <w:p w:rsidR="00AB29BF" w:rsidRDefault="00AB29BF" w:rsidP="0079786D">
      <w:pPr>
        <w:pStyle w:val="PBACHeading1"/>
        <w:numPr>
          <w:ilvl w:val="0"/>
          <w:numId w:val="0"/>
        </w:numPr>
      </w:pPr>
    </w:p>
    <w:p w:rsidR="00AB29BF" w:rsidRPr="0019209F" w:rsidRDefault="00EE17D7" w:rsidP="00490F0E">
      <w:pPr>
        <w:pStyle w:val="ListParagraph"/>
        <w:numPr>
          <w:ilvl w:val="1"/>
          <w:numId w:val="2"/>
        </w:numPr>
        <w:rPr>
          <w:szCs w:val="22"/>
        </w:rPr>
      </w:pPr>
      <w:r w:rsidRPr="0019209F">
        <w:rPr>
          <w:szCs w:val="22"/>
        </w:rPr>
        <w:t xml:space="preserve">The </w:t>
      </w:r>
      <w:r w:rsidR="00EF23D4">
        <w:rPr>
          <w:szCs w:val="22"/>
        </w:rPr>
        <w:t>ESC</w:t>
      </w:r>
      <w:r w:rsidR="00FC30D6" w:rsidRPr="0019209F">
        <w:rPr>
          <w:szCs w:val="22"/>
        </w:rPr>
        <w:t xml:space="preserve"> </w:t>
      </w:r>
      <w:r w:rsidR="003B144A" w:rsidRPr="0019209F">
        <w:rPr>
          <w:szCs w:val="22"/>
        </w:rPr>
        <w:t>considered that there was potential for bias in each of the trials given that all trials were two-part withdrawal trials with an initial single-arm open label phase in which all patients received active treatment, and responders moved on to the double-blind wi</w:t>
      </w:r>
      <w:r w:rsidRPr="0019209F">
        <w:rPr>
          <w:szCs w:val="22"/>
        </w:rPr>
        <w:t>thdrawal phase.  In addition, a</w:t>
      </w:r>
      <w:r w:rsidR="003B144A" w:rsidRPr="0019209F">
        <w:rPr>
          <w:szCs w:val="22"/>
        </w:rPr>
        <w:t xml:space="preserve">s noted in the submission some patients in the etanercept trial (approximately 30%) had sJIA but the majority were not the </w:t>
      </w:r>
      <w:r w:rsidR="003B144A" w:rsidRPr="0019209F">
        <w:rPr>
          <w:szCs w:val="22"/>
        </w:rPr>
        <w:lastRenderedPageBreak/>
        <w:t xml:space="preserve">appropriate population for comparison and in the adalimumab trial no patients were specifically identified as having sJIA. </w:t>
      </w:r>
      <w:r w:rsidR="005E29E9" w:rsidRPr="0019209F">
        <w:rPr>
          <w:szCs w:val="22"/>
        </w:rPr>
        <w:t xml:space="preserve"> </w:t>
      </w:r>
    </w:p>
    <w:p w:rsidR="00AB29BF" w:rsidRDefault="00AB29BF" w:rsidP="00AB29BF">
      <w:pPr>
        <w:rPr>
          <w:szCs w:val="22"/>
        </w:rPr>
      </w:pPr>
    </w:p>
    <w:p w:rsidR="00B36CB8" w:rsidRDefault="00B36CB8" w:rsidP="007A097D">
      <w:pPr>
        <w:ind w:left="436" w:firstLine="284"/>
      </w:pPr>
      <w:r>
        <w:rPr>
          <w:i/>
          <w:szCs w:val="22"/>
        </w:rPr>
        <w:t>For more detail on PBAC’s view, see section 7 “PBAC outcome”</w:t>
      </w:r>
    </w:p>
    <w:p w:rsidR="00B36CB8" w:rsidRPr="00AB29BF" w:rsidRDefault="00B36CB8" w:rsidP="00AB29BF">
      <w:pPr>
        <w:rPr>
          <w:szCs w:val="22"/>
        </w:rPr>
      </w:pPr>
    </w:p>
    <w:p w:rsidR="00B60939" w:rsidRDefault="00B60939" w:rsidP="00C44DC6">
      <w:pPr>
        <w:pStyle w:val="Heading2"/>
        <w:keepNext/>
        <w:keepLines/>
        <w:rPr>
          <w:i/>
        </w:rPr>
      </w:pPr>
      <w:bookmarkStart w:id="8" w:name="_Toc409168635"/>
      <w:r w:rsidRPr="002C2775">
        <w:rPr>
          <w:i/>
        </w:rPr>
        <w:t>Comparative harms</w:t>
      </w:r>
      <w:bookmarkEnd w:id="8"/>
    </w:p>
    <w:p w:rsidR="00AB47EA" w:rsidRPr="00AB47EA" w:rsidRDefault="00AB47EA" w:rsidP="00C44DC6">
      <w:pPr>
        <w:keepNext/>
        <w:keepLines/>
      </w:pPr>
    </w:p>
    <w:p w:rsidR="005F5143" w:rsidRDefault="009049A0" w:rsidP="00490F0E">
      <w:pPr>
        <w:pStyle w:val="ListParagraph"/>
        <w:keepNext/>
        <w:keepLines/>
        <w:numPr>
          <w:ilvl w:val="1"/>
          <w:numId w:val="2"/>
        </w:numPr>
        <w:rPr>
          <w:szCs w:val="22"/>
        </w:rPr>
      </w:pPr>
      <w:r>
        <w:rPr>
          <w:szCs w:val="22"/>
        </w:rPr>
        <w:t xml:space="preserve">The submission did not provide any statistical comparisons of adverse events (AEs) between canakinumab and tocilizumab or canakinumab and etanercept and adalimumab.  The submission claimed that the trials </w:t>
      </w:r>
      <w:r w:rsidR="000647B3">
        <w:rPr>
          <w:szCs w:val="22"/>
        </w:rPr>
        <w:t xml:space="preserve">were </w:t>
      </w:r>
      <w:r>
        <w:rPr>
          <w:szCs w:val="22"/>
        </w:rPr>
        <w:t xml:space="preserve">difficult to compare as they </w:t>
      </w:r>
      <w:r w:rsidR="000647B3">
        <w:rPr>
          <w:szCs w:val="22"/>
        </w:rPr>
        <w:t xml:space="preserve">were </w:t>
      </w:r>
      <w:r>
        <w:rPr>
          <w:szCs w:val="22"/>
        </w:rPr>
        <w:t>of differing lengths and placebo-treated patients</w:t>
      </w:r>
      <w:r w:rsidR="005F5143">
        <w:rPr>
          <w:szCs w:val="22"/>
        </w:rPr>
        <w:t xml:space="preserve"> </w:t>
      </w:r>
      <w:r w:rsidR="000647B3">
        <w:rPr>
          <w:szCs w:val="22"/>
        </w:rPr>
        <w:t xml:space="preserve">were </w:t>
      </w:r>
      <w:r w:rsidR="005F5143">
        <w:rPr>
          <w:szCs w:val="22"/>
        </w:rPr>
        <w:t xml:space="preserve">not in the trial for as long as </w:t>
      </w:r>
      <w:r w:rsidR="000647B3">
        <w:rPr>
          <w:szCs w:val="22"/>
        </w:rPr>
        <w:t>t</w:t>
      </w:r>
      <w:r w:rsidR="005F5143">
        <w:rPr>
          <w:szCs w:val="22"/>
        </w:rPr>
        <w:t>reated patients, making comparison difficult. The submission conclude</w:t>
      </w:r>
      <w:r w:rsidR="000647B3">
        <w:rPr>
          <w:szCs w:val="22"/>
        </w:rPr>
        <w:t>d</w:t>
      </w:r>
      <w:r w:rsidR="005F5143">
        <w:rPr>
          <w:szCs w:val="22"/>
        </w:rPr>
        <w:t xml:space="preserve"> that on balance, canakinumab d</w:t>
      </w:r>
      <w:r w:rsidR="000647B3">
        <w:rPr>
          <w:szCs w:val="22"/>
        </w:rPr>
        <w:t>id</w:t>
      </w:r>
      <w:r w:rsidR="005F5143">
        <w:rPr>
          <w:szCs w:val="22"/>
        </w:rPr>
        <w:t xml:space="preserve"> not have a different adverse event profile to other bDMARDs.</w:t>
      </w:r>
      <w:r w:rsidR="008D024B">
        <w:rPr>
          <w:szCs w:val="22"/>
        </w:rPr>
        <w:t xml:space="preserve">  </w:t>
      </w:r>
      <w:r w:rsidR="00D10EF4" w:rsidRPr="003B5B6D">
        <w:rPr>
          <w:szCs w:val="22"/>
        </w:rPr>
        <w:t>Th</w:t>
      </w:r>
      <w:r w:rsidR="00D10EF4">
        <w:rPr>
          <w:szCs w:val="22"/>
        </w:rPr>
        <w:t>e evaluation advised that this</w:t>
      </w:r>
      <w:r w:rsidR="00D10EF4" w:rsidRPr="003B5B6D">
        <w:rPr>
          <w:szCs w:val="22"/>
        </w:rPr>
        <w:t xml:space="preserve"> </w:t>
      </w:r>
      <w:r w:rsidR="008D024B" w:rsidRPr="003B5B6D">
        <w:rPr>
          <w:szCs w:val="22"/>
        </w:rPr>
        <w:t xml:space="preserve">conclusion </w:t>
      </w:r>
      <w:r w:rsidR="00276DCB" w:rsidRPr="003B5B6D">
        <w:rPr>
          <w:szCs w:val="22"/>
        </w:rPr>
        <w:t>c</w:t>
      </w:r>
      <w:r w:rsidR="00276DCB">
        <w:rPr>
          <w:szCs w:val="22"/>
        </w:rPr>
        <w:t>ould not</w:t>
      </w:r>
      <w:r w:rsidR="00276DCB" w:rsidRPr="003B5B6D">
        <w:rPr>
          <w:szCs w:val="22"/>
        </w:rPr>
        <w:t xml:space="preserve"> </w:t>
      </w:r>
      <w:r w:rsidR="008D024B" w:rsidRPr="003B5B6D">
        <w:rPr>
          <w:szCs w:val="22"/>
        </w:rPr>
        <w:t xml:space="preserve">be supported given </w:t>
      </w:r>
      <w:r w:rsidR="008D024B" w:rsidRPr="003B5B6D">
        <w:rPr>
          <w:rFonts w:eastAsia="SimSun"/>
          <w:snapToGrid/>
          <w:szCs w:val="22"/>
        </w:rPr>
        <w:t>the underlying heterogeneity in the populations, the small sample sizes of all trials and the short duration of the 2305 trial.</w:t>
      </w:r>
    </w:p>
    <w:p w:rsidR="00B60939" w:rsidRDefault="00B60939" w:rsidP="007F1017">
      <w:pPr>
        <w:pStyle w:val="ListParagraph"/>
        <w:ind w:left="0"/>
        <w:rPr>
          <w:szCs w:val="22"/>
        </w:rPr>
      </w:pPr>
    </w:p>
    <w:p w:rsidR="00B36CB8" w:rsidRDefault="00B36CB8" w:rsidP="007A097D">
      <w:pPr>
        <w:ind w:left="436" w:firstLine="284"/>
      </w:pPr>
      <w:r>
        <w:rPr>
          <w:i/>
          <w:szCs w:val="22"/>
        </w:rPr>
        <w:t>For more detail on PBAC’s view, see section 7 “PBAC outcome”</w:t>
      </w:r>
    </w:p>
    <w:p w:rsidR="00B36CB8" w:rsidRDefault="00B36CB8" w:rsidP="007F1017">
      <w:pPr>
        <w:pStyle w:val="ListParagraph"/>
        <w:ind w:left="0"/>
        <w:rPr>
          <w:szCs w:val="22"/>
        </w:rPr>
      </w:pPr>
    </w:p>
    <w:p w:rsidR="00B60939" w:rsidRPr="002C2775" w:rsidRDefault="00B60939" w:rsidP="00C44DC6">
      <w:pPr>
        <w:pStyle w:val="Heading2"/>
        <w:keepNext/>
        <w:keepLines/>
        <w:rPr>
          <w:i/>
        </w:rPr>
      </w:pPr>
      <w:bookmarkStart w:id="9" w:name="_Toc409168637"/>
      <w:r w:rsidRPr="002C2775">
        <w:rPr>
          <w:i/>
        </w:rPr>
        <w:t>Clinical claim</w:t>
      </w:r>
      <w:bookmarkEnd w:id="9"/>
    </w:p>
    <w:p w:rsidR="00B60939" w:rsidRPr="00882085" w:rsidRDefault="00B60939" w:rsidP="00C44DC6">
      <w:pPr>
        <w:keepNext/>
        <w:keepLines/>
        <w:ind w:left="720" w:hanging="720"/>
        <w:rPr>
          <w:szCs w:val="22"/>
        </w:rPr>
      </w:pPr>
    </w:p>
    <w:p w:rsidR="009C24AD" w:rsidRPr="002F32DE" w:rsidRDefault="00F108D5" w:rsidP="00490F0E">
      <w:pPr>
        <w:pStyle w:val="ListParagraph"/>
        <w:keepNext/>
        <w:keepLines/>
        <w:numPr>
          <w:ilvl w:val="1"/>
          <w:numId w:val="2"/>
        </w:numPr>
        <w:rPr>
          <w:szCs w:val="22"/>
        </w:rPr>
      </w:pPr>
      <w:r w:rsidRPr="00F108D5">
        <w:t xml:space="preserve">The submission </w:t>
      </w:r>
      <w:r w:rsidR="009C24AD">
        <w:t>d</w:t>
      </w:r>
      <w:r w:rsidR="003E7CDA">
        <w:t>id</w:t>
      </w:r>
      <w:r w:rsidR="009C24AD">
        <w:t xml:space="preserve"> not make a direct clinical claim and instead provide</w:t>
      </w:r>
      <w:r w:rsidR="003E7CDA">
        <w:t>d</w:t>
      </w:r>
      <w:r w:rsidR="009C24AD">
        <w:t xml:space="preserve"> a summary of results across the comparisons presented</w:t>
      </w:r>
      <w:r w:rsidR="00AD336A">
        <w:t xml:space="preserve">. </w:t>
      </w:r>
      <w:r w:rsidR="009C24AD">
        <w:t>The submission</w:t>
      </w:r>
      <w:r w:rsidR="00D62EAC">
        <w:t xml:space="preserve"> cited no statistically significant differences between canakinumab and toc</w:t>
      </w:r>
      <w:r w:rsidR="00F954DA">
        <w:t>i</w:t>
      </w:r>
      <w:r w:rsidR="00D62EAC">
        <w:t xml:space="preserve">lizumab </w:t>
      </w:r>
      <w:r w:rsidR="009863EC">
        <w:t xml:space="preserve">for </w:t>
      </w:r>
      <w:r w:rsidR="009C24AD">
        <w:t xml:space="preserve">the ACR 30 Pedi response, while canakinumab </w:t>
      </w:r>
      <w:r w:rsidR="009863EC">
        <w:t>was found to be better than</w:t>
      </w:r>
      <w:r w:rsidR="009C24AD">
        <w:t xml:space="preserve"> adalimumab</w:t>
      </w:r>
      <w:r w:rsidR="00D62EAC">
        <w:t xml:space="preserve"> for this outcome</w:t>
      </w:r>
      <w:r w:rsidR="009C24AD">
        <w:t>.</w:t>
      </w:r>
      <w:r w:rsidRPr="00F108D5">
        <w:t xml:space="preserve"> </w:t>
      </w:r>
      <w:r w:rsidR="009C24AD">
        <w:t xml:space="preserve"> The submission add</w:t>
      </w:r>
      <w:r w:rsidR="0082641D">
        <w:t>ed</w:t>
      </w:r>
      <w:r w:rsidR="009C24AD">
        <w:t xml:space="preserve"> that canakinumab was shown to have similar efficacy </w:t>
      </w:r>
      <w:r w:rsidR="009863EC">
        <w:t xml:space="preserve">for </w:t>
      </w:r>
      <w:r w:rsidR="009C24AD">
        <w:t>reducing disease flare when compared with etanercept and adalimumab.</w:t>
      </w:r>
      <w:r w:rsidR="00DD68BB">
        <w:t xml:space="preserve">  </w:t>
      </w:r>
      <w:r w:rsidR="00DD68BB" w:rsidRPr="002F32DE">
        <w:t>While the results of indirect comparisons indicate</w:t>
      </w:r>
      <w:r w:rsidR="00276DCB">
        <w:t>d</w:t>
      </w:r>
      <w:r w:rsidR="00DD68BB" w:rsidRPr="002F32DE">
        <w:t xml:space="preserve"> that there are no statistically significant differences between canakinumab and the</w:t>
      </w:r>
      <w:r w:rsidR="009863EC">
        <w:t>se</w:t>
      </w:r>
      <w:r w:rsidR="00DD68BB" w:rsidRPr="002F32DE">
        <w:t xml:space="preserve"> comparators for efficacy outcomes, there </w:t>
      </w:r>
      <w:r w:rsidR="007D2497">
        <w:t>was</w:t>
      </w:r>
      <w:r w:rsidR="00DD68BB" w:rsidRPr="002F32DE">
        <w:t xml:space="preserve"> no identified non-inferiority margin and importantly, there </w:t>
      </w:r>
      <w:r w:rsidR="00276DCB">
        <w:t>wa</w:t>
      </w:r>
      <w:r w:rsidR="00DD68BB" w:rsidRPr="002F32DE">
        <w:t>s heterogeneity in the populations as well as differences in designs and durations of the trials that limit</w:t>
      </w:r>
      <w:r w:rsidR="00276DCB">
        <w:t>ed</w:t>
      </w:r>
      <w:r w:rsidR="00DD68BB" w:rsidRPr="002F32DE">
        <w:t xml:space="preserve"> the reliability of the analyses.</w:t>
      </w:r>
      <w:r w:rsidR="00AE0AF7">
        <w:t xml:space="preserve"> </w:t>
      </w:r>
    </w:p>
    <w:p w:rsidR="00DD4D24" w:rsidRPr="009C24AD" w:rsidRDefault="00DD4D24" w:rsidP="00C44DC6">
      <w:pPr>
        <w:keepNext/>
        <w:keepLines/>
        <w:rPr>
          <w:szCs w:val="22"/>
        </w:rPr>
      </w:pPr>
    </w:p>
    <w:p w:rsidR="00ED4FA8" w:rsidRPr="00EF23D4" w:rsidRDefault="009C24AD" w:rsidP="00ED4FA8">
      <w:pPr>
        <w:pStyle w:val="ListParagraph"/>
        <w:numPr>
          <w:ilvl w:val="1"/>
          <w:numId w:val="2"/>
        </w:numPr>
        <w:rPr>
          <w:szCs w:val="22"/>
        </w:rPr>
      </w:pPr>
      <w:r>
        <w:rPr>
          <w:szCs w:val="22"/>
        </w:rPr>
        <w:t>For adverse events, the submission state</w:t>
      </w:r>
      <w:r w:rsidR="0082641D">
        <w:rPr>
          <w:szCs w:val="22"/>
        </w:rPr>
        <w:t>d</w:t>
      </w:r>
      <w:r>
        <w:rPr>
          <w:szCs w:val="22"/>
        </w:rPr>
        <w:t xml:space="preserve"> that</w:t>
      </w:r>
      <w:r w:rsidR="003E7CDA">
        <w:rPr>
          <w:szCs w:val="22"/>
        </w:rPr>
        <w:t xml:space="preserve"> the adverse event profiles of the drugs </w:t>
      </w:r>
      <w:r w:rsidR="007D2497">
        <w:rPr>
          <w:szCs w:val="22"/>
        </w:rPr>
        <w:t>are</w:t>
      </w:r>
      <w:r w:rsidR="003E7CDA">
        <w:rPr>
          <w:szCs w:val="22"/>
        </w:rPr>
        <w:t xml:space="preserve"> difficult to compare using statistical methods but it appear</w:t>
      </w:r>
      <w:r w:rsidR="00276DCB">
        <w:rPr>
          <w:szCs w:val="22"/>
        </w:rPr>
        <w:t>ed</w:t>
      </w:r>
      <w:r w:rsidR="003E7CDA">
        <w:rPr>
          <w:szCs w:val="22"/>
        </w:rPr>
        <w:t xml:space="preserve"> that the adverse event rates for canakinumab were comparable to other drugs in the submission.</w:t>
      </w:r>
      <w:r>
        <w:rPr>
          <w:szCs w:val="22"/>
        </w:rPr>
        <w:t xml:space="preserve"> </w:t>
      </w:r>
      <w:r w:rsidR="007D2497">
        <w:t>T</w:t>
      </w:r>
      <w:r w:rsidR="00DD68BB" w:rsidRPr="002F32DE">
        <w:t xml:space="preserve">he differences in trial populations, trial designs and durations </w:t>
      </w:r>
      <w:r w:rsidR="007D2497">
        <w:t>also ma</w:t>
      </w:r>
      <w:r w:rsidR="00276DCB">
        <w:t>d</w:t>
      </w:r>
      <w:r w:rsidR="007D2497">
        <w:t>e</w:t>
      </w:r>
      <w:r w:rsidR="00DD68BB" w:rsidRPr="002F32DE">
        <w:t xml:space="preserve"> it difficult to assess differences</w:t>
      </w:r>
      <w:r w:rsidR="007D2497">
        <w:t xml:space="preserve"> in safety</w:t>
      </w:r>
      <w:r w:rsidR="00DD68BB" w:rsidRPr="002F32DE">
        <w:t>.</w:t>
      </w:r>
    </w:p>
    <w:p w:rsidR="00B60939" w:rsidRDefault="00B60939" w:rsidP="00D76F5A">
      <w:pPr>
        <w:rPr>
          <w:szCs w:val="22"/>
        </w:rPr>
      </w:pPr>
    </w:p>
    <w:p w:rsidR="00B36CB8" w:rsidRDefault="00B36CB8" w:rsidP="00276DCB">
      <w:pPr>
        <w:ind w:left="436" w:firstLine="284"/>
      </w:pPr>
      <w:r>
        <w:rPr>
          <w:i/>
          <w:szCs w:val="22"/>
        </w:rPr>
        <w:t>For more detail on PBAC’s view, see section 7 “PBAC outcome”</w:t>
      </w:r>
    </w:p>
    <w:p w:rsidR="00B36CB8" w:rsidRPr="00882085" w:rsidRDefault="00B36CB8" w:rsidP="00D76F5A">
      <w:pPr>
        <w:rPr>
          <w:szCs w:val="22"/>
        </w:rPr>
      </w:pPr>
    </w:p>
    <w:p w:rsidR="00B60939" w:rsidRPr="002C2775" w:rsidRDefault="00B60939" w:rsidP="002C2775">
      <w:pPr>
        <w:pStyle w:val="Heading2"/>
        <w:rPr>
          <w:i/>
        </w:rPr>
      </w:pPr>
      <w:bookmarkStart w:id="10" w:name="_Toc409168638"/>
      <w:r w:rsidRPr="002C2775">
        <w:rPr>
          <w:i/>
        </w:rPr>
        <w:t>Economic analysis</w:t>
      </w:r>
      <w:bookmarkEnd w:id="10"/>
      <w:r w:rsidR="00491B3A" w:rsidRPr="002C2775">
        <w:rPr>
          <w:i/>
        </w:rPr>
        <w:t xml:space="preserve"> </w:t>
      </w:r>
    </w:p>
    <w:p w:rsidR="00A86E8B" w:rsidRPr="00A86E8B" w:rsidRDefault="00A86E8B" w:rsidP="00A86E8B">
      <w:pPr>
        <w:rPr>
          <w:szCs w:val="22"/>
        </w:rPr>
      </w:pPr>
    </w:p>
    <w:p w:rsidR="00664C2B" w:rsidRPr="00664C2B" w:rsidRDefault="00A86E8B" w:rsidP="00490F0E">
      <w:pPr>
        <w:pStyle w:val="ListParagraph"/>
        <w:numPr>
          <w:ilvl w:val="1"/>
          <w:numId w:val="2"/>
        </w:numPr>
      </w:pPr>
      <w:r w:rsidRPr="001222FC">
        <w:t>T</w:t>
      </w:r>
      <w:r w:rsidR="00664C2B" w:rsidRPr="00664C2B">
        <w:t xml:space="preserve">he submission sought listing on the basis of cost-minimisation </w:t>
      </w:r>
      <w:r w:rsidR="007D2497">
        <w:t xml:space="preserve">compared with </w:t>
      </w:r>
      <w:r w:rsidR="00664C2B" w:rsidRPr="00664C2B">
        <w:t>tocilizumab.</w:t>
      </w:r>
    </w:p>
    <w:p w:rsidR="00664C2B" w:rsidRPr="00664C2B" w:rsidRDefault="00664C2B" w:rsidP="00664C2B">
      <w:pPr>
        <w:pStyle w:val="ListParagraph"/>
        <w:rPr>
          <w:szCs w:val="22"/>
        </w:rPr>
      </w:pPr>
    </w:p>
    <w:p w:rsidR="00D34297" w:rsidRPr="00AF2F47" w:rsidRDefault="00664C2B" w:rsidP="00490F0E">
      <w:pPr>
        <w:pStyle w:val="ListParagraph"/>
        <w:numPr>
          <w:ilvl w:val="1"/>
          <w:numId w:val="2"/>
        </w:numPr>
        <w:rPr>
          <w:szCs w:val="22"/>
        </w:rPr>
      </w:pPr>
      <w:r>
        <w:t>T</w:t>
      </w:r>
      <w:r w:rsidR="00A86E8B" w:rsidRPr="001222FC">
        <w:t xml:space="preserve">he equi-effective doses </w:t>
      </w:r>
      <w:r w:rsidR="00DD68BB">
        <w:t>we</w:t>
      </w:r>
      <w:r w:rsidR="00A86E8B" w:rsidRPr="001222FC">
        <w:t xml:space="preserve">re estimated as </w:t>
      </w:r>
      <w:r w:rsidR="00D34297">
        <w:t>canakinumab 220.95</w:t>
      </w:r>
      <w:r w:rsidR="00A45724">
        <w:t xml:space="preserve"> </w:t>
      </w:r>
      <w:r w:rsidR="00D34297">
        <w:t xml:space="preserve">mg every 4 weeks </w:t>
      </w:r>
      <w:r w:rsidR="00A86E8B" w:rsidRPr="001222FC">
        <w:t xml:space="preserve">and </w:t>
      </w:r>
      <w:r w:rsidR="00D34297">
        <w:t>tocilizumab</w:t>
      </w:r>
      <w:r w:rsidR="00A86E8B" w:rsidRPr="001222FC">
        <w:t xml:space="preserve"> </w:t>
      </w:r>
      <w:r w:rsidR="00D34297">
        <w:t>704.58</w:t>
      </w:r>
      <w:r w:rsidR="00A45724">
        <w:t xml:space="preserve"> </w:t>
      </w:r>
      <w:r w:rsidR="00D34297">
        <w:t>mg</w:t>
      </w:r>
      <w:r w:rsidR="00A86E8B" w:rsidRPr="001222FC">
        <w:t xml:space="preserve"> for </w:t>
      </w:r>
      <w:r w:rsidR="00D34297">
        <w:t>4</w:t>
      </w:r>
      <w:r w:rsidR="00AF2F47">
        <w:t xml:space="preserve"> </w:t>
      </w:r>
      <w:r w:rsidR="00D34297">
        <w:t>weeks</w:t>
      </w:r>
      <w:r w:rsidR="00D34297" w:rsidRPr="001222FC">
        <w:t xml:space="preserve">. </w:t>
      </w:r>
      <w:r w:rsidR="00D34297">
        <w:t xml:space="preserve">To derive the equi-effective dose the submission assumed a normal distribution for body weights and used parameters from the RCTs for tocilizumab and canakinumab. </w:t>
      </w:r>
      <w:r w:rsidR="00A86E8B" w:rsidRPr="001222FC">
        <w:t xml:space="preserve"> </w:t>
      </w:r>
    </w:p>
    <w:p w:rsidR="00AF2F47" w:rsidRPr="00AF2F47" w:rsidRDefault="00AF2F47" w:rsidP="00AF2F47">
      <w:pPr>
        <w:rPr>
          <w:szCs w:val="22"/>
        </w:rPr>
      </w:pPr>
    </w:p>
    <w:p w:rsidR="00A86E8B" w:rsidRPr="006E025D" w:rsidRDefault="00D34297" w:rsidP="00490F0E">
      <w:pPr>
        <w:pStyle w:val="ListParagraph"/>
        <w:numPr>
          <w:ilvl w:val="1"/>
          <w:numId w:val="2"/>
        </w:numPr>
        <w:rPr>
          <w:szCs w:val="22"/>
        </w:rPr>
      </w:pPr>
      <w:r w:rsidRPr="002F32DE">
        <w:rPr>
          <w:szCs w:val="22"/>
        </w:rPr>
        <w:t xml:space="preserve">The assumption underlying the calculation of equi-effective doses of a normal distribution of body weights in this population </w:t>
      </w:r>
      <w:r w:rsidR="00AD336A" w:rsidRPr="002F32DE">
        <w:rPr>
          <w:szCs w:val="22"/>
        </w:rPr>
        <w:t xml:space="preserve">was </w:t>
      </w:r>
      <w:r w:rsidRPr="002F32DE">
        <w:rPr>
          <w:szCs w:val="22"/>
        </w:rPr>
        <w:t xml:space="preserve">questionable </w:t>
      </w:r>
      <w:r w:rsidR="00AD336A" w:rsidRPr="002F32DE">
        <w:rPr>
          <w:szCs w:val="22"/>
        </w:rPr>
        <w:t xml:space="preserve">because the </w:t>
      </w:r>
      <w:r w:rsidR="00DD68BB" w:rsidRPr="002F32DE">
        <w:rPr>
          <w:szCs w:val="22"/>
        </w:rPr>
        <w:t xml:space="preserve">weight </w:t>
      </w:r>
      <w:r w:rsidR="00AD336A" w:rsidRPr="002F32DE">
        <w:rPr>
          <w:szCs w:val="22"/>
        </w:rPr>
        <w:t xml:space="preserve">distribution was right skewed </w:t>
      </w:r>
      <w:r w:rsidRPr="002F32DE">
        <w:rPr>
          <w:szCs w:val="22"/>
        </w:rPr>
        <w:t xml:space="preserve">and </w:t>
      </w:r>
      <w:r w:rsidR="00AD336A" w:rsidRPr="002F32DE">
        <w:rPr>
          <w:szCs w:val="22"/>
        </w:rPr>
        <w:t>th</w:t>
      </w:r>
      <w:r w:rsidR="007D2497">
        <w:rPr>
          <w:szCs w:val="22"/>
        </w:rPr>
        <w:t>us the</w:t>
      </w:r>
      <w:r w:rsidR="00AD336A" w:rsidRPr="002F32DE">
        <w:rPr>
          <w:szCs w:val="22"/>
        </w:rPr>
        <w:t xml:space="preserve"> </w:t>
      </w:r>
      <w:r w:rsidRPr="002F32DE">
        <w:rPr>
          <w:szCs w:val="22"/>
        </w:rPr>
        <w:t>estimated cost of canakinumab treatment</w:t>
      </w:r>
      <w:r w:rsidR="007D2497">
        <w:rPr>
          <w:szCs w:val="22"/>
        </w:rPr>
        <w:t xml:space="preserve"> was poorly supported.</w:t>
      </w:r>
      <w:r w:rsidRPr="002F32DE">
        <w:rPr>
          <w:szCs w:val="22"/>
        </w:rPr>
        <w:t xml:space="preserve"> </w:t>
      </w:r>
      <w:r w:rsidR="00A86E8B" w:rsidRPr="002F32DE">
        <w:t xml:space="preserve"> </w:t>
      </w:r>
    </w:p>
    <w:p w:rsidR="006E025D" w:rsidRPr="006E025D" w:rsidRDefault="006E025D" w:rsidP="006E025D">
      <w:pPr>
        <w:pStyle w:val="ListParagraph"/>
        <w:rPr>
          <w:szCs w:val="22"/>
        </w:rPr>
      </w:pPr>
    </w:p>
    <w:p w:rsidR="00953C8C" w:rsidRPr="0019209F" w:rsidRDefault="00EE17D7" w:rsidP="00490F0E">
      <w:pPr>
        <w:pStyle w:val="ListParagraph"/>
        <w:numPr>
          <w:ilvl w:val="1"/>
          <w:numId w:val="2"/>
        </w:numPr>
        <w:rPr>
          <w:szCs w:val="22"/>
        </w:rPr>
      </w:pPr>
      <w:r w:rsidRPr="0019209F">
        <w:rPr>
          <w:szCs w:val="22"/>
        </w:rPr>
        <w:t>The PSCR presented</w:t>
      </w:r>
      <w:r w:rsidR="006D19A3" w:rsidRPr="0019209F">
        <w:rPr>
          <w:szCs w:val="22"/>
        </w:rPr>
        <w:t xml:space="preserve"> an alternate method of calculating the equi-effective dose of canakinumab and tocilizumab.  This alternate method applies gender specific weight-for-age data for the Australian population to the age distributions reported in the canakinumab and tocilizumab trials.  This method results in a higher therapeutic relativity (</w:t>
      </w:r>
      <w:r w:rsidR="006D19A3" w:rsidRPr="009177DB">
        <w:rPr>
          <w:szCs w:val="22"/>
        </w:rPr>
        <w:t>3.70</w:t>
      </w:r>
      <w:r w:rsidR="006D19A3" w:rsidRPr="0019209F">
        <w:rPr>
          <w:szCs w:val="22"/>
        </w:rPr>
        <w:t xml:space="preserve">) than the corrected </w:t>
      </w:r>
      <w:r w:rsidR="006D19A3" w:rsidRPr="009177DB">
        <w:rPr>
          <w:szCs w:val="22"/>
        </w:rPr>
        <w:t>3.25</w:t>
      </w:r>
      <w:r w:rsidR="006D19A3" w:rsidRPr="0019209F">
        <w:rPr>
          <w:szCs w:val="22"/>
        </w:rPr>
        <w:t xml:space="preserve"> estimated in the submission.  This relativity produce</w:t>
      </w:r>
      <w:r w:rsidR="00276DCB">
        <w:rPr>
          <w:szCs w:val="22"/>
        </w:rPr>
        <w:t>d</w:t>
      </w:r>
      <w:r w:rsidR="006D19A3" w:rsidRPr="0019209F">
        <w:rPr>
          <w:szCs w:val="22"/>
        </w:rPr>
        <w:t xml:space="preserve"> a higher cost-minimised price per vial ($</w:t>
      </w:r>
      <w:r w:rsidR="00DC035A">
        <w:rPr>
          <w:noProof/>
          <w:color w:val="000000"/>
          <w:szCs w:val="22"/>
          <w:highlight w:val="black"/>
        </w:rPr>
        <w:t>''''''''''''''''''''</w:t>
      </w:r>
      <w:r w:rsidR="006D19A3" w:rsidRPr="0019209F">
        <w:rPr>
          <w:szCs w:val="22"/>
        </w:rPr>
        <w:t>) compared to that estimated in the submission ($</w:t>
      </w:r>
      <w:r w:rsidR="00DC035A">
        <w:rPr>
          <w:noProof/>
          <w:color w:val="000000"/>
          <w:szCs w:val="22"/>
          <w:highlight w:val="black"/>
        </w:rPr>
        <w:t>'''''''''''''''''''</w:t>
      </w:r>
      <w:r w:rsidR="006D19A3" w:rsidRPr="0019209F">
        <w:rPr>
          <w:szCs w:val="22"/>
        </w:rPr>
        <w:t>).  The PSCR maintain</w:t>
      </w:r>
      <w:r w:rsidR="00276DCB">
        <w:rPr>
          <w:szCs w:val="22"/>
        </w:rPr>
        <w:t>ed</w:t>
      </w:r>
      <w:r w:rsidR="006D19A3" w:rsidRPr="0019209F">
        <w:rPr>
          <w:szCs w:val="22"/>
        </w:rPr>
        <w:t xml:space="preserve"> the method used in the submission is the more conservative option for deriving dose relativities and price</w:t>
      </w:r>
      <w:r w:rsidRPr="0019209F">
        <w:rPr>
          <w:szCs w:val="22"/>
        </w:rPr>
        <w:t>.</w:t>
      </w:r>
      <w:r w:rsidR="000933D6" w:rsidRPr="0019209F">
        <w:rPr>
          <w:szCs w:val="22"/>
        </w:rPr>
        <w:t xml:space="preserve"> </w:t>
      </w:r>
      <w:r w:rsidRPr="0019209F">
        <w:rPr>
          <w:szCs w:val="22"/>
        </w:rPr>
        <w:t xml:space="preserve">However, the ESC considered that neither approach </w:t>
      </w:r>
      <w:r w:rsidR="00D10EF4">
        <w:rPr>
          <w:szCs w:val="22"/>
        </w:rPr>
        <w:t>wa</w:t>
      </w:r>
      <w:r w:rsidRPr="0019209F">
        <w:rPr>
          <w:szCs w:val="22"/>
        </w:rPr>
        <w:t xml:space="preserve">s well supported by the trial data. </w:t>
      </w:r>
    </w:p>
    <w:p w:rsidR="00C25D9C" w:rsidRDefault="00C25D9C" w:rsidP="00C25D9C">
      <w:pPr>
        <w:rPr>
          <w:szCs w:val="22"/>
        </w:rPr>
      </w:pPr>
    </w:p>
    <w:p w:rsidR="00D10EF4" w:rsidRDefault="00D10EF4" w:rsidP="00D10EF4">
      <w:pPr>
        <w:ind w:left="436" w:firstLine="284"/>
      </w:pPr>
      <w:r>
        <w:rPr>
          <w:i/>
          <w:szCs w:val="22"/>
        </w:rPr>
        <w:t>For more detail on PBAC’s view, see section 7 “PBAC outcome”</w:t>
      </w:r>
    </w:p>
    <w:p w:rsidR="00B36CB8" w:rsidRDefault="00B36CB8" w:rsidP="00C25D9C">
      <w:pPr>
        <w:rPr>
          <w:szCs w:val="22"/>
        </w:rPr>
      </w:pPr>
    </w:p>
    <w:p w:rsidR="00C25D9C" w:rsidRPr="002C2775" w:rsidRDefault="00437783" w:rsidP="002C2775">
      <w:pPr>
        <w:pStyle w:val="Heading2"/>
        <w:rPr>
          <w:i/>
          <w:szCs w:val="22"/>
        </w:rPr>
      </w:pPr>
      <w:bookmarkStart w:id="11" w:name="_Toc409168639"/>
      <w:r>
        <w:rPr>
          <w:i/>
        </w:rPr>
        <w:t>Drug cost/patient/year</w:t>
      </w:r>
      <w:r w:rsidRPr="00437783">
        <w:rPr>
          <w:i/>
        </w:rPr>
        <w:t xml:space="preserve">: </w:t>
      </w:r>
      <w:r w:rsidRPr="00437783">
        <w:rPr>
          <w:i/>
          <w:szCs w:val="22"/>
        </w:rPr>
        <w:t>$</w:t>
      </w:r>
      <w:r w:rsidR="00DC035A">
        <w:rPr>
          <w:i/>
          <w:noProof/>
          <w:color w:val="000000"/>
          <w:szCs w:val="22"/>
          <w:highlight w:val="black"/>
        </w:rPr>
        <w:t>'''''''''''''''''''''</w:t>
      </w:r>
      <w:r>
        <w:rPr>
          <w:i/>
          <w:szCs w:val="22"/>
        </w:rPr>
        <w:t>─</w:t>
      </w:r>
      <w:r>
        <w:rPr>
          <w:szCs w:val="22"/>
        </w:rPr>
        <w:t>$</w:t>
      </w:r>
      <w:bookmarkEnd w:id="11"/>
      <w:r w:rsidR="00DC035A">
        <w:rPr>
          <w:noProof/>
          <w:color w:val="000000"/>
          <w:szCs w:val="22"/>
          <w:highlight w:val="black"/>
        </w:rPr>
        <w:t>''''''''''''''''''</w:t>
      </w:r>
    </w:p>
    <w:p w:rsidR="00C25D9C" w:rsidRPr="00C25D9C" w:rsidRDefault="00C25D9C" w:rsidP="00C25D9C">
      <w:pPr>
        <w:rPr>
          <w:szCs w:val="22"/>
        </w:rPr>
      </w:pPr>
    </w:p>
    <w:p w:rsidR="00A86E8B" w:rsidRPr="00B50DB8" w:rsidRDefault="007D2497" w:rsidP="00490F0E">
      <w:pPr>
        <w:pStyle w:val="ListParagraph"/>
        <w:numPr>
          <w:ilvl w:val="1"/>
          <w:numId w:val="2"/>
        </w:numPr>
        <w:rPr>
          <w:szCs w:val="22"/>
        </w:rPr>
      </w:pPr>
      <w:r>
        <w:rPr>
          <w:szCs w:val="22"/>
        </w:rPr>
        <w:t>A</w:t>
      </w:r>
      <w:r w:rsidR="00603698">
        <w:rPr>
          <w:szCs w:val="22"/>
        </w:rPr>
        <w:t xml:space="preserve"> patient who is less than 37.5 </w:t>
      </w:r>
      <w:r w:rsidR="001B33A0">
        <w:rPr>
          <w:szCs w:val="22"/>
        </w:rPr>
        <w:t>kg</w:t>
      </w:r>
      <w:r w:rsidR="00603698">
        <w:rPr>
          <w:szCs w:val="22"/>
        </w:rPr>
        <w:t xml:space="preserve"> (at the recommended dosing of 4</w:t>
      </w:r>
      <w:r w:rsidR="00A45724">
        <w:rPr>
          <w:szCs w:val="22"/>
        </w:rPr>
        <w:t xml:space="preserve"> </w:t>
      </w:r>
      <w:r w:rsidR="00603698">
        <w:rPr>
          <w:szCs w:val="22"/>
        </w:rPr>
        <w:t>mg/kg) require</w:t>
      </w:r>
      <w:r>
        <w:rPr>
          <w:szCs w:val="22"/>
        </w:rPr>
        <w:t>s</w:t>
      </w:r>
      <w:r w:rsidR="00603698">
        <w:rPr>
          <w:szCs w:val="22"/>
        </w:rPr>
        <w:t xml:space="preserve"> 1 vial of 150</w:t>
      </w:r>
      <w:r w:rsidR="00A45724">
        <w:rPr>
          <w:szCs w:val="22"/>
        </w:rPr>
        <w:t xml:space="preserve"> </w:t>
      </w:r>
      <w:r w:rsidR="00603698">
        <w:rPr>
          <w:szCs w:val="22"/>
        </w:rPr>
        <w:t>mg every 4 weeks, at a cost of $</w:t>
      </w:r>
      <w:r w:rsidR="00DC035A">
        <w:rPr>
          <w:noProof/>
          <w:color w:val="000000"/>
          <w:szCs w:val="22"/>
          <w:highlight w:val="black"/>
        </w:rPr>
        <w:t>'''''''''''''''''''</w:t>
      </w:r>
      <w:r>
        <w:rPr>
          <w:szCs w:val="22"/>
        </w:rPr>
        <w:t>.</w:t>
      </w:r>
      <w:r w:rsidR="00603698">
        <w:rPr>
          <w:szCs w:val="22"/>
        </w:rPr>
        <w:t xml:space="preserve"> </w:t>
      </w:r>
      <w:r>
        <w:rPr>
          <w:szCs w:val="22"/>
        </w:rPr>
        <w:t>P</w:t>
      </w:r>
      <w:r w:rsidR="001B33A0">
        <w:rPr>
          <w:szCs w:val="22"/>
        </w:rPr>
        <w:t>atients &gt;37.5</w:t>
      </w:r>
      <w:r w:rsidR="00A45724">
        <w:rPr>
          <w:szCs w:val="22"/>
        </w:rPr>
        <w:t> </w:t>
      </w:r>
      <w:r w:rsidR="001B33A0">
        <w:rPr>
          <w:szCs w:val="22"/>
        </w:rPr>
        <w:t>kg</w:t>
      </w:r>
      <w:r w:rsidR="00603698">
        <w:rPr>
          <w:szCs w:val="22"/>
        </w:rPr>
        <w:t xml:space="preserve"> require 2</w:t>
      </w:r>
      <w:r w:rsidR="00276DCB">
        <w:rPr>
          <w:szCs w:val="22"/>
        </w:rPr>
        <w:t> </w:t>
      </w:r>
      <w:r w:rsidR="00603698">
        <w:rPr>
          <w:szCs w:val="22"/>
        </w:rPr>
        <w:t>vials</w:t>
      </w:r>
      <w:r w:rsidR="001B33A0">
        <w:rPr>
          <w:szCs w:val="22"/>
        </w:rPr>
        <w:t xml:space="preserve"> of 15</w:t>
      </w:r>
      <w:r>
        <w:rPr>
          <w:szCs w:val="22"/>
        </w:rPr>
        <w:t>0</w:t>
      </w:r>
      <w:r w:rsidR="00276DCB">
        <w:rPr>
          <w:szCs w:val="22"/>
        </w:rPr>
        <w:t xml:space="preserve"> </w:t>
      </w:r>
      <w:r>
        <w:rPr>
          <w:szCs w:val="22"/>
        </w:rPr>
        <w:t>mg</w:t>
      </w:r>
      <w:r w:rsidR="00603698">
        <w:rPr>
          <w:szCs w:val="22"/>
        </w:rPr>
        <w:t>, so the cost will be $</w:t>
      </w:r>
      <w:r w:rsidR="00DC035A">
        <w:rPr>
          <w:noProof/>
          <w:color w:val="000000"/>
          <w:szCs w:val="22"/>
          <w:highlight w:val="black"/>
        </w:rPr>
        <w:t>'''''''''''''''''''''</w:t>
      </w:r>
      <w:r w:rsidR="001B33A0">
        <w:rPr>
          <w:szCs w:val="22"/>
        </w:rPr>
        <w:t>. The course of the disease will depend on whether the patient responds to treatment. A patient of &lt;37.5 kg who continues to respond and is treated for the entire year will have 13 cycles at a total cost of $</w:t>
      </w:r>
      <w:r w:rsidR="00DC035A">
        <w:rPr>
          <w:noProof/>
          <w:color w:val="000000"/>
          <w:szCs w:val="22"/>
          <w:highlight w:val="black"/>
        </w:rPr>
        <w:t>'''''''''''''''''''''''</w:t>
      </w:r>
      <w:r w:rsidR="001B33A0">
        <w:rPr>
          <w:szCs w:val="22"/>
        </w:rPr>
        <w:t xml:space="preserve"> and for those requiring 2 vials per treatment the total cost will be $</w:t>
      </w:r>
      <w:r w:rsidR="00DC035A">
        <w:rPr>
          <w:noProof/>
          <w:color w:val="000000"/>
          <w:szCs w:val="22"/>
          <w:highlight w:val="black"/>
        </w:rPr>
        <w:t>'''''''''''''''''''''''''</w:t>
      </w:r>
      <w:r w:rsidR="001B33A0">
        <w:rPr>
          <w:szCs w:val="22"/>
        </w:rPr>
        <w:t xml:space="preserve">. </w:t>
      </w:r>
    </w:p>
    <w:p w:rsidR="00B36CB8" w:rsidRPr="001E2B1E" w:rsidRDefault="00B36CB8" w:rsidP="001456B0">
      <w:pPr>
        <w:rPr>
          <w:szCs w:val="22"/>
        </w:rPr>
      </w:pPr>
    </w:p>
    <w:p w:rsidR="00B60939" w:rsidRPr="002C2775" w:rsidRDefault="00B60939" w:rsidP="002C2775">
      <w:pPr>
        <w:pStyle w:val="Heading2"/>
        <w:rPr>
          <w:i/>
        </w:rPr>
      </w:pPr>
      <w:bookmarkStart w:id="12" w:name="_Toc409168640"/>
      <w:r w:rsidRPr="002C2775">
        <w:rPr>
          <w:i/>
        </w:rPr>
        <w:t>Estimated PBS usage &amp; financial implications</w:t>
      </w:r>
      <w:bookmarkEnd w:id="12"/>
    </w:p>
    <w:p w:rsidR="00B60939" w:rsidRPr="00882085" w:rsidRDefault="00B60939" w:rsidP="00B60939">
      <w:pPr>
        <w:ind w:left="720" w:hanging="720"/>
        <w:rPr>
          <w:b/>
          <w:i/>
          <w:szCs w:val="22"/>
        </w:rPr>
      </w:pPr>
    </w:p>
    <w:p w:rsidR="00872A39" w:rsidRPr="00872A39" w:rsidRDefault="001E54DF" w:rsidP="00490F0E">
      <w:pPr>
        <w:pStyle w:val="ListParagraph"/>
        <w:numPr>
          <w:ilvl w:val="1"/>
          <w:numId w:val="2"/>
        </w:numPr>
        <w:rPr>
          <w:szCs w:val="22"/>
        </w:rPr>
      </w:pPr>
      <w:r>
        <w:t xml:space="preserve">This submission </w:t>
      </w:r>
      <w:r w:rsidR="00AF2F47">
        <w:t>was not</w:t>
      </w:r>
      <w:r w:rsidR="00C25D9C">
        <w:t xml:space="preserve"> considered by DUSC</w:t>
      </w:r>
      <w:r w:rsidR="00C25D9C" w:rsidRPr="00B50DB8">
        <w:rPr>
          <w:color w:val="0070C0"/>
        </w:rPr>
        <w:t xml:space="preserve">. </w:t>
      </w:r>
    </w:p>
    <w:p w:rsidR="00872A39" w:rsidRPr="00872A39" w:rsidRDefault="00872A39" w:rsidP="00872A39">
      <w:pPr>
        <w:pStyle w:val="ListParagraph"/>
        <w:rPr>
          <w:szCs w:val="22"/>
        </w:rPr>
      </w:pPr>
    </w:p>
    <w:p w:rsidR="00C25D9C" w:rsidRPr="001E54DF" w:rsidRDefault="001E54DF" w:rsidP="00490F0E">
      <w:pPr>
        <w:pStyle w:val="ListParagraph"/>
        <w:numPr>
          <w:ilvl w:val="1"/>
          <w:numId w:val="2"/>
        </w:numPr>
        <w:rPr>
          <w:szCs w:val="22"/>
        </w:rPr>
      </w:pPr>
      <w:r w:rsidRPr="001E54DF">
        <w:t xml:space="preserve">The submission </w:t>
      </w:r>
      <w:r w:rsidR="00AF2F47" w:rsidRPr="001E54DF">
        <w:t>use</w:t>
      </w:r>
      <w:r w:rsidR="00AF2F47">
        <w:t>d</w:t>
      </w:r>
      <w:r w:rsidR="00AF2F47" w:rsidRPr="001E54DF">
        <w:t xml:space="preserve"> </w:t>
      </w:r>
      <w:r w:rsidRPr="001E54DF">
        <w:t>a market share approach to estimate the extent of use and financial implications of the requested listing for canakinumab</w:t>
      </w:r>
      <w:r>
        <w:rPr>
          <w:color w:val="0070C0"/>
        </w:rPr>
        <w:t>.</w:t>
      </w:r>
    </w:p>
    <w:p w:rsidR="001E54DF" w:rsidRPr="001E54DF" w:rsidRDefault="001E54DF" w:rsidP="001E54DF">
      <w:pPr>
        <w:rPr>
          <w:szCs w:val="22"/>
        </w:rPr>
      </w:pPr>
    </w:p>
    <w:p w:rsidR="00C25D9C" w:rsidRDefault="00C25D9C" w:rsidP="00DD4D24">
      <w:pPr>
        <w:keepNext/>
        <w:keepLines/>
        <w:ind w:firstLine="709"/>
        <w:rPr>
          <w:rStyle w:val="CommentReference"/>
        </w:rPr>
      </w:pPr>
      <w:r w:rsidRPr="001222FC">
        <w:rPr>
          <w:rStyle w:val="CommentReference"/>
        </w:rPr>
        <w:t>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Estimated PBS usage &amp; financial implications"/>
        <w:tblDescription w:val="Year 1 to 5"/>
      </w:tblPr>
      <w:tblGrid>
        <w:gridCol w:w="2269"/>
        <w:gridCol w:w="1134"/>
        <w:gridCol w:w="1133"/>
        <w:gridCol w:w="1275"/>
        <w:gridCol w:w="1275"/>
        <w:gridCol w:w="1260"/>
      </w:tblGrid>
      <w:tr w:rsidR="00C25D9C" w:rsidRPr="004E2ADC" w:rsidTr="005D044D">
        <w:trPr>
          <w:tblHeader/>
        </w:trPr>
        <w:tc>
          <w:tcPr>
            <w:tcW w:w="1359" w:type="pct"/>
            <w:shd w:val="clear" w:color="auto" w:fill="auto"/>
            <w:vAlign w:val="center"/>
          </w:tcPr>
          <w:p w:rsidR="00C25D9C" w:rsidRPr="004E2ADC" w:rsidRDefault="00C25D9C" w:rsidP="00DD4D24">
            <w:pPr>
              <w:keepNext/>
              <w:keepLines/>
              <w:tabs>
                <w:tab w:val="left" w:pos="142"/>
              </w:tabs>
              <w:jc w:val="left"/>
              <w:rPr>
                <w:rFonts w:ascii="Arial Narrow" w:hAnsi="Arial Narrow"/>
                <w:b/>
                <w:sz w:val="20"/>
              </w:rPr>
            </w:pPr>
          </w:p>
        </w:tc>
        <w:tc>
          <w:tcPr>
            <w:tcW w:w="679" w:type="pct"/>
            <w:shd w:val="clear" w:color="auto" w:fill="auto"/>
            <w:vAlign w:val="center"/>
          </w:tcPr>
          <w:p w:rsidR="00C25D9C" w:rsidRPr="004E2ADC" w:rsidRDefault="00C25D9C" w:rsidP="00DD4D24">
            <w:pPr>
              <w:keepNext/>
              <w:keepLines/>
              <w:jc w:val="center"/>
              <w:rPr>
                <w:rFonts w:ascii="Arial Narrow" w:hAnsi="Arial Narrow"/>
                <w:b/>
                <w:sz w:val="20"/>
              </w:rPr>
            </w:pPr>
            <w:r w:rsidRPr="004E2ADC">
              <w:rPr>
                <w:rFonts w:ascii="Arial Narrow" w:hAnsi="Arial Narrow"/>
                <w:b/>
                <w:sz w:val="20"/>
              </w:rPr>
              <w:t>Year 1</w:t>
            </w:r>
          </w:p>
        </w:tc>
        <w:tc>
          <w:tcPr>
            <w:tcW w:w="679" w:type="pct"/>
            <w:shd w:val="clear" w:color="auto" w:fill="auto"/>
            <w:vAlign w:val="center"/>
          </w:tcPr>
          <w:p w:rsidR="00C25D9C" w:rsidRPr="004E2ADC" w:rsidRDefault="00C25D9C" w:rsidP="00DD4D24">
            <w:pPr>
              <w:keepNext/>
              <w:keepLines/>
              <w:jc w:val="center"/>
              <w:rPr>
                <w:rFonts w:ascii="Arial Narrow" w:hAnsi="Arial Narrow"/>
                <w:b/>
                <w:sz w:val="20"/>
              </w:rPr>
            </w:pPr>
            <w:r w:rsidRPr="004E2ADC">
              <w:rPr>
                <w:rFonts w:ascii="Arial Narrow" w:hAnsi="Arial Narrow"/>
                <w:b/>
                <w:sz w:val="20"/>
              </w:rPr>
              <w:t>Year 2</w:t>
            </w:r>
          </w:p>
        </w:tc>
        <w:tc>
          <w:tcPr>
            <w:tcW w:w="764" w:type="pct"/>
            <w:shd w:val="clear" w:color="auto" w:fill="auto"/>
            <w:vAlign w:val="center"/>
          </w:tcPr>
          <w:p w:rsidR="00C25D9C" w:rsidRPr="004E2ADC" w:rsidRDefault="00C25D9C" w:rsidP="00DD4D24">
            <w:pPr>
              <w:keepNext/>
              <w:keepLines/>
              <w:jc w:val="center"/>
              <w:rPr>
                <w:rFonts w:ascii="Arial Narrow" w:hAnsi="Arial Narrow"/>
                <w:b/>
                <w:sz w:val="20"/>
              </w:rPr>
            </w:pPr>
            <w:r w:rsidRPr="004E2ADC">
              <w:rPr>
                <w:rFonts w:ascii="Arial Narrow" w:hAnsi="Arial Narrow"/>
                <w:b/>
                <w:sz w:val="20"/>
              </w:rPr>
              <w:t>Year 3</w:t>
            </w:r>
          </w:p>
        </w:tc>
        <w:tc>
          <w:tcPr>
            <w:tcW w:w="764" w:type="pct"/>
            <w:shd w:val="clear" w:color="auto" w:fill="auto"/>
            <w:vAlign w:val="center"/>
          </w:tcPr>
          <w:p w:rsidR="00C25D9C" w:rsidRPr="004E2ADC" w:rsidRDefault="00C25D9C" w:rsidP="00DD4D24">
            <w:pPr>
              <w:keepNext/>
              <w:keepLines/>
              <w:jc w:val="center"/>
              <w:rPr>
                <w:rFonts w:ascii="Arial Narrow" w:hAnsi="Arial Narrow"/>
                <w:b/>
                <w:sz w:val="20"/>
              </w:rPr>
            </w:pPr>
            <w:r w:rsidRPr="004E2ADC">
              <w:rPr>
                <w:rFonts w:ascii="Arial Narrow" w:hAnsi="Arial Narrow"/>
                <w:b/>
                <w:sz w:val="20"/>
              </w:rPr>
              <w:t>Year 4</w:t>
            </w:r>
          </w:p>
        </w:tc>
        <w:tc>
          <w:tcPr>
            <w:tcW w:w="755" w:type="pct"/>
            <w:shd w:val="clear" w:color="auto" w:fill="auto"/>
            <w:vAlign w:val="center"/>
          </w:tcPr>
          <w:p w:rsidR="00C25D9C" w:rsidRPr="004E2ADC" w:rsidRDefault="00C25D9C" w:rsidP="00DD4D24">
            <w:pPr>
              <w:keepNext/>
              <w:keepLines/>
              <w:jc w:val="center"/>
              <w:rPr>
                <w:rFonts w:ascii="Arial Narrow" w:hAnsi="Arial Narrow"/>
                <w:b/>
                <w:sz w:val="20"/>
              </w:rPr>
            </w:pPr>
            <w:r w:rsidRPr="004E2ADC">
              <w:rPr>
                <w:rFonts w:ascii="Arial Narrow" w:hAnsi="Arial Narrow"/>
                <w:b/>
                <w:sz w:val="20"/>
              </w:rPr>
              <w:t>Year 5</w:t>
            </w:r>
          </w:p>
        </w:tc>
      </w:tr>
      <w:tr w:rsidR="00C25D9C" w:rsidRPr="004E2ADC" w:rsidTr="005D044D">
        <w:tc>
          <w:tcPr>
            <w:tcW w:w="5000" w:type="pct"/>
            <w:gridSpan w:val="6"/>
            <w:shd w:val="clear" w:color="auto" w:fill="auto"/>
            <w:vAlign w:val="center"/>
          </w:tcPr>
          <w:p w:rsidR="00C25D9C" w:rsidRPr="004E2ADC" w:rsidRDefault="00C25D9C" w:rsidP="00DD4D24">
            <w:pPr>
              <w:keepNext/>
              <w:keepLines/>
              <w:jc w:val="left"/>
              <w:rPr>
                <w:rFonts w:ascii="Arial Narrow" w:hAnsi="Arial Narrow"/>
                <w:b/>
                <w:bCs/>
                <w:color w:val="000000"/>
                <w:sz w:val="20"/>
              </w:rPr>
            </w:pPr>
            <w:r w:rsidRPr="004E2ADC">
              <w:rPr>
                <w:rFonts w:ascii="Arial Narrow" w:hAnsi="Arial Narrow"/>
                <w:b/>
                <w:bCs/>
                <w:color w:val="000000"/>
                <w:sz w:val="20"/>
              </w:rPr>
              <w:t>Estimated extent of use</w:t>
            </w:r>
          </w:p>
        </w:tc>
      </w:tr>
      <w:tr w:rsidR="00C25D9C" w:rsidRPr="004E2ADC" w:rsidTr="005D044D">
        <w:tc>
          <w:tcPr>
            <w:tcW w:w="1359" w:type="pct"/>
            <w:shd w:val="clear" w:color="auto" w:fill="auto"/>
            <w:vAlign w:val="center"/>
          </w:tcPr>
          <w:p w:rsidR="00C25D9C" w:rsidRPr="004E2ADC" w:rsidRDefault="00C25D9C" w:rsidP="00DD4D24">
            <w:pPr>
              <w:keepNext/>
              <w:keepLines/>
              <w:tabs>
                <w:tab w:val="left" w:pos="142"/>
              </w:tabs>
              <w:jc w:val="left"/>
              <w:rPr>
                <w:rFonts w:ascii="Arial Narrow" w:hAnsi="Arial Narrow"/>
                <w:sz w:val="20"/>
              </w:rPr>
            </w:pPr>
            <w:r w:rsidRPr="004E2ADC">
              <w:rPr>
                <w:rFonts w:ascii="Arial Narrow" w:hAnsi="Arial Narrow"/>
                <w:sz w:val="20"/>
              </w:rPr>
              <w:t>Number treated</w:t>
            </w:r>
          </w:p>
        </w:tc>
        <w:tc>
          <w:tcPr>
            <w:tcW w:w="679" w:type="pct"/>
            <w:shd w:val="clear" w:color="auto" w:fill="auto"/>
            <w:vAlign w:val="center"/>
          </w:tcPr>
          <w:p w:rsidR="00C25D9C" w:rsidRPr="00DC035A" w:rsidRDefault="00DC035A" w:rsidP="00DD4D24">
            <w:pPr>
              <w:keepNext/>
              <w:keepLines/>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679" w:type="pct"/>
            <w:shd w:val="clear" w:color="auto" w:fill="auto"/>
            <w:vAlign w:val="center"/>
          </w:tcPr>
          <w:p w:rsidR="00C25D9C" w:rsidRPr="00DC035A" w:rsidRDefault="00DC035A" w:rsidP="00DD4D24">
            <w:pPr>
              <w:keepNext/>
              <w:keepLines/>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64" w:type="pct"/>
            <w:shd w:val="clear" w:color="auto" w:fill="auto"/>
            <w:vAlign w:val="center"/>
          </w:tcPr>
          <w:p w:rsidR="00C25D9C" w:rsidRPr="00DC035A" w:rsidRDefault="00DC035A" w:rsidP="00DD4D24">
            <w:pPr>
              <w:keepNext/>
              <w:keepLines/>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64" w:type="pct"/>
            <w:shd w:val="clear" w:color="auto" w:fill="auto"/>
            <w:vAlign w:val="center"/>
          </w:tcPr>
          <w:p w:rsidR="00C25D9C" w:rsidRPr="00DC035A" w:rsidRDefault="00DC035A" w:rsidP="00DD4D24">
            <w:pPr>
              <w:keepNext/>
              <w:keepLines/>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55" w:type="pct"/>
            <w:shd w:val="clear" w:color="auto" w:fill="auto"/>
            <w:vAlign w:val="center"/>
          </w:tcPr>
          <w:p w:rsidR="00C25D9C" w:rsidRPr="00DC035A" w:rsidRDefault="00DC035A" w:rsidP="00DD4D24">
            <w:pPr>
              <w:keepNext/>
              <w:keepLines/>
              <w:jc w:val="center"/>
              <w:rPr>
                <w:rFonts w:ascii="Arial Narrow" w:hAnsi="Arial Narrow"/>
                <w:bCs/>
                <w:color w:val="000000"/>
                <w:sz w:val="20"/>
                <w:highlight w:val="black"/>
              </w:rPr>
            </w:pPr>
            <w:r>
              <w:rPr>
                <w:rFonts w:ascii="Arial Narrow" w:hAnsi="Arial Narrow"/>
                <w:bCs/>
                <w:noProof/>
                <w:color w:val="000000"/>
                <w:sz w:val="20"/>
                <w:highlight w:val="black"/>
              </w:rPr>
              <w:t>''''''</w:t>
            </w:r>
          </w:p>
        </w:tc>
      </w:tr>
      <w:tr w:rsidR="00C25D9C" w:rsidRPr="004E2ADC" w:rsidTr="005D044D">
        <w:tc>
          <w:tcPr>
            <w:tcW w:w="1359" w:type="pct"/>
            <w:shd w:val="clear" w:color="auto" w:fill="auto"/>
            <w:vAlign w:val="center"/>
          </w:tcPr>
          <w:p w:rsidR="00C25D9C" w:rsidRPr="004E2ADC" w:rsidRDefault="00C25D9C" w:rsidP="00DD4D24">
            <w:pPr>
              <w:keepNext/>
              <w:keepLines/>
              <w:tabs>
                <w:tab w:val="left" w:pos="142"/>
              </w:tabs>
              <w:jc w:val="left"/>
              <w:rPr>
                <w:rFonts w:ascii="Arial Narrow" w:hAnsi="Arial Narrow"/>
                <w:sz w:val="20"/>
              </w:rPr>
            </w:pPr>
            <w:r w:rsidRPr="004E2ADC">
              <w:rPr>
                <w:rFonts w:ascii="Arial Narrow" w:hAnsi="Arial Narrow"/>
                <w:sz w:val="20"/>
              </w:rPr>
              <w:t>Market share</w:t>
            </w:r>
          </w:p>
        </w:tc>
        <w:tc>
          <w:tcPr>
            <w:tcW w:w="679" w:type="pct"/>
            <w:shd w:val="clear" w:color="auto" w:fill="auto"/>
            <w:vAlign w:val="center"/>
          </w:tcPr>
          <w:p w:rsidR="00C25D9C" w:rsidRPr="004E2ADC" w:rsidRDefault="00DC035A" w:rsidP="00DD4D24">
            <w:pPr>
              <w:keepNext/>
              <w:keepLines/>
              <w:jc w:val="center"/>
              <w:rPr>
                <w:rFonts w:ascii="Arial Narrow" w:hAnsi="Arial Narrow"/>
                <w:bCs/>
                <w:color w:val="000000"/>
                <w:sz w:val="20"/>
              </w:rPr>
            </w:pPr>
            <w:r>
              <w:rPr>
                <w:rFonts w:ascii="Arial Narrow" w:hAnsi="Arial Narrow"/>
                <w:bCs/>
                <w:noProof/>
                <w:color w:val="000000"/>
                <w:sz w:val="20"/>
                <w:highlight w:val="black"/>
              </w:rPr>
              <w:t>''''''</w:t>
            </w:r>
            <w:r w:rsidR="00C25D9C" w:rsidRPr="004E2ADC">
              <w:rPr>
                <w:rFonts w:ascii="Arial Narrow" w:hAnsi="Arial Narrow"/>
                <w:bCs/>
                <w:color w:val="000000"/>
                <w:sz w:val="20"/>
              </w:rPr>
              <w:t>%</w:t>
            </w:r>
          </w:p>
        </w:tc>
        <w:tc>
          <w:tcPr>
            <w:tcW w:w="679" w:type="pct"/>
            <w:shd w:val="clear" w:color="auto" w:fill="auto"/>
            <w:vAlign w:val="center"/>
          </w:tcPr>
          <w:p w:rsidR="00C25D9C" w:rsidRPr="004E2ADC" w:rsidRDefault="00DC035A" w:rsidP="00DD4D24">
            <w:pPr>
              <w:keepNext/>
              <w:keepLines/>
              <w:jc w:val="center"/>
              <w:rPr>
                <w:rFonts w:ascii="Arial Narrow" w:hAnsi="Arial Narrow"/>
                <w:bCs/>
                <w:color w:val="000000"/>
                <w:sz w:val="20"/>
              </w:rPr>
            </w:pPr>
            <w:r>
              <w:rPr>
                <w:rFonts w:ascii="Arial Narrow" w:hAnsi="Arial Narrow"/>
                <w:bCs/>
                <w:noProof/>
                <w:color w:val="000000"/>
                <w:sz w:val="20"/>
                <w:highlight w:val="black"/>
              </w:rPr>
              <w:t>'''''''</w:t>
            </w:r>
            <w:r w:rsidR="00C25D9C" w:rsidRPr="004E2ADC">
              <w:rPr>
                <w:rFonts w:ascii="Arial Narrow" w:hAnsi="Arial Narrow"/>
                <w:bCs/>
                <w:color w:val="000000"/>
                <w:sz w:val="20"/>
              </w:rPr>
              <w:t>%</w:t>
            </w:r>
          </w:p>
        </w:tc>
        <w:tc>
          <w:tcPr>
            <w:tcW w:w="764" w:type="pct"/>
            <w:shd w:val="clear" w:color="auto" w:fill="auto"/>
            <w:vAlign w:val="center"/>
          </w:tcPr>
          <w:p w:rsidR="00C25D9C" w:rsidRPr="004E2ADC" w:rsidRDefault="00DC035A" w:rsidP="00DD4D24">
            <w:pPr>
              <w:keepNext/>
              <w:keepLines/>
              <w:jc w:val="center"/>
              <w:rPr>
                <w:rFonts w:ascii="Arial Narrow" w:hAnsi="Arial Narrow"/>
                <w:bCs/>
                <w:color w:val="000000"/>
                <w:sz w:val="20"/>
              </w:rPr>
            </w:pPr>
            <w:r>
              <w:rPr>
                <w:rFonts w:ascii="Arial Narrow" w:hAnsi="Arial Narrow"/>
                <w:bCs/>
                <w:noProof/>
                <w:color w:val="000000"/>
                <w:sz w:val="20"/>
                <w:highlight w:val="black"/>
              </w:rPr>
              <w:t>''''''</w:t>
            </w:r>
            <w:r w:rsidR="00C25D9C" w:rsidRPr="004E2ADC">
              <w:rPr>
                <w:rFonts w:ascii="Arial Narrow" w:hAnsi="Arial Narrow"/>
                <w:bCs/>
                <w:color w:val="000000"/>
                <w:sz w:val="20"/>
              </w:rPr>
              <w:t>%</w:t>
            </w:r>
          </w:p>
        </w:tc>
        <w:tc>
          <w:tcPr>
            <w:tcW w:w="764" w:type="pct"/>
            <w:shd w:val="clear" w:color="auto" w:fill="auto"/>
            <w:vAlign w:val="center"/>
          </w:tcPr>
          <w:p w:rsidR="00C25D9C" w:rsidRPr="004E2ADC" w:rsidRDefault="00DC035A" w:rsidP="00DD4D24">
            <w:pPr>
              <w:keepNext/>
              <w:keepLines/>
              <w:jc w:val="center"/>
              <w:rPr>
                <w:rFonts w:ascii="Arial Narrow" w:hAnsi="Arial Narrow"/>
                <w:bCs/>
                <w:color w:val="000000"/>
                <w:sz w:val="20"/>
              </w:rPr>
            </w:pPr>
            <w:r>
              <w:rPr>
                <w:rFonts w:ascii="Arial Narrow" w:hAnsi="Arial Narrow"/>
                <w:bCs/>
                <w:noProof/>
                <w:color w:val="000000"/>
                <w:sz w:val="20"/>
                <w:highlight w:val="black"/>
              </w:rPr>
              <w:t>'''''</w:t>
            </w:r>
            <w:r w:rsidR="00C25D9C" w:rsidRPr="004E2ADC">
              <w:rPr>
                <w:rFonts w:ascii="Arial Narrow" w:hAnsi="Arial Narrow"/>
                <w:bCs/>
                <w:color w:val="000000"/>
                <w:sz w:val="20"/>
              </w:rPr>
              <w:t>%</w:t>
            </w:r>
          </w:p>
        </w:tc>
        <w:tc>
          <w:tcPr>
            <w:tcW w:w="755" w:type="pct"/>
            <w:shd w:val="clear" w:color="auto" w:fill="auto"/>
            <w:vAlign w:val="center"/>
          </w:tcPr>
          <w:p w:rsidR="00C25D9C" w:rsidRPr="004E2ADC" w:rsidRDefault="00DC035A" w:rsidP="00DD4D24">
            <w:pPr>
              <w:keepNext/>
              <w:keepLines/>
              <w:jc w:val="center"/>
              <w:rPr>
                <w:rFonts w:ascii="Arial Narrow" w:hAnsi="Arial Narrow"/>
                <w:bCs/>
                <w:color w:val="000000"/>
                <w:sz w:val="20"/>
              </w:rPr>
            </w:pPr>
            <w:r>
              <w:rPr>
                <w:rFonts w:ascii="Arial Narrow" w:hAnsi="Arial Narrow"/>
                <w:bCs/>
                <w:noProof/>
                <w:color w:val="000000"/>
                <w:sz w:val="20"/>
                <w:highlight w:val="black"/>
              </w:rPr>
              <w:t>'''''</w:t>
            </w:r>
            <w:r w:rsidR="00C25D9C" w:rsidRPr="004E2ADC">
              <w:rPr>
                <w:rFonts w:ascii="Arial Narrow" w:hAnsi="Arial Narrow"/>
                <w:bCs/>
                <w:color w:val="000000"/>
                <w:sz w:val="20"/>
              </w:rPr>
              <w:t>%</w:t>
            </w:r>
          </w:p>
        </w:tc>
      </w:tr>
      <w:tr w:rsidR="00C25D9C" w:rsidRPr="004E2ADC" w:rsidTr="005D044D">
        <w:tc>
          <w:tcPr>
            <w:tcW w:w="1359" w:type="pct"/>
            <w:shd w:val="clear" w:color="auto" w:fill="auto"/>
            <w:vAlign w:val="center"/>
          </w:tcPr>
          <w:p w:rsidR="00C25D9C" w:rsidRPr="004E2ADC" w:rsidRDefault="00C25D9C" w:rsidP="00DD4D24">
            <w:pPr>
              <w:keepNext/>
              <w:keepLines/>
              <w:tabs>
                <w:tab w:val="left" w:pos="142"/>
              </w:tabs>
              <w:jc w:val="left"/>
              <w:rPr>
                <w:rFonts w:ascii="Arial Narrow" w:hAnsi="Arial Narrow"/>
                <w:sz w:val="20"/>
              </w:rPr>
            </w:pPr>
            <w:r w:rsidRPr="004E2ADC">
              <w:rPr>
                <w:rFonts w:ascii="Arial Narrow" w:hAnsi="Arial Narrow"/>
                <w:sz w:val="20"/>
              </w:rPr>
              <w:t>Scripts</w:t>
            </w:r>
            <w:r w:rsidRPr="004E2ADC">
              <w:rPr>
                <w:rFonts w:ascii="Arial Narrow" w:hAnsi="Arial Narrow"/>
                <w:sz w:val="20"/>
                <w:vertAlign w:val="superscript"/>
              </w:rPr>
              <w:t>a</w:t>
            </w:r>
          </w:p>
        </w:tc>
        <w:tc>
          <w:tcPr>
            <w:tcW w:w="679" w:type="pct"/>
            <w:shd w:val="clear" w:color="auto" w:fill="auto"/>
            <w:vAlign w:val="center"/>
          </w:tcPr>
          <w:p w:rsidR="00C25D9C" w:rsidRPr="00DC035A" w:rsidRDefault="00DC035A" w:rsidP="00DD4D24">
            <w:pPr>
              <w:keepNext/>
              <w:keepLines/>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679" w:type="pct"/>
            <w:shd w:val="clear" w:color="auto" w:fill="auto"/>
            <w:vAlign w:val="center"/>
          </w:tcPr>
          <w:p w:rsidR="00C25D9C" w:rsidRPr="00DC035A" w:rsidRDefault="00DC035A" w:rsidP="00DD4D24">
            <w:pPr>
              <w:keepNext/>
              <w:keepLines/>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64" w:type="pct"/>
            <w:shd w:val="clear" w:color="auto" w:fill="auto"/>
            <w:vAlign w:val="center"/>
          </w:tcPr>
          <w:p w:rsidR="00C25D9C" w:rsidRPr="00DC035A" w:rsidRDefault="00DC035A" w:rsidP="00DD4D24">
            <w:pPr>
              <w:keepNext/>
              <w:keepLines/>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64" w:type="pct"/>
            <w:shd w:val="clear" w:color="auto" w:fill="auto"/>
            <w:vAlign w:val="center"/>
          </w:tcPr>
          <w:p w:rsidR="00C25D9C" w:rsidRPr="00DC035A" w:rsidRDefault="00DC035A" w:rsidP="00DD4D24">
            <w:pPr>
              <w:keepNext/>
              <w:keepLines/>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55" w:type="pct"/>
            <w:shd w:val="clear" w:color="auto" w:fill="auto"/>
            <w:vAlign w:val="center"/>
          </w:tcPr>
          <w:p w:rsidR="00C25D9C" w:rsidRPr="00DC035A" w:rsidRDefault="00DC035A" w:rsidP="00DD4D24">
            <w:pPr>
              <w:keepNext/>
              <w:keepLines/>
              <w:jc w:val="center"/>
              <w:rPr>
                <w:rFonts w:ascii="Arial Narrow" w:hAnsi="Arial Narrow"/>
                <w:bCs/>
                <w:color w:val="000000"/>
                <w:sz w:val="20"/>
                <w:highlight w:val="black"/>
              </w:rPr>
            </w:pPr>
            <w:r>
              <w:rPr>
                <w:rFonts w:ascii="Arial Narrow" w:hAnsi="Arial Narrow"/>
                <w:bCs/>
                <w:noProof/>
                <w:color w:val="000000"/>
                <w:sz w:val="20"/>
                <w:highlight w:val="black"/>
              </w:rPr>
              <w:t>'''''''''</w:t>
            </w:r>
          </w:p>
        </w:tc>
      </w:tr>
      <w:tr w:rsidR="00C25D9C" w:rsidRPr="004E2ADC" w:rsidTr="005D044D">
        <w:tc>
          <w:tcPr>
            <w:tcW w:w="5000" w:type="pct"/>
            <w:gridSpan w:val="6"/>
            <w:shd w:val="clear" w:color="auto" w:fill="auto"/>
            <w:vAlign w:val="center"/>
          </w:tcPr>
          <w:p w:rsidR="00C25D9C" w:rsidRPr="004E2ADC" w:rsidRDefault="00C25D9C" w:rsidP="00DD4D24">
            <w:pPr>
              <w:keepNext/>
              <w:keepLines/>
              <w:jc w:val="left"/>
              <w:rPr>
                <w:rFonts w:ascii="Arial Narrow" w:hAnsi="Arial Narrow"/>
                <w:b/>
                <w:bCs/>
                <w:color w:val="000000"/>
                <w:sz w:val="20"/>
              </w:rPr>
            </w:pPr>
            <w:r w:rsidRPr="004E2ADC">
              <w:rPr>
                <w:rFonts w:ascii="Arial Narrow" w:hAnsi="Arial Narrow"/>
                <w:b/>
                <w:bCs/>
                <w:color w:val="000000"/>
                <w:sz w:val="20"/>
              </w:rPr>
              <w:t>Estimated net cost to PBS/MBS</w:t>
            </w:r>
          </w:p>
        </w:tc>
      </w:tr>
      <w:tr w:rsidR="00C25D9C" w:rsidRPr="004E2ADC" w:rsidTr="005D044D">
        <w:tc>
          <w:tcPr>
            <w:tcW w:w="1359" w:type="pct"/>
            <w:shd w:val="clear" w:color="auto" w:fill="auto"/>
            <w:vAlign w:val="center"/>
          </w:tcPr>
          <w:p w:rsidR="00C25D9C" w:rsidRPr="004E2ADC" w:rsidRDefault="00C25D9C" w:rsidP="00DD4D24">
            <w:pPr>
              <w:keepNext/>
              <w:keepLines/>
              <w:tabs>
                <w:tab w:val="left" w:pos="142"/>
              </w:tabs>
              <w:jc w:val="left"/>
              <w:rPr>
                <w:rFonts w:ascii="Arial Narrow" w:hAnsi="Arial Narrow"/>
                <w:sz w:val="20"/>
              </w:rPr>
            </w:pPr>
            <w:r w:rsidRPr="004E2ADC">
              <w:rPr>
                <w:rFonts w:ascii="Arial Narrow" w:hAnsi="Arial Narrow"/>
                <w:sz w:val="19"/>
                <w:szCs w:val="19"/>
              </w:rPr>
              <w:t>Net cost to PBS</w:t>
            </w:r>
          </w:p>
        </w:tc>
        <w:tc>
          <w:tcPr>
            <w:tcW w:w="679" w:type="pct"/>
            <w:shd w:val="clear" w:color="auto" w:fill="auto"/>
            <w:vAlign w:val="center"/>
          </w:tcPr>
          <w:p w:rsidR="00C25D9C" w:rsidRPr="004E2ADC" w:rsidRDefault="00C25D9C" w:rsidP="00DD4D24">
            <w:pPr>
              <w:keepNext/>
              <w:keepLines/>
              <w:jc w:val="center"/>
              <w:rPr>
                <w:rFonts w:ascii="Arial Narrow" w:hAnsi="Arial Narrow"/>
                <w:bCs/>
                <w:color w:val="000000"/>
                <w:sz w:val="20"/>
              </w:rPr>
            </w:pPr>
            <w:r w:rsidRPr="004E2ADC">
              <w:rPr>
                <w:rFonts w:ascii="Arial Narrow" w:hAnsi="Arial Narrow"/>
                <w:sz w:val="19"/>
                <w:szCs w:val="19"/>
              </w:rPr>
              <w:t>$</w:t>
            </w:r>
            <w:r w:rsidR="00DC035A">
              <w:rPr>
                <w:rFonts w:ascii="Arial Narrow" w:hAnsi="Arial Narrow"/>
                <w:noProof/>
                <w:color w:val="000000"/>
                <w:sz w:val="19"/>
                <w:szCs w:val="19"/>
                <w:highlight w:val="black"/>
              </w:rPr>
              <w:t>'''''''''''''</w:t>
            </w:r>
          </w:p>
        </w:tc>
        <w:tc>
          <w:tcPr>
            <w:tcW w:w="679" w:type="pct"/>
            <w:shd w:val="clear" w:color="auto" w:fill="auto"/>
            <w:vAlign w:val="center"/>
          </w:tcPr>
          <w:p w:rsidR="00C25D9C" w:rsidRPr="004E2ADC" w:rsidRDefault="00C25D9C" w:rsidP="00DD4D24">
            <w:pPr>
              <w:keepNext/>
              <w:keepLines/>
              <w:jc w:val="center"/>
              <w:rPr>
                <w:rFonts w:ascii="Arial Narrow" w:hAnsi="Arial Narrow"/>
                <w:bCs/>
                <w:color w:val="000000"/>
                <w:sz w:val="20"/>
              </w:rPr>
            </w:pPr>
            <w:r w:rsidRPr="004E2ADC">
              <w:rPr>
                <w:rFonts w:ascii="Arial Narrow" w:hAnsi="Arial Narrow"/>
                <w:sz w:val="19"/>
                <w:szCs w:val="19"/>
              </w:rPr>
              <w:t>$</w:t>
            </w:r>
            <w:r w:rsidR="00DC035A">
              <w:rPr>
                <w:rFonts w:ascii="Arial Narrow" w:hAnsi="Arial Narrow"/>
                <w:noProof/>
                <w:color w:val="000000"/>
                <w:sz w:val="19"/>
                <w:szCs w:val="19"/>
                <w:highlight w:val="black"/>
              </w:rPr>
              <w:t>''''''''''''''''</w:t>
            </w:r>
          </w:p>
        </w:tc>
        <w:tc>
          <w:tcPr>
            <w:tcW w:w="764" w:type="pct"/>
            <w:shd w:val="clear" w:color="auto" w:fill="auto"/>
            <w:vAlign w:val="center"/>
          </w:tcPr>
          <w:p w:rsidR="00C25D9C" w:rsidRPr="004E2ADC" w:rsidRDefault="00C25D9C" w:rsidP="00DD4D24">
            <w:pPr>
              <w:keepNext/>
              <w:keepLines/>
              <w:jc w:val="center"/>
              <w:rPr>
                <w:rFonts w:ascii="Arial Narrow" w:hAnsi="Arial Narrow"/>
                <w:bCs/>
                <w:color w:val="000000"/>
                <w:sz w:val="20"/>
              </w:rPr>
            </w:pPr>
            <w:r w:rsidRPr="004E2ADC">
              <w:rPr>
                <w:rFonts w:ascii="Arial Narrow" w:hAnsi="Arial Narrow"/>
                <w:sz w:val="19"/>
                <w:szCs w:val="19"/>
              </w:rPr>
              <w:t>$</w:t>
            </w:r>
            <w:r w:rsidR="00DC035A">
              <w:rPr>
                <w:rFonts w:ascii="Arial Narrow" w:hAnsi="Arial Narrow"/>
                <w:noProof/>
                <w:color w:val="000000"/>
                <w:sz w:val="19"/>
                <w:szCs w:val="19"/>
                <w:highlight w:val="black"/>
              </w:rPr>
              <w:t>''''''''''''''''''</w:t>
            </w:r>
          </w:p>
        </w:tc>
        <w:tc>
          <w:tcPr>
            <w:tcW w:w="764" w:type="pct"/>
            <w:shd w:val="clear" w:color="auto" w:fill="auto"/>
            <w:vAlign w:val="center"/>
          </w:tcPr>
          <w:p w:rsidR="00C25D9C" w:rsidRPr="004E2ADC" w:rsidRDefault="00C25D9C" w:rsidP="00DD4D24">
            <w:pPr>
              <w:keepNext/>
              <w:keepLines/>
              <w:jc w:val="center"/>
              <w:rPr>
                <w:rFonts w:ascii="Arial Narrow" w:hAnsi="Arial Narrow"/>
                <w:bCs/>
                <w:color w:val="000000"/>
                <w:sz w:val="20"/>
              </w:rPr>
            </w:pPr>
            <w:r w:rsidRPr="004E2ADC">
              <w:rPr>
                <w:rFonts w:ascii="Arial Narrow" w:hAnsi="Arial Narrow"/>
                <w:sz w:val="19"/>
                <w:szCs w:val="19"/>
              </w:rPr>
              <w:t>$</w:t>
            </w:r>
            <w:r w:rsidR="00DC035A">
              <w:rPr>
                <w:rFonts w:ascii="Arial Narrow" w:hAnsi="Arial Narrow"/>
                <w:noProof/>
                <w:color w:val="000000"/>
                <w:sz w:val="19"/>
                <w:szCs w:val="19"/>
                <w:highlight w:val="black"/>
              </w:rPr>
              <w:t>'''''''''''''''</w:t>
            </w:r>
          </w:p>
        </w:tc>
        <w:tc>
          <w:tcPr>
            <w:tcW w:w="755" w:type="pct"/>
            <w:shd w:val="clear" w:color="auto" w:fill="auto"/>
            <w:vAlign w:val="center"/>
          </w:tcPr>
          <w:p w:rsidR="00C25D9C" w:rsidRPr="004E2ADC" w:rsidRDefault="00C25D9C" w:rsidP="00DD4D24">
            <w:pPr>
              <w:keepNext/>
              <w:keepLines/>
              <w:jc w:val="center"/>
              <w:rPr>
                <w:rFonts w:ascii="Arial Narrow" w:hAnsi="Arial Narrow"/>
                <w:bCs/>
                <w:color w:val="000000"/>
                <w:sz w:val="20"/>
              </w:rPr>
            </w:pPr>
            <w:r w:rsidRPr="004E2ADC">
              <w:rPr>
                <w:rFonts w:ascii="Arial Narrow" w:hAnsi="Arial Narrow"/>
                <w:sz w:val="19"/>
                <w:szCs w:val="19"/>
              </w:rPr>
              <w:t>$</w:t>
            </w:r>
            <w:r w:rsidR="00DC035A">
              <w:rPr>
                <w:rFonts w:ascii="Arial Narrow" w:hAnsi="Arial Narrow"/>
                <w:noProof/>
                <w:color w:val="000000"/>
                <w:sz w:val="19"/>
                <w:szCs w:val="19"/>
                <w:highlight w:val="black"/>
              </w:rPr>
              <w:t>''''''''''''''''</w:t>
            </w:r>
          </w:p>
        </w:tc>
      </w:tr>
      <w:tr w:rsidR="00C25D9C" w:rsidRPr="004E2ADC" w:rsidTr="005D044D">
        <w:tc>
          <w:tcPr>
            <w:tcW w:w="1359" w:type="pct"/>
            <w:shd w:val="clear" w:color="auto" w:fill="auto"/>
            <w:vAlign w:val="center"/>
          </w:tcPr>
          <w:p w:rsidR="00C25D9C" w:rsidRPr="004E2ADC" w:rsidRDefault="00C25D9C" w:rsidP="00DD4D24">
            <w:pPr>
              <w:keepNext/>
              <w:keepLines/>
              <w:tabs>
                <w:tab w:val="left" w:pos="142"/>
              </w:tabs>
              <w:jc w:val="left"/>
              <w:rPr>
                <w:rFonts w:ascii="Arial Narrow" w:hAnsi="Arial Narrow"/>
                <w:sz w:val="20"/>
              </w:rPr>
            </w:pPr>
            <w:r w:rsidRPr="004E2ADC">
              <w:rPr>
                <w:rFonts w:ascii="Arial Narrow" w:hAnsi="Arial Narrow"/>
                <w:sz w:val="19"/>
                <w:szCs w:val="19"/>
              </w:rPr>
              <w:t>Net cost to MBS</w:t>
            </w:r>
            <w:r w:rsidR="001D6DD5">
              <w:rPr>
                <w:rFonts w:ascii="Arial Narrow" w:hAnsi="Arial Narrow"/>
                <w:sz w:val="19"/>
                <w:szCs w:val="19"/>
              </w:rPr>
              <w:t xml:space="preserve"> (saving)</w:t>
            </w:r>
          </w:p>
        </w:tc>
        <w:tc>
          <w:tcPr>
            <w:tcW w:w="679" w:type="pct"/>
            <w:shd w:val="clear" w:color="auto" w:fill="auto"/>
            <w:vAlign w:val="center"/>
          </w:tcPr>
          <w:p w:rsidR="00C25D9C" w:rsidRPr="004E2ADC" w:rsidRDefault="00C25D9C" w:rsidP="00DD4D24">
            <w:pPr>
              <w:keepNext/>
              <w:keepLines/>
              <w:jc w:val="center"/>
              <w:rPr>
                <w:rFonts w:ascii="Arial Narrow" w:hAnsi="Arial Narrow"/>
                <w:bCs/>
                <w:color w:val="000000"/>
                <w:sz w:val="20"/>
              </w:rPr>
            </w:pPr>
            <w:r w:rsidRPr="004E2ADC">
              <w:rPr>
                <w:rFonts w:ascii="Arial Narrow" w:hAnsi="Arial Narrow"/>
                <w:bCs/>
                <w:sz w:val="19"/>
                <w:szCs w:val="19"/>
              </w:rPr>
              <w:t>$</w:t>
            </w:r>
            <w:r w:rsidR="00DC035A">
              <w:rPr>
                <w:rFonts w:ascii="Arial Narrow" w:hAnsi="Arial Narrow"/>
                <w:bCs/>
                <w:noProof/>
                <w:color w:val="000000"/>
                <w:sz w:val="19"/>
                <w:szCs w:val="19"/>
                <w:highlight w:val="black"/>
              </w:rPr>
              <w:t>''''''''''''''''</w:t>
            </w:r>
          </w:p>
        </w:tc>
        <w:tc>
          <w:tcPr>
            <w:tcW w:w="679" w:type="pct"/>
            <w:shd w:val="clear" w:color="auto" w:fill="auto"/>
            <w:vAlign w:val="center"/>
          </w:tcPr>
          <w:p w:rsidR="00C25D9C" w:rsidRPr="004E2ADC" w:rsidRDefault="00C25D9C" w:rsidP="00DD4D24">
            <w:pPr>
              <w:keepNext/>
              <w:keepLines/>
              <w:jc w:val="center"/>
              <w:rPr>
                <w:rFonts w:ascii="Arial Narrow" w:hAnsi="Arial Narrow"/>
                <w:bCs/>
                <w:color w:val="000000"/>
                <w:sz w:val="20"/>
              </w:rPr>
            </w:pPr>
            <w:r w:rsidRPr="004E2ADC">
              <w:rPr>
                <w:rFonts w:ascii="Arial Narrow" w:hAnsi="Arial Narrow"/>
                <w:bCs/>
                <w:sz w:val="19"/>
                <w:szCs w:val="19"/>
              </w:rPr>
              <w:t>$</w:t>
            </w:r>
            <w:r w:rsidR="00DC035A">
              <w:rPr>
                <w:rFonts w:ascii="Arial Narrow" w:hAnsi="Arial Narrow"/>
                <w:bCs/>
                <w:noProof/>
                <w:color w:val="000000"/>
                <w:sz w:val="19"/>
                <w:szCs w:val="19"/>
                <w:highlight w:val="black"/>
              </w:rPr>
              <w:t>''''''''''''''''''</w:t>
            </w:r>
          </w:p>
        </w:tc>
        <w:tc>
          <w:tcPr>
            <w:tcW w:w="764" w:type="pct"/>
            <w:shd w:val="clear" w:color="auto" w:fill="auto"/>
            <w:vAlign w:val="center"/>
          </w:tcPr>
          <w:p w:rsidR="00C25D9C" w:rsidRPr="004E2ADC" w:rsidRDefault="00C25D9C" w:rsidP="00DD4D24">
            <w:pPr>
              <w:keepNext/>
              <w:keepLines/>
              <w:jc w:val="center"/>
              <w:rPr>
                <w:rFonts w:ascii="Arial Narrow" w:hAnsi="Arial Narrow"/>
                <w:bCs/>
                <w:color w:val="000000"/>
                <w:sz w:val="20"/>
              </w:rPr>
            </w:pPr>
            <w:r w:rsidRPr="004E2ADC">
              <w:rPr>
                <w:rFonts w:ascii="Arial Narrow" w:hAnsi="Arial Narrow"/>
                <w:bCs/>
                <w:sz w:val="19"/>
                <w:szCs w:val="19"/>
              </w:rPr>
              <w:t>$</w:t>
            </w:r>
            <w:r w:rsidR="00DC035A">
              <w:rPr>
                <w:rFonts w:ascii="Arial Narrow" w:hAnsi="Arial Narrow"/>
                <w:bCs/>
                <w:noProof/>
                <w:color w:val="000000"/>
                <w:sz w:val="19"/>
                <w:szCs w:val="19"/>
                <w:highlight w:val="black"/>
              </w:rPr>
              <w:t>''''''''''''''''</w:t>
            </w:r>
          </w:p>
        </w:tc>
        <w:tc>
          <w:tcPr>
            <w:tcW w:w="764" w:type="pct"/>
            <w:shd w:val="clear" w:color="auto" w:fill="auto"/>
            <w:vAlign w:val="center"/>
          </w:tcPr>
          <w:p w:rsidR="00C25D9C" w:rsidRPr="004E2ADC" w:rsidRDefault="00C25D9C" w:rsidP="00DD4D24">
            <w:pPr>
              <w:keepNext/>
              <w:keepLines/>
              <w:jc w:val="center"/>
              <w:rPr>
                <w:rFonts w:ascii="Arial Narrow" w:hAnsi="Arial Narrow"/>
                <w:bCs/>
                <w:color w:val="000000"/>
                <w:sz w:val="20"/>
              </w:rPr>
            </w:pPr>
            <w:r w:rsidRPr="004E2ADC">
              <w:rPr>
                <w:rFonts w:ascii="Arial Narrow" w:hAnsi="Arial Narrow"/>
                <w:bCs/>
                <w:sz w:val="19"/>
                <w:szCs w:val="19"/>
              </w:rPr>
              <w:t>$</w:t>
            </w:r>
            <w:r w:rsidR="00DC035A">
              <w:rPr>
                <w:rFonts w:ascii="Arial Narrow" w:hAnsi="Arial Narrow"/>
                <w:bCs/>
                <w:noProof/>
                <w:color w:val="000000"/>
                <w:sz w:val="19"/>
                <w:szCs w:val="19"/>
                <w:highlight w:val="black"/>
              </w:rPr>
              <w:t>''''''''''''''''''</w:t>
            </w:r>
          </w:p>
        </w:tc>
        <w:tc>
          <w:tcPr>
            <w:tcW w:w="755" w:type="pct"/>
            <w:shd w:val="clear" w:color="auto" w:fill="auto"/>
            <w:vAlign w:val="center"/>
          </w:tcPr>
          <w:p w:rsidR="00C25D9C" w:rsidRPr="004E2ADC" w:rsidRDefault="00C25D9C" w:rsidP="00DD4D24">
            <w:pPr>
              <w:keepNext/>
              <w:keepLines/>
              <w:jc w:val="center"/>
              <w:rPr>
                <w:rFonts w:ascii="Arial Narrow" w:hAnsi="Arial Narrow"/>
                <w:bCs/>
                <w:color w:val="000000"/>
                <w:sz w:val="20"/>
              </w:rPr>
            </w:pPr>
            <w:r w:rsidRPr="004E2ADC">
              <w:rPr>
                <w:rFonts w:ascii="Arial Narrow" w:hAnsi="Arial Narrow"/>
                <w:bCs/>
                <w:sz w:val="19"/>
                <w:szCs w:val="19"/>
              </w:rPr>
              <w:t>$</w:t>
            </w:r>
            <w:r w:rsidR="00DC035A">
              <w:rPr>
                <w:rFonts w:ascii="Arial Narrow" w:hAnsi="Arial Narrow"/>
                <w:bCs/>
                <w:noProof/>
                <w:color w:val="000000"/>
                <w:sz w:val="19"/>
                <w:szCs w:val="19"/>
                <w:highlight w:val="black"/>
              </w:rPr>
              <w:t>''''''''''''''''''''</w:t>
            </w:r>
          </w:p>
        </w:tc>
      </w:tr>
      <w:tr w:rsidR="00C25D9C" w:rsidRPr="004E2ADC" w:rsidTr="005D044D">
        <w:tc>
          <w:tcPr>
            <w:tcW w:w="5000" w:type="pct"/>
            <w:gridSpan w:val="6"/>
            <w:shd w:val="clear" w:color="auto" w:fill="auto"/>
            <w:vAlign w:val="center"/>
          </w:tcPr>
          <w:p w:rsidR="00C25D9C" w:rsidRPr="004E2ADC" w:rsidRDefault="00C25D9C" w:rsidP="00DD4D24">
            <w:pPr>
              <w:keepNext/>
              <w:keepLines/>
              <w:jc w:val="left"/>
              <w:rPr>
                <w:rFonts w:ascii="Arial Narrow" w:hAnsi="Arial Narrow"/>
                <w:b/>
                <w:color w:val="000000"/>
                <w:sz w:val="20"/>
              </w:rPr>
            </w:pPr>
            <w:r w:rsidRPr="004E2ADC">
              <w:rPr>
                <w:rFonts w:ascii="Arial Narrow" w:hAnsi="Arial Narrow"/>
                <w:b/>
                <w:color w:val="000000"/>
                <w:sz w:val="20"/>
              </w:rPr>
              <w:t>Estimated total net cost</w:t>
            </w:r>
          </w:p>
        </w:tc>
      </w:tr>
      <w:tr w:rsidR="00C25D9C" w:rsidRPr="004E2ADC" w:rsidTr="005D044D">
        <w:tc>
          <w:tcPr>
            <w:tcW w:w="1359" w:type="pct"/>
            <w:shd w:val="clear" w:color="auto" w:fill="auto"/>
            <w:vAlign w:val="center"/>
          </w:tcPr>
          <w:p w:rsidR="00C25D9C" w:rsidRPr="00145540" w:rsidRDefault="00145540" w:rsidP="00DD4D24">
            <w:pPr>
              <w:keepNext/>
              <w:keepLines/>
              <w:tabs>
                <w:tab w:val="left" w:pos="142"/>
              </w:tabs>
              <w:jc w:val="left"/>
              <w:rPr>
                <w:rFonts w:ascii="Arial Narrow" w:hAnsi="Arial Narrow"/>
                <w:b/>
                <w:sz w:val="20"/>
              </w:rPr>
            </w:pPr>
            <w:r w:rsidRPr="00145540">
              <w:rPr>
                <w:rFonts w:ascii="Arial Narrow" w:hAnsi="Arial Narrow"/>
                <w:b/>
                <w:bCs/>
                <w:color w:val="000000"/>
                <w:sz w:val="20"/>
              </w:rPr>
              <w:t xml:space="preserve">Net cost </w:t>
            </w:r>
            <w:r>
              <w:rPr>
                <w:rFonts w:ascii="Arial Narrow" w:hAnsi="Arial Narrow"/>
                <w:b/>
                <w:bCs/>
                <w:color w:val="000000"/>
                <w:sz w:val="20"/>
              </w:rPr>
              <w:t xml:space="preserve">to </w:t>
            </w:r>
            <w:r w:rsidRPr="00145540">
              <w:rPr>
                <w:rFonts w:ascii="Arial Narrow" w:hAnsi="Arial Narrow"/>
                <w:b/>
                <w:bCs/>
                <w:color w:val="000000"/>
                <w:sz w:val="20"/>
              </w:rPr>
              <w:t>PBS/MBS</w:t>
            </w:r>
          </w:p>
        </w:tc>
        <w:tc>
          <w:tcPr>
            <w:tcW w:w="679" w:type="pct"/>
            <w:shd w:val="clear" w:color="auto" w:fill="auto"/>
            <w:vAlign w:val="center"/>
          </w:tcPr>
          <w:p w:rsidR="00C25D9C" w:rsidRPr="004E2ADC" w:rsidRDefault="00C25D9C" w:rsidP="00DD4D24">
            <w:pPr>
              <w:keepNext/>
              <w:keepLines/>
              <w:jc w:val="center"/>
              <w:rPr>
                <w:rFonts w:ascii="Arial Narrow" w:hAnsi="Arial Narrow"/>
                <w:color w:val="000000"/>
                <w:sz w:val="20"/>
              </w:rPr>
            </w:pPr>
            <w:r w:rsidRPr="004E2ADC">
              <w:rPr>
                <w:rFonts w:ascii="Arial Narrow" w:hAnsi="Arial Narrow"/>
                <w:b/>
                <w:bCs/>
                <w:sz w:val="19"/>
                <w:szCs w:val="19"/>
              </w:rPr>
              <w:t>$</w:t>
            </w:r>
            <w:r w:rsidR="00DC035A">
              <w:rPr>
                <w:rFonts w:ascii="Arial Narrow" w:hAnsi="Arial Narrow"/>
                <w:b/>
                <w:bCs/>
                <w:noProof/>
                <w:color w:val="000000"/>
                <w:sz w:val="19"/>
                <w:szCs w:val="19"/>
                <w:highlight w:val="black"/>
              </w:rPr>
              <w:t>''''''''''''''''</w:t>
            </w:r>
          </w:p>
        </w:tc>
        <w:tc>
          <w:tcPr>
            <w:tcW w:w="679" w:type="pct"/>
            <w:shd w:val="clear" w:color="auto" w:fill="auto"/>
            <w:vAlign w:val="center"/>
          </w:tcPr>
          <w:p w:rsidR="00C25D9C" w:rsidRPr="004E2ADC" w:rsidRDefault="00C25D9C" w:rsidP="00DD4D24">
            <w:pPr>
              <w:keepNext/>
              <w:keepLines/>
              <w:jc w:val="center"/>
              <w:rPr>
                <w:rFonts w:ascii="Arial Narrow" w:hAnsi="Arial Narrow"/>
                <w:color w:val="000000"/>
                <w:sz w:val="20"/>
              </w:rPr>
            </w:pPr>
            <w:r w:rsidRPr="004E2ADC">
              <w:rPr>
                <w:rFonts w:ascii="Arial Narrow" w:hAnsi="Arial Narrow"/>
                <w:b/>
                <w:bCs/>
                <w:sz w:val="19"/>
                <w:szCs w:val="19"/>
              </w:rPr>
              <w:t>$</w:t>
            </w:r>
            <w:r w:rsidR="00DC035A">
              <w:rPr>
                <w:rFonts w:ascii="Arial Narrow" w:hAnsi="Arial Narrow"/>
                <w:b/>
                <w:bCs/>
                <w:noProof/>
                <w:color w:val="000000"/>
                <w:sz w:val="19"/>
                <w:szCs w:val="19"/>
                <w:highlight w:val="black"/>
              </w:rPr>
              <w:t>''''''''''</w:t>
            </w:r>
          </w:p>
        </w:tc>
        <w:tc>
          <w:tcPr>
            <w:tcW w:w="764" w:type="pct"/>
            <w:shd w:val="clear" w:color="auto" w:fill="auto"/>
            <w:vAlign w:val="center"/>
          </w:tcPr>
          <w:p w:rsidR="00C25D9C" w:rsidRPr="004E2ADC" w:rsidRDefault="00C25D9C" w:rsidP="00DD4D24">
            <w:pPr>
              <w:keepNext/>
              <w:keepLines/>
              <w:jc w:val="center"/>
              <w:rPr>
                <w:rFonts w:ascii="Arial Narrow" w:hAnsi="Arial Narrow"/>
                <w:color w:val="000000"/>
                <w:sz w:val="20"/>
              </w:rPr>
            </w:pPr>
            <w:r w:rsidRPr="004E2ADC">
              <w:rPr>
                <w:rFonts w:ascii="Arial Narrow" w:hAnsi="Arial Narrow"/>
                <w:b/>
                <w:bCs/>
                <w:sz w:val="19"/>
                <w:szCs w:val="19"/>
              </w:rPr>
              <w:t>$</w:t>
            </w:r>
            <w:r w:rsidR="00DC035A">
              <w:rPr>
                <w:rFonts w:ascii="Arial Narrow" w:hAnsi="Arial Narrow"/>
                <w:b/>
                <w:bCs/>
                <w:noProof/>
                <w:color w:val="000000"/>
                <w:sz w:val="19"/>
                <w:szCs w:val="19"/>
                <w:highlight w:val="black"/>
              </w:rPr>
              <w:t>'''''''''''</w:t>
            </w:r>
          </w:p>
        </w:tc>
        <w:tc>
          <w:tcPr>
            <w:tcW w:w="764" w:type="pct"/>
            <w:shd w:val="clear" w:color="auto" w:fill="auto"/>
            <w:vAlign w:val="center"/>
          </w:tcPr>
          <w:p w:rsidR="00C25D9C" w:rsidRPr="004E2ADC" w:rsidRDefault="00C25D9C" w:rsidP="00DD4D24">
            <w:pPr>
              <w:keepNext/>
              <w:keepLines/>
              <w:jc w:val="center"/>
              <w:rPr>
                <w:rFonts w:ascii="Arial Narrow" w:hAnsi="Arial Narrow"/>
                <w:color w:val="000000"/>
                <w:sz w:val="20"/>
              </w:rPr>
            </w:pPr>
            <w:r w:rsidRPr="004E2ADC">
              <w:rPr>
                <w:rFonts w:ascii="Arial Narrow" w:hAnsi="Arial Narrow"/>
                <w:b/>
                <w:bCs/>
                <w:sz w:val="19"/>
                <w:szCs w:val="19"/>
              </w:rPr>
              <w:t>$</w:t>
            </w:r>
            <w:r w:rsidR="00DC035A">
              <w:rPr>
                <w:rFonts w:ascii="Arial Narrow" w:hAnsi="Arial Narrow"/>
                <w:b/>
                <w:bCs/>
                <w:noProof/>
                <w:color w:val="000000"/>
                <w:sz w:val="19"/>
                <w:szCs w:val="19"/>
                <w:highlight w:val="black"/>
              </w:rPr>
              <w:t>'''''''''''</w:t>
            </w:r>
          </w:p>
        </w:tc>
        <w:tc>
          <w:tcPr>
            <w:tcW w:w="755" w:type="pct"/>
            <w:shd w:val="clear" w:color="auto" w:fill="auto"/>
            <w:vAlign w:val="center"/>
          </w:tcPr>
          <w:p w:rsidR="00C25D9C" w:rsidRPr="004E2ADC" w:rsidRDefault="00C25D9C" w:rsidP="00DD4D24">
            <w:pPr>
              <w:keepNext/>
              <w:keepLines/>
              <w:jc w:val="center"/>
              <w:rPr>
                <w:rFonts w:ascii="Arial Narrow" w:hAnsi="Arial Narrow"/>
                <w:color w:val="000000"/>
                <w:sz w:val="20"/>
              </w:rPr>
            </w:pPr>
            <w:r w:rsidRPr="004E2ADC">
              <w:rPr>
                <w:rFonts w:ascii="Arial Narrow" w:hAnsi="Arial Narrow"/>
                <w:b/>
                <w:bCs/>
                <w:sz w:val="19"/>
                <w:szCs w:val="19"/>
              </w:rPr>
              <w:t>$</w:t>
            </w:r>
            <w:r w:rsidR="00DC035A">
              <w:rPr>
                <w:rFonts w:ascii="Arial Narrow" w:hAnsi="Arial Narrow"/>
                <w:b/>
                <w:bCs/>
                <w:noProof/>
                <w:color w:val="000000"/>
                <w:sz w:val="19"/>
                <w:szCs w:val="19"/>
                <w:highlight w:val="black"/>
              </w:rPr>
              <w:t>'''''''''</w:t>
            </w:r>
          </w:p>
        </w:tc>
      </w:tr>
    </w:tbl>
    <w:p w:rsidR="00C25D9C" w:rsidRPr="001222FC" w:rsidRDefault="00C25D9C" w:rsidP="00DD4D24">
      <w:pPr>
        <w:pStyle w:val="TableFooter"/>
        <w:keepNext/>
        <w:keepLines/>
        <w:ind w:firstLine="720"/>
        <w:rPr>
          <w:sz w:val="16"/>
          <w:szCs w:val="18"/>
        </w:rPr>
      </w:pPr>
      <w:r w:rsidRPr="001222FC">
        <w:rPr>
          <w:vertAlign w:val="superscript"/>
        </w:rPr>
        <w:t>a</w:t>
      </w:r>
      <w:r>
        <w:t xml:space="preserve"> </w:t>
      </w:r>
      <w:r w:rsidR="00FF4E2E">
        <w:t xml:space="preserve">Assuming </w:t>
      </w:r>
      <w:r w:rsidR="00D37675">
        <w:t xml:space="preserve">13 </w:t>
      </w:r>
      <w:r w:rsidR="00FF4E2E">
        <w:t xml:space="preserve"> scripts</w:t>
      </w:r>
      <w:r w:rsidR="00C5793C" w:rsidRPr="001222FC">
        <w:t xml:space="preserve"> per</w:t>
      </w:r>
      <w:r w:rsidRPr="001222FC">
        <w:t xml:space="preserve"> year as estimated by the submission.</w:t>
      </w:r>
    </w:p>
    <w:p w:rsidR="00C25D9C" w:rsidRDefault="00C25D9C" w:rsidP="00DD4D24">
      <w:pPr>
        <w:pStyle w:val="TableFooter"/>
        <w:keepNext/>
        <w:keepLines/>
        <w:ind w:firstLine="720"/>
        <w:rPr>
          <w:szCs w:val="22"/>
        </w:rPr>
      </w:pPr>
      <w:r w:rsidRPr="001222FC">
        <w:rPr>
          <w:sz w:val="16"/>
          <w:szCs w:val="18"/>
        </w:rPr>
        <w:t xml:space="preserve">Source: </w:t>
      </w:r>
      <w:r w:rsidR="00FF4E2E">
        <w:rPr>
          <w:szCs w:val="18"/>
        </w:rPr>
        <w:t xml:space="preserve">Table </w:t>
      </w:r>
      <w:r w:rsidR="00325BA6">
        <w:rPr>
          <w:szCs w:val="18"/>
        </w:rPr>
        <w:t>E.4 (</w:t>
      </w:r>
      <w:r w:rsidR="00FF4E2E">
        <w:rPr>
          <w:szCs w:val="18"/>
        </w:rPr>
        <w:t>cma).1,</w:t>
      </w:r>
      <w:r w:rsidR="00D37675">
        <w:rPr>
          <w:szCs w:val="18"/>
        </w:rPr>
        <w:t xml:space="preserve"> </w:t>
      </w:r>
      <w:r w:rsidR="00FF4E2E">
        <w:rPr>
          <w:szCs w:val="18"/>
        </w:rPr>
        <w:t>p50</w:t>
      </w:r>
      <w:r w:rsidR="00D37675">
        <w:rPr>
          <w:szCs w:val="18"/>
        </w:rPr>
        <w:t xml:space="preserve"> </w:t>
      </w:r>
      <w:r w:rsidRPr="00C25D9C">
        <w:rPr>
          <w:szCs w:val="18"/>
        </w:rPr>
        <w:t>of</w:t>
      </w:r>
      <w:r w:rsidR="00FF4E2E">
        <w:rPr>
          <w:szCs w:val="18"/>
        </w:rPr>
        <w:t xml:space="preserve"> the submission</w:t>
      </w:r>
    </w:p>
    <w:p w:rsidR="00C25D9C" w:rsidRDefault="00C25D9C" w:rsidP="00C25D9C">
      <w:pPr>
        <w:rPr>
          <w:szCs w:val="22"/>
        </w:rPr>
      </w:pPr>
    </w:p>
    <w:p w:rsidR="007E3613" w:rsidRPr="008314B8" w:rsidRDefault="007E3613" w:rsidP="00DC1A76">
      <w:pPr>
        <w:pStyle w:val="ListParagraph"/>
        <w:numPr>
          <w:ilvl w:val="1"/>
          <w:numId w:val="2"/>
        </w:numPr>
      </w:pPr>
      <w:r w:rsidRPr="008314B8">
        <w:lastRenderedPageBreak/>
        <w:t>The</w:t>
      </w:r>
      <w:r w:rsidR="00DC1A76">
        <w:t xml:space="preserve"> redacted table above shows that the</w:t>
      </w:r>
      <w:r w:rsidRPr="008314B8">
        <w:t xml:space="preserve"> uptake of canakinumab is expected to range from one third to three quarters of the total market for SJIA in the first five years of the listing.</w:t>
      </w:r>
      <w:r>
        <w:t xml:space="preserve"> </w:t>
      </w:r>
      <w:r w:rsidRPr="008314B8">
        <w:t>The number of patients expected to be treated with canakinumab ranges from 25-100 each year, in the first five years of the listing.</w:t>
      </w:r>
    </w:p>
    <w:p w:rsidR="007E3613" w:rsidRDefault="007E3613" w:rsidP="007E3613">
      <w:pPr>
        <w:rPr>
          <w:szCs w:val="22"/>
        </w:rPr>
      </w:pPr>
    </w:p>
    <w:p w:rsidR="007E3613" w:rsidRPr="00C25D9C" w:rsidRDefault="007E3613" w:rsidP="00C25D9C">
      <w:pPr>
        <w:rPr>
          <w:szCs w:val="22"/>
        </w:rPr>
      </w:pPr>
    </w:p>
    <w:p w:rsidR="00582B1E" w:rsidRDefault="00D82357" w:rsidP="00490F0E">
      <w:pPr>
        <w:pStyle w:val="ListParagraph"/>
        <w:numPr>
          <w:ilvl w:val="1"/>
          <w:numId w:val="2"/>
        </w:numPr>
      </w:pPr>
      <w:r w:rsidRPr="002F32DE">
        <w:t>The financial estima</w:t>
      </w:r>
      <w:r w:rsidR="00F60B31" w:rsidRPr="002F32DE">
        <w:t>tes</w:t>
      </w:r>
      <w:r w:rsidR="00582B1E">
        <w:t xml:space="preserve"> presented in the submission</w:t>
      </w:r>
      <w:r w:rsidR="00F60B31" w:rsidRPr="002F32DE">
        <w:t xml:space="preserve"> may not </w:t>
      </w:r>
      <w:r w:rsidR="00276DCB">
        <w:t xml:space="preserve">have </w:t>
      </w:r>
      <w:r w:rsidR="00F60B31" w:rsidRPr="002F32DE">
        <w:t>be</w:t>
      </w:r>
      <w:r w:rsidR="00276DCB">
        <w:t>en</w:t>
      </w:r>
      <w:r w:rsidR="00F60B31" w:rsidRPr="002F32DE">
        <w:t xml:space="preserve"> accurate as they </w:t>
      </w:r>
      <w:r w:rsidR="00276DCB">
        <w:t>we</w:t>
      </w:r>
      <w:r w:rsidR="00F60B31" w:rsidRPr="002F32DE">
        <w:t>re based on the tocilizumab market, which include</w:t>
      </w:r>
      <w:r w:rsidR="001754EB">
        <w:t>d</w:t>
      </w:r>
      <w:r w:rsidR="00F60B31" w:rsidRPr="002F32DE">
        <w:t xml:space="preserve"> patients with polyarticular disease</w:t>
      </w:r>
      <w:r w:rsidR="00E9480A">
        <w:t xml:space="preserve"> and</w:t>
      </w:r>
      <w:r w:rsidR="00F60B31" w:rsidRPr="002F32DE">
        <w:t xml:space="preserve"> </w:t>
      </w:r>
      <w:r w:rsidR="00276DCB">
        <w:t>was</w:t>
      </w:r>
      <w:r w:rsidR="00F60B31" w:rsidRPr="002F32DE">
        <w:t xml:space="preserve"> excluded from the requested canakinumab listing.  </w:t>
      </w:r>
    </w:p>
    <w:p w:rsidR="00582B1E" w:rsidRDefault="00582B1E" w:rsidP="00582B1E">
      <w:pPr>
        <w:pStyle w:val="ListParagraph"/>
      </w:pPr>
    </w:p>
    <w:p w:rsidR="00582B1E" w:rsidRDefault="00582B1E" w:rsidP="00490F0E">
      <w:pPr>
        <w:pStyle w:val="ListParagraph"/>
        <w:numPr>
          <w:ilvl w:val="1"/>
          <w:numId w:val="2"/>
        </w:numPr>
      </w:pPr>
      <w:r>
        <w:t>T</w:t>
      </w:r>
      <w:r w:rsidR="00F60B31" w:rsidRPr="002F32DE">
        <w:t>he submission did not include the cost of canakinumab to the PBS for patients older than 18 years</w:t>
      </w:r>
      <w:r w:rsidR="007D2497">
        <w:t>.</w:t>
      </w:r>
      <w:r w:rsidR="006028AF">
        <w:t xml:space="preserve"> </w:t>
      </w:r>
    </w:p>
    <w:p w:rsidR="00582B1E" w:rsidRDefault="00582B1E" w:rsidP="00582B1E">
      <w:pPr>
        <w:pStyle w:val="ListParagraph"/>
      </w:pPr>
    </w:p>
    <w:p w:rsidR="009D6FEA" w:rsidRDefault="006028AF" w:rsidP="00490F0E">
      <w:pPr>
        <w:pStyle w:val="ListParagraph"/>
        <w:numPr>
          <w:ilvl w:val="1"/>
          <w:numId w:val="2"/>
        </w:numPr>
      </w:pPr>
      <w:r>
        <w:t xml:space="preserve">At year 5, the estimated number of patients was </w:t>
      </w:r>
      <w:r w:rsidR="00791F90">
        <w:t>less than 10,000 per year</w:t>
      </w:r>
      <w:r>
        <w:t xml:space="preserve"> and the net cost to the PBS would be </w:t>
      </w:r>
      <w:r w:rsidR="00791F90">
        <w:t xml:space="preserve">less than $10 million per year </w:t>
      </w:r>
      <w:r>
        <w:t xml:space="preserve">and the net cost to the MBS/PBS would be </w:t>
      </w:r>
      <w:r w:rsidR="00791F90">
        <w:t xml:space="preserve"> </w:t>
      </w:r>
      <w:r w:rsidR="00DC1A76">
        <w:t>l</w:t>
      </w:r>
      <w:r w:rsidR="00791F90">
        <w:t xml:space="preserve">ess than $10 million per year </w:t>
      </w:r>
      <w:r>
        <w:t>due to saving</w:t>
      </w:r>
      <w:r w:rsidR="00582B1E">
        <w:t>s</w:t>
      </w:r>
      <w:r>
        <w:t xml:space="preserve"> in the MBS.</w:t>
      </w:r>
    </w:p>
    <w:p w:rsidR="009D6FEA" w:rsidRDefault="009D6FEA" w:rsidP="009D6FEA">
      <w:pPr>
        <w:pStyle w:val="ListParagraph"/>
      </w:pPr>
    </w:p>
    <w:p w:rsidR="009D6FEA" w:rsidRDefault="009D6FEA" w:rsidP="009D6FEA">
      <w:pPr>
        <w:ind w:firstLine="720"/>
        <w:rPr>
          <w:i/>
          <w:szCs w:val="22"/>
        </w:rPr>
      </w:pPr>
      <w:r>
        <w:rPr>
          <w:i/>
          <w:szCs w:val="22"/>
        </w:rPr>
        <w:t>For more detail on PBAC’s view, see section 7 “PBAC outcome”</w:t>
      </w:r>
    </w:p>
    <w:p w:rsidR="009D6FEA" w:rsidRDefault="009D6FEA" w:rsidP="009D6FEA">
      <w:pPr>
        <w:pStyle w:val="ListParagraph"/>
      </w:pPr>
    </w:p>
    <w:p w:rsidR="009D6FEA" w:rsidRDefault="009D6FEA" w:rsidP="009D6FEA">
      <w:pPr>
        <w:pStyle w:val="ListParagraph"/>
      </w:pPr>
    </w:p>
    <w:p w:rsidR="009D6FEA" w:rsidRPr="009D6FEA" w:rsidRDefault="009D6FEA" w:rsidP="00276DCB">
      <w:pPr>
        <w:pStyle w:val="PBACHeading1"/>
        <w:ind w:left="709" w:hanging="709"/>
        <w:rPr>
          <w:snapToGrid/>
          <w:lang w:eastAsia="en-AU"/>
        </w:rPr>
      </w:pPr>
      <w:r w:rsidRPr="009D6FEA">
        <w:t xml:space="preserve">PBAC Outcome </w:t>
      </w:r>
    </w:p>
    <w:p w:rsidR="009D6FEA" w:rsidRPr="00541892" w:rsidRDefault="009D1C6E" w:rsidP="009D1C6E">
      <w:pPr>
        <w:widowControl w:val="0"/>
        <w:tabs>
          <w:tab w:val="left" w:pos="1977"/>
        </w:tabs>
        <w:contextualSpacing/>
        <w:jc w:val="left"/>
        <w:rPr>
          <w:rFonts w:cs="Times New Roman"/>
          <w:snapToGrid/>
          <w:szCs w:val="22"/>
          <w:lang w:eastAsia="en-AU"/>
        </w:rPr>
      </w:pPr>
      <w:r>
        <w:rPr>
          <w:rFonts w:cs="Times New Roman"/>
          <w:snapToGrid/>
          <w:szCs w:val="22"/>
          <w:lang w:eastAsia="en-AU"/>
        </w:rPr>
        <w:tab/>
      </w:r>
    </w:p>
    <w:p w:rsidR="00541892" w:rsidRDefault="009D6FEA" w:rsidP="00276DCB">
      <w:pPr>
        <w:widowControl w:val="0"/>
        <w:numPr>
          <w:ilvl w:val="1"/>
          <w:numId w:val="2"/>
        </w:numPr>
        <w:contextualSpacing/>
        <w:rPr>
          <w:rFonts w:cs="Times New Roman"/>
          <w:snapToGrid/>
          <w:szCs w:val="22"/>
          <w:lang w:eastAsia="en-AU"/>
        </w:rPr>
      </w:pPr>
      <w:r w:rsidRPr="00541892">
        <w:rPr>
          <w:rFonts w:cs="Times New Roman"/>
          <w:snapToGrid/>
          <w:szCs w:val="22"/>
          <w:lang w:eastAsia="en-AU"/>
        </w:rPr>
        <w:t xml:space="preserve">The PBAC recommended </w:t>
      </w:r>
      <w:r w:rsidR="00541892" w:rsidRPr="00541892">
        <w:rPr>
          <w:rFonts w:cs="Times New Roman"/>
          <w:snapToGrid/>
          <w:szCs w:val="22"/>
          <w:lang w:eastAsia="en-AU"/>
        </w:rPr>
        <w:t>canakinumab</w:t>
      </w:r>
      <w:r w:rsidR="00276DCB">
        <w:rPr>
          <w:rFonts w:cs="Times New Roman"/>
          <w:snapToGrid/>
          <w:szCs w:val="22"/>
          <w:lang w:eastAsia="en-AU"/>
        </w:rPr>
        <w:t xml:space="preserve"> as a</w:t>
      </w:r>
      <w:r w:rsidRPr="00541892">
        <w:rPr>
          <w:rFonts w:cs="Times New Roman"/>
          <w:snapToGrid/>
          <w:szCs w:val="22"/>
          <w:lang w:eastAsia="en-AU"/>
        </w:rPr>
        <w:t xml:space="preserve"> Section </w:t>
      </w:r>
      <w:r w:rsidR="00541892" w:rsidRPr="00541892">
        <w:rPr>
          <w:rFonts w:cs="Times New Roman"/>
          <w:snapToGrid/>
          <w:szCs w:val="22"/>
          <w:lang w:eastAsia="en-AU"/>
        </w:rPr>
        <w:t>100</w:t>
      </w:r>
      <w:r w:rsidR="00276DCB">
        <w:rPr>
          <w:rFonts w:cs="Times New Roman"/>
          <w:snapToGrid/>
          <w:szCs w:val="22"/>
          <w:lang w:eastAsia="en-AU"/>
        </w:rPr>
        <w:t xml:space="preserve"> (Highly Specialised Drugs Program) Authority Required listing for </w:t>
      </w:r>
      <w:r w:rsidR="00276DCB" w:rsidRPr="00276DCB">
        <w:rPr>
          <w:rFonts w:cs="Times New Roman"/>
          <w:snapToGrid/>
          <w:szCs w:val="22"/>
          <w:lang w:eastAsia="en-AU"/>
        </w:rPr>
        <w:t>the treatment of systemic juvenile idiopathic arthritis in pa</w:t>
      </w:r>
      <w:r w:rsidR="00276DCB">
        <w:rPr>
          <w:rFonts w:cs="Times New Roman"/>
          <w:snapToGrid/>
          <w:szCs w:val="22"/>
          <w:lang w:eastAsia="en-AU"/>
        </w:rPr>
        <w:t>tients meeting certain criteria on a cost-minimisation basis with tocilizumab.</w:t>
      </w:r>
      <w:r w:rsidRPr="00541892">
        <w:rPr>
          <w:rFonts w:cs="Times New Roman"/>
          <w:snapToGrid/>
          <w:szCs w:val="22"/>
          <w:lang w:eastAsia="en-AU"/>
        </w:rPr>
        <w:t xml:space="preserve"> </w:t>
      </w:r>
      <w:r w:rsidR="00276DCB">
        <w:rPr>
          <w:rFonts w:cs="Times New Roman"/>
          <w:snapToGrid/>
          <w:szCs w:val="22"/>
          <w:lang w:eastAsia="en-AU"/>
        </w:rPr>
        <w:t>T</w:t>
      </w:r>
      <w:r w:rsidR="00541892">
        <w:rPr>
          <w:rFonts w:cs="Times New Roman"/>
          <w:snapToGrid/>
          <w:szCs w:val="22"/>
          <w:lang w:eastAsia="en-AU"/>
        </w:rPr>
        <w:t>he equi-effective dose</w:t>
      </w:r>
      <w:r w:rsidR="00276DCB">
        <w:rPr>
          <w:rFonts w:cs="Times New Roman"/>
          <w:snapToGrid/>
          <w:szCs w:val="22"/>
          <w:lang w:eastAsia="en-AU"/>
        </w:rPr>
        <w:t>s were determined to be</w:t>
      </w:r>
      <w:r w:rsidR="001C3B54">
        <w:rPr>
          <w:rFonts w:cs="Times New Roman"/>
          <w:snapToGrid/>
          <w:szCs w:val="22"/>
          <w:lang w:eastAsia="en-AU"/>
        </w:rPr>
        <w:t xml:space="preserve"> canakinumab dosed at 4 mg/kg every 4 weeks is equivalent to tocilizumab dosed at either 8 mg/kg (for patients weighing greater than 30 kg) or 12 mg/kg (for patients weighing less than 30</w:t>
      </w:r>
      <w:r w:rsidR="009A05BA">
        <w:rPr>
          <w:rFonts w:cs="Times New Roman"/>
          <w:snapToGrid/>
          <w:szCs w:val="22"/>
          <w:lang w:eastAsia="en-AU"/>
        </w:rPr>
        <w:t> </w:t>
      </w:r>
      <w:r w:rsidR="001C3B54">
        <w:rPr>
          <w:rFonts w:cs="Times New Roman"/>
          <w:snapToGrid/>
          <w:szCs w:val="22"/>
          <w:lang w:eastAsia="en-AU"/>
        </w:rPr>
        <w:t xml:space="preserve">kg) every 2 weeks. </w:t>
      </w:r>
    </w:p>
    <w:p w:rsidR="00541892" w:rsidRPr="00541892" w:rsidRDefault="00541892" w:rsidP="00541892">
      <w:pPr>
        <w:widowControl w:val="0"/>
        <w:ind w:left="720"/>
        <w:contextualSpacing/>
        <w:rPr>
          <w:rFonts w:cs="Times New Roman"/>
          <w:snapToGrid/>
          <w:szCs w:val="22"/>
          <w:lang w:eastAsia="en-AU"/>
        </w:rPr>
      </w:pPr>
    </w:p>
    <w:p w:rsidR="00E97825" w:rsidRDefault="00541892" w:rsidP="0000445A">
      <w:pPr>
        <w:pStyle w:val="ListParagraph"/>
        <w:numPr>
          <w:ilvl w:val="1"/>
          <w:numId w:val="2"/>
        </w:numPr>
        <w:rPr>
          <w:rFonts w:cs="Times New Roman"/>
          <w:snapToGrid/>
          <w:szCs w:val="22"/>
          <w:lang w:eastAsia="en-AU"/>
        </w:rPr>
      </w:pPr>
      <w:r w:rsidRPr="0000445A">
        <w:rPr>
          <w:rFonts w:cs="Times New Roman"/>
          <w:snapToGrid/>
          <w:szCs w:val="22"/>
          <w:lang w:eastAsia="en-AU"/>
        </w:rPr>
        <w:t>T</w:t>
      </w:r>
      <w:r w:rsidR="0000445A">
        <w:rPr>
          <w:rFonts w:cs="Times New Roman"/>
          <w:snapToGrid/>
          <w:szCs w:val="22"/>
          <w:lang w:eastAsia="en-AU"/>
        </w:rPr>
        <w:t>he submission’s clinical placement of</w:t>
      </w:r>
      <w:r w:rsidR="0000445A" w:rsidRPr="0000445A">
        <w:t xml:space="preserve"> </w:t>
      </w:r>
      <w:r w:rsidR="0000445A">
        <w:rPr>
          <w:rFonts w:cs="Times New Roman"/>
          <w:snapToGrid/>
          <w:szCs w:val="22"/>
          <w:lang w:eastAsia="en-AU"/>
        </w:rPr>
        <w:t>c</w:t>
      </w:r>
      <w:r w:rsidR="0000445A" w:rsidRPr="0000445A">
        <w:rPr>
          <w:rFonts w:cs="Times New Roman"/>
          <w:snapToGrid/>
          <w:szCs w:val="22"/>
          <w:lang w:eastAsia="en-AU"/>
        </w:rPr>
        <w:t xml:space="preserve">anakinumab </w:t>
      </w:r>
      <w:r w:rsidR="0000445A">
        <w:rPr>
          <w:rFonts w:cs="Times New Roman"/>
          <w:snapToGrid/>
          <w:szCs w:val="22"/>
          <w:lang w:eastAsia="en-AU"/>
        </w:rPr>
        <w:t>as a</w:t>
      </w:r>
      <w:r w:rsidR="0000445A" w:rsidRPr="0000445A">
        <w:rPr>
          <w:rFonts w:cs="Times New Roman"/>
          <w:snapToGrid/>
          <w:szCs w:val="22"/>
          <w:lang w:eastAsia="en-AU"/>
        </w:rPr>
        <w:t xml:space="preserve"> treatment </w:t>
      </w:r>
      <w:r w:rsidR="0000445A">
        <w:rPr>
          <w:rFonts w:cs="Times New Roman"/>
          <w:snapToGrid/>
          <w:szCs w:val="22"/>
          <w:lang w:eastAsia="en-AU"/>
        </w:rPr>
        <w:t>for</w:t>
      </w:r>
      <w:r w:rsidR="0000445A" w:rsidRPr="0000445A">
        <w:rPr>
          <w:rFonts w:cs="Times New Roman"/>
          <w:snapToGrid/>
          <w:szCs w:val="22"/>
          <w:lang w:eastAsia="en-AU"/>
        </w:rPr>
        <w:t xml:space="preserve"> children and adults with a diagnosis of sJIA, without a polyarticular presentation, who have failed to respond to previous treatment with methotrexate, non-steroidal anti-in</w:t>
      </w:r>
      <w:r w:rsidR="0000445A">
        <w:rPr>
          <w:rFonts w:cs="Times New Roman"/>
          <w:snapToGrid/>
          <w:szCs w:val="22"/>
          <w:lang w:eastAsia="en-AU"/>
        </w:rPr>
        <w:t>flammatories or glucocorticoids represented an alternative</w:t>
      </w:r>
      <w:r w:rsidR="007D141D">
        <w:rPr>
          <w:rFonts w:cs="Times New Roman"/>
          <w:snapToGrid/>
          <w:szCs w:val="22"/>
          <w:lang w:eastAsia="en-AU"/>
        </w:rPr>
        <w:t xml:space="preserve"> treatment to tociliz</w:t>
      </w:r>
      <w:r w:rsidR="0000445A">
        <w:rPr>
          <w:rFonts w:cs="Times New Roman"/>
          <w:snapToGrid/>
          <w:szCs w:val="22"/>
          <w:lang w:eastAsia="en-AU"/>
        </w:rPr>
        <w:t>umab</w:t>
      </w:r>
      <w:r w:rsidR="007D141D">
        <w:rPr>
          <w:rFonts w:cs="Times New Roman"/>
          <w:snapToGrid/>
          <w:szCs w:val="22"/>
          <w:lang w:eastAsia="en-AU"/>
        </w:rPr>
        <w:t xml:space="preserve">, etanercept and adalimumab. </w:t>
      </w:r>
      <w:r w:rsidR="00F4440D">
        <w:rPr>
          <w:rFonts w:cs="Times New Roman"/>
          <w:snapToGrid/>
          <w:szCs w:val="22"/>
          <w:lang w:eastAsia="en-AU"/>
        </w:rPr>
        <w:t xml:space="preserve">The PBAC </w:t>
      </w:r>
      <w:r w:rsidR="009D1C6E">
        <w:rPr>
          <w:rFonts w:cs="Times New Roman"/>
          <w:snapToGrid/>
          <w:szCs w:val="22"/>
          <w:lang w:eastAsia="en-AU"/>
        </w:rPr>
        <w:t xml:space="preserve">noted </w:t>
      </w:r>
      <w:r w:rsidR="00F4440D">
        <w:rPr>
          <w:rFonts w:cs="Times New Roman"/>
          <w:snapToGrid/>
          <w:szCs w:val="22"/>
          <w:lang w:eastAsia="en-AU"/>
        </w:rPr>
        <w:t>that anakinra may also sometimes be prescribed</w:t>
      </w:r>
      <w:r w:rsidR="009D1C6E">
        <w:rPr>
          <w:rFonts w:cs="Times New Roman"/>
          <w:snapToGrid/>
          <w:szCs w:val="22"/>
          <w:lang w:eastAsia="en-AU"/>
        </w:rPr>
        <w:t xml:space="preserve"> for this indication</w:t>
      </w:r>
      <w:r w:rsidR="00F4440D">
        <w:rPr>
          <w:rFonts w:cs="Times New Roman"/>
          <w:snapToGrid/>
          <w:szCs w:val="22"/>
          <w:lang w:eastAsia="en-AU"/>
        </w:rPr>
        <w:t xml:space="preserve">. </w:t>
      </w:r>
      <w:r w:rsidR="007D141D">
        <w:rPr>
          <w:rFonts w:cs="Times New Roman"/>
          <w:snapToGrid/>
          <w:szCs w:val="22"/>
          <w:lang w:eastAsia="en-AU"/>
        </w:rPr>
        <w:t>Tocil</w:t>
      </w:r>
      <w:r w:rsidR="00C5793C">
        <w:rPr>
          <w:rFonts w:cs="Times New Roman"/>
          <w:snapToGrid/>
          <w:szCs w:val="22"/>
          <w:lang w:eastAsia="en-AU"/>
        </w:rPr>
        <w:t>i</w:t>
      </w:r>
      <w:r w:rsidR="007D141D">
        <w:rPr>
          <w:rFonts w:cs="Times New Roman"/>
          <w:snapToGrid/>
          <w:szCs w:val="22"/>
          <w:lang w:eastAsia="en-AU"/>
        </w:rPr>
        <w:t xml:space="preserve">zumab, etanercept and adalimumab are all currently PBS-listed for the indication of </w:t>
      </w:r>
      <w:r w:rsidR="00F4440D">
        <w:rPr>
          <w:rFonts w:cs="Times New Roman"/>
          <w:snapToGrid/>
          <w:szCs w:val="22"/>
          <w:lang w:eastAsia="en-AU"/>
        </w:rPr>
        <w:t>‘</w:t>
      </w:r>
      <w:r w:rsidR="007D141D">
        <w:rPr>
          <w:rFonts w:cs="Times New Roman"/>
          <w:snapToGrid/>
          <w:szCs w:val="22"/>
          <w:lang w:eastAsia="en-AU"/>
        </w:rPr>
        <w:t>severe active juvenile arthritis</w:t>
      </w:r>
      <w:r w:rsidR="00F4440D">
        <w:rPr>
          <w:rFonts w:cs="Times New Roman"/>
          <w:snapToGrid/>
          <w:szCs w:val="22"/>
          <w:lang w:eastAsia="en-AU"/>
        </w:rPr>
        <w:t>’</w:t>
      </w:r>
      <w:r w:rsidR="007D141D">
        <w:rPr>
          <w:rFonts w:cs="Times New Roman"/>
          <w:snapToGrid/>
          <w:szCs w:val="22"/>
          <w:lang w:eastAsia="en-AU"/>
        </w:rPr>
        <w:t xml:space="preserve">. </w:t>
      </w:r>
      <w:r w:rsidR="00E97825">
        <w:rPr>
          <w:rFonts w:cs="Times New Roman"/>
          <w:snapToGrid/>
          <w:szCs w:val="22"/>
          <w:lang w:eastAsia="en-AU"/>
        </w:rPr>
        <w:t>One of these three drugs was therefore likely to be replaced in practice by canakinumab and considered to be the comparator for the submission.</w:t>
      </w:r>
    </w:p>
    <w:p w:rsidR="0000445A" w:rsidRPr="0000445A" w:rsidRDefault="0000445A" w:rsidP="00E97825">
      <w:pPr>
        <w:pStyle w:val="ListParagraph"/>
        <w:rPr>
          <w:rFonts w:cs="Times New Roman"/>
          <w:snapToGrid/>
          <w:szCs w:val="22"/>
          <w:lang w:eastAsia="en-AU"/>
        </w:rPr>
      </w:pPr>
      <w:r>
        <w:rPr>
          <w:rFonts w:cs="Times New Roman"/>
          <w:snapToGrid/>
          <w:szCs w:val="22"/>
          <w:lang w:eastAsia="en-AU"/>
        </w:rPr>
        <w:t xml:space="preserve">  </w:t>
      </w:r>
    </w:p>
    <w:p w:rsidR="00E97825" w:rsidRPr="00E97825" w:rsidRDefault="00E97825" w:rsidP="00E97825">
      <w:pPr>
        <w:pStyle w:val="ListParagraph"/>
        <w:numPr>
          <w:ilvl w:val="1"/>
          <w:numId w:val="2"/>
        </w:numPr>
        <w:rPr>
          <w:rFonts w:cs="Times New Roman"/>
          <w:snapToGrid/>
          <w:szCs w:val="22"/>
          <w:lang w:eastAsia="en-AU"/>
        </w:rPr>
      </w:pPr>
      <w:r w:rsidRPr="00E97825">
        <w:rPr>
          <w:rFonts w:cs="Times New Roman"/>
          <w:snapToGrid/>
          <w:szCs w:val="22"/>
          <w:lang w:eastAsia="en-AU"/>
        </w:rPr>
        <w:t xml:space="preserve">The </w:t>
      </w:r>
      <w:r>
        <w:rPr>
          <w:rFonts w:cs="Times New Roman"/>
          <w:snapToGrid/>
          <w:szCs w:val="22"/>
          <w:lang w:eastAsia="en-AU"/>
        </w:rPr>
        <w:t>submission’s nomination of</w:t>
      </w:r>
      <w:r w:rsidRPr="00E97825">
        <w:rPr>
          <w:rFonts w:cs="Times New Roman"/>
          <w:snapToGrid/>
          <w:szCs w:val="22"/>
          <w:lang w:eastAsia="en-AU"/>
        </w:rPr>
        <w:t xml:space="preserve"> tocilizumab </w:t>
      </w:r>
      <w:r>
        <w:rPr>
          <w:rFonts w:cs="Times New Roman"/>
          <w:snapToGrid/>
          <w:szCs w:val="22"/>
          <w:lang w:eastAsia="en-AU"/>
        </w:rPr>
        <w:t>as the</w:t>
      </w:r>
      <w:r w:rsidRPr="00E97825">
        <w:rPr>
          <w:rFonts w:cs="Times New Roman"/>
          <w:snapToGrid/>
          <w:szCs w:val="22"/>
          <w:lang w:eastAsia="en-AU"/>
        </w:rPr>
        <w:t xml:space="preserve"> </w:t>
      </w:r>
      <w:r>
        <w:rPr>
          <w:rFonts w:cs="Times New Roman"/>
          <w:snapToGrid/>
          <w:szCs w:val="22"/>
          <w:lang w:eastAsia="en-AU"/>
        </w:rPr>
        <w:t>main</w:t>
      </w:r>
      <w:r w:rsidRPr="00E97825">
        <w:rPr>
          <w:rFonts w:cs="Times New Roman"/>
          <w:snapToGrid/>
          <w:szCs w:val="22"/>
          <w:lang w:eastAsia="en-AU"/>
        </w:rPr>
        <w:t xml:space="preserve"> comparator</w:t>
      </w:r>
      <w:r>
        <w:rPr>
          <w:rFonts w:cs="Times New Roman"/>
          <w:snapToGrid/>
          <w:szCs w:val="22"/>
          <w:lang w:eastAsia="en-AU"/>
        </w:rPr>
        <w:t xml:space="preserve"> and presentation of secondary comparisons against etanercept and adalimumab was considered appropriate by the PBAC</w:t>
      </w:r>
      <w:r w:rsidRPr="00E97825">
        <w:rPr>
          <w:rFonts w:cs="Times New Roman"/>
          <w:snapToGrid/>
          <w:szCs w:val="22"/>
          <w:lang w:eastAsia="en-AU"/>
        </w:rPr>
        <w:t xml:space="preserve">. </w:t>
      </w:r>
    </w:p>
    <w:p w:rsidR="0000445A" w:rsidRDefault="0000445A" w:rsidP="00FC50AF">
      <w:pPr>
        <w:widowControl w:val="0"/>
        <w:ind w:left="720"/>
        <w:contextualSpacing/>
        <w:rPr>
          <w:rFonts w:cs="Times New Roman"/>
          <w:snapToGrid/>
          <w:szCs w:val="22"/>
          <w:lang w:eastAsia="en-AU"/>
        </w:rPr>
      </w:pPr>
    </w:p>
    <w:p w:rsidR="00EF23D4" w:rsidRDefault="00FC50AF" w:rsidP="00490F0E">
      <w:pPr>
        <w:widowControl w:val="0"/>
        <w:numPr>
          <w:ilvl w:val="1"/>
          <w:numId w:val="2"/>
        </w:numPr>
        <w:contextualSpacing/>
        <w:rPr>
          <w:rFonts w:cs="Times New Roman"/>
          <w:snapToGrid/>
          <w:szCs w:val="22"/>
          <w:lang w:eastAsia="en-AU"/>
        </w:rPr>
      </w:pPr>
      <w:r>
        <w:rPr>
          <w:rFonts w:cs="Times New Roman"/>
          <w:snapToGrid/>
          <w:szCs w:val="22"/>
          <w:lang w:eastAsia="en-AU"/>
        </w:rPr>
        <w:t>T</w:t>
      </w:r>
      <w:r w:rsidR="00541892">
        <w:rPr>
          <w:rFonts w:cs="Times New Roman"/>
          <w:snapToGrid/>
          <w:szCs w:val="22"/>
          <w:lang w:eastAsia="en-AU"/>
        </w:rPr>
        <w:t xml:space="preserve">he PBAC </w:t>
      </w:r>
      <w:r>
        <w:rPr>
          <w:rFonts w:cs="Times New Roman"/>
          <w:snapToGrid/>
          <w:szCs w:val="22"/>
          <w:lang w:eastAsia="en-AU"/>
        </w:rPr>
        <w:t xml:space="preserve">noted the ESC’s concerns about the high risk of bias </w:t>
      </w:r>
      <w:r w:rsidR="004B0EA0">
        <w:rPr>
          <w:rFonts w:cs="Times New Roman"/>
          <w:snapToGrid/>
          <w:szCs w:val="22"/>
          <w:lang w:eastAsia="en-AU"/>
        </w:rPr>
        <w:t>in</w:t>
      </w:r>
      <w:r>
        <w:rPr>
          <w:rFonts w:cs="Times New Roman"/>
          <w:snapToGrid/>
          <w:szCs w:val="22"/>
          <w:lang w:eastAsia="en-AU"/>
        </w:rPr>
        <w:t xml:space="preserve"> Trial 2301 </w:t>
      </w:r>
      <w:r w:rsidR="004B0EA0">
        <w:rPr>
          <w:rFonts w:cs="Times New Roman"/>
          <w:snapToGrid/>
          <w:szCs w:val="22"/>
          <w:lang w:eastAsia="en-AU"/>
        </w:rPr>
        <w:t>favouring canakinumab and resulting from the design and movement of subjects through the trial.</w:t>
      </w:r>
      <w:r>
        <w:rPr>
          <w:rFonts w:cs="Times New Roman"/>
          <w:snapToGrid/>
          <w:szCs w:val="22"/>
          <w:lang w:eastAsia="en-AU"/>
        </w:rPr>
        <w:t xml:space="preserve"> </w:t>
      </w:r>
      <w:r w:rsidR="004B0EA0">
        <w:rPr>
          <w:rFonts w:cs="Times New Roman"/>
          <w:snapToGrid/>
          <w:szCs w:val="22"/>
          <w:lang w:eastAsia="en-AU"/>
        </w:rPr>
        <w:t xml:space="preserve">The PBAC further noted concerns identified by the evaluation relating to the significant differences in treatment duration in the trials (e.g. 29 days versus 12 weeks), a high level of heterogeneity with respect to exposure to prior treatments, duration of disease and active joint count. </w:t>
      </w:r>
      <w:r w:rsidR="000E5010">
        <w:rPr>
          <w:rFonts w:cs="Times New Roman"/>
          <w:snapToGrid/>
          <w:szCs w:val="22"/>
          <w:lang w:eastAsia="en-AU"/>
        </w:rPr>
        <w:t xml:space="preserve">Whilst these issues were valid </w:t>
      </w:r>
      <w:r w:rsidR="000E5010">
        <w:rPr>
          <w:rFonts w:cs="Times New Roman"/>
          <w:snapToGrid/>
          <w:szCs w:val="22"/>
          <w:lang w:eastAsia="en-AU"/>
        </w:rPr>
        <w:lastRenderedPageBreak/>
        <w:t>concerns identified by the evaluation and ESC, the PBAC considered that the nature of these concerns were not too dissimilar to those encountered in</w:t>
      </w:r>
      <w:r w:rsidR="00EF23D4">
        <w:rPr>
          <w:rFonts w:cs="Times New Roman"/>
          <w:snapToGrid/>
          <w:szCs w:val="22"/>
          <w:lang w:eastAsia="en-AU"/>
        </w:rPr>
        <w:t xml:space="preserve"> previous</w:t>
      </w:r>
      <w:r w:rsidR="000E5010">
        <w:rPr>
          <w:rFonts w:cs="Times New Roman"/>
          <w:snapToGrid/>
          <w:szCs w:val="22"/>
          <w:lang w:eastAsia="en-AU"/>
        </w:rPr>
        <w:t xml:space="preserve"> juvenile idiopathic arthritis submission</w:t>
      </w:r>
      <w:r w:rsidR="00EF23D4">
        <w:rPr>
          <w:rFonts w:cs="Times New Roman"/>
          <w:snapToGrid/>
          <w:szCs w:val="22"/>
          <w:lang w:eastAsia="en-AU"/>
        </w:rPr>
        <w:t xml:space="preserve"> trial data for other drugs</w:t>
      </w:r>
      <w:r w:rsidR="000E5010">
        <w:rPr>
          <w:rFonts w:cs="Times New Roman"/>
          <w:snapToGrid/>
          <w:szCs w:val="22"/>
          <w:lang w:eastAsia="en-AU"/>
        </w:rPr>
        <w:t>.</w:t>
      </w:r>
      <w:r w:rsidR="00EF23D4">
        <w:rPr>
          <w:rFonts w:cs="Times New Roman"/>
          <w:snapToGrid/>
          <w:szCs w:val="22"/>
          <w:lang w:eastAsia="en-AU"/>
        </w:rPr>
        <w:t xml:space="preserve"> </w:t>
      </w:r>
      <w:r w:rsidR="000E5010">
        <w:rPr>
          <w:rFonts w:cs="Times New Roman"/>
          <w:snapToGrid/>
          <w:szCs w:val="22"/>
          <w:lang w:eastAsia="en-AU"/>
        </w:rPr>
        <w:t>In turn, the PBAC a</w:t>
      </w:r>
      <w:r w:rsidR="00EF23D4">
        <w:rPr>
          <w:rFonts w:cs="Times New Roman"/>
          <w:snapToGrid/>
          <w:szCs w:val="22"/>
          <w:lang w:eastAsia="en-AU"/>
        </w:rPr>
        <w:t>cknowledged</w:t>
      </w:r>
      <w:r w:rsidR="000E5010">
        <w:rPr>
          <w:rFonts w:cs="Times New Roman"/>
          <w:snapToGrid/>
          <w:szCs w:val="22"/>
          <w:lang w:eastAsia="en-AU"/>
        </w:rPr>
        <w:t xml:space="preserve"> the</w:t>
      </w:r>
      <w:r w:rsidR="00EF23D4">
        <w:rPr>
          <w:rFonts w:cs="Times New Roman"/>
          <w:snapToGrid/>
          <w:szCs w:val="22"/>
          <w:lang w:eastAsia="en-AU"/>
        </w:rPr>
        <w:t xml:space="preserve"> </w:t>
      </w:r>
      <w:r w:rsidR="00F10BE5">
        <w:rPr>
          <w:rFonts w:cs="Times New Roman"/>
          <w:snapToGrid/>
          <w:szCs w:val="22"/>
          <w:lang w:eastAsia="en-AU"/>
        </w:rPr>
        <w:t xml:space="preserve">difficulties </w:t>
      </w:r>
      <w:r w:rsidR="00EF23D4">
        <w:rPr>
          <w:rFonts w:cs="Times New Roman"/>
          <w:snapToGrid/>
          <w:szCs w:val="22"/>
          <w:lang w:eastAsia="en-AU"/>
        </w:rPr>
        <w:t xml:space="preserve">in </w:t>
      </w:r>
      <w:r w:rsidR="00F10BE5">
        <w:rPr>
          <w:rFonts w:cs="Times New Roman"/>
          <w:snapToGrid/>
          <w:szCs w:val="22"/>
          <w:lang w:eastAsia="en-AU"/>
        </w:rPr>
        <w:t>conducting trials in children</w:t>
      </w:r>
      <w:r w:rsidR="00EF23D4">
        <w:rPr>
          <w:rFonts w:cs="Times New Roman"/>
          <w:snapToGrid/>
          <w:szCs w:val="22"/>
          <w:lang w:eastAsia="en-AU"/>
        </w:rPr>
        <w:t xml:space="preserve"> and</w:t>
      </w:r>
      <w:r w:rsidR="00F10BE5">
        <w:rPr>
          <w:rFonts w:cs="Times New Roman"/>
          <w:snapToGrid/>
          <w:szCs w:val="22"/>
          <w:lang w:eastAsia="en-AU"/>
        </w:rPr>
        <w:t xml:space="preserve"> small patient </w:t>
      </w:r>
      <w:r w:rsidR="00EF23D4">
        <w:rPr>
          <w:rFonts w:cs="Times New Roman"/>
          <w:snapToGrid/>
          <w:szCs w:val="22"/>
          <w:lang w:eastAsia="en-AU"/>
        </w:rPr>
        <w:t>populations</w:t>
      </w:r>
      <w:r w:rsidR="00F10BE5">
        <w:rPr>
          <w:rFonts w:cs="Times New Roman"/>
          <w:snapToGrid/>
          <w:szCs w:val="22"/>
          <w:lang w:eastAsia="en-AU"/>
        </w:rPr>
        <w:t xml:space="preserve"> and </w:t>
      </w:r>
      <w:r w:rsidR="000E5010">
        <w:rPr>
          <w:rFonts w:cs="Times New Roman"/>
          <w:snapToGrid/>
          <w:szCs w:val="22"/>
          <w:lang w:eastAsia="en-AU"/>
        </w:rPr>
        <w:t xml:space="preserve">was </w:t>
      </w:r>
      <w:r w:rsidR="00EF23D4">
        <w:rPr>
          <w:rFonts w:cs="Times New Roman"/>
          <w:snapToGrid/>
          <w:szCs w:val="22"/>
          <w:lang w:eastAsia="en-AU"/>
        </w:rPr>
        <w:t xml:space="preserve">therefore prepared to </w:t>
      </w:r>
      <w:r w:rsidR="000E5010">
        <w:rPr>
          <w:rFonts w:cs="Times New Roman"/>
          <w:snapToGrid/>
          <w:szCs w:val="22"/>
          <w:lang w:eastAsia="en-AU"/>
        </w:rPr>
        <w:t xml:space="preserve">balance </w:t>
      </w:r>
      <w:r w:rsidR="00EF23D4">
        <w:rPr>
          <w:rFonts w:cs="Times New Roman"/>
          <w:snapToGrid/>
          <w:szCs w:val="22"/>
          <w:lang w:eastAsia="en-AU"/>
        </w:rPr>
        <w:t xml:space="preserve">the quality of </w:t>
      </w:r>
      <w:r w:rsidR="00301ED1">
        <w:rPr>
          <w:rFonts w:cs="Times New Roman"/>
          <w:snapToGrid/>
          <w:szCs w:val="22"/>
          <w:lang w:eastAsia="en-AU"/>
        </w:rPr>
        <w:t>the</w:t>
      </w:r>
      <w:r w:rsidR="00EF23D4">
        <w:rPr>
          <w:rFonts w:cs="Times New Roman"/>
          <w:snapToGrid/>
          <w:szCs w:val="22"/>
          <w:lang w:eastAsia="en-AU"/>
        </w:rPr>
        <w:t xml:space="preserve"> trial design </w:t>
      </w:r>
      <w:r w:rsidR="00301ED1">
        <w:rPr>
          <w:rFonts w:cs="Times New Roman"/>
          <w:snapToGrid/>
          <w:szCs w:val="22"/>
          <w:lang w:eastAsia="en-AU"/>
        </w:rPr>
        <w:t>against the proposed listing context of an uncommon disease in a small, paediatric population</w:t>
      </w:r>
      <w:r w:rsidR="008C29F7">
        <w:rPr>
          <w:rFonts w:cs="Times New Roman"/>
          <w:snapToGrid/>
          <w:szCs w:val="22"/>
          <w:lang w:eastAsia="en-AU"/>
        </w:rPr>
        <w:t xml:space="preserve"> that would be managed by specialist prescribers in a tertiary healthcare setting</w:t>
      </w:r>
      <w:r w:rsidR="00301ED1">
        <w:rPr>
          <w:rFonts w:cs="Times New Roman"/>
          <w:snapToGrid/>
          <w:szCs w:val="22"/>
          <w:lang w:eastAsia="en-AU"/>
        </w:rPr>
        <w:t xml:space="preserve">. </w:t>
      </w:r>
    </w:p>
    <w:p w:rsidR="00EF23D4" w:rsidRDefault="00EF23D4" w:rsidP="00EF23D4">
      <w:pPr>
        <w:widowControl w:val="0"/>
        <w:ind w:left="720"/>
        <w:contextualSpacing/>
        <w:rPr>
          <w:rFonts w:cs="Times New Roman"/>
          <w:snapToGrid/>
          <w:szCs w:val="22"/>
          <w:lang w:eastAsia="en-AU"/>
        </w:rPr>
      </w:pPr>
    </w:p>
    <w:p w:rsidR="00EF23D4" w:rsidRDefault="00E863CA" w:rsidP="00EF23D4">
      <w:pPr>
        <w:pStyle w:val="ListParagraph"/>
        <w:numPr>
          <w:ilvl w:val="1"/>
          <w:numId w:val="2"/>
        </w:numPr>
        <w:rPr>
          <w:rFonts w:cs="Times New Roman"/>
          <w:snapToGrid/>
          <w:szCs w:val="22"/>
          <w:lang w:eastAsia="en-AU"/>
        </w:rPr>
      </w:pPr>
      <w:r>
        <w:rPr>
          <w:rFonts w:cs="Times New Roman"/>
          <w:snapToGrid/>
          <w:szCs w:val="22"/>
          <w:lang w:eastAsia="en-AU"/>
        </w:rPr>
        <w:t xml:space="preserve">In the absence of the submission making a direct clinical claim, the PBAC observed that there were </w:t>
      </w:r>
      <w:r w:rsidRPr="00E863CA">
        <w:rPr>
          <w:rFonts w:cs="Times New Roman"/>
          <w:snapToGrid/>
          <w:szCs w:val="22"/>
          <w:lang w:eastAsia="en-AU"/>
        </w:rPr>
        <w:t xml:space="preserve">no statistically significant differences between canakinumab and tocilizumab for the ACR 30 Pedi response, while </w:t>
      </w:r>
      <w:r>
        <w:rPr>
          <w:rFonts w:cs="Times New Roman"/>
          <w:snapToGrid/>
          <w:szCs w:val="22"/>
          <w:lang w:eastAsia="en-AU"/>
        </w:rPr>
        <w:t xml:space="preserve">results for </w:t>
      </w:r>
      <w:r w:rsidRPr="00E863CA">
        <w:rPr>
          <w:rFonts w:cs="Times New Roman"/>
          <w:snapToGrid/>
          <w:szCs w:val="22"/>
          <w:lang w:eastAsia="en-AU"/>
        </w:rPr>
        <w:t xml:space="preserve">canakinumab </w:t>
      </w:r>
      <w:r>
        <w:rPr>
          <w:rFonts w:cs="Times New Roman"/>
          <w:snapToGrid/>
          <w:szCs w:val="22"/>
          <w:lang w:eastAsia="en-AU"/>
        </w:rPr>
        <w:t xml:space="preserve">appeared more favourable </w:t>
      </w:r>
      <w:r w:rsidRPr="00E863CA">
        <w:rPr>
          <w:rFonts w:cs="Times New Roman"/>
          <w:snapToGrid/>
          <w:szCs w:val="22"/>
          <w:lang w:eastAsia="en-AU"/>
        </w:rPr>
        <w:t xml:space="preserve">than adalimumab for this outcome. </w:t>
      </w:r>
      <w:r>
        <w:rPr>
          <w:rFonts w:cs="Times New Roman"/>
          <w:snapToGrid/>
          <w:szCs w:val="22"/>
          <w:lang w:eastAsia="en-AU"/>
        </w:rPr>
        <w:t>C</w:t>
      </w:r>
      <w:r w:rsidRPr="00E863CA">
        <w:rPr>
          <w:rFonts w:cs="Times New Roman"/>
          <w:snapToGrid/>
          <w:szCs w:val="22"/>
          <w:lang w:eastAsia="en-AU"/>
        </w:rPr>
        <w:t xml:space="preserve">anakinumab was </w:t>
      </w:r>
      <w:r>
        <w:rPr>
          <w:rFonts w:cs="Times New Roman"/>
          <w:snapToGrid/>
          <w:szCs w:val="22"/>
          <w:lang w:eastAsia="en-AU"/>
        </w:rPr>
        <w:t>also observed</w:t>
      </w:r>
      <w:r w:rsidRPr="00E863CA">
        <w:rPr>
          <w:rFonts w:cs="Times New Roman"/>
          <w:snapToGrid/>
          <w:szCs w:val="22"/>
          <w:lang w:eastAsia="en-AU"/>
        </w:rPr>
        <w:t xml:space="preserve"> to have similar efficacy </w:t>
      </w:r>
      <w:r>
        <w:rPr>
          <w:rFonts w:cs="Times New Roman"/>
          <w:snapToGrid/>
          <w:szCs w:val="22"/>
          <w:lang w:eastAsia="en-AU"/>
        </w:rPr>
        <w:t>in</w:t>
      </w:r>
      <w:r w:rsidRPr="00E863CA">
        <w:rPr>
          <w:rFonts w:cs="Times New Roman"/>
          <w:snapToGrid/>
          <w:szCs w:val="22"/>
          <w:lang w:eastAsia="en-AU"/>
        </w:rPr>
        <w:t xml:space="preserve"> reducing disease flare when compared with etanercept and adalimumab. </w:t>
      </w:r>
      <w:r w:rsidR="00EF23D4" w:rsidRPr="00EF23D4">
        <w:rPr>
          <w:rFonts w:cs="Times New Roman"/>
          <w:snapToGrid/>
          <w:szCs w:val="22"/>
          <w:lang w:eastAsia="en-AU"/>
        </w:rPr>
        <w:t xml:space="preserve">The PBAC </w:t>
      </w:r>
      <w:r>
        <w:rPr>
          <w:rFonts w:cs="Times New Roman"/>
          <w:snapToGrid/>
          <w:szCs w:val="22"/>
          <w:lang w:eastAsia="en-AU"/>
        </w:rPr>
        <w:t xml:space="preserve">therefore </w:t>
      </w:r>
      <w:r w:rsidR="00EF23D4" w:rsidRPr="00EF23D4">
        <w:rPr>
          <w:rFonts w:cs="Times New Roman"/>
          <w:snapToGrid/>
          <w:szCs w:val="22"/>
          <w:lang w:eastAsia="en-AU"/>
        </w:rPr>
        <w:t xml:space="preserve">considered </w:t>
      </w:r>
      <w:r>
        <w:rPr>
          <w:rFonts w:cs="Times New Roman"/>
          <w:snapToGrid/>
          <w:szCs w:val="22"/>
          <w:lang w:eastAsia="en-AU"/>
        </w:rPr>
        <w:t xml:space="preserve">that canakinumab is likely to be non-inferior to tocilizumab. </w:t>
      </w:r>
      <w:r w:rsidRPr="00E863CA">
        <w:rPr>
          <w:rFonts w:cs="Times New Roman"/>
          <w:snapToGrid/>
          <w:szCs w:val="22"/>
          <w:lang w:eastAsia="en-AU"/>
        </w:rPr>
        <w:t xml:space="preserve">For adverse events, the </w:t>
      </w:r>
      <w:r>
        <w:rPr>
          <w:rFonts w:cs="Times New Roman"/>
          <w:snapToGrid/>
          <w:szCs w:val="22"/>
          <w:lang w:eastAsia="en-AU"/>
        </w:rPr>
        <w:t>PBAC noted that</w:t>
      </w:r>
      <w:r w:rsidRPr="00E863CA">
        <w:rPr>
          <w:rFonts w:cs="Times New Roman"/>
          <w:snapToGrid/>
          <w:szCs w:val="22"/>
          <w:lang w:eastAsia="en-AU"/>
        </w:rPr>
        <w:t xml:space="preserve"> the adverse event profiles of the drugs </w:t>
      </w:r>
      <w:r>
        <w:rPr>
          <w:rFonts w:cs="Times New Roman"/>
          <w:snapToGrid/>
          <w:szCs w:val="22"/>
          <w:lang w:eastAsia="en-AU"/>
        </w:rPr>
        <w:t>wer</w:t>
      </w:r>
      <w:r w:rsidRPr="00E863CA">
        <w:rPr>
          <w:rFonts w:cs="Times New Roman"/>
          <w:snapToGrid/>
          <w:szCs w:val="22"/>
          <w:lang w:eastAsia="en-AU"/>
        </w:rPr>
        <w:t xml:space="preserve">e difficult to compare using statistical methods but </w:t>
      </w:r>
      <w:r>
        <w:rPr>
          <w:rFonts w:cs="Times New Roman"/>
          <w:snapToGrid/>
          <w:szCs w:val="22"/>
          <w:lang w:eastAsia="en-AU"/>
        </w:rPr>
        <w:t>considered</w:t>
      </w:r>
      <w:r w:rsidRPr="00E863CA">
        <w:rPr>
          <w:rFonts w:cs="Times New Roman"/>
          <w:snapToGrid/>
          <w:szCs w:val="22"/>
          <w:lang w:eastAsia="en-AU"/>
        </w:rPr>
        <w:t xml:space="preserve"> that the adverse event rates for canakinumab were </w:t>
      </w:r>
      <w:r>
        <w:rPr>
          <w:rFonts w:cs="Times New Roman"/>
          <w:snapToGrid/>
          <w:szCs w:val="22"/>
          <w:lang w:eastAsia="en-AU"/>
        </w:rPr>
        <w:t xml:space="preserve">likely to be </w:t>
      </w:r>
      <w:r w:rsidRPr="00E863CA">
        <w:rPr>
          <w:rFonts w:cs="Times New Roman"/>
          <w:snapToGrid/>
          <w:szCs w:val="22"/>
          <w:lang w:eastAsia="en-AU"/>
        </w:rPr>
        <w:t xml:space="preserve">comparable to other drugs in the submission. </w:t>
      </w:r>
    </w:p>
    <w:p w:rsidR="00D10EF4" w:rsidRDefault="00D10EF4" w:rsidP="00D10EF4">
      <w:pPr>
        <w:pStyle w:val="ListParagraph"/>
        <w:rPr>
          <w:rFonts w:cs="Times New Roman"/>
          <w:snapToGrid/>
          <w:szCs w:val="22"/>
          <w:lang w:eastAsia="en-AU"/>
        </w:rPr>
      </w:pPr>
    </w:p>
    <w:p w:rsidR="0033197D" w:rsidRPr="00053094" w:rsidRDefault="001E4704" w:rsidP="00D10EF4">
      <w:pPr>
        <w:pStyle w:val="ListParagraph"/>
        <w:numPr>
          <w:ilvl w:val="1"/>
          <w:numId w:val="2"/>
        </w:numPr>
        <w:rPr>
          <w:snapToGrid/>
          <w:lang w:eastAsia="en-AU"/>
        </w:rPr>
      </w:pPr>
      <w:r>
        <w:rPr>
          <w:snapToGrid/>
          <w:lang w:eastAsia="en-AU"/>
        </w:rPr>
        <w:t xml:space="preserve">Following on from the view that canakinumab is likely to be non-inferior to tocilizumab, the PBAC accepted the cost-minimisation analysis approach to the economic analysis. The main difficulty arising from the cost-minimisation analysis was the determination of equi-effective doses between canakinumab and tocilizumab due to tocilizumab’s variable dosing by weight and whether a patient is below or over 30 kg. </w:t>
      </w:r>
      <w:r w:rsidRPr="001E4704">
        <w:rPr>
          <w:snapToGrid/>
          <w:lang w:eastAsia="en-AU"/>
        </w:rPr>
        <w:t xml:space="preserve">The submission assumed a normal distribution of body weight in its calculation of equi-effective doses.  As weight was not normally distributed (skewed to the right) in the trials, the </w:t>
      </w:r>
      <w:r>
        <w:rPr>
          <w:snapToGrid/>
          <w:lang w:eastAsia="en-AU"/>
        </w:rPr>
        <w:t xml:space="preserve">evaluation advised that the </w:t>
      </w:r>
      <w:r w:rsidRPr="001E4704">
        <w:rPr>
          <w:snapToGrid/>
          <w:lang w:eastAsia="en-AU"/>
        </w:rPr>
        <w:t>calculated equi-effective doses may not be realised in clinical practice.</w:t>
      </w:r>
      <w:r>
        <w:rPr>
          <w:snapToGrid/>
          <w:lang w:eastAsia="en-AU"/>
        </w:rPr>
        <w:t xml:space="preserve"> The ESC and PBAC noted that t</w:t>
      </w:r>
      <w:r w:rsidRPr="001E4704">
        <w:rPr>
          <w:snapToGrid/>
          <w:lang w:eastAsia="en-AU"/>
        </w:rPr>
        <w:t>he Pre-Sub-Co</w:t>
      </w:r>
      <w:r>
        <w:rPr>
          <w:snapToGrid/>
          <w:lang w:eastAsia="en-AU"/>
        </w:rPr>
        <w:t>mmittee Response (PSCR) provided</w:t>
      </w:r>
      <w:r w:rsidRPr="001E4704">
        <w:rPr>
          <w:snapToGrid/>
          <w:lang w:eastAsia="en-AU"/>
        </w:rPr>
        <w:t xml:space="preserve"> another method of calculating the equ</w:t>
      </w:r>
      <w:r>
        <w:rPr>
          <w:snapToGrid/>
          <w:lang w:eastAsia="en-AU"/>
        </w:rPr>
        <w:t>i-effective doses, which resulted</w:t>
      </w:r>
      <w:r w:rsidRPr="001E4704">
        <w:rPr>
          <w:snapToGrid/>
          <w:lang w:eastAsia="en-AU"/>
        </w:rPr>
        <w:t xml:space="preserve"> in a different relativity and a higher price for canakinumab. However, the ESC </w:t>
      </w:r>
      <w:r>
        <w:rPr>
          <w:snapToGrid/>
          <w:lang w:eastAsia="en-AU"/>
        </w:rPr>
        <w:t>advised that neither approach wa</w:t>
      </w:r>
      <w:r w:rsidRPr="001E4704">
        <w:rPr>
          <w:snapToGrid/>
          <w:lang w:eastAsia="en-AU"/>
        </w:rPr>
        <w:t>s well</w:t>
      </w:r>
      <w:r>
        <w:rPr>
          <w:snapToGrid/>
          <w:lang w:eastAsia="en-AU"/>
        </w:rPr>
        <w:t xml:space="preserve"> supported by the trial data. The PBAC ultimately recommended that the equi-effective doses be determined from the products’ respective Product Information, with any further proportional weightin</w:t>
      </w:r>
      <w:r w:rsidR="00053094">
        <w:rPr>
          <w:snapToGrid/>
          <w:lang w:eastAsia="en-AU"/>
        </w:rPr>
        <w:t>g that accounts for the</w:t>
      </w:r>
      <w:r>
        <w:rPr>
          <w:snapToGrid/>
          <w:lang w:eastAsia="en-AU"/>
        </w:rPr>
        <w:t xml:space="preserve"> use</w:t>
      </w:r>
      <w:r w:rsidR="00053094">
        <w:rPr>
          <w:snapToGrid/>
          <w:lang w:eastAsia="en-AU"/>
        </w:rPr>
        <w:t xml:space="preserve"> of tocilizumab</w:t>
      </w:r>
      <w:r>
        <w:rPr>
          <w:snapToGrid/>
          <w:lang w:eastAsia="en-AU"/>
        </w:rPr>
        <w:t xml:space="preserve"> </w:t>
      </w:r>
      <w:r w:rsidR="00053094">
        <w:rPr>
          <w:snapToGrid/>
          <w:lang w:eastAsia="en-AU"/>
        </w:rPr>
        <w:t xml:space="preserve">in patients under or above 30 kg to be determined by the Department. </w:t>
      </w:r>
      <w:r>
        <w:rPr>
          <w:snapToGrid/>
          <w:lang w:eastAsia="en-AU"/>
        </w:rPr>
        <w:t xml:space="preserve"> </w:t>
      </w:r>
    </w:p>
    <w:p w:rsidR="00EA0631" w:rsidRDefault="00EA0631" w:rsidP="0033197D">
      <w:pPr>
        <w:widowControl w:val="0"/>
        <w:ind w:left="720"/>
        <w:contextualSpacing/>
        <w:rPr>
          <w:rFonts w:cs="Times New Roman"/>
          <w:snapToGrid/>
          <w:szCs w:val="22"/>
          <w:lang w:eastAsia="en-AU"/>
        </w:rPr>
      </w:pPr>
    </w:p>
    <w:p w:rsidR="0033197D" w:rsidRDefault="0033197D" w:rsidP="00283EB9">
      <w:pPr>
        <w:widowControl w:val="0"/>
        <w:numPr>
          <w:ilvl w:val="1"/>
          <w:numId w:val="2"/>
        </w:numPr>
        <w:rPr>
          <w:rFonts w:cs="Times New Roman"/>
          <w:snapToGrid/>
          <w:szCs w:val="22"/>
          <w:u w:val="single"/>
          <w:lang w:eastAsia="en-AU"/>
        </w:rPr>
      </w:pPr>
      <w:r w:rsidRPr="0033197D">
        <w:rPr>
          <w:rFonts w:cs="Times New Roman"/>
          <w:snapToGrid/>
          <w:szCs w:val="22"/>
          <w:lang w:eastAsia="en-AU"/>
        </w:rPr>
        <w:t>The PBAC noted that the financial estimates were based on the current tocilizumab market, which includes patients with polyarticular disease. This disease course had been excluded from the requested listing for canakinumab. Consequently, the evaluation advised that the estimated number of treated patients was not likely to be accurate. The submission also did not include an estimate of the number of patients aged greater than 18 years likely to be treated. For greater financial certainty with listing canakinumab, the PBAC recommended that the canakinumab restriction target the same patient population (as well as the same prescriber types)</w:t>
      </w:r>
      <w:r w:rsidR="008B6EE3">
        <w:rPr>
          <w:rFonts w:cs="Times New Roman"/>
          <w:snapToGrid/>
          <w:szCs w:val="22"/>
          <w:lang w:eastAsia="en-AU"/>
        </w:rPr>
        <w:t xml:space="preserve"> as tocilizumab’s restriction</w:t>
      </w:r>
      <w:r w:rsidR="001754EB">
        <w:rPr>
          <w:rFonts w:cs="Times New Roman"/>
          <w:snapToGrid/>
          <w:szCs w:val="22"/>
          <w:lang w:eastAsia="en-AU"/>
        </w:rPr>
        <w:t>.</w:t>
      </w:r>
    </w:p>
    <w:p w:rsidR="0033197D" w:rsidRDefault="0033197D" w:rsidP="0033197D">
      <w:pPr>
        <w:widowControl w:val="0"/>
        <w:ind w:left="720"/>
        <w:rPr>
          <w:rFonts w:cs="Times New Roman"/>
          <w:snapToGrid/>
          <w:szCs w:val="22"/>
          <w:u w:val="single"/>
          <w:lang w:eastAsia="en-AU"/>
        </w:rPr>
      </w:pPr>
    </w:p>
    <w:p w:rsidR="00283EB9" w:rsidRPr="00283EB9" w:rsidRDefault="0033197D" w:rsidP="00283EB9">
      <w:pPr>
        <w:widowControl w:val="0"/>
        <w:numPr>
          <w:ilvl w:val="1"/>
          <w:numId w:val="2"/>
        </w:numPr>
        <w:rPr>
          <w:rFonts w:cs="Times New Roman"/>
          <w:snapToGrid/>
          <w:szCs w:val="22"/>
          <w:u w:val="single"/>
          <w:lang w:eastAsia="en-AU"/>
        </w:rPr>
      </w:pPr>
      <w:r>
        <w:rPr>
          <w:rFonts w:cs="Times New Roman"/>
          <w:snapToGrid/>
          <w:szCs w:val="22"/>
          <w:u w:val="single"/>
          <w:lang w:eastAsia="en-AU"/>
        </w:rPr>
        <w:t>A</w:t>
      </w:r>
      <w:r w:rsidR="00283EB9" w:rsidRPr="00283EB9">
        <w:rPr>
          <w:rFonts w:cs="Times New Roman"/>
          <w:snapToGrid/>
          <w:szCs w:val="22"/>
          <w:u w:val="single"/>
          <w:lang w:eastAsia="en-AU"/>
        </w:rPr>
        <w:t>dvice to the Minister under subsection 101(3BA) of the Act</w:t>
      </w:r>
    </w:p>
    <w:p w:rsidR="009D6FEA" w:rsidRPr="009D6FEA" w:rsidRDefault="00283EB9" w:rsidP="008B6EE3">
      <w:pPr>
        <w:widowControl w:val="0"/>
        <w:ind w:left="720"/>
        <w:rPr>
          <w:rFonts w:cs="Times New Roman"/>
          <w:snapToGrid/>
          <w:szCs w:val="22"/>
          <w:lang w:eastAsia="en-AU"/>
        </w:rPr>
      </w:pPr>
      <w:r w:rsidRPr="00283EB9">
        <w:rPr>
          <w:rFonts w:cs="Times New Roman"/>
          <w:snapToGrid/>
          <w:szCs w:val="22"/>
          <w:lang w:eastAsia="en-AU"/>
        </w:rPr>
        <w:t xml:space="preserve">In accordance with subsection 101(3BA) of the Act the PBAC advised that it is of the opinion that, on the basis if the material available to it at its </w:t>
      </w:r>
      <w:r>
        <w:rPr>
          <w:rFonts w:cs="Times New Roman"/>
          <w:snapToGrid/>
          <w:szCs w:val="22"/>
          <w:lang w:eastAsia="en-AU"/>
        </w:rPr>
        <w:t>March 2015</w:t>
      </w:r>
      <w:r w:rsidRPr="00283EB9">
        <w:rPr>
          <w:rFonts w:cs="Times New Roman"/>
          <w:snapToGrid/>
          <w:szCs w:val="22"/>
          <w:lang w:eastAsia="en-AU"/>
        </w:rPr>
        <w:t xml:space="preserve"> meeting, </w:t>
      </w:r>
      <w:r w:rsidR="0033197D">
        <w:rPr>
          <w:rFonts w:cs="Times New Roman"/>
          <w:snapToGrid/>
          <w:szCs w:val="22"/>
          <w:lang w:eastAsia="en-AU"/>
        </w:rPr>
        <w:lastRenderedPageBreak/>
        <w:t>canakinumab</w:t>
      </w:r>
      <w:r w:rsidRPr="00283EB9">
        <w:rPr>
          <w:rFonts w:cs="Times New Roman"/>
          <w:snapToGrid/>
          <w:szCs w:val="22"/>
          <w:lang w:eastAsia="en-AU"/>
        </w:rPr>
        <w:t xml:space="preserve"> should not be treated as interchangeable on an individual patient basis with any other drugs.</w:t>
      </w:r>
    </w:p>
    <w:p w:rsidR="009D6FEA" w:rsidRPr="009D6FEA" w:rsidRDefault="009D6FEA" w:rsidP="009D6FEA">
      <w:pPr>
        <w:rPr>
          <w:rFonts w:cs="Times New Roman"/>
          <w:snapToGrid/>
          <w:szCs w:val="22"/>
          <w:lang w:eastAsia="en-AU"/>
        </w:rPr>
      </w:pPr>
    </w:p>
    <w:p w:rsidR="009D6FEA" w:rsidRPr="00484013" w:rsidRDefault="009D6FEA" w:rsidP="00490F0E">
      <w:pPr>
        <w:widowControl w:val="0"/>
        <w:numPr>
          <w:ilvl w:val="1"/>
          <w:numId w:val="2"/>
        </w:numPr>
        <w:contextualSpacing/>
        <w:rPr>
          <w:rFonts w:cs="Times New Roman"/>
          <w:snapToGrid/>
          <w:szCs w:val="22"/>
          <w:lang w:eastAsia="en-AU"/>
        </w:rPr>
      </w:pPr>
      <w:r w:rsidRPr="00484013">
        <w:rPr>
          <w:rFonts w:cs="Times New Roman"/>
          <w:snapToGrid/>
          <w:szCs w:val="22"/>
          <w:lang w:eastAsia="en-AU"/>
        </w:rPr>
        <w:t xml:space="preserve">The PBAC advised that </w:t>
      </w:r>
      <w:r w:rsidR="00A35B9B" w:rsidRPr="00484013">
        <w:rPr>
          <w:rFonts w:cs="Times New Roman"/>
          <w:snapToGrid/>
          <w:szCs w:val="22"/>
          <w:lang w:eastAsia="en-AU"/>
        </w:rPr>
        <w:t>canakinumab</w:t>
      </w:r>
      <w:r w:rsidRPr="00484013">
        <w:rPr>
          <w:rFonts w:cs="Times New Roman"/>
          <w:snapToGrid/>
          <w:szCs w:val="22"/>
          <w:lang w:eastAsia="en-AU"/>
        </w:rPr>
        <w:t xml:space="preserve"> is not suitable for prescribing by nurse practitioners.  </w:t>
      </w:r>
    </w:p>
    <w:p w:rsidR="009D6FEA" w:rsidRPr="00484013" w:rsidRDefault="009D6FEA" w:rsidP="009D6FEA">
      <w:pPr>
        <w:ind w:left="720"/>
        <w:contextualSpacing/>
        <w:jc w:val="left"/>
        <w:rPr>
          <w:rFonts w:cs="Times New Roman"/>
          <w:snapToGrid/>
          <w:szCs w:val="22"/>
          <w:lang w:eastAsia="en-AU"/>
        </w:rPr>
      </w:pPr>
    </w:p>
    <w:p w:rsidR="009D6FEA" w:rsidRPr="00484013" w:rsidRDefault="009D6FEA" w:rsidP="00490F0E">
      <w:pPr>
        <w:widowControl w:val="0"/>
        <w:numPr>
          <w:ilvl w:val="1"/>
          <w:numId w:val="2"/>
        </w:numPr>
        <w:contextualSpacing/>
        <w:rPr>
          <w:rFonts w:cs="Times New Roman"/>
          <w:snapToGrid/>
          <w:szCs w:val="22"/>
          <w:lang w:eastAsia="en-AU"/>
        </w:rPr>
      </w:pPr>
      <w:r w:rsidRPr="00484013">
        <w:rPr>
          <w:rFonts w:cs="Times New Roman"/>
          <w:snapToGrid/>
          <w:szCs w:val="22"/>
          <w:lang w:eastAsia="en-AU"/>
        </w:rPr>
        <w:t xml:space="preserve">The PBAC recommended that the Safety Net 20 Day Rule should not apply. </w:t>
      </w:r>
    </w:p>
    <w:p w:rsidR="009D6FEA" w:rsidRPr="009D6FEA" w:rsidRDefault="009D6FEA" w:rsidP="00484013">
      <w:pPr>
        <w:widowControl w:val="0"/>
        <w:ind w:left="720"/>
        <w:contextualSpacing/>
        <w:rPr>
          <w:rFonts w:cs="Times New Roman"/>
          <w:snapToGrid/>
          <w:szCs w:val="22"/>
          <w:lang w:eastAsia="en-AU"/>
        </w:rPr>
      </w:pPr>
    </w:p>
    <w:p w:rsidR="009D6FEA" w:rsidRPr="009D6FEA" w:rsidRDefault="009D6FEA" w:rsidP="009D6FEA">
      <w:pPr>
        <w:rPr>
          <w:rFonts w:cs="Times New Roman"/>
          <w:b/>
          <w:snapToGrid/>
          <w:szCs w:val="22"/>
          <w:lang w:eastAsia="en-AU"/>
        </w:rPr>
      </w:pPr>
      <w:r w:rsidRPr="009D6FEA">
        <w:rPr>
          <w:rFonts w:cs="Times New Roman"/>
          <w:b/>
          <w:snapToGrid/>
          <w:szCs w:val="22"/>
          <w:lang w:eastAsia="en-AU"/>
        </w:rPr>
        <w:t>Outcome:</w:t>
      </w:r>
    </w:p>
    <w:p w:rsidR="009D6FEA" w:rsidRPr="009D6FEA" w:rsidRDefault="009D6FEA" w:rsidP="009D6FEA">
      <w:pPr>
        <w:rPr>
          <w:rFonts w:cs="Times New Roman"/>
          <w:snapToGrid/>
          <w:szCs w:val="22"/>
          <w:lang w:eastAsia="en-AU"/>
        </w:rPr>
      </w:pPr>
      <w:r w:rsidRPr="009D6FEA">
        <w:rPr>
          <w:rFonts w:cs="Times New Roman"/>
          <w:snapToGrid/>
          <w:szCs w:val="22"/>
          <w:lang w:eastAsia="en-AU"/>
        </w:rPr>
        <w:t>Recommend</w:t>
      </w:r>
      <w:r w:rsidR="00EF1578">
        <w:rPr>
          <w:rFonts w:cs="Times New Roman"/>
          <w:snapToGrid/>
          <w:szCs w:val="22"/>
          <w:lang w:eastAsia="en-AU"/>
        </w:rPr>
        <w:t>ed</w:t>
      </w:r>
    </w:p>
    <w:p w:rsidR="009D6FEA" w:rsidRPr="009D6FEA" w:rsidRDefault="009D6FEA" w:rsidP="0028078D">
      <w:pPr>
        <w:widowControl w:val="0"/>
        <w:contextualSpacing/>
        <w:jc w:val="left"/>
        <w:rPr>
          <w:rFonts w:cs="Times New Roman"/>
          <w:snapToGrid/>
          <w:szCs w:val="22"/>
          <w:lang w:eastAsia="en-AU"/>
        </w:rPr>
      </w:pPr>
    </w:p>
    <w:p w:rsidR="009D6FEA" w:rsidRPr="009D6FEA" w:rsidRDefault="009D6FEA" w:rsidP="009D6FEA">
      <w:pPr>
        <w:rPr>
          <w:rFonts w:cs="Times New Roman"/>
          <w:snapToGrid/>
          <w:szCs w:val="22"/>
          <w:lang w:eastAsia="en-AU"/>
        </w:rPr>
      </w:pPr>
    </w:p>
    <w:p w:rsidR="009D6FEA" w:rsidRPr="0025173A" w:rsidRDefault="009D6FEA" w:rsidP="009C6341">
      <w:pPr>
        <w:pStyle w:val="PBACHeading1"/>
        <w:ind w:left="709" w:hanging="709"/>
        <w:rPr>
          <w:rFonts w:cs="Times New Roman"/>
          <w:i/>
          <w:snapToGrid/>
          <w:lang w:eastAsia="en-AU"/>
        </w:rPr>
      </w:pPr>
      <w:r w:rsidRPr="0025173A">
        <w:rPr>
          <w:snapToGrid/>
          <w:lang w:eastAsia="en-AU"/>
        </w:rPr>
        <w:t>Recommended listing</w:t>
      </w:r>
    </w:p>
    <w:p w:rsidR="009D6FEA" w:rsidRPr="009D6FEA" w:rsidRDefault="009D6FEA" w:rsidP="009D6FEA">
      <w:pPr>
        <w:rPr>
          <w:rFonts w:cs="Times New Roman"/>
          <w:snapToGrid/>
          <w:szCs w:val="22"/>
          <w:lang w:eastAsia="en-AU"/>
        </w:rPr>
      </w:pPr>
    </w:p>
    <w:p w:rsidR="009D6FEA" w:rsidRPr="00BE2210" w:rsidRDefault="009D6FEA" w:rsidP="00BE2210">
      <w:pPr>
        <w:widowControl w:val="0"/>
        <w:numPr>
          <w:ilvl w:val="1"/>
          <w:numId w:val="2"/>
        </w:numPr>
        <w:contextualSpacing/>
        <w:rPr>
          <w:rFonts w:cs="Times New Roman"/>
          <w:snapToGrid/>
          <w:szCs w:val="22"/>
          <w:lang w:eastAsia="en-AU"/>
        </w:rPr>
      </w:pPr>
      <w:r w:rsidRPr="00BE2210">
        <w:rPr>
          <w:rFonts w:cs="Times New Roman"/>
          <w:snapToGrid/>
          <w:szCs w:val="22"/>
          <w:lang w:eastAsia="en-AU"/>
        </w:rPr>
        <w:t>Add new item:</w:t>
      </w:r>
      <w:r w:rsidR="00F60E6A" w:rsidRPr="00BE2210">
        <w:rPr>
          <w:rFonts w:cs="Times New Roman"/>
          <w:snapToGrid/>
          <w:szCs w:val="22"/>
          <w:lang w:eastAsia="en-AU"/>
        </w:rPr>
        <w:t xml:space="preserve"> </w:t>
      </w:r>
    </w:p>
    <w:p w:rsidR="00466C5E" w:rsidRDefault="00466C5E" w:rsidP="009D6FEA">
      <w:pPr>
        <w:ind w:left="709"/>
        <w:contextualSpacing/>
        <w:rPr>
          <w:rFonts w:cs="Times New Roman"/>
          <w:snapToGrid/>
          <w:szCs w:val="22"/>
          <w:lang w:eastAsia="en-AU"/>
        </w:rPr>
      </w:pPr>
    </w:p>
    <w:tbl>
      <w:tblPr>
        <w:tblW w:w="8397" w:type="dxa"/>
        <w:tblCellMar>
          <w:left w:w="28" w:type="dxa"/>
          <w:right w:w="28" w:type="dxa"/>
        </w:tblCellMar>
        <w:tblLook w:val="0000" w:firstRow="0" w:lastRow="0" w:firstColumn="0" w:lastColumn="0" w:noHBand="0" w:noVBand="0"/>
      </w:tblPr>
      <w:tblGrid>
        <w:gridCol w:w="3232"/>
        <w:gridCol w:w="517"/>
        <w:gridCol w:w="794"/>
        <w:gridCol w:w="1626"/>
        <w:gridCol w:w="821"/>
        <w:gridCol w:w="1407"/>
      </w:tblGrid>
      <w:tr w:rsidR="00784991" w:rsidRPr="00172172" w:rsidTr="002E466C">
        <w:trPr>
          <w:cantSplit/>
          <w:trHeight w:val="471"/>
        </w:trPr>
        <w:tc>
          <w:tcPr>
            <w:tcW w:w="1924" w:type="pct"/>
            <w:tcBorders>
              <w:bottom w:val="single" w:sz="4" w:space="0" w:color="auto"/>
            </w:tcBorders>
          </w:tcPr>
          <w:p w:rsidR="00784991" w:rsidRPr="00172172" w:rsidRDefault="00784991" w:rsidP="002E466C">
            <w:pPr>
              <w:keepNext/>
              <w:widowControl w:val="0"/>
              <w:rPr>
                <w:rFonts w:ascii="Arial Narrow" w:hAnsi="Arial Narrow"/>
                <w:sz w:val="20"/>
              </w:rPr>
            </w:pPr>
            <w:r w:rsidRPr="00172172">
              <w:rPr>
                <w:rFonts w:ascii="Arial Narrow" w:hAnsi="Arial Narrow"/>
                <w:sz w:val="20"/>
              </w:rPr>
              <w:t>Name, Restriction,</w:t>
            </w:r>
          </w:p>
          <w:p w:rsidR="00784991" w:rsidRPr="00172172" w:rsidRDefault="00784991" w:rsidP="002E466C">
            <w:pPr>
              <w:keepNext/>
              <w:widowControl w:val="0"/>
              <w:rPr>
                <w:rFonts w:ascii="Arial Narrow" w:hAnsi="Arial Narrow"/>
                <w:sz w:val="20"/>
              </w:rPr>
            </w:pPr>
            <w:r w:rsidRPr="00172172">
              <w:rPr>
                <w:rFonts w:ascii="Arial Narrow" w:hAnsi="Arial Narrow"/>
                <w:sz w:val="20"/>
              </w:rPr>
              <w:t>Manner of administration and form</w:t>
            </w:r>
          </w:p>
        </w:tc>
        <w:tc>
          <w:tcPr>
            <w:tcW w:w="308" w:type="pct"/>
            <w:tcBorders>
              <w:bottom w:val="single" w:sz="4" w:space="0" w:color="auto"/>
            </w:tcBorders>
          </w:tcPr>
          <w:p w:rsidR="00784991" w:rsidRPr="00172172" w:rsidRDefault="00784991" w:rsidP="002E466C">
            <w:pPr>
              <w:keepNext/>
              <w:widowControl w:val="0"/>
              <w:jc w:val="center"/>
              <w:rPr>
                <w:rFonts w:ascii="Arial Narrow" w:hAnsi="Arial Narrow"/>
                <w:sz w:val="20"/>
              </w:rPr>
            </w:pPr>
            <w:r w:rsidRPr="00172172">
              <w:rPr>
                <w:rFonts w:ascii="Arial Narrow" w:hAnsi="Arial Narrow"/>
                <w:sz w:val="20"/>
              </w:rPr>
              <w:t>Max.</w:t>
            </w:r>
          </w:p>
          <w:p w:rsidR="00784991" w:rsidRPr="00172172" w:rsidRDefault="00784991" w:rsidP="002E466C">
            <w:pPr>
              <w:keepNext/>
              <w:widowControl w:val="0"/>
              <w:jc w:val="center"/>
              <w:rPr>
                <w:rFonts w:ascii="Arial Narrow" w:hAnsi="Arial Narrow"/>
                <w:sz w:val="20"/>
              </w:rPr>
            </w:pPr>
            <w:r w:rsidRPr="00172172">
              <w:rPr>
                <w:rFonts w:ascii="Arial Narrow" w:hAnsi="Arial Narrow"/>
                <w:sz w:val="20"/>
              </w:rPr>
              <w:t>Qty</w:t>
            </w:r>
          </w:p>
        </w:tc>
        <w:tc>
          <w:tcPr>
            <w:tcW w:w="473" w:type="pct"/>
            <w:tcBorders>
              <w:bottom w:val="single" w:sz="4" w:space="0" w:color="auto"/>
            </w:tcBorders>
          </w:tcPr>
          <w:p w:rsidR="00784991" w:rsidRPr="00172172" w:rsidRDefault="00784991" w:rsidP="002E466C">
            <w:pPr>
              <w:keepNext/>
              <w:widowControl w:val="0"/>
              <w:jc w:val="center"/>
              <w:rPr>
                <w:rFonts w:ascii="Arial Narrow" w:hAnsi="Arial Narrow"/>
                <w:sz w:val="20"/>
              </w:rPr>
            </w:pPr>
            <w:r w:rsidRPr="00172172">
              <w:rPr>
                <w:rFonts w:ascii="Arial Narrow" w:hAnsi="Arial Narrow"/>
                <w:sz w:val="20"/>
              </w:rPr>
              <w:t>№.of</w:t>
            </w:r>
          </w:p>
          <w:p w:rsidR="00784991" w:rsidRPr="00172172" w:rsidRDefault="00784991" w:rsidP="002E466C">
            <w:pPr>
              <w:keepNext/>
              <w:widowControl w:val="0"/>
              <w:jc w:val="center"/>
              <w:rPr>
                <w:rFonts w:ascii="Arial Narrow" w:hAnsi="Arial Narrow"/>
                <w:sz w:val="20"/>
              </w:rPr>
            </w:pPr>
            <w:r w:rsidRPr="00172172">
              <w:rPr>
                <w:rFonts w:ascii="Arial Narrow" w:hAnsi="Arial Narrow"/>
                <w:sz w:val="20"/>
              </w:rPr>
              <w:t>Rpts</w:t>
            </w:r>
          </w:p>
        </w:tc>
        <w:tc>
          <w:tcPr>
            <w:tcW w:w="968" w:type="pct"/>
            <w:tcBorders>
              <w:bottom w:val="single" w:sz="4" w:space="0" w:color="auto"/>
            </w:tcBorders>
          </w:tcPr>
          <w:p w:rsidR="00784991" w:rsidRPr="00172172" w:rsidRDefault="00784991" w:rsidP="002E466C">
            <w:pPr>
              <w:keepNext/>
              <w:widowControl w:val="0"/>
              <w:jc w:val="center"/>
              <w:rPr>
                <w:rFonts w:ascii="Arial Narrow" w:hAnsi="Arial Narrow"/>
                <w:sz w:val="20"/>
              </w:rPr>
            </w:pPr>
          </w:p>
        </w:tc>
        <w:tc>
          <w:tcPr>
            <w:tcW w:w="1327" w:type="pct"/>
            <w:gridSpan w:val="2"/>
            <w:tcBorders>
              <w:bottom w:val="single" w:sz="4" w:space="0" w:color="auto"/>
            </w:tcBorders>
          </w:tcPr>
          <w:p w:rsidR="00784991" w:rsidRPr="00172172" w:rsidRDefault="00784991" w:rsidP="002E466C">
            <w:pPr>
              <w:keepNext/>
              <w:widowControl w:val="0"/>
              <w:jc w:val="left"/>
              <w:rPr>
                <w:rFonts w:ascii="Arial Narrow" w:hAnsi="Arial Narrow"/>
                <w:sz w:val="20"/>
                <w:lang w:val="fr-FR"/>
              </w:rPr>
            </w:pPr>
            <w:r w:rsidRPr="00172172">
              <w:rPr>
                <w:rFonts w:ascii="Arial Narrow" w:hAnsi="Arial Narrow"/>
                <w:sz w:val="20"/>
              </w:rPr>
              <w:t>Proprietary Name and Manufacturer</w:t>
            </w:r>
          </w:p>
        </w:tc>
      </w:tr>
      <w:tr w:rsidR="00784991" w:rsidRPr="00172172" w:rsidTr="002E466C">
        <w:trPr>
          <w:cantSplit/>
          <w:trHeight w:val="577"/>
        </w:trPr>
        <w:tc>
          <w:tcPr>
            <w:tcW w:w="1924" w:type="pct"/>
          </w:tcPr>
          <w:p w:rsidR="00784991" w:rsidRPr="00172172" w:rsidRDefault="00784991" w:rsidP="002E466C">
            <w:pPr>
              <w:keepNext/>
              <w:widowControl w:val="0"/>
              <w:rPr>
                <w:rFonts w:ascii="Arial Narrow" w:hAnsi="Arial Narrow"/>
                <w:smallCaps/>
                <w:sz w:val="20"/>
              </w:rPr>
            </w:pPr>
            <w:r w:rsidRPr="00172172">
              <w:rPr>
                <w:rFonts w:ascii="Arial Narrow" w:hAnsi="Arial Narrow"/>
                <w:smallCaps/>
                <w:sz w:val="20"/>
              </w:rPr>
              <w:t>Canakinumab</w:t>
            </w:r>
          </w:p>
          <w:p w:rsidR="00784991" w:rsidRPr="00172172" w:rsidRDefault="00784991" w:rsidP="002E466C">
            <w:pPr>
              <w:keepNext/>
              <w:widowControl w:val="0"/>
              <w:rPr>
                <w:rFonts w:ascii="Arial Narrow" w:hAnsi="Arial Narrow"/>
                <w:sz w:val="20"/>
              </w:rPr>
            </w:pPr>
          </w:p>
          <w:p w:rsidR="00784991" w:rsidRPr="00172172" w:rsidRDefault="00784991" w:rsidP="002E466C">
            <w:pPr>
              <w:keepNext/>
              <w:widowControl w:val="0"/>
              <w:rPr>
                <w:rFonts w:ascii="Arial Narrow" w:hAnsi="Arial Narrow"/>
                <w:sz w:val="20"/>
                <w:u w:val="single"/>
              </w:rPr>
            </w:pPr>
            <w:r w:rsidRPr="00172172">
              <w:rPr>
                <w:rFonts w:ascii="Arial Narrow" w:hAnsi="Arial Narrow"/>
                <w:sz w:val="20"/>
                <w:u w:val="single"/>
              </w:rPr>
              <w:t>Initial 1 Treatment</w:t>
            </w:r>
          </w:p>
          <w:p w:rsidR="00784991" w:rsidRPr="00172172" w:rsidRDefault="00784991" w:rsidP="002E466C">
            <w:pPr>
              <w:keepNext/>
              <w:widowControl w:val="0"/>
              <w:rPr>
                <w:rFonts w:ascii="Arial Narrow" w:hAnsi="Arial Narrow"/>
                <w:sz w:val="20"/>
              </w:rPr>
            </w:pPr>
            <w:r w:rsidRPr="00172172">
              <w:rPr>
                <w:rFonts w:ascii="Arial Narrow" w:hAnsi="Arial Narrow"/>
                <w:sz w:val="20"/>
              </w:rPr>
              <w:t xml:space="preserve">Powder for injection, 150 mg /1 mL </w:t>
            </w:r>
          </w:p>
        </w:tc>
        <w:tc>
          <w:tcPr>
            <w:tcW w:w="308" w:type="pct"/>
          </w:tcPr>
          <w:p w:rsidR="00784991" w:rsidRPr="00172172" w:rsidRDefault="00784991" w:rsidP="002E466C">
            <w:pPr>
              <w:keepNext/>
              <w:widowControl w:val="0"/>
              <w:jc w:val="center"/>
              <w:rPr>
                <w:rFonts w:ascii="Arial Narrow" w:hAnsi="Arial Narrow"/>
                <w:sz w:val="20"/>
              </w:rPr>
            </w:pPr>
          </w:p>
          <w:p w:rsidR="00784991" w:rsidRPr="00172172" w:rsidRDefault="00784991" w:rsidP="002E466C">
            <w:pPr>
              <w:keepNext/>
              <w:widowControl w:val="0"/>
              <w:jc w:val="center"/>
              <w:rPr>
                <w:rFonts w:ascii="Arial Narrow" w:hAnsi="Arial Narrow"/>
                <w:sz w:val="20"/>
              </w:rPr>
            </w:pPr>
          </w:p>
          <w:p w:rsidR="00784991" w:rsidRPr="00172172" w:rsidRDefault="00784991" w:rsidP="002E466C">
            <w:pPr>
              <w:keepNext/>
              <w:widowControl w:val="0"/>
              <w:rPr>
                <w:rFonts w:ascii="Arial Narrow" w:hAnsi="Arial Narrow"/>
                <w:sz w:val="20"/>
              </w:rPr>
            </w:pPr>
          </w:p>
          <w:p w:rsidR="00784991" w:rsidRPr="00172172" w:rsidRDefault="00784991" w:rsidP="002E466C">
            <w:pPr>
              <w:keepNext/>
              <w:widowControl w:val="0"/>
              <w:jc w:val="center"/>
              <w:rPr>
                <w:rFonts w:ascii="Arial Narrow" w:hAnsi="Arial Narrow"/>
                <w:sz w:val="20"/>
              </w:rPr>
            </w:pPr>
            <w:r>
              <w:rPr>
                <w:rFonts w:ascii="Arial Narrow" w:hAnsi="Arial Narrow"/>
                <w:sz w:val="20"/>
              </w:rPr>
              <w:t>TBA</w:t>
            </w:r>
            <w:r w:rsidRPr="00172172">
              <w:rPr>
                <w:rFonts w:ascii="Arial Narrow" w:hAnsi="Arial Narrow"/>
                <w:sz w:val="20"/>
              </w:rPr>
              <w:t xml:space="preserve"> </w:t>
            </w:r>
          </w:p>
        </w:tc>
        <w:tc>
          <w:tcPr>
            <w:tcW w:w="473" w:type="pct"/>
          </w:tcPr>
          <w:p w:rsidR="00784991" w:rsidRPr="00172172" w:rsidRDefault="00784991" w:rsidP="002E466C">
            <w:pPr>
              <w:keepNext/>
              <w:widowControl w:val="0"/>
              <w:jc w:val="center"/>
              <w:rPr>
                <w:rFonts w:ascii="Arial Narrow" w:hAnsi="Arial Narrow"/>
                <w:sz w:val="20"/>
              </w:rPr>
            </w:pPr>
          </w:p>
          <w:p w:rsidR="00784991" w:rsidRPr="00172172" w:rsidRDefault="00784991" w:rsidP="002E466C">
            <w:pPr>
              <w:keepNext/>
              <w:widowControl w:val="0"/>
              <w:jc w:val="center"/>
              <w:rPr>
                <w:rFonts w:ascii="Arial Narrow" w:hAnsi="Arial Narrow"/>
                <w:sz w:val="20"/>
              </w:rPr>
            </w:pPr>
          </w:p>
          <w:p w:rsidR="00784991" w:rsidRPr="00172172" w:rsidRDefault="00784991" w:rsidP="002E466C">
            <w:pPr>
              <w:keepNext/>
              <w:widowControl w:val="0"/>
              <w:rPr>
                <w:rFonts w:ascii="Arial Narrow" w:hAnsi="Arial Narrow"/>
                <w:sz w:val="20"/>
              </w:rPr>
            </w:pPr>
          </w:p>
          <w:p w:rsidR="00784991" w:rsidRPr="00172172" w:rsidRDefault="00784991" w:rsidP="002E466C">
            <w:pPr>
              <w:keepNext/>
              <w:widowControl w:val="0"/>
              <w:jc w:val="center"/>
              <w:rPr>
                <w:rFonts w:ascii="Arial Narrow" w:hAnsi="Arial Narrow"/>
                <w:sz w:val="20"/>
              </w:rPr>
            </w:pPr>
            <w:r>
              <w:rPr>
                <w:rFonts w:ascii="Arial Narrow" w:hAnsi="Arial Narrow"/>
                <w:sz w:val="20"/>
              </w:rPr>
              <w:t>TBA</w:t>
            </w:r>
          </w:p>
        </w:tc>
        <w:tc>
          <w:tcPr>
            <w:tcW w:w="968" w:type="pct"/>
          </w:tcPr>
          <w:p w:rsidR="00784991" w:rsidRPr="00172172" w:rsidRDefault="00784991" w:rsidP="002E466C">
            <w:pPr>
              <w:keepNext/>
              <w:widowControl w:val="0"/>
              <w:jc w:val="center"/>
              <w:rPr>
                <w:rFonts w:ascii="Arial Narrow" w:hAnsi="Arial Narrow"/>
                <w:sz w:val="20"/>
              </w:rPr>
            </w:pPr>
          </w:p>
          <w:p w:rsidR="00784991" w:rsidRPr="00172172" w:rsidRDefault="00784991" w:rsidP="002E466C">
            <w:pPr>
              <w:keepNext/>
              <w:widowControl w:val="0"/>
              <w:jc w:val="center"/>
              <w:rPr>
                <w:rFonts w:ascii="Arial Narrow" w:hAnsi="Arial Narrow"/>
                <w:sz w:val="20"/>
              </w:rPr>
            </w:pPr>
          </w:p>
          <w:p w:rsidR="00784991" w:rsidRPr="00172172" w:rsidRDefault="00784991" w:rsidP="002E466C">
            <w:pPr>
              <w:keepNext/>
              <w:widowControl w:val="0"/>
              <w:rPr>
                <w:rFonts w:ascii="Arial Narrow" w:hAnsi="Arial Narrow"/>
                <w:sz w:val="20"/>
              </w:rPr>
            </w:pPr>
          </w:p>
          <w:p w:rsidR="00784991" w:rsidRPr="00172172" w:rsidRDefault="00784991" w:rsidP="002E466C">
            <w:pPr>
              <w:keepNext/>
              <w:widowControl w:val="0"/>
              <w:jc w:val="center"/>
              <w:rPr>
                <w:rFonts w:ascii="Arial Narrow" w:hAnsi="Arial Narrow"/>
                <w:sz w:val="20"/>
              </w:rPr>
            </w:pPr>
          </w:p>
        </w:tc>
        <w:tc>
          <w:tcPr>
            <w:tcW w:w="489" w:type="pct"/>
          </w:tcPr>
          <w:p w:rsidR="00784991" w:rsidRPr="00172172" w:rsidRDefault="00784991" w:rsidP="002E466C">
            <w:pPr>
              <w:keepNext/>
              <w:widowControl w:val="0"/>
              <w:jc w:val="center"/>
              <w:rPr>
                <w:rFonts w:ascii="Arial Narrow" w:hAnsi="Arial Narrow"/>
                <w:sz w:val="20"/>
              </w:rPr>
            </w:pPr>
          </w:p>
          <w:p w:rsidR="00784991" w:rsidRPr="00172172" w:rsidRDefault="00784991" w:rsidP="002E466C">
            <w:pPr>
              <w:keepNext/>
              <w:widowControl w:val="0"/>
              <w:jc w:val="center"/>
              <w:rPr>
                <w:rFonts w:ascii="Arial Narrow" w:hAnsi="Arial Narrow"/>
                <w:sz w:val="20"/>
              </w:rPr>
            </w:pPr>
          </w:p>
          <w:p w:rsidR="00784991" w:rsidRPr="00172172" w:rsidRDefault="00784991" w:rsidP="002E466C">
            <w:pPr>
              <w:keepNext/>
              <w:widowControl w:val="0"/>
              <w:rPr>
                <w:rFonts w:ascii="Arial Narrow" w:hAnsi="Arial Narrow"/>
                <w:sz w:val="20"/>
              </w:rPr>
            </w:pPr>
          </w:p>
          <w:p w:rsidR="00784991" w:rsidRPr="00172172" w:rsidRDefault="00784991" w:rsidP="002E466C">
            <w:pPr>
              <w:keepNext/>
              <w:widowControl w:val="0"/>
              <w:jc w:val="center"/>
              <w:rPr>
                <w:rFonts w:ascii="Arial Narrow" w:hAnsi="Arial Narrow"/>
                <w:sz w:val="20"/>
              </w:rPr>
            </w:pPr>
            <w:r w:rsidRPr="00172172">
              <w:rPr>
                <w:rFonts w:ascii="Arial Narrow" w:hAnsi="Arial Narrow"/>
                <w:sz w:val="20"/>
              </w:rPr>
              <w:t>Ilaris</w:t>
            </w:r>
            <w:r w:rsidRPr="00172172">
              <w:rPr>
                <w:rFonts w:ascii="Arial Narrow" w:hAnsi="Arial Narrow"/>
                <w:sz w:val="20"/>
                <w:vertAlign w:val="superscript"/>
              </w:rPr>
              <w:t>®</w:t>
            </w:r>
          </w:p>
        </w:tc>
        <w:tc>
          <w:tcPr>
            <w:tcW w:w="837" w:type="pct"/>
          </w:tcPr>
          <w:p w:rsidR="00784991" w:rsidRPr="00172172" w:rsidRDefault="00784991" w:rsidP="002E466C">
            <w:pPr>
              <w:keepNext/>
              <w:widowControl w:val="0"/>
              <w:jc w:val="center"/>
              <w:rPr>
                <w:rFonts w:ascii="Arial Narrow" w:hAnsi="Arial Narrow"/>
                <w:sz w:val="20"/>
              </w:rPr>
            </w:pPr>
          </w:p>
          <w:p w:rsidR="00784991" w:rsidRPr="00172172" w:rsidRDefault="00784991" w:rsidP="002E466C">
            <w:pPr>
              <w:keepNext/>
              <w:widowControl w:val="0"/>
              <w:jc w:val="center"/>
              <w:rPr>
                <w:rFonts w:ascii="Arial Narrow" w:hAnsi="Arial Narrow"/>
                <w:sz w:val="20"/>
              </w:rPr>
            </w:pPr>
          </w:p>
          <w:p w:rsidR="00784991" w:rsidRPr="00172172" w:rsidRDefault="00784991" w:rsidP="002E466C">
            <w:pPr>
              <w:keepNext/>
              <w:widowControl w:val="0"/>
              <w:rPr>
                <w:rFonts w:ascii="Arial Narrow" w:hAnsi="Arial Narrow"/>
                <w:sz w:val="20"/>
              </w:rPr>
            </w:pPr>
          </w:p>
          <w:p w:rsidR="00784991" w:rsidRPr="00172172" w:rsidRDefault="00784991" w:rsidP="002E466C">
            <w:pPr>
              <w:keepNext/>
              <w:widowControl w:val="0"/>
              <w:jc w:val="center"/>
              <w:rPr>
                <w:rFonts w:ascii="Arial Narrow" w:hAnsi="Arial Narrow"/>
                <w:sz w:val="20"/>
              </w:rPr>
            </w:pPr>
            <w:r w:rsidRPr="00172172">
              <w:rPr>
                <w:rFonts w:ascii="Arial Narrow" w:hAnsi="Arial Narrow"/>
                <w:sz w:val="20"/>
              </w:rPr>
              <w:t>NV</w:t>
            </w:r>
          </w:p>
        </w:tc>
      </w:tr>
      <w:tr w:rsidR="00784991" w:rsidRPr="00172172" w:rsidTr="002E466C">
        <w:trPr>
          <w:cantSplit/>
          <w:trHeight w:val="577"/>
        </w:trPr>
        <w:tc>
          <w:tcPr>
            <w:tcW w:w="1924" w:type="pct"/>
          </w:tcPr>
          <w:p w:rsidR="00784991" w:rsidRPr="00172172" w:rsidRDefault="00784991" w:rsidP="002E466C">
            <w:pPr>
              <w:keepNext/>
              <w:widowControl w:val="0"/>
              <w:rPr>
                <w:rFonts w:ascii="Arial Narrow" w:hAnsi="Arial Narrow"/>
                <w:sz w:val="20"/>
              </w:rPr>
            </w:pPr>
          </w:p>
          <w:p w:rsidR="00784991" w:rsidRPr="00172172" w:rsidRDefault="00784991" w:rsidP="002E466C">
            <w:pPr>
              <w:keepNext/>
              <w:widowControl w:val="0"/>
              <w:rPr>
                <w:rFonts w:ascii="Arial Narrow" w:hAnsi="Arial Narrow"/>
                <w:sz w:val="20"/>
                <w:u w:val="single"/>
              </w:rPr>
            </w:pPr>
            <w:r w:rsidRPr="00172172">
              <w:rPr>
                <w:rFonts w:ascii="Arial Narrow" w:hAnsi="Arial Narrow"/>
                <w:sz w:val="20"/>
                <w:u w:val="single"/>
              </w:rPr>
              <w:t>Continuing Treatment</w:t>
            </w:r>
          </w:p>
          <w:p w:rsidR="00784991" w:rsidRPr="00172172" w:rsidRDefault="00784991" w:rsidP="002E466C">
            <w:pPr>
              <w:keepNext/>
              <w:widowControl w:val="0"/>
              <w:rPr>
                <w:rFonts w:ascii="Arial Narrow" w:hAnsi="Arial Narrow"/>
                <w:sz w:val="20"/>
              </w:rPr>
            </w:pPr>
            <w:r w:rsidRPr="00172172">
              <w:rPr>
                <w:rFonts w:ascii="Arial Narrow" w:hAnsi="Arial Narrow"/>
                <w:sz w:val="20"/>
              </w:rPr>
              <w:t>Powder for injection, 150 mg/1 mL</w:t>
            </w:r>
          </w:p>
        </w:tc>
        <w:tc>
          <w:tcPr>
            <w:tcW w:w="308" w:type="pct"/>
          </w:tcPr>
          <w:p w:rsidR="00784991" w:rsidRPr="00172172" w:rsidRDefault="00784991" w:rsidP="002E466C">
            <w:pPr>
              <w:keepNext/>
              <w:widowControl w:val="0"/>
              <w:jc w:val="center"/>
              <w:rPr>
                <w:rFonts w:ascii="Arial Narrow" w:hAnsi="Arial Narrow"/>
                <w:sz w:val="20"/>
              </w:rPr>
            </w:pPr>
          </w:p>
          <w:p w:rsidR="00784991" w:rsidRPr="00172172" w:rsidRDefault="00784991" w:rsidP="002E466C">
            <w:pPr>
              <w:keepNext/>
              <w:widowControl w:val="0"/>
              <w:jc w:val="center"/>
              <w:rPr>
                <w:rFonts w:ascii="Arial Narrow" w:hAnsi="Arial Narrow"/>
                <w:sz w:val="20"/>
              </w:rPr>
            </w:pPr>
          </w:p>
          <w:p w:rsidR="00784991" w:rsidRPr="00172172" w:rsidRDefault="00784991" w:rsidP="002E466C">
            <w:pPr>
              <w:keepNext/>
              <w:widowControl w:val="0"/>
              <w:jc w:val="center"/>
              <w:rPr>
                <w:rFonts w:ascii="Arial Narrow" w:hAnsi="Arial Narrow"/>
                <w:sz w:val="20"/>
              </w:rPr>
            </w:pPr>
            <w:r>
              <w:rPr>
                <w:rFonts w:ascii="Arial Narrow" w:hAnsi="Arial Narrow"/>
                <w:sz w:val="20"/>
              </w:rPr>
              <w:t>TBA</w:t>
            </w:r>
          </w:p>
        </w:tc>
        <w:tc>
          <w:tcPr>
            <w:tcW w:w="473" w:type="pct"/>
          </w:tcPr>
          <w:p w:rsidR="00784991" w:rsidRPr="00172172" w:rsidRDefault="00784991" w:rsidP="002E466C">
            <w:pPr>
              <w:keepNext/>
              <w:widowControl w:val="0"/>
              <w:jc w:val="center"/>
              <w:rPr>
                <w:rFonts w:ascii="Arial Narrow" w:hAnsi="Arial Narrow"/>
                <w:sz w:val="20"/>
              </w:rPr>
            </w:pPr>
          </w:p>
          <w:p w:rsidR="00784991" w:rsidRPr="00172172" w:rsidRDefault="00784991" w:rsidP="002E466C">
            <w:pPr>
              <w:keepNext/>
              <w:widowControl w:val="0"/>
              <w:jc w:val="center"/>
              <w:rPr>
                <w:rFonts w:ascii="Arial Narrow" w:hAnsi="Arial Narrow"/>
                <w:sz w:val="20"/>
              </w:rPr>
            </w:pPr>
          </w:p>
          <w:p w:rsidR="00784991" w:rsidRPr="00172172" w:rsidRDefault="00784991" w:rsidP="002E466C">
            <w:pPr>
              <w:keepNext/>
              <w:widowControl w:val="0"/>
              <w:jc w:val="center"/>
              <w:rPr>
                <w:rFonts w:ascii="Arial Narrow" w:hAnsi="Arial Narrow"/>
                <w:sz w:val="20"/>
              </w:rPr>
            </w:pPr>
            <w:r>
              <w:rPr>
                <w:rFonts w:ascii="Arial Narrow" w:hAnsi="Arial Narrow"/>
                <w:sz w:val="20"/>
              </w:rPr>
              <w:t>TBA</w:t>
            </w:r>
          </w:p>
        </w:tc>
        <w:tc>
          <w:tcPr>
            <w:tcW w:w="968" w:type="pct"/>
          </w:tcPr>
          <w:p w:rsidR="00784991" w:rsidRPr="00172172" w:rsidRDefault="00784991" w:rsidP="002E466C">
            <w:pPr>
              <w:keepNext/>
              <w:widowControl w:val="0"/>
              <w:jc w:val="center"/>
              <w:rPr>
                <w:rFonts w:ascii="Arial Narrow" w:hAnsi="Arial Narrow"/>
                <w:sz w:val="20"/>
              </w:rPr>
            </w:pPr>
          </w:p>
          <w:p w:rsidR="00784991" w:rsidRPr="00172172" w:rsidRDefault="00784991" w:rsidP="002E466C">
            <w:pPr>
              <w:keepNext/>
              <w:widowControl w:val="0"/>
              <w:jc w:val="center"/>
              <w:rPr>
                <w:rFonts w:ascii="Arial Narrow" w:hAnsi="Arial Narrow"/>
                <w:sz w:val="20"/>
              </w:rPr>
            </w:pPr>
          </w:p>
          <w:p w:rsidR="00784991" w:rsidRPr="00172172" w:rsidRDefault="00784991" w:rsidP="002E466C">
            <w:pPr>
              <w:keepNext/>
              <w:widowControl w:val="0"/>
              <w:jc w:val="center"/>
              <w:rPr>
                <w:rFonts w:ascii="Arial Narrow" w:hAnsi="Arial Narrow"/>
                <w:sz w:val="20"/>
              </w:rPr>
            </w:pPr>
          </w:p>
        </w:tc>
        <w:tc>
          <w:tcPr>
            <w:tcW w:w="489" w:type="pct"/>
          </w:tcPr>
          <w:p w:rsidR="00784991" w:rsidRPr="00172172" w:rsidRDefault="00784991" w:rsidP="002E466C">
            <w:pPr>
              <w:keepNext/>
              <w:widowControl w:val="0"/>
              <w:jc w:val="center"/>
              <w:rPr>
                <w:rFonts w:ascii="Arial Narrow" w:hAnsi="Arial Narrow"/>
                <w:sz w:val="20"/>
              </w:rPr>
            </w:pPr>
          </w:p>
          <w:p w:rsidR="00784991" w:rsidRPr="00172172" w:rsidRDefault="00784991" w:rsidP="002E466C">
            <w:pPr>
              <w:keepNext/>
              <w:widowControl w:val="0"/>
              <w:jc w:val="center"/>
              <w:rPr>
                <w:rFonts w:ascii="Arial Narrow" w:hAnsi="Arial Narrow"/>
                <w:sz w:val="20"/>
              </w:rPr>
            </w:pPr>
          </w:p>
          <w:p w:rsidR="00784991" w:rsidRPr="00172172" w:rsidRDefault="00784991" w:rsidP="002E466C">
            <w:pPr>
              <w:keepNext/>
              <w:widowControl w:val="0"/>
              <w:jc w:val="center"/>
              <w:rPr>
                <w:rFonts w:ascii="Arial Narrow" w:hAnsi="Arial Narrow"/>
                <w:sz w:val="20"/>
              </w:rPr>
            </w:pPr>
            <w:r w:rsidRPr="00172172">
              <w:rPr>
                <w:rFonts w:ascii="Arial Narrow" w:hAnsi="Arial Narrow"/>
                <w:sz w:val="20"/>
              </w:rPr>
              <w:t>Ilaris</w:t>
            </w:r>
            <w:r w:rsidRPr="00172172">
              <w:rPr>
                <w:rFonts w:ascii="Arial Narrow" w:hAnsi="Arial Narrow"/>
                <w:sz w:val="20"/>
                <w:vertAlign w:val="superscript"/>
              </w:rPr>
              <w:t>®</w:t>
            </w:r>
          </w:p>
        </w:tc>
        <w:tc>
          <w:tcPr>
            <w:tcW w:w="837" w:type="pct"/>
          </w:tcPr>
          <w:p w:rsidR="00784991" w:rsidRPr="00172172" w:rsidRDefault="00784991" w:rsidP="002E466C">
            <w:pPr>
              <w:keepNext/>
              <w:widowControl w:val="0"/>
              <w:jc w:val="center"/>
              <w:rPr>
                <w:rFonts w:ascii="Arial Narrow" w:hAnsi="Arial Narrow"/>
                <w:sz w:val="20"/>
              </w:rPr>
            </w:pPr>
          </w:p>
          <w:p w:rsidR="00784991" w:rsidRPr="00172172" w:rsidRDefault="00784991" w:rsidP="002E466C">
            <w:pPr>
              <w:keepNext/>
              <w:widowControl w:val="0"/>
              <w:jc w:val="center"/>
              <w:rPr>
                <w:rFonts w:ascii="Arial Narrow" w:hAnsi="Arial Narrow"/>
                <w:sz w:val="20"/>
              </w:rPr>
            </w:pPr>
          </w:p>
          <w:p w:rsidR="00784991" w:rsidRPr="00172172" w:rsidRDefault="00784991" w:rsidP="002E466C">
            <w:pPr>
              <w:keepNext/>
              <w:widowControl w:val="0"/>
              <w:jc w:val="center"/>
              <w:rPr>
                <w:rFonts w:ascii="Arial Narrow" w:hAnsi="Arial Narrow"/>
                <w:sz w:val="20"/>
              </w:rPr>
            </w:pPr>
            <w:r w:rsidRPr="00172172">
              <w:rPr>
                <w:rFonts w:ascii="Arial Narrow" w:hAnsi="Arial Narrow"/>
                <w:sz w:val="20"/>
              </w:rPr>
              <w:t>NV</w:t>
            </w:r>
          </w:p>
        </w:tc>
      </w:tr>
      <w:tr w:rsidR="00784991" w:rsidRPr="00172172" w:rsidTr="002E466C">
        <w:trPr>
          <w:cantSplit/>
          <w:trHeight w:val="577"/>
        </w:trPr>
        <w:tc>
          <w:tcPr>
            <w:tcW w:w="1924" w:type="pct"/>
          </w:tcPr>
          <w:p w:rsidR="00784991" w:rsidRPr="00172172" w:rsidRDefault="00784991" w:rsidP="002E466C">
            <w:pPr>
              <w:keepNext/>
              <w:widowControl w:val="0"/>
              <w:rPr>
                <w:rFonts w:ascii="Arial Narrow" w:hAnsi="Arial Narrow"/>
                <w:sz w:val="20"/>
              </w:rPr>
            </w:pPr>
          </w:p>
          <w:p w:rsidR="00784991" w:rsidRPr="00172172" w:rsidRDefault="00784991" w:rsidP="002E466C">
            <w:pPr>
              <w:keepNext/>
              <w:widowControl w:val="0"/>
              <w:rPr>
                <w:rFonts w:ascii="Arial Narrow" w:hAnsi="Arial Narrow"/>
                <w:sz w:val="20"/>
                <w:u w:val="single"/>
              </w:rPr>
            </w:pPr>
            <w:r w:rsidRPr="00172172">
              <w:rPr>
                <w:rFonts w:ascii="Arial Narrow" w:hAnsi="Arial Narrow"/>
                <w:sz w:val="20"/>
                <w:u w:val="single"/>
              </w:rPr>
              <w:t>Initial 2 Treatment</w:t>
            </w:r>
          </w:p>
          <w:p w:rsidR="00784991" w:rsidRPr="00172172" w:rsidRDefault="00784991" w:rsidP="002E466C">
            <w:pPr>
              <w:keepNext/>
              <w:widowControl w:val="0"/>
              <w:rPr>
                <w:rFonts w:ascii="Arial Narrow" w:hAnsi="Arial Narrow"/>
                <w:sz w:val="20"/>
              </w:rPr>
            </w:pPr>
            <w:r w:rsidRPr="00172172">
              <w:rPr>
                <w:rFonts w:ascii="Arial Narrow" w:hAnsi="Arial Narrow"/>
                <w:sz w:val="20"/>
              </w:rPr>
              <w:t>Powder for injection, 150 mg /1 mL</w:t>
            </w:r>
          </w:p>
        </w:tc>
        <w:tc>
          <w:tcPr>
            <w:tcW w:w="308" w:type="pct"/>
          </w:tcPr>
          <w:p w:rsidR="00784991" w:rsidRPr="00172172" w:rsidRDefault="00784991" w:rsidP="002E466C">
            <w:pPr>
              <w:keepNext/>
              <w:widowControl w:val="0"/>
              <w:jc w:val="center"/>
              <w:rPr>
                <w:rFonts w:ascii="Arial Narrow" w:hAnsi="Arial Narrow"/>
                <w:sz w:val="20"/>
              </w:rPr>
            </w:pPr>
          </w:p>
          <w:p w:rsidR="00784991" w:rsidRPr="00172172" w:rsidRDefault="00784991" w:rsidP="002E466C">
            <w:pPr>
              <w:keepNext/>
              <w:widowControl w:val="0"/>
              <w:rPr>
                <w:rFonts w:ascii="Arial Narrow" w:hAnsi="Arial Narrow"/>
                <w:sz w:val="20"/>
              </w:rPr>
            </w:pPr>
          </w:p>
          <w:p w:rsidR="00784991" w:rsidRPr="00172172" w:rsidRDefault="00784991" w:rsidP="002E466C">
            <w:pPr>
              <w:keepNext/>
              <w:widowControl w:val="0"/>
              <w:jc w:val="center"/>
              <w:rPr>
                <w:rFonts w:ascii="Arial Narrow" w:hAnsi="Arial Narrow"/>
                <w:sz w:val="20"/>
              </w:rPr>
            </w:pPr>
            <w:r>
              <w:rPr>
                <w:rFonts w:ascii="Arial Narrow" w:hAnsi="Arial Narrow"/>
                <w:sz w:val="20"/>
              </w:rPr>
              <w:t>TBA</w:t>
            </w:r>
          </w:p>
        </w:tc>
        <w:tc>
          <w:tcPr>
            <w:tcW w:w="473" w:type="pct"/>
          </w:tcPr>
          <w:p w:rsidR="00784991" w:rsidRPr="00172172" w:rsidRDefault="00784991" w:rsidP="002E466C">
            <w:pPr>
              <w:keepNext/>
              <w:widowControl w:val="0"/>
              <w:jc w:val="center"/>
              <w:rPr>
                <w:rFonts w:ascii="Arial Narrow" w:hAnsi="Arial Narrow"/>
                <w:sz w:val="20"/>
              </w:rPr>
            </w:pPr>
          </w:p>
          <w:p w:rsidR="00784991" w:rsidRPr="00172172" w:rsidRDefault="00784991" w:rsidP="002E466C">
            <w:pPr>
              <w:keepNext/>
              <w:widowControl w:val="0"/>
              <w:rPr>
                <w:rFonts w:ascii="Arial Narrow" w:hAnsi="Arial Narrow"/>
                <w:sz w:val="20"/>
              </w:rPr>
            </w:pPr>
          </w:p>
          <w:p w:rsidR="00784991" w:rsidRPr="00172172" w:rsidRDefault="00784991" w:rsidP="00784991">
            <w:pPr>
              <w:keepNext/>
              <w:widowControl w:val="0"/>
              <w:jc w:val="center"/>
              <w:rPr>
                <w:rFonts w:ascii="Arial Narrow" w:hAnsi="Arial Narrow"/>
                <w:sz w:val="20"/>
              </w:rPr>
            </w:pPr>
            <w:r>
              <w:rPr>
                <w:rFonts w:ascii="Arial Narrow" w:hAnsi="Arial Narrow"/>
                <w:sz w:val="20"/>
              </w:rPr>
              <w:t>TBA</w:t>
            </w:r>
          </w:p>
        </w:tc>
        <w:tc>
          <w:tcPr>
            <w:tcW w:w="968" w:type="pct"/>
          </w:tcPr>
          <w:p w:rsidR="00784991" w:rsidRPr="00172172" w:rsidRDefault="00784991" w:rsidP="002E466C">
            <w:pPr>
              <w:keepNext/>
              <w:widowControl w:val="0"/>
              <w:jc w:val="center"/>
              <w:rPr>
                <w:rFonts w:ascii="Arial Narrow" w:hAnsi="Arial Narrow"/>
                <w:sz w:val="20"/>
              </w:rPr>
            </w:pPr>
          </w:p>
          <w:p w:rsidR="00784991" w:rsidRPr="00172172" w:rsidRDefault="00784991" w:rsidP="002E466C">
            <w:pPr>
              <w:keepNext/>
              <w:widowControl w:val="0"/>
              <w:rPr>
                <w:rFonts w:ascii="Arial Narrow" w:hAnsi="Arial Narrow"/>
                <w:sz w:val="20"/>
              </w:rPr>
            </w:pPr>
          </w:p>
          <w:p w:rsidR="00784991" w:rsidRPr="00172172" w:rsidRDefault="00784991" w:rsidP="002E466C">
            <w:pPr>
              <w:keepNext/>
              <w:widowControl w:val="0"/>
              <w:jc w:val="center"/>
              <w:rPr>
                <w:rFonts w:ascii="Arial Narrow" w:hAnsi="Arial Narrow"/>
                <w:sz w:val="20"/>
              </w:rPr>
            </w:pPr>
          </w:p>
        </w:tc>
        <w:tc>
          <w:tcPr>
            <w:tcW w:w="489" w:type="pct"/>
          </w:tcPr>
          <w:p w:rsidR="00784991" w:rsidRPr="00172172" w:rsidRDefault="00784991" w:rsidP="002E466C">
            <w:pPr>
              <w:keepNext/>
              <w:widowControl w:val="0"/>
              <w:jc w:val="center"/>
              <w:rPr>
                <w:rFonts w:ascii="Arial Narrow" w:hAnsi="Arial Narrow"/>
                <w:sz w:val="20"/>
              </w:rPr>
            </w:pPr>
          </w:p>
          <w:p w:rsidR="00784991" w:rsidRPr="00172172" w:rsidRDefault="00784991" w:rsidP="002E466C">
            <w:pPr>
              <w:keepNext/>
              <w:widowControl w:val="0"/>
              <w:rPr>
                <w:rFonts w:ascii="Arial Narrow" w:hAnsi="Arial Narrow"/>
                <w:sz w:val="20"/>
              </w:rPr>
            </w:pPr>
          </w:p>
          <w:p w:rsidR="00784991" w:rsidRPr="00172172" w:rsidRDefault="00784991" w:rsidP="002E466C">
            <w:pPr>
              <w:keepNext/>
              <w:widowControl w:val="0"/>
              <w:jc w:val="center"/>
              <w:rPr>
                <w:rFonts w:ascii="Arial Narrow" w:hAnsi="Arial Narrow"/>
                <w:sz w:val="20"/>
              </w:rPr>
            </w:pPr>
            <w:r w:rsidRPr="00172172">
              <w:rPr>
                <w:rFonts w:ascii="Arial Narrow" w:hAnsi="Arial Narrow"/>
                <w:sz w:val="20"/>
              </w:rPr>
              <w:t>Ilaris</w:t>
            </w:r>
            <w:r w:rsidRPr="00172172">
              <w:rPr>
                <w:rFonts w:ascii="Arial Narrow" w:hAnsi="Arial Narrow"/>
                <w:sz w:val="20"/>
                <w:vertAlign w:val="superscript"/>
              </w:rPr>
              <w:t>®</w:t>
            </w:r>
          </w:p>
        </w:tc>
        <w:tc>
          <w:tcPr>
            <w:tcW w:w="837" w:type="pct"/>
          </w:tcPr>
          <w:p w:rsidR="00784991" w:rsidRPr="00172172" w:rsidRDefault="00784991" w:rsidP="002E466C">
            <w:pPr>
              <w:keepNext/>
              <w:widowControl w:val="0"/>
              <w:jc w:val="center"/>
              <w:rPr>
                <w:rFonts w:ascii="Arial Narrow" w:hAnsi="Arial Narrow"/>
                <w:sz w:val="20"/>
              </w:rPr>
            </w:pPr>
          </w:p>
          <w:p w:rsidR="00784991" w:rsidRPr="00172172" w:rsidRDefault="00784991" w:rsidP="002E466C">
            <w:pPr>
              <w:keepNext/>
              <w:widowControl w:val="0"/>
              <w:rPr>
                <w:rFonts w:ascii="Arial Narrow" w:hAnsi="Arial Narrow"/>
                <w:sz w:val="20"/>
              </w:rPr>
            </w:pPr>
          </w:p>
          <w:p w:rsidR="00784991" w:rsidRPr="00172172" w:rsidRDefault="00784991" w:rsidP="002E466C">
            <w:pPr>
              <w:keepNext/>
              <w:widowControl w:val="0"/>
              <w:jc w:val="center"/>
              <w:rPr>
                <w:rFonts w:ascii="Arial Narrow" w:hAnsi="Arial Narrow"/>
                <w:sz w:val="20"/>
              </w:rPr>
            </w:pPr>
            <w:r w:rsidRPr="00172172">
              <w:rPr>
                <w:rFonts w:ascii="Arial Narrow" w:hAnsi="Arial Narrow"/>
                <w:sz w:val="20"/>
              </w:rPr>
              <w:t>NV</w:t>
            </w:r>
          </w:p>
        </w:tc>
      </w:tr>
    </w:tbl>
    <w:p w:rsidR="00466C5E" w:rsidRDefault="00466C5E" w:rsidP="00784991">
      <w:pPr>
        <w:contextualSpacing/>
        <w:rPr>
          <w:rFonts w:cs="Times New Roman"/>
          <w:snapToGrid/>
          <w:szCs w:val="22"/>
          <w:lang w:eastAsia="en-AU"/>
        </w:rPr>
      </w:pPr>
    </w:p>
    <w:p w:rsidR="00784991" w:rsidRPr="00784991" w:rsidRDefault="00784991" w:rsidP="00784991">
      <w:pPr>
        <w:contextualSpacing/>
        <w:rPr>
          <w:rFonts w:ascii="Arial Narrow" w:hAnsi="Arial Narrow" w:cs="Times New Roman"/>
          <w:snapToGrid/>
          <w:sz w:val="20"/>
          <w:lang w:eastAsia="en-AU"/>
        </w:rPr>
      </w:pPr>
      <w:r w:rsidRPr="00784991">
        <w:rPr>
          <w:rFonts w:ascii="Arial Narrow" w:hAnsi="Arial Narrow" w:cs="Times New Roman"/>
          <w:snapToGrid/>
          <w:sz w:val="20"/>
          <w:lang w:eastAsia="en-AU"/>
        </w:rPr>
        <w:t>TBA – to be announced</w:t>
      </w:r>
    </w:p>
    <w:p w:rsidR="00466C5E" w:rsidRPr="009D6FEA" w:rsidRDefault="00466C5E" w:rsidP="009D6FEA">
      <w:pPr>
        <w:ind w:left="709"/>
        <w:contextualSpacing/>
        <w:rPr>
          <w:rFonts w:cs="Times New Roman"/>
          <w:snapToGrid/>
          <w:szCs w:val="22"/>
          <w:lang w:eastAsia="en-AU"/>
        </w:rPr>
      </w:pPr>
    </w:p>
    <w:tbl>
      <w:tblPr>
        <w:tblW w:w="9214" w:type="dxa"/>
        <w:tblInd w:w="108" w:type="dxa"/>
        <w:tblLayout w:type="fixed"/>
        <w:tblLook w:val="0000" w:firstRow="0" w:lastRow="0" w:firstColumn="0" w:lastColumn="0" w:noHBand="0" w:noVBand="0"/>
      </w:tblPr>
      <w:tblGrid>
        <w:gridCol w:w="2127"/>
        <w:gridCol w:w="7087"/>
      </w:tblGrid>
      <w:tr w:rsidR="00784991" w:rsidRPr="00784991" w:rsidTr="00784991">
        <w:trPr>
          <w:cantSplit/>
          <w:trHeight w:val="360"/>
        </w:trPr>
        <w:tc>
          <w:tcPr>
            <w:tcW w:w="2127" w:type="dxa"/>
            <w:tcBorders>
              <w:top w:val="single" w:sz="4" w:space="0" w:color="auto"/>
              <w:left w:val="single" w:sz="4" w:space="0" w:color="auto"/>
              <w:bottom w:val="single" w:sz="4" w:space="0" w:color="auto"/>
              <w:right w:val="single" w:sz="4" w:space="0" w:color="auto"/>
            </w:tcBorders>
          </w:tcPr>
          <w:p w:rsidR="00784991" w:rsidRPr="00784991" w:rsidRDefault="00784991" w:rsidP="00784991">
            <w:pPr>
              <w:rPr>
                <w:rFonts w:ascii="Arial Narrow" w:hAnsi="Arial Narrow"/>
                <w:b/>
                <w:snapToGrid/>
                <w:sz w:val="20"/>
                <w:lang w:eastAsia="en-AU"/>
              </w:rPr>
            </w:pPr>
            <w:r w:rsidRPr="00784991">
              <w:rPr>
                <w:rFonts w:ascii="Arial Narrow" w:hAnsi="Arial Narrow"/>
                <w:b/>
                <w:snapToGrid/>
                <w:sz w:val="20"/>
                <w:lang w:eastAsia="en-AU"/>
              </w:rPr>
              <w:t xml:space="preserve">Category / </w:t>
            </w:r>
          </w:p>
          <w:p w:rsidR="00784991" w:rsidRPr="00784991" w:rsidRDefault="00784991" w:rsidP="00784991">
            <w:pPr>
              <w:rPr>
                <w:rFonts w:ascii="Arial Narrow" w:hAnsi="Arial Narrow"/>
                <w:b/>
                <w:snapToGrid/>
                <w:sz w:val="20"/>
                <w:lang w:eastAsia="en-AU"/>
              </w:rPr>
            </w:pPr>
            <w:r w:rsidRPr="00784991">
              <w:rPr>
                <w:rFonts w:ascii="Arial Narrow" w:hAnsi="Arial Narrow"/>
                <w:b/>
                <w:snapToGrid/>
                <w:sz w:val="20"/>
                <w:lang w:eastAsia="en-AU"/>
              </w:rPr>
              <w:t>Program</w:t>
            </w:r>
          </w:p>
        </w:tc>
        <w:tc>
          <w:tcPr>
            <w:tcW w:w="7087" w:type="dxa"/>
            <w:tcBorders>
              <w:top w:val="single" w:sz="4" w:space="0" w:color="auto"/>
              <w:left w:val="single" w:sz="4" w:space="0" w:color="auto"/>
              <w:bottom w:val="single" w:sz="4" w:space="0" w:color="auto"/>
              <w:right w:val="single" w:sz="4" w:space="0" w:color="auto"/>
            </w:tcBorders>
          </w:tcPr>
          <w:p w:rsidR="00784991" w:rsidRPr="00784991" w:rsidRDefault="00784991" w:rsidP="00784991">
            <w:pPr>
              <w:jc w:val="left"/>
              <w:rPr>
                <w:rFonts w:ascii="Arial Narrow" w:hAnsi="Arial Narrow"/>
                <w:snapToGrid/>
                <w:sz w:val="20"/>
                <w:lang w:eastAsia="en-AU"/>
              </w:rPr>
            </w:pPr>
            <w:r w:rsidRPr="00784991">
              <w:rPr>
                <w:rFonts w:ascii="Arial Narrow" w:hAnsi="Arial Narrow"/>
                <w:snapToGrid/>
                <w:sz w:val="20"/>
                <w:lang w:eastAsia="en-AU"/>
              </w:rPr>
              <w:t>Section 100 – Highly Specialised Drugs Program</w:t>
            </w:r>
          </w:p>
          <w:p w:rsidR="00784991" w:rsidRPr="00784991" w:rsidRDefault="00784991" w:rsidP="00784991">
            <w:pPr>
              <w:jc w:val="left"/>
              <w:rPr>
                <w:rFonts w:ascii="Arial Narrow" w:hAnsi="Arial Narrow"/>
                <w:snapToGrid/>
                <w:sz w:val="20"/>
                <w:lang w:eastAsia="en-AU"/>
              </w:rPr>
            </w:pPr>
          </w:p>
        </w:tc>
      </w:tr>
      <w:tr w:rsidR="00784991" w:rsidRPr="00784991" w:rsidTr="00784991">
        <w:trPr>
          <w:cantSplit/>
          <w:trHeight w:val="360"/>
        </w:trPr>
        <w:tc>
          <w:tcPr>
            <w:tcW w:w="2127" w:type="dxa"/>
            <w:tcBorders>
              <w:top w:val="single" w:sz="4" w:space="0" w:color="auto"/>
              <w:left w:val="single" w:sz="4" w:space="0" w:color="auto"/>
              <w:bottom w:val="single" w:sz="4" w:space="0" w:color="auto"/>
              <w:right w:val="single" w:sz="4" w:space="0" w:color="auto"/>
            </w:tcBorders>
          </w:tcPr>
          <w:p w:rsidR="00784991" w:rsidRPr="00784991" w:rsidRDefault="00784991" w:rsidP="00784991">
            <w:pPr>
              <w:rPr>
                <w:rFonts w:ascii="Arial Narrow" w:hAnsi="Arial Narrow"/>
                <w:b/>
                <w:snapToGrid/>
                <w:sz w:val="20"/>
                <w:lang w:eastAsia="en-AU"/>
              </w:rPr>
            </w:pPr>
            <w:r w:rsidRPr="00784991">
              <w:rPr>
                <w:rFonts w:ascii="Arial Narrow" w:hAnsi="Arial Narrow"/>
                <w:b/>
                <w:snapToGrid/>
                <w:sz w:val="20"/>
                <w:lang w:eastAsia="en-AU"/>
              </w:rPr>
              <w:t>Prescriber type:</w:t>
            </w:r>
          </w:p>
        </w:tc>
        <w:tc>
          <w:tcPr>
            <w:tcW w:w="7087" w:type="dxa"/>
            <w:tcBorders>
              <w:top w:val="single" w:sz="4" w:space="0" w:color="auto"/>
              <w:left w:val="single" w:sz="4" w:space="0" w:color="auto"/>
              <w:bottom w:val="single" w:sz="4" w:space="0" w:color="auto"/>
              <w:right w:val="single" w:sz="4" w:space="0" w:color="auto"/>
            </w:tcBorders>
          </w:tcPr>
          <w:p w:rsidR="00784991" w:rsidRPr="00784991" w:rsidRDefault="00784991" w:rsidP="00784991">
            <w:pPr>
              <w:jc w:val="left"/>
              <w:rPr>
                <w:rFonts w:ascii="Arial Narrow" w:hAnsi="Arial Narrow"/>
                <w:snapToGrid/>
                <w:sz w:val="20"/>
                <w:lang w:eastAsia="en-AU"/>
              </w:rPr>
            </w:pPr>
            <w:r w:rsidRPr="00784991">
              <w:rPr>
                <w:rFonts w:ascii="Arial Narrow" w:hAnsi="Arial Narrow"/>
                <w:snapToGrid/>
                <w:sz w:val="20"/>
                <w:lang w:eastAsia="en-AU"/>
              </w:rPr>
              <w:fldChar w:fldCharType="begin">
                <w:ffData>
                  <w:name w:val="Check1"/>
                  <w:enabled/>
                  <w:calcOnExit w:val="0"/>
                  <w:checkBox>
                    <w:sizeAuto/>
                    <w:default w:val="0"/>
                  </w:checkBox>
                </w:ffData>
              </w:fldChar>
            </w:r>
            <w:r w:rsidRPr="00784991">
              <w:rPr>
                <w:rFonts w:ascii="Arial Narrow" w:hAnsi="Arial Narrow"/>
                <w:snapToGrid/>
                <w:sz w:val="20"/>
                <w:lang w:eastAsia="en-AU"/>
              </w:rPr>
              <w:instrText xml:space="preserve"> FORMCHECKBOX </w:instrText>
            </w:r>
            <w:r w:rsidR="0095170B">
              <w:rPr>
                <w:rFonts w:ascii="Arial Narrow" w:hAnsi="Arial Narrow"/>
                <w:snapToGrid/>
                <w:sz w:val="20"/>
                <w:lang w:eastAsia="en-AU"/>
              </w:rPr>
            </w:r>
            <w:r w:rsidR="0095170B">
              <w:rPr>
                <w:rFonts w:ascii="Arial Narrow" w:hAnsi="Arial Narrow"/>
                <w:snapToGrid/>
                <w:sz w:val="20"/>
                <w:lang w:eastAsia="en-AU"/>
              </w:rPr>
              <w:fldChar w:fldCharType="separate"/>
            </w:r>
            <w:r w:rsidRPr="00784991">
              <w:rPr>
                <w:rFonts w:ascii="Arial Narrow" w:hAnsi="Arial Narrow"/>
                <w:snapToGrid/>
                <w:sz w:val="20"/>
                <w:lang w:eastAsia="en-AU"/>
              </w:rPr>
              <w:fldChar w:fldCharType="end"/>
            </w:r>
            <w:r w:rsidRPr="00784991">
              <w:rPr>
                <w:rFonts w:ascii="Arial Narrow" w:hAnsi="Arial Narrow"/>
                <w:snapToGrid/>
                <w:sz w:val="20"/>
                <w:lang w:eastAsia="en-AU"/>
              </w:rPr>
              <w:t xml:space="preserve">Dental  </w:t>
            </w:r>
            <w:r>
              <w:rPr>
                <w:rFonts w:ascii="Arial Narrow" w:hAnsi="Arial Narrow"/>
                <w:snapToGrid/>
                <w:sz w:val="20"/>
                <w:lang w:eastAsia="en-AU"/>
              </w:rPr>
              <w:fldChar w:fldCharType="begin">
                <w:ffData>
                  <w:name w:val=""/>
                  <w:enabled/>
                  <w:calcOnExit w:val="0"/>
                  <w:checkBox>
                    <w:sizeAuto/>
                    <w:default w:val="1"/>
                  </w:checkBox>
                </w:ffData>
              </w:fldChar>
            </w:r>
            <w:r>
              <w:rPr>
                <w:rFonts w:ascii="Arial Narrow" w:hAnsi="Arial Narrow"/>
                <w:snapToGrid/>
                <w:sz w:val="20"/>
                <w:lang w:eastAsia="en-AU"/>
              </w:rPr>
              <w:instrText xml:space="preserve"> FORMCHECKBOX </w:instrText>
            </w:r>
            <w:r w:rsidR="0095170B">
              <w:rPr>
                <w:rFonts w:ascii="Arial Narrow" w:hAnsi="Arial Narrow"/>
                <w:snapToGrid/>
                <w:sz w:val="20"/>
                <w:lang w:eastAsia="en-AU"/>
              </w:rPr>
            </w:r>
            <w:r w:rsidR="0095170B">
              <w:rPr>
                <w:rFonts w:ascii="Arial Narrow" w:hAnsi="Arial Narrow"/>
                <w:snapToGrid/>
                <w:sz w:val="20"/>
                <w:lang w:eastAsia="en-AU"/>
              </w:rPr>
              <w:fldChar w:fldCharType="separate"/>
            </w:r>
            <w:r>
              <w:rPr>
                <w:rFonts w:ascii="Arial Narrow" w:hAnsi="Arial Narrow"/>
                <w:snapToGrid/>
                <w:sz w:val="20"/>
                <w:lang w:eastAsia="en-AU"/>
              </w:rPr>
              <w:fldChar w:fldCharType="end"/>
            </w:r>
            <w:r w:rsidRPr="00784991">
              <w:rPr>
                <w:rFonts w:ascii="Arial Narrow" w:hAnsi="Arial Narrow"/>
                <w:snapToGrid/>
                <w:sz w:val="20"/>
                <w:lang w:eastAsia="en-AU"/>
              </w:rPr>
              <w:t xml:space="preserve">Medical Practitioners  </w:t>
            </w:r>
            <w:r w:rsidRPr="00784991">
              <w:rPr>
                <w:rFonts w:ascii="Arial Narrow" w:hAnsi="Arial Narrow"/>
                <w:snapToGrid/>
                <w:sz w:val="20"/>
                <w:lang w:eastAsia="en-AU"/>
              </w:rPr>
              <w:fldChar w:fldCharType="begin">
                <w:ffData>
                  <w:name w:val="Check3"/>
                  <w:enabled/>
                  <w:calcOnExit w:val="0"/>
                  <w:checkBox>
                    <w:sizeAuto/>
                    <w:default w:val="0"/>
                  </w:checkBox>
                </w:ffData>
              </w:fldChar>
            </w:r>
            <w:r w:rsidRPr="00784991">
              <w:rPr>
                <w:rFonts w:ascii="Arial Narrow" w:hAnsi="Arial Narrow"/>
                <w:snapToGrid/>
                <w:sz w:val="20"/>
                <w:lang w:eastAsia="en-AU"/>
              </w:rPr>
              <w:instrText xml:space="preserve"> FORMCHECKBOX </w:instrText>
            </w:r>
            <w:r w:rsidR="0095170B">
              <w:rPr>
                <w:rFonts w:ascii="Arial Narrow" w:hAnsi="Arial Narrow"/>
                <w:snapToGrid/>
                <w:sz w:val="20"/>
                <w:lang w:eastAsia="en-AU"/>
              </w:rPr>
            </w:r>
            <w:r w:rsidR="0095170B">
              <w:rPr>
                <w:rFonts w:ascii="Arial Narrow" w:hAnsi="Arial Narrow"/>
                <w:snapToGrid/>
                <w:sz w:val="20"/>
                <w:lang w:eastAsia="en-AU"/>
              </w:rPr>
              <w:fldChar w:fldCharType="separate"/>
            </w:r>
            <w:r w:rsidRPr="00784991">
              <w:rPr>
                <w:rFonts w:ascii="Arial Narrow" w:hAnsi="Arial Narrow"/>
                <w:snapToGrid/>
                <w:sz w:val="20"/>
                <w:lang w:eastAsia="en-AU"/>
              </w:rPr>
              <w:fldChar w:fldCharType="end"/>
            </w:r>
            <w:r w:rsidRPr="00784991">
              <w:rPr>
                <w:rFonts w:ascii="Arial Narrow" w:hAnsi="Arial Narrow"/>
                <w:snapToGrid/>
                <w:sz w:val="20"/>
                <w:lang w:eastAsia="en-AU"/>
              </w:rPr>
              <w:t xml:space="preserve">Nurse practitioners  </w:t>
            </w:r>
            <w:r w:rsidRPr="00784991">
              <w:rPr>
                <w:rFonts w:ascii="Arial Narrow" w:hAnsi="Arial Narrow"/>
                <w:snapToGrid/>
                <w:sz w:val="20"/>
                <w:lang w:eastAsia="en-AU"/>
              </w:rPr>
              <w:fldChar w:fldCharType="begin">
                <w:ffData>
                  <w:name w:val=""/>
                  <w:enabled/>
                  <w:calcOnExit w:val="0"/>
                  <w:checkBox>
                    <w:sizeAuto/>
                    <w:default w:val="0"/>
                  </w:checkBox>
                </w:ffData>
              </w:fldChar>
            </w:r>
            <w:r w:rsidRPr="00784991">
              <w:rPr>
                <w:rFonts w:ascii="Arial Narrow" w:hAnsi="Arial Narrow"/>
                <w:snapToGrid/>
                <w:sz w:val="20"/>
                <w:lang w:eastAsia="en-AU"/>
              </w:rPr>
              <w:instrText xml:space="preserve"> FORMCHECKBOX </w:instrText>
            </w:r>
            <w:r w:rsidR="0095170B">
              <w:rPr>
                <w:rFonts w:ascii="Arial Narrow" w:hAnsi="Arial Narrow"/>
                <w:snapToGrid/>
                <w:sz w:val="20"/>
                <w:lang w:eastAsia="en-AU"/>
              </w:rPr>
            </w:r>
            <w:r w:rsidR="0095170B">
              <w:rPr>
                <w:rFonts w:ascii="Arial Narrow" w:hAnsi="Arial Narrow"/>
                <w:snapToGrid/>
                <w:sz w:val="20"/>
                <w:lang w:eastAsia="en-AU"/>
              </w:rPr>
              <w:fldChar w:fldCharType="separate"/>
            </w:r>
            <w:r w:rsidRPr="00784991">
              <w:rPr>
                <w:rFonts w:ascii="Arial Narrow" w:hAnsi="Arial Narrow"/>
                <w:snapToGrid/>
                <w:sz w:val="20"/>
                <w:lang w:eastAsia="en-AU"/>
              </w:rPr>
              <w:fldChar w:fldCharType="end"/>
            </w:r>
            <w:r w:rsidRPr="00784991">
              <w:rPr>
                <w:rFonts w:ascii="Arial Narrow" w:hAnsi="Arial Narrow"/>
                <w:snapToGrid/>
                <w:sz w:val="20"/>
                <w:lang w:eastAsia="en-AU"/>
              </w:rPr>
              <w:t>Optometrists</w:t>
            </w:r>
            <w:r>
              <w:rPr>
                <w:rFonts w:ascii="Arial Narrow" w:hAnsi="Arial Narrow"/>
                <w:snapToGrid/>
                <w:sz w:val="20"/>
                <w:lang w:eastAsia="en-AU"/>
              </w:rPr>
              <w:t xml:space="preserve">   </w:t>
            </w:r>
            <w:r w:rsidRPr="00784991">
              <w:rPr>
                <w:rFonts w:ascii="Arial Narrow" w:hAnsi="Arial Narrow"/>
                <w:snapToGrid/>
                <w:sz w:val="20"/>
                <w:lang w:eastAsia="en-AU"/>
              </w:rPr>
              <w:fldChar w:fldCharType="begin">
                <w:ffData>
                  <w:name w:val="Check5"/>
                  <w:enabled/>
                  <w:calcOnExit w:val="0"/>
                  <w:checkBox>
                    <w:sizeAuto/>
                    <w:default w:val="0"/>
                  </w:checkBox>
                </w:ffData>
              </w:fldChar>
            </w:r>
            <w:r w:rsidRPr="00784991">
              <w:rPr>
                <w:rFonts w:ascii="Arial Narrow" w:hAnsi="Arial Narrow"/>
                <w:snapToGrid/>
                <w:sz w:val="20"/>
                <w:lang w:eastAsia="en-AU"/>
              </w:rPr>
              <w:instrText xml:space="preserve"> FORMCHECKBOX </w:instrText>
            </w:r>
            <w:r w:rsidR="0095170B">
              <w:rPr>
                <w:rFonts w:ascii="Arial Narrow" w:hAnsi="Arial Narrow"/>
                <w:snapToGrid/>
                <w:sz w:val="20"/>
                <w:lang w:eastAsia="en-AU"/>
              </w:rPr>
            </w:r>
            <w:r w:rsidR="0095170B">
              <w:rPr>
                <w:rFonts w:ascii="Arial Narrow" w:hAnsi="Arial Narrow"/>
                <w:snapToGrid/>
                <w:sz w:val="20"/>
                <w:lang w:eastAsia="en-AU"/>
              </w:rPr>
              <w:fldChar w:fldCharType="separate"/>
            </w:r>
            <w:r w:rsidRPr="00784991">
              <w:rPr>
                <w:rFonts w:ascii="Arial Narrow" w:hAnsi="Arial Narrow"/>
                <w:snapToGrid/>
                <w:sz w:val="20"/>
                <w:lang w:eastAsia="en-AU"/>
              </w:rPr>
              <w:fldChar w:fldCharType="end"/>
            </w:r>
            <w:r w:rsidRPr="00784991">
              <w:rPr>
                <w:rFonts w:ascii="Arial Narrow" w:hAnsi="Arial Narrow"/>
                <w:snapToGrid/>
                <w:sz w:val="20"/>
                <w:lang w:eastAsia="en-AU"/>
              </w:rPr>
              <w:t>Midwives</w:t>
            </w:r>
          </w:p>
        </w:tc>
      </w:tr>
      <w:tr w:rsidR="00784991" w:rsidRPr="00784991" w:rsidTr="00784991">
        <w:trPr>
          <w:cantSplit/>
          <w:trHeight w:val="360"/>
        </w:trPr>
        <w:tc>
          <w:tcPr>
            <w:tcW w:w="2127" w:type="dxa"/>
            <w:tcBorders>
              <w:top w:val="single" w:sz="4" w:space="0" w:color="auto"/>
              <w:left w:val="single" w:sz="4" w:space="0" w:color="auto"/>
              <w:bottom w:val="single" w:sz="4" w:space="0" w:color="auto"/>
              <w:right w:val="single" w:sz="4" w:space="0" w:color="auto"/>
            </w:tcBorders>
          </w:tcPr>
          <w:p w:rsidR="00784991" w:rsidRPr="00784991" w:rsidRDefault="00784991" w:rsidP="00784991">
            <w:pPr>
              <w:rPr>
                <w:rFonts w:ascii="Arial Narrow" w:hAnsi="Arial Narrow"/>
                <w:b/>
                <w:snapToGrid/>
                <w:sz w:val="20"/>
                <w:lang w:eastAsia="en-AU"/>
              </w:rPr>
            </w:pPr>
            <w:r w:rsidRPr="00784991">
              <w:rPr>
                <w:rFonts w:ascii="Arial Narrow" w:hAnsi="Arial Narrow"/>
                <w:b/>
                <w:snapToGrid/>
                <w:sz w:val="20"/>
                <w:lang w:eastAsia="en-AU"/>
              </w:rPr>
              <w:t>Episodicity:</w:t>
            </w:r>
          </w:p>
        </w:tc>
        <w:tc>
          <w:tcPr>
            <w:tcW w:w="7087" w:type="dxa"/>
            <w:tcBorders>
              <w:top w:val="single" w:sz="4" w:space="0" w:color="auto"/>
              <w:left w:val="single" w:sz="4" w:space="0" w:color="auto"/>
              <w:bottom w:val="single" w:sz="4" w:space="0" w:color="auto"/>
              <w:right w:val="single" w:sz="4" w:space="0" w:color="auto"/>
            </w:tcBorders>
          </w:tcPr>
          <w:p w:rsidR="00784991" w:rsidRPr="00784991" w:rsidRDefault="00784991" w:rsidP="00784991">
            <w:pPr>
              <w:jc w:val="left"/>
              <w:rPr>
                <w:rFonts w:ascii="Arial Narrow" w:hAnsi="Arial Narrow"/>
                <w:snapToGrid/>
                <w:sz w:val="20"/>
                <w:lang w:eastAsia="en-AU"/>
              </w:rPr>
            </w:pPr>
            <w:r>
              <w:rPr>
                <w:rFonts w:ascii="Arial Narrow" w:hAnsi="Arial Narrow"/>
                <w:snapToGrid/>
                <w:sz w:val="20"/>
                <w:lang w:eastAsia="en-AU"/>
              </w:rPr>
              <w:t>To be finalised</w:t>
            </w:r>
          </w:p>
        </w:tc>
      </w:tr>
      <w:tr w:rsidR="00784991" w:rsidRPr="00784991" w:rsidTr="00784991">
        <w:trPr>
          <w:cantSplit/>
          <w:trHeight w:val="360"/>
        </w:trPr>
        <w:tc>
          <w:tcPr>
            <w:tcW w:w="2127" w:type="dxa"/>
            <w:tcBorders>
              <w:top w:val="single" w:sz="4" w:space="0" w:color="auto"/>
              <w:left w:val="single" w:sz="4" w:space="0" w:color="auto"/>
              <w:bottom w:val="single" w:sz="4" w:space="0" w:color="auto"/>
              <w:right w:val="single" w:sz="4" w:space="0" w:color="auto"/>
            </w:tcBorders>
          </w:tcPr>
          <w:p w:rsidR="00784991" w:rsidRPr="00784991" w:rsidRDefault="00784991" w:rsidP="00784991">
            <w:pPr>
              <w:rPr>
                <w:rFonts w:ascii="Arial Narrow" w:hAnsi="Arial Narrow"/>
                <w:b/>
                <w:snapToGrid/>
                <w:sz w:val="20"/>
                <w:lang w:eastAsia="en-AU"/>
              </w:rPr>
            </w:pPr>
            <w:r w:rsidRPr="00784991">
              <w:rPr>
                <w:rFonts w:ascii="Arial Narrow" w:hAnsi="Arial Narrow"/>
                <w:b/>
                <w:snapToGrid/>
                <w:sz w:val="20"/>
                <w:lang w:eastAsia="en-AU"/>
              </w:rPr>
              <w:t>Severity:</w:t>
            </w:r>
          </w:p>
        </w:tc>
        <w:tc>
          <w:tcPr>
            <w:tcW w:w="7087" w:type="dxa"/>
            <w:tcBorders>
              <w:top w:val="single" w:sz="4" w:space="0" w:color="auto"/>
              <w:left w:val="single" w:sz="4" w:space="0" w:color="auto"/>
              <w:bottom w:val="single" w:sz="4" w:space="0" w:color="auto"/>
              <w:right w:val="single" w:sz="4" w:space="0" w:color="auto"/>
            </w:tcBorders>
          </w:tcPr>
          <w:p w:rsidR="00784991" w:rsidRPr="00784991" w:rsidRDefault="00784991" w:rsidP="00784991">
            <w:pPr>
              <w:jc w:val="left"/>
              <w:rPr>
                <w:rFonts w:ascii="Arial Narrow" w:hAnsi="Arial Narrow"/>
                <w:snapToGrid/>
                <w:sz w:val="20"/>
                <w:lang w:eastAsia="en-AU"/>
              </w:rPr>
            </w:pPr>
            <w:r>
              <w:rPr>
                <w:rFonts w:ascii="Arial Narrow" w:hAnsi="Arial Narrow"/>
                <w:snapToGrid/>
                <w:sz w:val="20"/>
                <w:lang w:eastAsia="en-AU"/>
              </w:rPr>
              <w:t>To be finalised</w:t>
            </w:r>
          </w:p>
        </w:tc>
      </w:tr>
      <w:tr w:rsidR="00784991" w:rsidRPr="00784991" w:rsidTr="00784991">
        <w:trPr>
          <w:cantSplit/>
          <w:trHeight w:val="360"/>
        </w:trPr>
        <w:tc>
          <w:tcPr>
            <w:tcW w:w="2127" w:type="dxa"/>
            <w:tcBorders>
              <w:top w:val="single" w:sz="4" w:space="0" w:color="auto"/>
              <w:left w:val="single" w:sz="4" w:space="0" w:color="auto"/>
              <w:bottom w:val="single" w:sz="4" w:space="0" w:color="auto"/>
              <w:right w:val="single" w:sz="4" w:space="0" w:color="auto"/>
            </w:tcBorders>
          </w:tcPr>
          <w:p w:rsidR="00784991" w:rsidRPr="00784991" w:rsidRDefault="00784991" w:rsidP="00784991">
            <w:pPr>
              <w:rPr>
                <w:rFonts w:ascii="Arial Narrow" w:hAnsi="Arial Narrow"/>
                <w:b/>
                <w:snapToGrid/>
                <w:sz w:val="20"/>
                <w:lang w:eastAsia="en-AU"/>
              </w:rPr>
            </w:pPr>
            <w:r w:rsidRPr="00784991">
              <w:rPr>
                <w:rFonts w:ascii="Arial Narrow" w:hAnsi="Arial Narrow"/>
                <w:b/>
                <w:snapToGrid/>
                <w:sz w:val="20"/>
                <w:lang w:eastAsia="en-AU"/>
              </w:rPr>
              <w:t>Condition:</w:t>
            </w:r>
          </w:p>
        </w:tc>
        <w:tc>
          <w:tcPr>
            <w:tcW w:w="7087" w:type="dxa"/>
            <w:tcBorders>
              <w:top w:val="single" w:sz="4" w:space="0" w:color="auto"/>
              <w:left w:val="single" w:sz="4" w:space="0" w:color="auto"/>
              <w:bottom w:val="single" w:sz="4" w:space="0" w:color="auto"/>
              <w:right w:val="single" w:sz="4" w:space="0" w:color="auto"/>
            </w:tcBorders>
          </w:tcPr>
          <w:p w:rsidR="00784991" w:rsidRPr="00784991" w:rsidRDefault="00784991" w:rsidP="00784991">
            <w:pPr>
              <w:jc w:val="left"/>
              <w:rPr>
                <w:rFonts w:ascii="Arial Narrow" w:hAnsi="Arial Narrow"/>
                <w:snapToGrid/>
                <w:sz w:val="20"/>
                <w:lang w:eastAsia="en-AU"/>
              </w:rPr>
            </w:pPr>
            <w:r>
              <w:rPr>
                <w:rFonts w:ascii="Arial Narrow" w:hAnsi="Arial Narrow"/>
                <w:snapToGrid/>
                <w:sz w:val="20"/>
                <w:lang w:eastAsia="en-AU"/>
              </w:rPr>
              <w:t>Juvenile idiopathic arthritis</w:t>
            </w:r>
          </w:p>
        </w:tc>
      </w:tr>
      <w:tr w:rsidR="00784991" w:rsidRPr="00784991" w:rsidTr="00784991">
        <w:trPr>
          <w:cantSplit/>
          <w:trHeight w:val="360"/>
        </w:trPr>
        <w:tc>
          <w:tcPr>
            <w:tcW w:w="2127" w:type="dxa"/>
            <w:tcBorders>
              <w:top w:val="single" w:sz="4" w:space="0" w:color="auto"/>
              <w:left w:val="single" w:sz="4" w:space="0" w:color="auto"/>
              <w:bottom w:val="single" w:sz="4" w:space="0" w:color="auto"/>
              <w:right w:val="single" w:sz="4" w:space="0" w:color="auto"/>
            </w:tcBorders>
          </w:tcPr>
          <w:p w:rsidR="00784991" w:rsidRPr="00784991" w:rsidRDefault="00784991" w:rsidP="00784991">
            <w:pPr>
              <w:rPr>
                <w:rFonts w:ascii="Arial Narrow" w:hAnsi="Arial Narrow"/>
                <w:b/>
                <w:snapToGrid/>
                <w:sz w:val="20"/>
                <w:lang w:eastAsia="en-AU"/>
              </w:rPr>
            </w:pPr>
            <w:r w:rsidRPr="00784991">
              <w:rPr>
                <w:rFonts w:ascii="Arial Narrow" w:hAnsi="Arial Narrow"/>
                <w:b/>
                <w:snapToGrid/>
                <w:sz w:val="20"/>
                <w:lang w:eastAsia="en-AU"/>
              </w:rPr>
              <w:t>PBS Indication:</w:t>
            </w:r>
          </w:p>
        </w:tc>
        <w:tc>
          <w:tcPr>
            <w:tcW w:w="7087" w:type="dxa"/>
            <w:tcBorders>
              <w:top w:val="single" w:sz="4" w:space="0" w:color="auto"/>
              <w:left w:val="single" w:sz="4" w:space="0" w:color="auto"/>
              <w:bottom w:val="single" w:sz="4" w:space="0" w:color="auto"/>
              <w:right w:val="single" w:sz="4" w:space="0" w:color="auto"/>
            </w:tcBorders>
          </w:tcPr>
          <w:p w:rsidR="00784991" w:rsidRPr="00784991" w:rsidRDefault="00784991" w:rsidP="00784991">
            <w:pPr>
              <w:jc w:val="left"/>
              <w:rPr>
                <w:rFonts w:ascii="Arial Narrow" w:hAnsi="Arial Narrow"/>
                <w:snapToGrid/>
                <w:sz w:val="20"/>
                <w:lang w:eastAsia="en-AU"/>
              </w:rPr>
            </w:pPr>
            <w:r>
              <w:rPr>
                <w:rFonts w:ascii="Arial Narrow" w:hAnsi="Arial Narrow"/>
                <w:snapToGrid/>
                <w:sz w:val="20"/>
                <w:lang w:eastAsia="en-AU"/>
              </w:rPr>
              <w:t>To be finalised</w:t>
            </w:r>
          </w:p>
        </w:tc>
      </w:tr>
      <w:tr w:rsidR="00784991" w:rsidRPr="00784991" w:rsidTr="00784991">
        <w:trPr>
          <w:cantSplit/>
          <w:trHeight w:val="360"/>
        </w:trPr>
        <w:tc>
          <w:tcPr>
            <w:tcW w:w="2127" w:type="dxa"/>
            <w:tcBorders>
              <w:top w:val="single" w:sz="4" w:space="0" w:color="auto"/>
              <w:left w:val="single" w:sz="4" w:space="0" w:color="auto"/>
              <w:bottom w:val="single" w:sz="4" w:space="0" w:color="auto"/>
              <w:right w:val="single" w:sz="4" w:space="0" w:color="auto"/>
            </w:tcBorders>
          </w:tcPr>
          <w:p w:rsidR="00784991" w:rsidRPr="00784991" w:rsidRDefault="00784991" w:rsidP="00784991">
            <w:pPr>
              <w:rPr>
                <w:rFonts w:ascii="Arial Narrow" w:hAnsi="Arial Narrow"/>
                <w:b/>
                <w:snapToGrid/>
                <w:sz w:val="20"/>
                <w:lang w:eastAsia="en-AU"/>
              </w:rPr>
            </w:pPr>
            <w:r w:rsidRPr="00784991">
              <w:rPr>
                <w:rFonts w:ascii="Arial Narrow" w:hAnsi="Arial Narrow"/>
                <w:b/>
                <w:snapToGrid/>
                <w:sz w:val="20"/>
                <w:lang w:eastAsia="en-AU"/>
              </w:rPr>
              <w:t>Treatment phase:</w:t>
            </w:r>
          </w:p>
          <w:p w:rsidR="00784991" w:rsidRPr="00784991" w:rsidRDefault="00784991" w:rsidP="00784991">
            <w:pPr>
              <w:rPr>
                <w:rFonts w:ascii="Arial Narrow" w:hAnsi="Arial Narrow"/>
                <w:i/>
                <w:snapToGrid/>
                <w:sz w:val="20"/>
                <w:lang w:eastAsia="en-AU"/>
              </w:rPr>
            </w:pPr>
          </w:p>
        </w:tc>
        <w:tc>
          <w:tcPr>
            <w:tcW w:w="7087" w:type="dxa"/>
            <w:tcBorders>
              <w:top w:val="single" w:sz="4" w:space="0" w:color="auto"/>
              <w:left w:val="single" w:sz="4" w:space="0" w:color="auto"/>
              <w:bottom w:val="single" w:sz="4" w:space="0" w:color="auto"/>
              <w:right w:val="single" w:sz="4" w:space="0" w:color="auto"/>
            </w:tcBorders>
          </w:tcPr>
          <w:p w:rsidR="00784991" w:rsidRPr="00784991" w:rsidRDefault="00784991" w:rsidP="00784991">
            <w:pPr>
              <w:jc w:val="left"/>
              <w:rPr>
                <w:rFonts w:ascii="Arial Narrow" w:hAnsi="Arial Narrow"/>
                <w:snapToGrid/>
                <w:sz w:val="20"/>
                <w:lang w:eastAsia="en-AU"/>
              </w:rPr>
            </w:pPr>
            <w:r>
              <w:rPr>
                <w:rFonts w:ascii="Arial Narrow" w:hAnsi="Arial Narrow"/>
                <w:snapToGrid/>
                <w:sz w:val="20"/>
                <w:lang w:eastAsia="en-AU"/>
              </w:rPr>
              <w:t>To be finalised</w:t>
            </w:r>
          </w:p>
        </w:tc>
      </w:tr>
      <w:tr w:rsidR="00784991" w:rsidRPr="00784991" w:rsidTr="00784991">
        <w:trPr>
          <w:cantSplit/>
          <w:trHeight w:val="360"/>
        </w:trPr>
        <w:tc>
          <w:tcPr>
            <w:tcW w:w="2127" w:type="dxa"/>
            <w:tcBorders>
              <w:top w:val="single" w:sz="4" w:space="0" w:color="auto"/>
              <w:left w:val="single" w:sz="4" w:space="0" w:color="auto"/>
              <w:bottom w:val="single" w:sz="4" w:space="0" w:color="auto"/>
              <w:right w:val="single" w:sz="4" w:space="0" w:color="auto"/>
            </w:tcBorders>
          </w:tcPr>
          <w:p w:rsidR="00784991" w:rsidRPr="00784991" w:rsidRDefault="00784991" w:rsidP="00784991">
            <w:pPr>
              <w:rPr>
                <w:rFonts w:ascii="Arial Narrow" w:hAnsi="Arial Narrow"/>
                <w:b/>
                <w:snapToGrid/>
                <w:sz w:val="20"/>
                <w:lang w:eastAsia="en-AU"/>
              </w:rPr>
            </w:pPr>
            <w:r w:rsidRPr="00784991">
              <w:rPr>
                <w:rFonts w:ascii="Arial Narrow" w:hAnsi="Arial Narrow"/>
                <w:b/>
                <w:snapToGrid/>
                <w:sz w:val="20"/>
                <w:lang w:eastAsia="en-AU"/>
              </w:rPr>
              <w:t>Restriction Level / Method:</w:t>
            </w:r>
          </w:p>
          <w:p w:rsidR="00784991" w:rsidRPr="00784991" w:rsidRDefault="00784991" w:rsidP="00784991">
            <w:pPr>
              <w:jc w:val="left"/>
              <w:rPr>
                <w:rFonts w:ascii="Arial Narrow" w:hAnsi="Arial Narrow"/>
                <w:i/>
                <w:snapToGrid/>
                <w:sz w:val="20"/>
                <w:highlight w:val="yellow"/>
                <w:lang w:eastAsia="en-AU"/>
              </w:rPr>
            </w:pPr>
          </w:p>
          <w:p w:rsidR="00784991" w:rsidRPr="00784991" w:rsidRDefault="00784991" w:rsidP="00784991">
            <w:pPr>
              <w:jc w:val="left"/>
              <w:rPr>
                <w:rFonts w:ascii="Arial Narrow" w:hAnsi="Arial Narrow"/>
                <w:i/>
                <w:snapToGrid/>
                <w:sz w:val="20"/>
                <w:lang w:eastAsia="en-AU"/>
              </w:rPr>
            </w:pPr>
          </w:p>
        </w:tc>
        <w:tc>
          <w:tcPr>
            <w:tcW w:w="7087" w:type="dxa"/>
            <w:tcBorders>
              <w:top w:val="single" w:sz="4" w:space="0" w:color="auto"/>
              <w:left w:val="single" w:sz="4" w:space="0" w:color="auto"/>
              <w:bottom w:val="single" w:sz="4" w:space="0" w:color="auto"/>
              <w:right w:val="single" w:sz="4" w:space="0" w:color="auto"/>
            </w:tcBorders>
          </w:tcPr>
          <w:p w:rsidR="00784991" w:rsidRPr="00784991" w:rsidRDefault="00784991" w:rsidP="00784991">
            <w:pPr>
              <w:jc w:val="left"/>
              <w:rPr>
                <w:rFonts w:ascii="Arial Narrow" w:hAnsi="Arial Narrow"/>
                <w:snapToGrid/>
                <w:sz w:val="20"/>
                <w:lang w:eastAsia="en-AU"/>
              </w:rPr>
            </w:pPr>
            <w:r w:rsidRPr="00784991">
              <w:rPr>
                <w:rFonts w:ascii="Arial Narrow" w:hAnsi="Arial Narrow"/>
                <w:snapToGrid/>
                <w:sz w:val="20"/>
                <w:lang w:eastAsia="en-AU"/>
              </w:rPr>
              <w:fldChar w:fldCharType="begin">
                <w:ffData>
                  <w:name w:val="Check1"/>
                  <w:enabled/>
                  <w:calcOnExit w:val="0"/>
                  <w:checkBox>
                    <w:sizeAuto/>
                    <w:default w:val="0"/>
                  </w:checkBox>
                </w:ffData>
              </w:fldChar>
            </w:r>
            <w:r w:rsidRPr="00784991">
              <w:rPr>
                <w:rFonts w:ascii="Arial Narrow" w:hAnsi="Arial Narrow"/>
                <w:snapToGrid/>
                <w:sz w:val="20"/>
                <w:lang w:eastAsia="en-AU"/>
              </w:rPr>
              <w:instrText xml:space="preserve"> FORMCHECKBOX </w:instrText>
            </w:r>
            <w:r w:rsidR="0095170B">
              <w:rPr>
                <w:rFonts w:ascii="Arial Narrow" w:hAnsi="Arial Narrow"/>
                <w:snapToGrid/>
                <w:sz w:val="20"/>
                <w:lang w:eastAsia="en-AU"/>
              </w:rPr>
            </w:r>
            <w:r w:rsidR="0095170B">
              <w:rPr>
                <w:rFonts w:ascii="Arial Narrow" w:hAnsi="Arial Narrow"/>
                <w:snapToGrid/>
                <w:sz w:val="20"/>
                <w:lang w:eastAsia="en-AU"/>
              </w:rPr>
              <w:fldChar w:fldCharType="separate"/>
            </w:r>
            <w:r w:rsidRPr="00784991">
              <w:rPr>
                <w:rFonts w:ascii="Arial Narrow" w:hAnsi="Arial Narrow"/>
                <w:snapToGrid/>
                <w:sz w:val="20"/>
                <w:lang w:eastAsia="en-AU"/>
              </w:rPr>
              <w:fldChar w:fldCharType="end"/>
            </w:r>
            <w:r w:rsidRPr="00784991">
              <w:rPr>
                <w:rFonts w:ascii="Arial Narrow" w:hAnsi="Arial Narrow"/>
                <w:snapToGrid/>
                <w:sz w:val="20"/>
                <w:lang w:eastAsia="en-AU"/>
              </w:rPr>
              <w:t>Restricted benefit</w:t>
            </w:r>
          </w:p>
          <w:p w:rsidR="00784991" w:rsidRPr="00784991" w:rsidRDefault="00784991" w:rsidP="00784991">
            <w:pPr>
              <w:jc w:val="left"/>
              <w:rPr>
                <w:rFonts w:ascii="Arial Narrow" w:hAnsi="Arial Narrow"/>
                <w:snapToGrid/>
                <w:sz w:val="20"/>
                <w:lang w:eastAsia="en-AU"/>
              </w:rPr>
            </w:pPr>
            <w:r>
              <w:rPr>
                <w:rFonts w:ascii="Arial Narrow" w:hAnsi="Arial Narrow"/>
                <w:snapToGrid/>
                <w:sz w:val="20"/>
                <w:lang w:eastAsia="en-AU"/>
              </w:rPr>
              <w:fldChar w:fldCharType="begin">
                <w:ffData>
                  <w:name w:val=""/>
                  <w:enabled/>
                  <w:calcOnExit w:val="0"/>
                  <w:checkBox>
                    <w:sizeAuto/>
                    <w:default w:val="1"/>
                  </w:checkBox>
                </w:ffData>
              </w:fldChar>
            </w:r>
            <w:r>
              <w:rPr>
                <w:rFonts w:ascii="Arial Narrow" w:hAnsi="Arial Narrow"/>
                <w:snapToGrid/>
                <w:sz w:val="20"/>
                <w:lang w:eastAsia="en-AU"/>
              </w:rPr>
              <w:instrText xml:space="preserve"> FORMCHECKBOX </w:instrText>
            </w:r>
            <w:r w:rsidR="0095170B">
              <w:rPr>
                <w:rFonts w:ascii="Arial Narrow" w:hAnsi="Arial Narrow"/>
                <w:snapToGrid/>
                <w:sz w:val="20"/>
                <w:lang w:eastAsia="en-AU"/>
              </w:rPr>
            </w:r>
            <w:r w:rsidR="0095170B">
              <w:rPr>
                <w:rFonts w:ascii="Arial Narrow" w:hAnsi="Arial Narrow"/>
                <w:snapToGrid/>
                <w:sz w:val="20"/>
                <w:lang w:eastAsia="en-AU"/>
              </w:rPr>
              <w:fldChar w:fldCharType="separate"/>
            </w:r>
            <w:r>
              <w:rPr>
                <w:rFonts w:ascii="Arial Narrow" w:hAnsi="Arial Narrow"/>
                <w:snapToGrid/>
                <w:sz w:val="20"/>
                <w:lang w:eastAsia="en-AU"/>
              </w:rPr>
              <w:fldChar w:fldCharType="end"/>
            </w:r>
            <w:r w:rsidRPr="00784991">
              <w:rPr>
                <w:rFonts w:ascii="Arial Narrow" w:hAnsi="Arial Narrow"/>
                <w:snapToGrid/>
                <w:sz w:val="20"/>
                <w:lang w:eastAsia="en-AU"/>
              </w:rPr>
              <w:t>Authority Required - In Writing</w:t>
            </w:r>
          </w:p>
          <w:p w:rsidR="00784991" w:rsidRPr="00784991" w:rsidRDefault="00784991" w:rsidP="00784991">
            <w:pPr>
              <w:jc w:val="left"/>
              <w:rPr>
                <w:rFonts w:ascii="Arial Narrow" w:hAnsi="Arial Narrow"/>
                <w:snapToGrid/>
                <w:sz w:val="20"/>
                <w:lang w:eastAsia="en-AU"/>
              </w:rPr>
            </w:pPr>
            <w:r w:rsidRPr="00784991">
              <w:rPr>
                <w:rFonts w:ascii="Arial Narrow" w:hAnsi="Arial Narrow"/>
                <w:snapToGrid/>
                <w:sz w:val="20"/>
                <w:lang w:eastAsia="en-AU"/>
              </w:rPr>
              <w:fldChar w:fldCharType="begin">
                <w:ffData>
                  <w:name w:val="Check3"/>
                  <w:enabled/>
                  <w:calcOnExit w:val="0"/>
                  <w:checkBox>
                    <w:sizeAuto/>
                    <w:default w:val="0"/>
                  </w:checkBox>
                </w:ffData>
              </w:fldChar>
            </w:r>
            <w:r w:rsidRPr="00784991">
              <w:rPr>
                <w:rFonts w:ascii="Arial Narrow" w:hAnsi="Arial Narrow"/>
                <w:snapToGrid/>
                <w:sz w:val="20"/>
                <w:lang w:eastAsia="en-AU"/>
              </w:rPr>
              <w:instrText xml:space="preserve"> FORMCHECKBOX </w:instrText>
            </w:r>
            <w:r w:rsidR="0095170B">
              <w:rPr>
                <w:rFonts w:ascii="Arial Narrow" w:hAnsi="Arial Narrow"/>
                <w:snapToGrid/>
                <w:sz w:val="20"/>
                <w:lang w:eastAsia="en-AU"/>
              </w:rPr>
            </w:r>
            <w:r w:rsidR="0095170B">
              <w:rPr>
                <w:rFonts w:ascii="Arial Narrow" w:hAnsi="Arial Narrow"/>
                <w:snapToGrid/>
                <w:sz w:val="20"/>
                <w:lang w:eastAsia="en-AU"/>
              </w:rPr>
              <w:fldChar w:fldCharType="separate"/>
            </w:r>
            <w:r w:rsidRPr="00784991">
              <w:rPr>
                <w:rFonts w:ascii="Arial Narrow" w:hAnsi="Arial Narrow"/>
                <w:snapToGrid/>
                <w:sz w:val="20"/>
                <w:lang w:eastAsia="en-AU"/>
              </w:rPr>
              <w:fldChar w:fldCharType="end"/>
            </w:r>
            <w:r w:rsidRPr="00784991">
              <w:rPr>
                <w:rFonts w:ascii="Arial Narrow" w:hAnsi="Arial Narrow"/>
                <w:snapToGrid/>
                <w:sz w:val="20"/>
                <w:lang w:eastAsia="en-AU"/>
              </w:rPr>
              <w:t>Authority Required - Telephone</w:t>
            </w:r>
          </w:p>
          <w:p w:rsidR="00784991" w:rsidRPr="00784991" w:rsidRDefault="00784991" w:rsidP="00784991">
            <w:pPr>
              <w:jc w:val="left"/>
              <w:rPr>
                <w:rFonts w:ascii="Arial Narrow" w:hAnsi="Arial Narrow"/>
                <w:snapToGrid/>
                <w:sz w:val="20"/>
                <w:lang w:eastAsia="en-AU"/>
              </w:rPr>
            </w:pPr>
            <w:r w:rsidRPr="00784991">
              <w:rPr>
                <w:rFonts w:ascii="Arial Narrow" w:hAnsi="Arial Narrow"/>
                <w:snapToGrid/>
                <w:sz w:val="20"/>
                <w:lang w:eastAsia="en-AU"/>
              </w:rPr>
              <w:fldChar w:fldCharType="begin">
                <w:ffData>
                  <w:name w:val=""/>
                  <w:enabled/>
                  <w:calcOnExit w:val="0"/>
                  <w:checkBox>
                    <w:sizeAuto/>
                    <w:default w:val="0"/>
                  </w:checkBox>
                </w:ffData>
              </w:fldChar>
            </w:r>
            <w:r w:rsidRPr="00784991">
              <w:rPr>
                <w:rFonts w:ascii="Arial Narrow" w:hAnsi="Arial Narrow"/>
                <w:snapToGrid/>
                <w:sz w:val="20"/>
                <w:lang w:eastAsia="en-AU"/>
              </w:rPr>
              <w:instrText xml:space="preserve"> FORMCHECKBOX </w:instrText>
            </w:r>
            <w:r w:rsidR="0095170B">
              <w:rPr>
                <w:rFonts w:ascii="Arial Narrow" w:hAnsi="Arial Narrow"/>
                <w:snapToGrid/>
                <w:sz w:val="20"/>
                <w:lang w:eastAsia="en-AU"/>
              </w:rPr>
            </w:r>
            <w:r w:rsidR="0095170B">
              <w:rPr>
                <w:rFonts w:ascii="Arial Narrow" w:hAnsi="Arial Narrow"/>
                <w:snapToGrid/>
                <w:sz w:val="20"/>
                <w:lang w:eastAsia="en-AU"/>
              </w:rPr>
              <w:fldChar w:fldCharType="separate"/>
            </w:r>
            <w:r w:rsidRPr="00784991">
              <w:rPr>
                <w:rFonts w:ascii="Arial Narrow" w:hAnsi="Arial Narrow"/>
                <w:snapToGrid/>
                <w:sz w:val="20"/>
                <w:lang w:eastAsia="en-AU"/>
              </w:rPr>
              <w:fldChar w:fldCharType="end"/>
            </w:r>
            <w:r w:rsidRPr="00784991">
              <w:rPr>
                <w:rFonts w:ascii="Arial Narrow" w:hAnsi="Arial Narrow"/>
                <w:snapToGrid/>
                <w:sz w:val="20"/>
                <w:lang w:eastAsia="en-AU"/>
              </w:rPr>
              <w:t>Authority Required – Emergency</w:t>
            </w:r>
          </w:p>
          <w:p w:rsidR="00784991" w:rsidRPr="00784991" w:rsidRDefault="00784991" w:rsidP="00784991">
            <w:pPr>
              <w:jc w:val="left"/>
              <w:rPr>
                <w:rFonts w:ascii="Arial Narrow" w:hAnsi="Arial Narrow"/>
                <w:snapToGrid/>
                <w:sz w:val="20"/>
                <w:lang w:eastAsia="en-AU"/>
              </w:rPr>
            </w:pPr>
            <w:r w:rsidRPr="00784991">
              <w:rPr>
                <w:rFonts w:ascii="Arial Narrow" w:hAnsi="Arial Narrow"/>
                <w:snapToGrid/>
                <w:sz w:val="20"/>
                <w:lang w:eastAsia="en-AU"/>
              </w:rPr>
              <w:fldChar w:fldCharType="begin">
                <w:ffData>
                  <w:name w:val="Check5"/>
                  <w:enabled/>
                  <w:calcOnExit w:val="0"/>
                  <w:checkBox>
                    <w:sizeAuto/>
                    <w:default w:val="0"/>
                  </w:checkBox>
                </w:ffData>
              </w:fldChar>
            </w:r>
            <w:r w:rsidRPr="00784991">
              <w:rPr>
                <w:rFonts w:ascii="Arial Narrow" w:hAnsi="Arial Narrow"/>
                <w:snapToGrid/>
                <w:sz w:val="20"/>
                <w:lang w:eastAsia="en-AU"/>
              </w:rPr>
              <w:instrText xml:space="preserve"> FORMCHECKBOX </w:instrText>
            </w:r>
            <w:r w:rsidR="0095170B">
              <w:rPr>
                <w:rFonts w:ascii="Arial Narrow" w:hAnsi="Arial Narrow"/>
                <w:snapToGrid/>
                <w:sz w:val="20"/>
                <w:lang w:eastAsia="en-AU"/>
              </w:rPr>
            </w:r>
            <w:r w:rsidR="0095170B">
              <w:rPr>
                <w:rFonts w:ascii="Arial Narrow" w:hAnsi="Arial Narrow"/>
                <w:snapToGrid/>
                <w:sz w:val="20"/>
                <w:lang w:eastAsia="en-AU"/>
              </w:rPr>
              <w:fldChar w:fldCharType="separate"/>
            </w:r>
            <w:r w:rsidRPr="00784991">
              <w:rPr>
                <w:rFonts w:ascii="Arial Narrow" w:hAnsi="Arial Narrow"/>
                <w:snapToGrid/>
                <w:sz w:val="20"/>
                <w:lang w:eastAsia="en-AU"/>
              </w:rPr>
              <w:fldChar w:fldCharType="end"/>
            </w:r>
            <w:r w:rsidRPr="00784991">
              <w:rPr>
                <w:rFonts w:ascii="Arial Narrow" w:hAnsi="Arial Narrow"/>
                <w:snapToGrid/>
                <w:sz w:val="20"/>
                <w:lang w:eastAsia="en-AU"/>
              </w:rPr>
              <w:t>Authority Required - Electronic</w:t>
            </w:r>
          </w:p>
          <w:p w:rsidR="00784991" w:rsidRDefault="00784991" w:rsidP="00784991">
            <w:pPr>
              <w:jc w:val="left"/>
              <w:rPr>
                <w:rFonts w:ascii="Arial Narrow" w:hAnsi="Arial Narrow"/>
                <w:snapToGrid/>
                <w:sz w:val="20"/>
                <w:lang w:eastAsia="en-AU"/>
              </w:rPr>
            </w:pPr>
            <w:r w:rsidRPr="00784991">
              <w:rPr>
                <w:rFonts w:ascii="Arial Narrow" w:hAnsi="Arial Narrow"/>
                <w:snapToGrid/>
                <w:sz w:val="20"/>
                <w:lang w:eastAsia="en-AU"/>
              </w:rPr>
              <w:fldChar w:fldCharType="begin">
                <w:ffData>
                  <w:name w:val="Check5"/>
                  <w:enabled/>
                  <w:calcOnExit w:val="0"/>
                  <w:checkBox>
                    <w:sizeAuto/>
                    <w:default w:val="0"/>
                  </w:checkBox>
                </w:ffData>
              </w:fldChar>
            </w:r>
            <w:r w:rsidRPr="00784991">
              <w:rPr>
                <w:rFonts w:ascii="Arial Narrow" w:hAnsi="Arial Narrow"/>
                <w:snapToGrid/>
                <w:sz w:val="20"/>
                <w:lang w:eastAsia="en-AU"/>
              </w:rPr>
              <w:instrText xml:space="preserve"> FORMCHECKBOX </w:instrText>
            </w:r>
            <w:r w:rsidR="0095170B">
              <w:rPr>
                <w:rFonts w:ascii="Arial Narrow" w:hAnsi="Arial Narrow"/>
                <w:snapToGrid/>
                <w:sz w:val="20"/>
                <w:lang w:eastAsia="en-AU"/>
              </w:rPr>
            </w:r>
            <w:r w:rsidR="0095170B">
              <w:rPr>
                <w:rFonts w:ascii="Arial Narrow" w:hAnsi="Arial Narrow"/>
                <w:snapToGrid/>
                <w:sz w:val="20"/>
                <w:lang w:eastAsia="en-AU"/>
              </w:rPr>
              <w:fldChar w:fldCharType="separate"/>
            </w:r>
            <w:r w:rsidRPr="00784991">
              <w:rPr>
                <w:rFonts w:ascii="Arial Narrow" w:hAnsi="Arial Narrow"/>
                <w:snapToGrid/>
                <w:sz w:val="20"/>
                <w:lang w:eastAsia="en-AU"/>
              </w:rPr>
              <w:fldChar w:fldCharType="end"/>
            </w:r>
            <w:r w:rsidRPr="00784991">
              <w:rPr>
                <w:rFonts w:ascii="Arial Narrow" w:hAnsi="Arial Narrow"/>
                <w:snapToGrid/>
                <w:sz w:val="20"/>
                <w:lang w:eastAsia="en-AU"/>
              </w:rPr>
              <w:t>Streamlined</w:t>
            </w:r>
          </w:p>
          <w:p w:rsidR="00784991" w:rsidRPr="00784991" w:rsidRDefault="00784991" w:rsidP="00784991">
            <w:pPr>
              <w:jc w:val="left"/>
              <w:rPr>
                <w:rFonts w:ascii="Arial Narrow" w:hAnsi="Arial Narrow"/>
                <w:snapToGrid/>
                <w:sz w:val="20"/>
                <w:lang w:eastAsia="en-AU"/>
              </w:rPr>
            </w:pPr>
          </w:p>
        </w:tc>
      </w:tr>
      <w:tr w:rsidR="00784991" w:rsidRPr="00784991" w:rsidTr="00784991">
        <w:trPr>
          <w:cantSplit/>
          <w:trHeight w:val="360"/>
        </w:trPr>
        <w:tc>
          <w:tcPr>
            <w:tcW w:w="2127" w:type="dxa"/>
            <w:tcBorders>
              <w:top w:val="single" w:sz="4" w:space="0" w:color="auto"/>
              <w:left w:val="single" w:sz="4" w:space="0" w:color="auto"/>
              <w:bottom w:val="single" w:sz="4" w:space="0" w:color="auto"/>
              <w:right w:val="single" w:sz="4" w:space="0" w:color="auto"/>
            </w:tcBorders>
          </w:tcPr>
          <w:p w:rsidR="00784991" w:rsidRPr="00784991" w:rsidRDefault="00784991" w:rsidP="00784991">
            <w:pPr>
              <w:jc w:val="left"/>
              <w:rPr>
                <w:rFonts w:ascii="Arial Narrow" w:hAnsi="Arial Narrow"/>
                <w:b/>
                <w:snapToGrid/>
                <w:sz w:val="20"/>
                <w:lang w:eastAsia="en-AU"/>
              </w:rPr>
            </w:pPr>
            <w:r w:rsidRPr="00784991">
              <w:rPr>
                <w:rFonts w:ascii="Arial Narrow" w:hAnsi="Arial Narrow"/>
                <w:b/>
                <w:snapToGrid/>
                <w:sz w:val="20"/>
                <w:lang w:eastAsia="en-AU"/>
              </w:rPr>
              <w:t>Treatment criteria:</w:t>
            </w:r>
          </w:p>
          <w:p w:rsidR="00784991" w:rsidRPr="00784991" w:rsidRDefault="00784991" w:rsidP="00784991">
            <w:pPr>
              <w:jc w:val="left"/>
              <w:rPr>
                <w:rFonts w:ascii="Arial Narrow" w:hAnsi="Arial Narrow"/>
                <w:snapToGrid/>
                <w:sz w:val="20"/>
                <w:lang w:eastAsia="en-AU"/>
              </w:rPr>
            </w:pPr>
          </w:p>
        </w:tc>
        <w:tc>
          <w:tcPr>
            <w:tcW w:w="7087" w:type="dxa"/>
            <w:tcBorders>
              <w:top w:val="single" w:sz="4" w:space="0" w:color="auto"/>
              <w:left w:val="single" w:sz="4" w:space="0" w:color="auto"/>
              <w:bottom w:val="single" w:sz="4" w:space="0" w:color="auto"/>
              <w:right w:val="single" w:sz="4" w:space="0" w:color="auto"/>
            </w:tcBorders>
          </w:tcPr>
          <w:p w:rsidR="00784991" w:rsidRPr="00784991" w:rsidRDefault="00784991" w:rsidP="00784991">
            <w:pPr>
              <w:jc w:val="left"/>
              <w:rPr>
                <w:rFonts w:ascii="Arial Narrow" w:hAnsi="Arial Narrow"/>
                <w:snapToGrid/>
                <w:sz w:val="20"/>
                <w:lang w:eastAsia="en-AU"/>
              </w:rPr>
            </w:pPr>
            <w:r>
              <w:rPr>
                <w:rFonts w:ascii="Arial Narrow" w:hAnsi="Arial Narrow"/>
                <w:snapToGrid/>
                <w:sz w:val="20"/>
                <w:lang w:eastAsia="en-AU"/>
              </w:rPr>
              <w:t>To be finalised</w:t>
            </w:r>
          </w:p>
        </w:tc>
      </w:tr>
      <w:tr w:rsidR="00784991" w:rsidRPr="00784991" w:rsidTr="00784991">
        <w:trPr>
          <w:cantSplit/>
          <w:trHeight w:val="360"/>
        </w:trPr>
        <w:tc>
          <w:tcPr>
            <w:tcW w:w="2127" w:type="dxa"/>
            <w:tcBorders>
              <w:top w:val="single" w:sz="4" w:space="0" w:color="auto"/>
              <w:left w:val="single" w:sz="4" w:space="0" w:color="auto"/>
              <w:bottom w:val="single" w:sz="4" w:space="0" w:color="auto"/>
              <w:right w:val="single" w:sz="4" w:space="0" w:color="auto"/>
            </w:tcBorders>
          </w:tcPr>
          <w:p w:rsidR="00784991" w:rsidRPr="00784991" w:rsidRDefault="00784991" w:rsidP="00784991">
            <w:pPr>
              <w:rPr>
                <w:rFonts w:ascii="Arial Narrow" w:hAnsi="Arial Narrow"/>
                <w:snapToGrid/>
                <w:sz w:val="20"/>
                <w:lang w:eastAsia="en-AU"/>
              </w:rPr>
            </w:pPr>
            <w:r w:rsidRPr="00784991">
              <w:rPr>
                <w:rFonts w:ascii="Arial Narrow" w:hAnsi="Arial Narrow"/>
                <w:b/>
                <w:snapToGrid/>
                <w:sz w:val="20"/>
                <w:lang w:eastAsia="en-AU"/>
              </w:rPr>
              <w:lastRenderedPageBreak/>
              <w:t>Clinical criteria:</w:t>
            </w:r>
          </w:p>
        </w:tc>
        <w:tc>
          <w:tcPr>
            <w:tcW w:w="7087" w:type="dxa"/>
            <w:tcBorders>
              <w:top w:val="single" w:sz="4" w:space="0" w:color="auto"/>
              <w:left w:val="single" w:sz="4" w:space="0" w:color="auto"/>
              <w:bottom w:val="single" w:sz="4" w:space="0" w:color="auto"/>
              <w:right w:val="single" w:sz="4" w:space="0" w:color="auto"/>
            </w:tcBorders>
          </w:tcPr>
          <w:p w:rsidR="00784991" w:rsidRPr="00784991" w:rsidRDefault="00784991" w:rsidP="00784991">
            <w:pPr>
              <w:jc w:val="left"/>
              <w:rPr>
                <w:rFonts w:ascii="Arial Narrow" w:hAnsi="Arial Narrow"/>
                <w:snapToGrid/>
                <w:sz w:val="20"/>
                <w:lang w:eastAsia="en-AU"/>
              </w:rPr>
            </w:pPr>
            <w:r>
              <w:rPr>
                <w:rFonts w:ascii="Arial Narrow" w:hAnsi="Arial Narrow"/>
                <w:snapToGrid/>
                <w:sz w:val="20"/>
                <w:lang w:eastAsia="en-AU"/>
              </w:rPr>
              <w:t>To be finalised</w:t>
            </w:r>
          </w:p>
          <w:p w:rsidR="00784991" w:rsidRPr="00784991" w:rsidRDefault="00784991" w:rsidP="00784991">
            <w:pPr>
              <w:rPr>
                <w:rFonts w:ascii="Arial Narrow" w:hAnsi="Arial Narrow"/>
                <w:snapToGrid/>
                <w:sz w:val="20"/>
                <w:lang w:eastAsia="en-AU"/>
              </w:rPr>
            </w:pPr>
          </w:p>
        </w:tc>
      </w:tr>
      <w:tr w:rsidR="00784991" w:rsidRPr="00784991" w:rsidTr="00784991">
        <w:trPr>
          <w:cantSplit/>
          <w:trHeight w:val="360"/>
        </w:trPr>
        <w:tc>
          <w:tcPr>
            <w:tcW w:w="2127" w:type="dxa"/>
            <w:tcBorders>
              <w:top w:val="single" w:sz="4" w:space="0" w:color="auto"/>
              <w:left w:val="single" w:sz="4" w:space="0" w:color="auto"/>
              <w:bottom w:val="single" w:sz="4" w:space="0" w:color="auto"/>
              <w:right w:val="single" w:sz="4" w:space="0" w:color="auto"/>
            </w:tcBorders>
          </w:tcPr>
          <w:p w:rsidR="00784991" w:rsidRPr="00784991" w:rsidRDefault="00784991" w:rsidP="00784991">
            <w:pPr>
              <w:rPr>
                <w:rFonts w:ascii="Arial Narrow" w:hAnsi="Arial Narrow"/>
                <w:snapToGrid/>
                <w:sz w:val="20"/>
                <w:lang w:eastAsia="en-AU"/>
              </w:rPr>
            </w:pPr>
            <w:r w:rsidRPr="00784991">
              <w:rPr>
                <w:rFonts w:ascii="Arial Narrow" w:hAnsi="Arial Narrow"/>
                <w:b/>
                <w:snapToGrid/>
                <w:sz w:val="20"/>
                <w:lang w:eastAsia="en-AU"/>
              </w:rPr>
              <w:t>Population criteria:</w:t>
            </w:r>
          </w:p>
        </w:tc>
        <w:tc>
          <w:tcPr>
            <w:tcW w:w="7087" w:type="dxa"/>
            <w:tcBorders>
              <w:top w:val="single" w:sz="4" w:space="0" w:color="auto"/>
              <w:left w:val="single" w:sz="4" w:space="0" w:color="auto"/>
              <w:bottom w:val="single" w:sz="4" w:space="0" w:color="auto"/>
              <w:right w:val="single" w:sz="4" w:space="0" w:color="auto"/>
            </w:tcBorders>
          </w:tcPr>
          <w:p w:rsidR="00784991" w:rsidRPr="00784991" w:rsidRDefault="00784991" w:rsidP="00784991">
            <w:pPr>
              <w:jc w:val="left"/>
              <w:rPr>
                <w:rFonts w:ascii="Arial Narrow" w:hAnsi="Arial Narrow"/>
                <w:snapToGrid/>
                <w:sz w:val="20"/>
                <w:lang w:eastAsia="en-AU"/>
              </w:rPr>
            </w:pPr>
            <w:r>
              <w:rPr>
                <w:rFonts w:ascii="Arial Narrow" w:hAnsi="Arial Narrow"/>
                <w:snapToGrid/>
                <w:sz w:val="20"/>
                <w:lang w:eastAsia="en-AU"/>
              </w:rPr>
              <w:t>To be finalised</w:t>
            </w:r>
          </w:p>
          <w:p w:rsidR="00784991" w:rsidRPr="00784991" w:rsidRDefault="00784991" w:rsidP="00784991">
            <w:pPr>
              <w:rPr>
                <w:rFonts w:ascii="Arial Narrow" w:hAnsi="Arial Narrow"/>
                <w:snapToGrid/>
                <w:sz w:val="20"/>
                <w:lang w:eastAsia="en-AU"/>
              </w:rPr>
            </w:pPr>
          </w:p>
        </w:tc>
      </w:tr>
      <w:tr w:rsidR="00784991" w:rsidRPr="00784991" w:rsidTr="00784991">
        <w:trPr>
          <w:cantSplit/>
          <w:trHeight w:val="360"/>
        </w:trPr>
        <w:tc>
          <w:tcPr>
            <w:tcW w:w="2127" w:type="dxa"/>
            <w:tcBorders>
              <w:top w:val="single" w:sz="4" w:space="0" w:color="auto"/>
              <w:left w:val="single" w:sz="4" w:space="0" w:color="auto"/>
              <w:bottom w:val="single" w:sz="4" w:space="0" w:color="auto"/>
              <w:right w:val="single" w:sz="4" w:space="0" w:color="auto"/>
            </w:tcBorders>
          </w:tcPr>
          <w:p w:rsidR="00784991" w:rsidRPr="00784991" w:rsidRDefault="00784991" w:rsidP="00784991">
            <w:pPr>
              <w:rPr>
                <w:rFonts w:ascii="Arial Narrow" w:hAnsi="Arial Narrow"/>
                <w:b/>
                <w:snapToGrid/>
                <w:sz w:val="20"/>
                <w:lang w:eastAsia="en-AU"/>
              </w:rPr>
            </w:pPr>
            <w:r w:rsidRPr="00784991">
              <w:rPr>
                <w:rFonts w:ascii="Arial Narrow" w:hAnsi="Arial Narrow"/>
                <w:b/>
                <w:snapToGrid/>
                <w:sz w:val="20"/>
                <w:lang w:eastAsia="en-AU"/>
              </w:rPr>
              <w:t>Prescriber Instructions</w:t>
            </w:r>
          </w:p>
          <w:p w:rsidR="00784991" w:rsidRPr="00784991" w:rsidRDefault="00784991" w:rsidP="00784991">
            <w:pPr>
              <w:rPr>
                <w:rFonts w:ascii="Arial Narrow" w:hAnsi="Arial Narrow"/>
                <w:snapToGrid/>
                <w:sz w:val="20"/>
                <w:lang w:eastAsia="en-AU"/>
              </w:rPr>
            </w:pPr>
          </w:p>
        </w:tc>
        <w:tc>
          <w:tcPr>
            <w:tcW w:w="7087" w:type="dxa"/>
            <w:tcBorders>
              <w:top w:val="single" w:sz="4" w:space="0" w:color="auto"/>
              <w:left w:val="single" w:sz="4" w:space="0" w:color="auto"/>
              <w:bottom w:val="single" w:sz="4" w:space="0" w:color="auto"/>
              <w:right w:val="single" w:sz="4" w:space="0" w:color="auto"/>
            </w:tcBorders>
          </w:tcPr>
          <w:p w:rsidR="00784991" w:rsidRPr="00784991" w:rsidRDefault="00784991" w:rsidP="00784991">
            <w:pPr>
              <w:jc w:val="left"/>
              <w:rPr>
                <w:rFonts w:ascii="Arial Narrow" w:hAnsi="Arial Narrow"/>
                <w:snapToGrid/>
                <w:sz w:val="20"/>
                <w:lang w:eastAsia="en-AU"/>
              </w:rPr>
            </w:pPr>
            <w:r>
              <w:rPr>
                <w:rFonts w:ascii="Arial Narrow" w:hAnsi="Arial Narrow"/>
                <w:snapToGrid/>
                <w:sz w:val="20"/>
                <w:lang w:eastAsia="en-AU"/>
              </w:rPr>
              <w:t>To be finalised</w:t>
            </w:r>
          </w:p>
        </w:tc>
      </w:tr>
      <w:tr w:rsidR="00784991" w:rsidRPr="00784991" w:rsidTr="00784991">
        <w:trPr>
          <w:cantSplit/>
          <w:trHeight w:val="360"/>
        </w:trPr>
        <w:tc>
          <w:tcPr>
            <w:tcW w:w="2127" w:type="dxa"/>
            <w:tcBorders>
              <w:top w:val="single" w:sz="4" w:space="0" w:color="auto"/>
              <w:left w:val="single" w:sz="4" w:space="0" w:color="auto"/>
              <w:bottom w:val="single" w:sz="4" w:space="0" w:color="auto"/>
              <w:right w:val="single" w:sz="4" w:space="0" w:color="auto"/>
            </w:tcBorders>
          </w:tcPr>
          <w:p w:rsidR="00784991" w:rsidRPr="00784991" w:rsidRDefault="00784991" w:rsidP="00784991">
            <w:pPr>
              <w:rPr>
                <w:rFonts w:ascii="Arial Narrow" w:hAnsi="Arial Narrow"/>
                <w:b/>
                <w:snapToGrid/>
                <w:sz w:val="20"/>
                <w:lang w:eastAsia="en-AU"/>
              </w:rPr>
            </w:pPr>
            <w:r w:rsidRPr="00784991">
              <w:rPr>
                <w:rFonts w:ascii="Arial Narrow" w:hAnsi="Arial Narrow"/>
                <w:b/>
                <w:snapToGrid/>
                <w:sz w:val="20"/>
                <w:lang w:eastAsia="en-AU"/>
              </w:rPr>
              <w:t>Administrative Advice</w:t>
            </w:r>
          </w:p>
          <w:p w:rsidR="00784991" w:rsidRPr="00784991" w:rsidRDefault="00784991" w:rsidP="00784991">
            <w:pPr>
              <w:rPr>
                <w:rFonts w:ascii="Arial Narrow" w:hAnsi="Arial Narrow"/>
                <w:i/>
                <w:snapToGrid/>
                <w:sz w:val="20"/>
                <w:lang w:eastAsia="en-AU"/>
              </w:rPr>
            </w:pPr>
          </w:p>
        </w:tc>
        <w:tc>
          <w:tcPr>
            <w:tcW w:w="7087" w:type="dxa"/>
            <w:tcBorders>
              <w:top w:val="single" w:sz="4" w:space="0" w:color="auto"/>
              <w:left w:val="single" w:sz="4" w:space="0" w:color="auto"/>
              <w:bottom w:val="single" w:sz="4" w:space="0" w:color="auto"/>
              <w:right w:val="single" w:sz="4" w:space="0" w:color="auto"/>
            </w:tcBorders>
          </w:tcPr>
          <w:p w:rsidR="00784991" w:rsidRDefault="00784991" w:rsidP="00784991">
            <w:pPr>
              <w:jc w:val="left"/>
              <w:rPr>
                <w:rFonts w:ascii="Arial Narrow" w:hAnsi="Arial Narrow"/>
                <w:snapToGrid/>
                <w:sz w:val="20"/>
                <w:lang w:eastAsia="en-AU"/>
              </w:rPr>
            </w:pPr>
            <w:r>
              <w:rPr>
                <w:rFonts w:ascii="Arial Narrow" w:hAnsi="Arial Narrow"/>
                <w:snapToGrid/>
                <w:sz w:val="20"/>
                <w:lang w:eastAsia="en-AU"/>
              </w:rPr>
              <w:t>To be finalised</w:t>
            </w:r>
          </w:p>
          <w:p w:rsidR="00D22B8B" w:rsidRDefault="00D22B8B" w:rsidP="00784991">
            <w:pPr>
              <w:jc w:val="left"/>
              <w:rPr>
                <w:rFonts w:ascii="Arial Narrow" w:hAnsi="Arial Narrow"/>
                <w:snapToGrid/>
                <w:sz w:val="20"/>
                <w:lang w:eastAsia="en-AU"/>
              </w:rPr>
            </w:pPr>
          </w:p>
          <w:p w:rsidR="00D22B8B" w:rsidRDefault="00D22B8B" w:rsidP="00784991">
            <w:pPr>
              <w:jc w:val="left"/>
              <w:rPr>
                <w:rFonts w:ascii="Arial Narrow" w:hAnsi="Arial Narrow"/>
                <w:snapToGrid/>
                <w:sz w:val="20"/>
                <w:lang w:eastAsia="en-AU"/>
              </w:rPr>
            </w:pPr>
            <w:r w:rsidRPr="00D22B8B">
              <w:rPr>
                <w:rFonts w:ascii="Arial Narrow" w:hAnsi="Arial Narrow"/>
                <w:snapToGrid/>
                <w:sz w:val="20"/>
                <w:u w:val="single"/>
                <w:lang w:eastAsia="en-AU"/>
              </w:rPr>
              <w:t>NOTE</w:t>
            </w:r>
            <w:r>
              <w:rPr>
                <w:rFonts w:ascii="Arial Narrow" w:hAnsi="Arial Narrow"/>
                <w:snapToGrid/>
                <w:sz w:val="20"/>
                <w:lang w:eastAsia="en-AU"/>
              </w:rPr>
              <w:t>:</w:t>
            </w:r>
          </w:p>
          <w:p w:rsidR="00D22B8B" w:rsidRDefault="00D22B8B" w:rsidP="00784991">
            <w:pPr>
              <w:jc w:val="left"/>
              <w:rPr>
                <w:rFonts w:ascii="Arial Narrow" w:hAnsi="Arial Narrow"/>
                <w:snapToGrid/>
                <w:sz w:val="20"/>
                <w:lang w:eastAsia="en-AU"/>
              </w:rPr>
            </w:pPr>
            <w:r>
              <w:rPr>
                <w:rFonts w:ascii="Arial Narrow" w:hAnsi="Arial Narrow"/>
                <w:snapToGrid/>
                <w:sz w:val="20"/>
                <w:lang w:eastAsia="en-AU"/>
              </w:rPr>
              <w:t>Special pricing arrangements apply</w:t>
            </w:r>
          </w:p>
          <w:p w:rsidR="00D22B8B" w:rsidRPr="00784991" w:rsidRDefault="00D22B8B" w:rsidP="00784991">
            <w:pPr>
              <w:jc w:val="left"/>
              <w:rPr>
                <w:rFonts w:ascii="Arial Narrow" w:hAnsi="Arial Narrow"/>
                <w:snapToGrid/>
                <w:sz w:val="20"/>
                <w:lang w:eastAsia="en-AU"/>
              </w:rPr>
            </w:pPr>
          </w:p>
        </w:tc>
      </w:tr>
      <w:tr w:rsidR="00784991" w:rsidRPr="00784991" w:rsidTr="00784991">
        <w:trPr>
          <w:cantSplit/>
          <w:trHeight w:val="360"/>
        </w:trPr>
        <w:tc>
          <w:tcPr>
            <w:tcW w:w="2127" w:type="dxa"/>
            <w:tcBorders>
              <w:top w:val="single" w:sz="4" w:space="0" w:color="auto"/>
              <w:left w:val="single" w:sz="4" w:space="0" w:color="auto"/>
              <w:bottom w:val="single" w:sz="4" w:space="0" w:color="auto"/>
              <w:right w:val="single" w:sz="4" w:space="0" w:color="auto"/>
            </w:tcBorders>
          </w:tcPr>
          <w:p w:rsidR="00784991" w:rsidRPr="00784991" w:rsidRDefault="00784991" w:rsidP="00784991">
            <w:pPr>
              <w:rPr>
                <w:rFonts w:ascii="Arial Narrow" w:hAnsi="Arial Narrow"/>
                <w:b/>
                <w:snapToGrid/>
                <w:sz w:val="20"/>
                <w:lang w:eastAsia="en-AU"/>
              </w:rPr>
            </w:pPr>
            <w:r w:rsidRPr="00784991">
              <w:rPr>
                <w:rFonts w:ascii="Arial Narrow" w:hAnsi="Arial Narrow"/>
                <w:b/>
                <w:snapToGrid/>
                <w:sz w:val="20"/>
                <w:lang w:eastAsia="en-AU"/>
              </w:rPr>
              <w:t>Cautions</w:t>
            </w:r>
          </w:p>
          <w:p w:rsidR="00784991" w:rsidRPr="00784991" w:rsidRDefault="00784991" w:rsidP="00784991">
            <w:pPr>
              <w:rPr>
                <w:rFonts w:ascii="Arial Narrow" w:hAnsi="Arial Narrow"/>
                <w:i/>
                <w:snapToGrid/>
                <w:sz w:val="20"/>
                <w:lang w:eastAsia="en-AU"/>
              </w:rPr>
            </w:pPr>
          </w:p>
        </w:tc>
        <w:tc>
          <w:tcPr>
            <w:tcW w:w="7087" w:type="dxa"/>
            <w:tcBorders>
              <w:top w:val="single" w:sz="4" w:space="0" w:color="auto"/>
              <w:left w:val="single" w:sz="4" w:space="0" w:color="auto"/>
              <w:bottom w:val="single" w:sz="4" w:space="0" w:color="auto"/>
              <w:right w:val="single" w:sz="4" w:space="0" w:color="auto"/>
            </w:tcBorders>
          </w:tcPr>
          <w:p w:rsidR="00784991" w:rsidRPr="00784991" w:rsidRDefault="00784991" w:rsidP="00784991">
            <w:pPr>
              <w:jc w:val="left"/>
              <w:rPr>
                <w:rFonts w:ascii="Arial Narrow" w:hAnsi="Arial Narrow"/>
                <w:snapToGrid/>
                <w:sz w:val="20"/>
                <w:lang w:eastAsia="en-AU"/>
              </w:rPr>
            </w:pPr>
            <w:r>
              <w:rPr>
                <w:rFonts w:ascii="Arial Narrow" w:hAnsi="Arial Narrow"/>
                <w:snapToGrid/>
                <w:sz w:val="20"/>
                <w:lang w:eastAsia="en-AU"/>
              </w:rPr>
              <w:t>To be finalised</w:t>
            </w:r>
          </w:p>
        </w:tc>
      </w:tr>
    </w:tbl>
    <w:p w:rsidR="00784991" w:rsidRPr="00784991" w:rsidRDefault="00784991" w:rsidP="00784991">
      <w:pPr>
        <w:jc w:val="left"/>
        <w:rPr>
          <w:snapToGrid/>
          <w:szCs w:val="22"/>
          <w:lang w:eastAsia="en-AU"/>
        </w:rPr>
      </w:pPr>
    </w:p>
    <w:p w:rsidR="005A1EB4" w:rsidRPr="00D4207D" w:rsidRDefault="005A1EB4" w:rsidP="005A1EB4">
      <w:pPr>
        <w:pStyle w:val="PBACHeading1"/>
        <w:numPr>
          <w:ilvl w:val="0"/>
          <w:numId w:val="2"/>
        </w:numPr>
        <w:ind w:left="720"/>
        <w:jc w:val="left"/>
      </w:pPr>
      <w:r w:rsidRPr="00D4207D">
        <w:t>Context for Decision</w:t>
      </w:r>
    </w:p>
    <w:p w:rsidR="005A1EB4" w:rsidRPr="00D4420F" w:rsidRDefault="005A1EB4" w:rsidP="005A1EB4">
      <w:pPr>
        <w:pStyle w:val="ListParagraph"/>
        <w:rPr>
          <w:b/>
        </w:rPr>
      </w:pPr>
    </w:p>
    <w:p w:rsidR="005A1EB4" w:rsidRPr="00D4207D" w:rsidRDefault="005A1EB4" w:rsidP="005A1EB4">
      <w:pPr>
        <w:ind w:left="720"/>
        <w:rPr>
          <w:bCs/>
          <w:szCs w:val="22"/>
        </w:rPr>
      </w:pPr>
      <w:r w:rsidRPr="00D4207D">
        <w:rPr>
          <w:bCs/>
          <w:szCs w:val="22"/>
        </w:rPr>
        <w:t>The PBAC helps decide whether and, if so, how medicines should be subsidised in Australia. It considers submissions in this context. A PBAC decision not to recommend listing or no</w:t>
      </w:r>
      <w:bookmarkStart w:id="13" w:name="_GoBack"/>
      <w:bookmarkEnd w:id="13"/>
      <w:r w:rsidRPr="00D4207D">
        <w:rPr>
          <w:bCs/>
          <w:szCs w:val="22"/>
        </w:rPr>
        <w:t>t to recommend changing a listing does not represent a final PBAC view about the merits of the medicine. A company can resubmit to the PBAC or seek independent review of the PBAC decision.</w:t>
      </w:r>
    </w:p>
    <w:p w:rsidR="005A1EB4" w:rsidRPr="00D4420F" w:rsidRDefault="005A1EB4" w:rsidP="005A1EB4"/>
    <w:p w:rsidR="005A1EB4" w:rsidRPr="00D4207D" w:rsidRDefault="005A1EB4" w:rsidP="005A1EB4">
      <w:pPr>
        <w:pStyle w:val="PBACHeading1"/>
        <w:numPr>
          <w:ilvl w:val="0"/>
          <w:numId w:val="2"/>
        </w:numPr>
        <w:ind w:left="720"/>
        <w:jc w:val="left"/>
      </w:pPr>
      <w:r w:rsidRPr="00D4207D">
        <w:t>Sponsor’s Comment</w:t>
      </w:r>
    </w:p>
    <w:p w:rsidR="009D6FEA" w:rsidRPr="009D6FEA" w:rsidRDefault="009D6FEA" w:rsidP="009D6FEA">
      <w:pPr>
        <w:jc w:val="left"/>
        <w:rPr>
          <w:rFonts w:cs="Times New Roman"/>
          <w:snapToGrid/>
          <w:sz w:val="24"/>
          <w:szCs w:val="24"/>
          <w:lang w:eastAsia="en-AU"/>
        </w:rPr>
      </w:pPr>
    </w:p>
    <w:p w:rsidR="009D6FEA" w:rsidRPr="007E3613" w:rsidRDefault="007E3613" w:rsidP="007E3613">
      <w:pPr>
        <w:ind w:left="720"/>
        <w:jc w:val="left"/>
        <w:rPr>
          <w:rFonts w:cs="Times New Roman"/>
          <w:snapToGrid/>
          <w:szCs w:val="22"/>
          <w:lang w:eastAsia="en-AU"/>
        </w:rPr>
      </w:pPr>
      <w:r w:rsidRPr="007E3613">
        <w:rPr>
          <w:rFonts w:cs="Times New Roman"/>
          <w:snapToGrid/>
          <w:szCs w:val="22"/>
          <w:lang w:eastAsia="en-AU"/>
        </w:rPr>
        <w:t>The sponsor had no comment</w:t>
      </w:r>
      <w:r w:rsidR="004C6216">
        <w:rPr>
          <w:rFonts w:cs="Times New Roman"/>
          <w:snapToGrid/>
          <w:szCs w:val="22"/>
          <w:lang w:eastAsia="en-AU"/>
        </w:rPr>
        <w:t>.</w:t>
      </w:r>
    </w:p>
    <w:p w:rsidR="00C5793C" w:rsidRPr="00C5793C" w:rsidRDefault="00C5793C" w:rsidP="00C5793C">
      <w:pPr>
        <w:jc w:val="left"/>
        <w:rPr>
          <w:rFonts w:ascii="Calibri" w:hAnsi="Calibri" w:cs="Calibri"/>
          <w:snapToGrid/>
          <w:sz w:val="24"/>
          <w:szCs w:val="24"/>
          <w:lang w:eastAsia="en-AU"/>
        </w:rPr>
      </w:pPr>
    </w:p>
    <w:p w:rsidR="00C5793C" w:rsidRPr="00C5793C" w:rsidRDefault="00C5793C" w:rsidP="00C5793C">
      <w:pPr>
        <w:jc w:val="left"/>
        <w:rPr>
          <w:rFonts w:cs="Times New Roman"/>
          <w:snapToGrid/>
          <w:sz w:val="24"/>
          <w:szCs w:val="24"/>
          <w:lang w:eastAsia="en-AU"/>
        </w:rPr>
      </w:pPr>
    </w:p>
    <w:p w:rsidR="009D6FEA" w:rsidRPr="009D6FEA" w:rsidRDefault="009D6FEA" w:rsidP="009D6FEA">
      <w:pPr>
        <w:jc w:val="left"/>
        <w:rPr>
          <w:rFonts w:cs="Times New Roman"/>
          <w:snapToGrid/>
          <w:sz w:val="24"/>
          <w:szCs w:val="24"/>
          <w:lang w:eastAsia="en-AU"/>
        </w:rPr>
      </w:pPr>
    </w:p>
    <w:p w:rsidR="009D6FEA" w:rsidRPr="009D6FEA" w:rsidRDefault="009D6FEA" w:rsidP="009D6FEA">
      <w:pPr>
        <w:jc w:val="left"/>
        <w:rPr>
          <w:rFonts w:cs="Times New Roman"/>
          <w:snapToGrid/>
          <w:sz w:val="24"/>
          <w:szCs w:val="24"/>
          <w:lang w:eastAsia="en-AU"/>
        </w:rPr>
      </w:pPr>
    </w:p>
    <w:p w:rsidR="009D6FEA" w:rsidRPr="009D6FEA" w:rsidRDefault="009D6FEA" w:rsidP="009D6FEA">
      <w:pPr>
        <w:jc w:val="left"/>
        <w:rPr>
          <w:rFonts w:cs="Times New Roman"/>
          <w:snapToGrid/>
          <w:sz w:val="24"/>
          <w:szCs w:val="24"/>
          <w:lang w:eastAsia="en-AU"/>
        </w:rPr>
      </w:pPr>
    </w:p>
    <w:p w:rsidR="00576972" w:rsidRDefault="00576972" w:rsidP="00576972">
      <w:pPr>
        <w:rPr>
          <w:szCs w:val="22"/>
        </w:rPr>
      </w:pPr>
    </w:p>
    <w:p w:rsidR="00A70983" w:rsidRDefault="00A70983">
      <w:pPr>
        <w:jc w:val="left"/>
        <w:rPr>
          <w:i/>
        </w:rPr>
      </w:pPr>
    </w:p>
    <w:p w:rsidR="00A70983" w:rsidRDefault="00A70983">
      <w:pPr>
        <w:jc w:val="left"/>
        <w:rPr>
          <w:i/>
        </w:rPr>
      </w:pPr>
    </w:p>
    <w:sectPr w:rsidR="00A70983" w:rsidSect="007D7C00">
      <w:headerReference w:type="default" r:id="rId9"/>
      <w:footerReference w:type="default" r:id="rId10"/>
      <w:pgSz w:w="11906" w:h="16838"/>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B25066" w15:done="0"/>
  <w15:commentEx w15:paraId="1A64DD64" w15:paraIdParent="44B25066" w15:done="0"/>
  <w15:commentEx w15:paraId="7ACC9738" w15:done="0"/>
  <w15:commentEx w15:paraId="78F90595" w15:paraIdParent="7ACC9738" w15:done="0"/>
  <w15:commentEx w15:paraId="53026160" w15:done="0"/>
  <w15:commentEx w15:paraId="0F7467CF" w15:paraIdParent="53026160" w15:done="0"/>
  <w15:commentEx w15:paraId="40E2F2AD" w15:done="0"/>
  <w15:commentEx w15:paraId="3F33C756" w15:done="0"/>
  <w15:commentEx w15:paraId="344681D3" w15:paraIdParent="3F33C756" w15:done="0"/>
  <w15:commentEx w15:paraId="0D9D6E8D" w15:done="0"/>
  <w15:commentEx w15:paraId="3E6C4638" w15:paraIdParent="0D9D6E8D" w15:done="0"/>
  <w15:commentEx w15:paraId="6C2EE717" w15:done="0"/>
  <w15:commentEx w15:paraId="416F5CBD" w15:done="0"/>
  <w15:commentEx w15:paraId="569AE0C7" w15:done="0"/>
  <w15:commentEx w15:paraId="40AB97B5" w15:done="0"/>
  <w15:commentEx w15:paraId="6BA65C6C" w15:done="0"/>
  <w15:commentEx w15:paraId="55CB93D9" w15:done="0"/>
  <w15:commentEx w15:paraId="4EAEE623" w15:done="0"/>
  <w15:commentEx w15:paraId="72F76A82" w15:paraIdParent="4EAEE623" w15:done="0"/>
  <w15:commentEx w15:paraId="6809ECCA" w15:done="0"/>
  <w15:commentEx w15:paraId="4FBAA323" w15:done="0"/>
  <w15:commentEx w15:paraId="09F3A028" w15:done="0"/>
  <w15:commentEx w15:paraId="088350DD" w15:done="0"/>
  <w15:commentEx w15:paraId="721EE6A6" w15:done="0"/>
  <w15:commentEx w15:paraId="179E4C28" w15:done="0"/>
  <w15:commentEx w15:paraId="1BB3FCD0" w15:done="0"/>
  <w15:commentEx w15:paraId="42E106C1" w15:done="0"/>
  <w15:commentEx w15:paraId="4DCCF201" w15:paraIdParent="42E106C1" w15:done="0"/>
  <w15:commentEx w15:paraId="5F6D44C5" w15:done="0"/>
  <w15:commentEx w15:paraId="7DF4108E" w15:paraIdParent="5F6D44C5" w15:done="0"/>
  <w15:commentEx w15:paraId="172C135F" w15:done="0"/>
  <w15:commentEx w15:paraId="10EFD9B0" w15:done="0"/>
  <w15:commentEx w15:paraId="5C7EF4ED" w15:done="0"/>
  <w15:commentEx w15:paraId="0D870696" w15:paraIdParent="5C7EF4ED" w15:done="0"/>
  <w15:commentEx w15:paraId="10145DD8" w15:done="0"/>
  <w15:commentEx w15:paraId="7860E788" w15:paraIdParent="10145DD8" w15:done="0"/>
  <w15:commentEx w15:paraId="5CBF0B4A" w15:done="0"/>
  <w15:commentEx w15:paraId="7A021AD0" w15:done="0"/>
  <w15:commentEx w15:paraId="3DCB8A95" w15:done="0"/>
  <w15:commentEx w15:paraId="2F481A5F" w15:done="0"/>
  <w15:commentEx w15:paraId="7C287F22" w15:paraIdParent="2F481A5F" w15:done="0"/>
  <w15:commentEx w15:paraId="2865394D" w15:done="0"/>
  <w15:commentEx w15:paraId="4E540D92" w15:done="0"/>
  <w15:commentEx w15:paraId="099988A3" w15:paraIdParent="4E540D92" w15:done="0"/>
  <w15:commentEx w15:paraId="5703E1E6" w15:done="0"/>
  <w15:commentEx w15:paraId="54BC652D" w15:done="0"/>
  <w15:commentEx w15:paraId="08D08803" w15:done="0"/>
  <w15:commentEx w15:paraId="343B338D" w15:done="0"/>
  <w15:commentEx w15:paraId="072A81B8" w15:done="0"/>
  <w15:commentEx w15:paraId="0D6A2B04" w15:done="0"/>
  <w15:commentEx w15:paraId="1C05346C" w15:done="0"/>
  <w15:commentEx w15:paraId="287C057A" w15:done="0"/>
  <w15:commentEx w15:paraId="7228A7A2" w15:done="0"/>
  <w15:commentEx w15:paraId="416C14BE" w15:done="0"/>
  <w15:commentEx w15:paraId="45C07D60" w15:done="0"/>
  <w15:commentEx w15:paraId="59FB1ACF" w15:done="0"/>
  <w15:commentEx w15:paraId="6DD3D627" w15:paraIdParent="59FB1ACF" w15:done="0"/>
  <w15:commentEx w15:paraId="3F51ED07" w15:done="0"/>
  <w15:commentEx w15:paraId="030E3B53" w15:paraIdParent="3F51ED07" w15:done="0"/>
  <w15:commentEx w15:paraId="4C8D4F9A" w15:done="0"/>
  <w15:commentEx w15:paraId="5365BB58" w15:done="0"/>
  <w15:commentEx w15:paraId="0A3D0870" w15:done="0"/>
  <w15:commentEx w15:paraId="212B6C84" w15:done="0"/>
  <w15:commentEx w15:paraId="4F484487" w15:done="0"/>
  <w15:commentEx w15:paraId="51A35B59" w15:done="0"/>
  <w15:commentEx w15:paraId="2BB79808" w15:done="0"/>
  <w15:commentEx w15:paraId="3E5A4188" w15:done="0"/>
  <w15:commentEx w15:paraId="2A2992BC" w15:done="0"/>
  <w15:commentEx w15:paraId="3CCD312E" w15:done="0"/>
  <w15:commentEx w15:paraId="54BE6018" w15:done="0"/>
  <w15:commentEx w15:paraId="2130C237" w15:paraIdParent="54BE6018" w15:done="0"/>
  <w15:commentEx w15:paraId="2E6C9DAF" w15:done="0"/>
  <w15:commentEx w15:paraId="7589A79D" w15:done="0"/>
  <w15:commentEx w15:paraId="3C0601E4" w15:done="0"/>
  <w15:commentEx w15:paraId="3B55C01A" w15:done="0"/>
  <w15:commentEx w15:paraId="704DF957" w15:done="0"/>
  <w15:commentEx w15:paraId="79A14C13" w15:done="0"/>
  <w15:commentEx w15:paraId="3BF0801F" w15:paraIdParent="79A14C13" w15:done="0"/>
  <w15:commentEx w15:paraId="5E4F3175" w15:done="0"/>
  <w15:commentEx w15:paraId="1F293CE8" w15:paraIdParent="5E4F3175" w15:done="0"/>
  <w15:commentEx w15:paraId="67CF46ED" w15:done="0"/>
  <w15:commentEx w15:paraId="15E0D06F" w15:paraIdParent="67CF46ED" w15:done="0"/>
  <w15:commentEx w15:paraId="6B5A4B8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35A" w:rsidRDefault="00DC035A" w:rsidP="00124A51">
      <w:r>
        <w:separator/>
      </w:r>
    </w:p>
  </w:endnote>
  <w:endnote w:type="continuationSeparator" w:id="0">
    <w:p w:rsidR="00DC035A" w:rsidRDefault="00DC035A"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Franklin Gothic Book"/>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7820491"/>
      <w:docPartObj>
        <w:docPartGallery w:val="Page Numbers (Bottom of Page)"/>
        <w:docPartUnique/>
      </w:docPartObj>
    </w:sdtPr>
    <w:sdtEndPr>
      <w:rPr>
        <w:noProof/>
      </w:rPr>
    </w:sdtEndPr>
    <w:sdtContent>
      <w:p w:rsidR="006329E6" w:rsidRDefault="006329E6">
        <w:pPr>
          <w:pStyle w:val="Footer"/>
          <w:jc w:val="center"/>
        </w:pPr>
      </w:p>
      <w:p w:rsidR="006329E6" w:rsidRDefault="006329E6">
        <w:pPr>
          <w:pStyle w:val="Footer"/>
          <w:jc w:val="center"/>
        </w:pPr>
        <w:r>
          <w:fldChar w:fldCharType="begin"/>
        </w:r>
        <w:r>
          <w:instrText xml:space="preserve"> PAGE   \* MERGEFORMAT </w:instrText>
        </w:r>
        <w:r>
          <w:fldChar w:fldCharType="separate"/>
        </w:r>
        <w:r w:rsidR="0095170B">
          <w:rPr>
            <w:noProof/>
          </w:rPr>
          <w:t>13</w:t>
        </w:r>
        <w:r>
          <w:rPr>
            <w:noProof/>
          </w:rPr>
          <w:fldChar w:fldCharType="end"/>
        </w:r>
      </w:p>
    </w:sdtContent>
  </w:sdt>
  <w:p w:rsidR="006329E6" w:rsidRPr="00015886" w:rsidRDefault="006329E6" w:rsidP="00015886">
    <w:pPr>
      <w:ind w:right="360"/>
      <w:jc w:val="center"/>
      <w:rPr>
        <w:b/>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35A" w:rsidRDefault="00DC035A" w:rsidP="00124A51">
      <w:r>
        <w:separator/>
      </w:r>
    </w:p>
  </w:footnote>
  <w:footnote w:type="continuationSeparator" w:id="0">
    <w:p w:rsidR="00DC035A" w:rsidRDefault="00DC035A"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9E6" w:rsidRPr="007E3318" w:rsidRDefault="006329E6" w:rsidP="00B36CB8">
    <w:pPr>
      <w:tabs>
        <w:tab w:val="center" w:pos="4513"/>
        <w:tab w:val="right" w:pos="9026"/>
      </w:tabs>
      <w:jc w:val="center"/>
      <w:rPr>
        <w:i/>
        <w:color w:val="808080"/>
      </w:rPr>
    </w:pPr>
    <w:r>
      <w:rPr>
        <w:i/>
        <w:color w:val="808080"/>
      </w:rPr>
      <w:t xml:space="preserve">Public Summary Document </w:t>
    </w:r>
    <w:r w:rsidRPr="007E3318">
      <w:rPr>
        <w:i/>
        <w:color w:val="808080"/>
      </w:rPr>
      <w:t>– March 2015 PBAC Meeting</w:t>
    </w:r>
  </w:p>
  <w:p w:rsidR="006329E6" w:rsidRPr="008C7ECB" w:rsidRDefault="006329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B7ED1"/>
    <w:multiLevelType w:val="hybridMultilevel"/>
    <w:tmpl w:val="B4B06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4DB6EC1"/>
    <w:multiLevelType w:val="hybridMultilevel"/>
    <w:tmpl w:val="2430AB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3">
    <w:nsid w:val="28EF0492"/>
    <w:multiLevelType w:val="hybridMultilevel"/>
    <w:tmpl w:val="7FD0DDF4"/>
    <w:lvl w:ilvl="0" w:tplc="C398450E">
      <w:start w:val="1"/>
      <w:numFmt w:val="lowerRoman"/>
      <w:lvlText w:val="%1)"/>
      <w:lvlJc w:val="left"/>
      <w:pPr>
        <w:ind w:left="1570" w:hanging="720"/>
      </w:pPr>
      <w:rPr>
        <w:rFonts w:hint="default"/>
      </w:rPr>
    </w:lvl>
    <w:lvl w:ilvl="1" w:tplc="0C090019" w:tentative="1">
      <w:start w:val="1"/>
      <w:numFmt w:val="lowerLetter"/>
      <w:lvlText w:val="%2."/>
      <w:lvlJc w:val="left"/>
      <w:pPr>
        <w:ind w:left="1930" w:hanging="360"/>
      </w:pPr>
    </w:lvl>
    <w:lvl w:ilvl="2" w:tplc="0C09001B" w:tentative="1">
      <w:start w:val="1"/>
      <w:numFmt w:val="lowerRoman"/>
      <w:lvlText w:val="%3."/>
      <w:lvlJc w:val="right"/>
      <w:pPr>
        <w:ind w:left="2650" w:hanging="180"/>
      </w:pPr>
    </w:lvl>
    <w:lvl w:ilvl="3" w:tplc="0C09000F" w:tentative="1">
      <w:start w:val="1"/>
      <w:numFmt w:val="decimal"/>
      <w:lvlText w:val="%4."/>
      <w:lvlJc w:val="left"/>
      <w:pPr>
        <w:ind w:left="3370" w:hanging="360"/>
      </w:pPr>
    </w:lvl>
    <w:lvl w:ilvl="4" w:tplc="0C090019" w:tentative="1">
      <w:start w:val="1"/>
      <w:numFmt w:val="lowerLetter"/>
      <w:lvlText w:val="%5."/>
      <w:lvlJc w:val="left"/>
      <w:pPr>
        <w:ind w:left="4090" w:hanging="360"/>
      </w:pPr>
    </w:lvl>
    <w:lvl w:ilvl="5" w:tplc="0C09001B" w:tentative="1">
      <w:start w:val="1"/>
      <w:numFmt w:val="lowerRoman"/>
      <w:lvlText w:val="%6."/>
      <w:lvlJc w:val="right"/>
      <w:pPr>
        <w:ind w:left="4810" w:hanging="180"/>
      </w:pPr>
    </w:lvl>
    <w:lvl w:ilvl="6" w:tplc="0C09000F" w:tentative="1">
      <w:start w:val="1"/>
      <w:numFmt w:val="decimal"/>
      <w:lvlText w:val="%7."/>
      <w:lvlJc w:val="left"/>
      <w:pPr>
        <w:ind w:left="5530" w:hanging="360"/>
      </w:pPr>
    </w:lvl>
    <w:lvl w:ilvl="7" w:tplc="0C090019" w:tentative="1">
      <w:start w:val="1"/>
      <w:numFmt w:val="lowerLetter"/>
      <w:lvlText w:val="%8."/>
      <w:lvlJc w:val="left"/>
      <w:pPr>
        <w:ind w:left="6250" w:hanging="360"/>
      </w:pPr>
    </w:lvl>
    <w:lvl w:ilvl="8" w:tplc="0C09001B" w:tentative="1">
      <w:start w:val="1"/>
      <w:numFmt w:val="lowerRoman"/>
      <w:lvlText w:val="%9."/>
      <w:lvlJc w:val="right"/>
      <w:pPr>
        <w:ind w:left="6970" w:hanging="180"/>
      </w:pPr>
    </w:lvl>
  </w:abstractNum>
  <w:abstractNum w:abstractNumId="4">
    <w:nsid w:val="2D2D45A2"/>
    <w:multiLevelType w:val="multilevel"/>
    <w:tmpl w:val="58DEB304"/>
    <w:styleLink w:val="StylePBACTableTextLetteredList"/>
    <w:lvl w:ilvl="0">
      <w:start w:val="1"/>
      <w:numFmt w:val="lowerLetter"/>
      <w:lvlText w:val="%1)"/>
      <w:lvlJc w:val="left"/>
      <w:pPr>
        <w:ind w:left="720" w:hanging="360"/>
      </w:pPr>
      <w:rPr>
        <w:rFonts w:ascii="News Gothic MT" w:hAnsi="News Gothic M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2B63BBA"/>
    <w:multiLevelType w:val="hybridMultilevel"/>
    <w:tmpl w:val="E7CAC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8">
    <w:nsid w:val="784D033C"/>
    <w:multiLevelType w:val="multilevel"/>
    <w:tmpl w:val="04C8E5BC"/>
    <w:lvl w:ilvl="0">
      <w:start w:val="1"/>
      <w:numFmt w:val="decimal"/>
      <w:pStyle w:val="PBACHeading1"/>
      <w:lvlText w:val="%1"/>
      <w:lvlJc w:val="left"/>
      <w:pPr>
        <w:ind w:left="862"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7D101EF5"/>
    <w:multiLevelType w:val="hybridMultilevel"/>
    <w:tmpl w:val="BF383818"/>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0">
    <w:nsid w:val="7E4A2E99"/>
    <w:multiLevelType w:val="hybridMultilevel"/>
    <w:tmpl w:val="9D16F042"/>
    <w:lvl w:ilvl="0" w:tplc="0C090001">
      <w:start w:val="1"/>
      <w:numFmt w:val="bullet"/>
      <w:lvlText w:val=""/>
      <w:lvlJc w:val="left"/>
      <w:pPr>
        <w:ind w:left="1212" w:hanging="360"/>
      </w:pPr>
      <w:rPr>
        <w:rFonts w:ascii="Symbol" w:hAnsi="Symbol" w:hint="default"/>
      </w:rPr>
    </w:lvl>
    <w:lvl w:ilvl="1" w:tplc="0C090003" w:tentative="1">
      <w:start w:val="1"/>
      <w:numFmt w:val="bullet"/>
      <w:lvlText w:val="o"/>
      <w:lvlJc w:val="left"/>
      <w:pPr>
        <w:ind w:left="1932" w:hanging="360"/>
      </w:pPr>
      <w:rPr>
        <w:rFonts w:ascii="Courier New" w:hAnsi="Courier New" w:cs="Courier New" w:hint="default"/>
      </w:rPr>
    </w:lvl>
    <w:lvl w:ilvl="2" w:tplc="0C090005" w:tentative="1">
      <w:start w:val="1"/>
      <w:numFmt w:val="bullet"/>
      <w:lvlText w:val=""/>
      <w:lvlJc w:val="left"/>
      <w:pPr>
        <w:ind w:left="2652" w:hanging="360"/>
      </w:pPr>
      <w:rPr>
        <w:rFonts w:ascii="Wingdings" w:hAnsi="Wingdings" w:hint="default"/>
      </w:rPr>
    </w:lvl>
    <w:lvl w:ilvl="3" w:tplc="0C090001" w:tentative="1">
      <w:start w:val="1"/>
      <w:numFmt w:val="bullet"/>
      <w:lvlText w:val=""/>
      <w:lvlJc w:val="left"/>
      <w:pPr>
        <w:ind w:left="3372" w:hanging="360"/>
      </w:pPr>
      <w:rPr>
        <w:rFonts w:ascii="Symbol" w:hAnsi="Symbol" w:hint="default"/>
      </w:rPr>
    </w:lvl>
    <w:lvl w:ilvl="4" w:tplc="0C090003" w:tentative="1">
      <w:start w:val="1"/>
      <w:numFmt w:val="bullet"/>
      <w:lvlText w:val="o"/>
      <w:lvlJc w:val="left"/>
      <w:pPr>
        <w:ind w:left="4092" w:hanging="360"/>
      </w:pPr>
      <w:rPr>
        <w:rFonts w:ascii="Courier New" w:hAnsi="Courier New" w:cs="Courier New" w:hint="default"/>
      </w:rPr>
    </w:lvl>
    <w:lvl w:ilvl="5" w:tplc="0C090005" w:tentative="1">
      <w:start w:val="1"/>
      <w:numFmt w:val="bullet"/>
      <w:lvlText w:val=""/>
      <w:lvlJc w:val="left"/>
      <w:pPr>
        <w:ind w:left="4812" w:hanging="360"/>
      </w:pPr>
      <w:rPr>
        <w:rFonts w:ascii="Wingdings" w:hAnsi="Wingdings" w:hint="default"/>
      </w:rPr>
    </w:lvl>
    <w:lvl w:ilvl="6" w:tplc="0C090001" w:tentative="1">
      <w:start w:val="1"/>
      <w:numFmt w:val="bullet"/>
      <w:lvlText w:val=""/>
      <w:lvlJc w:val="left"/>
      <w:pPr>
        <w:ind w:left="5532" w:hanging="360"/>
      </w:pPr>
      <w:rPr>
        <w:rFonts w:ascii="Symbol" w:hAnsi="Symbol" w:hint="default"/>
      </w:rPr>
    </w:lvl>
    <w:lvl w:ilvl="7" w:tplc="0C090003" w:tentative="1">
      <w:start w:val="1"/>
      <w:numFmt w:val="bullet"/>
      <w:lvlText w:val="o"/>
      <w:lvlJc w:val="left"/>
      <w:pPr>
        <w:ind w:left="6252" w:hanging="360"/>
      </w:pPr>
      <w:rPr>
        <w:rFonts w:ascii="Courier New" w:hAnsi="Courier New" w:cs="Courier New" w:hint="default"/>
      </w:rPr>
    </w:lvl>
    <w:lvl w:ilvl="8" w:tplc="0C090005" w:tentative="1">
      <w:start w:val="1"/>
      <w:numFmt w:val="bullet"/>
      <w:lvlText w:val=""/>
      <w:lvlJc w:val="left"/>
      <w:pPr>
        <w:ind w:left="6972" w:hanging="360"/>
      </w:pPr>
      <w:rPr>
        <w:rFonts w:ascii="Wingdings" w:hAnsi="Wingdings" w:hint="default"/>
      </w:rPr>
    </w:lvl>
  </w:abstractNum>
  <w:num w:numId="1">
    <w:abstractNumId w:val="1"/>
  </w:num>
  <w:num w:numId="2">
    <w:abstractNumId w:val="8"/>
  </w:num>
  <w:num w:numId="3">
    <w:abstractNumId w:val="4"/>
  </w:num>
  <w:num w:numId="4">
    <w:abstractNumId w:val="0"/>
  </w:num>
  <w:num w:numId="5">
    <w:abstractNumId w:val="5"/>
  </w:num>
  <w:num w:numId="6">
    <w:abstractNumId w:val="3"/>
  </w:num>
  <w:num w:numId="7">
    <w:abstractNumId w:val="10"/>
  </w:num>
  <w:num w:numId="8">
    <w:abstractNumId w:val="8"/>
  </w:num>
  <w:num w:numId="9">
    <w:abstractNumId w:val="6"/>
  </w:num>
  <w:num w:numId="10">
    <w:abstractNumId w:val="7"/>
  </w:num>
  <w:num w:numId="11">
    <w:abstractNumId w:val="9"/>
  </w:num>
  <w:num w:numId="12">
    <w:abstractNumId w:val="2"/>
  </w:num>
  <w:num w:numId="13">
    <w:abstractNumId w:val="8"/>
  </w:num>
  <w:num w:numId="14">
    <w:abstractNumId w:val="8"/>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ndra Younie">
    <w15:presenceInfo w15:providerId="AD" w15:userId="S-1-5-21-248963057-614103661-3067232799-25573"/>
  </w15:person>
  <w15:person w15:author="Elena Gospodarevskaya">
    <w15:presenceInfo w15:providerId="AD" w15:userId="S-1-5-21-248963057-614103661-3067232799-3370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5B5"/>
    <w:rsid w:val="00000790"/>
    <w:rsid w:val="00000E8C"/>
    <w:rsid w:val="0000110B"/>
    <w:rsid w:val="00001712"/>
    <w:rsid w:val="00002605"/>
    <w:rsid w:val="0000307D"/>
    <w:rsid w:val="00003499"/>
    <w:rsid w:val="0000445A"/>
    <w:rsid w:val="00010268"/>
    <w:rsid w:val="00012BE4"/>
    <w:rsid w:val="00013247"/>
    <w:rsid w:val="00015886"/>
    <w:rsid w:val="000162EF"/>
    <w:rsid w:val="000170AD"/>
    <w:rsid w:val="00020B1E"/>
    <w:rsid w:val="00021BD4"/>
    <w:rsid w:val="0002225F"/>
    <w:rsid w:val="00023763"/>
    <w:rsid w:val="00024F7E"/>
    <w:rsid w:val="000313DC"/>
    <w:rsid w:val="00034075"/>
    <w:rsid w:val="00035099"/>
    <w:rsid w:val="00035984"/>
    <w:rsid w:val="00035C60"/>
    <w:rsid w:val="00036897"/>
    <w:rsid w:val="00037AFF"/>
    <w:rsid w:val="00040895"/>
    <w:rsid w:val="00040C8A"/>
    <w:rsid w:val="00040E2B"/>
    <w:rsid w:val="00043707"/>
    <w:rsid w:val="00043C37"/>
    <w:rsid w:val="00052E8B"/>
    <w:rsid w:val="00053094"/>
    <w:rsid w:val="000546D7"/>
    <w:rsid w:val="0005475A"/>
    <w:rsid w:val="0005510F"/>
    <w:rsid w:val="00055959"/>
    <w:rsid w:val="000563EF"/>
    <w:rsid w:val="0006178B"/>
    <w:rsid w:val="000647B3"/>
    <w:rsid w:val="00064BFC"/>
    <w:rsid w:val="000660E0"/>
    <w:rsid w:val="00066CB0"/>
    <w:rsid w:val="00070D3F"/>
    <w:rsid w:val="00071248"/>
    <w:rsid w:val="00071856"/>
    <w:rsid w:val="00071E76"/>
    <w:rsid w:val="000720B9"/>
    <w:rsid w:val="000741A6"/>
    <w:rsid w:val="000766D2"/>
    <w:rsid w:val="000767EF"/>
    <w:rsid w:val="000812CA"/>
    <w:rsid w:val="00081D35"/>
    <w:rsid w:val="00081E17"/>
    <w:rsid w:val="0008626A"/>
    <w:rsid w:val="00090244"/>
    <w:rsid w:val="00090C7E"/>
    <w:rsid w:val="0009334B"/>
    <w:rsid w:val="000933D6"/>
    <w:rsid w:val="00095D0A"/>
    <w:rsid w:val="000960D6"/>
    <w:rsid w:val="00096F19"/>
    <w:rsid w:val="0009771A"/>
    <w:rsid w:val="000A022E"/>
    <w:rsid w:val="000A24B5"/>
    <w:rsid w:val="000A2A0E"/>
    <w:rsid w:val="000A2C3B"/>
    <w:rsid w:val="000A3B2B"/>
    <w:rsid w:val="000A3DF6"/>
    <w:rsid w:val="000A57A1"/>
    <w:rsid w:val="000A695C"/>
    <w:rsid w:val="000B38A7"/>
    <w:rsid w:val="000B496C"/>
    <w:rsid w:val="000B5F67"/>
    <w:rsid w:val="000B7608"/>
    <w:rsid w:val="000C075A"/>
    <w:rsid w:val="000C0922"/>
    <w:rsid w:val="000C0F1E"/>
    <w:rsid w:val="000C1411"/>
    <w:rsid w:val="000C1DD1"/>
    <w:rsid w:val="000C7267"/>
    <w:rsid w:val="000D033E"/>
    <w:rsid w:val="000D1BFC"/>
    <w:rsid w:val="000D5A2E"/>
    <w:rsid w:val="000D72BD"/>
    <w:rsid w:val="000E0A53"/>
    <w:rsid w:val="000E349B"/>
    <w:rsid w:val="000E3CAC"/>
    <w:rsid w:val="000E3D77"/>
    <w:rsid w:val="000E3E63"/>
    <w:rsid w:val="000E4198"/>
    <w:rsid w:val="000E5010"/>
    <w:rsid w:val="000E7C1C"/>
    <w:rsid w:val="000F00A6"/>
    <w:rsid w:val="000F07FB"/>
    <w:rsid w:val="000F141E"/>
    <w:rsid w:val="000F19F4"/>
    <w:rsid w:val="000F1A66"/>
    <w:rsid w:val="000F2286"/>
    <w:rsid w:val="000F4557"/>
    <w:rsid w:val="000F4BB8"/>
    <w:rsid w:val="000F515C"/>
    <w:rsid w:val="000F7127"/>
    <w:rsid w:val="000F7C00"/>
    <w:rsid w:val="001009C4"/>
    <w:rsid w:val="00100F8A"/>
    <w:rsid w:val="00101EB8"/>
    <w:rsid w:val="00106F14"/>
    <w:rsid w:val="001101C6"/>
    <w:rsid w:val="0011032E"/>
    <w:rsid w:val="0011348B"/>
    <w:rsid w:val="0011637C"/>
    <w:rsid w:val="00120245"/>
    <w:rsid w:val="00121799"/>
    <w:rsid w:val="001222FC"/>
    <w:rsid w:val="00124A51"/>
    <w:rsid w:val="001259A8"/>
    <w:rsid w:val="00126621"/>
    <w:rsid w:val="001301E9"/>
    <w:rsid w:val="00131D18"/>
    <w:rsid w:val="00131E9A"/>
    <w:rsid w:val="00133A75"/>
    <w:rsid w:val="00133BF3"/>
    <w:rsid w:val="001362FF"/>
    <w:rsid w:val="0013645C"/>
    <w:rsid w:val="00137645"/>
    <w:rsid w:val="00137F33"/>
    <w:rsid w:val="0014015A"/>
    <w:rsid w:val="00140E99"/>
    <w:rsid w:val="001425D4"/>
    <w:rsid w:val="00142C76"/>
    <w:rsid w:val="00142F6B"/>
    <w:rsid w:val="001430A6"/>
    <w:rsid w:val="0014393E"/>
    <w:rsid w:val="001443F2"/>
    <w:rsid w:val="00145540"/>
    <w:rsid w:val="001456B0"/>
    <w:rsid w:val="0014573E"/>
    <w:rsid w:val="00146FF8"/>
    <w:rsid w:val="00147729"/>
    <w:rsid w:val="00147AC3"/>
    <w:rsid w:val="00150B75"/>
    <w:rsid w:val="00150E58"/>
    <w:rsid w:val="00151357"/>
    <w:rsid w:val="00152098"/>
    <w:rsid w:val="001523C8"/>
    <w:rsid w:val="00153362"/>
    <w:rsid w:val="001555E6"/>
    <w:rsid w:val="00157130"/>
    <w:rsid w:val="0016084B"/>
    <w:rsid w:val="00161180"/>
    <w:rsid w:val="00161627"/>
    <w:rsid w:val="00162913"/>
    <w:rsid w:val="00163EFF"/>
    <w:rsid w:val="00164DC6"/>
    <w:rsid w:val="001661FB"/>
    <w:rsid w:val="00166C25"/>
    <w:rsid w:val="00167201"/>
    <w:rsid w:val="00170CD4"/>
    <w:rsid w:val="00171D28"/>
    <w:rsid w:val="00172172"/>
    <w:rsid w:val="001725DB"/>
    <w:rsid w:val="00173C58"/>
    <w:rsid w:val="001754EB"/>
    <w:rsid w:val="00175A39"/>
    <w:rsid w:val="00176A4F"/>
    <w:rsid w:val="0017786F"/>
    <w:rsid w:val="00180349"/>
    <w:rsid w:val="00182C8C"/>
    <w:rsid w:val="001869A5"/>
    <w:rsid w:val="0018752F"/>
    <w:rsid w:val="00190EC7"/>
    <w:rsid w:val="0019209F"/>
    <w:rsid w:val="0019407C"/>
    <w:rsid w:val="00195222"/>
    <w:rsid w:val="00196489"/>
    <w:rsid w:val="001975D8"/>
    <w:rsid w:val="001A1C4C"/>
    <w:rsid w:val="001A30D0"/>
    <w:rsid w:val="001A3303"/>
    <w:rsid w:val="001A5AF1"/>
    <w:rsid w:val="001B1835"/>
    <w:rsid w:val="001B1E83"/>
    <w:rsid w:val="001B274F"/>
    <w:rsid w:val="001B33A0"/>
    <w:rsid w:val="001B3443"/>
    <w:rsid w:val="001B3986"/>
    <w:rsid w:val="001B4D4D"/>
    <w:rsid w:val="001B5033"/>
    <w:rsid w:val="001B655B"/>
    <w:rsid w:val="001C16EC"/>
    <w:rsid w:val="001C3925"/>
    <w:rsid w:val="001C3B54"/>
    <w:rsid w:val="001C4103"/>
    <w:rsid w:val="001C41EA"/>
    <w:rsid w:val="001C63BB"/>
    <w:rsid w:val="001C6E66"/>
    <w:rsid w:val="001C7873"/>
    <w:rsid w:val="001D027F"/>
    <w:rsid w:val="001D0959"/>
    <w:rsid w:val="001D0E9D"/>
    <w:rsid w:val="001D440A"/>
    <w:rsid w:val="001D527D"/>
    <w:rsid w:val="001D6119"/>
    <w:rsid w:val="001D6A22"/>
    <w:rsid w:val="001D6DD5"/>
    <w:rsid w:val="001E238E"/>
    <w:rsid w:val="001E2B1E"/>
    <w:rsid w:val="001E2F46"/>
    <w:rsid w:val="001E3948"/>
    <w:rsid w:val="001E4704"/>
    <w:rsid w:val="001E52EB"/>
    <w:rsid w:val="001E54DF"/>
    <w:rsid w:val="001E740C"/>
    <w:rsid w:val="001F01E4"/>
    <w:rsid w:val="001F034A"/>
    <w:rsid w:val="001F1235"/>
    <w:rsid w:val="001F1CB3"/>
    <w:rsid w:val="001F3224"/>
    <w:rsid w:val="001F6D20"/>
    <w:rsid w:val="001F7361"/>
    <w:rsid w:val="0020080A"/>
    <w:rsid w:val="0020385F"/>
    <w:rsid w:val="00207021"/>
    <w:rsid w:val="00207D00"/>
    <w:rsid w:val="002105C1"/>
    <w:rsid w:val="002202E8"/>
    <w:rsid w:val="00221F12"/>
    <w:rsid w:val="00222F75"/>
    <w:rsid w:val="00223730"/>
    <w:rsid w:val="00223B49"/>
    <w:rsid w:val="00224DD4"/>
    <w:rsid w:val="002309CC"/>
    <w:rsid w:val="0023198E"/>
    <w:rsid w:val="002330F4"/>
    <w:rsid w:val="00235CED"/>
    <w:rsid w:val="002363F6"/>
    <w:rsid w:val="00236D59"/>
    <w:rsid w:val="0023704E"/>
    <w:rsid w:val="00237059"/>
    <w:rsid w:val="00241779"/>
    <w:rsid w:val="002439AC"/>
    <w:rsid w:val="00254893"/>
    <w:rsid w:val="00254DCF"/>
    <w:rsid w:val="0025534B"/>
    <w:rsid w:val="00255BB7"/>
    <w:rsid w:val="00260761"/>
    <w:rsid w:val="00260B1A"/>
    <w:rsid w:val="00261DFB"/>
    <w:rsid w:val="00261FD6"/>
    <w:rsid w:val="00262A87"/>
    <w:rsid w:val="0026497D"/>
    <w:rsid w:val="00271335"/>
    <w:rsid w:val="00271E53"/>
    <w:rsid w:val="0027343D"/>
    <w:rsid w:val="00273A92"/>
    <w:rsid w:val="00275C5A"/>
    <w:rsid w:val="00276DCB"/>
    <w:rsid w:val="0028078D"/>
    <w:rsid w:val="00280FA5"/>
    <w:rsid w:val="00281014"/>
    <w:rsid w:val="00283EB9"/>
    <w:rsid w:val="00286CF0"/>
    <w:rsid w:val="002906D2"/>
    <w:rsid w:val="00291F2B"/>
    <w:rsid w:val="002956CB"/>
    <w:rsid w:val="002A14AB"/>
    <w:rsid w:val="002A260E"/>
    <w:rsid w:val="002A2B3F"/>
    <w:rsid w:val="002A35EE"/>
    <w:rsid w:val="002A371B"/>
    <w:rsid w:val="002A3D0B"/>
    <w:rsid w:val="002A75E9"/>
    <w:rsid w:val="002B07F7"/>
    <w:rsid w:val="002B1C1F"/>
    <w:rsid w:val="002B29B6"/>
    <w:rsid w:val="002B428A"/>
    <w:rsid w:val="002B432F"/>
    <w:rsid w:val="002B69AA"/>
    <w:rsid w:val="002B6CCE"/>
    <w:rsid w:val="002C0235"/>
    <w:rsid w:val="002C0A82"/>
    <w:rsid w:val="002C1FC8"/>
    <w:rsid w:val="002C2775"/>
    <w:rsid w:val="002C27C1"/>
    <w:rsid w:val="002C2D99"/>
    <w:rsid w:val="002C445B"/>
    <w:rsid w:val="002C5CEE"/>
    <w:rsid w:val="002D5F5E"/>
    <w:rsid w:val="002D7083"/>
    <w:rsid w:val="002E1C89"/>
    <w:rsid w:val="002E466C"/>
    <w:rsid w:val="002E6862"/>
    <w:rsid w:val="002E6958"/>
    <w:rsid w:val="002F0FCB"/>
    <w:rsid w:val="002F32DE"/>
    <w:rsid w:val="002F59DB"/>
    <w:rsid w:val="002F5D06"/>
    <w:rsid w:val="002F6672"/>
    <w:rsid w:val="002F7F55"/>
    <w:rsid w:val="00301017"/>
    <w:rsid w:val="00301231"/>
    <w:rsid w:val="00301ED1"/>
    <w:rsid w:val="00302555"/>
    <w:rsid w:val="0030280F"/>
    <w:rsid w:val="003064ED"/>
    <w:rsid w:val="00306A5E"/>
    <w:rsid w:val="00306E74"/>
    <w:rsid w:val="0030786C"/>
    <w:rsid w:val="0031031A"/>
    <w:rsid w:val="00310981"/>
    <w:rsid w:val="00310D51"/>
    <w:rsid w:val="00311255"/>
    <w:rsid w:val="00314938"/>
    <w:rsid w:val="00315492"/>
    <w:rsid w:val="00315498"/>
    <w:rsid w:val="00316E2D"/>
    <w:rsid w:val="0031714E"/>
    <w:rsid w:val="0032151B"/>
    <w:rsid w:val="00321E32"/>
    <w:rsid w:val="003238BF"/>
    <w:rsid w:val="00324478"/>
    <w:rsid w:val="00324566"/>
    <w:rsid w:val="00325BA6"/>
    <w:rsid w:val="00327F2A"/>
    <w:rsid w:val="0033028A"/>
    <w:rsid w:val="0033056D"/>
    <w:rsid w:val="003306DD"/>
    <w:rsid w:val="00331355"/>
    <w:rsid w:val="00331691"/>
    <w:rsid w:val="0033197D"/>
    <w:rsid w:val="00332B77"/>
    <w:rsid w:val="00333618"/>
    <w:rsid w:val="00333AF5"/>
    <w:rsid w:val="00336110"/>
    <w:rsid w:val="003366C9"/>
    <w:rsid w:val="003371B0"/>
    <w:rsid w:val="00340094"/>
    <w:rsid w:val="00341579"/>
    <w:rsid w:val="00342920"/>
    <w:rsid w:val="003433CE"/>
    <w:rsid w:val="003444E2"/>
    <w:rsid w:val="0034510C"/>
    <w:rsid w:val="00345CA8"/>
    <w:rsid w:val="003540D2"/>
    <w:rsid w:val="0035620E"/>
    <w:rsid w:val="003621E1"/>
    <w:rsid w:val="00362261"/>
    <w:rsid w:val="00362463"/>
    <w:rsid w:val="003631A4"/>
    <w:rsid w:val="00363892"/>
    <w:rsid w:val="00365912"/>
    <w:rsid w:val="00372E2B"/>
    <w:rsid w:val="003753E1"/>
    <w:rsid w:val="00375B64"/>
    <w:rsid w:val="00377122"/>
    <w:rsid w:val="00377EC8"/>
    <w:rsid w:val="00380E08"/>
    <w:rsid w:val="00382306"/>
    <w:rsid w:val="0038365C"/>
    <w:rsid w:val="00383FAB"/>
    <w:rsid w:val="00387044"/>
    <w:rsid w:val="0039122B"/>
    <w:rsid w:val="0039506E"/>
    <w:rsid w:val="003954B8"/>
    <w:rsid w:val="003965CA"/>
    <w:rsid w:val="00396739"/>
    <w:rsid w:val="00396FD0"/>
    <w:rsid w:val="003A106C"/>
    <w:rsid w:val="003A1A7A"/>
    <w:rsid w:val="003A6E7B"/>
    <w:rsid w:val="003B144A"/>
    <w:rsid w:val="003B4502"/>
    <w:rsid w:val="003B5234"/>
    <w:rsid w:val="003B54D6"/>
    <w:rsid w:val="003B5B6D"/>
    <w:rsid w:val="003C280A"/>
    <w:rsid w:val="003C34FC"/>
    <w:rsid w:val="003C6C28"/>
    <w:rsid w:val="003D0C53"/>
    <w:rsid w:val="003D1828"/>
    <w:rsid w:val="003D2422"/>
    <w:rsid w:val="003D3863"/>
    <w:rsid w:val="003D396E"/>
    <w:rsid w:val="003D4BE4"/>
    <w:rsid w:val="003D59B3"/>
    <w:rsid w:val="003D5BA6"/>
    <w:rsid w:val="003D5BA8"/>
    <w:rsid w:val="003D7016"/>
    <w:rsid w:val="003D7869"/>
    <w:rsid w:val="003E2D50"/>
    <w:rsid w:val="003E2DC4"/>
    <w:rsid w:val="003E3CAB"/>
    <w:rsid w:val="003E4760"/>
    <w:rsid w:val="003E6654"/>
    <w:rsid w:val="003E689A"/>
    <w:rsid w:val="003E6DFB"/>
    <w:rsid w:val="003E7CDA"/>
    <w:rsid w:val="003F0953"/>
    <w:rsid w:val="003F3951"/>
    <w:rsid w:val="003F4156"/>
    <w:rsid w:val="00406A0B"/>
    <w:rsid w:val="00410708"/>
    <w:rsid w:val="00410EC7"/>
    <w:rsid w:val="00412296"/>
    <w:rsid w:val="00412F93"/>
    <w:rsid w:val="00413DAB"/>
    <w:rsid w:val="004140B5"/>
    <w:rsid w:val="00414476"/>
    <w:rsid w:val="00417968"/>
    <w:rsid w:val="00420634"/>
    <w:rsid w:val="00420B9F"/>
    <w:rsid w:val="00421B06"/>
    <w:rsid w:val="00422F79"/>
    <w:rsid w:val="004255FB"/>
    <w:rsid w:val="00430A70"/>
    <w:rsid w:val="0043180E"/>
    <w:rsid w:val="004319F8"/>
    <w:rsid w:val="00431DE3"/>
    <w:rsid w:val="00433044"/>
    <w:rsid w:val="00433BE6"/>
    <w:rsid w:val="00434EF0"/>
    <w:rsid w:val="00437783"/>
    <w:rsid w:val="00437DC1"/>
    <w:rsid w:val="00440B9B"/>
    <w:rsid w:val="00441242"/>
    <w:rsid w:val="0044137E"/>
    <w:rsid w:val="004424D7"/>
    <w:rsid w:val="00443900"/>
    <w:rsid w:val="004443A7"/>
    <w:rsid w:val="00445468"/>
    <w:rsid w:val="004464EB"/>
    <w:rsid w:val="00453F6C"/>
    <w:rsid w:val="00454836"/>
    <w:rsid w:val="00454A53"/>
    <w:rsid w:val="004553A2"/>
    <w:rsid w:val="004557C0"/>
    <w:rsid w:val="00455D45"/>
    <w:rsid w:val="0046212B"/>
    <w:rsid w:val="00462712"/>
    <w:rsid w:val="00463575"/>
    <w:rsid w:val="00463EFB"/>
    <w:rsid w:val="00464595"/>
    <w:rsid w:val="0046587D"/>
    <w:rsid w:val="00466C5E"/>
    <w:rsid w:val="00470F2D"/>
    <w:rsid w:val="00475D78"/>
    <w:rsid w:val="00480135"/>
    <w:rsid w:val="00481876"/>
    <w:rsid w:val="00482E8B"/>
    <w:rsid w:val="00484013"/>
    <w:rsid w:val="00484132"/>
    <w:rsid w:val="00484FE9"/>
    <w:rsid w:val="004867E2"/>
    <w:rsid w:val="004873C2"/>
    <w:rsid w:val="00490F0E"/>
    <w:rsid w:val="00491B3A"/>
    <w:rsid w:val="00492CFD"/>
    <w:rsid w:val="0049303D"/>
    <w:rsid w:val="004962D2"/>
    <w:rsid w:val="0049710E"/>
    <w:rsid w:val="00497B6E"/>
    <w:rsid w:val="004A0DA1"/>
    <w:rsid w:val="004A1220"/>
    <w:rsid w:val="004A4573"/>
    <w:rsid w:val="004A58E3"/>
    <w:rsid w:val="004A6597"/>
    <w:rsid w:val="004B0EA0"/>
    <w:rsid w:val="004B1CB4"/>
    <w:rsid w:val="004B1EFC"/>
    <w:rsid w:val="004B2F18"/>
    <w:rsid w:val="004B3DDB"/>
    <w:rsid w:val="004B44FD"/>
    <w:rsid w:val="004B5CFC"/>
    <w:rsid w:val="004C0DEC"/>
    <w:rsid w:val="004C1D3B"/>
    <w:rsid w:val="004C22DA"/>
    <w:rsid w:val="004C2380"/>
    <w:rsid w:val="004C38C0"/>
    <w:rsid w:val="004C4AED"/>
    <w:rsid w:val="004C6216"/>
    <w:rsid w:val="004C6BCA"/>
    <w:rsid w:val="004D0818"/>
    <w:rsid w:val="004D095B"/>
    <w:rsid w:val="004D3061"/>
    <w:rsid w:val="004D384C"/>
    <w:rsid w:val="004D6722"/>
    <w:rsid w:val="004D6FCE"/>
    <w:rsid w:val="004E0C1F"/>
    <w:rsid w:val="004E0EB8"/>
    <w:rsid w:val="004E2ADC"/>
    <w:rsid w:val="004E43B2"/>
    <w:rsid w:val="004E4DE8"/>
    <w:rsid w:val="004E5070"/>
    <w:rsid w:val="004E63C5"/>
    <w:rsid w:val="004E7103"/>
    <w:rsid w:val="004F1D02"/>
    <w:rsid w:val="004F2679"/>
    <w:rsid w:val="004F2984"/>
    <w:rsid w:val="004F7865"/>
    <w:rsid w:val="004F7EF1"/>
    <w:rsid w:val="0050061B"/>
    <w:rsid w:val="005019A2"/>
    <w:rsid w:val="00501E95"/>
    <w:rsid w:val="005049CF"/>
    <w:rsid w:val="00506928"/>
    <w:rsid w:val="005152B5"/>
    <w:rsid w:val="00516C33"/>
    <w:rsid w:val="00517273"/>
    <w:rsid w:val="00517B42"/>
    <w:rsid w:val="0052092A"/>
    <w:rsid w:val="00521319"/>
    <w:rsid w:val="005230EF"/>
    <w:rsid w:val="005232CB"/>
    <w:rsid w:val="00523C28"/>
    <w:rsid w:val="0053095B"/>
    <w:rsid w:val="005318B0"/>
    <w:rsid w:val="00531DF7"/>
    <w:rsid w:val="005370DC"/>
    <w:rsid w:val="00537789"/>
    <w:rsid w:val="00540934"/>
    <w:rsid w:val="0054161A"/>
    <w:rsid w:val="00541892"/>
    <w:rsid w:val="00542A11"/>
    <w:rsid w:val="00547ECE"/>
    <w:rsid w:val="00552BD3"/>
    <w:rsid w:val="005544C9"/>
    <w:rsid w:val="00555109"/>
    <w:rsid w:val="00555B80"/>
    <w:rsid w:val="00560BA7"/>
    <w:rsid w:val="00561088"/>
    <w:rsid w:val="00563594"/>
    <w:rsid w:val="00563BB1"/>
    <w:rsid w:val="00565B40"/>
    <w:rsid w:val="0056696F"/>
    <w:rsid w:val="005676A1"/>
    <w:rsid w:val="0057354F"/>
    <w:rsid w:val="00575078"/>
    <w:rsid w:val="00575D8D"/>
    <w:rsid w:val="00576972"/>
    <w:rsid w:val="00577B7F"/>
    <w:rsid w:val="00580708"/>
    <w:rsid w:val="005810A9"/>
    <w:rsid w:val="00581655"/>
    <w:rsid w:val="00581F12"/>
    <w:rsid w:val="00582B1E"/>
    <w:rsid w:val="00583699"/>
    <w:rsid w:val="005839FC"/>
    <w:rsid w:val="00584E07"/>
    <w:rsid w:val="005875E3"/>
    <w:rsid w:val="005903BA"/>
    <w:rsid w:val="0059047C"/>
    <w:rsid w:val="005909FF"/>
    <w:rsid w:val="00592F39"/>
    <w:rsid w:val="00594B5E"/>
    <w:rsid w:val="00594EBE"/>
    <w:rsid w:val="00594FFB"/>
    <w:rsid w:val="00595070"/>
    <w:rsid w:val="005A1EB4"/>
    <w:rsid w:val="005A2EC9"/>
    <w:rsid w:val="005A6556"/>
    <w:rsid w:val="005A685E"/>
    <w:rsid w:val="005A6C24"/>
    <w:rsid w:val="005A78F1"/>
    <w:rsid w:val="005B3C77"/>
    <w:rsid w:val="005B4E30"/>
    <w:rsid w:val="005B567E"/>
    <w:rsid w:val="005B5857"/>
    <w:rsid w:val="005B5C83"/>
    <w:rsid w:val="005B7B6E"/>
    <w:rsid w:val="005C0050"/>
    <w:rsid w:val="005C0CCC"/>
    <w:rsid w:val="005C1B83"/>
    <w:rsid w:val="005C346B"/>
    <w:rsid w:val="005C4042"/>
    <w:rsid w:val="005C4A2F"/>
    <w:rsid w:val="005C66BE"/>
    <w:rsid w:val="005C71FE"/>
    <w:rsid w:val="005D044D"/>
    <w:rsid w:val="005D18AD"/>
    <w:rsid w:val="005D3FCE"/>
    <w:rsid w:val="005D60AE"/>
    <w:rsid w:val="005D69DB"/>
    <w:rsid w:val="005D7506"/>
    <w:rsid w:val="005E19CD"/>
    <w:rsid w:val="005E29E9"/>
    <w:rsid w:val="005E2C91"/>
    <w:rsid w:val="005E3768"/>
    <w:rsid w:val="005E73C0"/>
    <w:rsid w:val="005F2706"/>
    <w:rsid w:val="005F2E06"/>
    <w:rsid w:val="005F5143"/>
    <w:rsid w:val="005F65A6"/>
    <w:rsid w:val="005F6A8F"/>
    <w:rsid w:val="005F7494"/>
    <w:rsid w:val="006013DD"/>
    <w:rsid w:val="00601C14"/>
    <w:rsid w:val="006028AF"/>
    <w:rsid w:val="00603629"/>
    <w:rsid w:val="00603698"/>
    <w:rsid w:val="00603801"/>
    <w:rsid w:val="00605C16"/>
    <w:rsid w:val="006063E6"/>
    <w:rsid w:val="00607669"/>
    <w:rsid w:val="00612F97"/>
    <w:rsid w:val="00613C68"/>
    <w:rsid w:val="00616802"/>
    <w:rsid w:val="006175E5"/>
    <w:rsid w:val="00617E12"/>
    <w:rsid w:val="00621477"/>
    <w:rsid w:val="006214E5"/>
    <w:rsid w:val="00621639"/>
    <w:rsid w:val="00621779"/>
    <w:rsid w:val="00622ACE"/>
    <w:rsid w:val="0062623C"/>
    <w:rsid w:val="00626D68"/>
    <w:rsid w:val="00631D6B"/>
    <w:rsid w:val="00632167"/>
    <w:rsid w:val="006329E6"/>
    <w:rsid w:val="0063412C"/>
    <w:rsid w:val="0063479F"/>
    <w:rsid w:val="006364A1"/>
    <w:rsid w:val="00637BFD"/>
    <w:rsid w:val="006417D9"/>
    <w:rsid w:val="0064652B"/>
    <w:rsid w:val="006470AC"/>
    <w:rsid w:val="006471CC"/>
    <w:rsid w:val="0065079F"/>
    <w:rsid w:val="0065238A"/>
    <w:rsid w:val="00653325"/>
    <w:rsid w:val="00654DBF"/>
    <w:rsid w:val="006550EA"/>
    <w:rsid w:val="006558FD"/>
    <w:rsid w:val="00655920"/>
    <w:rsid w:val="00655EA3"/>
    <w:rsid w:val="00657F1F"/>
    <w:rsid w:val="00660307"/>
    <w:rsid w:val="00660AEA"/>
    <w:rsid w:val="00662C6E"/>
    <w:rsid w:val="00663CD8"/>
    <w:rsid w:val="00664C2B"/>
    <w:rsid w:val="00665BB5"/>
    <w:rsid w:val="00665C97"/>
    <w:rsid w:val="00665DC9"/>
    <w:rsid w:val="0066761A"/>
    <w:rsid w:val="00671668"/>
    <w:rsid w:val="00672562"/>
    <w:rsid w:val="006747FE"/>
    <w:rsid w:val="006748D2"/>
    <w:rsid w:val="00674E42"/>
    <w:rsid w:val="00676D5E"/>
    <w:rsid w:val="00677B89"/>
    <w:rsid w:val="00682112"/>
    <w:rsid w:val="006838F8"/>
    <w:rsid w:val="00683951"/>
    <w:rsid w:val="00685EEE"/>
    <w:rsid w:val="006861BF"/>
    <w:rsid w:val="006862BC"/>
    <w:rsid w:val="006872BA"/>
    <w:rsid w:val="006917D7"/>
    <w:rsid w:val="00692F53"/>
    <w:rsid w:val="00694F44"/>
    <w:rsid w:val="006968DD"/>
    <w:rsid w:val="006979C8"/>
    <w:rsid w:val="006A0244"/>
    <w:rsid w:val="006A0CFA"/>
    <w:rsid w:val="006A1BF0"/>
    <w:rsid w:val="006A4620"/>
    <w:rsid w:val="006A70ED"/>
    <w:rsid w:val="006B0135"/>
    <w:rsid w:val="006B0183"/>
    <w:rsid w:val="006B18CF"/>
    <w:rsid w:val="006B1A38"/>
    <w:rsid w:val="006B3D82"/>
    <w:rsid w:val="006B4DA9"/>
    <w:rsid w:val="006B57A0"/>
    <w:rsid w:val="006B6CCF"/>
    <w:rsid w:val="006C057E"/>
    <w:rsid w:val="006C0669"/>
    <w:rsid w:val="006C1C7C"/>
    <w:rsid w:val="006C1DE7"/>
    <w:rsid w:val="006C2A8E"/>
    <w:rsid w:val="006C7E15"/>
    <w:rsid w:val="006D19A3"/>
    <w:rsid w:val="006D3C7D"/>
    <w:rsid w:val="006D5091"/>
    <w:rsid w:val="006D5D5F"/>
    <w:rsid w:val="006D6CAF"/>
    <w:rsid w:val="006D7FE0"/>
    <w:rsid w:val="006E025D"/>
    <w:rsid w:val="006E04C8"/>
    <w:rsid w:val="006E4742"/>
    <w:rsid w:val="006E6B90"/>
    <w:rsid w:val="006F3304"/>
    <w:rsid w:val="006F3BC7"/>
    <w:rsid w:val="006F4DEF"/>
    <w:rsid w:val="006F515D"/>
    <w:rsid w:val="006F6307"/>
    <w:rsid w:val="006F63A5"/>
    <w:rsid w:val="006F6E31"/>
    <w:rsid w:val="006F72A3"/>
    <w:rsid w:val="0070243F"/>
    <w:rsid w:val="0070276E"/>
    <w:rsid w:val="00702F8F"/>
    <w:rsid w:val="007063AC"/>
    <w:rsid w:val="00710780"/>
    <w:rsid w:val="00710A4E"/>
    <w:rsid w:val="00711A36"/>
    <w:rsid w:val="007162BF"/>
    <w:rsid w:val="007163F7"/>
    <w:rsid w:val="00716C9F"/>
    <w:rsid w:val="007172AD"/>
    <w:rsid w:val="00717552"/>
    <w:rsid w:val="007202A0"/>
    <w:rsid w:val="00722CC1"/>
    <w:rsid w:val="0072416F"/>
    <w:rsid w:val="00724370"/>
    <w:rsid w:val="00730A5A"/>
    <w:rsid w:val="00734FC0"/>
    <w:rsid w:val="007350FA"/>
    <w:rsid w:val="00735328"/>
    <w:rsid w:val="0073563F"/>
    <w:rsid w:val="007363BD"/>
    <w:rsid w:val="00736732"/>
    <w:rsid w:val="0073685B"/>
    <w:rsid w:val="00737057"/>
    <w:rsid w:val="00742183"/>
    <w:rsid w:val="00742D59"/>
    <w:rsid w:val="00742F49"/>
    <w:rsid w:val="007458F5"/>
    <w:rsid w:val="00746866"/>
    <w:rsid w:val="00747D6E"/>
    <w:rsid w:val="00750E6B"/>
    <w:rsid w:val="00752183"/>
    <w:rsid w:val="007527C6"/>
    <w:rsid w:val="0075546C"/>
    <w:rsid w:val="007559AB"/>
    <w:rsid w:val="00755C64"/>
    <w:rsid w:val="007578DB"/>
    <w:rsid w:val="0076573A"/>
    <w:rsid w:val="00766242"/>
    <w:rsid w:val="007669FB"/>
    <w:rsid w:val="0077291E"/>
    <w:rsid w:val="00773001"/>
    <w:rsid w:val="00773479"/>
    <w:rsid w:val="007740D0"/>
    <w:rsid w:val="00775B70"/>
    <w:rsid w:val="0077747D"/>
    <w:rsid w:val="00777811"/>
    <w:rsid w:val="00777AB0"/>
    <w:rsid w:val="00782A8A"/>
    <w:rsid w:val="00784991"/>
    <w:rsid w:val="00790B63"/>
    <w:rsid w:val="0079121D"/>
    <w:rsid w:val="00791A39"/>
    <w:rsid w:val="00791F90"/>
    <w:rsid w:val="00793A30"/>
    <w:rsid w:val="00794129"/>
    <w:rsid w:val="007954E4"/>
    <w:rsid w:val="0079684F"/>
    <w:rsid w:val="0079700E"/>
    <w:rsid w:val="0079786D"/>
    <w:rsid w:val="0079790D"/>
    <w:rsid w:val="00797C03"/>
    <w:rsid w:val="007A097D"/>
    <w:rsid w:val="007A0A12"/>
    <w:rsid w:val="007A12B6"/>
    <w:rsid w:val="007A613D"/>
    <w:rsid w:val="007B1B59"/>
    <w:rsid w:val="007B251D"/>
    <w:rsid w:val="007B4B38"/>
    <w:rsid w:val="007B77D1"/>
    <w:rsid w:val="007C146C"/>
    <w:rsid w:val="007C22A3"/>
    <w:rsid w:val="007C2468"/>
    <w:rsid w:val="007C361D"/>
    <w:rsid w:val="007D0B38"/>
    <w:rsid w:val="007D141D"/>
    <w:rsid w:val="007D2497"/>
    <w:rsid w:val="007D3BFB"/>
    <w:rsid w:val="007D4CA6"/>
    <w:rsid w:val="007D7C00"/>
    <w:rsid w:val="007E0D48"/>
    <w:rsid w:val="007E1A6D"/>
    <w:rsid w:val="007E3613"/>
    <w:rsid w:val="007E57CB"/>
    <w:rsid w:val="007F0F60"/>
    <w:rsid w:val="007F1017"/>
    <w:rsid w:val="007F4A3F"/>
    <w:rsid w:val="0080095A"/>
    <w:rsid w:val="008009C9"/>
    <w:rsid w:val="008009D5"/>
    <w:rsid w:val="00805142"/>
    <w:rsid w:val="00807A8B"/>
    <w:rsid w:val="00811AF6"/>
    <w:rsid w:val="00812149"/>
    <w:rsid w:val="008122D4"/>
    <w:rsid w:val="00812728"/>
    <w:rsid w:val="00814316"/>
    <w:rsid w:val="008144A9"/>
    <w:rsid w:val="008166EF"/>
    <w:rsid w:val="00816784"/>
    <w:rsid w:val="00821BF3"/>
    <w:rsid w:val="00821DCF"/>
    <w:rsid w:val="00823512"/>
    <w:rsid w:val="00825028"/>
    <w:rsid w:val="0082641D"/>
    <w:rsid w:val="008264EB"/>
    <w:rsid w:val="00830771"/>
    <w:rsid w:val="00830BEA"/>
    <w:rsid w:val="00831A6F"/>
    <w:rsid w:val="00831A85"/>
    <w:rsid w:val="00832D6C"/>
    <w:rsid w:val="00833B05"/>
    <w:rsid w:val="00834FA0"/>
    <w:rsid w:val="00836166"/>
    <w:rsid w:val="00840CA2"/>
    <w:rsid w:val="00840CB3"/>
    <w:rsid w:val="00840D4D"/>
    <w:rsid w:val="00841A88"/>
    <w:rsid w:val="008448D2"/>
    <w:rsid w:val="00845F14"/>
    <w:rsid w:val="00846417"/>
    <w:rsid w:val="00846CF6"/>
    <w:rsid w:val="0084776A"/>
    <w:rsid w:val="00851FD5"/>
    <w:rsid w:val="00853CDC"/>
    <w:rsid w:val="00856E9A"/>
    <w:rsid w:val="00857348"/>
    <w:rsid w:val="008608BA"/>
    <w:rsid w:val="008609EA"/>
    <w:rsid w:val="00862502"/>
    <w:rsid w:val="0086255E"/>
    <w:rsid w:val="008702CA"/>
    <w:rsid w:val="008702F9"/>
    <w:rsid w:val="008706E8"/>
    <w:rsid w:val="00872A39"/>
    <w:rsid w:val="008747B0"/>
    <w:rsid w:val="00874CE1"/>
    <w:rsid w:val="00876401"/>
    <w:rsid w:val="0088137F"/>
    <w:rsid w:val="00881A19"/>
    <w:rsid w:val="00882409"/>
    <w:rsid w:val="00882545"/>
    <w:rsid w:val="00882874"/>
    <w:rsid w:val="00882F7D"/>
    <w:rsid w:val="00883787"/>
    <w:rsid w:val="00883D19"/>
    <w:rsid w:val="0088572F"/>
    <w:rsid w:val="0088668C"/>
    <w:rsid w:val="00894489"/>
    <w:rsid w:val="00894557"/>
    <w:rsid w:val="00895C39"/>
    <w:rsid w:val="008963A5"/>
    <w:rsid w:val="00897C09"/>
    <w:rsid w:val="00897EBC"/>
    <w:rsid w:val="008A04FD"/>
    <w:rsid w:val="008A1009"/>
    <w:rsid w:val="008A11B9"/>
    <w:rsid w:val="008A3C3E"/>
    <w:rsid w:val="008A631C"/>
    <w:rsid w:val="008A79DE"/>
    <w:rsid w:val="008A7B94"/>
    <w:rsid w:val="008B1E76"/>
    <w:rsid w:val="008B216D"/>
    <w:rsid w:val="008B6EE3"/>
    <w:rsid w:val="008B7D7E"/>
    <w:rsid w:val="008C29F7"/>
    <w:rsid w:val="008C6381"/>
    <w:rsid w:val="008C7ECB"/>
    <w:rsid w:val="008D024B"/>
    <w:rsid w:val="008D14B7"/>
    <w:rsid w:val="008D168D"/>
    <w:rsid w:val="008D37C8"/>
    <w:rsid w:val="008D40D2"/>
    <w:rsid w:val="008D67A5"/>
    <w:rsid w:val="008D67B6"/>
    <w:rsid w:val="008E09D2"/>
    <w:rsid w:val="008E1B9E"/>
    <w:rsid w:val="008E36EC"/>
    <w:rsid w:val="008E48F0"/>
    <w:rsid w:val="008E5844"/>
    <w:rsid w:val="008E6BDB"/>
    <w:rsid w:val="008F0D7D"/>
    <w:rsid w:val="008F120A"/>
    <w:rsid w:val="008F4427"/>
    <w:rsid w:val="008F48EB"/>
    <w:rsid w:val="008F4F0B"/>
    <w:rsid w:val="00900FCE"/>
    <w:rsid w:val="009047FB"/>
    <w:rsid w:val="009049A0"/>
    <w:rsid w:val="009062A5"/>
    <w:rsid w:val="00907481"/>
    <w:rsid w:val="00911272"/>
    <w:rsid w:val="009115EE"/>
    <w:rsid w:val="00913170"/>
    <w:rsid w:val="00913737"/>
    <w:rsid w:val="00913CC4"/>
    <w:rsid w:val="00914937"/>
    <w:rsid w:val="00914D17"/>
    <w:rsid w:val="00914DE3"/>
    <w:rsid w:val="009177DB"/>
    <w:rsid w:val="009179F7"/>
    <w:rsid w:val="00917FD1"/>
    <w:rsid w:val="00921CFD"/>
    <w:rsid w:val="0092226B"/>
    <w:rsid w:val="00923ED3"/>
    <w:rsid w:val="009250EF"/>
    <w:rsid w:val="00926EB7"/>
    <w:rsid w:val="00930416"/>
    <w:rsid w:val="009333BB"/>
    <w:rsid w:val="00933818"/>
    <w:rsid w:val="009342F4"/>
    <w:rsid w:val="009354E1"/>
    <w:rsid w:val="009371CD"/>
    <w:rsid w:val="0093793F"/>
    <w:rsid w:val="00941C30"/>
    <w:rsid w:val="009432FD"/>
    <w:rsid w:val="009468E2"/>
    <w:rsid w:val="00947BE2"/>
    <w:rsid w:val="0095170B"/>
    <w:rsid w:val="00953C8C"/>
    <w:rsid w:val="00954058"/>
    <w:rsid w:val="00955E15"/>
    <w:rsid w:val="0095687B"/>
    <w:rsid w:val="0096060F"/>
    <w:rsid w:val="00960F54"/>
    <w:rsid w:val="00961183"/>
    <w:rsid w:val="0096272C"/>
    <w:rsid w:val="00962945"/>
    <w:rsid w:val="00962CB9"/>
    <w:rsid w:val="00964312"/>
    <w:rsid w:val="00964725"/>
    <w:rsid w:val="00966077"/>
    <w:rsid w:val="00971DDD"/>
    <w:rsid w:val="00972A48"/>
    <w:rsid w:val="00974E0E"/>
    <w:rsid w:val="009828DF"/>
    <w:rsid w:val="00983E57"/>
    <w:rsid w:val="009856C7"/>
    <w:rsid w:val="009863EC"/>
    <w:rsid w:val="009869C8"/>
    <w:rsid w:val="00987DBE"/>
    <w:rsid w:val="0099222C"/>
    <w:rsid w:val="0099512E"/>
    <w:rsid w:val="0099695B"/>
    <w:rsid w:val="00996B1A"/>
    <w:rsid w:val="009A05BA"/>
    <w:rsid w:val="009A410C"/>
    <w:rsid w:val="009A41BE"/>
    <w:rsid w:val="009A528C"/>
    <w:rsid w:val="009A5957"/>
    <w:rsid w:val="009A6980"/>
    <w:rsid w:val="009A7138"/>
    <w:rsid w:val="009B011D"/>
    <w:rsid w:val="009B2E22"/>
    <w:rsid w:val="009B3E26"/>
    <w:rsid w:val="009B3F86"/>
    <w:rsid w:val="009B4EEE"/>
    <w:rsid w:val="009B4F54"/>
    <w:rsid w:val="009B6131"/>
    <w:rsid w:val="009B6254"/>
    <w:rsid w:val="009B7185"/>
    <w:rsid w:val="009B7789"/>
    <w:rsid w:val="009C24AD"/>
    <w:rsid w:val="009C6341"/>
    <w:rsid w:val="009D1C6E"/>
    <w:rsid w:val="009D43C4"/>
    <w:rsid w:val="009D4475"/>
    <w:rsid w:val="009D51B3"/>
    <w:rsid w:val="009D5698"/>
    <w:rsid w:val="009D5B91"/>
    <w:rsid w:val="009D6FEA"/>
    <w:rsid w:val="009E2417"/>
    <w:rsid w:val="009E4C07"/>
    <w:rsid w:val="009E4CB0"/>
    <w:rsid w:val="009E5F3B"/>
    <w:rsid w:val="009E7C2D"/>
    <w:rsid w:val="009E7CDC"/>
    <w:rsid w:val="009F353D"/>
    <w:rsid w:val="009F44B2"/>
    <w:rsid w:val="009F470B"/>
    <w:rsid w:val="009F6F55"/>
    <w:rsid w:val="00A032ED"/>
    <w:rsid w:val="00A03D43"/>
    <w:rsid w:val="00A04380"/>
    <w:rsid w:val="00A056BF"/>
    <w:rsid w:val="00A103D6"/>
    <w:rsid w:val="00A13948"/>
    <w:rsid w:val="00A154B7"/>
    <w:rsid w:val="00A1553E"/>
    <w:rsid w:val="00A16A88"/>
    <w:rsid w:val="00A20C1E"/>
    <w:rsid w:val="00A27292"/>
    <w:rsid w:val="00A27AEC"/>
    <w:rsid w:val="00A27CD6"/>
    <w:rsid w:val="00A27CEA"/>
    <w:rsid w:val="00A33DD7"/>
    <w:rsid w:val="00A33E57"/>
    <w:rsid w:val="00A352D1"/>
    <w:rsid w:val="00A35B9B"/>
    <w:rsid w:val="00A35D16"/>
    <w:rsid w:val="00A407CF"/>
    <w:rsid w:val="00A43A52"/>
    <w:rsid w:val="00A43C59"/>
    <w:rsid w:val="00A44780"/>
    <w:rsid w:val="00A45724"/>
    <w:rsid w:val="00A46B97"/>
    <w:rsid w:val="00A50421"/>
    <w:rsid w:val="00A50ECD"/>
    <w:rsid w:val="00A52729"/>
    <w:rsid w:val="00A53287"/>
    <w:rsid w:val="00A53675"/>
    <w:rsid w:val="00A53B95"/>
    <w:rsid w:val="00A5499D"/>
    <w:rsid w:val="00A54A6B"/>
    <w:rsid w:val="00A55D3C"/>
    <w:rsid w:val="00A56B6A"/>
    <w:rsid w:val="00A578DC"/>
    <w:rsid w:val="00A600D2"/>
    <w:rsid w:val="00A62D3F"/>
    <w:rsid w:val="00A65790"/>
    <w:rsid w:val="00A65EC3"/>
    <w:rsid w:val="00A6725B"/>
    <w:rsid w:val="00A70021"/>
    <w:rsid w:val="00A705D6"/>
    <w:rsid w:val="00A70983"/>
    <w:rsid w:val="00A7231B"/>
    <w:rsid w:val="00A7235F"/>
    <w:rsid w:val="00A72AEF"/>
    <w:rsid w:val="00A754E0"/>
    <w:rsid w:val="00A7799C"/>
    <w:rsid w:val="00A8000F"/>
    <w:rsid w:val="00A828BD"/>
    <w:rsid w:val="00A84068"/>
    <w:rsid w:val="00A85034"/>
    <w:rsid w:val="00A86E8B"/>
    <w:rsid w:val="00A87837"/>
    <w:rsid w:val="00A93072"/>
    <w:rsid w:val="00A93AE4"/>
    <w:rsid w:val="00A94955"/>
    <w:rsid w:val="00A950C1"/>
    <w:rsid w:val="00A959D8"/>
    <w:rsid w:val="00A95A68"/>
    <w:rsid w:val="00A97DA2"/>
    <w:rsid w:val="00AA0372"/>
    <w:rsid w:val="00AA40C5"/>
    <w:rsid w:val="00AA45D3"/>
    <w:rsid w:val="00AA7016"/>
    <w:rsid w:val="00AB042A"/>
    <w:rsid w:val="00AB11B4"/>
    <w:rsid w:val="00AB1761"/>
    <w:rsid w:val="00AB29BF"/>
    <w:rsid w:val="00AB2D34"/>
    <w:rsid w:val="00AB3430"/>
    <w:rsid w:val="00AB47EA"/>
    <w:rsid w:val="00AB5291"/>
    <w:rsid w:val="00AB52F1"/>
    <w:rsid w:val="00AB6006"/>
    <w:rsid w:val="00AB7CFA"/>
    <w:rsid w:val="00AC02DF"/>
    <w:rsid w:val="00AC159C"/>
    <w:rsid w:val="00AC1960"/>
    <w:rsid w:val="00AC3FEE"/>
    <w:rsid w:val="00AC7482"/>
    <w:rsid w:val="00AD023C"/>
    <w:rsid w:val="00AD21C7"/>
    <w:rsid w:val="00AD336A"/>
    <w:rsid w:val="00AD5658"/>
    <w:rsid w:val="00AD6802"/>
    <w:rsid w:val="00AE04B6"/>
    <w:rsid w:val="00AE0AF7"/>
    <w:rsid w:val="00AE2F0C"/>
    <w:rsid w:val="00AE4579"/>
    <w:rsid w:val="00AE5E83"/>
    <w:rsid w:val="00AE6BDE"/>
    <w:rsid w:val="00AE7696"/>
    <w:rsid w:val="00AF0018"/>
    <w:rsid w:val="00AF0B79"/>
    <w:rsid w:val="00AF29CC"/>
    <w:rsid w:val="00AF2F47"/>
    <w:rsid w:val="00AF7333"/>
    <w:rsid w:val="00B01CE0"/>
    <w:rsid w:val="00B03F07"/>
    <w:rsid w:val="00B052B6"/>
    <w:rsid w:val="00B05E17"/>
    <w:rsid w:val="00B11D7C"/>
    <w:rsid w:val="00B11F6E"/>
    <w:rsid w:val="00B11FC7"/>
    <w:rsid w:val="00B132CA"/>
    <w:rsid w:val="00B13C96"/>
    <w:rsid w:val="00B164AB"/>
    <w:rsid w:val="00B174A5"/>
    <w:rsid w:val="00B174C1"/>
    <w:rsid w:val="00B24BA9"/>
    <w:rsid w:val="00B25A79"/>
    <w:rsid w:val="00B25F7C"/>
    <w:rsid w:val="00B26020"/>
    <w:rsid w:val="00B32687"/>
    <w:rsid w:val="00B331DC"/>
    <w:rsid w:val="00B33539"/>
    <w:rsid w:val="00B3500D"/>
    <w:rsid w:val="00B3516B"/>
    <w:rsid w:val="00B35F6B"/>
    <w:rsid w:val="00B36CB8"/>
    <w:rsid w:val="00B37C36"/>
    <w:rsid w:val="00B41512"/>
    <w:rsid w:val="00B42851"/>
    <w:rsid w:val="00B438A1"/>
    <w:rsid w:val="00B4534F"/>
    <w:rsid w:val="00B50DB8"/>
    <w:rsid w:val="00B53905"/>
    <w:rsid w:val="00B54B5B"/>
    <w:rsid w:val="00B5562E"/>
    <w:rsid w:val="00B55B51"/>
    <w:rsid w:val="00B56A1D"/>
    <w:rsid w:val="00B57000"/>
    <w:rsid w:val="00B60939"/>
    <w:rsid w:val="00B60AFD"/>
    <w:rsid w:val="00B62709"/>
    <w:rsid w:val="00B62715"/>
    <w:rsid w:val="00B66641"/>
    <w:rsid w:val="00B67C60"/>
    <w:rsid w:val="00B700A4"/>
    <w:rsid w:val="00B71D5F"/>
    <w:rsid w:val="00B738BD"/>
    <w:rsid w:val="00B7398F"/>
    <w:rsid w:val="00B73B80"/>
    <w:rsid w:val="00B77944"/>
    <w:rsid w:val="00B818A4"/>
    <w:rsid w:val="00B83B34"/>
    <w:rsid w:val="00B84C55"/>
    <w:rsid w:val="00B8649C"/>
    <w:rsid w:val="00B86639"/>
    <w:rsid w:val="00B875DD"/>
    <w:rsid w:val="00B87F40"/>
    <w:rsid w:val="00B90164"/>
    <w:rsid w:val="00B90980"/>
    <w:rsid w:val="00B92924"/>
    <w:rsid w:val="00B92D0B"/>
    <w:rsid w:val="00B94945"/>
    <w:rsid w:val="00B94A30"/>
    <w:rsid w:val="00B95463"/>
    <w:rsid w:val="00B96604"/>
    <w:rsid w:val="00B97F1B"/>
    <w:rsid w:val="00BA2B60"/>
    <w:rsid w:val="00BA310A"/>
    <w:rsid w:val="00BA4345"/>
    <w:rsid w:val="00BA438E"/>
    <w:rsid w:val="00BA5CED"/>
    <w:rsid w:val="00BA6457"/>
    <w:rsid w:val="00BA6876"/>
    <w:rsid w:val="00BA6BE1"/>
    <w:rsid w:val="00BB05DD"/>
    <w:rsid w:val="00BB3B2B"/>
    <w:rsid w:val="00BB7405"/>
    <w:rsid w:val="00BB7EDA"/>
    <w:rsid w:val="00BC1890"/>
    <w:rsid w:val="00BC22DA"/>
    <w:rsid w:val="00BC5418"/>
    <w:rsid w:val="00BC6E3A"/>
    <w:rsid w:val="00BC7832"/>
    <w:rsid w:val="00BD28A6"/>
    <w:rsid w:val="00BD2BF9"/>
    <w:rsid w:val="00BD379A"/>
    <w:rsid w:val="00BD551E"/>
    <w:rsid w:val="00BD6BB7"/>
    <w:rsid w:val="00BD6CD2"/>
    <w:rsid w:val="00BD6CF3"/>
    <w:rsid w:val="00BE17F6"/>
    <w:rsid w:val="00BE19B9"/>
    <w:rsid w:val="00BE1B70"/>
    <w:rsid w:val="00BE2180"/>
    <w:rsid w:val="00BE2210"/>
    <w:rsid w:val="00BE40A3"/>
    <w:rsid w:val="00BE4275"/>
    <w:rsid w:val="00BE4C28"/>
    <w:rsid w:val="00BF0883"/>
    <w:rsid w:val="00BF0BA7"/>
    <w:rsid w:val="00BF2433"/>
    <w:rsid w:val="00BF5FD0"/>
    <w:rsid w:val="00BF61C9"/>
    <w:rsid w:val="00C00439"/>
    <w:rsid w:val="00C101E3"/>
    <w:rsid w:val="00C136C1"/>
    <w:rsid w:val="00C15C7C"/>
    <w:rsid w:val="00C17C84"/>
    <w:rsid w:val="00C211CF"/>
    <w:rsid w:val="00C22AB2"/>
    <w:rsid w:val="00C25418"/>
    <w:rsid w:val="00C256E0"/>
    <w:rsid w:val="00C25D9C"/>
    <w:rsid w:val="00C26464"/>
    <w:rsid w:val="00C31649"/>
    <w:rsid w:val="00C33657"/>
    <w:rsid w:val="00C3375A"/>
    <w:rsid w:val="00C34383"/>
    <w:rsid w:val="00C34A10"/>
    <w:rsid w:val="00C35DA5"/>
    <w:rsid w:val="00C3648B"/>
    <w:rsid w:val="00C40385"/>
    <w:rsid w:val="00C40AF8"/>
    <w:rsid w:val="00C4310F"/>
    <w:rsid w:val="00C43530"/>
    <w:rsid w:val="00C438B9"/>
    <w:rsid w:val="00C44857"/>
    <w:rsid w:val="00C44DC6"/>
    <w:rsid w:val="00C4672B"/>
    <w:rsid w:val="00C520CB"/>
    <w:rsid w:val="00C5793C"/>
    <w:rsid w:val="00C6105C"/>
    <w:rsid w:val="00C65576"/>
    <w:rsid w:val="00C65C73"/>
    <w:rsid w:val="00C66165"/>
    <w:rsid w:val="00C676C4"/>
    <w:rsid w:val="00C702B3"/>
    <w:rsid w:val="00C70A6F"/>
    <w:rsid w:val="00C72A58"/>
    <w:rsid w:val="00C72D14"/>
    <w:rsid w:val="00C7475E"/>
    <w:rsid w:val="00C750C8"/>
    <w:rsid w:val="00C771A2"/>
    <w:rsid w:val="00C8118D"/>
    <w:rsid w:val="00C8213F"/>
    <w:rsid w:val="00C86643"/>
    <w:rsid w:val="00C8797A"/>
    <w:rsid w:val="00C87D0E"/>
    <w:rsid w:val="00C91F0A"/>
    <w:rsid w:val="00C927B7"/>
    <w:rsid w:val="00C938CF"/>
    <w:rsid w:val="00C94369"/>
    <w:rsid w:val="00C97262"/>
    <w:rsid w:val="00CA1D0F"/>
    <w:rsid w:val="00CA5245"/>
    <w:rsid w:val="00CA5C9C"/>
    <w:rsid w:val="00CA5CED"/>
    <w:rsid w:val="00CA68DA"/>
    <w:rsid w:val="00CA75AA"/>
    <w:rsid w:val="00CA7B09"/>
    <w:rsid w:val="00CB0971"/>
    <w:rsid w:val="00CB14DF"/>
    <w:rsid w:val="00CB2F30"/>
    <w:rsid w:val="00CB5B1A"/>
    <w:rsid w:val="00CB6063"/>
    <w:rsid w:val="00CC13B4"/>
    <w:rsid w:val="00CC1606"/>
    <w:rsid w:val="00CC408B"/>
    <w:rsid w:val="00CD22A3"/>
    <w:rsid w:val="00CD4AD7"/>
    <w:rsid w:val="00CD6ADC"/>
    <w:rsid w:val="00CE1B29"/>
    <w:rsid w:val="00CE26EE"/>
    <w:rsid w:val="00CE6105"/>
    <w:rsid w:val="00CE6274"/>
    <w:rsid w:val="00CF3281"/>
    <w:rsid w:val="00CF403D"/>
    <w:rsid w:val="00CF456B"/>
    <w:rsid w:val="00CF5A22"/>
    <w:rsid w:val="00CF65E2"/>
    <w:rsid w:val="00D00F4E"/>
    <w:rsid w:val="00D01B34"/>
    <w:rsid w:val="00D0262E"/>
    <w:rsid w:val="00D0295D"/>
    <w:rsid w:val="00D029C0"/>
    <w:rsid w:val="00D0340A"/>
    <w:rsid w:val="00D03D36"/>
    <w:rsid w:val="00D1023A"/>
    <w:rsid w:val="00D10A41"/>
    <w:rsid w:val="00D10EF4"/>
    <w:rsid w:val="00D110BD"/>
    <w:rsid w:val="00D13C6F"/>
    <w:rsid w:val="00D15773"/>
    <w:rsid w:val="00D17D6C"/>
    <w:rsid w:val="00D22B8B"/>
    <w:rsid w:val="00D27BD9"/>
    <w:rsid w:val="00D32922"/>
    <w:rsid w:val="00D32FC7"/>
    <w:rsid w:val="00D34297"/>
    <w:rsid w:val="00D345AF"/>
    <w:rsid w:val="00D349E9"/>
    <w:rsid w:val="00D357FF"/>
    <w:rsid w:val="00D3595D"/>
    <w:rsid w:val="00D35E9F"/>
    <w:rsid w:val="00D37675"/>
    <w:rsid w:val="00D3788E"/>
    <w:rsid w:val="00D40135"/>
    <w:rsid w:val="00D40221"/>
    <w:rsid w:val="00D40223"/>
    <w:rsid w:val="00D417F8"/>
    <w:rsid w:val="00D45E7C"/>
    <w:rsid w:val="00D46800"/>
    <w:rsid w:val="00D4733C"/>
    <w:rsid w:val="00D477BA"/>
    <w:rsid w:val="00D54612"/>
    <w:rsid w:val="00D55316"/>
    <w:rsid w:val="00D55903"/>
    <w:rsid w:val="00D571B9"/>
    <w:rsid w:val="00D57B12"/>
    <w:rsid w:val="00D62D8A"/>
    <w:rsid w:val="00D62EAC"/>
    <w:rsid w:val="00D64806"/>
    <w:rsid w:val="00D659E6"/>
    <w:rsid w:val="00D669E8"/>
    <w:rsid w:val="00D67545"/>
    <w:rsid w:val="00D7239C"/>
    <w:rsid w:val="00D73206"/>
    <w:rsid w:val="00D74278"/>
    <w:rsid w:val="00D76A44"/>
    <w:rsid w:val="00D76F5A"/>
    <w:rsid w:val="00D81DE3"/>
    <w:rsid w:val="00D82357"/>
    <w:rsid w:val="00D835A3"/>
    <w:rsid w:val="00D84B46"/>
    <w:rsid w:val="00D84F4E"/>
    <w:rsid w:val="00D91E9D"/>
    <w:rsid w:val="00D93753"/>
    <w:rsid w:val="00D938EA"/>
    <w:rsid w:val="00D94665"/>
    <w:rsid w:val="00D950EE"/>
    <w:rsid w:val="00DA0DE7"/>
    <w:rsid w:val="00DA1F09"/>
    <w:rsid w:val="00DA233F"/>
    <w:rsid w:val="00DA2963"/>
    <w:rsid w:val="00DA355A"/>
    <w:rsid w:val="00DA4009"/>
    <w:rsid w:val="00DA58ED"/>
    <w:rsid w:val="00DA5ADB"/>
    <w:rsid w:val="00DA6F5F"/>
    <w:rsid w:val="00DA77A5"/>
    <w:rsid w:val="00DB0D3F"/>
    <w:rsid w:val="00DB59E4"/>
    <w:rsid w:val="00DB5CAC"/>
    <w:rsid w:val="00DC035A"/>
    <w:rsid w:val="00DC1A76"/>
    <w:rsid w:val="00DC23FD"/>
    <w:rsid w:val="00DC43F9"/>
    <w:rsid w:val="00DC5501"/>
    <w:rsid w:val="00DC5A3B"/>
    <w:rsid w:val="00DC75B7"/>
    <w:rsid w:val="00DD0B20"/>
    <w:rsid w:val="00DD19A9"/>
    <w:rsid w:val="00DD3589"/>
    <w:rsid w:val="00DD3F28"/>
    <w:rsid w:val="00DD4537"/>
    <w:rsid w:val="00DD4D24"/>
    <w:rsid w:val="00DD4E15"/>
    <w:rsid w:val="00DD53E5"/>
    <w:rsid w:val="00DD584A"/>
    <w:rsid w:val="00DD610D"/>
    <w:rsid w:val="00DD68BB"/>
    <w:rsid w:val="00DE4E03"/>
    <w:rsid w:val="00DE4FCB"/>
    <w:rsid w:val="00DF095B"/>
    <w:rsid w:val="00DF1E28"/>
    <w:rsid w:val="00DF2C14"/>
    <w:rsid w:val="00DF336D"/>
    <w:rsid w:val="00DF580D"/>
    <w:rsid w:val="00DF5D2B"/>
    <w:rsid w:val="00E00D54"/>
    <w:rsid w:val="00E022D3"/>
    <w:rsid w:val="00E0311A"/>
    <w:rsid w:val="00E04CEE"/>
    <w:rsid w:val="00E10149"/>
    <w:rsid w:val="00E10526"/>
    <w:rsid w:val="00E1345B"/>
    <w:rsid w:val="00E142D0"/>
    <w:rsid w:val="00E150EF"/>
    <w:rsid w:val="00E15480"/>
    <w:rsid w:val="00E16372"/>
    <w:rsid w:val="00E16556"/>
    <w:rsid w:val="00E1657D"/>
    <w:rsid w:val="00E17587"/>
    <w:rsid w:val="00E20ED6"/>
    <w:rsid w:val="00E21358"/>
    <w:rsid w:val="00E2249B"/>
    <w:rsid w:val="00E22A0D"/>
    <w:rsid w:val="00E25D32"/>
    <w:rsid w:val="00E276A2"/>
    <w:rsid w:val="00E2771E"/>
    <w:rsid w:val="00E316EB"/>
    <w:rsid w:val="00E322C1"/>
    <w:rsid w:val="00E32EC6"/>
    <w:rsid w:val="00E33424"/>
    <w:rsid w:val="00E3426F"/>
    <w:rsid w:val="00E37569"/>
    <w:rsid w:val="00E378AE"/>
    <w:rsid w:val="00E40689"/>
    <w:rsid w:val="00E409EC"/>
    <w:rsid w:val="00E41E30"/>
    <w:rsid w:val="00E434CE"/>
    <w:rsid w:val="00E43D70"/>
    <w:rsid w:val="00E44026"/>
    <w:rsid w:val="00E47B2C"/>
    <w:rsid w:val="00E5072F"/>
    <w:rsid w:val="00E51560"/>
    <w:rsid w:val="00E55424"/>
    <w:rsid w:val="00E55BB5"/>
    <w:rsid w:val="00E55BBB"/>
    <w:rsid w:val="00E55EAF"/>
    <w:rsid w:val="00E567E7"/>
    <w:rsid w:val="00E56F08"/>
    <w:rsid w:val="00E57F5E"/>
    <w:rsid w:val="00E60E3C"/>
    <w:rsid w:val="00E63B94"/>
    <w:rsid w:val="00E643CC"/>
    <w:rsid w:val="00E65E79"/>
    <w:rsid w:val="00E67416"/>
    <w:rsid w:val="00E70CB8"/>
    <w:rsid w:val="00E718B6"/>
    <w:rsid w:val="00E72100"/>
    <w:rsid w:val="00E73581"/>
    <w:rsid w:val="00E738B1"/>
    <w:rsid w:val="00E75667"/>
    <w:rsid w:val="00E76C3D"/>
    <w:rsid w:val="00E80E84"/>
    <w:rsid w:val="00E81763"/>
    <w:rsid w:val="00E82D2E"/>
    <w:rsid w:val="00E83BDF"/>
    <w:rsid w:val="00E84BD0"/>
    <w:rsid w:val="00E863CA"/>
    <w:rsid w:val="00E86D1E"/>
    <w:rsid w:val="00E87BA5"/>
    <w:rsid w:val="00E91683"/>
    <w:rsid w:val="00E91CC3"/>
    <w:rsid w:val="00E93DE2"/>
    <w:rsid w:val="00E9480A"/>
    <w:rsid w:val="00E95A6E"/>
    <w:rsid w:val="00E95BCA"/>
    <w:rsid w:val="00E97825"/>
    <w:rsid w:val="00EA057A"/>
    <w:rsid w:val="00EA0631"/>
    <w:rsid w:val="00EA0FBD"/>
    <w:rsid w:val="00EA14F8"/>
    <w:rsid w:val="00EA3864"/>
    <w:rsid w:val="00EA4056"/>
    <w:rsid w:val="00EA432C"/>
    <w:rsid w:val="00EA6E4E"/>
    <w:rsid w:val="00EB15B6"/>
    <w:rsid w:val="00EB1E67"/>
    <w:rsid w:val="00EB2143"/>
    <w:rsid w:val="00EB37E5"/>
    <w:rsid w:val="00EB473A"/>
    <w:rsid w:val="00EB4916"/>
    <w:rsid w:val="00EB62F6"/>
    <w:rsid w:val="00EB6C8F"/>
    <w:rsid w:val="00EB7B84"/>
    <w:rsid w:val="00EC00C9"/>
    <w:rsid w:val="00EC25F4"/>
    <w:rsid w:val="00EC2659"/>
    <w:rsid w:val="00EC3C29"/>
    <w:rsid w:val="00EC4AE4"/>
    <w:rsid w:val="00ED1002"/>
    <w:rsid w:val="00ED4FA8"/>
    <w:rsid w:val="00EE07D3"/>
    <w:rsid w:val="00EE16B2"/>
    <w:rsid w:val="00EE17D7"/>
    <w:rsid w:val="00EE1A15"/>
    <w:rsid w:val="00EE2D90"/>
    <w:rsid w:val="00EF02F0"/>
    <w:rsid w:val="00EF032E"/>
    <w:rsid w:val="00EF1578"/>
    <w:rsid w:val="00EF23D4"/>
    <w:rsid w:val="00EF46D3"/>
    <w:rsid w:val="00EF7191"/>
    <w:rsid w:val="00F0016D"/>
    <w:rsid w:val="00F010C5"/>
    <w:rsid w:val="00F0407D"/>
    <w:rsid w:val="00F044D7"/>
    <w:rsid w:val="00F067A2"/>
    <w:rsid w:val="00F06D46"/>
    <w:rsid w:val="00F06E8C"/>
    <w:rsid w:val="00F108D5"/>
    <w:rsid w:val="00F10974"/>
    <w:rsid w:val="00F10BE5"/>
    <w:rsid w:val="00F122F3"/>
    <w:rsid w:val="00F132DF"/>
    <w:rsid w:val="00F15F62"/>
    <w:rsid w:val="00F17635"/>
    <w:rsid w:val="00F20D80"/>
    <w:rsid w:val="00F213EE"/>
    <w:rsid w:val="00F2331B"/>
    <w:rsid w:val="00F24837"/>
    <w:rsid w:val="00F250AB"/>
    <w:rsid w:val="00F2575F"/>
    <w:rsid w:val="00F308D8"/>
    <w:rsid w:val="00F33820"/>
    <w:rsid w:val="00F33DE9"/>
    <w:rsid w:val="00F3619A"/>
    <w:rsid w:val="00F369C3"/>
    <w:rsid w:val="00F43603"/>
    <w:rsid w:val="00F43D8F"/>
    <w:rsid w:val="00F44405"/>
    <w:rsid w:val="00F4440D"/>
    <w:rsid w:val="00F45367"/>
    <w:rsid w:val="00F46628"/>
    <w:rsid w:val="00F46CB6"/>
    <w:rsid w:val="00F5039F"/>
    <w:rsid w:val="00F50D21"/>
    <w:rsid w:val="00F5103A"/>
    <w:rsid w:val="00F5339C"/>
    <w:rsid w:val="00F53E25"/>
    <w:rsid w:val="00F54D42"/>
    <w:rsid w:val="00F54D72"/>
    <w:rsid w:val="00F55E73"/>
    <w:rsid w:val="00F60092"/>
    <w:rsid w:val="00F60B31"/>
    <w:rsid w:val="00F60BAB"/>
    <w:rsid w:val="00F60E6A"/>
    <w:rsid w:val="00F61498"/>
    <w:rsid w:val="00F63DE8"/>
    <w:rsid w:val="00F64FAA"/>
    <w:rsid w:val="00F656D6"/>
    <w:rsid w:val="00F65DFB"/>
    <w:rsid w:val="00F66ACE"/>
    <w:rsid w:val="00F67FFB"/>
    <w:rsid w:val="00F719E5"/>
    <w:rsid w:val="00F72837"/>
    <w:rsid w:val="00F74229"/>
    <w:rsid w:val="00F76781"/>
    <w:rsid w:val="00F778D9"/>
    <w:rsid w:val="00F80E5D"/>
    <w:rsid w:val="00F81932"/>
    <w:rsid w:val="00F81B30"/>
    <w:rsid w:val="00F81F6A"/>
    <w:rsid w:val="00F82C9D"/>
    <w:rsid w:val="00F82D75"/>
    <w:rsid w:val="00F82DA9"/>
    <w:rsid w:val="00F839F9"/>
    <w:rsid w:val="00F851CE"/>
    <w:rsid w:val="00F86BF3"/>
    <w:rsid w:val="00F91BF2"/>
    <w:rsid w:val="00F93E27"/>
    <w:rsid w:val="00F94D75"/>
    <w:rsid w:val="00F954DA"/>
    <w:rsid w:val="00F95D3A"/>
    <w:rsid w:val="00F96C70"/>
    <w:rsid w:val="00F97A78"/>
    <w:rsid w:val="00FA1ABE"/>
    <w:rsid w:val="00FA24E7"/>
    <w:rsid w:val="00FA2A81"/>
    <w:rsid w:val="00FA39AD"/>
    <w:rsid w:val="00FA409D"/>
    <w:rsid w:val="00FA41EC"/>
    <w:rsid w:val="00FA5638"/>
    <w:rsid w:val="00FA6EDE"/>
    <w:rsid w:val="00FB18CE"/>
    <w:rsid w:val="00FB21FC"/>
    <w:rsid w:val="00FB2FCB"/>
    <w:rsid w:val="00FB617F"/>
    <w:rsid w:val="00FC1074"/>
    <w:rsid w:val="00FC1884"/>
    <w:rsid w:val="00FC19FD"/>
    <w:rsid w:val="00FC30AC"/>
    <w:rsid w:val="00FC30D6"/>
    <w:rsid w:val="00FC311F"/>
    <w:rsid w:val="00FC461C"/>
    <w:rsid w:val="00FC50AF"/>
    <w:rsid w:val="00FC7C27"/>
    <w:rsid w:val="00FD140C"/>
    <w:rsid w:val="00FD2100"/>
    <w:rsid w:val="00FD263D"/>
    <w:rsid w:val="00FD333B"/>
    <w:rsid w:val="00FD40A1"/>
    <w:rsid w:val="00FD446D"/>
    <w:rsid w:val="00FD4DC3"/>
    <w:rsid w:val="00FD60C8"/>
    <w:rsid w:val="00FE14C9"/>
    <w:rsid w:val="00FE40C0"/>
    <w:rsid w:val="00FE487D"/>
    <w:rsid w:val="00FE50E7"/>
    <w:rsid w:val="00FE7632"/>
    <w:rsid w:val="00FE7BA3"/>
    <w:rsid w:val="00FF11BB"/>
    <w:rsid w:val="00FF1BE5"/>
    <w:rsid w:val="00FF3DCF"/>
    <w:rsid w:val="00FF4588"/>
    <w:rsid w:val="00FF484F"/>
    <w:rsid w:val="00FF4E2E"/>
    <w:rsid w:val="00FF5AA3"/>
    <w:rsid w:val="00FF68BB"/>
    <w:rsid w:val="00FF73F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pPr>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971DDD"/>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PBAC Caption Tables + Figures"/>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PBAC Caption Tables + Figures Char"/>
    <w:link w:val="Caption"/>
    <w:rsid w:val="00124A51"/>
    <w:rPr>
      <w:b/>
      <w:bCs/>
      <w:snapToGrid w:val="0"/>
      <w:color w:val="4F81BD" w:themeColor="accent1"/>
      <w:sz w:val="18"/>
      <w:szCs w:val="18"/>
      <w:lang w:eastAsia="en-US"/>
    </w:rPr>
  </w:style>
  <w:style w:type="paragraph" w:styleId="Title">
    <w:name w:val="Title"/>
    <w:basedOn w:val="Heading1"/>
    <w:next w:val="Normal"/>
    <w:link w:val="TitleChar"/>
    <w:rsid w:val="0005510F"/>
    <w:rPr>
      <w:sz w:val="28"/>
    </w:rPr>
  </w:style>
  <w:style w:type="character" w:customStyle="1" w:styleId="TitleChar">
    <w:name w:val="Title Char"/>
    <w:basedOn w:val="DefaultParagraphFont"/>
    <w:link w:val="Title"/>
    <w:rsid w:val="0005510F"/>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spacing w:after="120"/>
      <w:jc w:val="left"/>
    </w:pPr>
    <w:rPr>
      <w:rFonts w:cs="Times New Roman"/>
      <w:snapToGrid/>
      <w:sz w:val="20"/>
    </w:rPr>
  </w:style>
  <w:style w:type="paragraph" w:customStyle="1" w:styleId="TableHeading">
    <w:name w:val="TableHeading"/>
    <w:basedOn w:val="Normal"/>
    <w:uiPriority w:val="99"/>
    <w:rsid w:val="00A56B6A"/>
    <w:pPr>
      <w:keepNext/>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jc w:val="both"/>
    </w:pPr>
    <w:rPr>
      <w:rFonts w:ascii="Times" w:hAnsi="Times" w:cs="Times New Roman"/>
      <w:snapToGrid/>
      <w:sz w:val="24"/>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spacing w:before="40" w:after="40"/>
      <w:jc w:val="left"/>
    </w:pPr>
    <w:rPr>
      <w:rFonts w:ascii="Arial Narrow" w:hAnsi="Arial Narrow" w:cs="Arial Narrow"/>
      <w:snapToGrid/>
      <w:sz w:val="20"/>
    </w:r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8"/>
      </w:numPr>
    </w:pPr>
    <w:rPr>
      <w:rFonts w:ascii="Arial" w:hAnsi="Arial" w:cs="Arial"/>
      <w:b/>
      <w:snapToGrid w:val="0"/>
      <w:sz w:val="22"/>
      <w:szCs w:val="22"/>
      <w:lang w:eastAsia="en-US"/>
    </w:rPr>
  </w:style>
  <w:style w:type="paragraph" w:customStyle="1" w:styleId="TableText1left">
    <w:name w:val="Table Text 1 (left)"/>
    <w:basedOn w:val="Normal"/>
    <w:link w:val="TableText1leftChar"/>
    <w:uiPriority w:val="99"/>
    <w:rsid w:val="0062623C"/>
    <w:pPr>
      <w:spacing w:before="40" w:after="40"/>
      <w:jc w:val="left"/>
      <w:outlineLvl w:val="0"/>
    </w:pPr>
    <w:rPr>
      <w:rFonts w:ascii="Times New Roman" w:eastAsia="SimSun" w:hAnsi="Times New Roman" w:cs="Times New Roman"/>
      <w:bCs/>
      <w:snapToGrid/>
      <w:sz w:val="20"/>
      <w:szCs w:val="32"/>
      <w:lang w:val="en-GB"/>
    </w:rPr>
  </w:style>
  <w:style w:type="character" w:customStyle="1" w:styleId="TableText1leftChar">
    <w:name w:val="Table Text 1 (left) Char"/>
    <w:basedOn w:val="DefaultParagraphFont"/>
    <w:link w:val="TableText1left"/>
    <w:uiPriority w:val="99"/>
    <w:locked/>
    <w:rsid w:val="0062623C"/>
    <w:rPr>
      <w:rFonts w:eastAsia="SimSun"/>
      <w:bCs/>
      <w:szCs w:val="32"/>
      <w:lang w:val="en-GB" w:eastAsia="en-US"/>
    </w:rPr>
  </w:style>
  <w:style w:type="paragraph" w:customStyle="1" w:styleId="PBACTableText">
    <w:name w:val="PBAC Table Text"/>
    <w:basedOn w:val="Normal"/>
    <w:link w:val="PBACTableTextChar"/>
    <w:qFormat/>
    <w:rsid w:val="001009C4"/>
    <w:pPr>
      <w:spacing w:before="40" w:after="40"/>
      <w:jc w:val="left"/>
    </w:pPr>
    <w:rPr>
      <w:rFonts w:ascii="News Gothic MT" w:hAnsi="News Gothic MT" w:cs="Times New Roman"/>
      <w:snapToGrid/>
      <w:sz w:val="20"/>
      <w:lang w:val="en-US"/>
    </w:rPr>
  </w:style>
  <w:style w:type="character" w:customStyle="1" w:styleId="PBACTableTextChar">
    <w:name w:val="PBAC Table Text Char"/>
    <w:basedOn w:val="DefaultParagraphFont"/>
    <w:link w:val="PBACTableText"/>
    <w:rsid w:val="001009C4"/>
    <w:rPr>
      <w:rFonts w:ascii="News Gothic MT" w:hAnsi="News Gothic MT"/>
      <w:lang w:val="en-US" w:eastAsia="en-US"/>
    </w:rPr>
  </w:style>
  <w:style w:type="paragraph" w:customStyle="1" w:styleId="PBACTableTextBoldLeft">
    <w:name w:val="PBAC Table Text + Bold + Left"/>
    <w:basedOn w:val="PBACTableText"/>
    <w:qFormat/>
    <w:rsid w:val="001009C4"/>
    <w:pPr>
      <w:keepNext/>
    </w:pPr>
    <w:rPr>
      <w:b/>
      <w:bCs/>
    </w:rPr>
  </w:style>
  <w:style w:type="paragraph" w:customStyle="1" w:styleId="PBACTableTextBoldCentered">
    <w:name w:val="PBAC Table Text + Bold + Centered"/>
    <w:basedOn w:val="PBACTableTextBoldLeft"/>
    <w:rsid w:val="001009C4"/>
    <w:pPr>
      <w:jc w:val="center"/>
    </w:pPr>
  </w:style>
  <w:style w:type="numbering" w:customStyle="1" w:styleId="StylePBACTableTextLetteredList">
    <w:name w:val="Style PBAC Table Text + Lettered List"/>
    <w:basedOn w:val="NoList"/>
    <w:rsid w:val="00736732"/>
    <w:pPr>
      <w:numPr>
        <w:numId w:val="3"/>
      </w:numPr>
    </w:pPr>
  </w:style>
  <w:style w:type="paragraph" w:customStyle="1" w:styleId="Tablebodytext">
    <w:name w:val="Table body text"/>
    <w:basedOn w:val="Normal"/>
    <w:uiPriority w:val="99"/>
    <w:rsid w:val="002D5F5E"/>
    <w:pPr>
      <w:keepNext/>
      <w:tabs>
        <w:tab w:val="left" w:pos="600"/>
      </w:tabs>
      <w:jc w:val="left"/>
    </w:pPr>
    <w:rPr>
      <w:rFonts w:eastAsia="SimSun" w:cs="Times New Roman"/>
      <w:snapToGrid/>
      <w:sz w:val="18"/>
      <w:lang w:eastAsia="en-AU"/>
    </w:rPr>
  </w:style>
  <w:style w:type="paragraph" w:customStyle="1" w:styleId="Tableheaders">
    <w:name w:val="Table headers"/>
    <w:basedOn w:val="Normal"/>
    <w:uiPriority w:val="99"/>
    <w:rsid w:val="002D5F5E"/>
    <w:pPr>
      <w:keepNext/>
      <w:jc w:val="left"/>
    </w:pPr>
    <w:rPr>
      <w:rFonts w:eastAsia="SimSun" w:cs="Times New Roman"/>
      <w:b/>
      <w:snapToGrid/>
      <w:sz w:val="18"/>
      <w:lang w:eastAsia="en-AU"/>
    </w:rPr>
  </w:style>
  <w:style w:type="paragraph" w:styleId="FootnoteText">
    <w:name w:val="footnote text"/>
    <w:basedOn w:val="Normal"/>
    <w:link w:val="FootnoteTextChar"/>
    <w:unhideWhenUsed/>
    <w:rsid w:val="00F0407D"/>
    <w:rPr>
      <w:sz w:val="20"/>
    </w:rPr>
  </w:style>
  <w:style w:type="character" w:customStyle="1" w:styleId="FootnoteTextChar">
    <w:name w:val="Footnote Text Char"/>
    <w:basedOn w:val="DefaultParagraphFont"/>
    <w:link w:val="FootnoteText"/>
    <w:rsid w:val="00F0407D"/>
    <w:rPr>
      <w:rFonts w:ascii="Arial" w:hAnsi="Arial" w:cs="Arial"/>
      <w:snapToGrid w:val="0"/>
      <w:lang w:eastAsia="en-US"/>
    </w:rPr>
  </w:style>
  <w:style w:type="character" w:styleId="FootnoteReference">
    <w:name w:val="footnote reference"/>
    <w:basedOn w:val="DefaultParagraphFont"/>
    <w:unhideWhenUsed/>
    <w:rsid w:val="00F0407D"/>
    <w:rPr>
      <w:vertAlign w:val="superscript"/>
    </w:rPr>
  </w:style>
  <w:style w:type="paragraph" w:customStyle="1" w:styleId="PBACTableFootnote">
    <w:name w:val="PBAC Table Footnote"/>
    <w:basedOn w:val="Normal"/>
    <w:link w:val="PBACTableFootnoteChar"/>
    <w:qFormat/>
    <w:rsid w:val="00DC43F9"/>
    <w:pPr>
      <w:spacing w:before="60"/>
      <w:contextualSpacing/>
      <w:jc w:val="left"/>
    </w:pPr>
    <w:rPr>
      <w:rFonts w:ascii="News Gothic MT" w:hAnsi="News Gothic MT" w:cs="Times New Roman"/>
      <w:snapToGrid/>
      <w:sz w:val="16"/>
      <w:szCs w:val="24"/>
      <w:lang w:val="en-US"/>
    </w:rPr>
  </w:style>
  <w:style w:type="character" w:customStyle="1" w:styleId="PBACTableFootnoteChar">
    <w:name w:val="PBAC Table Footnote Char"/>
    <w:basedOn w:val="DefaultParagraphFont"/>
    <w:link w:val="PBACTableFootnote"/>
    <w:rsid w:val="00DC43F9"/>
    <w:rPr>
      <w:rFonts w:ascii="News Gothic MT" w:hAnsi="News Gothic MT"/>
      <w:sz w:val="16"/>
      <w:szCs w:val="24"/>
      <w:lang w:val="en-US" w:eastAsia="en-US"/>
    </w:rPr>
  </w:style>
  <w:style w:type="table" w:customStyle="1" w:styleId="TableGrid1">
    <w:name w:val="Table Grid1"/>
    <w:basedOn w:val="TableNormal"/>
    <w:next w:val="TableGrid"/>
    <w:uiPriority w:val="59"/>
    <w:rsid w:val="00A754E0"/>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46FF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46FF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51FD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7347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710780"/>
    <w:pPr>
      <w:spacing w:after="160" w:line="240" w:lineRule="exact"/>
      <w:jc w:val="left"/>
    </w:pPr>
    <w:rPr>
      <w:rFonts w:ascii="Verdana" w:eastAsia="MS Mincho" w:hAnsi="Verdana" w:cs="Verdana"/>
      <w:snapToGrid/>
      <w:sz w:val="20"/>
      <w:lang w:val="en-US"/>
    </w:rPr>
  </w:style>
  <w:style w:type="character" w:customStyle="1" w:styleId="ListParagraphChar">
    <w:name w:val="List Paragraph Char"/>
    <w:link w:val="ListParagraph"/>
    <w:uiPriority w:val="99"/>
    <w:rsid w:val="00B36CB8"/>
    <w:rPr>
      <w:rFonts w:ascii="Arial" w:hAnsi="Arial" w:cs="Arial"/>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pPr>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971DDD"/>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PBAC Caption Tables + Figures"/>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PBAC Caption Tables + Figures Char"/>
    <w:link w:val="Caption"/>
    <w:rsid w:val="00124A51"/>
    <w:rPr>
      <w:b/>
      <w:bCs/>
      <w:snapToGrid w:val="0"/>
      <w:color w:val="4F81BD" w:themeColor="accent1"/>
      <w:sz w:val="18"/>
      <w:szCs w:val="18"/>
      <w:lang w:eastAsia="en-US"/>
    </w:rPr>
  </w:style>
  <w:style w:type="paragraph" w:styleId="Title">
    <w:name w:val="Title"/>
    <w:basedOn w:val="Heading1"/>
    <w:next w:val="Normal"/>
    <w:link w:val="TitleChar"/>
    <w:rsid w:val="0005510F"/>
    <w:rPr>
      <w:sz w:val="28"/>
    </w:rPr>
  </w:style>
  <w:style w:type="character" w:customStyle="1" w:styleId="TitleChar">
    <w:name w:val="Title Char"/>
    <w:basedOn w:val="DefaultParagraphFont"/>
    <w:link w:val="Title"/>
    <w:rsid w:val="0005510F"/>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spacing w:after="120"/>
      <w:jc w:val="left"/>
    </w:pPr>
    <w:rPr>
      <w:rFonts w:cs="Times New Roman"/>
      <w:snapToGrid/>
      <w:sz w:val="20"/>
    </w:rPr>
  </w:style>
  <w:style w:type="paragraph" w:customStyle="1" w:styleId="TableHeading">
    <w:name w:val="TableHeading"/>
    <w:basedOn w:val="Normal"/>
    <w:uiPriority w:val="99"/>
    <w:rsid w:val="00A56B6A"/>
    <w:pPr>
      <w:keepNext/>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jc w:val="both"/>
    </w:pPr>
    <w:rPr>
      <w:rFonts w:ascii="Times" w:hAnsi="Times" w:cs="Times New Roman"/>
      <w:snapToGrid/>
      <w:sz w:val="24"/>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spacing w:before="40" w:after="40"/>
      <w:jc w:val="left"/>
    </w:pPr>
    <w:rPr>
      <w:rFonts w:ascii="Arial Narrow" w:hAnsi="Arial Narrow" w:cs="Arial Narrow"/>
      <w:snapToGrid/>
      <w:sz w:val="20"/>
    </w:r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8"/>
      </w:numPr>
    </w:pPr>
    <w:rPr>
      <w:rFonts w:ascii="Arial" w:hAnsi="Arial" w:cs="Arial"/>
      <w:b/>
      <w:snapToGrid w:val="0"/>
      <w:sz w:val="22"/>
      <w:szCs w:val="22"/>
      <w:lang w:eastAsia="en-US"/>
    </w:rPr>
  </w:style>
  <w:style w:type="paragraph" w:customStyle="1" w:styleId="TableText1left">
    <w:name w:val="Table Text 1 (left)"/>
    <w:basedOn w:val="Normal"/>
    <w:link w:val="TableText1leftChar"/>
    <w:uiPriority w:val="99"/>
    <w:rsid w:val="0062623C"/>
    <w:pPr>
      <w:spacing w:before="40" w:after="40"/>
      <w:jc w:val="left"/>
      <w:outlineLvl w:val="0"/>
    </w:pPr>
    <w:rPr>
      <w:rFonts w:ascii="Times New Roman" w:eastAsia="SimSun" w:hAnsi="Times New Roman" w:cs="Times New Roman"/>
      <w:bCs/>
      <w:snapToGrid/>
      <w:sz w:val="20"/>
      <w:szCs w:val="32"/>
      <w:lang w:val="en-GB"/>
    </w:rPr>
  </w:style>
  <w:style w:type="character" w:customStyle="1" w:styleId="TableText1leftChar">
    <w:name w:val="Table Text 1 (left) Char"/>
    <w:basedOn w:val="DefaultParagraphFont"/>
    <w:link w:val="TableText1left"/>
    <w:uiPriority w:val="99"/>
    <w:locked/>
    <w:rsid w:val="0062623C"/>
    <w:rPr>
      <w:rFonts w:eastAsia="SimSun"/>
      <w:bCs/>
      <w:szCs w:val="32"/>
      <w:lang w:val="en-GB" w:eastAsia="en-US"/>
    </w:rPr>
  </w:style>
  <w:style w:type="paragraph" w:customStyle="1" w:styleId="PBACTableText">
    <w:name w:val="PBAC Table Text"/>
    <w:basedOn w:val="Normal"/>
    <w:link w:val="PBACTableTextChar"/>
    <w:qFormat/>
    <w:rsid w:val="001009C4"/>
    <w:pPr>
      <w:spacing w:before="40" w:after="40"/>
      <w:jc w:val="left"/>
    </w:pPr>
    <w:rPr>
      <w:rFonts w:ascii="News Gothic MT" w:hAnsi="News Gothic MT" w:cs="Times New Roman"/>
      <w:snapToGrid/>
      <w:sz w:val="20"/>
      <w:lang w:val="en-US"/>
    </w:rPr>
  </w:style>
  <w:style w:type="character" w:customStyle="1" w:styleId="PBACTableTextChar">
    <w:name w:val="PBAC Table Text Char"/>
    <w:basedOn w:val="DefaultParagraphFont"/>
    <w:link w:val="PBACTableText"/>
    <w:rsid w:val="001009C4"/>
    <w:rPr>
      <w:rFonts w:ascii="News Gothic MT" w:hAnsi="News Gothic MT"/>
      <w:lang w:val="en-US" w:eastAsia="en-US"/>
    </w:rPr>
  </w:style>
  <w:style w:type="paragraph" w:customStyle="1" w:styleId="PBACTableTextBoldLeft">
    <w:name w:val="PBAC Table Text + Bold + Left"/>
    <w:basedOn w:val="PBACTableText"/>
    <w:qFormat/>
    <w:rsid w:val="001009C4"/>
    <w:pPr>
      <w:keepNext/>
    </w:pPr>
    <w:rPr>
      <w:b/>
      <w:bCs/>
    </w:rPr>
  </w:style>
  <w:style w:type="paragraph" w:customStyle="1" w:styleId="PBACTableTextBoldCentered">
    <w:name w:val="PBAC Table Text + Bold + Centered"/>
    <w:basedOn w:val="PBACTableTextBoldLeft"/>
    <w:rsid w:val="001009C4"/>
    <w:pPr>
      <w:jc w:val="center"/>
    </w:pPr>
  </w:style>
  <w:style w:type="numbering" w:customStyle="1" w:styleId="StylePBACTableTextLetteredList">
    <w:name w:val="Style PBAC Table Text + Lettered List"/>
    <w:basedOn w:val="NoList"/>
    <w:rsid w:val="00736732"/>
    <w:pPr>
      <w:numPr>
        <w:numId w:val="3"/>
      </w:numPr>
    </w:pPr>
  </w:style>
  <w:style w:type="paragraph" w:customStyle="1" w:styleId="Tablebodytext">
    <w:name w:val="Table body text"/>
    <w:basedOn w:val="Normal"/>
    <w:uiPriority w:val="99"/>
    <w:rsid w:val="002D5F5E"/>
    <w:pPr>
      <w:keepNext/>
      <w:tabs>
        <w:tab w:val="left" w:pos="600"/>
      </w:tabs>
      <w:jc w:val="left"/>
    </w:pPr>
    <w:rPr>
      <w:rFonts w:eastAsia="SimSun" w:cs="Times New Roman"/>
      <w:snapToGrid/>
      <w:sz w:val="18"/>
      <w:lang w:eastAsia="en-AU"/>
    </w:rPr>
  </w:style>
  <w:style w:type="paragraph" w:customStyle="1" w:styleId="Tableheaders">
    <w:name w:val="Table headers"/>
    <w:basedOn w:val="Normal"/>
    <w:uiPriority w:val="99"/>
    <w:rsid w:val="002D5F5E"/>
    <w:pPr>
      <w:keepNext/>
      <w:jc w:val="left"/>
    </w:pPr>
    <w:rPr>
      <w:rFonts w:eastAsia="SimSun" w:cs="Times New Roman"/>
      <w:b/>
      <w:snapToGrid/>
      <w:sz w:val="18"/>
      <w:lang w:eastAsia="en-AU"/>
    </w:rPr>
  </w:style>
  <w:style w:type="paragraph" w:styleId="FootnoteText">
    <w:name w:val="footnote text"/>
    <w:basedOn w:val="Normal"/>
    <w:link w:val="FootnoteTextChar"/>
    <w:unhideWhenUsed/>
    <w:rsid w:val="00F0407D"/>
    <w:rPr>
      <w:sz w:val="20"/>
    </w:rPr>
  </w:style>
  <w:style w:type="character" w:customStyle="1" w:styleId="FootnoteTextChar">
    <w:name w:val="Footnote Text Char"/>
    <w:basedOn w:val="DefaultParagraphFont"/>
    <w:link w:val="FootnoteText"/>
    <w:rsid w:val="00F0407D"/>
    <w:rPr>
      <w:rFonts w:ascii="Arial" w:hAnsi="Arial" w:cs="Arial"/>
      <w:snapToGrid w:val="0"/>
      <w:lang w:eastAsia="en-US"/>
    </w:rPr>
  </w:style>
  <w:style w:type="character" w:styleId="FootnoteReference">
    <w:name w:val="footnote reference"/>
    <w:basedOn w:val="DefaultParagraphFont"/>
    <w:unhideWhenUsed/>
    <w:rsid w:val="00F0407D"/>
    <w:rPr>
      <w:vertAlign w:val="superscript"/>
    </w:rPr>
  </w:style>
  <w:style w:type="paragraph" w:customStyle="1" w:styleId="PBACTableFootnote">
    <w:name w:val="PBAC Table Footnote"/>
    <w:basedOn w:val="Normal"/>
    <w:link w:val="PBACTableFootnoteChar"/>
    <w:qFormat/>
    <w:rsid w:val="00DC43F9"/>
    <w:pPr>
      <w:spacing w:before="60"/>
      <w:contextualSpacing/>
      <w:jc w:val="left"/>
    </w:pPr>
    <w:rPr>
      <w:rFonts w:ascii="News Gothic MT" w:hAnsi="News Gothic MT" w:cs="Times New Roman"/>
      <w:snapToGrid/>
      <w:sz w:val="16"/>
      <w:szCs w:val="24"/>
      <w:lang w:val="en-US"/>
    </w:rPr>
  </w:style>
  <w:style w:type="character" w:customStyle="1" w:styleId="PBACTableFootnoteChar">
    <w:name w:val="PBAC Table Footnote Char"/>
    <w:basedOn w:val="DefaultParagraphFont"/>
    <w:link w:val="PBACTableFootnote"/>
    <w:rsid w:val="00DC43F9"/>
    <w:rPr>
      <w:rFonts w:ascii="News Gothic MT" w:hAnsi="News Gothic MT"/>
      <w:sz w:val="16"/>
      <w:szCs w:val="24"/>
      <w:lang w:val="en-US" w:eastAsia="en-US"/>
    </w:rPr>
  </w:style>
  <w:style w:type="table" w:customStyle="1" w:styleId="TableGrid1">
    <w:name w:val="Table Grid1"/>
    <w:basedOn w:val="TableNormal"/>
    <w:next w:val="TableGrid"/>
    <w:uiPriority w:val="59"/>
    <w:rsid w:val="00A754E0"/>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46FF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46FF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51FD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7347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710780"/>
    <w:pPr>
      <w:spacing w:after="160" w:line="240" w:lineRule="exact"/>
      <w:jc w:val="left"/>
    </w:pPr>
    <w:rPr>
      <w:rFonts w:ascii="Verdana" w:eastAsia="MS Mincho" w:hAnsi="Verdana" w:cs="Verdana"/>
      <w:snapToGrid/>
      <w:sz w:val="20"/>
      <w:lang w:val="en-US"/>
    </w:rPr>
  </w:style>
  <w:style w:type="character" w:customStyle="1" w:styleId="ListParagraphChar">
    <w:name w:val="List Paragraph Char"/>
    <w:link w:val="ListParagraph"/>
    <w:uiPriority w:val="99"/>
    <w:rsid w:val="00B36CB8"/>
    <w:rPr>
      <w:rFonts w:ascii="Arial" w:hAnsi="Arial" w:cs="Arial"/>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752406">
      <w:bodyDiv w:val="1"/>
      <w:marLeft w:val="0"/>
      <w:marRight w:val="0"/>
      <w:marTop w:val="0"/>
      <w:marBottom w:val="0"/>
      <w:divBdr>
        <w:top w:val="none" w:sz="0" w:space="0" w:color="auto"/>
        <w:left w:val="none" w:sz="0" w:space="0" w:color="auto"/>
        <w:bottom w:val="none" w:sz="0" w:space="0" w:color="auto"/>
        <w:right w:val="none" w:sz="0" w:space="0" w:color="auto"/>
      </w:divBdr>
    </w:div>
    <w:div w:id="619845698">
      <w:bodyDiv w:val="1"/>
      <w:marLeft w:val="0"/>
      <w:marRight w:val="0"/>
      <w:marTop w:val="0"/>
      <w:marBottom w:val="0"/>
      <w:divBdr>
        <w:top w:val="none" w:sz="0" w:space="0" w:color="auto"/>
        <w:left w:val="none" w:sz="0" w:space="0" w:color="auto"/>
        <w:bottom w:val="none" w:sz="0" w:space="0" w:color="auto"/>
        <w:right w:val="none" w:sz="0" w:space="0" w:color="auto"/>
      </w:divBdr>
    </w:div>
    <w:div w:id="643237551">
      <w:bodyDiv w:val="1"/>
      <w:marLeft w:val="0"/>
      <w:marRight w:val="0"/>
      <w:marTop w:val="0"/>
      <w:marBottom w:val="0"/>
      <w:divBdr>
        <w:top w:val="none" w:sz="0" w:space="0" w:color="auto"/>
        <w:left w:val="none" w:sz="0" w:space="0" w:color="auto"/>
        <w:bottom w:val="none" w:sz="0" w:space="0" w:color="auto"/>
        <w:right w:val="none" w:sz="0" w:space="0" w:color="auto"/>
      </w:divBdr>
    </w:div>
    <w:div w:id="918297182">
      <w:bodyDiv w:val="1"/>
      <w:marLeft w:val="0"/>
      <w:marRight w:val="0"/>
      <w:marTop w:val="0"/>
      <w:marBottom w:val="0"/>
      <w:divBdr>
        <w:top w:val="none" w:sz="0" w:space="0" w:color="auto"/>
        <w:left w:val="none" w:sz="0" w:space="0" w:color="auto"/>
        <w:bottom w:val="none" w:sz="0" w:space="0" w:color="auto"/>
        <w:right w:val="none" w:sz="0" w:space="0" w:color="auto"/>
      </w:divBdr>
    </w:div>
    <w:div w:id="926185382">
      <w:bodyDiv w:val="1"/>
      <w:marLeft w:val="0"/>
      <w:marRight w:val="0"/>
      <w:marTop w:val="0"/>
      <w:marBottom w:val="0"/>
      <w:divBdr>
        <w:top w:val="none" w:sz="0" w:space="0" w:color="auto"/>
        <w:left w:val="none" w:sz="0" w:space="0" w:color="auto"/>
        <w:bottom w:val="none" w:sz="0" w:space="0" w:color="auto"/>
        <w:right w:val="none" w:sz="0" w:space="0" w:color="auto"/>
      </w:divBdr>
    </w:div>
    <w:div w:id="149140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26"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5"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177CA-1816-437B-B696-4ACEC5A56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4686</Words>
  <Characters>26958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5.05 Canakinumab</vt:lpstr>
    </vt:vector>
  </TitlesOfParts>
  <LinksUpToDate>false</LinksUpToDate>
  <CharactersWithSpaces>31581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5.05 Canakinumab</dc:title>
  <dc:creator/>
  <cp:lastModifiedBy/>
  <cp:revision>1</cp:revision>
  <dcterms:created xsi:type="dcterms:W3CDTF">2015-06-29T02:27:00Z</dcterms:created>
  <dcterms:modified xsi:type="dcterms:W3CDTF">2015-06-29T02:29:00Z</dcterms:modified>
</cp:coreProperties>
</file>