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F48" w:rsidRPr="001F7361" w:rsidRDefault="005F564A" w:rsidP="00780F48">
      <w:r>
        <w:t xml:space="preserve">                                          </w:t>
      </w:r>
      <w:bookmarkStart w:id="0" w:name="_Toc380679747"/>
      <w:bookmarkStart w:id="1" w:name="_Toc380742604"/>
      <w:bookmarkStart w:id="2" w:name="_Toc380746171"/>
      <w:bookmarkStart w:id="3" w:name="_Toc380746294"/>
      <w:bookmarkStart w:id="4" w:name="_Toc380746578"/>
      <w:bookmarkStart w:id="5" w:name="_Toc409442432"/>
    </w:p>
    <w:bookmarkEnd w:id="0"/>
    <w:bookmarkEnd w:id="1"/>
    <w:bookmarkEnd w:id="2"/>
    <w:bookmarkEnd w:id="3"/>
    <w:bookmarkEnd w:id="4"/>
    <w:bookmarkEnd w:id="5"/>
    <w:p w:rsidR="00B60939" w:rsidRDefault="00B60939" w:rsidP="00207D00"/>
    <w:p w:rsidR="00371302" w:rsidRPr="00371302" w:rsidRDefault="00C71898" w:rsidP="00371302">
      <w:pPr>
        <w:pStyle w:val="Title"/>
      </w:pPr>
      <w:bookmarkStart w:id="6" w:name="_Toc409442433"/>
      <w:r w:rsidRPr="00371302">
        <w:t>5.04</w:t>
      </w:r>
      <w:r w:rsidR="00B60939" w:rsidRPr="00371302">
        <w:tab/>
      </w:r>
      <w:r w:rsidR="004B5C02" w:rsidRPr="00371302">
        <w:t>BENDAMUSTINE</w:t>
      </w:r>
      <w:r w:rsidR="00B60939" w:rsidRPr="00371302">
        <w:t xml:space="preserve"> </w:t>
      </w:r>
    </w:p>
    <w:p w:rsidR="00B60939" w:rsidRPr="00F92C7F" w:rsidRDefault="004B5C02" w:rsidP="00371302">
      <w:pPr>
        <w:pStyle w:val="Heading1"/>
        <w:ind w:firstLine="0"/>
        <w:rPr>
          <w:sz w:val="28"/>
        </w:rPr>
      </w:pPr>
      <w:proofErr w:type="gramStart"/>
      <w:r>
        <w:rPr>
          <w:caps w:val="0"/>
          <w:sz w:val="28"/>
        </w:rPr>
        <w:t>powder</w:t>
      </w:r>
      <w:proofErr w:type="gramEnd"/>
      <w:r>
        <w:rPr>
          <w:caps w:val="0"/>
          <w:sz w:val="28"/>
        </w:rPr>
        <w:t xml:space="preserve"> for injection</w:t>
      </w:r>
      <w:r w:rsidR="00B60939" w:rsidRPr="00207D00">
        <w:rPr>
          <w:sz w:val="28"/>
        </w:rPr>
        <w:t xml:space="preserve">, </w:t>
      </w:r>
      <w:r w:rsidR="00803E1C">
        <w:rPr>
          <w:caps w:val="0"/>
          <w:sz w:val="28"/>
        </w:rPr>
        <w:t>100mg and 25mg (DPMA 200mg)</w:t>
      </w:r>
      <w:r w:rsidR="00371302">
        <w:rPr>
          <w:sz w:val="28"/>
        </w:rPr>
        <w:t>;</w:t>
      </w:r>
      <w:r w:rsidR="00B60939" w:rsidRPr="00207D00">
        <w:rPr>
          <w:sz w:val="28"/>
        </w:rPr>
        <w:t xml:space="preserve"> </w:t>
      </w:r>
      <w:r>
        <w:rPr>
          <w:caps w:val="0"/>
          <w:sz w:val="28"/>
        </w:rPr>
        <w:t>RIBOMUSTIN</w:t>
      </w:r>
      <w:r w:rsidR="00B60939" w:rsidRPr="00207D00">
        <w:rPr>
          <w:sz w:val="28"/>
          <w:vertAlign w:val="superscript"/>
        </w:rPr>
        <w:t>®</w:t>
      </w:r>
      <w:r w:rsidR="00371302">
        <w:rPr>
          <w:sz w:val="28"/>
        </w:rPr>
        <w:t>;</w:t>
      </w:r>
      <w:r w:rsidR="00803E1C">
        <w:rPr>
          <w:sz w:val="28"/>
        </w:rPr>
        <w:t xml:space="preserve"> </w:t>
      </w:r>
      <w:r w:rsidR="00803E1C">
        <w:rPr>
          <w:caps w:val="0"/>
          <w:sz w:val="28"/>
        </w:rPr>
        <w:t>Jans</w:t>
      </w:r>
      <w:r w:rsidR="00D91DBD">
        <w:rPr>
          <w:caps w:val="0"/>
          <w:sz w:val="28"/>
        </w:rPr>
        <w:t>s</w:t>
      </w:r>
      <w:r w:rsidR="00803E1C">
        <w:rPr>
          <w:caps w:val="0"/>
          <w:sz w:val="28"/>
        </w:rPr>
        <w:t>en-</w:t>
      </w:r>
      <w:proofErr w:type="spellStart"/>
      <w:r w:rsidR="00803E1C">
        <w:rPr>
          <w:caps w:val="0"/>
          <w:sz w:val="28"/>
        </w:rPr>
        <w:t>Cilag</w:t>
      </w:r>
      <w:proofErr w:type="spellEnd"/>
      <w:r w:rsidR="00803E1C">
        <w:rPr>
          <w:caps w:val="0"/>
          <w:sz w:val="28"/>
        </w:rPr>
        <w:t xml:space="preserve"> Pty Ltd</w:t>
      </w:r>
      <w:bookmarkEnd w:id="6"/>
    </w:p>
    <w:p w:rsidR="005D02AF" w:rsidRDefault="005D02AF" w:rsidP="00281014">
      <w:pPr>
        <w:pStyle w:val="BodyText"/>
      </w:pPr>
    </w:p>
    <w:p w:rsidR="00061C75" w:rsidRDefault="00061C75" w:rsidP="00281014">
      <w:pPr>
        <w:pStyle w:val="BodyText"/>
      </w:pPr>
    </w:p>
    <w:p w:rsidR="00BD76AF" w:rsidRPr="00035E02" w:rsidRDefault="00BD76AF" w:rsidP="00BD76AF">
      <w:pPr>
        <w:pStyle w:val="PBACHeading1"/>
      </w:pPr>
      <w:bookmarkStart w:id="7" w:name="_Toc409442435"/>
      <w:r w:rsidRPr="00035E02">
        <w:t>Purpose of Application</w:t>
      </w:r>
      <w:bookmarkEnd w:id="7"/>
    </w:p>
    <w:p w:rsidR="00BD76AF" w:rsidRPr="00035E02" w:rsidRDefault="00BD76AF" w:rsidP="00BD76AF">
      <w:pPr>
        <w:rPr>
          <w:szCs w:val="22"/>
        </w:rPr>
      </w:pPr>
    </w:p>
    <w:p w:rsidR="00BD76AF" w:rsidRPr="00035E02" w:rsidRDefault="00853807" w:rsidP="00EB1E21">
      <w:pPr>
        <w:pStyle w:val="ListParagraph"/>
        <w:widowControl/>
        <w:numPr>
          <w:ilvl w:val="1"/>
          <w:numId w:val="1"/>
        </w:numPr>
        <w:rPr>
          <w:szCs w:val="22"/>
        </w:rPr>
      </w:pPr>
      <w:r>
        <w:t>The submission sought s</w:t>
      </w:r>
      <w:r w:rsidR="00BD76AF" w:rsidRPr="00035E02">
        <w:t>ection 100, Authority Required listing for bendamustine</w:t>
      </w:r>
      <w:r w:rsidR="00BD76AF">
        <w:t xml:space="preserve"> in combination with rituximab</w:t>
      </w:r>
      <w:r w:rsidR="00BD76AF" w:rsidRPr="00035E02">
        <w:t xml:space="preserve"> for </w:t>
      </w:r>
      <w:r w:rsidR="00462A35">
        <w:t xml:space="preserve">the </w:t>
      </w:r>
      <w:r w:rsidR="00BD76AF" w:rsidRPr="00035E02">
        <w:t xml:space="preserve">treatment of </w:t>
      </w:r>
      <w:r w:rsidR="006318BE">
        <w:t>S</w:t>
      </w:r>
      <w:r w:rsidR="00937E75">
        <w:t>tage III-</w:t>
      </w:r>
      <w:r w:rsidR="00BD76AF" w:rsidRPr="00035E02">
        <w:t>IV indolent Non-Hodgkin’s Lymphoma</w:t>
      </w:r>
      <w:r w:rsidR="00BD76AF">
        <w:t xml:space="preserve"> (iNHL)</w:t>
      </w:r>
      <w:r w:rsidR="00BD76AF" w:rsidRPr="00035E02">
        <w:t xml:space="preserve"> and Stage III</w:t>
      </w:r>
      <w:r w:rsidR="00937E75">
        <w:t>-</w:t>
      </w:r>
      <w:r w:rsidR="00BD76AF" w:rsidRPr="00035E02">
        <w:t>IV of Mantl</w:t>
      </w:r>
      <w:r w:rsidR="00462A35">
        <w:t>e</w:t>
      </w:r>
      <w:r w:rsidR="00BD76AF" w:rsidRPr="00035E02">
        <w:t xml:space="preserve"> Cell Lymphoma</w:t>
      </w:r>
      <w:r w:rsidR="00BD76AF">
        <w:t xml:space="preserve"> (MCL)</w:t>
      </w:r>
      <w:r w:rsidR="00BD76AF" w:rsidRPr="00035E02">
        <w:t xml:space="preserve"> in previously untreated </w:t>
      </w:r>
      <w:r w:rsidR="00462A35">
        <w:t>patients</w:t>
      </w:r>
      <w:r w:rsidR="00BD76AF" w:rsidRPr="00035E02">
        <w:t>, and</w:t>
      </w:r>
      <w:r w:rsidR="00BD76AF">
        <w:t xml:space="preserve"> bendamustine (monotherapy) for</w:t>
      </w:r>
      <w:r w:rsidR="00BD76AF" w:rsidRPr="00035E02">
        <w:t xml:space="preserve"> </w:t>
      </w:r>
      <w:r w:rsidR="00462A35">
        <w:t xml:space="preserve">patients with </w:t>
      </w:r>
      <w:r w:rsidR="000152A7">
        <w:t>rituximab-refractory Non</w:t>
      </w:r>
      <w:r w:rsidR="000152A7">
        <w:noBreakHyphen/>
      </w:r>
      <w:r w:rsidR="00BD76AF" w:rsidRPr="00035E02">
        <w:t>Hodgkin’s Lymphoma</w:t>
      </w:r>
      <w:r w:rsidR="000152A7">
        <w:t xml:space="preserve"> (NHL)</w:t>
      </w:r>
      <w:r w:rsidR="00BD76AF" w:rsidRPr="00035E02">
        <w:t>.</w:t>
      </w:r>
    </w:p>
    <w:p w:rsidR="00BD76AF" w:rsidRPr="00173AE3" w:rsidRDefault="00BD76AF" w:rsidP="00BD76AF">
      <w:pPr>
        <w:rPr>
          <w:highlight w:val="cyan"/>
        </w:rPr>
      </w:pPr>
    </w:p>
    <w:p w:rsidR="00BD76AF" w:rsidRPr="00173AE3" w:rsidRDefault="00BD76AF" w:rsidP="00BD76AF">
      <w:pPr>
        <w:rPr>
          <w:highlight w:val="cyan"/>
        </w:rPr>
      </w:pPr>
    </w:p>
    <w:p w:rsidR="00BD76AF" w:rsidRPr="00035E02" w:rsidRDefault="00BD76AF" w:rsidP="00BD76AF">
      <w:pPr>
        <w:pStyle w:val="PBACHeading1"/>
      </w:pPr>
      <w:bookmarkStart w:id="8" w:name="_Toc409442436"/>
      <w:r w:rsidRPr="00035E02">
        <w:t>Requested listing</w:t>
      </w:r>
      <w:bookmarkEnd w:id="8"/>
    </w:p>
    <w:p w:rsidR="00CA2E29" w:rsidRDefault="00CA2E29" w:rsidP="00CA2E29">
      <w:pPr>
        <w:rPr>
          <w:b/>
        </w:rPr>
      </w:pPr>
    </w:p>
    <w:p w:rsidR="00853807" w:rsidRPr="00853807" w:rsidRDefault="00CA2E29" w:rsidP="00EB1E21">
      <w:pPr>
        <w:pStyle w:val="ListParagraph"/>
        <w:numPr>
          <w:ilvl w:val="1"/>
          <w:numId w:val="1"/>
        </w:numPr>
      </w:pPr>
      <w:r w:rsidRPr="00CA2E29">
        <w:t>The submission requested listing in three patient populations</w:t>
      </w:r>
      <w:r w:rsidR="00853807">
        <w:t>, as outlined below.</w:t>
      </w:r>
      <w:r w:rsidR="00853807" w:rsidRPr="00853807">
        <w:t xml:space="preserve"> Suggestions and additions proposed by the Secretariat to the requested listings are added in italics and suggested deletions are crossed out with strikethrough. </w:t>
      </w:r>
    </w:p>
    <w:p w:rsidR="00CA2E29" w:rsidRPr="00853807" w:rsidRDefault="00CA2E29" w:rsidP="00853807">
      <w:pPr>
        <w:pStyle w:val="ListParagraph"/>
      </w:pPr>
    </w:p>
    <w:p w:rsidR="00CA2E29" w:rsidRPr="00CA2E29" w:rsidRDefault="00CA2E29" w:rsidP="00EB1E21">
      <w:pPr>
        <w:pStyle w:val="ListParagraph"/>
        <w:numPr>
          <w:ilvl w:val="0"/>
          <w:numId w:val="9"/>
        </w:numPr>
        <w:rPr>
          <w:b/>
        </w:rPr>
      </w:pPr>
      <w:r w:rsidRPr="00CA2E29">
        <w:rPr>
          <w:b/>
        </w:rPr>
        <w:t>Induction for previously untreated indolent CD20 positive non-Hodgkin’s lymphoma:</w:t>
      </w:r>
    </w:p>
    <w:p w:rsidR="00CA2E29" w:rsidRPr="00CA2E29" w:rsidRDefault="00CA2E29" w:rsidP="00CA2E29">
      <w:pPr>
        <w:rPr>
          <w:b/>
        </w:rPr>
      </w:pPr>
    </w:p>
    <w:tbl>
      <w:tblPr>
        <w:tblW w:w="9214" w:type="dxa"/>
        <w:tblInd w:w="108" w:type="dxa"/>
        <w:tblLayout w:type="fixed"/>
        <w:tblLook w:val="0000" w:firstRow="0" w:lastRow="0" w:firstColumn="0" w:lastColumn="0" w:noHBand="0" w:noVBand="0"/>
      </w:tblPr>
      <w:tblGrid>
        <w:gridCol w:w="2835"/>
        <w:gridCol w:w="426"/>
        <w:gridCol w:w="850"/>
        <w:gridCol w:w="567"/>
        <w:gridCol w:w="1701"/>
        <w:gridCol w:w="1559"/>
        <w:gridCol w:w="1276"/>
      </w:tblGrid>
      <w:tr w:rsidR="00CA2E29" w:rsidRPr="00260CE3" w:rsidTr="002A7639">
        <w:trPr>
          <w:cantSplit/>
          <w:trHeight w:val="471"/>
        </w:trPr>
        <w:tc>
          <w:tcPr>
            <w:tcW w:w="3261" w:type="dxa"/>
            <w:gridSpan w:val="2"/>
            <w:tcBorders>
              <w:bottom w:val="single" w:sz="4" w:space="0" w:color="auto"/>
            </w:tcBorders>
          </w:tcPr>
          <w:p w:rsidR="00CA2E29" w:rsidRPr="00260CE3" w:rsidRDefault="00CA2E29" w:rsidP="002A7639">
            <w:pPr>
              <w:keepNext/>
              <w:ind w:left="-108"/>
              <w:rPr>
                <w:rFonts w:ascii="Arial Narrow" w:hAnsi="Arial Narrow"/>
                <w:sz w:val="20"/>
              </w:rPr>
            </w:pPr>
            <w:r w:rsidRPr="00260CE3">
              <w:rPr>
                <w:rFonts w:ascii="Arial Narrow" w:hAnsi="Arial Narrow"/>
                <w:sz w:val="20"/>
              </w:rPr>
              <w:t>Name, Restriction,</w:t>
            </w:r>
          </w:p>
          <w:p w:rsidR="00CA2E29" w:rsidRPr="00260CE3" w:rsidRDefault="00CA2E29" w:rsidP="002A7639">
            <w:pPr>
              <w:keepNext/>
              <w:ind w:left="-108"/>
              <w:rPr>
                <w:rFonts w:ascii="Arial Narrow" w:hAnsi="Arial Narrow"/>
                <w:sz w:val="20"/>
              </w:rPr>
            </w:pPr>
            <w:r w:rsidRPr="00260CE3">
              <w:rPr>
                <w:rFonts w:ascii="Arial Narrow" w:hAnsi="Arial Narrow"/>
                <w:sz w:val="20"/>
              </w:rPr>
              <w:t>Manner of administration and form</w:t>
            </w:r>
          </w:p>
        </w:tc>
        <w:tc>
          <w:tcPr>
            <w:tcW w:w="850" w:type="dxa"/>
            <w:tcBorders>
              <w:bottom w:val="single" w:sz="4" w:space="0" w:color="auto"/>
            </w:tcBorders>
          </w:tcPr>
          <w:p w:rsidR="00CA2E29" w:rsidRPr="00260CE3" w:rsidRDefault="00CA2E29" w:rsidP="002A7639">
            <w:pPr>
              <w:keepNext/>
              <w:ind w:left="-108"/>
              <w:rPr>
                <w:rFonts w:ascii="Arial Narrow" w:hAnsi="Arial Narrow"/>
                <w:sz w:val="20"/>
              </w:rPr>
            </w:pPr>
            <w:r w:rsidRPr="00260CE3">
              <w:rPr>
                <w:rFonts w:ascii="Arial Narrow" w:hAnsi="Arial Narrow"/>
                <w:sz w:val="20"/>
              </w:rPr>
              <w:t>Max.</w:t>
            </w:r>
          </w:p>
          <w:p w:rsidR="00CA2E29" w:rsidRPr="00260CE3" w:rsidRDefault="00CA2E29" w:rsidP="002A7639">
            <w:pPr>
              <w:keepNext/>
              <w:ind w:left="-108"/>
              <w:rPr>
                <w:rFonts w:ascii="Arial Narrow" w:hAnsi="Arial Narrow"/>
                <w:sz w:val="20"/>
              </w:rPr>
            </w:pPr>
            <w:proofErr w:type="spellStart"/>
            <w:r w:rsidRPr="00260CE3">
              <w:rPr>
                <w:rFonts w:ascii="Arial Narrow" w:hAnsi="Arial Narrow"/>
                <w:sz w:val="20"/>
              </w:rPr>
              <w:t>Qty</w:t>
            </w:r>
            <w:proofErr w:type="spellEnd"/>
          </w:p>
        </w:tc>
        <w:tc>
          <w:tcPr>
            <w:tcW w:w="567" w:type="dxa"/>
            <w:tcBorders>
              <w:bottom w:val="single" w:sz="4" w:space="0" w:color="auto"/>
            </w:tcBorders>
          </w:tcPr>
          <w:p w:rsidR="00CA2E29" w:rsidRPr="00260CE3" w:rsidRDefault="00CA2E29" w:rsidP="002A7639">
            <w:pPr>
              <w:keepNext/>
              <w:ind w:left="-108"/>
              <w:rPr>
                <w:rFonts w:ascii="Arial Narrow" w:hAnsi="Arial Narrow"/>
                <w:sz w:val="20"/>
              </w:rPr>
            </w:pPr>
            <w:r w:rsidRPr="00260CE3">
              <w:rPr>
                <w:rFonts w:ascii="Arial Narrow" w:hAnsi="Arial Narrow"/>
                <w:sz w:val="20"/>
              </w:rPr>
              <w:t>№.of</w:t>
            </w:r>
          </w:p>
          <w:p w:rsidR="00CA2E29" w:rsidRPr="00260CE3" w:rsidRDefault="00CA2E29" w:rsidP="002A7639">
            <w:pPr>
              <w:keepNext/>
              <w:ind w:left="-108"/>
              <w:rPr>
                <w:rFonts w:ascii="Arial Narrow" w:hAnsi="Arial Narrow"/>
                <w:sz w:val="20"/>
              </w:rPr>
            </w:pPr>
            <w:proofErr w:type="spellStart"/>
            <w:r w:rsidRPr="00260CE3">
              <w:rPr>
                <w:rFonts w:ascii="Arial Narrow" w:hAnsi="Arial Narrow"/>
                <w:sz w:val="20"/>
              </w:rPr>
              <w:t>Rpts</w:t>
            </w:r>
            <w:proofErr w:type="spellEnd"/>
          </w:p>
        </w:tc>
        <w:tc>
          <w:tcPr>
            <w:tcW w:w="1701" w:type="dxa"/>
            <w:tcBorders>
              <w:bottom w:val="single" w:sz="4" w:space="0" w:color="auto"/>
            </w:tcBorders>
          </w:tcPr>
          <w:p w:rsidR="00CA2E29" w:rsidRPr="00260CE3" w:rsidRDefault="00CA2E29" w:rsidP="002A7639">
            <w:pPr>
              <w:keepNext/>
              <w:ind w:left="-108"/>
              <w:rPr>
                <w:rFonts w:ascii="Arial Narrow" w:hAnsi="Arial Narrow"/>
                <w:sz w:val="20"/>
              </w:rPr>
            </w:pPr>
            <w:r w:rsidRPr="00260CE3">
              <w:rPr>
                <w:rFonts w:ascii="Arial Narrow" w:hAnsi="Arial Narrow"/>
                <w:sz w:val="20"/>
              </w:rPr>
              <w:t xml:space="preserve">Dispensed Price for Max. </w:t>
            </w:r>
            <w:proofErr w:type="spellStart"/>
            <w:r w:rsidRPr="00260CE3">
              <w:rPr>
                <w:rFonts w:ascii="Arial Narrow" w:hAnsi="Arial Narrow"/>
                <w:sz w:val="20"/>
              </w:rPr>
              <w:t>Qty</w:t>
            </w:r>
            <w:proofErr w:type="spellEnd"/>
          </w:p>
        </w:tc>
        <w:tc>
          <w:tcPr>
            <w:tcW w:w="2835" w:type="dxa"/>
            <w:gridSpan w:val="2"/>
            <w:tcBorders>
              <w:bottom w:val="single" w:sz="4" w:space="0" w:color="auto"/>
            </w:tcBorders>
          </w:tcPr>
          <w:p w:rsidR="00CA2E29" w:rsidRPr="00260CE3" w:rsidRDefault="00CA2E29" w:rsidP="002A7639">
            <w:pPr>
              <w:keepNext/>
              <w:rPr>
                <w:rFonts w:ascii="Arial Narrow" w:hAnsi="Arial Narrow"/>
                <w:sz w:val="20"/>
                <w:lang w:val="fr-FR"/>
              </w:rPr>
            </w:pPr>
            <w:r w:rsidRPr="00260CE3">
              <w:rPr>
                <w:rFonts w:ascii="Arial Narrow" w:hAnsi="Arial Narrow"/>
                <w:sz w:val="20"/>
              </w:rPr>
              <w:t>Proprietary Name and Manufacturer</w:t>
            </w:r>
          </w:p>
        </w:tc>
      </w:tr>
      <w:tr w:rsidR="00CA2E29" w:rsidRPr="00260CE3" w:rsidTr="002A7639">
        <w:trPr>
          <w:cantSplit/>
          <w:trHeight w:val="1005"/>
        </w:trPr>
        <w:tc>
          <w:tcPr>
            <w:tcW w:w="3261" w:type="dxa"/>
            <w:gridSpan w:val="2"/>
          </w:tcPr>
          <w:p w:rsidR="00CA2E29" w:rsidRPr="00260CE3" w:rsidRDefault="00CA2E29" w:rsidP="002A7639">
            <w:pPr>
              <w:keepNext/>
              <w:ind w:left="-108"/>
              <w:rPr>
                <w:rFonts w:ascii="Arial Narrow" w:hAnsi="Arial Narrow"/>
                <w:sz w:val="20"/>
              </w:rPr>
            </w:pPr>
            <w:r>
              <w:rPr>
                <w:rFonts w:ascii="Arial Narrow" w:hAnsi="Arial Narrow"/>
                <w:smallCaps/>
                <w:sz w:val="20"/>
              </w:rPr>
              <w:t>bendamustine</w:t>
            </w:r>
          </w:p>
          <w:p w:rsidR="00CA2E29" w:rsidRDefault="00CA2E29" w:rsidP="002A7639">
            <w:pPr>
              <w:keepNext/>
              <w:ind w:left="-108"/>
              <w:rPr>
                <w:rFonts w:ascii="Arial Narrow" w:hAnsi="Arial Narrow"/>
                <w:sz w:val="20"/>
              </w:rPr>
            </w:pPr>
            <w:r>
              <w:rPr>
                <w:rFonts w:ascii="Arial Narrow" w:hAnsi="Arial Narrow"/>
                <w:sz w:val="20"/>
              </w:rPr>
              <w:t>powder for injection 100 mg x 1 vial</w:t>
            </w:r>
          </w:p>
          <w:p w:rsidR="00CA2E29" w:rsidRPr="00260CE3" w:rsidRDefault="00CA2E29" w:rsidP="002A7639">
            <w:pPr>
              <w:keepNext/>
              <w:ind w:left="-108"/>
              <w:rPr>
                <w:rFonts w:ascii="Arial Narrow" w:hAnsi="Arial Narrow"/>
                <w:sz w:val="20"/>
              </w:rPr>
            </w:pPr>
            <w:r>
              <w:rPr>
                <w:rFonts w:ascii="Arial Narrow" w:hAnsi="Arial Narrow"/>
                <w:sz w:val="20"/>
              </w:rPr>
              <w:t>powder for injection 25 mg x 1 vial</w:t>
            </w:r>
          </w:p>
        </w:tc>
        <w:tc>
          <w:tcPr>
            <w:tcW w:w="850" w:type="dxa"/>
          </w:tcPr>
          <w:p w:rsidR="00CA2E29" w:rsidRPr="00260CE3" w:rsidRDefault="00CA2E29" w:rsidP="002A7639">
            <w:pPr>
              <w:keepNext/>
              <w:ind w:left="-108"/>
              <w:rPr>
                <w:rFonts w:ascii="Arial Narrow" w:hAnsi="Arial Narrow"/>
                <w:sz w:val="20"/>
              </w:rPr>
            </w:pPr>
          </w:p>
          <w:p w:rsidR="00CA2E29" w:rsidRPr="00260CE3" w:rsidRDefault="00CA2E29" w:rsidP="002A7639">
            <w:pPr>
              <w:keepNext/>
              <w:ind w:left="-108"/>
              <w:rPr>
                <w:rFonts w:ascii="Arial Narrow" w:hAnsi="Arial Narrow"/>
                <w:sz w:val="20"/>
              </w:rPr>
            </w:pPr>
            <w:r>
              <w:rPr>
                <w:rFonts w:ascii="Arial Narrow" w:hAnsi="Arial Narrow"/>
                <w:sz w:val="20"/>
              </w:rPr>
              <w:t>200 mg</w:t>
            </w:r>
          </w:p>
        </w:tc>
        <w:tc>
          <w:tcPr>
            <w:tcW w:w="567" w:type="dxa"/>
          </w:tcPr>
          <w:p w:rsidR="00CA2E29" w:rsidRPr="007A3D6B" w:rsidRDefault="00CA2E29" w:rsidP="002A7639">
            <w:pPr>
              <w:keepNext/>
              <w:ind w:left="-108"/>
              <w:rPr>
                <w:rFonts w:ascii="Arial Narrow" w:hAnsi="Arial Narrow"/>
                <w:sz w:val="20"/>
              </w:rPr>
            </w:pPr>
          </w:p>
          <w:p w:rsidR="00CA2E29" w:rsidRPr="007A3D6B" w:rsidRDefault="00CA2E29" w:rsidP="002A7639">
            <w:pPr>
              <w:keepNext/>
              <w:ind w:left="-108"/>
              <w:rPr>
                <w:rFonts w:ascii="Arial Narrow" w:hAnsi="Arial Narrow"/>
                <w:sz w:val="20"/>
              </w:rPr>
            </w:pPr>
            <w:r w:rsidRPr="007A3D6B">
              <w:rPr>
                <w:rFonts w:ascii="Arial Narrow" w:hAnsi="Arial Narrow"/>
                <w:sz w:val="20"/>
              </w:rPr>
              <w:t>11</w:t>
            </w:r>
          </w:p>
        </w:tc>
        <w:tc>
          <w:tcPr>
            <w:tcW w:w="1701" w:type="dxa"/>
          </w:tcPr>
          <w:p w:rsidR="00CA2E29" w:rsidRPr="007A3D6B" w:rsidRDefault="00CA2E29" w:rsidP="002A7639">
            <w:pPr>
              <w:keepNext/>
              <w:ind w:left="-108"/>
              <w:rPr>
                <w:rFonts w:ascii="Arial Narrow" w:hAnsi="Arial Narrow"/>
                <w:sz w:val="20"/>
              </w:rPr>
            </w:pPr>
            <w:r w:rsidRPr="007A3D6B">
              <w:rPr>
                <w:rFonts w:ascii="Arial Narrow" w:hAnsi="Arial Narrow"/>
                <w:sz w:val="20"/>
              </w:rPr>
              <w:t>$</w:t>
            </w:r>
            <w:r w:rsidR="009B4D1B">
              <w:rPr>
                <w:rFonts w:ascii="Arial Narrow" w:hAnsi="Arial Narrow"/>
                <w:noProof/>
                <w:color w:val="000000"/>
                <w:sz w:val="20"/>
                <w:highlight w:val="black"/>
              </w:rPr>
              <w:t>''''''''''''''''''''</w:t>
            </w:r>
            <w:r w:rsidRPr="007A3D6B">
              <w:rPr>
                <w:rFonts w:ascii="Arial Narrow" w:hAnsi="Arial Narrow"/>
                <w:sz w:val="20"/>
              </w:rPr>
              <w:t xml:space="preserve"> </w:t>
            </w:r>
          </w:p>
          <w:p w:rsidR="00CA2E29" w:rsidRPr="007A3D6B" w:rsidRDefault="00CA2E29" w:rsidP="002A7639">
            <w:pPr>
              <w:keepNext/>
              <w:ind w:left="-108"/>
              <w:rPr>
                <w:rFonts w:ascii="Arial Narrow" w:hAnsi="Arial Narrow"/>
                <w:sz w:val="20"/>
              </w:rPr>
            </w:pPr>
            <w:r w:rsidRPr="007A3D6B">
              <w:rPr>
                <w:rFonts w:ascii="Arial Narrow" w:hAnsi="Arial Narrow"/>
                <w:sz w:val="20"/>
              </w:rPr>
              <w:t>(public hospital)</w:t>
            </w:r>
          </w:p>
          <w:p w:rsidR="00CA2E29" w:rsidRPr="007A3D6B" w:rsidRDefault="00CA2E29" w:rsidP="002A7639">
            <w:pPr>
              <w:keepNext/>
              <w:ind w:left="-108"/>
              <w:rPr>
                <w:rFonts w:ascii="Arial Narrow" w:hAnsi="Arial Narrow"/>
                <w:sz w:val="20"/>
              </w:rPr>
            </w:pPr>
            <w:r w:rsidRPr="007A3D6B">
              <w:rPr>
                <w:rFonts w:ascii="Arial Narrow" w:hAnsi="Arial Narrow"/>
                <w:sz w:val="20"/>
              </w:rPr>
              <w:t>$</w:t>
            </w:r>
            <w:r w:rsidR="009B4D1B">
              <w:rPr>
                <w:rFonts w:ascii="Arial Narrow" w:hAnsi="Arial Narrow"/>
                <w:noProof/>
                <w:color w:val="000000"/>
                <w:sz w:val="20"/>
                <w:highlight w:val="black"/>
              </w:rPr>
              <w:t>'''''''''''''''''''''</w:t>
            </w:r>
            <w:r w:rsidRPr="007A3D6B">
              <w:rPr>
                <w:rFonts w:ascii="Arial Narrow" w:hAnsi="Arial Narrow"/>
                <w:sz w:val="20"/>
              </w:rPr>
              <w:t xml:space="preserve"> </w:t>
            </w:r>
          </w:p>
          <w:p w:rsidR="00CA2E29" w:rsidRPr="007A3D6B" w:rsidRDefault="00CA2E29" w:rsidP="002A7639">
            <w:pPr>
              <w:keepNext/>
              <w:ind w:left="-108"/>
              <w:rPr>
                <w:rFonts w:ascii="Arial Narrow" w:hAnsi="Arial Narrow"/>
                <w:sz w:val="20"/>
              </w:rPr>
            </w:pPr>
            <w:r w:rsidRPr="007A3D6B">
              <w:rPr>
                <w:rFonts w:ascii="Arial Narrow" w:hAnsi="Arial Narrow"/>
                <w:sz w:val="20"/>
              </w:rPr>
              <w:t>(private hospital)</w:t>
            </w:r>
          </w:p>
        </w:tc>
        <w:tc>
          <w:tcPr>
            <w:tcW w:w="1559" w:type="dxa"/>
          </w:tcPr>
          <w:p w:rsidR="00CA2E29" w:rsidRPr="00260CE3" w:rsidRDefault="005C6C53" w:rsidP="002A7639">
            <w:pPr>
              <w:keepNext/>
              <w:rPr>
                <w:rFonts w:ascii="Arial Narrow" w:hAnsi="Arial Narrow"/>
                <w:sz w:val="20"/>
              </w:rPr>
            </w:pPr>
            <w:proofErr w:type="spellStart"/>
            <w:r>
              <w:rPr>
                <w:rFonts w:ascii="Arial Narrow" w:hAnsi="Arial Narrow"/>
                <w:sz w:val="20"/>
              </w:rPr>
              <w:t>R</w:t>
            </w:r>
            <w:r w:rsidR="00CA2E29">
              <w:rPr>
                <w:rFonts w:ascii="Arial Narrow" w:hAnsi="Arial Narrow"/>
                <w:sz w:val="20"/>
              </w:rPr>
              <w:t>ibomustin</w:t>
            </w:r>
            <w:proofErr w:type="spellEnd"/>
          </w:p>
        </w:tc>
        <w:tc>
          <w:tcPr>
            <w:tcW w:w="1276" w:type="dxa"/>
          </w:tcPr>
          <w:p w:rsidR="00CA2E29" w:rsidRPr="00260CE3" w:rsidRDefault="00CA2E29" w:rsidP="002A7639">
            <w:pPr>
              <w:keepNext/>
              <w:rPr>
                <w:rFonts w:ascii="Arial Narrow" w:hAnsi="Arial Narrow"/>
                <w:sz w:val="20"/>
              </w:rPr>
            </w:pPr>
            <w:r>
              <w:rPr>
                <w:rFonts w:ascii="Arial Narrow" w:hAnsi="Arial Narrow"/>
                <w:sz w:val="20"/>
              </w:rPr>
              <w:t>Janssen-</w:t>
            </w:r>
            <w:proofErr w:type="spellStart"/>
            <w:r>
              <w:rPr>
                <w:rFonts w:ascii="Arial Narrow" w:hAnsi="Arial Narrow"/>
                <w:sz w:val="20"/>
              </w:rPr>
              <w:t>Cilag</w:t>
            </w:r>
            <w:proofErr w:type="spellEnd"/>
            <w:r>
              <w:rPr>
                <w:rFonts w:ascii="Arial Narrow" w:hAnsi="Arial Narrow"/>
                <w:sz w:val="20"/>
              </w:rPr>
              <w:t xml:space="preserve"> Pty Ltd</w:t>
            </w:r>
          </w:p>
        </w:tc>
      </w:tr>
      <w:tr w:rsidR="00CA2E29" w:rsidRPr="00260CE3" w:rsidTr="002A7639">
        <w:trPr>
          <w:cantSplit/>
          <w:trHeight w:val="360"/>
        </w:trPr>
        <w:tc>
          <w:tcPr>
            <w:tcW w:w="9214" w:type="dxa"/>
            <w:gridSpan w:val="7"/>
            <w:tcBorders>
              <w:bottom w:val="single" w:sz="4" w:space="0" w:color="auto"/>
            </w:tcBorders>
          </w:tcPr>
          <w:p w:rsidR="00CA2E29" w:rsidRPr="00260CE3" w:rsidRDefault="00CA2E29" w:rsidP="002A7639">
            <w:pPr>
              <w:rPr>
                <w:rFonts w:ascii="Arial Narrow" w:hAnsi="Arial Narrow"/>
                <w:sz w:val="20"/>
              </w:rPr>
            </w:pP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lastRenderedPageBreak/>
              <w:t xml:space="preserve">Category / </w:t>
            </w:r>
          </w:p>
          <w:p w:rsidR="00CA2E29" w:rsidRPr="00260CE3" w:rsidRDefault="00CA2E29" w:rsidP="002A7639">
            <w:pPr>
              <w:keepNext/>
              <w:keepLines/>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sz w:val="20"/>
              </w:rPr>
            </w:pPr>
            <w:r>
              <w:rPr>
                <w:rFonts w:ascii="Arial Narrow" w:hAnsi="Arial Narrow"/>
                <w:sz w:val="20"/>
              </w:rPr>
              <w:t>Section 100 (efficient funding of chemotherapy arrangements) public/private hospital</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CA2E29" w:rsidRPr="00260CE3" w:rsidRDefault="00CA2E29" w:rsidP="002A7639">
            <w:pPr>
              <w:keepNext/>
              <w:keepLines/>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proofErr w:type="spellStart"/>
            <w:r w:rsidRPr="00260CE3">
              <w:rPr>
                <w:rFonts w:ascii="Arial Narrow" w:hAnsi="Arial Narrow"/>
                <w:b/>
                <w:sz w:val="20"/>
              </w:rPr>
              <w:t>Episodicity</w:t>
            </w:r>
            <w:proofErr w:type="spellEnd"/>
            <w:r w:rsidRPr="00260CE3">
              <w:rPr>
                <w:rFonts w:ascii="Arial Narrow" w:hAnsi="Arial Narrow"/>
                <w:b/>
                <w:sz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sz w:val="20"/>
              </w:rPr>
            </w:pPr>
            <w:r w:rsidRPr="00E920D1">
              <w:rPr>
                <w:rFonts w:ascii="Arial Narrow" w:hAnsi="Arial Narrow"/>
                <w:sz w:val="20"/>
              </w:rPr>
              <w:t>Previously untreated</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sz w:val="20"/>
              </w:rPr>
            </w:pPr>
            <w:r w:rsidRPr="004D2AA5">
              <w:rPr>
                <w:rFonts w:ascii="Arial Narrow" w:hAnsi="Arial Narrow"/>
                <w:sz w:val="20"/>
                <w:lang w:val="en-US"/>
              </w:rPr>
              <w:t>Stage III or IV</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sz w:val="20"/>
              </w:rPr>
            </w:pPr>
            <w:r>
              <w:rPr>
                <w:rFonts w:ascii="Arial Narrow" w:hAnsi="Arial Narrow"/>
                <w:sz w:val="20"/>
              </w:rPr>
              <w:t>Indolent CD20 positive non-Hodgkin’s lymphoma</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i/>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sz w:val="20"/>
              </w:rPr>
            </w:pPr>
            <w:r w:rsidRPr="00E5111F">
              <w:rPr>
                <w:rFonts w:ascii="Arial Narrow" w:hAnsi="Arial Narrow"/>
                <w:sz w:val="20"/>
                <w:lang w:val="en-US"/>
              </w:rPr>
              <w:t>Induction treatment</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CA2E29" w:rsidRPr="00260CE3" w:rsidRDefault="00CA2E29" w:rsidP="002A7639">
            <w:pPr>
              <w:keepNext/>
              <w:keepLines/>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A2E29" w:rsidRPr="00106BCF" w:rsidRDefault="00CA2E29" w:rsidP="002A7639">
            <w:pPr>
              <w:keepNext/>
              <w:keepLines/>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CA2E29" w:rsidRPr="00106BCF" w:rsidRDefault="0028655E" w:rsidP="002A7639">
            <w:pPr>
              <w:keepNext/>
              <w:keepLines/>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Pr>
                <w:rFonts w:ascii="Arial Narrow" w:hAnsi="Arial Narrow"/>
                <w:sz w:val="20"/>
              </w:rPr>
              <w:fldChar w:fldCharType="end"/>
            </w:r>
            <w:r w:rsidR="00CA2E29" w:rsidRPr="00106BCF">
              <w:rPr>
                <w:rFonts w:ascii="Arial Narrow" w:hAnsi="Arial Narrow"/>
                <w:sz w:val="20"/>
              </w:rPr>
              <w:t>Authority Required - In Writing</w:t>
            </w:r>
          </w:p>
          <w:p w:rsidR="00CA2E29" w:rsidRPr="00106BCF" w:rsidRDefault="0028655E" w:rsidP="002A7639">
            <w:pPr>
              <w:keepNext/>
              <w:keepLines/>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bookmarkStart w:id="9" w:name="Check3"/>
            <w:r>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Pr>
                <w:rFonts w:ascii="Arial Narrow" w:hAnsi="Arial Narrow"/>
                <w:sz w:val="20"/>
              </w:rPr>
              <w:fldChar w:fldCharType="end"/>
            </w:r>
            <w:bookmarkEnd w:id="9"/>
            <w:r w:rsidR="00CA2E29" w:rsidRPr="00106BCF">
              <w:rPr>
                <w:rFonts w:ascii="Arial Narrow" w:hAnsi="Arial Narrow"/>
                <w:sz w:val="20"/>
              </w:rPr>
              <w:t>Authority Required - Telephone</w:t>
            </w:r>
          </w:p>
          <w:p w:rsidR="00CA2E29" w:rsidRPr="00106BCF" w:rsidRDefault="0028655E" w:rsidP="002A7639">
            <w:pPr>
              <w:keepNext/>
              <w:keepLines/>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Pr>
                <w:rFonts w:ascii="Arial Narrow" w:hAnsi="Arial Narrow"/>
                <w:sz w:val="20"/>
              </w:rPr>
              <w:fldChar w:fldCharType="end"/>
            </w:r>
            <w:r w:rsidR="00CA2E29" w:rsidRPr="00106BCF">
              <w:rPr>
                <w:rFonts w:ascii="Arial Narrow" w:hAnsi="Arial Narrow"/>
                <w:sz w:val="20"/>
              </w:rPr>
              <w:t>Authority Required – Emergency</w:t>
            </w:r>
          </w:p>
          <w:p w:rsidR="00CA2E29" w:rsidRPr="00106BCF" w:rsidRDefault="0028655E" w:rsidP="002A7639">
            <w:pPr>
              <w:keepNext/>
              <w:keepLines/>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Pr>
                <w:rFonts w:ascii="Arial Narrow" w:hAnsi="Arial Narrow"/>
                <w:sz w:val="20"/>
              </w:rPr>
              <w:fldChar w:fldCharType="end"/>
            </w:r>
            <w:r w:rsidR="00CA2E29" w:rsidRPr="00106BCF">
              <w:rPr>
                <w:rFonts w:ascii="Arial Narrow" w:hAnsi="Arial Narrow"/>
                <w:sz w:val="20"/>
              </w:rPr>
              <w:t>Authority Required - Electronic</w:t>
            </w:r>
          </w:p>
          <w:p w:rsidR="00CA2E29" w:rsidRPr="00260CE3" w:rsidRDefault="00CA2E29" w:rsidP="002A7639">
            <w:pPr>
              <w:keepNext/>
              <w:keepLines/>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10" w:name="Check5"/>
            <w:r>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Pr>
                <w:rFonts w:ascii="Arial Narrow" w:hAnsi="Arial Narrow"/>
                <w:sz w:val="20"/>
              </w:rPr>
              <w:fldChar w:fldCharType="end"/>
            </w:r>
            <w:bookmarkEnd w:id="10"/>
            <w:r w:rsidRPr="00106BCF">
              <w:rPr>
                <w:rFonts w:ascii="Arial Narrow" w:hAnsi="Arial Narrow"/>
                <w:sz w:val="20"/>
              </w:rPr>
              <w:t>Streamlined</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t>Clinical criteria:</w:t>
            </w:r>
          </w:p>
          <w:p w:rsidR="00CA2E29" w:rsidRPr="00260CE3" w:rsidRDefault="00CA2E29" w:rsidP="002A7639">
            <w:pPr>
              <w:keepNext/>
              <w:keepLines/>
              <w:rPr>
                <w:rFonts w:ascii="Arial Narrow" w:hAnsi="Arial Narrow"/>
                <w:i/>
                <w:sz w:val="20"/>
              </w:rPr>
            </w:pPr>
          </w:p>
          <w:p w:rsidR="00CA2E29" w:rsidRPr="00260CE3" w:rsidRDefault="00CA2E29" w:rsidP="002A7639">
            <w:pPr>
              <w:keepNext/>
              <w:keepLines/>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A2E29" w:rsidRPr="0028655E" w:rsidRDefault="00CA2E29" w:rsidP="002A7639">
            <w:pPr>
              <w:keepNext/>
              <w:keepLines/>
              <w:rPr>
                <w:rFonts w:ascii="Arial Narrow" w:hAnsi="Arial Narrow"/>
                <w:sz w:val="20"/>
                <w:lang w:val="en-US"/>
              </w:rPr>
            </w:pPr>
            <w:r w:rsidRPr="0028655E">
              <w:rPr>
                <w:rFonts w:ascii="Arial Narrow" w:hAnsi="Arial Narrow"/>
                <w:sz w:val="20"/>
                <w:lang w:val="en-US"/>
              </w:rPr>
              <w:t>The treatment must be in combination with rituximab,</w:t>
            </w:r>
          </w:p>
          <w:p w:rsidR="00CA2E29" w:rsidRPr="0028655E" w:rsidRDefault="00CA2E29" w:rsidP="002A7639">
            <w:pPr>
              <w:keepNext/>
              <w:keepLines/>
              <w:rPr>
                <w:rFonts w:ascii="Arial Narrow" w:hAnsi="Arial Narrow"/>
                <w:sz w:val="20"/>
                <w:lang w:val="en-US"/>
              </w:rPr>
            </w:pPr>
            <w:r w:rsidRPr="0028655E">
              <w:rPr>
                <w:rFonts w:ascii="Arial Narrow" w:hAnsi="Arial Narrow"/>
                <w:sz w:val="20"/>
                <w:lang w:val="en-US"/>
              </w:rPr>
              <w:t>AND</w:t>
            </w:r>
          </w:p>
          <w:p w:rsidR="00CA2E29" w:rsidRPr="0028655E" w:rsidRDefault="00CA2E29" w:rsidP="002A7639">
            <w:pPr>
              <w:keepNext/>
              <w:keepLines/>
              <w:rPr>
                <w:rFonts w:ascii="Arial Narrow" w:hAnsi="Arial Narrow"/>
                <w:sz w:val="20"/>
                <w:lang w:val="en-US"/>
              </w:rPr>
            </w:pPr>
            <w:r w:rsidRPr="0028655E">
              <w:rPr>
                <w:rFonts w:ascii="Arial Narrow" w:hAnsi="Arial Narrow"/>
                <w:sz w:val="20"/>
                <w:lang w:val="en-US"/>
              </w:rPr>
              <w:t>The condition must be previously untreated,</w:t>
            </w:r>
          </w:p>
          <w:p w:rsidR="00CA2E29" w:rsidRPr="0028655E" w:rsidRDefault="00CA2E29" w:rsidP="002A7639">
            <w:pPr>
              <w:keepNext/>
              <w:keepLines/>
              <w:rPr>
                <w:rFonts w:ascii="Arial Narrow" w:hAnsi="Arial Narrow"/>
                <w:sz w:val="20"/>
                <w:lang w:val="en-US"/>
              </w:rPr>
            </w:pPr>
            <w:r w:rsidRPr="0028655E">
              <w:rPr>
                <w:rFonts w:ascii="Arial Narrow" w:hAnsi="Arial Narrow"/>
                <w:sz w:val="20"/>
                <w:lang w:val="en-US"/>
              </w:rPr>
              <w:t>AND</w:t>
            </w:r>
          </w:p>
          <w:p w:rsidR="00CA2E29" w:rsidRPr="0028655E" w:rsidRDefault="00CA2E29" w:rsidP="002A7639">
            <w:pPr>
              <w:keepNext/>
              <w:keepLines/>
              <w:rPr>
                <w:rFonts w:ascii="Arial Narrow" w:hAnsi="Arial Narrow"/>
                <w:i/>
                <w:sz w:val="20"/>
              </w:rPr>
            </w:pPr>
            <w:r w:rsidRPr="0028655E">
              <w:rPr>
                <w:rFonts w:ascii="Arial Narrow" w:hAnsi="Arial Narrow"/>
                <w:i/>
                <w:sz w:val="20"/>
              </w:rPr>
              <w:t>The condition must be symptomatic,</w:t>
            </w:r>
          </w:p>
          <w:p w:rsidR="00CA2E29" w:rsidRPr="0028655E" w:rsidRDefault="00CA2E29" w:rsidP="002A7639">
            <w:pPr>
              <w:keepNext/>
              <w:keepLines/>
              <w:rPr>
                <w:rFonts w:ascii="Arial Narrow" w:hAnsi="Arial Narrow"/>
                <w:sz w:val="20"/>
                <w:lang w:val="en-US"/>
              </w:rPr>
            </w:pPr>
            <w:r w:rsidRPr="0028655E">
              <w:rPr>
                <w:rFonts w:ascii="Arial Narrow" w:hAnsi="Arial Narrow"/>
                <w:sz w:val="20"/>
                <w:lang w:val="en-US"/>
              </w:rPr>
              <w:t>AND</w:t>
            </w:r>
          </w:p>
          <w:p w:rsidR="00CA2E29" w:rsidRPr="006E448C" w:rsidRDefault="00CA2E29" w:rsidP="002A7639">
            <w:pPr>
              <w:keepNext/>
              <w:keepLines/>
              <w:rPr>
                <w:rFonts w:ascii="Arial Narrow" w:hAnsi="Arial Narrow"/>
                <w:i/>
                <w:sz w:val="20"/>
                <w:lang w:val="en-US"/>
              </w:rPr>
            </w:pPr>
            <w:r w:rsidRPr="006E448C">
              <w:rPr>
                <w:rFonts w:ascii="Arial Narrow" w:hAnsi="Arial Narrow"/>
                <w:i/>
                <w:sz w:val="20"/>
                <w:lang w:val="en-US"/>
              </w:rPr>
              <w:t>The treatment must be for induction treatment purposes only,</w:t>
            </w:r>
          </w:p>
          <w:p w:rsidR="00CA2E29" w:rsidRPr="00260CE3" w:rsidRDefault="00CA2E29" w:rsidP="002A7639">
            <w:pPr>
              <w:keepNext/>
              <w:keepLines/>
              <w:rPr>
                <w:rFonts w:ascii="Arial Narrow" w:hAnsi="Arial Narrow"/>
                <w:sz w:val="20"/>
              </w:rPr>
            </w:pPr>
            <w:r w:rsidRPr="00E5111F">
              <w:rPr>
                <w:rFonts w:ascii="Arial Narrow" w:hAnsi="Arial Narrow"/>
                <w:sz w:val="20"/>
                <w:lang w:val="en-US"/>
              </w:rPr>
              <w:t>AND</w:t>
            </w:r>
          </w:p>
          <w:p w:rsidR="00CA2E29" w:rsidRPr="007513A6" w:rsidRDefault="00CA2E29" w:rsidP="002A7639">
            <w:pPr>
              <w:keepNext/>
              <w:keepLines/>
              <w:rPr>
                <w:rFonts w:ascii="Arial Narrow" w:hAnsi="Arial Narrow"/>
                <w:i/>
                <w:sz w:val="20"/>
              </w:rPr>
            </w:pPr>
            <w:r w:rsidRPr="007513A6">
              <w:rPr>
                <w:rFonts w:ascii="Arial Narrow" w:hAnsi="Arial Narrow"/>
                <w:i/>
                <w:sz w:val="20"/>
              </w:rPr>
              <w:t>Patient must not receive more than 6 cycles (12 doses) of treatment under this restriction.</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323CD8" w:rsidRDefault="00CA2E29" w:rsidP="002A7639">
            <w:pPr>
              <w:keepNext/>
              <w:keepLines/>
              <w:rPr>
                <w:rFonts w:ascii="Arial Narrow" w:hAnsi="Arial Narrow"/>
                <w:b/>
                <w:i/>
                <w:sz w:val="20"/>
              </w:rPr>
            </w:pPr>
            <w:r w:rsidRPr="00323CD8">
              <w:rPr>
                <w:rFonts w:ascii="Arial Narrow" w:hAnsi="Arial Narrow"/>
                <w:b/>
                <w:i/>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CA2E29" w:rsidRPr="00323CD8" w:rsidRDefault="00CA2E29" w:rsidP="002A7639">
            <w:pPr>
              <w:keepNext/>
              <w:keepLines/>
              <w:rPr>
                <w:rFonts w:ascii="Arial Narrow" w:hAnsi="Arial Narrow"/>
                <w:i/>
                <w:sz w:val="20"/>
                <w:lang w:val="en-US"/>
              </w:rPr>
            </w:pPr>
            <w:r w:rsidRPr="00323CD8">
              <w:rPr>
                <w:rFonts w:ascii="Arial Narrow" w:hAnsi="Arial Narrow"/>
                <w:i/>
                <w:sz w:val="20"/>
                <w:lang w:val="en-US"/>
              </w:rPr>
              <w:t xml:space="preserve">No increase in the maximum number of repeats may be </w:t>
            </w:r>
            <w:proofErr w:type="spellStart"/>
            <w:r w:rsidRPr="00323CD8">
              <w:rPr>
                <w:rFonts w:ascii="Arial Narrow" w:hAnsi="Arial Narrow"/>
                <w:i/>
                <w:sz w:val="20"/>
                <w:lang w:val="en-US"/>
              </w:rPr>
              <w:t>authorised</w:t>
            </w:r>
            <w:proofErr w:type="spellEnd"/>
          </w:p>
        </w:tc>
      </w:tr>
    </w:tbl>
    <w:p w:rsidR="00CA2E29" w:rsidRPr="00552722" w:rsidRDefault="00CA2E29" w:rsidP="00CA2E29">
      <w:pPr>
        <w:keepNext/>
        <w:keepLines/>
        <w:rPr>
          <w:szCs w:val="22"/>
        </w:rPr>
      </w:pPr>
    </w:p>
    <w:p w:rsidR="00CA2E29" w:rsidRPr="00CA2E29" w:rsidRDefault="00CA2E29" w:rsidP="00EB1E21">
      <w:pPr>
        <w:pStyle w:val="ListParagraph"/>
        <w:keepNext/>
        <w:keepLines/>
        <w:numPr>
          <w:ilvl w:val="0"/>
          <w:numId w:val="9"/>
        </w:numPr>
        <w:rPr>
          <w:b/>
        </w:rPr>
      </w:pPr>
      <w:r w:rsidRPr="00CA2E29">
        <w:rPr>
          <w:b/>
        </w:rPr>
        <w:t>Induction for previously untreated mantle cell lymphoma:</w:t>
      </w:r>
    </w:p>
    <w:p w:rsidR="00CA2E29" w:rsidRPr="00CA2E29" w:rsidRDefault="00CA2E29" w:rsidP="00CA2E29">
      <w:pPr>
        <w:keepNext/>
        <w:keepLines/>
        <w:rPr>
          <w:b/>
        </w:rPr>
      </w:pPr>
    </w:p>
    <w:tbl>
      <w:tblPr>
        <w:tblW w:w="9214" w:type="dxa"/>
        <w:tblInd w:w="108" w:type="dxa"/>
        <w:tblLayout w:type="fixed"/>
        <w:tblLook w:val="0000" w:firstRow="0" w:lastRow="0" w:firstColumn="0" w:lastColumn="0" w:noHBand="0" w:noVBand="0"/>
      </w:tblPr>
      <w:tblGrid>
        <w:gridCol w:w="2835"/>
        <w:gridCol w:w="426"/>
        <w:gridCol w:w="708"/>
        <w:gridCol w:w="851"/>
        <w:gridCol w:w="1559"/>
        <w:gridCol w:w="1559"/>
        <w:gridCol w:w="1276"/>
      </w:tblGrid>
      <w:tr w:rsidR="00CA2E29" w:rsidRPr="00260CE3" w:rsidTr="002A7639">
        <w:trPr>
          <w:cantSplit/>
          <w:trHeight w:val="471"/>
        </w:trPr>
        <w:tc>
          <w:tcPr>
            <w:tcW w:w="3261" w:type="dxa"/>
            <w:gridSpan w:val="2"/>
            <w:tcBorders>
              <w:bottom w:val="single" w:sz="4" w:space="0" w:color="auto"/>
            </w:tcBorders>
          </w:tcPr>
          <w:p w:rsidR="00CA2E29" w:rsidRPr="00260CE3" w:rsidRDefault="00CA2E29" w:rsidP="002A7639">
            <w:pPr>
              <w:keepNext/>
              <w:keepLines/>
              <w:ind w:left="-108"/>
              <w:rPr>
                <w:rFonts w:ascii="Arial Narrow" w:hAnsi="Arial Narrow"/>
                <w:sz w:val="20"/>
              </w:rPr>
            </w:pPr>
            <w:r w:rsidRPr="00260CE3">
              <w:rPr>
                <w:rFonts w:ascii="Arial Narrow" w:hAnsi="Arial Narrow"/>
                <w:sz w:val="20"/>
              </w:rPr>
              <w:t>Name, Restriction,</w:t>
            </w:r>
          </w:p>
          <w:p w:rsidR="00CA2E29" w:rsidRPr="00260CE3" w:rsidRDefault="00CA2E29" w:rsidP="002A7639">
            <w:pPr>
              <w:keepNext/>
              <w:keepLines/>
              <w:ind w:left="-108"/>
              <w:rPr>
                <w:rFonts w:ascii="Arial Narrow" w:hAnsi="Arial Narrow"/>
                <w:sz w:val="20"/>
              </w:rPr>
            </w:pPr>
            <w:r w:rsidRPr="00260CE3">
              <w:rPr>
                <w:rFonts w:ascii="Arial Narrow" w:hAnsi="Arial Narrow"/>
                <w:sz w:val="20"/>
              </w:rPr>
              <w:t>Manner of administration and form</w:t>
            </w:r>
          </w:p>
        </w:tc>
        <w:tc>
          <w:tcPr>
            <w:tcW w:w="708" w:type="dxa"/>
            <w:tcBorders>
              <w:bottom w:val="single" w:sz="4" w:space="0" w:color="auto"/>
            </w:tcBorders>
          </w:tcPr>
          <w:p w:rsidR="00CA2E29" w:rsidRPr="00260CE3" w:rsidRDefault="00CA2E29" w:rsidP="002A7639">
            <w:pPr>
              <w:keepNext/>
              <w:keepLines/>
              <w:ind w:left="-108"/>
              <w:rPr>
                <w:rFonts w:ascii="Arial Narrow" w:hAnsi="Arial Narrow"/>
                <w:sz w:val="20"/>
              </w:rPr>
            </w:pPr>
            <w:r w:rsidRPr="00260CE3">
              <w:rPr>
                <w:rFonts w:ascii="Arial Narrow" w:hAnsi="Arial Narrow"/>
                <w:sz w:val="20"/>
              </w:rPr>
              <w:t>Max.</w:t>
            </w:r>
          </w:p>
          <w:p w:rsidR="00CA2E29" w:rsidRPr="00260CE3" w:rsidRDefault="00CA2E29" w:rsidP="002A7639">
            <w:pPr>
              <w:keepNext/>
              <w:keepLines/>
              <w:ind w:left="-108"/>
              <w:rPr>
                <w:rFonts w:ascii="Arial Narrow" w:hAnsi="Arial Narrow"/>
                <w:sz w:val="20"/>
              </w:rPr>
            </w:pPr>
            <w:proofErr w:type="spellStart"/>
            <w:r w:rsidRPr="00260CE3">
              <w:rPr>
                <w:rFonts w:ascii="Arial Narrow" w:hAnsi="Arial Narrow"/>
                <w:sz w:val="20"/>
              </w:rPr>
              <w:t>Qty</w:t>
            </w:r>
            <w:proofErr w:type="spellEnd"/>
          </w:p>
        </w:tc>
        <w:tc>
          <w:tcPr>
            <w:tcW w:w="851" w:type="dxa"/>
            <w:tcBorders>
              <w:bottom w:val="single" w:sz="4" w:space="0" w:color="auto"/>
            </w:tcBorders>
          </w:tcPr>
          <w:p w:rsidR="00CA2E29" w:rsidRPr="00260CE3" w:rsidRDefault="00CA2E29" w:rsidP="002A7639">
            <w:pPr>
              <w:keepNext/>
              <w:keepLines/>
              <w:ind w:left="-108"/>
              <w:rPr>
                <w:rFonts w:ascii="Arial Narrow" w:hAnsi="Arial Narrow"/>
                <w:sz w:val="20"/>
              </w:rPr>
            </w:pPr>
            <w:r w:rsidRPr="00260CE3">
              <w:rPr>
                <w:rFonts w:ascii="Arial Narrow" w:hAnsi="Arial Narrow"/>
                <w:sz w:val="20"/>
              </w:rPr>
              <w:t>№.of</w:t>
            </w:r>
          </w:p>
          <w:p w:rsidR="00CA2E29" w:rsidRPr="00260CE3" w:rsidRDefault="00CA2E29" w:rsidP="002A7639">
            <w:pPr>
              <w:keepNext/>
              <w:keepLines/>
              <w:ind w:left="-108"/>
              <w:rPr>
                <w:rFonts w:ascii="Arial Narrow" w:hAnsi="Arial Narrow"/>
                <w:sz w:val="20"/>
              </w:rPr>
            </w:pPr>
            <w:proofErr w:type="spellStart"/>
            <w:r w:rsidRPr="00260CE3">
              <w:rPr>
                <w:rFonts w:ascii="Arial Narrow" w:hAnsi="Arial Narrow"/>
                <w:sz w:val="20"/>
              </w:rPr>
              <w:t>Rpts</w:t>
            </w:r>
            <w:proofErr w:type="spellEnd"/>
          </w:p>
        </w:tc>
        <w:tc>
          <w:tcPr>
            <w:tcW w:w="1559" w:type="dxa"/>
            <w:tcBorders>
              <w:bottom w:val="single" w:sz="4" w:space="0" w:color="auto"/>
            </w:tcBorders>
          </w:tcPr>
          <w:p w:rsidR="00CA2E29" w:rsidRPr="00260CE3" w:rsidRDefault="00CA2E29" w:rsidP="002A7639">
            <w:pPr>
              <w:keepNext/>
              <w:keepLines/>
              <w:ind w:left="-108"/>
              <w:rPr>
                <w:rFonts w:ascii="Arial Narrow" w:hAnsi="Arial Narrow"/>
                <w:sz w:val="20"/>
              </w:rPr>
            </w:pPr>
            <w:r w:rsidRPr="00260CE3">
              <w:rPr>
                <w:rFonts w:ascii="Arial Narrow" w:hAnsi="Arial Narrow"/>
                <w:sz w:val="20"/>
              </w:rPr>
              <w:t xml:space="preserve">Dispensed Price for Max. </w:t>
            </w:r>
            <w:proofErr w:type="spellStart"/>
            <w:r w:rsidRPr="00260CE3">
              <w:rPr>
                <w:rFonts w:ascii="Arial Narrow" w:hAnsi="Arial Narrow"/>
                <w:sz w:val="20"/>
              </w:rPr>
              <w:t>Qty</w:t>
            </w:r>
            <w:proofErr w:type="spellEnd"/>
          </w:p>
        </w:tc>
        <w:tc>
          <w:tcPr>
            <w:tcW w:w="2835" w:type="dxa"/>
            <w:gridSpan w:val="2"/>
            <w:tcBorders>
              <w:bottom w:val="single" w:sz="4" w:space="0" w:color="auto"/>
            </w:tcBorders>
          </w:tcPr>
          <w:p w:rsidR="00CA2E29" w:rsidRPr="00260CE3" w:rsidRDefault="00CA2E29" w:rsidP="002A7639">
            <w:pPr>
              <w:keepNext/>
              <w:keepLines/>
              <w:rPr>
                <w:rFonts w:ascii="Arial Narrow" w:hAnsi="Arial Narrow"/>
                <w:sz w:val="20"/>
                <w:lang w:val="fr-FR"/>
              </w:rPr>
            </w:pPr>
            <w:r w:rsidRPr="00260CE3">
              <w:rPr>
                <w:rFonts w:ascii="Arial Narrow" w:hAnsi="Arial Narrow"/>
                <w:sz w:val="20"/>
              </w:rPr>
              <w:t>Proprietary Name and Manufacturer</w:t>
            </w:r>
          </w:p>
        </w:tc>
      </w:tr>
      <w:tr w:rsidR="00CA2E29" w:rsidRPr="00260CE3" w:rsidTr="002A7639">
        <w:trPr>
          <w:cantSplit/>
          <w:trHeight w:val="577"/>
        </w:trPr>
        <w:tc>
          <w:tcPr>
            <w:tcW w:w="3261" w:type="dxa"/>
            <w:gridSpan w:val="2"/>
          </w:tcPr>
          <w:p w:rsidR="00CA2E29" w:rsidRPr="00260CE3" w:rsidRDefault="00CA2E29" w:rsidP="002A7639">
            <w:pPr>
              <w:keepNext/>
              <w:keepLines/>
              <w:ind w:left="-108"/>
              <w:rPr>
                <w:rFonts w:ascii="Arial Narrow" w:hAnsi="Arial Narrow"/>
                <w:sz w:val="20"/>
              </w:rPr>
            </w:pPr>
            <w:r>
              <w:rPr>
                <w:rFonts w:ascii="Arial Narrow" w:hAnsi="Arial Narrow"/>
                <w:smallCaps/>
                <w:sz w:val="20"/>
              </w:rPr>
              <w:t>bendamustine</w:t>
            </w:r>
          </w:p>
          <w:p w:rsidR="00CA2E29" w:rsidRDefault="00CA2E29" w:rsidP="002A7639">
            <w:pPr>
              <w:keepNext/>
              <w:keepLines/>
              <w:ind w:left="-108"/>
              <w:rPr>
                <w:rFonts w:ascii="Arial Narrow" w:hAnsi="Arial Narrow"/>
                <w:sz w:val="20"/>
              </w:rPr>
            </w:pPr>
            <w:r>
              <w:rPr>
                <w:rFonts w:ascii="Arial Narrow" w:hAnsi="Arial Narrow"/>
                <w:sz w:val="20"/>
              </w:rPr>
              <w:t>powder for injection 100 mg x 1 vial</w:t>
            </w:r>
          </w:p>
          <w:p w:rsidR="00CA2E29" w:rsidRPr="00260CE3" w:rsidRDefault="00CA2E29" w:rsidP="002A7639">
            <w:pPr>
              <w:keepNext/>
              <w:keepLines/>
              <w:ind w:left="-108"/>
              <w:rPr>
                <w:rFonts w:ascii="Arial Narrow" w:hAnsi="Arial Narrow"/>
                <w:sz w:val="20"/>
              </w:rPr>
            </w:pPr>
            <w:r>
              <w:rPr>
                <w:rFonts w:ascii="Arial Narrow" w:hAnsi="Arial Narrow"/>
                <w:sz w:val="20"/>
              </w:rPr>
              <w:t>powder for injection 25 mg x 1 vial</w:t>
            </w:r>
          </w:p>
        </w:tc>
        <w:tc>
          <w:tcPr>
            <w:tcW w:w="708" w:type="dxa"/>
          </w:tcPr>
          <w:p w:rsidR="00CA2E29" w:rsidRPr="00260CE3" w:rsidRDefault="00CA2E29" w:rsidP="002A7639">
            <w:pPr>
              <w:keepNext/>
              <w:keepLines/>
              <w:ind w:left="-108"/>
              <w:rPr>
                <w:rFonts w:ascii="Arial Narrow" w:hAnsi="Arial Narrow"/>
                <w:sz w:val="20"/>
              </w:rPr>
            </w:pPr>
          </w:p>
          <w:p w:rsidR="00CA2E29" w:rsidRPr="00260CE3" w:rsidRDefault="00CA2E29" w:rsidP="002A7639">
            <w:pPr>
              <w:keepNext/>
              <w:keepLines/>
              <w:ind w:left="-108"/>
              <w:rPr>
                <w:rFonts w:ascii="Arial Narrow" w:hAnsi="Arial Narrow"/>
                <w:sz w:val="20"/>
              </w:rPr>
            </w:pPr>
            <w:r>
              <w:rPr>
                <w:rFonts w:ascii="Arial Narrow" w:hAnsi="Arial Narrow"/>
                <w:sz w:val="20"/>
              </w:rPr>
              <w:t>200 mg</w:t>
            </w:r>
          </w:p>
        </w:tc>
        <w:tc>
          <w:tcPr>
            <w:tcW w:w="851" w:type="dxa"/>
          </w:tcPr>
          <w:p w:rsidR="00CA2E29" w:rsidRPr="007A3D6B" w:rsidRDefault="00CA2E29" w:rsidP="002A7639">
            <w:pPr>
              <w:keepNext/>
              <w:keepLines/>
              <w:ind w:left="-108"/>
              <w:rPr>
                <w:rFonts w:ascii="Arial Narrow" w:hAnsi="Arial Narrow"/>
                <w:sz w:val="20"/>
              </w:rPr>
            </w:pPr>
          </w:p>
          <w:p w:rsidR="00CA2E29" w:rsidRPr="007A3D6B" w:rsidRDefault="00CA2E29" w:rsidP="002A7639">
            <w:pPr>
              <w:keepNext/>
              <w:keepLines/>
              <w:ind w:left="-108"/>
              <w:rPr>
                <w:rFonts w:ascii="Arial Narrow" w:hAnsi="Arial Narrow"/>
                <w:sz w:val="20"/>
              </w:rPr>
            </w:pPr>
            <w:r w:rsidRPr="007A3D6B">
              <w:rPr>
                <w:rFonts w:ascii="Arial Narrow" w:hAnsi="Arial Narrow"/>
                <w:sz w:val="20"/>
              </w:rPr>
              <w:t>11</w:t>
            </w:r>
          </w:p>
        </w:tc>
        <w:tc>
          <w:tcPr>
            <w:tcW w:w="1559" w:type="dxa"/>
          </w:tcPr>
          <w:p w:rsidR="00CA2E29" w:rsidRPr="007A3D6B" w:rsidRDefault="00CA2E29" w:rsidP="002A7639">
            <w:pPr>
              <w:keepNext/>
              <w:keepLines/>
              <w:ind w:left="-108"/>
              <w:rPr>
                <w:rFonts w:ascii="Arial Narrow" w:hAnsi="Arial Narrow"/>
                <w:sz w:val="20"/>
              </w:rPr>
            </w:pPr>
          </w:p>
          <w:p w:rsidR="00CA2E29" w:rsidRPr="007A3D6B" w:rsidRDefault="00CA2E29" w:rsidP="002A7639">
            <w:pPr>
              <w:keepNext/>
              <w:keepLines/>
              <w:ind w:left="-108"/>
              <w:rPr>
                <w:rFonts w:ascii="Arial Narrow" w:hAnsi="Arial Narrow"/>
                <w:sz w:val="20"/>
              </w:rPr>
            </w:pPr>
            <w:r w:rsidRPr="007A3D6B">
              <w:rPr>
                <w:rFonts w:ascii="Arial Narrow" w:hAnsi="Arial Narrow"/>
                <w:sz w:val="20"/>
              </w:rPr>
              <w:t>$</w:t>
            </w:r>
            <w:r w:rsidR="009B4D1B">
              <w:rPr>
                <w:rFonts w:ascii="Arial Narrow" w:hAnsi="Arial Narrow"/>
                <w:noProof/>
                <w:color w:val="000000"/>
                <w:sz w:val="20"/>
                <w:highlight w:val="black"/>
              </w:rPr>
              <w:t>'''''''''''''''''''''</w:t>
            </w:r>
            <w:r w:rsidRPr="007A3D6B">
              <w:rPr>
                <w:rFonts w:ascii="Arial Narrow" w:hAnsi="Arial Narrow"/>
                <w:sz w:val="20"/>
              </w:rPr>
              <w:t xml:space="preserve"> </w:t>
            </w:r>
          </w:p>
          <w:p w:rsidR="00CA2E29" w:rsidRPr="007A3D6B" w:rsidRDefault="00CA2E29" w:rsidP="002A7639">
            <w:pPr>
              <w:keepNext/>
              <w:keepLines/>
              <w:ind w:left="-108"/>
              <w:rPr>
                <w:rFonts w:ascii="Arial Narrow" w:hAnsi="Arial Narrow"/>
                <w:sz w:val="20"/>
              </w:rPr>
            </w:pPr>
            <w:r w:rsidRPr="007A3D6B">
              <w:rPr>
                <w:rFonts w:ascii="Arial Narrow" w:hAnsi="Arial Narrow"/>
                <w:sz w:val="20"/>
              </w:rPr>
              <w:t>(public hospital)</w:t>
            </w:r>
          </w:p>
          <w:p w:rsidR="00CA2E29" w:rsidRPr="007A3D6B" w:rsidRDefault="00CA2E29" w:rsidP="002A7639">
            <w:pPr>
              <w:keepNext/>
              <w:keepLines/>
              <w:ind w:left="-108"/>
              <w:rPr>
                <w:rFonts w:ascii="Arial Narrow" w:hAnsi="Arial Narrow"/>
                <w:sz w:val="20"/>
              </w:rPr>
            </w:pPr>
            <w:r w:rsidRPr="007A3D6B">
              <w:rPr>
                <w:rFonts w:ascii="Arial Narrow" w:hAnsi="Arial Narrow"/>
                <w:sz w:val="20"/>
              </w:rPr>
              <w:t>$</w:t>
            </w:r>
            <w:r w:rsidR="009B4D1B">
              <w:rPr>
                <w:rFonts w:ascii="Arial Narrow" w:hAnsi="Arial Narrow"/>
                <w:noProof/>
                <w:color w:val="000000"/>
                <w:sz w:val="20"/>
                <w:highlight w:val="black"/>
              </w:rPr>
              <w:t>''''''''''''''''''''''</w:t>
            </w:r>
            <w:r w:rsidRPr="007A3D6B">
              <w:rPr>
                <w:rFonts w:ascii="Arial Narrow" w:hAnsi="Arial Narrow"/>
                <w:sz w:val="20"/>
              </w:rPr>
              <w:t xml:space="preserve"> </w:t>
            </w:r>
          </w:p>
          <w:p w:rsidR="00CA2E29" w:rsidRPr="007A3D6B" w:rsidRDefault="00CA2E29" w:rsidP="002A7639">
            <w:pPr>
              <w:keepNext/>
              <w:keepLines/>
              <w:ind w:left="-108"/>
              <w:rPr>
                <w:rFonts w:ascii="Arial Narrow" w:hAnsi="Arial Narrow"/>
                <w:sz w:val="20"/>
              </w:rPr>
            </w:pPr>
            <w:r w:rsidRPr="007A3D6B">
              <w:rPr>
                <w:rFonts w:ascii="Arial Narrow" w:hAnsi="Arial Narrow"/>
                <w:sz w:val="20"/>
              </w:rPr>
              <w:t>(private hospital)</w:t>
            </w:r>
          </w:p>
        </w:tc>
        <w:tc>
          <w:tcPr>
            <w:tcW w:w="1559" w:type="dxa"/>
          </w:tcPr>
          <w:p w:rsidR="00CA2E29" w:rsidRPr="00260CE3" w:rsidRDefault="005C6C53" w:rsidP="002A7639">
            <w:pPr>
              <w:keepNext/>
              <w:keepLines/>
              <w:rPr>
                <w:rFonts w:ascii="Arial Narrow" w:hAnsi="Arial Narrow"/>
                <w:sz w:val="20"/>
              </w:rPr>
            </w:pPr>
            <w:proofErr w:type="spellStart"/>
            <w:r>
              <w:rPr>
                <w:rFonts w:ascii="Arial Narrow" w:hAnsi="Arial Narrow"/>
                <w:sz w:val="20"/>
              </w:rPr>
              <w:t>R</w:t>
            </w:r>
            <w:r w:rsidR="00CA2E29">
              <w:rPr>
                <w:rFonts w:ascii="Arial Narrow" w:hAnsi="Arial Narrow"/>
                <w:sz w:val="20"/>
              </w:rPr>
              <w:t>ibomustin</w:t>
            </w:r>
            <w:proofErr w:type="spellEnd"/>
          </w:p>
        </w:tc>
        <w:tc>
          <w:tcPr>
            <w:tcW w:w="1276" w:type="dxa"/>
          </w:tcPr>
          <w:p w:rsidR="00CA2E29" w:rsidRPr="00260CE3" w:rsidRDefault="00CA2E29" w:rsidP="002A7639">
            <w:pPr>
              <w:keepNext/>
              <w:keepLines/>
              <w:rPr>
                <w:rFonts w:ascii="Arial Narrow" w:hAnsi="Arial Narrow"/>
                <w:sz w:val="20"/>
              </w:rPr>
            </w:pPr>
            <w:r>
              <w:rPr>
                <w:rFonts w:ascii="Arial Narrow" w:hAnsi="Arial Narrow"/>
                <w:sz w:val="20"/>
              </w:rPr>
              <w:t>Janssen-</w:t>
            </w:r>
            <w:proofErr w:type="spellStart"/>
            <w:r>
              <w:rPr>
                <w:rFonts w:ascii="Arial Narrow" w:hAnsi="Arial Narrow"/>
                <w:sz w:val="20"/>
              </w:rPr>
              <w:t>Cilag</w:t>
            </w:r>
            <w:proofErr w:type="spellEnd"/>
            <w:r>
              <w:rPr>
                <w:rFonts w:ascii="Arial Narrow" w:hAnsi="Arial Narrow"/>
                <w:sz w:val="20"/>
              </w:rPr>
              <w:t xml:space="preserve"> Pty Ltd</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t xml:space="preserve">Category / </w:t>
            </w:r>
          </w:p>
          <w:p w:rsidR="00CA2E29" w:rsidRPr="00260CE3" w:rsidRDefault="00CA2E29" w:rsidP="002A7639">
            <w:pPr>
              <w:keepNext/>
              <w:keepLines/>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sz w:val="20"/>
              </w:rPr>
            </w:pPr>
            <w:r>
              <w:rPr>
                <w:rFonts w:ascii="Arial Narrow" w:hAnsi="Arial Narrow"/>
                <w:sz w:val="20"/>
              </w:rPr>
              <w:t>Section 100 (efficient funding of chemotherapy arrangements) public/private hospital</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CA2E29" w:rsidRPr="00260CE3" w:rsidRDefault="00CA2E29" w:rsidP="002A7639">
            <w:pPr>
              <w:keepNext/>
              <w:keepLines/>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proofErr w:type="spellStart"/>
            <w:r w:rsidRPr="00260CE3">
              <w:rPr>
                <w:rFonts w:ascii="Arial Narrow" w:hAnsi="Arial Narrow"/>
                <w:b/>
                <w:sz w:val="20"/>
              </w:rPr>
              <w:t>Episodicity</w:t>
            </w:r>
            <w:proofErr w:type="spellEnd"/>
            <w:r w:rsidRPr="00260CE3">
              <w:rPr>
                <w:rFonts w:ascii="Arial Narrow" w:hAnsi="Arial Narrow"/>
                <w:b/>
                <w:sz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sz w:val="20"/>
              </w:rPr>
            </w:pPr>
            <w:r w:rsidRPr="00E920D1">
              <w:rPr>
                <w:rFonts w:ascii="Arial Narrow" w:hAnsi="Arial Narrow"/>
                <w:sz w:val="20"/>
              </w:rPr>
              <w:t>Previously untreated</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sz w:val="20"/>
              </w:rPr>
            </w:pPr>
            <w:r w:rsidRPr="004D2AA5">
              <w:rPr>
                <w:rFonts w:ascii="Arial Narrow" w:hAnsi="Arial Narrow"/>
                <w:sz w:val="20"/>
                <w:lang w:val="en-US"/>
              </w:rPr>
              <w:t>Stage III or IV</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sz w:val="20"/>
              </w:rPr>
            </w:pPr>
            <w:r>
              <w:rPr>
                <w:rFonts w:ascii="Arial Narrow" w:hAnsi="Arial Narrow"/>
                <w:sz w:val="20"/>
              </w:rPr>
              <w:t>CD20 positive mantle cell lymphoma</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t>Treatment phase:</w:t>
            </w:r>
          </w:p>
          <w:p w:rsidR="00CA2E29" w:rsidRPr="00260CE3" w:rsidRDefault="00CA2E29" w:rsidP="002A7639">
            <w:pPr>
              <w:keepNext/>
              <w:keepLines/>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sz w:val="20"/>
              </w:rPr>
            </w:pPr>
            <w:r w:rsidRPr="00E5111F">
              <w:rPr>
                <w:rFonts w:ascii="Arial Narrow" w:hAnsi="Arial Narrow"/>
                <w:sz w:val="20"/>
                <w:lang w:val="en-US"/>
              </w:rPr>
              <w:t>Induction treatment</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CA2E29" w:rsidRPr="00260CE3" w:rsidRDefault="00CA2E29" w:rsidP="002A7639">
            <w:pPr>
              <w:keepNext/>
              <w:keepLines/>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A2E29" w:rsidRPr="00106BCF" w:rsidRDefault="00CA2E29" w:rsidP="002A7639">
            <w:pPr>
              <w:keepNext/>
              <w:keepLines/>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CA2E29" w:rsidRPr="00106BCF" w:rsidRDefault="0028655E" w:rsidP="002A7639">
            <w:pPr>
              <w:keepNext/>
              <w:keepLines/>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Pr>
                <w:rFonts w:ascii="Arial Narrow" w:hAnsi="Arial Narrow"/>
                <w:sz w:val="20"/>
              </w:rPr>
              <w:fldChar w:fldCharType="end"/>
            </w:r>
            <w:r w:rsidR="00CA2E29" w:rsidRPr="00106BCF">
              <w:rPr>
                <w:rFonts w:ascii="Arial Narrow" w:hAnsi="Arial Narrow"/>
                <w:sz w:val="20"/>
              </w:rPr>
              <w:t>Authority Required - In Writing</w:t>
            </w:r>
          </w:p>
          <w:p w:rsidR="00CA2E29" w:rsidRPr="00106BCF" w:rsidRDefault="0028655E" w:rsidP="002A7639">
            <w:pPr>
              <w:keepNext/>
              <w:keepLines/>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Pr>
                <w:rFonts w:ascii="Arial Narrow" w:hAnsi="Arial Narrow"/>
                <w:sz w:val="20"/>
              </w:rPr>
              <w:fldChar w:fldCharType="end"/>
            </w:r>
            <w:r w:rsidR="00CA2E29" w:rsidRPr="00106BCF">
              <w:rPr>
                <w:rFonts w:ascii="Arial Narrow" w:hAnsi="Arial Narrow"/>
                <w:sz w:val="20"/>
              </w:rPr>
              <w:t>Authority Required - Telephone</w:t>
            </w:r>
          </w:p>
          <w:p w:rsidR="00CA2E29" w:rsidRPr="00106BCF" w:rsidRDefault="0028655E" w:rsidP="002A7639">
            <w:pPr>
              <w:keepNext/>
              <w:keepLines/>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Pr>
                <w:rFonts w:ascii="Arial Narrow" w:hAnsi="Arial Narrow"/>
                <w:sz w:val="20"/>
              </w:rPr>
              <w:fldChar w:fldCharType="end"/>
            </w:r>
            <w:r w:rsidR="00CA2E29" w:rsidRPr="00106BCF">
              <w:rPr>
                <w:rFonts w:ascii="Arial Narrow" w:hAnsi="Arial Narrow"/>
                <w:sz w:val="20"/>
              </w:rPr>
              <w:t>Authority Required – Emergency</w:t>
            </w:r>
          </w:p>
          <w:p w:rsidR="00CA2E29" w:rsidRPr="00106BCF" w:rsidRDefault="0028655E" w:rsidP="002A7639">
            <w:pPr>
              <w:keepNext/>
              <w:keepLines/>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Pr>
                <w:rFonts w:ascii="Arial Narrow" w:hAnsi="Arial Narrow"/>
                <w:sz w:val="20"/>
              </w:rPr>
              <w:fldChar w:fldCharType="end"/>
            </w:r>
            <w:r w:rsidR="00CA2E29" w:rsidRPr="00106BCF">
              <w:rPr>
                <w:rFonts w:ascii="Arial Narrow" w:hAnsi="Arial Narrow"/>
                <w:sz w:val="20"/>
              </w:rPr>
              <w:t>Authority Required - Electronic</w:t>
            </w:r>
          </w:p>
          <w:p w:rsidR="00CA2E29" w:rsidRPr="00260CE3" w:rsidRDefault="00CA2E29" w:rsidP="002A7639">
            <w:pPr>
              <w:keepNext/>
              <w:keepLines/>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lastRenderedPageBreak/>
              <w:t>Clinical criteria:</w:t>
            </w:r>
          </w:p>
          <w:p w:rsidR="00CA2E29" w:rsidRPr="00260CE3" w:rsidRDefault="00CA2E29" w:rsidP="002A7639">
            <w:pPr>
              <w:keepNext/>
              <w:keepLines/>
              <w:rPr>
                <w:rFonts w:ascii="Arial Narrow" w:hAnsi="Arial Narrow"/>
                <w:i/>
                <w:sz w:val="20"/>
              </w:rPr>
            </w:pPr>
          </w:p>
          <w:p w:rsidR="00CA2E29" w:rsidRPr="00260CE3" w:rsidRDefault="00CA2E29" w:rsidP="002A7639">
            <w:pPr>
              <w:keepNext/>
              <w:keepLines/>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A2E29" w:rsidRPr="0028655E" w:rsidRDefault="00CA2E29" w:rsidP="002A7639">
            <w:pPr>
              <w:keepNext/>
              <w:keepLines/>
              <w:rPr>
                <w:rFonts w:ascii="Arial Narrow" w:hAnsi="Arial Narrow"/>
                <w:sz w:val="20"/>
                <w:lang w:val="en-US"/>
              </w:rPr>
            </w:pPr>
            <w:r w:rsidRPr="0028655E">
              <w:rPr>
                <w:rFonts w:ascii="Arial Narrow" w:hAnsi="Arial Narrow"/>
                <w:sz w:val="20"/>
                <w:lang w:val="en-US"/>
              </w:rPr>
              <w:t>The treatment must be in combination with rituximab,</w:t>
            </w:r>
          </w:p>
          <w:p w:rsidR="00CA2E29" w:rsidRPr="0028655E" w:rsidRDefault="00CA2E29" w:rsidP="002A7639">
            <w:pPr>
              <w:keepNext/>
              <w:keepLines/>
              <w:rPr>
                <w:rFonts w:ascii="Arial Narrow" w:hAnsi="Arial Narrow"/>
                <w:sz w:val="20"/>
                <w:lang w:val="en-US"/>
              </w:rPr>
            </w:pPr>
            <w:r w:rsidRPr="0028655E">
              <w:rPr>
                <w:rFonts w:ascii="Arial Narrow" w:hAnsi="Arial Narrow"/>
                <w:sz w:val="20"/>
                <w:lang w:val="en-US"/>
              </w:rPr>
              <w:t>AND</w:t>
            </w:r>
          </w:p>
          <w:p w:rsidR="00CA2E29" w:rsidRPr="0028655E" w:rsidRDefault="00CA2E29" w:rsidP="002A7639">
            <w:pPr>
              <w:keepNext/>
              <w:keepLines/>
              <w:rPr>
                <w:rFonts w:ascii="Arial Narrow" w:hAnsi="Arial Narrow"/>
                <w:sz w:val="20"/>
                <w:lang w:val="en-US"/>
              </w:rPr>
            </w:pPr>
            <w:r w:rsidRPr="0028655E">
              <w:rPr>
                <w:rFonts w:ascii="Arial Narrow" w:hAnsi="Arial Narrow"/>
                <w:sz w:val="20"/>
                <w:lang w:val="en-US"/>
              </w:rPr>
              <w:t>The condition must be previously untreated,</w:t>
            </w:r>
          </w:p>
          <w:p w:rsidR="00CA2E29" w:rsidRPr="0028655E" w:rsidRDefault="00CA2E29" w:rsidP="002A7639">
            <w:pPr>
              <w:keepNext/>
              <w:keepLines/>
              <w:rPr>
                <w:rFonts w:ascii="Arial Narrow" w:hAnsi="Arial Narrow"/>
                <w:sz w:val="20"/>
                <w:lang w:val="en-US"/>
              </w:rPr>
            </w:pPr>
            <w:r w:rsidRPr="0028655E">
              <w:rPr>
                <w:rFonts w:ascii="Arial Narrow" w:hAnsi="Arial Narrow"/>
                <w:sz w:val="20"/>
                <w:lang w:val="en-US"/>
              </w:rPr>
              <w:t>AND</w:t>
            </w:r>
          </w:p>
          <w:p w:rsidR="00CA2E29" w:rsidRPr="006E448C" w:rsidRDefault="00CA2E29" w:rsidP="002A7639">
            <w:pPr>
              <w:keepNext/>
              <w:keepLines/>
              <w:rPr>
                <w:rFonts w:ascii="Arial Narrow" w:hAnsi="Arial Narrow"/>
                <w:i/>
                <w:sz w:val="20"/>
              </w:rPr>
            </w:pPr>
            <w:r w:rsidRPr="006E448C">
              <w:rPr>
                <w:rFonts w:ascii="Arial Narrow" w:hAnsi="Arial Narrow"/>
                <w:i/>
                <w:sz w:val="20"/>
              </w:rPr>
              <w:t>The condition must be symptomatic,</w:t>
            </w:r>
          </w:p>
          <w:p w:rsidR="00CA2E29" w:rsidRPr="00E5111F" w:rsidRDefault="00CA2E29" w:rsidP="002A7639">
            <w:pPr>
              <w:keepNext/>
              <w:keepLines/>
              <w:rPr>
                <w:rFonts w:ascii="Arial Narrow" w:hAnsi="Arial Narrow"/>
                <w:sz w:val="20"/>
                <w:lang w:val="en-US"/>
              </w:rPr>
            </w:pPr>
            <w:r w:rsidRPr="00E5111F">
              <w:rPr>
                <w:rFonts w:ascii="Arial Narrow" w:hAnsi="Arial Narrow"/>
                <w:sz w:val="20"/>
                <w:lang w:val="en-US"/>
              </w:rPr>
              <w:t>AND</w:t>
            </w:r>
          </w:p>
          <w:p w:rsidR="00CA2E29" w:rsidRPr="006E448C" w:rsidRDefault="00CA2E29" w:rsidP="002A7639">
            <w:pPr>
              <w:keepNext/>
              <w:keepLines/>
              <w:rPr>
                <w:rFonts w:ascii="Arial Narrow" w:hAnsi="Arial Narrow"/>
                <w:i/>
                <w:sz w:val="20"/>
                <w:lang w:val="en-US"/>
              </w:rPr>
            </w:pPr>
            <w:r w:rsidRPr="006E448C">
              <w:rPr>
                <w:rFonts w:ascii="Arial Narrow" w:hAnsi="Arial Narrow"/>
                <w:i/>
                <w:sz w:val="20"/>
                <w:lang w:val="en-US"/>
              </w:rPr>
              <w:t>The treatment must be for induction treatment purposes only,</w:t>
            </w:r>
          </w:p>
          <w:p w:rsidR="00CA2E29" w:rsidRPr="0028655E" w:rsidRDefault="00CA2E29" w:rsidP="002A7639">
            <w:pPr>
              <w:keepNext/>
              <w:keepLines/>
              <w:rPr>
                <w:rFonts w:ascii="Arial Narrow" w:hAnsi="Arial Narrow"/>
                <w:sz w:val="20"/>
              </w:rPr>
            </w:pPr>
            <w:r w:rsidRPr="00E5111F">
              <w:rPr>
                <w:rFonts w:ascii="Arial Narrow" w:hAnsi="Arial Narrow"/>
                <w:sz w:val="20"/>
                <w:lang w:val="en-US"/>
              </w:rPr>
              <w:t>AND</w:t>
            </w:r>
          </w:p>
          <w:p w:rsidR="00CA2E29" w:rsidRPr="0028655E" w:rsidRDefault="00CA2E29" w:rsidP="002A7639">
            <w:pPr>
              <w:keepNext/>
              <w:keepLines/>
              <w:rPr>
                <w:rFonts w:ascii="Arial Narrow" w:hAnsi="Arial Narrow"/>
                <w:sz w:val="20"/>
              </w:rPr>
            </w:pPr>
            <w:r w:rsidRPr="0028655E">
              <w:rPr>
                <w:rFonts w:ascii="Arial Narrow" w:hAnsi="Arial Narrow"/>
                <w:sz w:val="20"/>
              </w:rPr>
              <w:t>Patient must not receive more than 6 cycles (12 doses) of treatment under this restriction</w:t>
            </w:r>
          </w:p>
          <w:p w:rsidR="00CA2E29" w:rsidRDefault="00CA2E29" w:rsidP="002A7639">
            <w:pPr>
              <w:keepNext/>
              <w:keepLines/>
              <w:rPr>
                <w:rFonts w:ascii="Arial Narrow" w:hAnsi="Arial Narrow"/>
                <w:sz w:val="20"/>
              </w:rPr>
            </w:pPr>
            <w:r>
              <w:rPr>
                <w:rFonts w:ascii="Arial Narrow" w:hAnsi="Arial Narrow"/>
                <w:sz w:val="20"/>
              </w:rPr>
              <w:t>AND</w:t>
            </w:r>
          </w:p>
          <w:p w:rsidR="00CA2E29" w:rsidRPr="00260CE3" w:rsidRDefault="00CA2E29" w:rsidP="002A7639">
            <w:pPr>
              <w:keepNext/>
              <w:keepLines/>
              <w:rPr>
                <w:rFonts w:ascii="Arial Narrow" w:hAnsi="Arial Narrow"/>
                <w:sz w:val="20"/>
              </w:rPr>
            </w:pPr>
            <w:r>
              <w:rPr>
                <w:rFonts w:ascii="Arial Narrow" w:hAnsi="Arial Narrow"/>
                <w:sz w:val="20"/>
              </w:rPr>
              <w:t>The patient must not be eligible for stem cell transplantation.</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323CD8" w:rsidRDefault="00CA2E29" w:rsidP="002A7639">
            <w:pPr>
              <w:keepNext/>
              <w:keepLines/>
              <w:rPr>
                <w:rFonts w:ascii="Arial Narrow" w:hAnsi="Arial Narrow"/>
                <w:b/>
                <w:i/>
                <w:sz w:val="20"/>
              </w:rPr>
            </w:pPr>
            <w:r w:rsidRPr="00323CD8">
              <w:rPr>
                <w:rFonts w:ascii="Arial Narrow" w:hAnsi="Arial Narrow"/>
                <w:b/>
                <w:i/>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CA2E29" w:rsidRPr="00323CD8" w:rsidRDefault="00CA2E29" w:rsidP="002A7639">
            <w:pPr>
              <w:keepNext/>
              <w:keepLines/>
              <w:rPr>
                <w:rFonts w:ascii="Arial Narrow" w:hAnsi="Arial Narrow"/>
                <w:i/>
                <w:sz w:val="20"/>
                <w:lang w:val="en-US"/>
              </w:rPr>
            </w:pPr>
            <w:r w:rsidRPr="00323CD8">
              <w:rPr>
                <w:rFonts w:ascii="Arial Narrow" w:hAnsi="Arial Narrow"/>
                <w:i/>
                <w:sz w:val="20"/>
                <w:lang w:val="en-US"/>
              </w:rPr>
              <w:t xml:space="preserve">No increase in the maximum number of repeats may be </w:t>
            </w:r>
            <w:proofErr w:type="spellStart"/>
            <w:r w:rsidRPr="00323CD8">
              <w:rPr>
                <w:rFonts w:ascii="Arial Narrow" w:hAnsi="Arial Narrow"/>
                <w:i/>
                <w:sz w:val="20"/>
                <w:lang w:val="en-US"/>
              </w:rPr>
              <w:t>authorised</w:t>
            </w:r>
            <w:proofErr w:type="spellEnd"/>
          </w:p>
        </w:tc>
      </w:tr>
    </w:tbl>
    <w:p w:rsidR="00CA2E29" w:rsidRDefault="00CA2E29" w:rsidP="00CA2E29">
      <w:pPr>
        <w:keepNext/>
        <w:keepLines/>
        <w:rPr>
          <w:szCs w:val="22"/>
          <w:u w:val="single"/>
        </w:rPr>
      </w:pPr>
    </w:p>
    <w:p w:rsidR="00CA2E29" w:rsidRPr="00CA2E29" w:rsidRDefault="00CA2E29" w:rsidP="00EB1E21">
      <w:pPr>
        <w:pStyle w:val="ListParagraph"/>
        <w:keepNext/>
        <w:keepLines/>
        <w:numPr>
          <w:ilvl w:val="0"/>
          <w:numId w:val="9"/>
        </w:numPr>
        <w:rPr>
          <w:b/>
        </w:rPr>
      </w:pPr>
      <w:r w:rsidRPr="00CA2E29">
        <w:rPr>
          <w:b/>
        </w:rPr>
        <w:t>Treatment for rituximab-refractory indolent non-Hodgkin’s lymphoma:</w:t>
      </w:r>
    </w:p>
    <w:p w:rsidR="00CA2E29" w:rsidRPr="00CA2E29" w:rsidRDefault="00CA2E29" w:rsidP="00CA2E29">
      <w:pPr>
        <w:keepNext/>
        <w:keepLines/>
        <w:rPr>
          <w:b/>
        </w:rPr>
      </w:pPr>
    </w:p>
    <w:tbl>
      <w:tblPr>
        <w:tblW w:w="9214" w:type="dxa"/>
        <w:tblInd w:w="108" w:type="dxa"/>
        <w:tblLayout w:type="fixed"/>
        <w:tblLook w:val="0000" w:firstRow="0" w:lastRow="0" w:firstColumn="0" w:lastColumn="0" w:noHBand="0" w:noVBand="0"/>
      </w:tblPr>
      <w:tblGrid>
        <w:gridCol w:w="2835"/>
        <w:gridCol w:w="426"/>
        <w:gridCol w:w="708"/>
        <w:gridCol w:w="709"/>
        <w:gridCol w:w="1701"/>
        <w:gridCol w:w="1559"/>
        <w:gridCol w:w="1276"/>
      </w:tblGrid>
      <w:tr w:rsidR="00CA2E29" w:rsidRPr="00260CE3" w:rsidTr="002A7639">
        <w:trPr>
          <w:cantSplit/>
          <w:trHeight w:val="471"/>
        </w:trPr>
        <w:tc>
          <w:tcPr>
            <w:tcW w:w="3261" w:type="dxa"/>
            <w:gridSpan w:val="2"/>
            <w:tcBorders>
              <w:bottom w:val="single" w:sz="4" w:space="0" w:color="auto"/>
            </w:tcBorders>
          </w:tcPr>
          <w:p w:rsidR="00CA2E29" w:rsidRPr="00260CE3" w:rsidRDefault="00CA2E29" w:rsidP="002A7639">
            <w:pPr>
              <w:keepNext/>
              <w:keepLines/>
              <w:ind w:left="-108"/>
              <w:rPr>
                <w:rFonts w:ascii="Arial Narrow" w:hAnsi="Arial Narrow"/>
                <w:sz w:val="20"/>
              </w:rPr>
            </w:pPr>
            <w:r w:rsidRPr="00260CE3">
              <w:rPr>
                <w:rFonts w:ascii="Arial Narrow" w:hAnsi="Arial Narrow"/>
                <w:sz w:val="20"/>
              </w:rPr>
              <w:t>Name, Restriction,</w:t>
            </w:r>
          </w:p>
          <w:p w:rsidR="00CA2E29" w:rsidRPr="00260CE3" w:rsidRDefault="00CA2E29" w:rsidP="002A7639">
            <w:pPr>
              <w:keepNext/>
              <w:keepLines/>
              <w:ind w:left="-108"/>
              <w:rPr>
                <w:rFonts w:ascii="Arial Narrow" w:hAnsi="Arial Narrow"/>
                <w:sz w:val="20"/>
              </w:rPr>
            </w:pPr>
            <w:r w:rsidRPr="00260CE3">
              <w:rPr>
                <w:rFonts w:ascii="Arial Narrow" w:hAnsi="Arial Narrow"/>
                <w:sz w:val="20"/>
              </w:rPr>
              <w:t>Manner of administration and form</w:t>
            </w:r>
          </w:p>
        </w:tc>
        <w:tc>
          <w:tcPr>
            <w:tcW w:w="708" w:type="dxa"/>
            <w:tcBorders>
              <w:bottom w:val="single" w:sz="4" w:space="0" w:color="auto"/>
            </w:tcBorders>
          </w:tcPr>
          <w:p w:rsidR="00CA2E29" w:rsidRPr="00260CE3" w:rsidRDefault="00CA2E29" w:rsidP="002A7639">
            <w:pPr>
              <w:keepNext/>
              <w:keepLines/>
              <w:ind w:left="-108"/>
              <w:rPr>
                <w:rFonts w:ascii="Arial Narrow" w:hAnsi="Arial Narrow"/>
                <w:sz w:val="20"/>
              </w:rPr>
            </w:pPr>
            <w:r w:rsidRPr="00260CE3">
              <w:rPr>
                <w:rFonts w:ascii="Arial Narrow" w:hAnsi="Arial Narrow"/>
                <w:sz w:val="20"/>
              </w:rPr>
              <w:t>Max.</w:t>
            </w:r>
          </w:p>
          <w:p w:rsidR="00CA2E29" w:rsidRPr="00260CE3" w:rsidRDefault="00CA2E29" w:rsidP="002A7639">
            <w:pPr>
              <w:keepNext/>
              <w:keepLines/>
              <w:ind w:left="-108"/>
              <w:rPr>
                <w:rFonts w:ascii="Arial Narrow" w:hAnsi="Arial Narrow"/>
                <w:sz w:val="20"/>
              </w:rPr>
            </w:pPr>
            <w:proofErr w:type="spellStart"/>
            <w:r w:rsidRPr="00260CE3">
              <w:rPr>
                <w:rFonts w:ascii="Arial Narrow" w:hAnsi="Arial Narrow"/>
                <w:sz w:val="20"/>
              </w:rPr>
              <w:t>Qty</w:t>
            </w:r>
            <w:proofErr w:type="spellEnd"/>
          </w:p>
        </w:tc>
        <w:tc>
          <w:tcPr>
            <w:tcW w:w="709" w:type="dxa"/>
            <w:tcBorders>
              <w:bottom w:val="single" w:sz="4" w:space="0" w:color="auto"/>
            </w:tcBorders>
          </w:tcPr>
          <w:p w:rsidR="00CA2E29" w:rsidRPr="00260CE3" w:rsidRDefault="00CA2E29" w:rsidP="002A7639">
            <w:pPr>
              <w:keepNext/>
              <w:keepLines/>
              <w:ind w:left="-108"/>
              <w:rPr>
                <w:rFonts w:ascii="Arial Narrow" w:hAnsi="Arial Narrow"/>
                <w:sz w:val="20"/>
              </w:rPr>
            </w:pPr>
            <w:r w:rsidRPr="00260CE3">
              <w:rPr>
                <w:rFonts w:ascii="Arial Narrow" w:hAnsi="Arial Narrow"/>
                <w:sz w:val="20"/>
              </w:rPr>
              <w:t>№.of</w:t>
            </w:r>
          </w:p>
          <w:p w:rsidR="00CA2E29" w:rsidRPr="00260CE3" w:rsidRDefault="00CA2E29" w:rsidP="002A7639">
            <w:pPr>
              <w:keepNext/>
              <w:keepLines/>
              <w:ind w:left="-108"/>
              <w:rPr>
                <w:rFonts w:ascii="Arial Narrow" w:hAnsi="Arial Narrow"/>
                <w:sz w:val="20"/>
              </w:rPr>
            </w:pPr>
            <w:proofErr w:type="spellStart"/>
            <w:r w:rsidRPr="00260CE3">
              <w:rPr>
                <w:rFonts w:ascii="Arial Narrow" w:hAnsi="Arial Narrow"/>
                <w:sz w:val="20"/>
              </w:rPr>
              <w:t>Rpts</w:t>
            </w:r>
            <w:proofErr w:type="spellEnd"/>
          </w:p>
        </w:tc>
        <w:tc>
          <w:tcPr>
            <w:tcW w:w="1701" w:type="dxa"/>
            <w:tcBorders>
              <w:bottom w:val="single" w:sz="4" w:space="0" w:color="auto"/>
            </w:tcBorders>
          </w:tcPr>
          <w:p w:rsidR="00CA2E29" w:rsidRPr="00260CE3" w:rsidRDefault="00CA2E29" w:rsidP="002A7639">
            <w:pPr>
              <w:keepNext/>
              <w:keepLines/>
              <w:ind w:left="-108"/>
              <w:rPr>
                <w:rFonts w:ascii="Arial Narrow" w:hAnsi="Arial Narrow"/>
                <w:sz w:val="20"/>
              </w:rPr>
            </w:pPr>
            <w:r w:rsidRPr="00260CE3">
              <w:rPr>
                <w:rFonts w:ascii="Arial Narrow" w:hAnsi="Arial Narrow"/>
                <w:sz w:val="20"/>
              </w:rPr>
              <w:t xml:space="preserve">Dispensed Price for Max. </w:t>
            </w:r>
            <w:proofErr w:type="spellStart"/>
            <w:r w:rsidRPr="00260CE3">
              <w:rPr>
                <w:rFonts w:ascii="Arial Narrow" w:hAnsi="Arial Narrow"/>
                <w:sz w:val="20"/>
              </w:rPr>
              <w:t>Qty</w:t>
            </w:r>
            <w:proofErr w:type="spellEnd"/>
          </w:p>
        </w:tc>
        <w:tc>
          <w:tcPr>
            <w:tcW w:w="2835" w:type="dxa"/>
            <w:gridSpan w:val="2"/>
            <w:tcBorders>
              <w:bottom w:val="single" w:sz="4" w:space="0" w:color="auto"/>
            </w:tcBorders>
          </w:tcPr>
          <w:p w:rsidR="00CA2E29" w:rsidRPr="00260CE3" w:rsidRDefault="00CA2E29" w:rsidP="002A7639">
            <w:pPr>
              <w:keepNext/>
              <w:keepLines/>
              <w:rPr>
                <w:rFonts w:ascii="Arial Narrow" w:hAnsi="Arial Narrow"/>
                <w:sz w:val="20"/>
                <w:lang w:val="fr-FR"/>
              </w:rPr>
            </w:pPr>
            <w:r w:rsidRPr="00260CE3">
              <w:rPr>
                <w:rFonts w:ascii="Arial Narrow" w:hAnsi="Arial Narrow"/>
                <w:sz w:val="20"/>
              </w:rPr>
              <w:t>Proprietary Name and Manufacturer</w:t>
            </w:r>
          </w:p>
        </w:tc>
      </w:tr>
      <w:tr w:rsidR="00CA2E29" w:rsidRPr="00260CE3" w:rsidTr="002A7639">
        <w:trPr>
          <w:cantSplit/>
          <w:trHeight w:val="577"/>
        </w:trPr>
        <w:tc>
          <w:tcPr>
            <w:tcW w:w="3261" w:type="dxa"/>
            <w:gridSpan w:val="2"/>
          </w:tcPr>
          <w:p w:rsidR="00CA2E29" w:rsidRPr="00260CE3" w:rsidRDefault="00CA2E29" w:rsidP="002A7639">
            <w:pPr>
              <w:keepNext/>
              <w:keepLines/>
              <w:ind w:left="-108"/>
              <w:rPr>
                <w:rFonts w:ascii="Arial Narrow" w:hAnsi="Arial Narrow"/>
                <w:sz w:val="20"/>
              </w:rPr>
            </w:pPr>
            <w:r>
              <w:rPr>
                <w:rFonts w:ascii="Arial Narrow" w:hAnsi="Arial Narrow"/>
                <w:smallCaps/>
                <w:sz w:val="20"/>
              </w:rPr>
              <w:t>bendamustine</w:t>
            </w:r>
          </w:p>
          <w:p w:rsidR="00CA2E29" w:rsidRDefault="00CA2E29" w:rsidP="002A7639">
            <w:pPr>
              <w:keepNext/>
              <w:keepLines/>
              <w:ind w:left="-108"/>
              <w:rPr>
                <w:rFonts w:ascii="Arial Narrow" w:hAnsi="Arial Narrow"/>
                <w:sz w:val="20"/>
              </w:rPr>
            </w:pPr>
            <w:r>
              <w:rPr>
                <w:rFonts w:ascii="Arial Narrow" w:hAnsi="Arial Narrow"/>
                <w:sz w:val="20"/>
              </w:rPr>
              <w:t>powder for injection 100 mg x 1 vial</w:t>
            </w:r>
          </w:p>
          <w:p w:rsidR="00CA2E29" w:rsidRPr="00260CE3" w:rsidRDefault="00CA2E29" w:rsidP="002A7639">
            <w:pPr>
              <w:keepNext/>
              <w:keepLines/>
              <w:ind w:left="-108"/>
              <w:rPr>
                <w:rFonts w:ascii="Arial Narrow" w:hAnsi="Arial Narrow"/>
                <w:sz w:val="20"/>
              </w:rPr>
            </w:pPr>
            <w:r>
              <w:rPr>
                <w:rFonts w:ascii="Arial Narrow" w:hAnsi="Arial Narrow"/>
                <w:sz w:val="20"/>
              </w:rPr>
              <w:t>powder for injection 25 mg x 1 vial</w:t>
            </w:r>
          </w:p>
        </w:tc>
        <w:tc>
          <w:tcPr>
            <w:tcW w:w="708" w:type="dxa"/>
          </w:tcPr>
          <w:p w:rsidR="00CA2E29" w:rsidRPr="00260CE3" w:rsidRDefault="00CA2E29" w:rsidP="002A7639">
            <w:pPr>
              <w:keepNext/>
              <w:keepLines/>
              <w:ind w:left="-108"/>
              <w:rPr>
                <w:rFonts w:ascii="Arial Narrow" w:hAnsi="Arial Narrow"/>
                <w:sz w:val="20"/>
              </w:rPr>
            </w:pPr>
          </w:p>
          <w:p w:rsidR="00CA2E29" w:rsidRPr="00260CE3" w:rsidRDefault="00CA2E29" w:rsidP="002A7639">
            <w:pPr>
              <w:keepNext/>
              <w:keepLines/>
              <w:ind w:left="-108"/>
              <w:rPr>
                <w:rFonts w:ascii="Arial Narrow" w:hAnsi="Arial Narrow"/>
                <w:sz w:val="20"/>
              </w:rPr>
            </w:pPr>
            <w:r>
              <w:rPr>
                <w:rFonts w:ascii="Arial Narrow" w:hAnsi="Arial Narrow"/>
                <w:sz w:val="20"/>
              </w:rPr>
              <w:t>275 mg</w:t>
            </w:r>
          </w:p>
        </w:tc>
        <w:tc>
          <w:tcPr>
            <w:tcW w:w="709" w:type="dxa"/>
          </w:tcPr>
          <w:p w:rsidR="00CA2E29" w:rsidRPr="00260CE3" w:rsidRDefault="00CA2E29" w:rsidP="002A7639">
            <w:pPr>
              <w:keepNext/>
              <w:keepLines/>
              <w:ind w:left="-108"/>
              <w:rPr>
                <w:rFonts w:ascii="Arial Narrow" w:hAnsi="Arial Narrow"/>
                <w:sz w:val="20"/>
              </w:rPr>
            </w:pPr>
          </w:p>
          <w:p w:rsidR="00CA2E29" w:rsidRPr="00260CE3" w:rsidRDefault="00CA2E29" w:rsidP="002A7639">
            <w:pPr>
              <w:keepNext/>
              <w:keepLines/>
              <w:ind w:left="-108"/>
              <w:rPr>
                <w:rFonts w:ascii="Arial Narrow" w:hAnsi="Arial Narrow"/>
                <w:sz w:val="20"/>
              </w:rPr>
            </w:pPr>
            <w:r>
              <w:rPr>
                <w:rFonts w:ascii="Arial Narrow" w:hAnsi="Arial Narrow"/>
                <w:sz w:val="20"/>
              </w:rPr>
              <w:t>15</w:t>
            </w:r>
          </w:p>
        </w:tc>
        <w:tc>
          <w:tcPr>
            <w:tcW w:w="1701" w:type="dxa"/>
          </w:tcPr>
          <w:p w:rsidR="00CA2E29" w:rsidRPr="00260CE3" w:rsidRDefault="00CA2E29" w:rsidP="002A7639">
            <w:pPr>
              <w:keepNext/>
              <w:keepLines/>
              <w:ind w:left="-108"/>
              <w:rPr>
                <w:rFonts w:ascii="Arial Narrow" w:hAnsi="Arial Narrow"/>
                <w:sz w:val="20"/>
              </w:rPr>
            </w:pPr>
          </w:p>
          <w:p w:rsidR="00CA2E29" w:rsidRPr="00403F41" w:rsidRDefault="00CA2E29" w:rsidP="002A7639">
            <w:pPr>
              <w:keepNext/>
              <w:keepLines/>
              <w:ind w:left="-108"/>
              <w:rPr>
                <w:rFonts w:ascii="Arial Narrow" w:hAnsi="Arial Narrow"/>
                <w:sz w:val="20"/>
              </w:rPr>
            </w:pPr>
            <w:r w:rsidRPr="00403F41">
              <w:rPr>
                <w:rFonts w:ascii="Arial Narrow" w:hAnsi="Arial Narrow"/>
                <w:sz w:val="20"/>
              </w:rPr>
              <w:t>$</w:t>
            </w:r>
            <w:r w:rsidR="009B4D1B">
              <w:rPr>
                <w:rFonts w:ascii="Arial Narrow" w:hAnsi="Arial Narrow"/>
                <w:noProof/>
                <w:color w:val="000000"/>
                <w:sz w:val="20"/>
                <w:highlight w:val="black"/>
              </w:rPr>
              <w:t>''''''''''''''''''''</w:t>
            </w:r>
            <w:r w:rsidRPr="00403F41">
              <w:rPr>
                <w:rFonts w:ascii="Arial Narrow" w:hAnsi="Arial Narrow"/>
                <w:sz w:val="20"/>
              </w:rPr>
              <w:t xml:space="preserve"> </w:t>
            </w:r>
          </w:p>
          <w:p w:rsidR="00CA2E29" w:rsidRPr="00403F41" w:rsidRDefault="00CA2E29" w:rsidP="002A7639">
            <w:pPr>
              <w:keepNext/>
              <w:keepLines/>
              <w:ind w:left="-108"/>
              <w:rPr>
                <w:rFonts w:ascii="Arial Narrow" w:hAnsi="Arial Narrow"/>
                <w:sz w:val="20"/>
              </w:rPr>
            </w:pPr>
            <w:r w:rsidRPr="00403F41">
              <w:rPr>
                <w:rFonts w:ascii="Arial Narrow" w:hAnsi="Arial Narrow"/>
                <w:sz w:val="20"/>
              </w:rPr>
              <w:t>(public hospital)</w:t>
            </w:r>
          </w:p>
          <w:p w:rsidR="00CA2E29" w:rsidRPr="00403F41" w:rsidRDefault="00CA2E29" w:rsidP="002A7639">
            <w:pPr>
              <w:keepNext/>
              <w:keepLines/>
              <w:ind w:left="-108"/>
              <w:rPr>
                <w:rFonts w:ascii="Arial Narrow" w:hAnsi="Arial Narrow"/>
                <w:sz w:val="20"/>
              </w:rPr>
            </w:pPr>
            <w:r w:rsidRPr="00403F41">
              <w:rPr>
                <w:rFonts w:ascii="Arial Narrow" w:hAnsi="Arial Narrow"/>
                <w:sz w:val="20"/>
              </w:rPr>
              <w:t>$</w:t>
            </w:r>
            <w:r w:rsidR="009B4D1B">
              <w:rPr>
                <w:rFonts w:ascii="Arial Narrow" w:hAnsi="Arial Narrow"/>
                <w:noProof/>
                <w:color w:val="000000"/>
                <w:sz w:val="20"/>
                <w:highlight w:val="black"/>
              </w:rPr>
              <w:t>''''''''''''''''''''</w:t>
            </w:r>
            <w:r w:rsidRPr="00403F41">
              <w:rPr>
                <w:rFonts w:ascii="Arial Narrow" w:hAnsi="Arial Narrow"/>
                <w:sz w:val="20"/>
              </w:rPr>
              <w:t xml:space="preserve"> </w:t>
            </w:r>
          </w:p>
          <w:p w:rsidR="00CA2E29" w:rsidRPr="00260CE3" w:rsidRDefault="00CA2E29" w:rsidP="002A7639">
            <w:pPr>
              <w:keepNext/>
              <w:keepLines/>
              <w:ind w:left="-108"/>
              <w:rPr>
                <w:rFonts w:ascii="Arial Narrow" w:hAnsi="Arial Narrow"/>
                <w:sz w:val="20"/>
              </w:rPr>
            </w:pPr>
            <w:r w:rsidRPr="00403F41">
              <w:rPr>
                <w:rFonts w:ascii="Arial Narrow" w:hAnsi="Arial Narrow"/>
                <w:sz w:val="20"/>
              </w:rPr>
              <w:t>(private hospital)</w:t>
            </w:r>
          </w:p>
        </w:tc>
        <w:tc>
          <w:tcPr>
            <w:tcW w:w="1559" w:type="dxa"/>
          </w:tcPr>
          <w:p w:rsidR="00CA2E29" w:rsidRPr="00260CE3" w:rsidRDefault="005C6C53" w:rsidP="002A7639">
            <w:pPr>
              <w:keepNext/>
              <w:keepLines/>
              <w:rPr>
                <w:rFonts w:ascii="Arial Narrow" w:hAnsi="Arial Narrow"/>
                <w:sz w:val="20"/>
              </w:rPr>
            </w:pPr>
            <w:proofErr w:type="spellStart"/>
            <w:r>
              <w:rPr>
                <w:rFonts w:ascii="Arial Narrow" w:hAnsi="Arial Narrow"/>
                <w:sz w:val="20"/>
              </w:rPr>
              <w:t>R</w:t>
            </w:r>
            <w:r w:rsidR="00CA2E29">
              <w:rPr>
                <w:rFonts w:ascii="Arial Narrow" w:hAnsi="Arial Narrow"/>
                <w:sz w:val="20"/>
              </w:rPr>
              <w:t>ibomustin</w:t>
            </w:r>
            <w:proofErr w:type="spellEnd"/>
          </w:p>
        </w:tc>
        <w:tc>
          <w:tcPr>
            <w:tcW w:w="1276" w:type="dxa"/>
          </w:tcPr>
          <w:p w:rsidR="00CA2E29" w:rsidRPr="00260CE3" w:rsidRDefault="00CA2E29" w:rsidP="002A7639">
            <w:pPr>
              <w:keepNext/>
              <w:keepLines/>
              <w:rPr>
                <w:rFonts w:ascii="Arial Narrow" w:hAnsi="Arial Narrow"/>
                <w:sz w:val="20"/>
              </w:rPr>
            </w:pPr>
            <w:r>
              <w:rPr>
                <w:rFonts w:ascii="Arial Narrow" w:hAnsi="Arial Narrow"/>
                <w:sz w:val="20"/>
              </w:rPr>
              <w:t>Janssen-</w:t>
            </w:r>
            <w:proofErr w:type="spellStart"/>
            <w:r>
              <w:rPr>
                <w:rFonts w:ascii="Arial Narrow" w:hAnsi="Arial Narrow"/>
                <w:sz w:val="20"/>
              </w:rPr>
              <w:t>Cilag</w:t>
            </w:r>
            <w:proofErr w:type="spellEnd"/>
            <w:r>
              <w:rPr>
                <w:rFonts w:ascii="Arial Narrow" w:hAnsi="Arial Narrow"/>
                <w:sz w:val="20"/>
              </w:rPr>
              <w:t xml:space="preserve"> Pty Ltd</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t xml:space="preserve">Category / </w:t>
            </w:r>
          </w:p>
          <w:p w:rsidR="00CA2E29" w:rsidRPr="00260CE3" w:rsidRDefault="00CA2E29" w:rsidP="002A7639">
            <w:pPr>
              <w:keepNext/>
              <w:keepLines/>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sz w:val="20"/>
              </w:rPr>
            </w:pPr>
            <w:r>
              <w:rPr>
                <w:rFonts w:ascii="Arial Narrow" w:hAnsi="Arial Narrow"/>
                <w:sz w:val="20"/>
              </w:rPr>
              <w:t>Section 100 (efficient funding of chemotherapy arrangements) public/private hospital</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CA2E29" w:rsidRPr="00260CE3" w:rsidRDefault="00CA2E29" w:rsidP="002A7639">
            <w:pPr>
              <w:keepNext/>
              <w:keepLines/>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sz w:val="20"/>
              </w:rPr>
            </w:pPr>
            <w:r w:rsidRPr="004D2AA5">
              <w:rPr>
                <w:rFonts w:ascii="Arial Narrow" w:hAnsi="Arial Narrow"/>
                <w:sz w:val="20"/>
                <w:lang w:val="en-US"/>
              </w:rPr>
              <w:t>Stage III or IV</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sz w:val="20"/>
              </w:rPr>
            </w:pPr>
            <w:r>
              <w:rPr>
                <w:rFonts w:ascii="Arial Narrow" w:hAnsi="Arial Narrow"/>
                <w:sz w:val="20"/>
              </w:rPr>
              <w:t>Indolent CD20 positive non-Hodgkin’s lymphoma</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t>Treatment phase:</w:t>
            </w:r>
          </w:p>
          <w:p w:rsidR="00CA2E29" w:rsidRPr="00260CE3" w:rsidRDefault="00CA2E29" w:rsidP="002A7639">
            <w:pPr>
              <w:keepNext/>
              <w:keepLines/>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A2E29" w:rsidRPr="007513A6" w:rsidRDefault="00CA2E29" w:rsidP="002A7639">
            <w:pPr>
              <w:keepNext/>
              <w:keepLines/>
              <w:rPr>
                <w:rFonts w:ascii="Arial Narrow" w:hAnsi="Arial Narrow"/>
                <w:i/>
                <w:sz w:val="20"/>
              </w:rPr>
            </w:pPr>
            <w:r w:rsidRPr="007513A6">
              <w:rPr>
                <w:rFonts w:ascii="Arial Narrow" w:hAnsi="Arial Narrow"/>
                <w:i/>
                <w:sz w:val="20"/>
              </w:rPr>
              <w:t>Re-induction treatment</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CA2E29" w:rsidRPr="00260CE3" w:rsidRDefault="00CA2E29" w:rsidP="002A7639">
            <w:pPr>
              <w:keepNext/>
              <w:keepLines/>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A2E29" w:rsidRPr="00106BCF" w:rsidRDefault="00CA2E29" w:rsidP="002A7639">
            <w:pPr>
              <w:keepNext/>
              <w:keepLines/>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CA2E29" w:rsidRPr="00106BCF" w:rsidRDefault="0028655E" w:rsidP="002A7639">
            <w:pPr>
              <w:keepNext/>
              <w:keepLines/>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Pr>
                <w:rFonts w:ascii="Arial Narrow" w:hAnsi="Arial Narrow"/>
                <w:sz w:val="20"/>
              </w:rPr>
              <w:fldChar w:fldCharType="end"/>
            </w:r>
            <w:r w:rsidR="00CA2E29" w:rsidRPr="00106BCF">
              <w:rPr>
                <w:rFonts w:ascii="Arial Narrow" w:hAnsi="Arial Narrow"/>
                <w:sz w:val="20"/>
              </w:rPr>
              <w:t>Authority Required - In Writing</w:t>
            </w:r>
          </w:p>
          <w:p w:rsidR="00CA2E29" w:rsidRPr="00106BCF" w:rsidRDefault="0028655E" w:rsidP="002A7639">
            <w:pPr>
              <w:keepNext/>
              <w:keepLines/>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Pr>
                <w:rFonts w:ascii="Arial Narrow" w:hAnsi="Arial Narrow"/>
                <w:sz w:val="20"/>
              </w:rPr>
              <w:fldChar w:fldCharType="end"/>
            </w:r>
            <w:r w:rsidR="00CA2E29" w:rsidRPr="00106BCF">
              <w:rPr>
                <w:rFonts w:ascii="Arial Narrow" w:hAnsi="Arial Narrow"/>
                <w:sz w:val="20"/>
              </w:rPr>
              <w:t>Authority Required - Telephone</w:t>
            </w:r>
          </w:p>
          <w:p w:rsidR="00CA2E29" w:rsidRPr="00106BCF" w:rsidRDefault="0028655E" w:rsidP="002A7639">
            <w:pPr>
              <w:keepNext/>
              <w:keepLines/>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Pr>
                <w:rFonts w:ascii="Arial Narrow" w:hAnsi="Arial Narrow"/>
                <w:sz w:val="20"/>
              </w:rPr>
              <w:fldChar w:fldCharType="end"/>
            </w:r>
            <w:r w:rsidR="00CA2E29" w:rsidRPr="00106BCF">
              <w:rPr>
                <w:rFonts w:ascii="Arial Narrow" w:hAnsi="Arial Narrow"/>
                <w:sz w:val="20"/>
              </w:rPr>
              <w:t>Authority Required – Emergency</w:t>
            </w:r>
          </w:p>
          <w:p w:rsidR="00CA2E29" w:rsidRPr="00106BCF" w:rsidRDefault="0028655E" w:rsidP="002A7639">
            <w:pPr>
              <w:keepNext/>
              <w:keepLines/>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Pr>
                <w:rFonts w:ascii="Arial Narrow" w:hAnsi="Arial Narrow"/>
                <w:sz w:val="20"/>
              </w:rPr>
              <w:fldChar w:fldCharType="end"/>
            </w:r>
            <w:r w:rsidR="00CA2E29" w:rsidRPr="00106BCF">
              <w:rPr>
                <w:rFonts w:ascii="Arial Narrow" w:hAnsi="Arial Narrow"/>
                <w:sz w:val="20"/>
              </w:rPr>
              <w:t>Authority Required - Electronic</w:t>
            </w:r>
          </w:p>
          <w:p w:rsidR="00CA2E29" w:rsidRPr="00260CE3" w:rsidRDefault="00CA2E29" w:rsidP="002A7639">
            <w:pPr>
              <w:keepNext/>
              <w:keepLines/>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002004">
              <w:rPr>
                <w:rFonts w:ascii="Arial Narrow" w:hAnsi="Arial Narrow"/>
                <w:sz w:val="20"/>
              </w:rPr>
            </w:r>
            <w:r w:rsidR="00002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sidRPr="00260CE3">
              <w:rPr>
                <w:rFonts w:ascii="Arial Narrow" w:hAnsi="Arial Narrow"/>
                <w:b/>
                <w:sz w:val="20"/>
              </w:rPr>
              <w:t>Clinical criteria:</w:t>
            </w:r>
          </w:p>
          <w:p w:rsidR="00CA2E29" w:rsidRPr="00260CE3" w:rsidRDefault="00CA2E29" w:rsidP="002A7639">
            <w:pPr>
              <w:keepNext/>
              <w:keepLines/>
              <w:rPr>
                <w:rFonts w:ascii="Arial Narrow" w:hAnsi="Arial Narrow"/>
                <w:i/>
                <w:sz w:val="20"/>
              </w:rPr>
            </w:pPr>
          </w:p>
          <w:p w:rsidR="00CA2E29" w:rsidRPr="00260CE3" w:rsidRDefault="00CA2E29" w:rsidP="002A7639">
            <w:pPr>
              <w:keepNext/>
              <w:keepLines/>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A2E29" w:rsidRPr="00E5111F" w:rsidRDefault="00CA2E29" w:rsidP="002A7639">
            <w:pPr>
              <w:keepNext/>
              <w:keepLines/>
              <w:rPr>
                <w:rFonts w:ascii="Arial Narrow" w:hAnsi="Arial Narrow"/>
                <w:sz w:val="20"/>
                <w:lang w:val="en-US"/>
              </w:rPr>
            </w:pPr>
            <w:r w:rsidRPr="00E5111F">
              <w:rPr>
                <w:rFonts w:ascii="Arial Narrow" w:hAnsi="Arial Narrow"/>
                <w:sz w:val="20"/>
                <w:lang w:val="en-US"/>
              </w:rPr>
              <w:t xml:space="preserve">The treatment must be </w:t>
            </w:r>
            <w:r>
              <w:rPr>
                <w:rFonts w:ascii="Arial Narrow" w:hAnsi="Arial Narrow"/>
                <w:sz w:val="20"/>
                <w:lang w:val="en-US"/>
              </w:rPr>
              <w:t>as monotherapy</w:t>
            </w:r>
            <w:r w:rsidRPr="00E5111F">
              <w:rPr>
                <w:rFonts w:ascii="Arial Narrow" w:hAnsi="Arial Narrow"/>
                <w:sz w:val="20"/>
                <w:lang w:val="en-US"/>
              </w:rPr>
              <w:t>,</w:t>
            </w:r>
          </w:p>
          <w:p w:rsidR="00CA2E29" w:rsidRPr="0028655E" w:rsidRDefault="00CA2E29" w:rsidP="002A7639">
            <w:pPr>
              <w:keepNext/>
              <w:keepLines/>
              <w:rPr>
                <w:rFonts w:ascii="Arial Narrow" w:hAnsi="Arial Narrow"/>
                <w:sz w:val="20"/>
                <w:lang w:val="en-US"/>
              </w:rPr>
            </w:pPr>
            <w:r w:rsidRPr="0028655E">
              <w:rPr>
                <w:rFonts w:ascii="Arial Narrow" w:hAnsi="Arial Narrow"/>
                <w:sz w:val="20"/>
                <w:lang w:val="en-US"/>
              </w:rPr>
              <w:t>AND</w:t>
            </w:r>
          </w:p>
          <w:p w:rsidR="00CA2E29" w:rsidRPr="0028655E" w:rsidRDefault="00CA2E29" w:rsidP="002A7639">
            <w:pPr>
              <w:keepNext/>
              <w:keepLines/>
              <w:rPr>
                <w:rFonts w:ascii="Arial Narrow" w:hAnsi="Arial Narrow"/>
                <w:sz w:val="20"/>
                <w:lang w:val="en-US"/>
              </w:rPr>
            </w:pPr>
            <w:r w:rsidRPr="0028655E">
              <w:rPr>
                <w:rFonts w:ascii="Arial Narrow" w:hAnsi="Arial Narrow"/>
                <w:sz w:val="20"/>
                <w:lang w:val="en-US"/>
              </w:rPr>
              <w:t xml:space="preserve">The condition must be refractory to rituximab </w:t>
            </w:r>
          </w:p>
          <w:p w:rsidR="00CA2E29" w:rsidRPr="0028655E" w:rsidRDefault="00CA2E29" w:rsidP="002A7639">
            <w:pPr>
              <w:keepNext/>
              <w:keepLines/>
              <w:rPr>
                <w:rFonts w:ascii="Arial Narrow" w:hAnsi="Arial Narrow"/>
                <w:sz w:val="20"/>
              </w:rPr>
            </w:pPr>
            <w:r w:rsidRPr="0028655E">
              <w:rPr>
                <w:rFonts w:ascii="Arial Narrow" w:hAnsi="Arial Narrow"/>
                <w:sz w:val="20"/>
                <w:lang w:val="en-US"/>
              </w:rPr>
              <w:t>AND</w:t>
            </w:r>
          </w:p>
          <w:p w:rsidR="00CA2E29" w:rsidRPr="0028655E" w:rsidRDefault="00CA2E29" w:rsidP="002A7639">
            <w:pPr>
              <w:keepNext/>
              <w:keepLines/>
              <w:rPr>
                <w:rFonts w:ascii="Arial Narrow" w:hAnsi="Arial Narrow"/>
                <w:sz w:val="20"/>
              </w:rPr>
            </w:pPr>
            <w:r w:rsidRPr="0028655E">
              <w:rPr>
                <w:rFonts w:ascii="Arial Narrow" w:hAnsi="Arial Narrow"/>
                <w:sz w:val="20"/>
              </w:rPr>
              <w:t>The patient must not receive more than 8 cycles (16 doses) of treatment under this restriction,</w:t>
            </w:r>
          </w:p>
          <w:p w:rsidR="00CA2E29" w:rsidRDefault="00CA2E29" w:rsidP="002A7639">
            <w:pPr>
              <w:keepNext/>
              <w:keepLines/>
              <w:rPr>
                <w:rFonts w:ascii="Arial Narrow" w:hAnsi="Arial Narrow"/>
                <w:sz w:val="20"/>
              </w:rPr>
            </w:pPr>
            <w:r>
              <w:rPr>
                <w:rFonts w:ascii="Arial Narrow" w:hAnsi="Arial Narrow"/>
                <w:sz w:val="20"/>
              </w:rPr>
              <w:t>AND</w:t>
            </w:r>
          </w:p>
          <w:p w:rsidR="00CA2E29" w:rsidRPr="00260CE3" w:rsidRDefault="00CA2E29" w:rsidP="002A7639">
            <w:pPr>
              <w:keepNext/>
              <w:keepLines/>
              <w:rPr>
                <w:rFonts w:ascii="Arial Narrow" w:hAnsi="Arial Narrow"/>
                <w:sz w:val="20"/>
              </w:rPr>
            </w:pPr>
            <w:r w:rsidRPr="007513A6">
              <w:rPr>
                <w:rFonts w:ascii="Arial Narrow" w:hAnsi="Arial Narrow"/>
                <w:i/>
                <w:sz w:val="20"/>
              </w:rPr>
              <w:t xml:space="preserve">The </w:t>
            </w:r>
            <w:r>
              <w:rPr>
                <w:rFonts w:ascii="Arial Narrow" w:hAnsi="Arial Narrow"/>
                <w:i/>
                <w:sz w:val="20"/>
              </w:rPr>
              <w:t>patient must not have received previous treatment with this drug.</w:t>
            </w:r>
          </w:p>
        </w:tc>
      </w:tr>
      <w:tr w:rsidR="00CA2E29" w:rsidRPr="00260CE3" w:rsidTr="002A7639">
        <w:trPr>
          <w:cantSplit/>
          <w:trHeight w:val="360"/>
        </w:trPr>
        <w:tc>
          <w:tcPr>
            <w:tcW w:w="2835" w:type="dxa"/>
            <w:tcBorders>
              <w:top w:val="single" w:sz="4" w:space="0" w:color="auto"/>
              <w:left w:val="single" w:sz="4" w:space="0" w:color="auto"/>
              <w:bottom w:val="single" w:sz="4" w:space="0" w:color="auto"/>
              <w:right w:val="single" w:sz="4" w:space="0" w:color="auto"/>
            </w:tcBorders>
          </w:tcPr>
          <w:p w:rsidR="00CA2E29" w:rsidRPr="00260CE3" w:rsidRDefault="00CA2E29" w:rsidP="002A7639">
            <w:pPr>
              <w:keepNext/>
              <w:keepLines/>
              <w:rPr>
                <w:rFonts w:ascii="Arial Narrow" w:hAnsi="Arial Narrow"/>
                <w:b/>
                <w:sz w:val="20"/>
              </w:rPr>
            </w:pPr>
            <w:r>
              <w:rPr>
                <w:rFonts w:ascii="Arial Narrow" w:hAnsi="Arial Narrow"/>
                <w:b/>
                <w:sz w:val="20"/>
              </w:rPr>
              <w:t>Definitions</w:t>
            </w:r>
          </w:p>
        </w:tc>
        <w:tc>
          <w:tcPr>
            <w:tcW w:w="6379" w:type="dxa"/>
            <w:gridSpan w:val="6"/>
            <w:tcBorders>
              <w:top w:val="single" w:sz="4" w:space="0" w:color="auto"/>
              <w:left w:val="single" w:sz="4" w:space="0" w:color="auto"/>
              <w:bottom w:val="single" w:sz="4" w:space="0" w:color="auto"/>
              <w:right w:val="single" w:sz="4" w:space="0" w:color="auto"/>
            </w:tcBorders>
          </w:tcPr>
          <w:p w:rsidR="00CA2E29" w:rsidRPr="0028655E" w:rsidRDefault="00CA2E29" w:rsidP="002A7639">
            <w:pPr>
              <w:keepNext/>
              <w:keepLines/>
              <w:rPr>
                <w:rFonts w:ascii="Arial Narrow" w:hAnsi="Arial Narrow"/>
                <w:sz w:val="20"/>
                <w:lang w:val="en-US"/>
              </w:rPr>
            </w:pPr>
            <w:r w:rsidRPr="0028655E">
              <w:rPr>
                <w:rFonts w:ascii="Arial Narrow" w:hAnsi="Arial Narrow"/>
                <w:sz w:val="20"/>
                <w:lang w:val="en-US"/>
              </w:rPr>
              <w:t>To be considered refractory to rituximab the patient must have had no response to a rituximab-containing treatment  OR</w:t>
            </w:r>
          </w:p>
          <w:p w:rsidR="00CA2E29" w:rsidRPr="00E5111F" w:rsidRDefault="00CA2E29" w:rsidP="002A7639">
            <w:pPr>
              <w:keepNext/>
              <w:keepLines/>
              <w:rPr>
                <w:rFonts w:ascii="Arial Narrow" w:hAnsi="Arial Narrow"/>
                <w:sz w:val="20"/>
                <w:lang w:val="en-US"/>
              </w:rPr>
            </w:pPr>
            <w:r w:rsidRPr="0028655E">
              <w:rPr>
                <w:rFonts w:ascii="Arial Narrow" w:hAnsi="Arial Narrow"/>
                <w:sz w:val="20"/>
                <w:lang w:val="en-US"/>
              </w:rPr>
              <w:t>The patient must have had progression within 6 months of receiving a rituximab-containing treatment.</w:t>
            </w:r>
          </w:p>
        </w:tc>
      </w:tr>
    </w:tbl>
    <w:p w:rsidR="00CA2E29" w:rsidRDefault="00CA2E29" w:rsidP="00CA2E29">
      <w:pPr>
        <w:widowControl/>
        <w:jc w:val="left"/>
      </w:pPr>
    </w:p>
    <w:p w:rsidR="00CA2E29" w:rsidRPr="00A2452B" w:rsidRDefault="00CA2E29" w:rsidP="00BD76AF"/>
    <w:p w:rsidR="00BD76AF" w:rsidRPr="007B50EB" w:rsidRDefault="007B50EB" w:rsidP="00EB1E21">
      <w:pPr>
        <w:pStyle w:val="ListParagraph"/>
        <w:widowControl/>
        <w:numPr>
          <w:ilvl w:val="1"/>
          <w:numId w:val="1"/>
        </w:numPr>
        <w:rPr>
          <w:i/>
          <w:szCs w:val="22"/>
        </w:rPr>
      </w:pPr>
      <w:r>
        <w:rPr>
          <w:szCs w:val="22"/>
        </w:rPr>
        <w:t xml:space="preserve">The basis for the requested listing was a cost-utility evaluation of </w:t>
      </w:r>
      <w:r w:rsidR="00BD76AF">
        <w:rPr>
          <w:szCs w:val="22"/>
        </w:rPr>
        <w:t xml:space="preserve">bendamustine plus rituximab </w:t>
      </w:r>
      <w:r w:rsidR="00BD76AF" w:rsidRPr="00A2452B">
        <w:rPr>
          <w:szCs w:val="22"/>
        </w:rPr>
        <w:t>compared with R-CHOP</w:t>
      </w:r>
      <w:r w:rsidR="00E419E6" w:rsidRPr="00E419E6">
        <w:t xml:space="preserve"> </w:t>
      </w:r>
      <w:r w:rsidR="00E419E6">
        <w:t>(</w:t>
      </w:r>
      <w:r w:rsidR="00D65CCB">
        <w:t>rituximab, c</w:t>
      </w:r>
      <w:r w:rsidR="00E419E6" w:rsidRPr="00E419E6">
        <w:rPr>
          <w:szCs w:val="22"/>
        </w:rPr>
        <w:t xml:space="preserve">yclophosphamide, </w:t>
      </w:r>
      <w:r w:rsidR="00D65CCB">
        <w:rPr>
          <w:szCs w:val="22"/>
        </w:rPr>
        <w:t>d</w:t>
      </w:r>
      <w:r w:rsidR="00E419E6" w:rsidRPr="00E419E6">
        <w:rPr>
          <w:szCs w:val="22"/>
        </w:rPr>
        <w:t>oxorubicin,</w:t>
      </w:r>
      <w:r w:rsidR="00E419E6">
        <w:rPr>
          <w:szCs w:val="22"/>
        </w:rPr>
        <w:t xml:space="preserve"> </w:t>
      </w:r>
      <w:r w:rsidR="00D65CCB">
        <w:rPr>
          <w:szCs w:val="22"/>
        </w:rPr>
        <w:lastRenderedPageBreak/>
        <w:t>v</w:t>
      </w:r>
      <w:r w:rsidR="00E419E6" w:rsidRPr="00E419E6">
        <w:rPr>
          <w:szCs w:val="22"/>
        </w:rPr>
        <w:t xml:space="preserve">incristine, </w:t>
      </w:r>
      <w:proofErr w:type="gramStart"/>
      <w:r w:rsidR="00D65CCB">
        <w:rPr>
          <w:szCs w:val="22"/>
        </w:rPr>
        <w:t>p</w:t>
      </w:r>
      <w:r w:rsidR="00E419E6" w:rsidRPr="00E419E6">
        <w:rPr>
          <w:szCs w:val="22"/>
        </w:rPr>
        <w:t>rednisone</w:t>
      </w:r>
      <w:proofErr w:type="gramEnd"/>
      <w:r w:rsidR="00E419E6">
        <w:rPr>
          <w:szCs w:val="22"/>
        </w:rPr>
        <w:t>)</w:t>
      </w:r>
      <w:r w:rsidR="00BD76AF" w:rsidRPr="00A2452B">
        <w:rPr>
          <w:szCs w:val="22"/>
        </w:rPr>
        <w:t xml:space="preserve"> for the treatment of iNHL or MCL</w:t>
      </w:r>
      <w:r>
        <w:rPr>
          <w:szCs w:val="22"/>
        </w:rPr>
        <w:t>, in patients</w:t>
      </w:r>
      <w:r w:rsidR="00BD76AF" w:rsidRPr="00A2452B">
        <w:rPr>
          <w:szCs w:val="22"/>
        </w:rPr>
        <w:t xml:space="preserve"> who have not received prior treatment. </w:t>
      </w:r>
      <w:r w:rsidRPr="000152A7">
        <w:rPr>
          <w:szCs w:val="22"/>
        </w:rPr>
        <w:t xml:space="preserve">Listing was also requested for bendamustine monotherapy in rituximab-refractory iNHL, however no economic evaluation was presented for </w:t>
      </w:r>
      <w:r w:rsidR="00E419E6" w:rsidRPr="000152A7">
        <w:rPr>
          <w:szCs w:val="22"/>
        </w:rPr>
        <w:t xml:space="preserve">the </w:t>
      </w:r>
      <w:r w:rsidRPr="000152A7">
        <w:rPr>
          <w:szCs w:val="22"/>
        </w:rPr>
        <w:t xml:space="preserve">use of bendamustine in this </w:t>
      </w:r>
      <w:r w:rsidR="00D65CCB">
        <w:rPr>
          <w:szCs w:val="22"/>
        </w:rPr>
        <w:t>patient population</w:t>
      </w:r>
      <w:r w:rsidRPr="000152A7">
        <w:rPr>
          <w:szCs w:val="22"/>
        </w:rPr>
        <w:t>.</w:t>
      </w:r>
    </w:p>
    <w:p w:rsidR="00BD76AF" w:rsidRDefault="00BD76AF" w:rsidP="00BD76AF"/>
    <w:p w:rsidR="00BB7464" w:rsidRPr="00A2452B" w:rsidRDefault="00BB7464" w:rsidP="00BD76AF"/>
    <w:p w:rsidR="00BD76AF" w:rsidRPr="00A2452B" w:rsidRDefault="00BD76AF" w:rsidP="00BD76AF">
      <w:pPr>
        <w:pStyle w:val="PBACHeading1"/>
      </w:pPr>
      <w:bookmarkStart w:id="11" w:name="_Toc409442437"/>
      <w:r w:rsidRPr="00A2452B">
        <w:t>Background</w:t>
      </w:r>
      <w:bookmarkEnd w:id="11"/>
    </w:p>
    <w:p w:rsidR="00BD76AF" w:rsidRPr="00A2452B" w:rsidRDefault="00BD76AF" w:rsidP="00BD76AF">
      <w:pPr>
        <w:rPr>
          <w:szCs w:val="22"/>
        </w:rPr>
      </w:pPr>
    </w:p>
    <w:p w:rsidR="00BD76AF" w:rsidRDefault="00BD76AF" w:rsidP="00EB1E21">
      <w:pPr>
        <w:pStyle w:val="ListParagraph"/>
        <w:widowControl/>
        <w:numPr>
          <w:ilvl w:val="1"/>
          <w:numId w:val="1"/>
        </w:numPr>
        <w:rPr>
          <w:szCs w:val="22"/>
        </w:rPr>
      </w:pPr>
      <w:r w:rsidRPr="000541F5">
        <w:rPr>
          <w:szCs w:val="22"/>
        </w:rPr>
        <w:t>TGA status:</w:t>
      </w:r>
      <w:r>
        <w:rPr>
          <w:szCs w:val="22"/>
        </w:rPr>
        <w:t xml:space="preserve"> </w:t>
      </w:r>
      <w:r w:rsidRPr="004805B8">
        <w:rPr>
          <w:szCs w:val="22"/>
        </w:rPr>
        <w:t>Bendamustine</w:t>
      </w:r>
      <w:r w:rsidRPr="000541F5">
        <w:rPr>
          <w:i/>
          <w:szCs w:val="22"/>
        </w:rPr>
        <w:t xml:space="preserve"> </w:t>
      </w:r>
      <w:r w:rsidRPr="000541F5">
        <w:rPr>
          <w:szCs w:val="22"/>
        </w:rPr>
        <w:t>was TGA registered on</w:t>
      </w:r>
      <w:r w:rsidR="007600E8">
        <w:rPr>
          <w:szCs w:val="22"/>
        </w:rPr>
        <w:t xml:space="preserve"> </w:t>
      </w:r>
      <w:r w:rsidRPr="000541F5">
        <w:rPr>
          <w:szCs w:val="22"/>
        </w:rPr>
        <w:t xml:space="preserve">30 June 2014 for </w:t>
      </w:r>
      <w:r>
        <w:rPr>
          <w:szCs w:val="22"/>
        </w:rPr>
        <w:t xml:space="preserve">the following indications: </w:t>
      </w:r>
    </w:p>
    <w:p w:rsidR="00BD76AF" w:rsidRPr="000541F5" w:rsidRDefault="00BD76AF" w:rsidP="00BD76AF">
      <w:pPr>
        <w:pStyle w:val="ListParagraph"/>
        <w:widowControl/>
        <w:rPr>
          <w:szCs w:val="22"/>
        </w:rPr>
      </w:pPr>
      <w:proofErr w:type="spellStart"/>
      <w:r w:rsidRPr="000541F5">
        <w:rPr>
          <w:szCs w:val="22"/>
        </w:rPr>
        <w:t>i</w:t>
      </w:r>
      <w:proofErr w:type="spellEnd"/>
      <w:r w:rsidRPr="000541F5">
        <w:rPr>
          <w:szCs w:val="22"/>
        </w:rPr>
        <w:t>)</w:t>
      </w:r>
      <w:r w:rsidRPr="000541F5">
        <w:rPr>
          <w:szCs w:val="22"/>
        </w:rPr>
        <w:tab/>
        <w:t>First-line treatment of chronic lymphocytic leukaemia (</w:t>
      </w:r>
      <w:proofErr w:type="spellStart"/>
      <w:r w:rsidRPr="000541F5">
        <w:rPr>
          <w:szCs w:val="22"/>
        </w:rPr>
        <w:t>Binet</w:t>
      </w:r>
      <w:proofErr w:type="spellEnd"/>
      <w:r w:rsidRPr="000541F5">
        <w:rPr>
          <w:szCs w:val="22"/>
        </w:rPr>
        <w:t xml:space="preserve"> stage B or C);</w:t>
      </w:r>
    </w:p>
    <w:p w:rsidR="00BD76AF" w:rsidRPr="000541F5" w:rsidRDefault="00BD76AF" w:rsidP="00BD76AF">
      <w:pPr>
        <w:pStyle w:val="ListParagraph"/>
        <w:widowControl/>
        <w:ind w:left="1440" w:hanging="720"/>
        <w:rPr>
          <w:szCs w:val="22"/>
        </w:rPr>
      </w:pPr>
      <w:r w:rsidRPr="000541F5">
        <w:rPr>
          <w:szCs w:val="22"/>
        </w:rPr>
        <w:t>ii)</w:t>
      </w:r>
      <w:r w:rsidRPr="000541F5">
        <w:rPr>
          <w:szCs w:val="22"/>
        </w:rPr>
        <w:tab/>
        <w:t>Previously untreated indolent CD20-positive, stage III-IV Non-Hodgkin’s Lymphoma, in combination with rituximab;</w:t>
      </w:r>
    </w:p>
    <w:p w:rsidR="00BD76AF" w:rsidRPr="000541F5" w:rsidRDefault="00BD76AF" w:rsidP="00BD76AF">
      <w:pPr>
        <w:pStyle w:val="ListParagraph"/>
        <w:widowControl/>
        <w:ind w:left="1440" w:hanging="720"/>
        <w:rPr>
          <w:szCs w:val="22"/>
        </w:rPr>
      </w:pPr>
      <w:r w:rsidRPr="000541F5">
        <w:rPr>
          <w:szCs w:val="22"/>
        </w:rPr>
        <w:t>iii)</w:t>
      </w:r>
      <w:r w:rsidRPr="000541F5">
        <w:rPr>
          <w:szCs w:val="22"/>
        </w:rPr>
        <w:tab/>
        <w:t>Previously untreated indolent CD20-positive, stage III-IV Mantle Cell Lymphoma in combination with rituximab, in patients ineligible for autologous stem cell transplantation; and</w:t>
      </w:r>
    </w:p>
    <w:p w:rsidR="00BD76AF" w:rsidRPr="000541F5" w:rsidRDefault="00BD76AF" w:rsidP="00BD76AF">
      <w:pPr>
        <w:widowControl/>
        <w:ind w:left="720"/>
        <w:rPr>
          <w:szCs w:val="22"/>
        </w:rPr>
      </w:pPr>
      <w:proofErr w:type="gramStart"/>
      <w:r w:rsidRPr="000541F5">
        <w:rPr>
          <w:szCs w:val="22"/>
        </w:rPr>
        <w:t>iv)</w:t>
      </w:r>
      <w:r>
        <w:rPr>
          <w:szCs w:val="22"/>
        </w:rPr>
        <w:tab/>
      </w:r>
      <w:r w:rsidRPr="000541F5">
        <w:rPr>
          <w:szCs w:val="22"/>
        </w:rPr>
        <w:t>Relapsed/Refractory</w:t>
      </w:r>
      <w:proofErr w:type="gramEnd"/>
      <w:r w:rsidRPr="000541F5">
        <w:rPr>
          <w:szCs w:val="22"/>
        </w:rPr>
        <w:t xml:space="preserve"> indolent Non-Hodgkin’s Lymphoma.</w:t>
      </w:r>
    </w:p>
    <w:p w:rsidR="00BD76AF" w:rsidRDefault="00BD76AF" w:rsidP="00BD76AF">
      <w:pPr>
        <w:ind w:left="720"/>
      </w:pPr>
    </w:p>
    <w:p w:rsidR="00AC60FA" w:rsidRPr="00AC60FA" w:rsidRDefault="00AC60FA" w:rsidP="00EB1E21">
      <w:pPr>
        <w:pStyle w:val="ListParagraph"/>
        <w:widowControl/>
        <w:numPr>
          <w:ilvl w:val="1"/>
          <w:numId w:val="1"/>
        </w:numPr>
        <w:rPr>
          <w:szCs w:val="22"/>
        </w:rPr>
      </w:pPr>
      <w:r w:rsidRPr="00AC60FA">
        <w:rPr>
          <w:szCs w:val="22"/>
        </w:rPr>
        <w:t xml:space="preserve">Bendamustine is TGA-registered for use in previously untreated iNHL and MCL in combination with rituximab, and the clinical evidence for bendamustine in these indications is in combination with rituximab. However, rituximab is neither TGA approved nor PBS-listed for MCL, or for previously untreated sub types of iNHL other than follicular lymphoma. The Pre-Sub-Committee Response stated that bendamustine in combination with rituximab is TGA-registered for those indications, and therefore rituximab is TGA-registered for those indications when used in combination with bendamustine. However, </w:t>
      </w:r>
      <w:r>
        <w:rPr>
          <w:szCs w:val="22"/>
        </w:rPr>
        <w:t xml:space="preserve">the ESC noted that it was </w:t>
      </w:r>
      <w:r w:rsidRPr="00AC60FA">
        <w:rPr>
          <w:szCs w:val="22"/>
        </w:rPr>
        <w:t xml:space="preserve">unclear how </w:t>
      </w:r>
      <w:r>
        <w:rPr>
          <w:szCs w:val="22"/>
        </w:rPr>
        <w:t>patients would access subsidised concomitant rituximab in these indications.</w:t>
      </w:r>
    </w:p>
    <w:p w:rsidR="00AC60FA" w:rsidRDefault="00AC60FA" w:rsidP="00AC60FA">
      <w:pPr>
        <w:pStyle w:val="ListParagraph"/>
        <w:widowControl/>
        <w:rPr>
          <w:szCs w:val="22"/>
        </w:rPr>
      </w:pPr>
    </w:p>
    <w:p w:rsidR="00BD76AF" w:rsidRPr="00173AE3" w:rsidRDefault="00BD76AF" w:rsidP="00EB1E21">
      <w:pPr>
        <w:pStyle w:val="ListParagraph"/>
        <w:widowControl/>
        <w:numPr>
          <w:ilvl w:val="1"/>
          <w:numId w:val="1"/>
        </w:numPr>
        <w:rPr>
          <w:szCs w:val="22"/>
        </w:rPr>
      </w:pPr>
      <w:r w:rsidRPr="00173AE3">
        <w:rPr>
          <w:szCs w:val="22"/>
        </w:rPr>
        <w:t xml:space="preserve">Bendamustine </w:t>
      </w:r>
      <w:r w:rsidR="000D6212">
        <w:rPr>
          <w:szCs w:val="22"/>
        </w:rPr>
        <w:t>has</w:t>
      </w:r>
      <w:r w:rsidRPr="00173AE3">
        <w:rPr>
          <w:szCs w:val="22"/>
        </w:rPr>
        <w:t xml:space="preserve"> not </w:t>
      </w:r>
      <w:r w:rsidR="000D6212">
        <w:rPr>
          <w:szCs w:val="22"/>
        </w:rPr>
        <w:t>been</w:t>
      </w:r>
      <w:r w:rsidRPr="00173AE3">
        <w:rPr>
          <w:szCs w:val="22"/>
        </w:rPr>
        <w:t xml:space="preserve"> considered by</w:t>
      </w:r>
      <w:r w:rsidR="000D6212">
        <w:rPr>
          <w:szCs w:val="22"/>
        </w:rPr>
        <w:t xml:space="preserve"> the</w:t>
      </w:r>
      <w:r w:rsidRPr="00173AE3">
        <w:rPr>
          <w:szCs w:val="22"/>
        </w:rPr>
        <w:t xml:space="preserve"> PBAC</w:t>
      </w:r>
      <w:r w:rsidR="000D6212">
        <w:rPr>
          <w:szCs w:val="22"/>
        </w:rPr>
        <w:t xml:space="preserve"> before</w:t>
      </w:r>
      <w:r w:rsidRPr="00173AE3">
        <w:rPr>
          <w:szCs w:val="22"/>
        </w:rPr>
        <w:t>.</w:t>
      </w:r>
    </w:p>
    <w:p w:rsidR="00BD76AF" w:rsidRDefault="00BD76AF" w:rsidP="00BD76AF"/>
    <w:p w:rsidR="00171DE9" w:rsidRDefault="00171DE9" w:rsidP="00171DE9">
      <w:pPr>
        <w:pStyle w:val="ListParagraph"/>
        <w:ind w:left="709"/>
        <w:rPr>
          <w:i/>
          <w:szCs w:val="22"/>
        </w:rPr>
      </w:pPr>
      <w:r w:rsidRPr="003F068E">
        <w:rPr>
          <w:i/>
          <w:szCs w:val="22"/>
        </w:rPr>
        <w:t>For more detail on PBAC’s view, see section 7 “PBAC outcome”</w:t>
      </w:r>
    </w:p>
    <w:p w:rsidR="00171DE9" w:rsidRDefault="00171DE9" w:rsidP="00BD76AF"/>
    <w:p w:rsidR="00BB7464" w:rsidRPr="000541F5" w:rsidRDefault="00BB7464" w:rsidP="00BD76AF"/>
    <w:p w:rsidR="00BD76AF" w:rsidRPr="000541F5" w:rsidRDefault="00BD76AF" w:rsidP="00BD76AF">
      <w:pPr>
        <w:pStyle w:val="PBACHeading1"/>
      </w:pPr>
      <w:bookmarkStart w:id="12" w:name="_Toc409442438"/>
      <w:r w:rsidRPr="000541F5">
        <w:t>Clinical place for the proposed therapy</w:t>
      </w:r>
      <w:bookmarkEnd w:id="12"/>
    </w:p>
    <w:p w:rsidR="00BD76AF" w:rsidRPr="000541F5" w:rsidRDefault="00BD76AF" w:rsidP="00BD76AF">
      <w:pPr>
        <w:rPr>
          <w:szCs w:val="22"/>
        </w:rPr>
      </w:pPr>
    </w:p>
    <w:p w:rsidR="00BD76AF" w:rsidRPr="00CF44CF" w:rsidRDefault="00BD76AF" w:rsidP="00EB1E21">
      <w:pPr>
        <w:pStyle w:val="ListParagraph"/>
        <w:widowControl/>
        <w:numPr>
          <w:ilvl w:val="1"/>
          <w:numId w:val="1"/>
        </w:numPr>
        <w:rPr>
          <w:szCs w:val="22"/>
        </w:rPr>
      </w:pPr>
      <w:r w:rsidRPr="00CF44CF">
        <w:t>The submission propose</w:t>
      </w:r>
      <w:r w:rsidR="00B11A76">
        <w:t>d</w:t>
      </w:r>
      <w:r w:rsidRPr="00CF44CF">
        <w:t xml:space="preserve"> a change to the clinical management algorithm as follows: use of bendamustine plus rituximab </w:t>
      </w:r>
      <w:r w:rsidR="00471205">
        <w:t>as</w:t>
      </w:r>
      <w:r w:rsidRPr="00CF44CF">
        <w:t xml:space="preserve"> a first-line treatment</w:t>
      </w:r>
      <w:r w:rsidR="00471205">
        <w:t xml:space="preserve"> in iNHL and MCL</w:t>
      </w:r>
      <w:r w:rsidRPr="00CF44CF">
        <w:t xml:space="preserve">, and use of bendamustine monotherapy </w:t>
      </w:r>
      <w:r w:rsidR="00471205">
        <w:t>as</w:t>
      </w:r>
      <w:r w:rsidRPr="00CF44CF">
        <w:t xml:space="preserve"> </w:t>
      </w:r>
      <w:r w:rsidR="00471205">
        <w:t>a</w:t>
      </w:r>
      <w:r w:rsidRPr="00CF44CF">
        <w:t xml:space="preserve"> last-line </w:t>
      </w:r>
      <w:r w:rsidR="00471205">
        <w:t>treat</w:t>
      </w:r>
      <w:r w:rsidR="003F068E">
        <w:t>ment in patients with rituximab</w:t>
      </w:r>
      <w:r w:rsidR="003F068E">
        <w:noBreakHyphen/>
      </w:r>
      <w:r w:rsidR="00471205">
        <w:t xml:space="preserve">refractory </w:t>
      </w:r>
      <w:r w:rsidR="008A28A7">
        <w:t>iNHL</w:t>
      </w:r>
      <w:r w:rsidR="008A28A7" w:rsidRPr="00CF44CF">
        <w:t xml:space="preserve"> (</w:t>
      </w:r>
      <w:r w:rsidRPr="00CF44CF">
        <w:t>in patients without previous exposure to bendamustine).</w:t>
      </w:r>
    </w:p>
    <w:p w:rsidR="00BD76AF" w:rsidRDefault="00BD76AF" w:rsidP="00BD76AF">
      <w:pPr>
        <w:pStyle w:val="Header"/>
        <w:rPr>
          <w:szCs w:val="22"/>
          <w:highlight w:val="cyan"/>
        </w:rPr>
      </w:pPr>
    </w:p>
    <w:p w:rsidR="00BB7464" w:rsidRDefault="00BB7464">
      <w:pPr>
        <w:widowControl/>
        <w:jc w:val="left"/>
        <w:rPr>
          <w:szCs w:val="22"/>
          <w:highlight w:val="cyan"/>
        </w:rPr>
      </w:pPr>
      <w:r>
        <w:rPr>
          <w:szCs w:val="22"/>
          <w:highlight w:val="cyan"/>
        </w:rPr>
        <w:br w:type="page"/>
      </w:r>
    </w:p>
    <w:p w:rsidR="00BB7464" w:rsidRPr="00173AE3" w:rsidRDefault="00BB7464" w:rsidP="00BD76AF">
      <w:pPr>
        <w:pStyle w:val="Header"/>
        <w:rPr>
          <w:szCs w:val="22"/>
          <w:highlight w:val="cyan"/>
        </w:rPr>
      </w:pPr>
    </w:p>
    <w:p w:rsidR="00BD76AF" w:rsidRPr="001A7C07" w:rsidRDefault="00BD76AF" w:rsidP="00EB1E21">
      <w:pPr>
        <w:pStyle w:val="Header"/>
        <w:widowControl/>
        <w:numPr>
          <w:ilvl w:val="0"/>
          <w:numId w:val="1"/>
        </w:numPr>
        <w:tabs>
          <w:tab w:val="clear" w:pos="4513"/>
          <w:tab w:val="clear" w:pos="9026"/>
        </w:tabs>
        <w:rPr>
          <w:b/>
          <w:szCs w:val="22"/>
        </w:rPr>
      </w:pPr>
      <w:r w:rsidRPr="001A7C07">
        <w:rPr>
          <w:b/>
          <w:szCs w:val="22"/>
        </w:rPr>
        <w:t>Comparator</w:t>
      </w:r>
    </w:p>
    <w:p w:rsidR="00BD76AF" w:rsidRPr="001A7C07" w:rsidRDefault="00BD76AF" w:rsidP="00BD76AF"/>
    <w:p w:rsidR="00BD76AF" w:rsidRPr="000D6212" w:rsidRDefault="000D6212" w:rsidP="00EB1E21">
      <w:pPr>
        <w:pStyle w:val="ListParagraph"/>
        <w:widowControl/>
        <w:numPr>
          <w:ilvl w:val="1"/>
          <w:numId w:val="1"/>
        </w:numPr>
        <w:rPr>
          <w:szCs w:val="22"/>
        </w:rPr>
      </w:pPr>
      <w:r>
        <w:t>In the previously untreated iNHL and MCL settings, t</w:t>
      </w:r>
      <w:r w:rsidR="00BD76AF" w:rsidRPr="001A7C07">
        <w:t xml:space="preserve">he main comparator </w:t>
      </w:r>
      <w:r>
        <w:t>was</w:t>
      </w:r>
      <w:r w:rsidR="00171DE9">
        <w:t xml:space="preserve"> R</w:t>
      </w:r>
      <w:r w:rsidR="00171DE9">
        <w:noBreakHyphen/>
      </w:r>
      <w:r w:rsidR="00BD76AF" w:rsidRPr="001A7C07">
        <w:t>CHOP</w:t>
      </w:r>
      <w:r>
        <w:t>, and th</w:t>
      </w:r>
      <w:r w:rsidR="00D65CCB">
        <w:t xml:space="preserve">e evaluator </w:t>
      </w:r>
      <w:r>
        <w:t xml:space="preserve">considered </w:t>
      </w:r>
      <w:r w:rsidR="00D65CCB">
        <w:t>that this was</w:t>
      </w:r>
      <w:r>
        <w:t xml:space="preserve"> </w:t>
      </w:r>
      <w:r w:rsidR="00BD76AF" w:rsidRPr="00601FCE">
        <w:t>appropriate.</w:t>
      </w:r>
      <w:r w:rsidR="00BD76AF" w:rsidRPr="001A7C07">
        <w:rPr>
          <w:i/>
        </w:rPr>
        <w:t xml:space="preserve">  </w:t>
      </w:r>
    </w:p>
    <w:p w:rsidR="007042B2" w:rsidRDefault="007042B2" w:rsidP="007042B2">
      <w:pPr>
        <w:pStyle w:val="ListParagraph"/>
        <w:widowControl/>
        <w:rPr>
          <w:szCs w:val="22"/>
        </w:rPr>
      </w:pPr>
    </w:p>
    <w:p w:rsidR="000D6212" w:rsidRPr="001A7C07" w:rsidRDefault="000D6212" w:rsidP="00EB1E21">
      <w:pPr>
        <w:pStyle w:val="ListParagraph"/>
        <w:widowControl/>
        <w:numPr>
          <w:ilvl w:val="1"/>
          <w:numId w:val="1"/>
        </w:numPr>
        <w:rPr>
          <w:szCs w:val="22"/>
        </w:rPr>
      </w:pPr>
      <w:r>
        <w:rPr>
          <w:szCs w:val="22"/>
        </w:rPr>
        <w:t>In the rituximab-refractory iNHL setting, the comparator was best supportive care, and th</w:t>
      </w:r>
      <w:r w:rsidR="00D65CCB">
        <w:rPr>
          <w:szCs w:val="22"/>
        </w:rPr>
        <w:t>e evaluator considered that th</w:t>
      </w:r>
      <w:r>
        <w:rPr>
          <w:szCs w:val="22"/>
        </w:rPr>
        <w:t xml:space="preserve">is was appropriate. </w:t>
      </w:r>
    </w:p>
    <w:p w:rsidR="00931A9B" w:rsidRDefault="00931A9B" w:rsidP="00931A9B">
      <w:pPr>
        <w:rPr>
          <w:szCs w:val="22"/>
        </w:rPr>
      </w:pPr>
    </w:p>
    <w:p w:rsidR="00931A9B" w:rsidRPr="00931A9B" w:rsidRDefault="00931A9B" w:rsidP="00931A9B">
      <w:pPr>
        <w:ind w:firstLine="720"/>
        <w:rPr>
          <w:i/>
          <w:szCs w:val="22"/>
        </w:rPr>
      </w:pPr>
      <w:r w:rsidRPr="00931A9B">
        <w:rPr>
          <w:i/>
          <w:szCs w:val="22"/>
        </w:rPr>
        <w:t>For more detail on PBAC’s view, see section 7 “PBAC outcome”</w:t>
      </w:r>
    </w:p>
    <w:p w:rsidR="00BD76AF" w:rsidRDefault="00BD76AF" w:rsidP="00BD76AF">
      <w:pPr>
        <w:pStyle w:val="ListParagraph"/>
        <w:widowControl/>
        <w:rPr>
          <w:szCs w:val="22"/>
        </w:rPr>
      </w:pPr>
    </w:p>
    <w:p w:rsidR="00BB7464" w:rsidRPr="0084718B" w:rsidRDefault="00BB7464" w:rsidP="00BD76AF">
      <w:pPr>
        <w:pStyle w:val="ListParagraph"/>
        <w:widowControl/>
        <w:rPr>
          <w:szCs w:val="22"/>
        </w:rPr>
      </w:pPr>
    </w:p>
    <w:p w:rsidR="00BD76AF" w:rsidRPr="003F068E" w:rsidRDefault="00E271F6" w:rsidP="003F068E">
      <w:pPr>
        <w:pStyle w:val="PBACHeading1"/>
        <w:keepNext/>
        <w:keepLines/>
      </w:pPr>
      <w:bookmarkStart w:id="13" w:name="_Toc409442439"/>
      <w:r>
        <w:t>PBAC c</w:t>
      </w:r>
      <w:r w:rsidR="00BD76AF" w:rsidRPr="003F068E">
        <w:t>onsideration of the evidence</w:t>
      </w:r>
      <w:bookmarkEnd w:id="13"/>
    </w:p>
    <w:p w:rsidR="00BD76AF" w:rsidRPr="003F068E" w:rsidRDefault="00BD76AF" w:rsidP="003F068E">
      <w:pPr>
        <w:keepNext/>
        <w:keepLines/>
      </w:pPr>
    </w:p>
    <w:p w:rsidR="00684F47" w:rsidRPr="004C0A1A" w:rsidRDefault="00684F47" w:rsidP="004C0A1A">
      <w:pPr>
        <w:pStyle w:val="Heading2"/>
      </w:pPr>
      <w:r w:rsidRPr="004C0A1A">
        <w:t>Sponsor hearing</w:t>
      </w:r>
    </w:p>
    <w:p w:rsidR="00684F47" w:rsidRPr="003F068E" w:rsidRDefault="00684F47" w:rsidP="003F068E">
      <w:pPr>
        <w:keepNext/>
        <w:keepLines/>
        <w:rPr>
          <w:szCs w:val="22"/>
        </w:rPr>
      </w:pPr>
    </w:p>
    <w:p w:rsidR="00684F47" w:rsidRPr="003F068E" w:rsidRDefault="00684F47" w:rsidP="00EB1E21">
      <w:pPr>
        <w:pStyle w:val="ListParagraph"/>
        <w:keepNext/>
        <w:keepLines/>
        <w:widowControl/>
        <w:numPr>
          <w:ilvl w:val="1"/>
          <w:numId w:val="1"/>
        </w:numPr>
        <w:rPr>
          <w:szCs w:val="22"/>
        </w:rPr>
      </w:pPr>
      <w:r w:rsidRPr="003F068E">
        <w:rPr>
          <w:szCs w:val="22"/>
        </w:rPr>
        <w:t>There was no hearing for this item</w:t>
      </w:r>
      <w:r w:rsidR="00931A9B" w:rsidRPr="003F068E">
        <w:rPr>
          <w:szCs w:val="22"/>
        </w:rPr>
        <w:t>.</w:t>
      </w:r>
    </w:p>
    <w:p w:rsidR="00684F47" w:rsidRPr="003F068E" w:rsidRDefault="00684F47" w:rsidP="003F068E">
      <w:pPr>
        <w:keepNext/>
        <w:keepLines/>
        <w:widowControl/>
        <w:rPr>
          <w:szCs w:val="22"/>
        </w:rPr>
      </w:pPr>
    </w:p>
    <w:p w:rsidR="00684F47" w:rsidRPr="00780E25" w:rsidRDefault="00684F47" w:rsidP="004C0A1A">
      <w:pPr>
        <w:pStyle w:val="Heading2"/>
      </w:pPr>
      <w:r w:rsidRPr="00780E25">
        <w:t>Consumer comments</w:t>
      </w:r>
    </w:p>
    <w:p w:rsidR="00684F47" w:rsidRPr="00780E25" w:rsidRDefault="00684F47" w:rsidP="00684F47">
      <w:pPr>
        <w:rPr>
          <w:szCs w:val="22"/>
        </w:rPr>
      </w:pPr>
    </w:p>
    <w:p w:rsidR="00684F47" w:rsidRPr="00780E25" w:rsidRDefault="00684F47" w:rsidP="00EB1E21">
      <w:pPr>
        <w:pStyle w:val="ListParagraph"/>
        <w:widowControl/>
        <w:numPr>
          <w:ilvl w:val="1"/>
          <w:numId w:val="1"/>
        </w:numPr>
        <w:rPr>
          <w:szCs w:val="22"/>
        </w:rPr>
      </w:pPr>
      <w:r w:rsidRPr="00780E25">
        <w:rPr>
          <w:szCs w:val="22"/>
        </w:rPr>
        <w:t>The PBAC noted and welcomed the input from individuals (</w:t>
      </w:r>
      <w:r w:rsidR="00171DE9" w:rsidRPr="00780E25">
        <w:rPr>
          <w:szCs w:val="22"/>
        </w:rPr>
        <w:t>10</w:t>
      </w:r>
      <w:r w:rsidRPr="00780E25">
        <w:rPr>
          <w:szCs w:val="22"/>
        </w:rPr>
        <w:t>), health care professionals (</w:t>
      </w:r>
      <w:r w:rsidR="00171DE9" w:rsidRPr="00780E25">
        <w:rPr>
          <w:szCs w:val="22"/>
        </w:rPr>
        <w:t>3</w:t>
      </w:r>
      <w:r w:rsidRPr="00780E25">
        <w:rPr>
          <w:szCs w:val="22"/>
        </w:rPr>
        <w:t>) and organisations (</w:t>
      </w:r>
      <w:r w:rsidR="00171DE9" w:rsidRPr="00780E25">
        <w:rPr>
          <w:szCs w:val="22"/>
        </w:rPr>
        <w:t>2</w:t>
      </w:r>
      <w:r w:rsidRPr="00780E25">
        <w:rPr>
          <w:szCs w:val="22"/>
        </w:rPr>
        <w:t xml:space="preserve">) via the Consumer Comments facility on the PBS website relating to </w:t>
      </w:r>
      <w:r w:rsidR="00171DE9" w:rsidRPr="00780E25">
        <w:rPr>
          <w:szCs w:val="22"/>
        </w:rPr>
        <w:t>bendamustine</w:t>
      </w:r>
      <w:r w:rsidRPr="00780E25">
        <w:rPr>
          <w:szCs w:val="22"/>
        </w:rPr>
        <w:t xml:space="preserve">. The comments described a range of benefits of treatment with </w:t>
      </w:r>
      <w:r w:rsidR="00171DE9" w:rsidRPr="00780E25">
        <w:rPr>
          <w:szCs w:val="22"/>
        </w:rPr>
        <w:t>bendamustine</w:t>
      </w:r>
      <w:r w:rsidRPr="00780E25">
        <w:rPr>
          <w:szCs w:val="22"/>
        </w:rPr>
        <w:t xml:space="preserve"> including</w:t>
      </w:r>
      <w:r w:rsidR="00171DE9" w:rsidRPr="00780E25">
        <w:rPr>
          <w:szCs w:val="22"/>
        </w:rPr>
        <w:t xml:space="preserve"> the potential for patients to lead a normal life during remission and</w:t>
      </w:r>
      <w:r w:rsidRPr="00780E25">
        <w:rPr>
          <w:szCs w:val="22"/>
        </w:rPr>
        <w:t xml:space="preserve"> the</w:t>
      </w:r>
      <w:r w:rsidR="00171DE9" w:rsidRPr="00780E25">
        <w:rPr>
          <w:szCs w:val="22"/>
        </w:rPr>
        <w:t xml:space="preserve"> favourable adverse event profile noting that the adverse effects of R-CHOP can be debilitating.</w:t>
      </w:r>
      <w:r w:rsidRPr="00780E25">
        <w:rPr>
          <w:szCs w:val="22"/>
        </w:rPr>
        <w:t xml:space="preserve"> </w:t>
      </w:r>
    </w:p>
    <w:p w:rsidR="008A4B7A" w:rsidRPr="00780E25" w:rsidRDefault="008A4B7A" w:rsidP="008A4B7A">
      <w:pPr>
        <w:pStyle w:val="ListParagraph"/>
        <w:widowControl/>
        <w:rPr>
          <w:szCs w:val="22"/>
        </w:rPr>
      </w:pPr>
    </w:p>
    <w:p w:rsidR="008A4B7A" w:rsidRPr="00780E25" w:rsidRDefault="008A4B7A" w:rsidP="00EB1E21">
      <w:pPr>
        <w:pStyle w:val="ListParagraph"/>
        <w:widowControl/>
        <w:numPr>
          <w:ilvl w:val="1"/>
          <w:numId w:val="1"/>
        </w:numPr>
        <w:rPr>
          <w:szCs w:val="22"/>
        </w:rPr>
      </w:pPr>
      <w:r w:rsidRPr="00780E25">
        <w:rPr>
          <w:szCs w:val="22"/>
        </w:rPr>
        <w:t xml:space="preserve">Representatives of the PBAC met with Lymphoma Australia prior to the PBAC meeting, and reported the following key points to the PBAC in relation to the agenda items for CLL and indolent NHL:  </w:t>
      </w:r>
    </w:p>
    <w:p w:rsidR="008A4B7A" w:rsidRPr="00780E25" w:rsidRDefault="008A4B7A" w:rsidP="008A4B7A">
      <w:pPr>
        <w:pStyle w:val="ListParagraph"/>
        <w:rPr>
          <w:szCs w:val="22"/>
        </w:rPr>
      </w:pPr>
    </w:p>
    <w:p w:rsidR="008A4B7A" w:rsidRPr="00780E25" w:rsidRDefault="008A4B7A" w:rsidP="00EB1E21">
      <w:pPr>
        <w:pStyle w:val="ListParagraph"/>
        <w:widowControl/>
        <w:numPr>
          <w:ilvl w:val="0"/>
          <w:numId w:val="10"/>
        </w:numPr>
        <w:rPr>
          <w:szCs w:val="22"/>
        </w:rPr>
      </w:pPr>
      <w:r w:rsidRPr="00780E25">
        <w:rPr>
          <w:szCs w:val="22"/>
        </w:rPr>
        <w:t>Consumers place high importance on having access to the best available treatments. Where cure is not possible, the eventual goal would be to enable indolent lymphomas and CLL to be treated as chronic diseases. Ultimately patients may die of conditions unrelated to their lymphoma.</w:t>
      </w:r>
    </w:p>
    <w:p w:rsidR="00331E1B" w:rsidRPr="00780E25" w:rsidRDefault="00331E1B" w:rsidP="00331E1B">
      <w:pPr>
        <w:pStyle w:val="ListParagraph"/>
        <w:widowControl/>
        <w:ind w:left="1080"/>
        <w:rPr>
          <w:szCs w:val="22"/>
        </w:rPr>
      </w:pPr>
    </w:p>
    <w:p w:rsidR="008A4B7A" w:rsidRPr="00780E25" w:rsidRDefault="008A4B7A" w:rsidP="00EB1E21">
      <w:pPr>
        <w:pStyle w:val="ListParagraph"/>
        <w:widowControl/>
        <w:numPr>
          <w:ilvl w:val="0"/>
          <w:numId w:val="10"/>
        </w:numPr>
        <w:rPr>
          <w:szCs w:val="22"/>
        </w:rPr>
      </w:pPr>
      <w:r w:rsidRPr="00780E25">
        <w:rPr>
          <w:szCs w:val="22"/>
        </w:rPr>
        <w:t xml:space="preserve">Patients may relapse multiple times in the course of the disease, and will be treated on relapse. As PBS subsidy may influence the choice of treatment, subsidising the most clinically effective treatments is critical to ensure the best value for the taxpayer. </w:t>
      </w:r>
    </w:p>
    <w:p w:rsidR="008A4B7A" w:rsidRPr="00780E25" w:rsidRDefault="008A4B7A" w:rsidP="008A4B7A">
      <w:pPr>
        <w:pStyle w:val="ListParagraph"/>
        <w:widowControl/>
        <w:rPr>
          <w:szCs w:val="22"/>
        </w:rPr>
      </w:pPr>
    </w:p>
    <w:p w:rsidR="008A4B7A" w:rsidRPr="00780E25" w:rsidRDefault="008A4B7A" w:rsidP="00EB1E21">
      <w:pPr>
        <w:pStyle w:val="ListParagraph"/>
        <w:widowControl/>
        <w:numPr>
          <w:ilvl w:val="0"/>
          <w:numId w:val="10"/>
        </w:numPr>
        <w:rPr>
          <w:szCs w:val="22"/>
        </w:rPr>
      </w:pPr>
      <w:r w:rsidRPr="00780E25">
        <w:rPr>
          <w:szCs w:val="22"/>
        </w:rPr>
        <w:t>Patients may be diagnosed at a young age and live for years after diagnosis, and therefore place a high value on PFS. Patients who are well during the progression free period can resume day-to day functions including participating in the workforce and family life. In this context, the decision for the patient rests on a balance of the PFS gained against the quality of life impacts of drug toxicity. The psychological impact of patients’ fear of relapse can have a highly detrimental effect on their quality of life.</w:t>
      </w:r>
    </w:p>
    <w:p w:rsidR="00331E1B" w:rsidRPr="00780E25" w:rsidRDefault="00331E1B" w:rsidP="00331E1B">
      <w:pPr>
        <w:pStyle w:val="ListParagraph"/>
        <w:rPr>
          <w:szCs w:val="22"/>
        </w:rPr>
      </w:pPr>
    </w:p>
    <w:p w:rsidR="00331E1B" w:rsidRPr="00780E25" w:rsidRDefault="00331E1B" w:rsidP="00EB1E21">
      <w:pPr>
        <w:pStyle w:val="ListParagraph"/>
        <w:widowControl/>
        <w:numPr>
          <w:ilvl w:val="0"/>
          <w:numId w:val="10"/>
        </w:numPr>
        <w:rPr>
          <w:szCs w:val="22"/>
        </w:rPr>
      </w:pPr>
      <w:r w:rsidRPr="00780E25">
        <w:rPr>
          <w:szCs w:val="22"/>
        </w:rPr>
        <w:lastRenderedPageBreak/>
        <w:t xml:space="preserve">With regard to bendamustine, </w:t>
      </w:r>
      <w:r w:rsidR="0096324E" w:rsidRPr="00780E25">
        <w:rPr>
          <w:szCs w:val="22"/>
        </w:rPr>
        <w:t>Lymphoma Australia</w:t>
      </w:r>
      <w:r w:rsidRPr="00780E25">
        <w:rPr>
          <w:szCs w:val="22"/>
        </w:rPr>
        <w:t xml:space="preserve"> noted that bendamustine has been available overseas for many years</w:t>
      </w:r>
      <w:r w:rsidR="00A255D9" w:rsidRPr="00780E25">
        <w:rPr>
          <w:szCs w:val="22"/>
        </w:rPr>
        <w:t>, but noted that this was the first application for PBAC consideration of the drug in Australia</w:t>
      </w:r>
      <w:r w:rsidRPr="00780E25">
        <w:rPr>
          <w:szCs w:val="22"/>
        </w:rPr>
        <w:t>.</w:t>
      </w:r>
    </w:p>
    <w:p w:rsidR="008A4B7A" w:rsidRPr="00780E25" w:rsidRDefault="008A4B7A" w:rsidP="00331E1B">
      <w:pPr>
        <w:pStyle w:val="ListParagraph"/>
        <w:widowControl/>
        <w:rPr>
          <w:szCs w:val="22"/>
        </w:rPr>
      </w:pPr>
    </w:p>
    <w:p w:rsidR="008A4B7A" w:rsidRPr="00780E25" w:rsidRDefault="008A4B7A" w:rsidP="00EB1E21">
      <w:pPr>
        <w:pStyle w:val="ListParagraph"/>
        <w:widowControl/>
        <w:numPr>
          <w:ilvl w:val="1"/>
          <w:numId w:val="1"/>
        </w:numPr>
        <w:rPr>
          <w:szCs w:val="22"/>
        </w:rPr>
      </w:pPr>
      <w:r w:rsidRPr="00780E25">
        <w:rPr>
          <w:szCs w:val="22"/>
        </w:rPr>
        <w:t>The PBAC noted and welcomed this input. PBAC recognises that a drug may be useful even when it does not provide a survival advantage, but does provide quality of life benefits. In terms of using PFS to value the benefits of a drug, PBAC recalled that some of the most informative submissions seen to date have presented economic models that incorporate the impacts on quality of life when patients are in a PFS state, capturing the fact that PFS is not a homogenous state. It was noted that exploring how patients could provide more input to rigorous measurement of Quality of Life would be valuable in future consumer submissions.</w:t>
      </w:r>
    </w:p>
    <w:p w:rsidR="008A4B7A" w:rsidRPr="00780E25" w:rsidRDefault="008A4B7A" w:rsidP="00A255D9">
      <w:pPr>
        <w:pStyle w:val="ListParagraph"/>
        <w:widowControl/>
        <w:rPr>
          <w:szCs w:val="22"/>
        </w:rPr>
      </w:pPr>
    </w:p>
    <w:p w:rsidR="00684F47" w:rsidRPr="00171DE9" w:rsidRDefault="00684F47" w:rsidP="00684F47">
      <w:pPr>
        <w:widowControl/>
        <w:rPr>
          <w:szCs w:val="22"/>
        </w:rPr>
      </w:pPr>
    </w:p>
    <w:p w:rsidR="00684F47" w:rsidRDefault="00684F47" w:rsidP="00684F47">
      <w:pPr>
        <w:pStyle w:val="ListParagraph"/>
        <w:ind w:left="709"/>
        <w:rPr>
          <w:i/>
          <w:szCs w:val="22"/>
        </w:rPr>
      </w:pPr>
      <w:r w:rsidRPr="00171DE9">
        <w:rPr>
          <w:i/>
          <w:szCs w:val="22"/>
        </w:rPr>
        <w:t>For more detail on PBAC’s view, see section 7 “PBAC outcome</w:t>
      </w:r>
      <w:r>
        <w:rPr>
          <w:i/>
          <w:szCs w:val="22"/>
        </w:rPr>
        <w:t>”</w:t>
      </w:r>
    </w:p>
    <w:p w:rsidR="00684F47" w:rsidRPr="00885FA3" w:rsidRDefault="00684F47" w:rsidP="004C0A1A">
      <w:pPr>
        <w:pStyle w:val="Heading2"/>
      </w:pPr>
    </w:p>
    <w:p w:rsidR="00BD76AF" w:rsidRPr="00601FCE" w:rsidRDefault="00BD76AF" w:rsidP="004C0A1A">
      <w:pPr>
        <w:pStyle w:val="Heading2"/>
      </w:pPr>
      <w:bookmarkStart w:id="14" w:name="_Toc409442440"/>
      <w:r w:rsidRPr="00601FCE">
        <w:t>Clinical trials</w:t>
      </w:r>
      <w:bookmarkEnd w:id="14"/>
    </w:p>
    <w:p w:rsidR="00BD76AF" w:rsidRPr="0084718B" w:rsidRDefault="00BD76AF" w:rsidP="00BD76AF">
      <w:pPr>
        <w:rPr>
          <w:szCs w:val="22"/>
        </w:rPr>
      </w:pPr>
    </w:p>
    <w:p w:rsidR="0054414B" w:rsidRPr="0054414B" w:rsidRDefault="004E189C" w:rsidP="00EB1E21">
      <w:pPr>
        <w:pStyle w:val="ListParagraph"/>
        <w:widowControl/>
        <w:numPr>
          <w:ilvl w:val="1"/>
          <w:numId w:val="1"/>
        </w:numPr>
        <w:rPr>
          <w:i/>
        </w:rPr>
      </w:pPr>
      <w:r>
        <w:t>F</w:t>
      </w:r>
      <w:r w:rsidRPr="0084718B">
        <w:t>or previously untreated iNHL and MCL patients</w:t>
      </w:r>
      <w:r>
        <w:t xml:space="preserve">: </w:t>
      </w:r>
      <w:r w:rsidR="00BD76AF" w:rsidRPr="0084718B">
        <w:t xml:space="preserve">The submission </w:t>
      </w:r>
      <w:r w:rsidR="00471205">
        <w:t>wa</w:t>
      </w:r>
      <w:r w:rsidR="00BD76AF" w:rsidRPr="0084718B">
        <w:t>s based on two head-to-head trials</w:t>
      </w:r>
      <w:r w:rsidR="0054414B">
        <w:t>:</w:t>
      </w:r>
    </w:p>
    <w:p w:rsidR="0054414B" w:rsidRPr="0054414B" w:rsidRDefault="0054414B" w:rsidP="00EB1E21">
      <w:pPr>
        <w:pStyle w:val="ListParagraph"/>
        <w:widowControl/>
        <w:numPr>
          <w:ilvl w:val="0"/>
          <w:numId w:val="7"/>
        </w:numPr>
        <w:rPr>
          <w:i/>
        </w:rPr>
      </w:pPr>
      <w:r>
        <w:t xml:space="preserve">the </w:t>
      </w:r>
      <w:proofErr w:type="spellStart"/>
      <w:r>
        <w:t>StiL</w:t>
      </w:r>
      <w:proofErr w:type="spellEnd"/>
      <w:r>
        <w:t xml:space="preserve"> trial (</w:t>
      </w:r>
      <w:r w:rsidR="009815EC">
        <w:t>N</w:t>
      </w:r>
      <w:r>
        <w:t xml:space="preserve">=514) that compared </w:t>
      </w:r>
      <w:proofErr w:type="spellStart"/>
      <w:r>
        <w:t>bendamutine</w:t>
      </w:r>
      <w:proofErr w:type="spellEnd"/>
      <w:r>
        <w:t xml:space="preserve"> plus rituximab (B-R) </w:t>
      </w:r>
      <w:r w:rsidR="00BD76AF" w:rsidRPr="0084718B">
        <w:t>to R</w:t>
      </w:r>
      <w:r w:rsidR="007B2626">
        <w:noBreakHyphen/>
      </w:r>
      <w:r w:rsidR="00BD76AF" w:rsidRPr="0084718B">
        <w:t>CHOP</w:t>
      </w:r>
      <w:r>
        <w:t>,</w:t>
      </w:r>
      <w:r w:rsidR="00BD76AF" w:rsidRPr="0084718B">
        <w:t xml:space="preserve"> and </w:t>
      </w:r>
    </w:p>
    <w:p w:rsidR="0054414B" w:rsidRPr="0054414B" w:rsidRDefault="0054414B" w:rsidP="00EB1E21">
      <w:pPr>
        <w:pStyle w:val="ListParagraph"/>
        <w:widowControl/>
        <w:numPr>
          <w:ilvl w:val="0"/>
          <w:numId w:val="7"/>
        </w:numPr>
        <w:rPr>
          <w:i/>
        </w:rPr>
      </w:pPr>
      <w:proofErr w:type="gramStart"/>
      <w:r>
        <w:t>the</w:t>
      </w:r>
      <w:proofErr w:type="gramEnd"/>
      <w:r>
        <w:t xml:space="preserve"> </w:t>
      </w:r>
      <w:r w:rsidR="00BD76AF" w:rsidRPr="0084718B">
        <w:t xml:space="preserve">BRIGHT </w:t>
      </w:r>
      <w:r>
        <w:t xml:space="preserve">trial </w:t>
      </w:r>
      <w:r w:rsidR="00BD76AF" w:rsidRPr="0084718B">
        <w:t>(</w:t>
      </w:r>
      <w:r w:rsidR="009815EC">
        <w:t>N</w:t>
      </w:r>
      <w:r w:rsidR="00BD76AF" w:rsidRPr="0084718B">
        <w:t xml:space="preserve">=447) </w:t>
      </w:r>
      <w:r>
        <w:t xml:space="preserve">that compared B-R to either R-CHOP or R-CVP. </w:t>
      </w:r>
      <w:r w:rsidR="005939C7">
        <w:t xml:space="preserve"> </w:t>
      </w:r>
      <w:r w:rsidR="005669A7">
        <w:t>This trial is on-going.</w:t>
      </w:r>
    </w:p>
    <w:p w:rsidR="003F068E" w:rsidRDefault="003F068E" w:rsidP="0054414B">
      <w:pPr>
        <w:widowControl/>
        <w:ind w:left="720"/>
      </w:pPr>
    </w:p>
    <w:p w:rsidR="00BD76AF" w:rsidRPr="0054414B" w:rsidRDefault="005939C7" w:rsidP="0054414B">
      <w:pPr>
        <w:widowControl/>
        <w:ind w:left="720"/>
        <w:rPr>
          <w:i/>
        </w:rPr>
      </w:pPr>
      <w:r>
        <w:t xml:space="preserve">The data from </w:t>
      </w:r>
      <w:proofErr w:type="spellStart"/>
      <w:r>
        <w:t>StiL</w:t>
      </w:r>
      <w:proofErr w:type="spellEnd"/>
      <w:r>
        <w:t xml:space="preserve"> were used to inform the economic evaluation, while t</w:t>
      </w:r>
      <w:r w:rsidR="007B1F21" w:rsidRPr="007E376A">
        <w:t>he data from BRIGHT w</w:t>
      </w:r>
      <w:r w:rsidR="003C4AB0" w:rsidRPr="007E376A">
        <w:t>ere</w:t>
      </w:r>
      <w:r w:rsidR="007B1F21" w:rsidRPr="007E376A">
        <w:t xml:space="preserve"> </w:t>
      </w:r>
      <w:r w:rsidR="0054414B" w:rsidRPr="0054414B">
        <w:t>not used directly to inform the economic model</w:t>
      </w:r>
      <w:r w:rsidR="0054414B">
        <w:t>, but were</w:t>
      </w:r>
      <w:r w:rsidR="0054414B" w:rsidRPr="0054414B">
        <w:t xml:space="preserve"> </w:t>
      </w:r>
      <w:r w:rsidR="007B1F21" w:rsidRPr="007E376A">
        <w:t>used as supportive evid</w:t>
      </w:r>
      <w:r w:rsidR="005B19E6" w:rsidRPr="007E376A">
        <w:t>ence and in sensitivity analyses</w:t>
      </w:r>
      <w:r w:rsidR="005024B4" w:rsidRPr="007E376A">
        <w:t>.</w:t>
      </w:r>
      <w:r w:rsidR="005024B4" w:rsidRPr="0054414B">
        <w:rPr>
          <w:i/>
        </w:rPr>
        <w:t xml:space="preserve"> </w:t>
      </w:r>
    </w:p>
    <w:p w:rsidR="00BD76AF" w:rsidRPr="0084718B" w:rsidRDefault="00BD76AF" w:rsidP="00BD76AF">
      <w:pPr>
        <w:pStyle w:val="ListParagraph"/>
        <w:widowControl/>
      </w:pPr>
    </w:p>
    <w:p w:rsidR="00BD76AF" w:rsidRPr="0084718B" w:rsidRDefault="004E189C" w:rsidP="00EB1E21">
      <w:pPr>
        <w:pStyle w:val="ListParagraph"/>
        <w:widowControl/>
        <w:numPr>
          <w:ilvl w:val="0"/>
          <w:numId w:val="4"/>
        </w:numPr>
      </w:pPr>
      <w:r>
        <w:t xml:space="preserve">For rituximab-refractory patients: </w:t>
      </w:r>
      <w:r w:rsidR="00BD76AF" w:rsidRPr="0084718B">
        <w:t xml:space="preserve">The submission </w:t>
      </w:r>
      <w:r w:rsidRPr="0084718B">
        <w:t>present</w:t>
      </w:r>
      <w:r>
        <w:t>ed</w:t>
      </w:r>
      <w:r w:rsidRPr="0084718B">
        <w:t xml:space="preserve"> </w:t>
      </w:r>
      <w:r w:rsidR="00BD76AF" w:rsidRPr="0084718B">
        <w:t xml:space="preserve">two </w:t>
      </w:r>
      <w:r w:rsidR="006C1462">
        <w:t xml:space="preserve">small </w:t>
      </w:r>
      <w:r w:rsidR="00BD76AF" w:rsidRPr="0084718B">
        <w:t xml:space="preserve">single-arm </w:t>
      </w:r>
      <w:r w:rsidR="005939C7">
        <w:t>studies of bendamustine monotherapy in patients with rituximab-refractory iNHL</w:t>
      </w:r>
      <w:r w:rsidR="00245D5A">
        <w:t>:</w:t>
      </w:r>
      <w:r w:rsidR="00BD76AF" w:rsidRPr="0084718B">
        <w:t xml:space="preserve"> SDX</w:t>
      </w:r>
      <w:r w:rsidR="0054414B">
        <w:noBreakHyphen/>
      </w:r>
      <w:r w:rsidR="00BD76AF">
        <w:t>105</w:t>
      </w:r>
      <w:r w:rsidR="0054414B">
        <w:noBreakHyphen/>
      </w:r>
      <w:r w:rsidR="00BD76AF" w:rsidRPr="0084718B">
        <w:t>03 trial (</w:t>
      </w:r>
      <w:r w:rsidR="009815EC">
        <w:t>N</w:t>
      </w:r>
      <w:r w:rsidR="00BD76AF" w:rsidRPr="0084718B">
        <w:t>=100) and SDX-</w:t>
      </w:r>
      <w:r w:rsidR="00BD76AF">
        <w:t>105-</w:t>
      </w:r>
      <w:r w:rsidR="00BD76AF" w:rsidRPr="0084718B">
        <w:t>01 trial (</w:t>
      </w:r>
      <w:r w:rsidR="009815EC">
        <w:t>N</w:t>
      </w:r>
      <w:r w:rsidR="00BD76AF" w:rsidRPr="0084718B">
        <w:t>=76).</w:t>
      </w:r>
      <w:r w:rsidR="007B1F21">
        <w:t xml:space="preserve"> </w:t>
      </w:r>
      <w:r w:rsidR="006C1462">
        <w:rPr>
          <w:lang w:eastAsia="en-AU"/>
        </w:rPr>
        <w:t>N</w:t>
      </w:r>
      <w:r w:rsidR="006C1462" w:rsidRPr="004805B8">
        <w:rPr>
          <w:lang w:eastAsia="en-AU"/>
        </w:rPr>
        <w:t xml:space="preserve">o comparative evidence was provided. </w:t>
      </w:r>
      <w:r w:rsidR="006C1462">
        <w:rPr>
          <w:lang w:eastAsia="en-AU"/>
        </w:rPr>
        <w:t>T</w:t>
      </w:r>
      <w:r w:rsidR="006C1462" w:rsidRPr="004805B8">
        <w:rPr>
          <w:lang w:eastAsia="en-AU"/>
        </w:rPr>
        <w:t>he</w:t>
      </w:r>
      <w:r w:rsidR="006C1462">
        <w:rPr>
          <w:lang w:eastAsia="en-AU"/>
        </w:rPr>
        <w:t xml:space="preserve"> ESC noted that the</w:t>
      </w:r>
      <w:r w:rsidR="006C1462" w:rsidRPr="004805B8">
        <w:rPr>
          <w:lang w:eastAsia="en-AU"/>
        </w:rPr>
        <w:t xml:space="preserve">re is currently an ongoing </w:t>
      </w:r>
      <w:r w:rsidR="006C1462">
        <w:rPr>
          <w:lang w:eastAsia="en-AU"/>
        </w:rPr>
        <w:t xml:space="preserve">randomised, controlled trial </w:t>
      </w:r>
      <w:r w:rsidR="006C1462" w:rsidRPr="004805B8">
        <w:rPr>
          <w:lang w:eastAsia="en-AU"/>
        </w:rPr>
        <w:t>in the rituximab-refractory iNHL patient population, with bendamustine intervention compared to treatment of physician’s choice</w:t>
      </w:r>
      <w:r w:rsidR="006C1462">
        <w:rPr>
          <w:lang w:eastAsia="en-AU"/>
        </w:rPr>
        <w:t xml:space="preserve">. </w:t>
      </w:r>
      <w:r w:rsidR="00BD76AF" w:rsidRPr="007E376A">
        <w:t xml:space="preserve">The submission did not present an economic model for rituximab-refractory iNHL. </w:t>
      </w:r>
    </w:p>
    <w:p w:rsidR="00BD76AF" w:rsidRPr="005D28AF" w:rsidRDefault="00BD76AF" w:rsidP="00BD76AF">
      <w:pPr>
        <w:widowControl/>
        <w:rPr>
          <w:szCs w:val="22"/>
        </w:rPr>
      </w:pPr>
    </w:p>
    <w:p w:rsidR="00BD76AF" w:rsidRPr="00F029B6" w:rsidRDefault="00BD76AF" w:rsidP="00EB1E21">
      <w:pPr>
        <w:pStyle w:val="ListParagraph"/>
        <w:widowControl/>
        <w:numPr>
          <w:ilvl w:val="1"/>
          <w:numId w:val="1"/>
        </w:numPr>
      </w:pPr>
      <w:r w:rsidRPr="00824CD8">
        <w:rPr>
          <w:szCs w:val="22"/>
        </w:rPr>
        <w:t xml:space="preserve">Details of the trials presented in the submission are provided in the table below. </w:t>
      </w:r>
    </w:p>
    <w:p w:rsidR="00471205" w:rsidRDefault="00471205" w:rsidP="00471205">
      <w:pPr>
        <w:keepNext/>
        <w:keepLines/>
        <w:ind w:left="720"/>
        <w:rPr>
          <w:rStyle w:val="CommentReference"/>
        </w:rPr>
      </w:pPr>
    </w:p>
    <w:p w:rsidR="00BD76AF" w:rsidRPr="00F029B6" w:rsidRDefault="00BD76AF" w:rsidP="0054414B">
      <w:pPr>
        <w:keepNext/>
        <w:keepLines/>
        <w:ind w:firstLine="720"/>
        <w:rPr>
          <w:rStyle w:val="CommentReference"/>
        </w:rPr>
      </w:pPr>
      <w:r w:rsidRPr="00F029B6">
        <w:rPr>
          <w:rStyle w:val="CommentReference"/>
        </w:rPr>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and associated reports presented in the submission"/>
      </w:tblPr>
      <w:tblGrid>
        <w:gridCol w:w="1355"/>
        <w:gridCol w:w="4852"/>
        <w:gridCol w:w="2138"/>
      </w:tblGrid>
      <w:tr w:rsidR="00BD76AF" w:rsidRPr="001E1D06" w:rsidTr="00BD76AF">
        <w:tc>
          <w:tcPr>
            <w:tcW w:w="812" w:type="pct"/>
          </w:tcPr>
          <w:p w:rsidR="00BD76AF" w:rsidRPr="001E1D06" w:rsidRDefault="00BD76AF" w:rsidP="00550753">
            <w:pPr>
              <w:keepNext/>
              <w:keepLines/>
              <w:jc w:val="left"/>
              <w:rPr>
                <w:rFonts w:ascii="Arial Narrow" w:hAnsi="Arial Narrow"/>
                <w:b/>
                <w:sz w:val="20"/>
              </w:rPr>
            </w:pPr>
            <w:r w:rsidRPr="001E1D06">
              <w:rPr>
                <w:rFonts w:ascii="Arial Narrow" w:hAnsi="Arial Narrow"/>
                <w:b/>
                <w:sz w:val="20"/>
              </w:rPr>
              <w:t>Trial ID</w:t>
            </w:r>
          </w:p>
        </w:tc>
        <w:tc>
          <w:tcPr>
            <w:tcW w:w="2907" w:type="pct"/>
          </w:tcPr>
          <w:p w:rsidR="00BD76AF" w:rsidRPr="001E1D06" w:rsidRDefault="00BD76AF" w:rsidP="00550753">
            <w:pPr>
              <w:keepNext/>
              <w:keepLines/>
              <w:jc w:val="left"/>
              <w:rPr>
                <w:rFonts w:ascii="Arial Narrow" w:hAnsi="Arial Narrow"/>
                <w:b/>
                <w:sz w:val="20"/>
              </w:rPr>
            </w:pPr>
            <w:r w:rsidRPr="001E1D06">
              <w:rPr>
                <w:rFonts w:ascii="Arial Narrow" w:hAnsi="Arial Narrow"/>
                <w:b/>
                <w:sz w:val="20"/>
              </w:rPr>
              <w:t>Protocol title/ Publication title</w:t>
            </w:r>
          </w:p>
        </w:tc>
        <w:tc>
          <w:tcPr>
            <w:tcW w:w="1281" w:type="pct"/>
          </w:tcPr>
          <w:p w:rsidR="00BD76AF" w:rsidRPr="001E1D06" w:rsidRDefault="00BD76AF" w:rsidP="00550753">
            <w:pPr>
              <w:keepNext/>
              <w:keepLines/>
              <w:jc w:val="left"/>
              <w:rPr>
                <w:rFonts w:ascii="Arial Narrow" w:hAnsi="Arial Narrow"/>
                <w:b/>
                <w:sz w:val="20"/>
              </w:rPr>
            </w:pPr>
            <w:r w:rsidRPr="001E1D06">
              <w:rPr>
                <w:rFonts w:ascii="Arial Narrow" w:hAnsi="Arial Narrow"/>
                <w:b/>
                <w:sz w:val="20"/>
              </w:rPr>
              <w:t>Publication citation</w:t>
            </w:r>
          </w:p>
        </w:tc>
      </w:tr>
      <w:tr w:rsidR="00BD76AF" w:rsidRPr="001E1D06" w:rsidTr="00BD76AF">
        <w:tc>
          <w:tcPr>
            <w:tcW w:w="5000" w:type="pct"/>
            <w:gridSpan w:val="3"/>
          </w:tcPr>
          <w:p w:rsidR="00BD76AF" w:rsidRPr="001E1D06" w:rsidRDefault="00BD76AF" w:rsidP="00550753">
            <w:pPr>
              <w:keepNext/>
              <w:keepLines/>
              <w:jc w:val="left"/>
              <w:rPr>
                <w:rFonts w:ascii="Arial Narrow" w:hAnsi="Arial Narrow"/>
                <w:b/>
                <w:sz w:val="20"/>
              </w:rPr>
            </w:pPr>
            <w:r w:rsidRPr="001E1D06">
              <w:rPr>
                <w:rFonts w:ascii="Arial Narrow" w:hAnsi="Arial Narrow"/>
                <w:b/>
                <w:sz w:val="20"/>
              </w:rPr>
              <w:t>Previously untreated iNHL and MCL</w:t>
            </w:r>
          </w:p>
        </w:tc>
      </w:tr>
      <w:tr w:rsidR="00BD76AF" w:rsidRPr="001E1D06" w:rsidTr="00BD76AF">
        <w:tc>
          <w:tcPr>
            <w:tcW w:w="5000" w:type="pct"/>
            <w:gridSpan w:val="3"/>
          </w:tcPr>
          <w:p w:rsidR="00BD76AF" w:rsidRPr="001E1D06" w:rsidRDefault="00BD76AF" w:rsidP="00550753">
            <w:pPr>
              <w:keepNext/>
              <w:keepLines/>
              <w:jc w:val="left"/>
              <w:rPr>
                <w:rFonts w:ascii="Arial Narrow" w:hAnsi="Arial Narrow"/>
                <w:b/>
                <w:sz w:val="20"/>
              </w:rPr>
            </w:pPr>
            <w:r w:rsidRPr="001E1D06">
              <w:rPr>
                <w:rFonts w:ascii="Arial Narrow" w:hAnsi="Arial Narrow"/>
                <w:b/>
                <w:sz w:val="20"/>
              </w:rPr>
              <w:t>Direct randomised trial</w:t>
            </w:r>
            <w:r>
              <w:rPr>
                <w:rFonts w:ascii="Arial Narrow" w:hAnsi="Arial Narrow"/>
                <w:b/>
                <w:sz w:val="20"/>
              </w:rPr>
              <w:t>s</w:t>
            </w:r>
          </w:p>
        </w:tc>
      </w:tr>
      <w:tr w:rsidR="00BD76AF" w:rsidRPr="001E1D06" w:rsidTr="00BD76AF">
        <w:tc>
          <w:tcPr>
            <w:tcW w:w="812" w:type="pct"/>
          </w:tcPr>
          <w:p w:rsidR="00BD76AF" w:rsidRPr="001E1D06" w:rsidRDefault="00BD76AF" w:rsidP="00550753">
            <w:pPr>
              <w:keepNext/>
              <w:keepLines/>
              <w:jc w:val="left"/>
              <w:rPr>
                <w:rFonts w:ascii="Arial Narrow" w:hAnsi="Arial Narrow"/>
                <w:sz w:val="20"/>
              </w:rPr>
            </w:pPr>
            <w:proofErr w:type="spellStart"/>
            <w:r w:rsidRPr="001E1D06">
              <w:rPr>
                <w:rFonts w:ascii="Arial Narrow" w:hAnsi="Arial Narrow"/>
                <w:sz w:val="20"/>
              </w:rPr>
              <w:t>StiL</w:t>
            </w:r>
            <w:proofErr w:type="spellEnd"/>
            <w:r w:rsidRPr="001E1D06">
              <w:rPr>
                <w:rFonts w:ascii="Arial Narrow" w:hAnsi="Arial Narrow"/>
                <w:sz w:val="20"/>
              </w:rPr>
              <w:t xml:space="preserve"> (NHL 1- 2003)</w:t>
            </w:r>
            <w:r w:rsidRPr="001E1D06">
              <w:rPr>
                <w:rFonts w:ascii="Arial Narrow" w:hAnsi="Arial Narrow"/>
                <w:sz w:val="20"/>
              </w:rPr>
              <w:br/>
              <w:t>NCT00991211</w:t>
            </w:r>
          </w:p>
        </w:tc>
        <w:tc>
          <w:tcPr>
            <w:tcW w:w="2907" w:type="pct"/>
          </w:tcPr>
          <w:p w:rsidR="00BD76AF" w:rsidRPr="001E1D06" w:rsidRDefault="00BD76AF" w:rsidP="00550753">
            <w:pPr>
              <w:keepNext/>
              <w:keepLines/>
              <w:jc w:val="left"/>
              <w:rPr>
                <w:rFonts w:ascii="Arial Narrow" w:hAnsi="Arial Narrow"/>
                <w:b/>
                <w:sz w:val="20"/>
                <w:lang w:eastAsia="en-AU"/>
              </w:rPr>
            </w:pPr>
            <w:proofErr w:type="spellStart"/>
            <w:r w:rsidRPr="001E1D06">
              <w:rPr>
                <w:rFonts w:ascii="Arial Narrow" w:hAnsi="Arial Narrow"/>
                <w:sz w:val="20"/>
                <w:lang w:eastAsia="en-AU"/>
              </w:rPr>
              <w:t>Rummel</w:t>
            </w:r>
            <w:proofErr w:type="spellEnd"/>
            <w:r w:rsidRPr="001E1D06">
              <w:rPr>
                <w:rFonts w:ascii="Arial Narrow" w:hAnsi="Arial Narrow"/>
                <w:sz w:val="20"/>
                <w:lang w:eastAsia="en-AU"/>
              </w:rPr>
              <w:t xml:space="preserve"> et al. Bendamustine plus rituximab versus CHOP plus rituximab as first-line treatment for patients with indolent and mantle-cell lymphomas: an open-label, multicentre, randomised, phase 3 non-inferiority trial. </w:t>
            </w:r>
            <w:r w:rsidRPr="001E1D06">
              <w:rPr>
                <w:rFonts w:ascii="Arial Narrow" w:hAnsi="Arial Narrow"/>
                <w:i/>
                <w:sz w:val="20"/>
                <w:lang w:eastAsia="en-AU"/>
              </w:rPr>
              <w:t>Lancet 381</w:t>
            </w:r>
            <w:r w:rsidRPr="001E1D06">
              <w:rPr>
                <w:rFonts w:ascii="Arial Narrow" w:hAnsi="Arial Narrow"/>
                <w:sz w:val="20"/>
                <w:lang w:eastAsia="en-AU"/>
              </w:rPr>
              <w:t>: 1203-10</w:t>
            </w:r>
          </w:p>
        </w:tc>
        <w:tc>
          <w:tcPr>
            <w:tcW w:w="1281" w:type="pct"/>
          </w:tcPr>
          <w:p w:rsidR="00BD76AF" w:rsidRPr="007E376A" w:rsidRDefault="00BD76AF" w:rsidP="00550753">
            <w:pPr>
              <w:keepNext/>
              <w:keepLines/>
              <w:jc w:val="left"/>
              <w:rPr>
                <w:rFonts w:ascii="Arial Narrow" w:hAnsi="Arial Narrow"/>
                <w:sz w:val="20"/>
                <w:lang w:eastAsia="en-AU"/>
              </w:rPr>
            </w:pPr>
            <w:r w:rsidRPr="007E376A">
              <w:rPr>
                <w:rFonts w:ascii="Arial Narrow" w:hAnsi="Arial Narrow"/>
                <w:sz w:val="20"/>
                <w:lang w:eastAsia="en-AU"/>
              </w:rPr>
              <w:t>Lancet 2013;  381: 1203-10</w:t>
            </w:r>
          </w:p>
          <w:p w:rsidR="00BD76AF" w:rsidRPr="001E1D06" w:rsidRDefault="00BD76AF" w:rsidP="00550753">
            <w:pPr>
              <w:keepNext/>
              <w:keepLines/>
              <w:jc w:val="left"/>
              <w:rPr>
                <w:rFonts w:ascii="Arial Narrow" w:hAnsi="Arial Narrow"/>
                <w:sz w:val="20"/>
                <w:lang w:eastAsia="en-AU"/>
              </w:rPr>
            </w:pPr>
          </w:p>
          <w:p w:rsidR="00BD76AF" w:rsidRPr="001E1D06" w:rsidRDefault="00BD76AF" w:rsidP="00550753">
            <w:pPr>
              <w:keepNext/>
              <w:keepLines/>
              <w:jc w:val="left"/>
              <w:rPr>
                <w:rFonts w:ascii="Arial Narrow" w:hAnsi="Arial Narrow"/>
                <w:sz w:val="20"/>
                <w:lang w:eastAsia="en-AU"/>
              </w:rPr>
            </w:pPr>
          </w:p>
          <w:p w:rsidR="00BD76AF" w:rsidRPr="001E1D06" w:rsidRDefault="00BD76AF" w:rsidP="00550753">
            <w:pPr>
              <w:keepNext/>
              <w:keepLines/>
              <w:jc w:val="left"/>
              <w:rPr>
                <w:rFonts w:ascii="Arial Narrow" w:hAnsi="Arial Narrow"/>
                <w:b/>
                <w:sz w:val="20"/>
              </w:rPr>
            </w:pPr>
          </w:p>
        </w:tc>
      </w:tr>
      <w:tr w:rsidR="00BD76AF" w:rsidRPr="001E1D06" w:rsidTr="00BD76AF">
        <w:tc>
          <w:tcPr>
            <w:tcW w:w="812" w:type="pct"/>
          </w:tcPr>
          <w:p w:rsidR="00BD76AF" w:rsidRPr="001E1D06" w:rsidRDefault="00BD76AF" w:rsidP="00550753">
            <w:pPr>
              <w:keepNext/>
              <w:keepLines/>
              <w:jc w:val="left"/>
              <w:rPr>
                <w:rFonts w:ascii="Arial Narrow" w:hAnsi="Arial Narrow"/>
                <w:sz w:val="20"/>
              </w:rPr>
            </w:pPr>
            <w:r w:rsidRPr="001E1D06">
              <w:rPr>
                <w:rFonts w:ascii="Arial Narrow" w:hAnsi="Arial Narrow"/>
                <w:sz w:val="20"/>
              </w:rPr>
              <w:t>BRIGHT Study</w:t>
            </w:r>
          </w:p>
          <w:p w:rsidR="00BD76AF" w:rsidRPr="001E1D06" w:rsidRDefault="00BD76AF" w:rsidP="00550753">
            <w:pPr>
              <w:keepNext/>
              <w:keepLines/>
              <w:jc w:val="left"/>
              <w:rPr>
                <w:rFonts w:ascii="Arial Narrow" w:hAnsi="Arial Narrow"/>
                <w:sz w:val="20"/>
              </w:rPr>
            </w:pPr>
            <w:r w:rsidRPr="001E1D06">
              <w:rPr>
                <w:rFonts w:ascii="Arial Narrow" w:hAnsi="Arial Narrow"/>
                <w:sz w:val="20"/>
              </w:rPr>
              <w:t>NCT008770065</w:t>
            </w:r>
          </w:p>
        </w:tc>
        <w:tc>
          <w:tcPr>
            <w:tcW w:w="2907" w:type="pct"/>
          </w:tcPr>
          <w:p w:rsidR="00BD76AF" w:rsidRPr="001E1D06" w:rsidRDefault="00BD76AF" w:rsidP="00550753">
            <w:pPr>
              <w:keepNext/>
              <w:keepLines/>
              <w:jc w:val="left"/>
              <w:rPr>
                <w:rFonts w:ascii="Arial Narrow" w:hAnsi="Arial Narrow"/>
                <w:sz w:val="20"/>
              </w:rPr>
            </w:pPr>
            <w:proofErr w:type="spellStart"/>
            <w:r>
              <w:rPr>
                <w:rFonts w:ascii="Arial Narrow" w:hAnsi="Arial Narrow"/>
                <w:sz w:val="20"/>
              </w:rPr>
              <w:t>Flinn</w:t>
            </w:r>
            <w:proofErr w:type="spellEnd"/>
            <w:r>
              <w:rPr>
                <w:rFonts w:ascii="Arial Narrow" w:hAnsi="Arial Narrow"/>
                <w:sz w:val="20"/>
              </w:rPr>
              <w:t xml:space="preserve"> et al</w:t>
            </w:r>
            <w:r w:rsidRPr="001E1D06">
              <w:rPr>
                <w:rFonts w:ascii="Arial Narrow" w:hAnsi="Arial Narrow"/>
                <w:sz w:val="20"/>
              </w:rPr>
              <w:t xml:space="preserve">. Randomized trial of bendamustine-rituximab or R-CHOP/R-CVP in first-line treatment of indolent NHL or MCL: the BRIGHT study. </w:t>
            </w:r>
          </w:p>
        </w:tc>
        <w:tc>
          <w:tcPr>
            <w:tcW w:w="1281" w:type="pct"/>
          </w:tcPr>
          <w:p w:rsidR="00BD76AF" w:rsidRPr="007E376A" w:rsidRDefault="00BD76AF" w:rsidP="00550753">
            <w:pPr>
              <w:keepNext/>
              <w:keepLines/>
              <w:jc w:val="left"/>
              <w:rPr>
                <w:rFonts w:ascii="Arial Narrow" w:hAnsi="Arial Narrow"/>
                <w:sz w:val="20"/>
              </w:rPr>
            </w:pPr>
            <w:r w:rsidRPr="007E376A">
              <w:rPr>
                <w:rFonts w:ascii="Arial Narrow" w:hAnsi="Arial Narrow"/>
                <w:sz w:val="20"/>
              </w:rPr>
              <w:t>Blood (2014); 123 (19): 2944-2952</w:t>
            </w:r>
          </w:p>
        </w:tc>
      </w:tr>
      <w:tr w:rsidR="007D356E" w:rsidRPr="001E1D06" w:rsidTr="007D356E">
        <w:tc>
          <w:tcPr>
            <w:tcW w:w="5000" w:type="pct"/>
            <w:gridSpan w:val="3"/>
          </w:tcPr>
          <w:p w:rsidR="007D356E" w:rsidRPr="007D356E" w:rsidRDefault="007D356E" w:rsidP="00550753">
            <w:pPr>
              <w:keepNext/>
              <w:keepLines/>
              <w:jc w:val="left"/>
              <w:rPr>
                <w:rFonts w:ascii="Arial Narrow" w:hAnsi="Arial Narrow"/>
                <w:b/>
                <w:sz w:val="20"/>
              </w:rPr>
            </w:pPr>
            <w:r w:rsidRPr="007D356E">
              <w:rPr>
                <w:rFonts w:ascii="Arial Narrow" w:hAnsi="Arial Narrow"/>
                <w:b/>
                <w:sz w:val="20"/>
              </w:rPr>
              <w:t>Non-randomised studies</w:t>
            </w:r>
          </w:p>
        </w:tc>
      </w:tr>
      <w:tr w:rsidR="007D356E" w:rsidRPr="001E1D06" w:rsidTr="00BD76AF">
        <w:tc>
          <w:tcPr>
            <w:tcW w:w="812" w:type="pct"/>
          </w:tcPr>
          <w:p w:rsidR="007D356E" w:rsidRPr="007D356E" w:rsidRDefault="007D356E" w:rsidP="007D356E">
            <w:pPr>
              <w:keepNext/>
              <w:keepLines/>
              <w:jc w:val="left"/>
              <w:rPr>
                <w:rFonts w:ascii="Arial Narrow" w:hAnsi="Arial Narrow"/>
                <w:sz w:val="20"/>
              </w:rPr>
            </w:pPr>
            <w:r w:rsidRPr="007D356E">
              <w:rPr>
                <w:rFonts w:ascii="Arial Narrow" w:hAnsi="Arial Narrow"/>
                <w:sz w:val="20"/>
              </w:rPr>
              <w:t>SDX-105-01</w:t>
            </w:r>
          </w:p>
          <w:p w:rsidR="007D356E" w:rsidRPr="001E1D06" w:rsidRDefault="007D356E" w:rsidP="007D356E">
            <w:pPr>
              <w:keepNext/>
              <w:keepLines/>
              <w:jc w:val="left"/>
              <w:rPr>
                <w:rFonts w:ascii="Arial Narrow" w:hAnsi="Arial Narrow"/>
                <w:sz w:val="20"/>
              </w:rPr>
            </w:pPr>
            <w:r w:rsidRPr="007D356E">
              <w:rPr>
                <w:rFonts w:ascii="Arial Narrow" w:hAnsi="Arial Narrow"/>
                <w:sz w:val="20"/>
              </w:rPr>
              <w:t>NCT00069758</w:t>
            </w:r>
          </w:p>
        </w:tc>
        <w:tc>
          <w:tcPr>
            <w:tcW w:w="2907" w:type="pct"/>
          </w:tcPr>
          <w:p w:rsidR="007D356E" w:rsidRDefault="007D356E" w:rsidP="00550753">
            <w:pPr>
              <w:keepNext/>
              <w:keepLines/>
              <w:jc w:val="left"/>
              <w:rPr>
                <w:rFonts w:ascii="Arial Narrow" w:hAnsi="Arial Narrow"/>
                <w:sz w:val="20"/>
              </w:rPr>
            </w:pPr>
            <w:r w:rsidRPr="007D356E">
              <w:rPr>
                <w:rFonts w:ascii="Arial Narrow" w:hAnsi="Arial Narrow"/>
                <w:sz w:val="20"/>
              </w:rPr>
              <w:t>Friedberg et al. Bendamustine in patients with rituximab-refractory indolent and transformed non-Hodgkin’s lymphoma: results from a phase II multicentre, single-agent study.</w:t>
            </w:r>
          </w:p>
        </w:tc>
        <w:tc>
          <w:tcPr>
            <w:tcW w:w="1281" w:type="pct"/>
          </w:tcPr>
          <w:p w:rsidR="007D356E" w:rsidRPr="007D356E" w:rsidRDefault="007D356E" w:rsidP="00550753">
            <w:pPr>
              <w:keepNext/>
              <w:keepLines/>
              <w:jc w:val="left"/>
              <w:rPr>
                <w:rFonts w:ascii="Arial Narrow" w:hAnsi="Arial Narrow"/>
                <w:sz w:val="20"/>
              </w:rPr>
            </w:pPr>
            <w:r w:rsidRPr="007D356E">
              <w:rPr>
                <w:rFonts w:ascii="Arial Narrow" w:hAnsi="Arial Narrow"/>
                <w:sz w:val="20"/>
              </w:rPr>
              <w:t>Journal of clinical oncology (2008); 26 (2):204-210</w:t>
            </w:r>
          </w:p>
        </w:tc>
      </w:tr>
      <w:tr w:rsidR="007D356E" w:rsidRPr="001E1D06" w:rsidTr="00BD76AF">
        <w:tc>
          <w:tcPr>
            <w:tcW w:w="812" w:type="pct"/>
          </w:tcPr>
          <w:p w:rsidR="007D356E" w:rsidRPr="007D356E" w:rsidRDefault="007D356E" w:rsidP="007D356E">
            <w:pPr>
              <w:keepNext/>
              <w:keepLines/>
              <w:jc w:val="left"/>
              <w:rPr>
                <w:rFonts w:ascii="Arial Narrow" w:hAnsi="Arial Narrow"/>
                <w:sz w:val="20"/>
              </w:rPr>
            </w:pPr>
            <w:r w:rsidRPr="007D356E">
              <w:rPr>
                <w:rFonts w:ascii="Arial Narrow" w:hAnsi="Arial Narrow"/>
                <w:sz w:val="20"/>
              </w:rPr>
              <w:t>SDX-105-03</w:t>
            </w:r>
          </w:p>
          <w:p w:rsidR="007D356E" w:rsidRPr="001E1D06" w:rsidRDefault="007D356E" w:rsidP="007D356E">
            <w:pPr>
              <w:keepNext/>
              <w:keepLines/>
              <w:jc w:val="left"/>
              <w:rPr>
                <w:rFonts w:ascii="Arial Narrow" w:hAnsi="Arial Narrow"/>
                <w:sz w:val="20"/>
              </w:rPr>
            </w:pPr>
            <w:r w:rsidRPr="007D356E">
              <w:rPr>
                <w:rFonts w:ascii="Arial Narrow" w:hAnsi="Arial Narrow"/>
                <w:sz w:val="20"/>
              </w:rPr>
              <w:t>NCT00139841</w:t>
            </w:r>
          </w:p>
        </w:tc>
        <w:tc>
          <w:tcPr>
            <w:tcW w:w="2907" w:type="pct"/>
          </w:tcPr>
          <w:p w:rsidR="007D356E" w:rsidRDefault="007D356E" w:rsidP="00550753">
            <w:pPr>
              <w:keepNext/>
              <w:keepLines/>
              <w:jc w:val="left"/>
              <w:rPr>
                <w:rFonts w:ascii="Arial Narrow" w:hAnsi="Arial Narrow"/>
                <w:sz w:val="20"/>
              </w:rPr>
            </w:pPr>
            <w:proofErr w:type="spellStart"/>
            <w:r w:rsidRPr="007D356E">
              <w:rPr>
                <w:rFonts w:ascii="Arial Narrow" w:hAnsi="Arial Narrow"/>
                <w:sz w:val="20"/>
              </w:rPr>
              <w:t>Kahl</w:t>
            </w:r>
            <w:proofErr w:type="spellEnd"/>
            <w:r w:rsidRPr="007D356E">
              <w:rPr>
                <w:rFonts w:ascii="Arial Narrow" w:hAnsi="Arial Narrow"/>
                <w:sz w:val="20"/>
              </w:rPr>
              <w:t xml:space="preserve"> et al. Bendamustine is effective therapy in patients with rituximab-refractory, indolent B-cell non-Hodgkin’s lymphoma.</w:t>
            </w:r>
          </w:p>
        </w:tc>
        <w:tc>
          <w:tcPr>
            <w:tcW w:w="1281" w:type="pct"/>
          </w:tcPr>
          <w:p w:rsidR="007D356E" w:rsidRPr="007D356E" w:rsidRDefault="007D356E" w:rsidP="00550753">
            <w:pPr>
              <w:keepNext/>
              <w:keepLines/>
              <w:jc w:val="left"/>
              <w:rPr>
                <w:rFonts w:ascii="Arial Narrow" w:hAnsi="Arial Narrow"/>
                <w:sz w:val="20"/>
              </w:rPr>
            </w:pPr>
            <w:r w:rsidRPr="007D356E">
              <w:rPr>
                <w:rFonts w:ascii="Arial Narrow" w:hAnsi="Arial Narrow"/>
                <w:sz w:val="20"/>
              </w:rPr>
              <w:t>Cancer (2010); 116: 106-114</w:t>
            </w:r>
          </w:p>
        </w:tc>
      </w:tr>
    </w:tbl>
    <w:p w:rsidR="00BD76AF" w:rsidRPr="00F730AA" w:rsidRDefault="00BD76AF" w:rsidP="00550753">
      <w:pPr>
        <w:pStyle w:val="TableFooter"/>
        <w:keepNext/>
        <w:keepLines/>
      </w:pPr>
      <w:r>
        <w:t xml:space="preserve">                </w:t>
      </w:r>
      <w:r w:rsidRPr="00F730AA">
        <w:t xml:space="preserve">Source: </w:t>
      </w:r>
      <w:r w:rsidR="001265F3">
        <w:t>Attachment B, of the commentary</w:t>
      </w:r>
      <w:r>
        <w:t>.</w:t>
      </w:r>
    </w:p>
    <w:p w:rsidR="005939C7" w:rsidRPr="00173AE3" w:rsidRDefault="005939C7" w:rsidP="00BD76AF">
      <w:pPr>
        <w:widowControl/>
        <w:rPr>
          <w:szCs w:val="22"/>
          <w:highlight w:val="cyan"/>
        </w:rPr>
      </w:pPr>
    </w:p>
    <w:p w:rsidR="00BD76AF" w:rsidRPr="00C83D9B" w:rsidRDefault="00BD76AF" w:rsidP="00EB1E21">
      <w:pPr>
        <w:pStyle w:val="ListParagraph"/>
        <w:widowControl/>
        <w:numPr>
          <w:ilvl w:val="1"/>
          <w:numId w:val="1"/>
        </w:numPr>
        <w:rPr>
          <w:szCs w:val="22"/>
        </w:rPr>
      </w:pPr>
      <w:r w:rsidRPr="00C83D9B">
        <w:rPr>
          <w:szCs w:val="22"/>
        </w:rPr>
        <w:t>The key features</w:t>
      </w:r>
      <w:r>
        <w:rPr>
          <w:szCs w:val="22"/>
        </w:rPr>
        <w:t xml:space="preserve"> of the direct randomised trial</w:t>
      </w:r>
      <w:r w:rsidRPr="00C83D9B">
        <w:rPr>
          <w:szCs w:val="22"/>
        </w:rPr>
        <w:t xml:space="preserve">s are summarised in the table below.  </w:t>
      </w:r>
    </w:p>
    <w:p w:rsidR="00471205" w:rsidRDefault="00471205" w:rsidP="00BD76AF">
      <w:pPr>
        <w:ind w:firstLine="720"/>
        <w:rPr>
          <w:rStyle w:val="CommentReference"/>
        </w:rPr>
      </w:pPr>
    </w:p>
    <w:p w:rsidR="00BD76AF" w:rsidRPr="00C83D9B" w:rsidRDefault="00BD76AF" w:rsidP="00BD76AF">
      <w:pPr>
        <w:ind w:firstLine="720"/>
        <w:rPr>
          <w:rStyle w:val="CommentReference"/>
        </w:rPr>
      </w:pPr>
      <w:r w:rsidRPr="00C83D9B">
        <w:rPr>
          <w:rStyle w:val="CommentReference"/>
        </w:rPr>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direct randomised trials)"/>
      </w:tblPr>
      <w:tblGrid>
        <w:gridCol w:w="1133"/>
        <w:gridCol w:w="711"/>
        <w:gridCol w:w="1843"/>
        <w:gridCol w:w="991"/>
        <w:gridCol w:w="1417"/>
        <w:gridCol w:w="1133"/>
        <w:gridCol w:w="1117"/>
      </w:tblGrid>
      <w:tr w:rsidR="00BD76AF" w:rsidRPr="00173AE3" w:rsidTr="00BD76AF">
        <w:tc>
          <w:tcPr>
            <w:tcW w:w="679" w:type="pct"/>
            <w:shd w:val="clear" w:color="auto" w:fill="auto"/>
            <w:vAlign w:val="center"/>
          </w:tcPr>
          <w:p w:rsidR="00BD76AF" w:rsidRPr="005D28AF" w:rsidRDefault="00BD76AF" w:rsidP="00BD76AF">
            <w:pPr>
              <w:jc w:val="left"/>
              <w:rPr>
                <w:rFonts w:ascii="Arial Narrow" w:hAnsi="Arial Narrow"/>
                <w:b/>
                <w:sz w:val="20"/>
              </w:rPr>
            </w:pPr>
            <w:r w:rsidRPr="005D28AF">
              <w:rPr>
                <w:rFonts w:ascii="Arial Narrow" w:hAnsi="Arial Narrow"/>
                <w:b/>
                <w:sz w:val="20"/>
              </w:rPr>
              <w:t>Trial</w:t>
            </w:r>
          </w:p>
        </w:tc>
        <w:tc>
          <w:tcPr>
            <w:tcW w:w="426" w:type="pct"/>
            <w:shd w:val="clear" w:color="auto" w:fill="auto"/>
            <w:vAlign w:val="center"/>
          </w:tcPr>
          <w:p w:rsidR="00BD76AF" w:rsidRPr="005D28AF" w:rsidRDefault="00BD76AF" w:rsidP="00BD76AF">
            <w:pPr>
              <w:jc w:val="center"/>
              <w:rPr>
                <w:rFonts w:ascii="Arial Narrow" w:hAnsi="Arial Narrow"/>
                <w:b/>
                <w:sz w:val="20"/>
              </w:rPr>
            </w:pPr>
            <w:r w:rsidRPr="005D28AF">
              <w:rPr>
                <w:rFonts w:ascii="Arial Narrow" w:hAnsi="Arial Narrow"/>
                <w:b/>
                <w:sz w:val="20"/>
              </w:rPr>
              <w:t>N</w:t>
            </w:r>
          </w:p>
        </w:tc>
        <w:tc>
          <w:tcPr>
            <w:tcW w:w="1104" w:type="pct"/>
            <w:shd w:val="clear" w:color="auto" w:fill="auto"/>
            <w:vAlign w:val="center"/>
          </w:tcPr>
          <w:p w:rsidR="00BD76AF" w:rsidRPr="005D28AF" w:rsidRDefault="00BD76AF" w:rsidP="00BD76AF">
            <w:pPr>
              <w:jc w:val="center"/>
              <w:rPr>
                <w:rFonts w:ascii="Arial Narrow" w:hAnsi="Arial Narrow"/>
                <w:b/>
                <w:sz w:val="20"/>
              </w:rPr>
            </w:pPr>
            <w:r w:rsidRPr="005D28AF">
              <w:rPr>
                <w:rFonts w:ascii="Arial Narrow" w:hAnsi="Arial Narrow"/>
                <w:b/>
                <w:sz w:val="20"/>
              </w:rPr>
              <w:t>Design/ duration</w:t>
            </w:r>
          </w:p>
        </w:tc>
        <w:tc>
          <w:tcPr>
            <w:tcW w:w="594" w:type="pct"/>
            <w:shd w:val="clear" w:color="auto" w:fill="auto"/>
            <w:vAlign w:val="center"/>
          </w:tcPr>
          <w:p w:rsidR="00BD76AF" w:rsidRPr="005D28AF" w:rsidRDefault="00BD76AF" w:rsidP="00BD76AF">
            <w:pPr>
              <w:jc w:val="center"/>
              <w:rPr>
                <w:rFonts w:ascii="Arial Narrow" w:hAnsi="Arial Narrow"/>
                <w:b/>
                <w:sz w:val="20"/>
              </w:rPr>
            </w:pPr>
            <w:r w:rsidRPr="005D28AF">
              <w:rPr>
                <w:rFonts w:ascii="Arial Narrow" w:hAnsi="Arial Narrow"/>
                <w:b/>
                <w:sz w:val="20"/>
              </w:rPr>
              <w:t>Risk of bias</w:t>
            </w:r>
          </w:p>
        </w:tc>
        <w:tc>
          <w:tcPr>
            <w:tcW w:w="849" w:type="pct"/>
            <w:shd w:val="clear" w:color="auto" w:fill="auto"/>
            <w:vAlign w:val="center"/>
          </w:tcPr>
          <w:p w:rsidR="00BD76AF" w:rsidRPr="005D28AF" w:rsidRDefault="00BD76AF" w:rsidP="00BD76AF">
            <w:pPr>
              <w:jc w:val="center"/>
              <w:rPr>
                <w:rFonts w:ascii="Arial Narrow" w:hAnsi="Arial Narrow"/>
                <w:b/>
                <w:sz w:val="20"/>
              </w:rPr>
            </w:pPr>
            <w:r w:rsidRPr="005D28AF">
              <w:rPr>
                <w:rFonts w:ascii="Arial Narrow" w:hAnsi="Arial Narrow"/>
                <w:b/>
                <w:sz w:val="20"/>
              </w:rPr>
              <w:t>Patient population</w:t>
            </w:r>
          </w:p>
        </w:tc>
        <w:tc>
          <w:tcPr>
            <w:tcW w:w="679" w:type="pct"/>
            <w:shd w:val="clear" w:color="auto" w:fill="auto"/>
            <w:vAlign w:val="center"/>
          </w:tcPr>
          <w:p w:rsidR="00BD76AF" w:rsidRPr="005D28AF" w:rsidRDefault="00BD76AF" w:rsidP="00BD76AF">
            <w:pPr>
              <w:jc w:val="center"/>
              <w:rPr>
                <w:rFonts w:ascii="Arial Narrow" w:hAnsi="Arial Narrow"/>
                <w:b/>
                <w:sz w:val="20"/>
              </w:rPr>
            </w:pPr>
            <w:r w:rsidRPr="005D28AF">
              <w:rPr>
                <w:rFonts w:ascii="Arial Narrow" w:hAnsi="Arial Narrow"/>
                <w:b/>
                <w:sz w:val="20"/>
              </w:rPr>
              <w:t>Outcome(s)</w:t>
            </w:r>
          </w:p>
        </w:tc>
        <w:tc>
          <w:tcPr>
            <w:tcW w:w="669" w:type="pct"/>
            <w:shd w:val="clear" w:color="auto" w:fill="auto"/>
            <w:vAlign w:val="center"/>
          </w:tcPr>
          <w:p w:rsidR="00BD76AF" w:rsidRPr="005D28AF" w:rsidRDefault="00BD76AF" w:rsidP="00BD76AF">
            <w:pPr>
              <w:jc w:val="center"/>
              <w:rPr>
                <w:rFonts w:ascii="Arial Narrow" w:hAnsi="Arial Narrow"/>
                <w:b/>
                <w:sz w:val="20"/>
              </w:rPr>
            </w:pPr>
            <w:r w:rsidRPr="005D28AF">
              <w:rPr>
                <w:rFonts w:ascii="Arial Narrow" w:hAnsi="Arial Narrow"/>
                <w:b/>
                <w:sz w:val="20"/>
              </w:rPr>
              <w:t>Use in modelled evaluation</w:t>
            </w:r>
          </w:p>
        </w:tc>
      </w:tr>
      <w:tr w:rsidR="00BD76AF" w:rsidRPr="00173AE3" w:rsidTr="00BD76AF">
        <w:tc>
          <w:tcPr>
            <w:tcW w:w="5000" w:type="pct"/>
            <w:gridSpan w:val="7"/>
            <w:shd w:val="clear" w:color="auto" w:fill="auto"/>
            <w:vAlign w:val="center"/>
          </w:tcPr>
          <w:p w:rsidR="00BD76AF" w:rsidRPr="005D28AF" w:rsidRDefault="00BD76AF" w:rsidP="00BD76AF">
            <w:pPr>
              <w:jc w:val="left"/>
              <w:rPr>
                <w:rFonts w:ascii="Arial Narrow" w:hAnsi="Arial Narrow"/>
                <w:b/>
                <w:sz w:val="20"/>
              </w:rPr>
            </w:pPr>
            <w:r w:rsidRPr="005D28AF">
              <w:rPr>
                <w:rFonts w:ascii="Arial Narrow" w:hAnsi="Arial Narrow"/>
                <w:b/>
                <w:sz w:val="20"/>
              </w:rPr>
              <w:t>B-R vs R-CHOP</w:t>
            </w:r>
            <w:r w:rsidR="004E189C">
              <w:rPr>
                <w:rFonts w:ascii="Arial Narrow" w:hAnsi="Arial Narrow"/>
                <w:b/>
                <w:sz w:val="20"/>
              </w:rPr>
              <w:t xml:space="preserve">/R-CVP </w:t>
            </w:r>
            <w:r>
              <w:rPr>
                <w:rFonts w:ascii="Arial Narrow" w:hAnsi="Arial Narrow"/>
                <w:b/>
                <w:sz w:val="20"/>
              </w:rPr>
              <w:t xml:space="preserve"> in </w:t>
            </w:r>
            <w:r w:rsidR="00EC2ACD">
              <w:rPr>
                <w:rFonts w:ascii="Arial Narrow" w:hAnsi="Arial Narrow"/>
                <w:b/>
                <w:sz w:val="20"/>
              </w:rPr>
              <w:t>previously untreated iNHL and MCL</w:t>
            </w:r>
          </w:p>
        </w:tc>
      </w:tr>
      <w:tr w:rsidR="00BD76AF" w:rsidRPr="00173AE3" w:rsidTr="00BD76AF">
        <w:tc>
          <w:tcPr>
            <w:tcW w:w="679" w:type="pct"/>
            <w:shd w:val="clear" w:color="auto" w:fill="auto"/>
            <w:vAlign w:val="center"/>
          </w:tcPr>
          <w:p w:rsidR="00BD76AF" w:rsidRPr="005D28AF" w:rsidRDefault="00BD76AF" w:rsidP="00BD76AF">
            <w:pPr>
              <w:jc w:val="left"/>
              <w:rPr>
                <w:rFonts w:ascii="Arial Narrow" w:hAnsi="Arial Narrow"/>
                <w:sz w:val="20"/>
              </w:rPr>
            </w:pPr>
            <w:proofErr w:type="spellStart"/>
            <w:r w:rsidRPr="005D28AF">
              <w:rPr>
                <w:rFonts w:ascii="Arial Narrow" w:hAnsi="Arial Narrow"/>
                <w:sz w:val="20"/>
              </w:rPr>
              <w:t>StiL</w:t>
            </w:r>
            <w:proofErr w:type="spellEnd"/>
          </w:p>
        </w:tc>
        <w:tc>
          <w:tcPr>
            <w:tcW w:w="426" w:type="pct"/>
            <w:shd w:val="clear" w:color="auto" w:fill="auto"/>
            <w:vAlign w:val="center"/>
          </w:tcPr>
          <w:p w:rsidR="00BD76AF" w:rsidRPr="005D28AF" w:rsidRDefault="00BD76AF" w:rsidP="00BD76AF">
            <w:pPr>
              <w:jc w:val="center"/>
              <w:rPr>
                <w:rFonts w:ascii="Arial Narrow" w:hAnsi="Arial Narrow"/>
                <w:sz w:val="20"/>
              </w:rPr>
            </w:pPr>
            <w:r w:rsidRPr="005D28AF">
              <w:rPr>
                <w:rFonts w:ascii="Arial Narrow" w:hAnsi="Arial Narrow"/>
                <w:sz w:val="20"/>
              </w:rPr>
              <w:t>549</w:t>
            </w:r>
          </w:p>
        </w:tc>
        <w:tc>
          <w:tcPr>
            <w:tcW w:w="1104" w:type="pct"/>
            <w:shd w:val="clear" w:color="auto" w:fill="auto"/>
            <w:vAlign w:val="center"/>
          </w:tcPr>
          <w:p w:rsidR="00BD76AF" w:rsidRDefault="00BD76AF" w:rsidP="00BD76AF">
            <w:pPr>
              <w:jc w:val="center"/>
              <w:rPr>
                <w:rFonts w:ascii="Arial Narrow" w:hAnsi="Arial Narrow"/>
                <w:sz w:val="20"/>
              </w:rPr>
            </w:pPr>
            <w:r>
              <w:rPr>
                <w:rFonts w:ascii="Arial Narrow" w:hAnsi="Arial Narrow"/>
                <w:sz w:val="20"/>
              </w:rPr>
              <w:t>OL, R</w:t>
            </w:r>
          </w:p>
          <w:p w:rsidR="00BD76AF" w:rsidRPr="005D28AF" w:rsidRDefault="00BD76AF" w:rsidP="00BD76AF">
            <w:pPr>
              <w:jc w:val="center"/>
              <w:rPr>
                <w:rFonts w:ascii="Arial Narrow" w:hAnsi="Arial Narrow"/>
                <w:sz w:val="20"/>
              </w:rPr>
            </w:pPr>
            <w:r>
              <w:rPr>
                <w:rFonts w:ascii="Arial Narrow" w:hAnsi="Arial Narrow"/>
                <w:sz w:val="20"/>
              </w:rPr>
              <w:t>Median PFS</w:t>
            </w:r>
          </w:p>
          <w:p w:rsidR="00BD76AF" w:rsidRDefault="00BD76AF" w:rsidP="00BD76AF">
            <w:pPr>
              <w:jc w:val="center"/>
              <w:rPr>
                <w:rFonts w:ascii="Arial Narrow" w:hAnsi="Arial Narrow"/>
                <w:sz w:val="20"/>
              </w:rPr>
            </w:pPr>
            <w:r>
              <w:rPr>
                <w:rFonts w:ascii="Arial Narrow" w:hAnsi="Arial Narrow"/>
                <w:sz w:val="20"/>
              </w:rPr>
              <w:t xml:space="preserve">69.5 </w:t>
            </w:r>
            <w:proofErr w:type="spellStart"/>
            <w:r>
              <w:rPr>
                <w:rFonts w:ascii="Arial Narrow" w:hAnsi="Arial Narrow"/>
                <w:sz w:val="20"/>
              </w:rPr>
              <w:t>mths</w:t>
            </w:r>
            <w:proofErr w:type="spellEnd"/>
            <w:r>
              <w:rPr>
                <w:rFonts w:ascii="Arial Narrow" w:hAnsi="Arial Narrow"/>
                <w:sz w:val="20"/>
              </w:rPr>
              <w:t xml:space="preserve"> in B-R, </w:t>
            </w:r>
          </w:p>
          <w:p w:rsidR="00BD76AF" w:rsidRPr="005D28AF" w:rsidRDefault="00BD76AF" w:rsidP="00BD76AF">
            <w:pPr>
              <w:jc w:val="center"/>
              <w:rPr>
                <w:rFonts w:ascii="Arial Narrow" w:hAnsi="Arial Narrow"/>
                <w:sz w:val="20"/>
              </w:rPr>
            </w:pPr>
            <w:r>
              <w:rPr>
                <w:rFonts w:ascii="Arial Narrow" w:hAnsi="Arial Narrow"/>
                <w:sz w:val="20"/>
              </w:rPr>
              <w:t xml:space="preserve">31.2 </w:t>
            </w:r>
            <w:proofErr w:type="spellStart"/>
            <w:r>
              <w:rPr>
                <w:rFonts w:ascii="Arial Narrow" w:hAnsi="Arial Narrow"/>
                <w:sz w:val="20"/>
              </w:rPr>
              <w:t>mths</w:t>
            </w:r>
            <w:proofErr w:type="spellEnd"/>
            <w:r>
              <w:rPr>
                <w:rFonts w:ascii="Arial Narrow" w:hAnsi="Arial Narrow"/>
                <w:sz w:val="20"/>
              </w:rPr>
              <w:t xml:space="preserve"> in R-CHOP</w:t>
            </w:r>
          </w:p>
        </w:tc>
        <w:tc>
          <w:tcPr>
            <w:tcW w:w="594" w:type="pct"/>
            <w:shd w:val="clear" w:color="auto" w:fill="auto"/>
            <w:vAlign w:val="center"/>
          </w:tcPr>
          <w:p w:rsidR="00BD76AF" w:rsidRPr="005D28AF" w:rsidRDefault="00BD76AF" w:rsidP="00BD76AF">
            <w:pPr>
              <w:jc w:val="center"/>
              <w:rPr>
                <w:rFonts w:ascii="Arial Narrow" w:hAnsi="Arial Narrow"/>
                <w:sz w:val="20"/>
              </w:rPr>
            </w:pPr>
            <w:r w:rsidRPr="005D28AF">
              <w:rPr>
                <w:rFonts w:ascii="Arial Narrow" w:hAnsi="Arial Narrow"/>
                <w:sz w:val="20"/>
              </w:rPr>
              <w:t>Low</w:t>
            </w:r>
          </w:p>
        </w:tc>
        <w:tc>
          <w:tcPr>
            <w:tcW w:w="849" w:type="pct"/>
            <w:shd w:val="clear" w:color="auto" w:fill="auto"/>
            <w:vAlign w:val="center"/>
          </w:tcPr>
          <w:p w:rsidR="00052346" w:rsidRDefault="00BD76AF" w:rsidP="00052346">
            <w:pPr>
              <w:jc w:val="center"/>
              <w:rPr>
                <w:rFonts w:ascii="Arial Narrow" w:hAnsi="Arial Narrow"/>
                <w:sz w:val="20"/>
              </w:rPr>
            </w:pPr>
            <w:r>
              <w:rPr>
                <w:rFonts w:ascii="Arial Narrow" w:hAnsi="Arial Narrow"/>
                <w:sz w:val="20"/>
              </w:rPr>
              <w:t>Tre</w:t>
            </w:r>
            <w:r w:rsidR="00052346">
              <w:rPr>
                <w:rFonts w:ascii="Arial Narrow" w:hAnsi="Arial Narrow"/>
                <w:sz w:val="20"/>
              </w:rPr>
              <w:t xml:space="preserve">atment naïve, CD 20+, Stage </w:t>
            </w:r>
          </w:p>
          <w:p w:rsidR="00BD76AF" w:rsidRPr="005D28AF" w:rsidRDefault="00052346" w:rsidP="00052346">
            <w:pPr>
              <w:jc w:val="center"/>
              <w:rPr>
                <w:rFonts w:ascii="Arial Narrow" w:hAnsi="Arial Narrow"/>
                <w:sz w:val="20"/>
              </w:rPr>
            </w:pPr>
            <w:r>
              <w:rPr>
                <w:rFonts w:ascii="Arial Narrow" w:hAnsi="Arial Narrow"/>
                <w:sz w:val="20"/>
              </w:rPr>
              <w:t>III-</w:t>
            </w:r>
            <w:r w:rsidR="00BD76AF">
              <w:rPr>
                <w:rFonts w:ascii="Arial Narrow" w:hAnsi="Arial Narrow"/>
                <w:sz w:val="20"/>
              </w:rPr>
              <w:t>IV iNHL and MCL patients</w:t>
            </w:r>
          </w:p>
        </w:tc>
        <w:tc>
          <w:tcPr>
            <w:tcW w:w="679" w:type="pct"/>
            <w:shd w:val="clear" w:color="auto" w:fill="auto"/>
            <w:vAlign w:val="center"/>
          </w:tcPr>
          <w:p w:rsidR="00BD76AF" w:rsidRPr="005D28AF" w:rsidRDefault="00BD76AF" w:rsidP="00BD76AF">
            <w:pPr>
              <w:jc w:val="center"/>
              <w:rPr>
                <w:rFonts w:ascii="Arial Narrow" w:hAnsi="Arial Narrow"/>
                <w:sz w:val="20"/>
              </w:rPr>
            </w:pPr>
            <w:r>
              <w:rPr>
                <w:rFonts w:ascii="Arial Narrow" w:hAnsi="Arial Narrow"/>
                <w:sz w:val="20"/>
              </w:rPr>
              <w:t xml:space="preserve">PFS, </w:t>
            </w:r>
            <w:r w:rsidRPr="005D28AF">
              <w:rPr>
                <w:rFonts w:ascii="Arial Narrow" w:hAnsi="Arial Narrow"/>
                <w:sz w:val="20"/>
              </w:rPr>
              <w:t>OS</w:t>
            </w:r>
            <w:r>
              <w:rPr>
                <w:rFonts w:ascii="Arial Narrow" w:hAnsi="Arial Narrow"/>
                <w:sz w:val="20"/>
              </w:rPr>
              <w:t xml:space="preserve"> (5 years)</w:t>
            </w:r>
          </w:p>
        </w:tc>
        <w:tc>
          <w:tcPr>
            <w:tcW w:w="669" w:type="pct"/>
            <w:shd w:val="clear" w:color="auto" w:fill="auto"/>
            <w:vAlign w:val="center"/>
          </w:tcPr>
          <w:p w:rsidR="00BD76AF" w:rsidRPr="005D28AF" w:rsidRDefault="00BD76AF" w:rsidP="00BD76AF">
            <w:pPr>
              <w:jc w:val="center"/>
              <w:rPr>
                <w:rFonts w:ascii="Arial Narrow" w:hAnsi="Arial Narrow"/>
                <w:sz w:val="20"/>
              </w:rPr>
            </w:pPr>
            <w:r>
              <w:rPr>
                <w:rFonts w:ascii="Arial Narrow" w:hAnsi="Arial Narrow"/>
                <w:sz w:val="20"/>
              </w:rPr>
              <w:t>Used</w:t>
            </w:r>
          </w:p>
        </w:tc>
      </w:tr>
      <w:tr w:rsidR="00BD76AF" w:rsidRPr="00173AE3" w:rsidTr="00BD76AF">
        <w:tc>
          <w:tcPr>
            <w:tcW w:w="679" w:type="pct"/>
            <w:shd w:val="clear" w:color="auto" w:fill="auto"/>
            <w:vAlign w:val="center"/>
          </w:tcPr>
          <w:p w:rsidR="00BD76AF" w:rsidRPr="005D28AF" w:rsidRDefault="00BD76AF" w:rsidP="00BD76AF">
            <w:pPr>
              <w:jc w:val="left"/>
              <w:rPr>
                <w:rFonts w:ascii="Arial Narrow" w:hAnsi="Arial Narrow"/>
                <w:sz w:val="20"/>
              </w:rPr>
            </w:pPr>
            <w:r w:rsidRPr="005D28AF">
              <w:rPr>
                <w:rFonts w:ascii="Arial Narrow" w:hAnsi="Arial Narrow"/>
                <w:sz w:val="20"/>
              </w:rPr>
              <w:t>BRIGHT</w:t>
            </w:r>
          </w:p>
        </w:tc>
        <w:tc>
          <w:tcPr>
            <w:tcW w:w="426" w:type="pct"/>
            <w:shd w:val="clear" w:color="auto" w:fill="auto"/>
            <w:vAlign w:val="center"/>
          </w:tcPr>
          <w:p w:rsidR="00BD76AF" w:rsidRPr="005D28AF" w:rsidRDefault="00BD76AF" w:rsidP="00BD76AF">
            <w:pPr>
              <w:jc w:val="center"/>
              <w:rPr>
                <w:rFonts w:ascii="Arial Narrow" w:hAnsi="Arial Narrow"/>
                <w:sz w:val="20"/>
              </w:rPr>
            </w:pPr>
            <w:r w:rsidRPr="005D28AF">
              <w:rPr>
                <w:rFonts w:ascii="Arial Narrow" w:hAnsi="Arial Narrow"/>
                <w:sz w:val="20"/>
              </w:rPr>
              <w:t>447</w:t>
            </w:r>
          </w:p>
        </w:tc>
        <w:tc>
          <w:tcPr>
            <w:tcW w:w="1104" w:type="pct"/>
            <w:shd w:val="clear" w:color="auto" w:fill="auto"/>
            <w:vAlign w:val="center"/>
          </w:tcPr>
          <w:p w:rsidR="00BD76AF" w:rsidRPr="005D28AF" w:rsidRDefault="00BD76AF" w:rsidP="00BD76AF">
            <w:pPr>
              <w:jc w:val="center"/>
              <w:rPr>
                <w:rFonts w:ascii="Arial Narrow" w:hAnsi="Arial Narrow"/>
                <w:sz w:val="20"/>
              </w:rPr>
            </w:pPr>
            <w:r>
              <w:rPr>
                <w:rFonts w:ascii="Arial Narrow" w:hAnsi="Arial Narrow"/>
                <w:sz w:val="20"/>
              </w:rPr>
              <w:t xml:space="preserve">OL, R </w:t>
            </w:r>
          </w:p>
          <w:p w:rsidR="00BD76AF" w:rsidRDefault="00BD76AF" w:rsidP="00BD76AF">
            <w:pPr>
              <w:jc w:val="center"/>
              <w:rPr>
                <w:rFonts w:ascii="Arial Narrow" w:hAnsi="Arial Narrow"/>
                <w:sz w:val="20"/>
              </w:rPr>
            </w:pPr>
            <w:r>
              <w:rPr>
                <w:rFonts w:ascii="Arial Narrow" w:hAnsi="Arial Narrow"/>
                <w:sz w:val="20"/>
              </w:rPr>
              <w:t>ORR of 97% in B-R,</w:t>
            </w:r>
          </w:p>
          <w:p w:rsidR="00BD76AF" w:rsidRPr="005D28AF" w:rsidRDefault="00BD76AF" w:rsidP="00BD76AF">
            <w:pPr>
              <w:jc w:val="center"/>
              <w:rPr>
                <w:rFonts w:ascii="Arial Narrow" w:hAnsi="Arial Narrow"/>
                <w:sz w:val="20"/>
              </w:rPr>
            </w:pPr>
            <w:r>
              <w:rPr>
                <w:rFonts w:ascii="Arial Narrow" w:hAnsi="Arial Narrow"/>
                <w:sz w:val="20"/>
              </w:rPr>
              <w:t>91% in R-CHOP</w:t>
            </w:r>
          </w:p>
        </w:tc>
        <w:tc>
          <w:tcPr>
            <w:tcW w:w="594" w:type="pct"/>
            <w:shd w:val="clear" w:color="auto" w:fill="auto"/>
            <w:vAlign w:val="center"/>
          </w:tcPr>
          <w:p w:rsidR="00BD76AF" w:rsidRPr="005D28AF" w:rsidRDefault="00BD76AF" w:rsidP="00BD76AF">
            <w:pPr>
              <w:jc w:val="center"/>
              <w:rPr>
                <w:rFonts w:ascii="Arial Narrow" w:hAnsi="Arial Narrow"/>
                <w:sz w:val="20"/>
              </w:rPr>
            </w:pPr>
            <w:r>
              <w:rPr>
                <w:rFonts w:ascii="Arial Narrow" w:hAnsi="Arial Narrow"/>
                <w:sz w:val="20"/>
              </w:rPr>
              <w:t>Low</w:t>
            </w:r>
          </w:p>
        </w:tc>
        <w:tc>
          <w:tcPr>
            <w:tcW w:w="849" w:type="pct"/>
            <w:shd w:val="clear" w:color="auto" w:fill="auto"/>
            <w:vAlign w:val="center"/>
          </w:tcPr>
          <w:p w:rsidR="00BD76AF" w:rsidRPr="005D28AF" w:rsidRDefault="00BD76AF" w:rsidP="00BD76AF">
            <w:pPr>
              <w:jc w:val="center"/>
              <w:rPr>
                <w:rFonts w:ascii="Arial Narrow" w:hAnsi="Arial Narrow"/>
                <w:sz w:val="20"/>
              </w:rPr>
            </w:pPr>
            <w:r>
              <w:rPr>
                <w:rFonts w:ascii="Arial Narrow" w:hAnsi="Arial Narrow"/>
                <w:sz w:val="20"/>
              </w:rPr>
              <w:t>Treatment nai</w:t>
            </w:r>
            <w:r w:rsidRPr="005D28AF">
              <w:rPr>
                <w:rFonts w:ascii="Arial Narrow" w:hAnsi="Arial Narrow"/>
                <w:sz w:val="20"/>
              </w:rPr>
              <w:t>ve</w:t>
            </w:r>
          </w:p>
        </w:tc>
        <w:tc>
          <w:tcPr>
            <w:tcW w:w="679" w:type="pct"/>
            <w:shd w:val="clear" w:color="auto" w:fill="auto"/>
            <w:vAlign w:val="center"/>
          </w:tcPr>
          <w:p w:rsidR="00BD76AF" w:rsidRPr="005D28AF" w:rsidRDefault="00BD76AF" w:rsidP="00BD76AF">
            <w:pPr>
              <w:jc w:val="center"/>
              <w:rPr>
                <w:rFonts w:ascii="Arial Narrow" w:hAnsi="Arial Narrow"/>
                <w:sz w:val="20"/>
              </w:rPr>
            </w:pPr>
            <w:r w:rsidRPr="005D28AF">
              <w:rPr>
                <w:rFonts w:ascii="Arial Narrow" w:hAnsi="Arial Narrow"/>
                <w:sz w:val="20"/>
              </w:rPr>
              <w:t>Response rate</w:t>
            </w:r>
            <w:r>
              <w:rPr>
                <w:rFonts w:ascii="Arial Narrow" w:hAnsi="Arial Narrow"/>
                <w:sz w:val="20"/>
              </w:rPr>
              <w:t>, CR, PR</w:t>
            </w:r>
          </w:p>
        </w:tc>
        <w:tc>
          <w:tcPr>
            <w:tcW w:w="669" w:type="pct"/>
            <w:shd w:val="clear" w:color="auto" w:fill="auto"/>
            <w:vAlign w:val="center"/>
          </w:tcPr>
          <w:p w:rsidR="00BD76AF" w:rsidRPr="005D28AF" w:rsidRDefault="00C8183A" w:rsidP="00EC2ACD">
            <w:pPr>
              <w:jc w:val="center"/>
              <w:rPr>
                <w:rFonts w:ascii="Arial Narrow" w:hAnsi="Arial Narrow"/>
                <w:sz w:val="20"/>
              </w:rPr>
            </w:pPr>
            <w:r>
              <w:rPr>
                <w:rFonts w:ascii="Arial Narrow" w:hAnsi="Arial Narrow"/>
                <w:sz w:val="20"/>
              </w:rPr>
              <w:t>Used for sensitivity analys</w:t>
            </w:r>
            <w:r w:rsidR="00EC2ACD">
              <w:rPr>
                <w:rFonts w:ascii="Arial Narrow" w:hAnsi="Arial Narrow"/>
                <w:sz w:val="20"/>
              </w:rPr>
              <w:t>e</w:t>
            </w:r>
            <w:r>
              <w:rPr>
                <w:rFonts w:ascii="Arial Narrow" w:hAnsi="Arial Narrow"/>
                <w:sz w:val="20"/>
              </w:rPr>
              <w:t>s</w:t>
            </w:r>
          </w:p>
        </w:tc>
      </w:tr>
    </w:tbl>
    <w:p w:rsidR="00BD76AF" w:rsidRPr="00C83D9B" w:rsidRDefault="00BD76AF" w:rsidP="00BD76AF">
      <w:pPr>
        <w:pStyle w:val="TableFooter"/>
        <w:ind w:left="720"/>
      </w:pPr>
      <w:r w:rsidRPr="00C83D9B">
        <w:t>DB=double blind; MC=multi-centre; OL=open label; OS=overall survival; PFS=progression-free survival; CR = complete response; PR = partial response; R=randomised.</w:t>
      </w:r>
    </w:p>
    <w:p w:rsidR="00BD76AF" w:rsidRPr="00C83D9B" w:rsidRDefault="00BD76AF" w:rsidP="00BD76AF">
      <w:pPr>
        <w:pStyle w:val="TableFooter"/>
        <w:ind w:firstLine="720"/>
      </w:pPr>
      <w:r w:rsidRPr="00C83D9B">
        <w:t>Source: compiled during the evaluation</w:t>
      </w:r>
    </w:p>
    <w:p w:rsidR="00BD76AF" w:rsidRPr="00061C75" w:rsidRDefault="00BD76AF" w:rsidP="00BD76AF"/>
    <w:p w:rsidR="005939C7" w:rsidRPr="00061C75" w:rsidRDefault="005939C7" w:rsidP="00EB1E21">
      <w:pPr>
        <w:pStyle w:val="ListParagraph"/>
        <w:widowControl/>
        <w:numPr>
          <w:ilvl w:val="1"/>
          <w:numId w:val="1"/>
        </w:numPr>
        <w:rPr>
          <w:szCs w:val="22"/>
        </w:rPr>
      </w:pPr>
      <w:r w:rsidRPr="00061C75">
        <w:rPr>
          <w:szCs w:val="22"/>
        </w:rPr>
        <w:t xml:space="preserve">The ESC noted that the </w:t>
      </w:r>
      <w:proofErr w:type="spellStart"/>
      <w:r w:rsidRPr="00061C75">
        <w:rPr>
          <w:szCs w:val="22"/>
        </w:rPr>
        <w:t>StiL</w:t>
      </w:r>
      <w:proofErr w:type="spellEnd"/>
      <w:r w:rsidRPr="00061C75">
        <w:rPr>
          <w:szCs w:val="22"/>
        </w:rPr>
        <w:t xml:space="preserve"> trial was designed </w:t>
      </w:r>
      <w:r w:rsidR="005A6776" w:rsidRPr="00061C75">
        <w:rPr>
          <w:szCs w:val="22"/>
        </w:rPr>
        <w:t>to demonstrate</w:t>
      </w:r>
      <w:r w:rsidRPr="00061C75">
        <w:rPr>
          <w:szCs w:val="22"/>
        </w:rPr>
        <w:t xml:space="preserve"> non-inferiority and therefore </w:t>
      </w:r>
      <w:proofErr w:type="gramStart"/>
      <w:r w:rsidRPr="00061C75">
        <w:rPr>
          <w:szCs w:val="22"/>
        </w:rPr>
        <w:t>a per</w:t>
      </w:r>
      <w:proofErr w:type="gramEnd"/>
      <w:r w:rsidR="0054414B" w:rsidRPr="00061C75">
        <w:rPr>
          <w:szCs w:val="22"/>
        </w:rPr>
        <w:t xml:space="preserve"> </w:t>
      </w:r>
      <w:r w:rsidRPr="00061C75">
        <w:rPr>
          <w:szCs w:val="22"/>
        </w:rPr>
        <w:t xml:space="preserve">protocol analysis was used. </w:t>
      </w:r>
      <w:r w:rsidR="005A6776" w:rsidRPr="00061C75">
        <w:rPr>
          <w:szCs w:val="22"/>
        </w:rPr>
        <w:t>Intention-to-treat results were not available because t</w:t>
      </w:r>
      <w:r w:rsidRPr="00061C75">
        <w:rPr>
          <w:szCs w:val="22"/>
        </w:rPr>
        <w:t>he submission relied on published data</w:t>
      </w:r>
      <w:r w:rsidR="005A6776" w:rsidRPr="00061C75">
        <w:rPr>
          <w:szCs w:val="22"/>
        </w:rPr>
        <w:t xml:space="preserve">. </w:t>
      </w:r>
    </w:p>
    <w:p w:rsidR="002B27E0" w:rsidRPr="00061C75" w:rsidRDefault="002B27E0" w:rsidP="002B27E0">
      <w:pPr>
        <w:pStyle w:val="ListParagraph"/>
        <w:widowControl/>
        <w:rPr>
          <w:szCs w:val="22"/>
        </w:rPr>
      </w:pPr>
    </w:p>
    <w:p w:rsidR="007B2626" w:rsidRPr="00061C75" w:rsidRDefault="007B2626" w:rsidP="00EB1E21">
      <w:pPr>
        <w:pStyle w:val="ListParagraph"/>
        <w:widowControl/>
        <w:numPr>
          <w:ilvl w:val="1"/>
          <w:numId w:val="1"/>
        </w:numPr>
        <w:rPr>
          <w:szCs w:val="22"/>
        </w:rPr>
      </w:pPr>
      <w:r w:rsidRPr="00061C75">
        <w:rPr>
          <w:szCs w:val="22"/>
        </w:rPr>
        <w:t xml:space="preserve">The BRIGHT study reported aggregated results for the comparator arm for the efficacy outcomes (i.e. R-CHOP and R-CVP were combined), </w:t>
      </w:r>
      <w:r w:rsidR="002B27E0" w:rsidRPr="00061C75">
        <w:rPr>
          <w:szCs w:val="22"/>
        </w:rPr>
        <w:t>but disaggregated data for safety outcomes because the safety profile of R-CHOP is distinct from that of R</w:t>
      </w:r>
      <w:r w:rsidR="002B27E0" w:rsidRPr="00061C75">
        <w:rPr>
          <w:szCs w:val="22"/>
        </w:rPr>
        <w:noBreakHyphen/>
        <w:t xml:space="preserve">CVP. </w:t>
      </w:r>
    </w:p>
    <w:p w:rsidR="00061C75" w:rsidRDefault="00061C75" w:rsidP="00061C75">
      <w:pPr>
        <w:pStyle w:val="ListParagraph"/>
        <w:widowControl/>
      </w:pPr>
    </w:p>
    <w:p w:rsidR="00AD2E1D" w:rsidRDefault="00AD2E1D" w:rsidP="004C0A1A">
      <w:pPr>
        <w:pStyle w:val="Heading2"/>
      </w:pPr>
      <w:bookmarkStart w:id="15" w:name="_Toc409442441"/>
    </w:p>
    <w:p w:rsidR="00BD76AF" w:rsidRPr="00601FCE" w:rsidRDefault="00BD76AF" w:rsidP="004C0A1A">
      <w:pPr>
        <w:pStyle w:val="Heading2"/>
      </w:pPr>
      <w:r w:rsidRPr="00601FCE">
        <w:t>Comparative effectiveness</w:t>
      </w:r>
      <w:bookmarkEnd w:id="15"/>
      <w:r w:rsidR="00E775DE">
        <w:t xml:space="preserve">- </w:t>
      </w:r>
      <w:r w:rsidR="00E775DE" w:rsidRPr="00E775DE">
        <w:t>previously untreated iNHL and MCL patients</w:t>
      </w:r>
    </w:p>
    <w:p w:rsidR="00BD76AF" w:rsidRPr="002262E0" w:rsidRDefault="00BD76AF" w:rsidP="00BD76AF">
      <w:pPr>
        <w:rPr>
          <w:szCs w:val="22"/>
        </w:rPr>
      </w:pPr>
    </w:p>
    <w:p w:rsidR="0054414B" w:rsidRDefault="00A255D9" w:rsidP="00EB1E21">
      <w:pPr>
        <w:pStyle w:val="ListParagraph"/>
        <w:widowControl/>
        <w:numPr>
          <w:ilvl w:val="1"/>
          <w:numId w:val="1"/>
        </w:numPr>
        <w:rPr>
          <w:szCs w:val="22"/>
        </w:rPr>
      </w:pPr>
      <w:r>
        <w:rPr>
          <w:szCs w:val="22"/>
        </w:rPr>
        <w:t>For p</w:t>
      </w:r>
      <w:r w:rsidR="00BD76AF" w:rsidRPr="002262E0">
        <w:rPr>
          <w:szCs w:val="22"/>
        </w:rPr>
        <w:t xml:space="preserve">reviously untreated iNHL and MCL patients: </w:t>
      </w:r>
    </w:p>
    <w:p w:rsidR="00BD76AF" w:rsidRPr="002262E0" w:rsidRDefault="00BD76AF" w:rsidP="00EB1E21">
      <w:pPr>
        <w:pStyle w:val="ListParagraph"/>
        <w:widowControl/>
        <w:numPr>
          <w:ilvl w:val="0"/>
          <w:numId w:val="7"/>
        </w:numPr>
        <w:rPr>
          <w:szCs w:val="22"/>
        </w:rPr>
      </w:pPr>
      <w:proofErr w:type="gramStart"/>
      <w:r w:rsidRPr="002262E0">
        <w:rPr>
          <w:szCs w:val="22"/>
        </w:rPr>
        <w:t>based</w:t>
      </w:r>
      <w:proofErr w:type="gramEnd"/>
      <w:r w:rsidRPr="002262E0">
        <w:rPr>
          <w:szCs w:val="22"/>
        </w:rPr>
        <w:t xml:space="preserve"> on </w:t>
      </w:r>
      <w:r w:rsidR="00C11C87">
        <w:rPr>
          <w:szCs w:val="22"/>
        </w:rPr>
        <w:t xml:space="preserve">the </w:t>
      </w:r>
      <w:proofErr w:type="spellStart"/>
      <w:r w:rsidRPr="002262E0">
        <w:rPr>
          <w:szCs w:val="22"/>
        </w:rPr>
        <w:t>StiL</w:t>
      </w:r>
      <w:proofErr w:type="spellEnd"/>
      <w:r w:rsidR="00C11C87">
        <w:rPr>
          <w:szCs w:val="22"/>
        </w:rPr>
        <w:t xml:space="preserve"> trial</w:t>
      </w:r>
      <w:r w:rsidRPr="002262E0">
        <w:rPr>
          <w:szCs w:val="22"/>
        </w:rPr>
        <w:t xml:space="preserve">, B-R </w:t>
      </w:r>
      <w:r>
        <w:rPr>
          <w:szCs w:val="22"/>
        </w:rPr>
        <w:t>was</w:t>
      </w:r>
      <w:r w:rsidRPr="002262E0">
        <w:rPr>
          <w:szCs w:val="22"/>
        </w:rPr>
        <w:t xml:space="preserve"> associated with a longer median progression free survival (PFS) compared to R</w:t>
      </w:r>
      <w:r w:rsidR="0054414B">
        <w:rPr>
          <w:szCs w:val="22"/>
        </w:rPr>
        <w:noBreakHyphen/>
      </w:r>
      <w:r w:rsidRPr="002262E0">
        <w:rPr>
          <w:szCs w:val="22"/>
        </w:rPr>
        <w:t xml:space="preserve">CHOP. The PFS </w:t>
      </w:r>
      <w:r w:rsidR="0054414B">
        <w:rPr>
          <w:szCs w:val="22"/>
        </w:rPr>
        <w:t xml:space="preserve">result </w:t>
      </w:r>
      <w:r>
        <w:rPr>
          <w:szCs w:val="22"/>
        </w:rPr>
        <w:t>was</w:t>
      </w:r>
      <w:r w:rsidRPr="002262E0">
        <w:rPr>
          <w:szCs w:val="22"/>
        </w:rPr>
        <w:t xml:space="preserve"> statistically significant.</w:t>
      </w:r>
      <w:r w:rsidR="00C11C87">
        <w:rPr>
          <w:szCs w:val="22"/>
        </w:rPr>
        <w:t xml:space="preserve"> </w:t>
      </w:r>
    </w:p>
    <w:p w:rsidR="00BD76AF" w:rsidRPr="00780E25" w:rsidRDefault="00BD76AF" w:rsidP="00EB1E21">
      <w:pPr>
        <w:pStyle w:val="ListParagraph"/>
        <w:widowControl/>
        <w:numPr>
          <w:ilvl w:val="0"/>
          <w:numId w:val="7"/>
        </w:numPr>
        <w:rPr>
          <w:szCs w:val="22"/>
        </w:rPr>
      </w:pPr>
      <w:proofErr w:type="gramStart"/>
      <w:r w:rsidRPr="002262E0">
        <w:rPr>
          <w:szCs w:val="22"/>
        </w:rPr>
        <w:lastRenderedPageBreak/>
        <w:t>based</w:t>
      </w:r>
      <w:proofErr w:type="gramEnd"/>
      <w:r w:rsidRPr="002262E0">
        <w:rPr>
          <w:szCs w:val="22"/>
        </w:rPr>
        <w:t xml:space="preserve"> on </w:t>
      </w:r>
      <w:r w:rsidR="00C11C87">
        <w:rPr>
          <w:szCs w:val="22"/>
        </w:rPr>
        <w:t xml:space="preserve">the </w:t>
      </w:r>
      <w:r w:rsidRPr="002262E0">
        <w:rPr>
          <w:szCs w:val="22"/>
        </w:rPr>
        <w:t>BRIGHT</w:t>
      </w:r>
      <w:r w:rsidR="00C11C87">
        <w:rPr>
          <w:szCs w:val="22"/>
        </w:rPr>
        <w:t xml:space="preserve"> trial</w:t>
      </w:r>
      <w:r w:rsidRPr="002262E0">
        <w:rPr>
          <w:szCs w:val="22"/>
        </w:rPr>
        <w:t xml:space="preserve">, B-R </w:t>
      </w:r>
      <w:r>
        <w:rPr>
          <w:szCs w:val="22"/>
        </w:rPr>
        <w:t>was</w:t>
      </w:r>
      <w:r w:rsidRPr="002262E0">
        <w:rPr>
          <w:szCs w:val="22"/>
        </w:rPr>
        <w:t xml:space="preserve"> associated with a higher overall response </w:t>
      </w:r>
      <w:r w:rsidRPr="00780E25">
        <w:rPr>
          <w:szCs w:val="22"/>
        </w:rPr>
        <w:t>rate (ORR) compared to R-CHOP</w:t>
      </w:r>
      <w:r w:rsidR="0054414B" w:rsidRPr="00780E25">
        <w:rPr>
          <w:szCs w:val="22"/>
        </w:rPr>
        <w:t>/R-CVP</w:t>
      </w:r>
      <w:r w:rsidRPr="00780E25">
        <w:rPr>
          <w:szCs w:val="22"/>
        </w:rPr>
        <w:t xml:space="preserve">. </w:t>
      </w:r>
    </w:p>
    <w:p w:rsidR="00BD76AF" w:rsidRPr="00780E25" w:rsidRDefault="00BD76AF" w:rsidP="00BD76AF">
      <w:pPr>
        <w:pStyle w:val="ListParagraph"/>
        <w:widowControl/>
        <w:rPr>
          <w:szCs w:val="22"/>
        </w:rPr>
      </w:pPr>
    </w:p>
    <w:p w:rsidR="00227C0B" w:rsidRPr="00780E25" w:rsidRDefault="00227C0B" w:rsidP="00EB1E21">
      <w:pPr>
        <w:pStyle w:val="ListParagraph"/>
        <w:widowControl/>
        <w:numPr>
          <w:ilvl w:val="1"/>
          <w:numId w:val="1"/>
        </w:numPr>
        <w:rPr>
          <w:szCs w:val="22"/>
        </w:rPr>
      </w:pPr>
      <w:r w:rsidRPr="00780E25">
        <w:rPr>
          <w:szCs w:val="22"/>
        </w:rPr>
        <w:t xml:space="preserve">The </w:t>
      </w:r>
      <w:proofErr w:type="spellStart"/>
      <w:r w:rsidRPr="00780E25">
        <w:rPr>
          <w:szCs w:val="22"/>
        </w:rPr>
        <w:t>S</w:t>
      </w:r>
      <w:r w:rsidR="005C6C53">
        <w:rPr>
          <w:szCs w:val="22"/>
        </w:rPr>
        <w:t>t</w:t>
      </w:r>
      <w:r w:rsidRPr="00780E25">
        <w:rPr>
          <w:szCs w:val="22"/>
        </w:rPr>
        <w:t>iL</w:t>
      </w:r>
      <w:proofErr w:type="spellEnd"/>
      <w:r w:rsidRPr="00780E25">
        <w:rPr>
          <w:szCs w:val="22"/>
        </w:rPr>
        <w:t xml:space="preserve"> trial presented results by histological sub-group and </w:t>
      </w:r>
      <w:r w:rsidR="00CC4F4D" w:rsidRPr="00780E25">
        <w:rPr>
          <w:szCs w:val="22"/>
        </w:rPr>
        <w:t>reported that</w:t>
      </w:r>
      <w:r w:rsidRPr="00780E25">
        <w:rPr>
          <w:szCs w:val="22"/>
        </w:rPr>
        <w:t xml:space="preserve">: </w:t>
      </w:r>
    </w:p>
    <w:p w:rsidR="00227C0B" w:rsidRPr="00780E25" w:rsidRDefault="00227C0B" w:rsidP="00EB1E21">
      <w:pPr>
        <w:pStyle w:val="ListParagraph"/>
        <w:widowControl/>
        <w:numPr>
          <w:ilvl w:val="0"/>
          <w:numId w:val="7"/>
        </w:numPr>
        <w:rPr>
          <w:szCs w:val="22"/>
        </w:rPr>
      </w:pPr>
      <w:proofErr w:type="gramStart"/>
      <w:r w:rsidRPr="00780E25">
        <w:rPr>
          <w:szCs w:val="22"/>
        </w:rPr>
        <w:t>for</w:t>
      </w:r>
      <w:proofErr w:type="gramEnd"/>
      <w:r w:rsidRPr="00780E25">
        <w:rPr>
          <w:szCs w:val="22"/>
        </w:rPr>
        <w:t xml:space="preserve"> follicular lymphoma, the HR for PFS was 0.61 (</w:t>
      </w:r>
      <w:r w:rsidR="00A255D9" w:rsidRPr="00780E25">
        <w:rPr>
          <w:szCs w:val="22"/>
        </w:rPr>
        <w:t xml:space="preserve">95% CI: </w:t>
      </w:r>
      <w:r w:rsidRPr="00780E25">
        <w:rPr>
          <w:szCs w:val="22"/>
        </w:rPr>
        <w:t>0.42, 0.87).</w:t>
      </w:r>
    </w:p>
    <w:p w:rsidR="00227C0B" w:rsidRPr="00780E25" w:rsidRDefault="00227C0B" w:rsidP="00EB1E21">
      <w:pPr>
        <w:pStyle w:val="ListParagraph"/>
        <w:widowControl/>
        <w:numPr>
          <w:ilvl w:val="0"/>
          <w:numId w:val="7"/>
        </w:numPr>
        <w:rPr>
          <w:szCs w:val="22"/>
        </w:rPr>
      </w:pPr>
      <w:r w:rsidRPr="00780E25">
        <w:rPr>
          <w:szCs w:val="22"/>
        </w:rPr>
        <w:t>f</w:t>
      </w:r>
      <w:r w:rsidRPr="00780E25">
        <w:t>or MCL, median PFS was increased by 13.3 months</w:t>
      </w:r>
      <w:r w:rsidR="00A255D9" w:rsidRPr="00780E25">
        <w:t xml:space="preserve"> </w:t>
      </w:r>
      <w:r w:rsidRPr="00780E25">
        <w:t xml:space="preserve">(B-R arm 35.4 months compared </w:t>
      </w:r>
      <w:r w:rsidR="00FE0C0F" w:rsidRPr="00780E25">
        <w:t>with</w:t>
      </w:r>
      <w:r w:rsidRPr="00780E25">
        <w:t xml:space="preserve"> 22.1 months in R</w:t>
      </w:r>
      <w:r w:rsidRPr="00780E25">
        <w:noBreakHyphen/>
        <w:t xml:space="preserve">CHOP arm), </w:t>
      </w:r>
      <w:r w:rsidR="00FE0C0F" w:rsidRPr="00780E25">
        <w:t>with a</w:t>
      </w:r>
      <w:r w:rsidR="00A255D9" w:rsidRPr="00780E25">
        <w:t xml:space="preserve"> HR for PFS </w:t>
      </w:r>
      <w:r w:rsidR="00FE0C0F" w:rsidRPr="00780E25">
        <w:t>of</w:t>
      </w:r>
      <w:r w:rsidR="00A255D9" w:rsidRPr="00780E25">
        <w:t xml:space="preserve"> </w:t>
      </w:r>
      <w:r w:rsidRPr="00780E25">
        <w:t xml:space="preserve">0.49 (95% CI 0.28, 0.79). </w:t>
      </w:r>
    </w:p>
    <w:p w:rsidR="00227C0B" w:rsidRPr="00780E25" w:rsidRDefault="00227C0B" w:rsidP="00BD76AF">
      <w:pPr>
        <w:pStyle w:val="ListParagraph"/>
        <w:widowControl/>
        <w:rPr>
          <w:szCs w:val="22"/>
        </w:rPr>
      </w:pPr>
    </w:p>
    <w:p w:rsidR="00061C75" w:rsidRPr="00780E25" w:rsidRDefault="00061C75" w:rsidP="00EB1E21">
      <w:pPr>
        <w:pStyle w:val="ListParagraph"/>
        <w:widowControl/>
        <w:numPr>
          <w:ilvl w:val="1"/>
          <w:numId w:val="1"/>
        </w:numPr>
        <w:rPr>
          <w:szCs w:val="22"/>
        </w:rPr>
      </w:pPr>
      <w:r w:rsidRPr="00780E25">
        <w:t xml:space="preserve">The BRIGHT trial found that CR rate </w:t>
      </w:r>
      <w:r w:rsidR="00144A61" w:rsidRPr="00780E25">
        <w:t xml:space="preserve">for </w:t>
      </w:r>
      <w:r w:rsidRPr="00780E25">
        <w:t xml:space="preserve">B-R (31%) </w:t>
      </w:r>
      <w:r w:rsidR="00144A61" w:rsidRPr="00780E25">
        <w:t xml:space="preserve">was non-inferior to that for </w:t>
      </w:r>
      <w:r w:rsidRPr="00780E25">
        <w:t>R-CHOP/R-CVP (25%). Although the CR rate for B-R was greater than the 22% threshold for non</w:t>
      </w:r>
      <w:r w:rsidRPr="00780E25">
        <w:noBreakHyphen/>
        <w:t>inferiority set up in the trial, it was not statistically superior to the R-CHOP/R-CVP arm (p=0.1269).</w:t>
      </w:r>
    </w:p>
    <w:p w:rsidR="00061C75" w:rsidRDefault="00061C75" w:rsidP="00BD76AF">
      <w:pPr>
        <w:pStyle w:val="ListParagraph"/>
        <w:widowControl/>
        <w:rPr>
          <w:szCs w:val="22"/>
        </w:rPr>
      </w:pPr>
    </w:p>
    <w:p w:rsidR="00061C75" w:rsidRPr="002262E0" w:rsidRDefault="00061C75" w:rsidP="00BD76AF">
      <w:pPr>
        <w:pStyle w:val="ListParagraph"/>
        <w:widowControl/>
        <w:rPr>
          <w:szCs w:val="22"/>
        </w:rPr>
      </w:pPr>
    </w:p>
    <w:p w:rsidR="00BD76AF" w:rsidRPr="00601FCE" w:rsidRDefault="00BD76AF" w:rsidP="004C0A1A">
      <w:pPr>
        <w:pStyle w:val="Heading2"/>
      </w:pPr>
      <w:bookmarkStart w:id="16" w:name="_Toc409442442"/>
      <w:r w:rsidRPr="00601FCE">
        <w:t>Comparative harms</w:t>
      </w:r>
      <w:bookmarkEnd w:id="16"/>
      <w:r w:rsidR="008D2B88">
        <w:t xml:space="preserve"> </w:t>
      </w:r>
      <w:r w:rsidR="00E775DE">
        <w:t>-</w:t>
      </w:r>
      <w:r w:rsidR="00E775DE" w:rsidRPr="00E775DE">
        <w:t xml:space="preserve"> previously untreated iNHL and MCL patients</w:t>
      </w:r>
    </w:p>
    <w:p w:rsidR="00BD76AF" w:rsidRPr="002262E0" w:rsidRDefault="00BD76AF" w:rsidP="00BD76AF">
      <w:pPr>
        <w:ind w:left="720" w:hanging="720"/>
        <w:rPr>
          <w:szCs w:val="22"/>
        </w:rPr>
      </w:pPr>
    </w:p>
    <w:p w:rsidR="007042B2" w:rsidRPr="00171DE9" w:rsidRDefault="00725536" w:rsidP="00EB1E21">
      <w:pPr>
        <w:pStyle w:val="ListParagraph"/>
        <w:widowControl/>
        <w:numPr>
          <w:ilvl w:val="1"/>
          <w:numId w:val="1"/>
        </w:numPr>
        <w:rPr>
          <w:szCs w:val="22"/>
        </w:rPr>
      </w:pPr>
      <w:r w:rsidRPr="00171DE9">
        <w:t xml:space="preserve">Previously untreated iNHL and MCL patients: </w:t>
      </w:r>
    </w:p>
    <w:p w:rsidR="00BD76AF" w:rsidRPr="00171DE9" w:rsidRDefault="00725536" w:rsidP="00EB1E21">
      <w:pPr>
        <w:pStyle w:val="ListParagraph"/>
        <w:widowControl/>
        <w:numPr>
          <w:ilvl w:val="0"/>
          <w:numId w:val="6"/>
        </w:numPr>
        <w:rPr>
          <w:szCs w:val="22"/>
        </w:rPr>
      </w:pPr>
      <w:proofErr w:type="gramStart"/>
      <w:r w:rsidRPr="00171DE9">
        <w:t>based</w:t>
      </w:r>
      <w:proofErr w:type="gramEnd"/>
      <w:r w:rsidRPr="00171DE9">
        <w:t xml:space="preserve"> on </w:t>
      </w:r>
      <w:r w:rsidR="00EC2ACD" w:rsidRPr="00171DE9">
        <w:t xml:space="preserve">the </w:t>
      </w:r>
      <w:proofErr w:type="spellStart"/>
      <w:r w:rsidRPr="00171DE9">
        <w:t>StiL</w:t>
      </w:r>
      <w:proofErr w:type="spellEnd"/>
      <w:r w:rsidRPr="00171DE9">
        <w:t xml:space="preserve"> tri</w:t>
      </w:r>
      <w:r w:rsidR="00EC2ACD" w:rsidRPr="00171DE9">
        <w:t>a</w:t>
      </w:r>
      <w:r w:rsidRPr="00171DE9">
        <w:t xml:space="preserve">l, B-R was associated with </w:t>
      </w:r>
      <w:r w:rsidR="00EC2ACD" w:rsidRPr="00171DE9">
        <w:t xml:space="preserve">a </w:t>
      </w:r>
      <w:r w:rsidRPr="00171DE9">
        <w:t xml:space="preserve">lower incidence of </w:t>
      </w:r>
      <w:r w:rsidR="00EC2ACD" w:rsidRPr="00171DE9">
        <w:t xml:space="preserve">grade 3 and 4 </w:t>
      </w:r>
      <w:r w:rsidRPr="00171DE9">
        <w:t>haematological adverse events</w:t>
      </w:r>
      <w:r w:rsidR="007042B2" w:rsidRPr="00171DE9">
        <w:t xml:space="preserve"> </w:t>
      </w:r>
      <w:r w:rsidRPr="00171DE9">
        <w:t xml:space="preserve">(except for </w:t>
      </w:r>
      <w:proofErr w:type="spellStart"/>
      <w:r w:rsidRPr="00171DE9">
        <w:t>lymphocytopenia</w:t>
      </w:r>
      <w:proofErr w:type="spellEnd"/>
      <w:r w:rsidRPr="00171DE9">
        <w:t>, where 31% more cases were re</w:t>
      </w:r>
      <w:r w:rsidR="00223AB2" w:rsidRPr="00171DE9">
        <w:t>ported</w:t>
      </w:r>
      <w:r w:rsidRPr="00171DE9">
        <w:t xml:space="preserve"> in </w:t>
      </w:r>
      <w:r w:rsidR="00223AB2" w:rsidRPr="00171DE9">
        <w:t xml:space="preserve">the </w:t>
      </w:r>
      <w:r w:rsidRPr="00171DE9">
        <w:t>B-R</w:t>
      </w:r>
      <w:r w:rsidR="00061C75">
        <w:t xml:space="preserve"> group</w:t>
      </w:r>
      <w:r w:rsidRPr="00171DE9">
        <w:t>)</w:t>
      </w:r>
      <w:r w:rsidR="00223AB2" w:rsidRPr="00171DE9">
        <w:t xml:space="preserve"> and </w:t>
      </w:r>
      <w:r w:rsidRPr="00171DE9">
        <w:t xml:space="preserve">alopecia, </w:t>
      </w:r>
      <w:proofErr w:type="spellStart"/>
      <w:r w:rsidRPr="00171DE9">
        <w:t>paresthesia</w:t>
      </w:r>
      <w:proofErr w:type="spellEnd"/>
      <w:r w:rsidRPr="00171DE9">
        <w:t xml:space="preserve"> and stomatitis</w:t>
      </w:r>
      <w:r w:rsidR="007042B2" w:rsidRPr="00171DE9">
        <w:t xml:space="preserve"> </w:t>
      </w:r>
      <w:r w:rsidR="00223AB2" w:rsidRPr="00171DE9">
        <w:t>compared to</w:t>
      </w:r>
      <w:r w:rsidR="007042B2" w:rsidRPr="00171DE9">
        <w:t xml:space="preserve"> R-CHOP</w:t>
      </w:r>
      <w:r w:rsidRPr="00171DE9">
        <w:t>.</w:t>
      </w:r>
    </w:p>
    <w:p w:rsidR="00BD76AF" w:rsidRPr="00171DE9" w:rsidRDefault="00BD76AF" w:rsidP="00EB1E21">
      <w:pPr>
        <w:pStyle w:val="ListParagraph"/>
        <w:widowControl/>
        <w:numPr>
          <w:ilvl w:val="0"/>
          <w:numId w:val="6"/>
        </w:numPr>
      </w:pPr>
      <w:proofErr w:type="gramStart"/>
      <w:r w:rsidRPr="00171DE9">
        <w:t>based</w:t>
      </w:r>
      <w:proofErr w:type="gramEnd"/>
      <w:r w:rsidRPr="00171DE9">
        <w:t xml:space="preserve"> </w:t>
      </w:r>
      <w:r w:rsidR="007042B2" w:rsidRPr="00171DE9">
        <w:t xml:space="preserve">on the </w:t>
      </w:r>
      <w:r w:rsidRPr="00171DE9">
        <w:t xml:space="preserve">BRIGHT </w:t>
      </w:r>
      <w:r w:rsidR="007042B2" w:rsidRPr="00171DE9">
        <w:t>trial</w:t>
      </w:r>
      <w:r w:rsidRPr="00171DE9">
        <w:t xml:space="preserve">, B-R was </w:t>
      </w:r>
      <w:r w:rsidR="007042B2" w:rsidRPr="00171DE9">
        <w:t xml:space="preserve">also </w:t>
      </w:r>
      <w:r w:rsidRPr="00171DE9">
        <w:t xml:space="preserve">associated with </w:t>
      </w:r>
      <w:r w:rsidR="00EC2ACD" w:rsidRPr="00171DE9">
        <w:t xml:space="preserve">a </w:t>
      </w:r>
      <w:r w:rsidRPr="00171DE9">
        <w:t xml:space="preserve">lower </w:t>
      </w:r>
      <w:r w:rsidR="00EC2ACD" w:rsidRPr="00171DE9">
        <w:t>incidence</w:t>
      </w:r>
      <w:r w:rsidRPr="00171DE9">
        <w:t xml:space="preserve"> of non-haematological </w:t>
      </w:r>
      <w:r w:rsidR="00EC2ACD" w:rsidRPr="00171DE9">
        <w:t>adverse events, such as</w:t>
      </w:r>
      <w:r w:rsidRPr="00171DE9">
        <w:t xml:space="preserve"> </w:t>
      </w:r>
      <w:r w:rsidR="00725536" w:rsidRPr="00171DE9">
        <w:t xml:space="preserve">alopecia, </w:t>
      </w:r>
      <w:proofErr w:type="spellStart"/>
      <w:r w:rsidR="00725536" w:rsidRPr="00171DE9">
        <w:t>pare</w:t>
      </w:r>
      <w:r w:rsidRPr="00171DE9">
        <w:t>sthesia</w:t>
      </w:r>
      <w:proofErr w:type="spellEnd"/>
      <w:r w:rsidRPr="00171DE9">
        <w:t xml:space="preserve"> and mucosal </w:t>
      </w:r>
      <w:r w:rsidR="00725536" w:rsidRPr="00171DE9">
        <w:t>inflammation</w:t>
      </w:r>
      <w:r w:rsidR="007042B2" w:rsidRPr="00171DE9">
        <w:t>, compared to R-CHOP</w:t>
      </w:r>
      <w:r w:rsidRPr="00171DE9">
        <w:t>.</w:t>
      </w:r>
    </w:p>
    <w:p w:rsidR="00BD76AF" w:rsidRPr="00C0135C" w:rsidRDefault="00BD76AF" w:rsidP="00BD76AF">
      <w:pPr>
        <w:pStyle w:val="ListParagraph"/>
        <w:ind w:left="0"/>
        <w:rPr>
          <w:szCs w:val="22"/>
          <w:highlight w:val="cyan"/>
        </w:rPr>
      </w:pPr>
    </w:p>
    <w:p w:rsidR="00631CD8" w:rsidRPr="00C0135C" w:rsidRDefault="00631CD8" w:rsidP="00EB1E21">
      <w:pPr>
        <w:pStyle w:val="ListParagraph"/>
        <w:widowControl/>
        <w:numPr>
          <w:ilvl w:val="1"/>
          <w:numId w:val="1"/>
        </w:numPr>
      </w:pPr>
      <w:r w:rsidRPr="00C0135C">
        <w:t xml:space="preserve">There were some adverse events for which the rate was higher with B-R compared </w:t>
      </w:r>
      <w:r w:rsidR="00FE0C0F" w:rsidRPr="00C0135C">
        <w:t xml:space="preserve">with </w:t>
      </w:r>
      <w:r w:rsidRPr="00C0135C">
        <w:t xml:space="preserve">R-CHOP: </w:t>
      </w:r>
    </w:p>
    <w:p w:rsidR="00631CD8" w:rsidRPr="00C0135C" w:rsidRDefault="00631CD8" w:rsidP="00EB1E21">
      <w:pPr>
        <w:pStyle w:val="ListParagraph"/>
        <w:widowControl/>
        <w:numPr>
          <w:ilvl w:val="0"/>
          <w:numId w:val="6"/>
        </w:numPr>
      </w:pPr>
      <w:r w:rsidRPr="00C0135C">
        <w:t xml:space="preserve">Based on the </w:t>
      </w:r>
      <w:proofErr w:type="spellStart"/>
      <w:r w:rsidRPr="00C0135C">
        <w:t>StiL</w:t>
      </w:r>
      <w:proofErr w:type="spellEnd"/>
      <w:r w:rsidRPr="00C0135C">
        <w:t xml:space="preserve"> trial, B-R was associated with an increased risk of skin reactions compared </w:t>
      </w:r>
      <w:r w:rsidR="00FE0C0F" w:rsidRPr="00C0135C">
        <w:t>with</w:t>
      </w:r>
      <w:r w:rsidRPr="00C0135C">
        <w:t xml:space="preserve"> R-CHOP (16% and 9% of patients experienced erythema in the B-R and R-CHOP arms, respectively).  </w:t>
      </w:r>
    </w:p>
    <w:p w:rsidR="00631CD8" w:rsidRPr="00C0135C" w:rsidRDefault="00631CD8" w:rsidP="00EB1E21">
      <w:pPr>
        <w:pStyle w:val="ListParagraph"/>
        <w:widowControl/>
        <w:numPr>
          <w:ilvl w:val="0"/>
          <w:numId w:val="6"/>
        </w:numPr>
      </w:pPr>
      <w:r w:rsidRPr="00C0135C">
        <w:t>Based on the BRIGHT trial B-R was associated with a</w:t>
      </w:r>
      <w:r w:rsidR="00C0135C" w:rsidRPr="00C0135C">
        <w:t xml:space="preserve"> higher incidence </w:t>
      </w:r>
      <w:r w:rsidRPr="00C0135C">
        <w:t xml:space="preserve">of vomiting compared </w:t>
      </w:r>
      <w:r w:rsidR="00FE0C0F" w:rsidRPr="00C0135C">
        <w:t>with</w:t>
      </w:r>
      <w:r w:rsidRPr="00C0135C">
        <w:t xml:space="preserve"> R-CHOP (29% versus 13%, Relative Risk of 2.20 [95% CI: 1.22, 3.96]), </w:t>
      </w:r>
      <w:r w:rsidR="00C0135C">
        <w:t>while</w:t>
      </w:r>
      <w:r w:rsidR="00C0135C" w:rsidRPr="00C0135C">
        <w:t xml:space="preserve"> </w:t>
      </w:r>
      <w:r w:rsidRPr="00C0135C">
        <w:t xml:space="preserve">the </w:t>
      </w:r>
      <w:proofErr w:type="spellStart"/>
      <w:r w:rsidRPr="00C0135C">
        <w:t>StiL</w:t>
      </w:r>
      <w:proofErr w:type="spellEnd"/>
      <w:r w:rsidRPr="00C0135C">
        <w:t xml:space="preserve"> </w:t>
      </w:r>
      <w:r w:rsidR="00C0135C">
        <w:t>trial</w:t>
      </w:r>
      <w:r w:rsidRPr="00C0135C">
        <w:t xml:space="preserve"> reported </w:t>
      </w:r>
      <w:r w:rsidR="00FE0C0F" w:rsidRPr="00C0135C">
        <w:t xml:space="preserve">a </w:t>
      </w:r>
      <w:r w:rsidRPr="00C0135C">
        <w:t xml:space="preserve">similar incidence of vomiting in both treatment groups (B-R = 46%, R CHOP = 42%). </w:t>
      </w:r>
    </w:p>
    <w:p w:rsidR="00631CD8" w:rsidRPr="00C0135C" w:rsidRDefault="00631CD8" w:rsidP="00631CD8">
      <w:pPr>
        <w:pStyle w:val="ListParagraph"/>
        <w:widowControl/>
      </w:pPr>
    </w:p>
    <w:p w:rsidR="00BD76AF" w:rsidRPr="00171DE9" w:rsidRDefault="00BD76AF" w:rsidP="004C0A1A">
      <w:pPr>
        <w:pStyle w:val="Heading2"/>
      </w:pPr>
      <w:bookmarkStart w:id="17" w:name="_Toc409442443"/>
      <w:r w:rsidRPr="00171DE9">
        <w:t>Benefits/harms</w:t>
      </w:r>
      <w:bookmarkEnd w:id="17"/>
      <w:r w:rsidR="00E775DE" w:rsidRPr="00E775DE">
        <w:t xml:space="preserve"> </w:t>
      </w:r>
      <w:r w:rsidR="00E775DE">
        <w:t xml:space="preserve">- </w:t>
      </w:r>
      <w:r w:rsidR="00E775DE" w:rsidRPr="00E775DE">
        <w:t>previously untreated iNHL and MCL patients</w:t>
      </w:r>
    </w:p>
    <w:p w:rsidR="00BD76AF" w:rsidRPr="00171DE9" w:rsidRDefault="00BD76AF" w:rsidP="00BD76AF">
      <w:pPr>
        <w:pStyle w:val="ListParagraph"/>
        <w:ind w:left="0"/>
        <w:rPr>
          <w:szCs w:val="22"/>
          <w:highlight w:val="cyan"/>
        </w:rPr>
      </w:pPr>
    </w:p>
    <w:p w:rsidR="00BD76AF" w:rsidRPr="00171DE9" w:rsidRDefault="00223AB2" w:rsidP="00EB1E21">
      <w:pPr>
        <w:pStyle w:val="ListParagraph"/>
        <w:widowControl/>
        <w:numPr>
          <w:ilvl w:val="1"/>
          <w:numId w:val="1"/>
        </w:numPr>
        <w:rPr>
          <w:szCs w:val="22"/>
        </w:rPr>
      </w:pPr>
      <w:r w:rsidRPr="00171DE9">
        <w:rPr>
          <w:szCs w:val="22"/>
        </w:rPr>
        <w:t>The</w:t>
      </w:r>
      <w:r w:rsidR="00BD76AF" w:rsidRPr="00171DE9">
        <w:rPr>
          <w:szCs w:val="22"/>
        </w:rPr>
        <w:t xml:space="preserve"> summary of the comparative benefits and harms for </w:t>
      </w:r>
      <w:r w:rsidR="0086104A">
        <w:rPr>
          <w:szCs w:val="22"/>
        </w:rPr>
        <w:t>B-R</w:t>
      </w:r>
      <w:r w:rsidR="00BD76AF" w:rsidRPr="00171DE9">
        <w:rPr>
          <w:szCs w:val="22"/>
        </w:rPr>
        <w:t xml:space="preserve"> versus R-CHOP </w:t>
      </w:r>
      <w:r w:rsidR="006C50D2" w:rsidRPr="00171DE9">
        <w:rPr>
          <w:szCs w:val="22"/>
        </w:rPr>
        <w:t xml:space="preserve">was updated </w:t>
      </w:r>
      <w:r w:rsidR="00AA3F91" w:rsidRPr="00171DE9">
        <w:rPr>
          <w:szCs w:val="22"/>
        </w:rPr>
        <w:t>by the ESC</w:t>
      </w:r>
      <w:r w:rsidR="006C50D2" w:rsidRPr="00171DE9">
        <w:rPr>
          <w:szCs w:val="22"/>
        </w:rPr>
        <w:t xml:space="preserve"> and is </w:t>
      </w:r>
      <w:r w:rsidR="00BD76AF" w:rsidRPr="00171DE9">
        <w:rPr>
          <w:szCs w:val="22"/>
        </w:rPr>
        <w:t xml:space="preserve">presented in the table below. </w:t>
      </w:r>
    </w:p>
    <w:p w:rsidR="00AA3F91" w:rsidRPr="00171DE9" w:rsidRDefault="00AA3F91" w:rsidP="00AA3F91">
      <w:pPr>
        <w:pStyle w:val="ListParagraph"/>
        <w:widowControl/>
        <w:rPr>
          <w:szCs w:val="22"/>
        </w:rPr>
      </w:pPr>
    </w:p>
    <w:p w:rsidR="006C50D2" w:rsidRPr="00171DE9" w:rsidRDefault="006C50D2" w:rsidP="00780E25">
      <w:pPr>
        <w:keepNext/>
        <w:keepLines/>
        <w:ind w:firstLine="720"/>
        <w:rPr>
          <w:rStyle w:val="CommentReference"/>
        </w:rPr>
      </w:pPr>
      <w:r w:rsidRPr="00171DE9">
        <w:rPr>
          <w:rStyle w:val="CommentReference"/>
        </w:rPr>
        <w:lastRenderedPageBreak/>
        <w:t xml:space="preserve">Summary of comparative benefits and harms for Bendamustine- Rituximab and R-CHOP </w:t>
      </w:r>
    </w:p>
    <w:tbl>
      <w:tblPr>
        <w:tblStyle w:val="TableGrid"/>
        <w:tblW w:w="4700" w:type="pct"/>
        <w:tblInd w:w="698" w:type="dxa"/>
        <w:tblLayout w:type="fixed"/>
        <w:tblCellMar>
          <w:left w:w="28" w:type="dxa"/>
          <w:right w:w="28" w:type="dxa"/>
        </w:tblCellMar>
        <w:tblLook w:val="04A0" w:firstRow="1" w:lastRow="0" w:firstColumn="1" w:lastColumn="0" w:noHBand="0" w:noVBand="1"/>
        <w:tblCaption w:val="Comparative benefits and harms"/>
      </w:tblPr>
      <w:tblGrid>
        <w:gridCol w:w="1867"/>
        <w:gridCol w:w="1480"/>
        <w:gridCol w:w="1644"/>
        <w:gridCol w:w="1761"/>
        <w:gridCol w:w="1786"/>
      </w:tblGrid>
      <w:tr w:rsidR="006C50D2" w:rsidRPr="00171DE9" w:rsidTr="006C50D2">
        <w:tc>
          <w:tcPr>
            <w:tcW w:w="5000" w:type="pct"/>
            <w:gridSpan w:val="5"/>
            <w:shd w:val="clear" w:color="auto" w:fill="auto"/>
            <w:vAlign w:val="center"/>
          </w:tcPr>
          <w:p w:rsidR="006C50D2" w:rsidRPr="00171DE9" w:rsidRDefault="006C50D2" w:rsidP="00780E25">
            <w:pPr>
              <w:keepNext/>
              <w:keepLines/>
              <w:rPr>
                <w:rFonts w:ascii="Arial Narrow" w:hAnsi="Arial Narrow"/>
                <w:b/>
                <w:color w:val="000000"/>
                <w:sz w:val="20"/>
              </w:rPr>
            </w:pPr>
            <w:r w:rsidRPr="00171DE9">
              <w:rPr>
                <w:rFonts w:ascii="Arial Narrow" w:hAnsi="Arial Narrow"/>
                <w:b/>
                <w:color w:val="000000"/>
                <w:sz w:val="20"/>
              </w:rPr>
              <w:t>Benefits</w:t>
            </w:r>
          </w:p>
        </w:tc>
      </w:tr>
      <w:tr w:rsidR="006C50D2" w:rsidRPr="00171DE9" w:rsidTr="006C50D2">
        <w:tc>
          <w:tcPr>
            <w:tcW w:w="5000" w:type="pct"/>
            <w:gridSpan w:val="5"/>
            <w:shd w:val="clear" w:color="auto" w:fill="auto"/>
            <w:vAlign w:val="center"/>
          </w:tcPr>
          <w:p w:rsidR="006C50D2" w:rsidRPr="00171DE9" w:rsidRDefault="006C50D2" w:rsidP="00780E25">
            <w:pPr>
              <w:keepNext/>
              <w:keepLines/>
              <w:rPr>
                <w:rFonts w:ascii="Arial Narrow" w:hAnsi="Arial Narrow"/>
                <w:b/>
                <w:color w:val="000000"/>
                <w:sz w:val="20"/>
              </w:rPr>
            </w:pPr>
            <w:r w:rsidRPr="00171DE9">
              <w:rPr>
                <w:rFonts w:ascii="Arial Narrow" w:hAnsi="Arial Narrow"/>
                <w:b/>
                <w:color w:val="000000"/>
                <w:sz w:val="20"/>
              </w:rPr>
              <w:t>P</w:t>
            </w:r>
            <w:r w:rsidR="007B2626" w:rsidRPr="00171DE9">
              <w:rPr>
                <w:rFonts w:ascii="Arial Narrow" w:hAnsi="Arial Narrow"/>
                <w:b/>
                <w:color w:val="000000"/>
                <w:sz w:val="20"/>
              </w:rPr>
              <w:t xml:space="preserve">rogression </w:t>
            </w:r>
            <w:r w:rsidRPr="00171DE9">
              <w:rPr>
                <w:rFonts w:ascii="Arial Narrow" w:hAnsi="Arial Narrow"/>
                <w:b/>
                <w:color w:val="000000"/>
                <w:sz w:val="20"/>
              </w:rPr>
              <w:t>F</w:t>
            </w:r>
            <w:r w:rsidR="007B2626" w:rsidRPr="00171DE9">
              <w:rPr>
                <w:rFonts w:ascii="Arial Narrow" w:hAnsi="Arial Narrow"/>
                <w:b/>
                <w:color w:val="000000"/>
                <w:sz w:val="20"/>
              </w:rPr>
              <w:t xml:space="preserve">ree </w:t>
            </w:r>
            <w:r w:rsidRPr="00171DE9">
              <w:rPr>
                <w:rFonts w:ascii="Arial Narrow" w:hAnsi="Arial Narrow"/>
                <w:b/>
                <w:color w:val="000000"/>
                <w:sz w:val="20"/>
              </w:rPr>
              <w:t>S</w:t>
            </w:r>
            <w:r w:rsidR="007B2626" w:rsidRPr="00171DE9">
              <w:rPr>
                <w:rFonts w:ascii="Arial Narrow" w:hAnsi="Arial Narrow"/>
                <w:b/>
                <w:color w:val="000000"/>
                <w:sz w:val="20"/>
              </w:rPr>
              <w:t>urvival</w:t>
            </w:r>
          </w:p>
        </w:tc>
      </w:tr>
      <w:tr w:rsidR="006C50D2" w:rsidRPr="00171DE9" w:rsidTr="006C50D2">
        <w:tc>
          <w:tcPr>
            <w:tcW w:w="1093" w:type="pct"/>
            <w:shd w:val="clear" w:color="auto" w:fill="auto"/>
            <w:vAlign w:val="center"/>
          </w:tcPr>
          <w:p w:rsidR="006C50D2" w:rsidRPr="00171DE9" w:rsidRDefault="006C50D2" w:rsidP="00780E25">
            <w:pPr>
              <w:keepNext/>
              <w:keepLines/>
              <w:jc w:val="left"/>
              <w:rPr>
                <w:rFonts w:ascii="Arial Narrow" w:hAnsi="Arial Narrow"/>
                <w:color w:val="000000"/>
                <w:sz w:val="20"/>
              </w:rPr>
            </w:pPr>
            <w:proofErr w:type="spellStart"/>
            <w:r w:rsidRPr="00171DE9">
              <w:rPr>
                <w:rFonts w:ascii="Arial Narrow" w:hAnsi="Arial Narrow"/>
                <w:color w:val="000000"/>
                <w:sz w:val="20"/>
              </w:rPr>
              <w:t>StiL</w:t>
            </w:r>
            <w:proofErr w:type="spellEnd"/>
          </w:p>
        </w:tc>
        <w:tc>
          <w:tcPr>
            <w:tcW w:w="867" w:type="pct"/>
            <w:vAlign w:val="center"/>
          </w:tcPr>
          <w:p w:rsidR="006C50D2" w:rsidRPr="00171DE9" w:rsidRDefault="006C50D2" w:rsidP="00780E25">
            <w:pPr>
              <w:keepNext/>
              <w:keepLines/>
              <w:jc w:val="center"/>
              <w:rPr>
                <w:rFonts w:ascii="Arial Narrow" w:hAnsi="Arial Narrow"/>
                <w:b/>
                <w:color w:val="000000"/>
                <w:sz w:val="20"/>
              </w:rPr>
            </w:pPr>
            <w:r w:rsidRPr="00171DE9">
              <w:rPr>
                <w:rFonts w:ascii="Arial Narrow" w:hAnsi="Arial Narrow"/>
                <w:b/>
                <w:color w:val="000000"/>
                <w:sz w:val="20"/>
              </w:rPr>
              <w:t>B-R</w:t>
            </w:r>
          </w:p>
        </w:tc>
        <w:tc>
          <w:tcPr>
            <w:tcW w:w="963" w:type="pct"/>
            <w:vAlign w:val="center"/>
          </w:tcPr>
          <w:p w:rsidR="006C50D2" w:rsidRPr="00171DE9" w:rsidRDefault="006C50D2" w:rsidP="00780E25">
            <w:pPr>
              <w:keepNext/>
              <w:keepLines/>
              <w:jc w:val="center"/>
              <w:rPr>
                <w:rFonts w:ascii="Arial Narrow" w:hAnsi="Arial Narrow"/>
                <w:b/>
                <w:color w:val="000000"/>
                <w:sz w:val="20"/>
              </w:rPr>
            </w:pPr>
            <w:r w:rsidRPr="00171DE9">
              <w:rPr>
                <w:rFonts w:ascii="Arial Narrow" w:hAnsi="Arial Narrow"/>
                <w:b/>
                <w:color w:val="000000"/>
                <w:sz w:val="20"/>
              </w:rPr>
              <w:t>R-CHOP</w:t>
            </w:r>
          </w:p>
        </w:tc>
        <w:tc>
          <w:tcPr>
            <w:tcW w:w="1031" w:type="pct"/>
            <w:vAlign w:val="center"/>
          </w:tcPr>
          <w:p w:rsidR="006C50D2" w:rsidRPr="00171DE9" w:rsidRDefault="006C50D2" w:rsidP="00780E25">
            <w:pPr>
              <w:keepNext/>
              <w:keepLines/>
              <w:jc w:val="center"/>
              <w:rPr>
                <w:rFonts w:ascii="Arial Narrow" w:hAnsi="Arial Narrow"/>
                <w:b/>
                <w:color w:val="000000"/>
                <w:sz w:val="20"/>
              </w:rPr>
            </w:pPr>
            <w:r w:rsidRPr="00171DE9">
              <w:rPr>
                <w:rFonts w:ascii="Arial Narrow" w:hAnsi="Arial Narrow"/>
                <w:b/>
                <w:color w:val="000000"/>
                <w:sz w:val="20"/>
              </w:rPr>
              <w:t>Absolute Difference</w:t>
            </w:r>
          </w:p>
        </w:tc>
        <w:tc>
          <w:tcPr>
            <w:tcW w:w="1046" w:type="pct"/>
            <w:vAlign w:val="center"/>
          </w:tcPr>
          <w:p w:rsidR="006C50D2" w:rsidRPr="00171DE9" w:rsidRDefault="006C50D2" w:rsidP="00780E25">
            <w:pPr>
              <w:keepNext/>
              <w:keepLines/>
              <w:jc w:val="center"/>
              <w:rPr>
                <w:rFonts w:ascii="Arial Narrow" w:hAnsi="Arial Narrow"/>
                <w:b/>
                <w:color w:val="000000"/>
                <w:sz w:val="20"/>
              </w:rPr>
            </w:pPr>
            <w:r w:rsidRPr="00171DE9">
              <w:rPr>
                <w:rFonts w:ascii="Arial Narrow" w:hAnsi="Arial Narrow"/>
                <w:b/>
                <w:color w:val="000000"/>
                <w:sz w:val="20"/>
              </w:rPr>
              <w:t>HR (95% CI)</w:t>
            </w:r>
          </w:p>
        </w:tc>
      </w:tr>
      <w:tr w:rsidR="006C50D2" w:rsidRPr="00171DE9" w:rsidTr="006C50D2">
        <w:tc>
          <w:tcPr>
            <w:tcW w:w="1093" w:type="pct"/>
            <w:shd w:val="clear" w:color="auto" w:fill="auto"/>
            <w:vAlign w:val="center"/>
          </w:tcPr>
          <w:p w:rsidR="006C50D2" w:rsidRPr="00171DE9" w:rsidRDefault="006C50D2" w:rsidP="00780E25">
            <w:pPr>
              <w:keepNext/>
              <w:keepLines/>
              <w:rPr>
                <w:rFonts w:ascii="Arial Narrow" w:hAnsi="Arial Narrow"/>
                <w:color w:val="000000"/>
                <w:sz w:val="20"/>
              </w:rPr>
            </w:pPr>
            <w:r w:rsidRPr="00171DE9">
              <w:rPr>
                <w:rFonts w:ascii="Arial Narrow" w:hAnsi="Arial Narrow"/>
                <w:color w:val="000000"/>
                <w:sz w:val="20"/>
              </w:rPr>
              <w:t>Progressed (events)</w:t>
            </w:r>
          </w:p>
        </w:tc>
        <w:tc>
          <w:tcPr>
            <w:tcW w:w="867" w:type="pct"/>
          </w:tcPr>
          <w:p w:rsidR="006C50D2" w:rsidRPr="00171DE9" w:rsidRDefault="006C50D2" w:rsidP="00780E25">
            <w:pPr>
              <w:keepNext/>
              <w:keepLines/>
              <w:jc w:val="center"/>
              <w:rPr>
                <w:rFonts w:ascii="Arial Narrow" w:hAnsi="Arial Narrow"/>
                <w:sz w:val="20"/>
              </w:rPr>
            </w:pPr>
            <w:r w:rsidRPr="00171DE9">
              <w:rPr>
                <w:rFonts w:ascii="Arial Narrow" w:hAnsi="Arial Narrow"/>
                <w:sz w:val="20"/>
              </w:rPr>
              <w:t>103/261</w:t>
            </w:r>
          </w:p>
        </w:tc>
        <w:tc>
          <w:tcPr>
            <w:tcW w:w="963" w:type="pct"/>
          </w:tcPr>
          <w:p w:rsidR="006C50D2" w:rsidRPr="00171DE9" w:rsidRDefault="006C50D2" w:rsidP="00780E25">
            <w:pPr>
              <w:keepNext/>
              <w:keepLines/>
              <w:jc w:val="center"/>
              <w:rPr>
                <w:rFonts w:ascii="Arial Narrow" w:hAnsi="Arial Narrow"/>
                <w:sz w:val="20"/>
              </w:rPr>
            </w:pPr>
            <w:r w:rsidRPr="00171DE9">
              <w:rPr>
                <w:rFonts w:ascii="Arial Narrow" w:hAnsi="Arial Narrow"/>
                <w:sz w:val="20"/>
              </w:rPr>
              <w:t>143/253</w:t>
            </w:r>
          </w:p>
        </w:tc>
        <w:tc>
          <w:tcPr>
            <w:tcW w:w="1031"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w:t>
            </w:r>
          </w:p>
        </w:tc>
        <w:tc>
          <w:tcPr>
            <w:tcW w:w="1046"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0.58 (0.44, 0.74)</w:t>
            </w:r>
          </w:p>
        </w:tc>
      </w:tr>
      <w:tr w:rsidR="006C50D2" w:rsidRPr="00171DE9" w:rsidTr="006C50D2">
        <w:tc>
          <w:tcPr>
            <w:tcW w:w="1093" w:type="pct"/>
            <w:shd w:val="clear" w:color="auto" w:fill="auto"/>
            <w:vAlign w:val="center"/>
          </w:tcPr>
          <w:p w:rsidR="006C50D2" w:rsidRPr="00171DE9" w:rsidRDefault="006C50D2" w:rsidP="00780E25">
            <w:pPr>
              <w:keepNext/>
              <w:keepLines/>
              <w:rPr>
                <w:rFonts w:ascii="Arial Narrow" w:hAnsi="Arial Narrow"/>
                <w:color w:val="000000"/>
                <w:sz w:val="20"/>
              </w:rPr>
            </w:pPr>
            <w:r w:rsidRPr="00171DE9">
              <w:rPr>
                <w:rFonts w:ascii="Arial Narrow" w:hAnsi="Arial Narrow"/>
                <w:color w:val="000000"/>
                <w:sz w:val="20"/>
              </w:rPr>
              <w:t>Median (</w:t>
            </w:r>
            <w:proofErr w:type="spellStart"/>
            <w:r w:rsidRPr="00171DE9">
              <w:rPr>
                <w:rFonts w:ascii="Arial Narrow" w:hAnsi="Arial Narrow"/>
                <w:color w:val="000000"/>
                <w:sz w:val="20"/>
              </w:rPr>
              <w:t>mths</w:t>
            </w:r>
            <w:proofErr w:type="spellEnd"/>
            <w:r w:rsidRPr="00171DE9">
              <w:rPr>
                <w:rFonts w:ascii="Arial Narrow" w:hAnsi="Arial Narrow"/>
                <w:color w:val="000000"/>
                <w:sz w:val="20"/>
              </w:rPr>
              <w:t>)</w:t>
            </w:r>
          </w:p>
        </w:tc>
        <w:tc>
          <w:tcPr>
            <w:tcW w:w="867" w:type="pct"/>
          </w:tcPr>
          <w:p w:rsidR="006C50D2" w:rsidRPr="00171DE9" w:rsidRDefault="006C50D2" w:rsidP="00780E25">
            <w:pPr>
              <w:keepNext/>
              <w:keepLines/>
              <w:jc w:val="center"/>
              <w:rPr>
                <w:rFonts w:ascii="Arial Narrow" w:hAnsi="Arial Narrow"/>
                <w:sz w:val="20"/>
              </w:rPr>
            </w:pPr>
            <w:r w:rsidRPr="00171DE9">
              <w:rPr>
                <w:rFonts w:ascii="Arial Narrow" w:hAnsi="Arial Narrow"/>
                <w:sz w:val="20"/>
              </w:rPr>
              <w:t>69.5  (26.1</w:t>
            </w:r>
            <w:r w:rsidR="007B2626" w:rsidRPr="00171DE9">
              <w:rPr>
                <w:rFonts w:ascii="Arial Narrow" w:hAnsi="Arial Narrow"/>
                <w:sz w:val="20"/>
              </w:rPr>
              <w:t xml:space="preserve">, </w:t>
            </w:r>
            <w:r w:rsidRPr="00171DE9">
              <w:rPr>
                <w:rFonts w:ascii="Arial Narrow" w:hAnsi="Arial Narrow"/>
                <w:sz w:val="20"/>
              </w:rPr>
              <w:t xml:space="preserve"> – )</w:t>
            </w:r>
          </w:p>
        </w:tc>
        <w:tc>
          <w:tcPr>
            <w:tcW w:w="963" w:type="pct"/>
          </w:tcPr>
          <w:p w:rsidR="006C50D2" w:rsidRPr="00171DE9" w:rsidRDefault="006C50D2" w:rsidP="00780E25">
            <w:pPr>
              <w:keepNext/>
              <w:keepLines/>
              <w:jc w:val="center"/>
              <w:rPr>
                <w:rFonts w:ascii="Arial Narrow" w:hAnsi="Arial Narrow"/>
                <w:sz w:val="20"/>
              </w:rPr>
            </w:pPr>
            <w:r w:rsidRPr="00171DE9">
              <w:rPr>
                <w:rFonts w:ascii="Arial Narrow" w:hAnsi="Arial Narrow"/>
                <w:sz w:val="20"/>
              </w:rPr>
              <w:t>31.2 (15.2</w:t>
            </w:r>
            <w:r w:rsidR="007B2626" w:rsidRPr="00171DE9">
              <w:rPr>
                <w:rFonts w:ascii="Arial Narrow" w:hAnsi="Arial Narrow"/>
                <w:sz w:val="20"/>
              </w:rPr>
              <w:t>,</w:t>
            </w:r>
            <w:r w:rsidRPr="00171DE9">
              <w:rPr>
                <w:rFonts w:ascii="Arial Narrow" w:hAnsi="Arial Narrow"/>
                <w:sz w:val="20"/>
              </w:rPr>
              <w:t xml:space="preserve">  65.7)</w:t>
            </w:r>
          </w:p>
        </w:tc>
        <w:tc>
          <w:tcPr>
            <w:tcW w:w="1031"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38.3</w:t>
            </w:r>
          </w:p>
        </w:tc>
        <w:tc>
          <w:tcPr>
            <w:tcW w:w="1046" w:type="pct"/>
            <w:vAlign w:val="center"/>
          </w:tcPr>
          <w:p w:rsidR="006C50D2" w:rsidRPr="00171DE9" w:rsidRDefault="006C50D2" w:rsidP="00780E25">
            <w:pPr>
              <w:keepNext/>
              <w:keepLines/>
              <w:jc w:val="center"/>
              <w:rPr>
                <w:rFonts w:ascii="Arial Narrow" w:hAnsi="Arial Narrow"/>
                <w:color w:val="000000"/>
                <w:sz w:val="20"/>
              </w:rPr>
            </w:pPr>
          </w:p>
        </w:tc>
      </w:tr>
    </w:tbl>
    <w:tbl>
      <w:tblPr>
        <w:tblStyle w:val="TableGrid1"/>
        <w:tblW w:w="4700" w:type="pct"/>
        <w:tblInd w:w="698" w:type="dxa"/>
        <w:tblLayout w:type="fixed"/>
        <w:tblCellMar>
          <w:left w:w="28" w:type="dxa"/>
          <w:right w:w="28" w:type="dxa"/>
        </w:tblCellMar>
        <w:tblLook w:val="04A0" w:firstRow="1" w:lastRow="0" w:firstColumn="1" w:lastColumn="0" w:noHBand="0" w:noVBand="1"/>
        <w:tblCaption w:val="Comparative benefits and harms"/>
      </w:tblPr>
      <w:tblGrid>
        <w:gridCol w:w="1158"/>
        <w:gridCol w:w="1151"/>
        <w:gridCol w:w="1293"/>
        <w:gridCol w:w="1568"/>
        <w:gridCol w:w="1084"/>
        <w:gridCol w:w="1077"/>
        <w:gridCol w:w="1207"/>
      </w:tblGrid>
      <w:tr w:rsidR="006C50D2" w:rsidRPr="00171DE9" w:rsidTr="006C50D2">
        <w:trPr>
          <w:trHeight w:val="150"/>
        </w:trPr>
        <w:tc>
          <w:tcPr>
            <w:tcW w:w="5000" w:type="pct"/>
            <w:gridSpan w:val="7"/>
            <w:shd w:val="clear" w:color="auto" w:fill="auto"/>
            <w:vAlign w:val="center"/>
          </w:tcPr>
          <w:p w:rsidR="006C50D2" w:rsidRPr="00171DE9" w:rsidRDefault="006C50D2" w:rsidP="00780E25">
            <w:pPr>
              <w:keepNext/>
              <w:keepLines/>
              <w:jc w:val="left"/>
              <w:rPr>
                <w:rFonts w:ascii="Arial Narrow" w:hAnsi="Arial Narrow"/>
                <w:b/>
                <w:color w:val="000000"/>
                <w:sz w:val="20"/>
                <w:szCs w:val="20"/>
              </w:rPr>
            </w:pPr>
            <w:r w:rsidRPr="00171DE9">
              <w:rPr>
                <w:rFonts w:ascii="Arial Narrow" w:hAnsi="Arial Narrow"/>
                <w:b/>
                <w:color w:val="000000"/>
                <w:sz w:val="20"/>
                <w:szCs w:val="20"/>
              </w:rPr>
              <w:t>C</w:t>
            </w:r>
            <w:r w:rsidR="00AA3F91" w:rsidRPr="00171DE9">
              <w:rPr>
                <w:rFonts w:ascii="Arial Narrow" w:hAnsi="Arial Narrow"/>
                <w:b/>
                <w:color w:val="000000"/>
                <w:sz w:val="20"/>
                <w:szCs w:val="20"/>
              </w:rPr>
              <w:t xml:space="preserve">omplete </w:t>
            </w:r>
            <w:r w:rsidRPr="00171DE9">
              <w:rPr>
                <w:rFonts w:ascii="Arial Narrow" w:hAnsi="Arial Narrow"/>
                <w:b/>
                <w:color w:val="000000"/>
                <w:sz w:val="20"/>
                <w:szCs w:val="20"/>
              </w:rPr>
              <w:t>R</w:t>
            </w:r>
            <w:r w:rsidR="00AA3F91" w:rsidRPr="00171DE9">
              <w:rPr>
                <w:rFonts w:ascii="Arial Narrow" w:hAnsi="Arial Narrow"/>
                <w:b/>
                <w:color w:val="000000"/>
                <w:sz w:val="20"/>
                <w:szCs w:val="20"/>
              </w:rPr>
              <w:t>esponse</w:t>
            </w:r>
          </w:p>
        </w:tc>
      </w:tr>
      <w:tr w:rsidR="006C50D2" w:rsidRPr="00171DE9" w:rsidTr="006C50D2">
        <w:trPr>
          <w:trHeight w:val="150"/>
        </w:trPr>
        <w:tc>
          <w:tcPr>
            <w:tcW w:w="678" w:type="pct"/>
            <w:vMerge w:val="restart"/>
            <w:shd w:val="clear" w:color="auto" w:fill="auto"/>
            <w:vAlign w:val="center"/>
          </w:tcPr>
          <w:p w:rsidR="006C50D2" w:rsidRPr="00171DE9" w:rsidRDefault="006C50D2" w:rsidP="00780E25">
            <w:pPr>
              <w:keepNext/>
              <w:keepLines/>
              <w:rPr>
                <w:rFonts w:ascii="Arial Narrow" w:hAnsi="Arial Narrow"/>
                <w:b/>
                <w:color w:val="000000"/>
                <w:sz w:val="20"/>
                <w:szCs w:val="20"/>
              </w:rPr>
            </w:pPr>
            <w:r w:rsidRPr="00171DE9">
              <w:rPr>
                <w:rFonts w:ascii="Arial Narrow" w:hAnsi="Arial Narrow"/>
                <w:b/>
                <w:color w:val="000000"/>
                <w:sz w:val="20"/>
                <w:szCs w:val="20"/>
              </w:rPr>
              <w:t>Trial</w:t>
            </w:r>
          </w:p>
        </w:tc>
        <w:tc>
          <w:tcPr>
            <w:tcW w:w="674" w:type="pct"/>
            <w:vMerge w:val="restart"/>
            <w:vAlign w:val="center"/>
          </w:tcPr>
          <w:p w:rsidR="006C50D2" w:rsidRPr="00171DE9" w:rsidRDefault="006C50D2" w:rsidP="00780E25">
            <w:pPr>
              <w:keepNext/>
              <w:keepLines/>
              <w:jc w:val="center"/>
              <w:rPr>
                <w:rFonts w:ascii="Arial Narrow" w:hAnsi="Arial Narrow"/>
                <w:b/>
                <w:color w:val="000000"/>
                <w:sz w:val="20"/>
                <w:szCs w:val="20"/>
              </w:rPr>
            </w:pPr>
            <w:r w:rsidRPr="00171DE9">
              <w:rPr>
                <w:rFonts w:ascii="Arial Narrow" w:hAnsi="Arial Narrow"/>
                <w:b/>
                <w:color w:val="000000"/>
                <w:sz w:val="20"/>
                <w:szCs w:val="20"/>
              </w:rPr>
              <w:t>B-R</w:t>
            </w:r>
          </w:p>
        </w:tc>
        <w:tc>
          <w:tcPr>
            <w:tcW w:w="757" w:type="pct"/>
            <w:vMerge w:val="restart"/>
            <w:vAlign w:val="center"/>
          </w:tcPr>
          <w:p w:rsidR="006C50D2" w:rsidRPr="00171DE9" w:rsidRDefault="006C50D2" w:rsidP="00780E25">
            <w:pPr>
              <w:keepNext/>
              <w:keepLines/>
              <w:jc w:val="center"/>
              <w:rPr>
                <w:rFonts w:ascii="Arial Narrow" w:hAnsi="Arial Narrow"/>
                <w:b/>
                <w:color w:val="000000"/>
                <w:sz w:val="20"/>
                <w:szCs w:val="20"/>
              </w:rPr>
            </w:pPr>
            <w:r w:rsidRPr="00171DE9">
              <w:rPr>
                <w:rFonts w:ascii="Arial Narrow" w:hAnsi="Arial Narrow"/>
                <w:b/>
                <w:color w:val="000000"/>
                <w:sz w:val="20"/>
                <w:szCs w:val="20"/>
              </w:rPr>
              <w:t>R-CHOP**</w:t>
            </w:r>
          </w:p>
        </w:tc>
        <w:tc>
          <w:tcPr>
            <w:tcW w:w="918" w:type="pct"/>
            <w:vMerge w:val="restart"/>
            <w:vAlign w:val="center"/>
          </w:tcPr>
          <w:p w:rsidR="006C50D2" w:rsidRPr="00171DE9" w:rsidRDefault="006C50D2" w:rsidP="00780E25">
            <w:pPr>
              <w:keepNext/>
              <w:keepLines/>
              <w:jc w:val="center"/>
              <w:rPr>
                <w:rFonts w:ascii="Arial Narrow" w:hAnsi="Arial Narrow"/>
                <w:b/>
                <w:color w:val="000000"/>
                <w:sz w:val="20"/>
                <w:szCs w:val="20"/>
              </w:rPr>
            </w:pPr>
            <w:r w:rsidRPr="00171DE9">
              <w:rPr>
                <w:rFonts w:ascii="Arial Narrow" w:hAnsi="Arial Narrow"/>
                <w:b/>
                <w:color w:val="000000"/>
                <w:sz w:val="20"/>
                <w:szCs w:val="20"/>
              </w:rPr>
              <w:t>RR</w:t>
            </w:r>
          </w:p>
          <w:p w:rsidR="006C50D2" w:rsidRPr="00171DE9" w:rsidRDefault="006C50D2" w:rsidP="00780E25">
            <w:pPr>
              <w:keepNext/>
              <w:keepLines/>
              <w:jc w:val="center"/>
              <w:rPr>
                <w:rFonts w:ascii="Arial Narrow" w:hAnsi="Arial Narrow"/>
                <w:b/>
                <w:color w:val="000000"/>
                <w:sz w:val="20"/>
                <w:szCs w:val="20"/>
              </w:rPr>
            </w:pPr>
            <w:r w:rsidRPr="00171DE9">
              <w:rPr>
                <w:rFonts w:ascii="Arial Narrow" w:hAnsi="Arial Narrow"/>
                <w:b/>
                <w:color w:val="000000"/>
                <w:sz w:val="20"/>
                <w:szCs w:val="20"/>
              </w:rPr>
              <w:t>(95% CI)</w:t>
            </w:r>
          </w:p>
        </w:tc>
        <w:tc>
          <w:tcPr>
            <w:tcW w:w="1266" w:type="pct"/>
            <w:gridSpan w:val="2"/>
            <w:vAlign w:val="center"/>
          </w:tcPr>
          <w:p w:rsidR="006C50D2" w:rsidRPr="00171DE9" w:rsidRDefault="006C50D2" w:rsidP="00780E25">
            <w:pPr>
              <w:keepNext/>
              <w:keepLines/>
              <w:jc w:val="center"/>
              <w:rPr>
                <w:rFonts w:ascii="Arial Narrow" w:hAnsi="Arial Narrow"/>
                <w:b/>
                <w:color w:val="000000"/>
                <w:sz w:val="20"/>
                <w:szCs w:val="20"/>
              </w:rPr>
            </w:pPr>
            <w:r w:rsidRPr="00171DE9">
              <w:rPr>
                <w:rFonts w:ascii="Arial Narrow" w:hAnsi="Arial Narrow"/>
                <w:b/>
                <w:color w:val="000000"/>
                <w:sz w:val="20"/>
                <w:szCs w:val="20"/>
              </w:rPr>
              <w:t>Event rate/100 patients*</w:t>
            </w:r>
          </w:p>
        </w:tc>
        <w:tc>
          <w:tcPr>
            <w:tcW w:w="707" w:type="pct"/>
            <w:vMerge w:val="restart"/>
            <w:vAlign w:val="center"/>
          </w:tcPr>
          <w:p w:rsidR="006C50D2" w:rsidRPr="00171DE9" w:rsidRDefault="006C50D2" w:rsidP="00780E25">
            <w:pPr>
              <w:keepNext/>
              <w:keepLines/>
              <w:jc w:val="center"/>
              <w:rPr>
                <w:rFonts w:ascii="Arial Narrow" w:hAnsi="Arial Narrow"/>
                <w:b/>
                <w:color w:val="000000"/>
                <w:sz w:val="20"/>
                <w:szCs w:val="20"/>
              </w:rPr>
            </w:pPr>
            <w:r w:rsidRPr="00171DE9">
              <w:rPr>
                <w:rFonts w:ascii="Arial Narrow" w:hAnsi="Arial Narrow"/>
                <w:b/>
                <w:color w:val="000000"/>
                <w:sz w:val="20"/>
                <w:szCs w:val="20"/>
              </w:rPr>
              <w:t>RD</w:t>
            </w:r>
          </w:p>
          <w:p w:rsidR="006C50D2" w:rsidRPr="00171DE9" w:rsidRDefault="006C50D2" w:rsidP="00780E25">
            <w:pPr>
              <w:keepNext/>
              <w:keepLines/>
              <w:jc w:val="center"/>
              <w:rPr>
                <w:rFonts w:ascii="Arial Narrow" w:hAnsi="Arial Narrow"/>
                <w:b/>
                <w:color w:val="000000"/>
                <w:sz w:val="20"/>
                <w:szCs w:val="20"/>
              </w:rPr>
            </w:pPr>
            <w:r w:rsidRPr="00171DE9">
              <w:rPr>
                <w:rFonts w:ascii="Arial Narrow" w:hAnsi="Arial Narrow"/>
                <w:b/>
                <w:color w:val="000000"/>
                <w:sz w:val="20"/>
                <w:szCs w:val="20"/>
              </w:rPr>
              <w:t>(95% CI)</w:t>
            </w:r>
          </w:p>
        </w:tc>
      </w:tr>
      <w:tr w:rsidR="006C50D2" w:rsidRPr="00171DE9" w:rsidTr="006C50D2">
        <w:trPr>
          <w:trHeight w:val="315"/>
        </w:trPr>
        <w:tc>
          <w:tcPr>
            <w:tcW w:w="678" w:type="pct"/>
            <w:vMerge/>
            <w:shd w:val="clear" w:color="auto" w:fill="auto"/>
            <w:vAlign w:val="center"/>
          </w:tcPr>
          <w:p w:rsidR="006C50D2" w:rsidRPr="00171DE9" w:rsidRDefault="006C50D2" w:rsidP="00780E25">
            <w:pPr>
              <w:keepNext/>
              <w:keepLines/>
              <w:rPr>
                <w:rFonts w:ascii="Arial Narrow" w:hAnsi="Arial Narrow"/>
                <w:b/>
                <w:color w:val="000000"/>
                <w:sz w:val="20"/>
                <w:szCs w:val="20"/>
              </w:rPr>
            </w:pPr>
          </w:p>
        </w:tc>
        <w:tc>
          <w:tcPr>
            <w:tcW w:w="674" w:type="pct"/>
            <w:vMerge/>
            <w:vAlign w:val="center"/>
          </w:tcPr>
          <w:p w:rsidR="006C50D2" w:rsidRPr="00171DE9" w:rsidRDefault="006C50D2" w:rsidP="00780E25">
            <w:pPr>
              <w:keepNext/>
              <w:keepLines/>
              <w:jc w:val="center"/>
              <w:rPr>
                <w:rFonts w:ascii="Arial Narrow" w:hAnsi="Arial Narrow"/>
                <w:b/>
                <w:color w:val="000000"/>
                <w:sz w:val="20"/>
                <w:szCs w:val="20"/>
              </w:rPr>
            </w:pPr>
          </w:p>
        </w:tc>
        <w:tc>
          <w:tcPr>
            <w:tcW w:w="757" w:type="pct"/>
            <w:vMerge/>
            <w:vAlign w:val="center"/>
          </w:tcPr>
          <w:p w:rsidR="006C50D2" w:rsidRPr="00171DE9" w:rsidRDefault="006C50D2" w:rsidP="00780E25">
            <w:pPr>
              <w:keepNext/>
              <w:keepLines/>
              <w:jc w:val="center"/>
              <w:rPr>
                <w:rFonts w:ascii="Arial Narrow" w:hAnsi="Arial Narrow"/>
                <w:b/>
                <w:color w:val="000000"/>
                <w:sz w:val="20"/>
                <w:szCs w:val="20"/>
              </w:rPr>
            </w:pPr>
          </w:p>
        </w:tc>
        <w:tc>
          <w:tcPr>
            <w:tcW w:w="918" w:type="pct"/>
            <w:vMerge/>
            <w:vAlign w:val="center"/>
          </w:tcPr>
          <w:p w:rsidR="006C50D2" w:rsidRPr="00171DE9" w:rsidRDefault="006C50D2" w:rsidP="00780E25">
            <w:pPr>
              <w:keepNext/>
              <w:keepLines/>
              <w:jc w:val="center"/>
              <w:rPr>
                <w:rFonts w:ascii="Arial Narrow" w:hAnsi="Arial Narrow"/>
                <w:b/>
                <w:color w:val="000000"/>
                <w:sz w:val="20"/>
                <w:szCs w:val="20"/>
              </w:rPr>
            </w:pPr>
          </w:p>
        </w:tc>
        <w:tc>
          <w:tcPr>
            <w:tcW w:w="635" w:type="pct"/>
            <w:vAlign w:val="center"/>
          </w:tcPr>
          <w:p w:rsidR="006C50D2" w:rsidRPr="00171DE9" w:rsidRDefault="006C50D2" w:rsidP="00780E25">
            <w:pPr>
              <w:keepNext/>
              <w:keepLines/>
              <w:jc w:val="center"/>
              <w:rPr>
                <w:rFonts w:ascii="Arial Narrow" w:hAnsi="Arial Narrow"/>
                <w:b/>
                <w:color w:val="000000"/>
                <w:sz w:val="20"/>
                <w:szCs w:val="20"/>
              </w:rPr>
            </w:pPr>
            <w:r w:rsidRPr="00171DE9">
              <w:rPr>
                <w:rFonts w:ascii="Arial Narrow" w:hAnsi="Arial Narrow"/>
                <w:b/>
                <w:color w:val="000000"/>
                <w:sz w:val="20"/>
                <w:szCs w:val="20"/>
              </w:rPr>
              <w:t>B-R</w:t>
            </w:r>
          </w:p>
        </w:tc>
        <w:tc>
          <w:tcPr>
            <w:tcW w:w="631" w:type="pct"/>
            <w:vAlign w:val="center"/>
          </w:tcPr>
          <w:p w:rsidR="006C50D2" w:rsidRPr="00171DE9" w:rsidRDefault="006C50D2" w:rsidP="00780E25">
            <w:pPr>
              <w:keepNext/>
              <w:keepLines/>
              <w:jc w:val="center"/>
              <w:rPr>
                <w:rFonts w:ascii="Arial Narrow" w:hAnsi="Arial Narrow"/>
                <w:b/>
                <w:color w:val="000000"/>
                <w:sz w:val="20"/>
                <w:szCs w:val="20"/>
              </w:rPr>
            </w:pPr>
            <w:r w:rsidRPr="00171DE9">
              <w:rPr>
                <w:rFonts w:ascii="Arial Narrow" w:hAnsi="Arial Narrow"/>
                <w:b/>
                <w:color w:val="000000"/>
                <w:sz w:val="20"/>
                <w:szCs w:val="20"/>
              </w:rPr>
              <w:t>R-CHOP**</w:t>
            </w:r>
          </w:p>
        </w:tc>
        <w:tc>
          <w:tcPr>
            <w:tcW w:w="707" w:type="pct"/>
            <w:vMerge/>
            <w:vAlign w:val="center"/>
          </w:tcPr>
          <w:p w:rsidR="006C50D2" w:rsidRPr="00171DE9" w:rsidRDefault="006C50D2" w:rsidP="00780E25">
            <w:pPr>
              <w:keepNext/>
              <w:keepLines/>
              <w:jc w:val="center"/>
              <w:rPr>
                <w:rFonts w:ascii="Arial Narrow" w:hAnsi="Arial Narrow"/>
                <w:b/>
                <w:color w:val="000000"/>
                <w:sz w:val="20"/>
                <w:szCs w:val="20"/>
              </w:rPr>
            </w:pPr>
          </w:p>
        </w:tc>
      </w:tr>
      <w:tr w:rsidR="006C50D2" w:rsidRPr="00171DE9" w:rsidTr="006C50D2">
        <w:tc>
          <w:tcPr>
            <w:tcW w:w="678" w:type="pct"/>
            <w:shd w:val="clear" w:color="auto" w:fill="auto"/>
            <w:vAlign w:val="center"/>
          </w:tcPr>
          <w:p w:rsidR="006C50D2" w:rsidRPr="00171DE9" w:rsidRDefault="006C50D2" w:rsidP="00780E25">
            <w:pPr>
              <w:keepNext/>
              <w:keepLines/>
              <w:rPr>
                <w:rFonts w:ascii="Arial Narrow" w:hAnsi="Arial Narrow"/>
                <w:color w:val="000000"/>
                <w:sz w:val="20"/>
                <w:szCs w:val="20"/>
              </w:rPr>
            </w:pPr>
            <w:proofErr w:type="spellStart"/>
            <w:r w:rsidRPr="00171DE9">
              <w:rPr>
                <w:rFonts w:ascii="Arial Narrow" w:hAnsi="Arial Narrow"/>
                <w:color w:val="000000"/>
                <w:sz w:val="20"/>
                <w:szCs w:val="20"/>
              </w:rPr>
              <w:t>StiL</w:t>
            </w:r>
            <w:proofErr w:type="spellEnd"/>
          </w:p>
        </w:tc>
        <w:tc>
          <w:tcPr>
            <w:tcW w:w="674" w:type="pct"/>
            <w:vAlign w:val="center"/>
          </w:tcPr>
          <w:p w:rsidR="006C50D2" w:rsidRPr="00171DE9" w:rsidRDefault="006C50D2" w:rsidP="00780E25">
            <w:pPr>
              <w:keepNext/>
              <w:keepLines/>
              <w:jc w:val="center"/>
              <w:rPr>
                <w:rFonts w:ascii="Arial Narrow" w:hAnsi="Arial Narrow"/>
                <w:color w:val="000000"/>
                <w:sz w:val="20"/>
                <w:szCs w:val="20"/>
              </w:rPr>
            </w:pPr>
            <w:r w:rsidRPr="00171DE9">
              <w:rPr>
                <w:rFonts w:ascii="Arial Narrow" w:hAnsi="Arial Narrow"/>
                <w:color w:val="000000"/>
                <w:sz w:val="20"/>
                <w:szCs w:val="20"/>
              </w:rPr>
              <w:t>104/261</w:t>
            </w:r>
          </w:p>
        </w:tc>
        <w:tc>
          <w:tcPr>
            <w:tcW w:w="757" w:type="pct"/>
            <w:vAlign w:val="center"/>
          </w:tcPr>
          <w:p w:rsidR="006C50D2" w:rsidRPr="00171DE9" w:rsidRDefault="006C50D2" w:rsidP="00780E25">
            <w:pPr>
              <w:keepNext/>
              <w:keepLines/>
              <w:jc w:val="center"/>
              <w:rPr>
                <w:rFonts w:ascii="Arial Narrow" w:hAnsi="Arial Narrow"/>
                <w:color w:val="000000"/>
                <w:sz w:val="20"/>
                <w:szCs w:val="20"/>
              </w:rPr>
            </w:pPr>
            <w:r w:rsidRPr="00171DE9">
              <w:rPr>
                <w:rFonts w:ascii="Arial Narrow" w:hAnsi="Arial Narrow"/>
                <w:color w:val="000000"/>
                <w:sz w:val="20"/>
                <w:szCs w:val="20"/>
              </w:rPr>
              <w:t>76/253</w:t>
            </w:r>
          </w:p>
        </w:tc>
        <w:tc>
          <w:tcPr>
            <w:tcW w:w="918" w:type="pct"/>
            <w:vAlign w:val="center"/>
          </w:tcPr>
          <w:p w:rsidR="006C50D2" w:rsidRPr="00171DE9" w:rsidRDefault="006C50D2" w:rsidP="00780E25">
            <w:pPr>
              <w:keepNext/>
              <w:keepLines/>
              <w:jc w:val="center"/>
              <w:rPr>
                <w:rFonts w:ascii="Arial Narrow" w:hAnsi="Arial Narrow"/>
                <w:color w:val="000000"/>
                <w:sz w:val="20"/>
                <w:szCs w:val="20"/>
              </w:rPr>
            </w:pPr>
            <w:r w:rsidRPr="00171DE9">
              <w:rPr>
                <w:rFonts w:ascii="Arial Narrow" w:hAnsi="Arial Narrow"/>
                <w:color w:val="000000"/>
                <w:sz w:val="20"/>
                <w:szCs w:val="20"/>
              </w:rPr>
              <w:t>1.326</w:t>
            </w:r>
          </w:p>
          <w:p w:rsidR="006C50D2" w:rsidRPr="00171DE9" w:rsidRDefault="006C50D2" w:rsidP="00780E25">
            <w:pPr>
              <w:keepNext/>
              <w:keepLines/>
              <w:jc w:val="center"/>
              <w:rPr>
                <w:rFonts w:ascii="Arial Narrow" w:hAnsi="Arial Narrow"/>
                <w:color w:val="000000"/>
                <w:sz w:val="20"/>
                <w:szCs w:val="20"/>
              </w:rPr>
            </w:pPr>
            <w:r w:rsidRPr="00171DE9">
              <w:rPr>
                <w:rFonts w:ascii="Arial Narrow" w:hAnsi="Arial Narrow"/>
                <w:color w:val="000000"/>
                <w:sz w:val="20"/>
                <w:szCs w:val="20"/>
              </w:rPr>
              <w:t>(1.05, 1.69)</w:t>
            </w:r>
          </w:p>
        </w:tc>
        <w:tc>
          <w:tcPr>
            <w:tcW w:w="635" w:type="pct"/>
            <w:vAlign w:val="center"/>
          </w:tcPr>
          <w:p w:rsidR="006C50D2" w:rsidRPr="00171DE9" w:rsidRDefault="006C50D2" w:rsidP="00780E25">
            <w:pPr>
              <w:keepNext/>
              <w:keepLines/>
              <w:jc w:val="center"/>
              <w:rPr>
                <w:rFonts w:ascii="Arial Narrow" w:hAnsi="Arial Narrow"/>
                <w:color w:val="000000"/>
                <w:sz w:val="20"/>
                <w:szCs w:val="20"/>
              </w:rPr>
            </w:pPr>
            <w:r w:rsidRPr="00171DE9">
              <w:rPr>
                <w:rFonts w:ascii="Arial Narrow" w:hAnsi="Arial Narrow"/>
                <w:color w:val="000000"/>
                <w:sz w:val="20"/>
                <w:szCs w:val="20"/>
              </w:rPr>
              <w:t>39.8</w:t>
            </w:r>
          </w:p>
        </w:tc>
        <w:tc>
          <w:tcPr>
            <w:tcW w:w="631" w:type="pct"/>
            <w:vAlign w:val="center"/>
          </w:tcPr>
          <w:p w:rsidR="006C50D2" w:rsidRPr="00171DE9" w:rsidRDefault="006C50D2" w:rsidP="00780E25">
            <w:pPr>
              <w:keepNext/>
              <w:keepLines/>
              <w:jc w:val="center"/>
              <w:rPr>
                <w:rFonts w:ascii="Arial Narrow" w:hAnsi="Arial Narrow"/>
                <w:color w:val="000000"/>
                <w:sz w:val="20"/>
                <w:szCs w:val="20"/>
              </w:rPr>
            </w:pPr>
            <w:r w:rsidRPr="00171DE9">
              <w:rPr>
                <w:rFonts w:ascii="Arial Narrow" w:hAnsi="Arial Narrow"/>
                <w:color w:val="000000"/>
                <w:sz w:val="20"/>
                <w:szCs w:val="20"/>
              </w:rPr>
              <w:t>30</w:t>
            </w:r>
          </w:p>
        </w:tc>
        <w:tc>
          <w:tcPr>
            <w:tcW w:w="707" w:type="pct"/>
            <w:vAlign w:val="center"/>
          </w:tcPr>
          <w:p w:rsidR="006C50D2" w:rsidRPr="00171DE9" w:rsidRDefault="006C50D2" w:rsidP="00780E25">
            <w:pPr>
              <w:keepNext/>
              <w:keepLines/>
              <w:jc w:val="center"/>
              <w:rPr>
                <w:rFonts w:ascii="Arial Narrow" w:hAnsi="Arial Narrow"/>
                <w:color w:val="000000"/>
                <w:sz w:val="20"/>
                <w:szCs w:val="20"/>
              </w:rPr>
            </w:pPr>
            <w:r w:rsidRPr="00171DE9">
              <w:rPr>
                <w:rFonts w:ascii="Arial Narrow" w:hAnsi="Arial Narrow"/>
                <w:color w:val="000000"/>
                <w:sz w:val="20"/>
                <w:szCs w:val="20"/>
              </w:rPr>
              <w:t>0.10</w:t>
            </w:r>
          </w:p>
          <w:p w:rsidR="006C50D2" w:rsidRPr="00171DE9" w:rsidRDefault="006C50D2" w:rsidP="00780E25">
            <w:pPr>
              <w:keepNext/>
              <w:keepLines/>
              <w:jc w:val="center"/>
              <w:rPr>
                <w:rFonts w:ascii="Arial Narrow" w:hAnsi="Arial Narrow"/>
                <w:color w:val="000000"/>
                <w:sz w:val="20"/>
                <w:szCs w:val="20"/>
              </w:rPr>
            </w:pPr>
            <w:r w:rsidRPr="00171DE9">
              <w:rPr>
                <w:rFonts w:ascii="Arial Narrow" w:hAnsi="Arial Narrow"/>
                <w:color w:val="000000"/>
                <w:sz w:val="20"/>
                <w:szCs w:val="20"/>
              </w:rPr>
              <w:t>(0.05, 0.18)</w:t>
            </w:r>
          </w:p>
        </w:tc>
      </w:tr>
      <w:tr w:rsidR="006C50D2" w:rsidRPr="00171DE9" w:rsidTr="006C50D2">
        <w:tc>
          <w:tcPr>
            <w:tcW w:w="678" w:type="pct"/>
            <w:shd w:val="clear" w:color="auto" w:fill="auto"/>
            <w:vAlign w:val="center"/>
          </w:tcPr>
          <w:p w:rsidR="006C50D2" w:rsidRPr="00171DE9" w:rsidRDefault="006C50D2" w:rsidP="00780E25">
            <w:pPr>
              <w:keepNext/>
              <w:keepLines/>
              <w:rPr>
                <w:rFonts w:ascii="Arial Narrow" w:hAnsi="Arial Narrow"/>
                <w:color w:val="000000"/>
                <w:sz w:val="20"/>
                <w:szCs w:val="20"/>
              </w:rPr>
            </w:pPr>
            <w:r w:rsidRPr="00171DE9">
              <w:rPr>
                <w:rFonts w:ascii="Arial Narrow" w:hAnsi="Arial Narrow"/>
                <w:color w:val="000000"/>
                <w:sz w:val="20"/>
                <w:szCs w:val="20"/>
              </w:rPr>
              <w:t>BRIGHT</w:t>
            </w:r>
          </w:p>
        </w:tc>
        <w:tc>
          <w:tcPr>
            <w:tcW w:w="674" w:type="pct"/>
            <w:vAlign w:val="center"/>
          </w:tcPr>
          <w:p w:rsidR="006C50D2" w:rsidRPr="00171DE9" w:rsidRDefault="006C50D2" w:rsidP="00780E25">
            <w:pPr>
              <w:keepNext/>
              <w:keepLines/>
              <w:jc w:val="center"/>
              <w:rPr>
                <w:rFonts w:ascii="Arial Narrow" w:hAnsi="Arial Narrow"/>
                <w:color w:val="000000"/>
                <w:sz w:val="20"/>
                <w:szCs w:val="20"/>
              </w:rPr>
            </w:pPr>
            <w:r w:rsidRPr="00171DE9">
              <w:rPr>
                <w:rFonts w:ascii="Arial Narrow" w:hAnsi="Arial Narrow"/>
                <w:color w:val="000000"/>
                <w:sz w:val="20"/>
                <w:szCs w:val="20"/>
              </w:rPr>
              <w:t>67/213</w:t>
            </w:r>
          </w:p>
        </w:tc>
        <w:tc>
          <w:tcPr>
            <w:tcW w:w="757" w:type="pct"/>
            <w:vAlign w:val="center"/>
          </w:tcPr>
          <w:p w:rsidR="006C50D2" w:rsidRPr="00171DE9" w:rsidRDefault="006C50D2" w:rsidP="00780E25">
            <w:pPr>
              <w:keepNext/>
              <w:keepLines/>
              <w:jc w:val="center"/>
              <w:rPr>
                <w:rFonts w:ascii="Arial Narrow" w:hAnsi="Arial Narrow"/>
                <w:color w:val="000000"/>
                <w:sz w:val="20"/>
                <w:szCs w:val="20"/>
              </w:rPr>
            </w:pPr>
            <w:r w:rsidRPr="00171DE9">
              <w:rPr>
                <w:rFonts w:ascii="Arial Narrow" w:hAnsi="Arial Narrow"/>
                <w:color w:val="000000"/>
                <w:sz w:val="20"/>
                <w:szCs w:val="20"/>
              </w:rPr>
              <w:t>52/206</w:t>
            </w:r>
          </w:p>
        </w:tc>
        <w:tc>
          <w:tcPr>
            <w:tcW w:w="918" w:type="pct"/>
            <w:vAlign w:val="center"/>
          </w:tcPr>
          <w:p w:rsidR="006C50D2" w:rsidRPr="00171DE9" w:rsidRDefault="006C50D2" w:rsidP="00780E25">
            <w:pPr>
              <w:keepNext/>
              <w:keepLines/>
              <w:jc w:val="center"/>
              <w:rPr>
                <w:rFonts w:ascii="Arial Narrow" w:hAnsi="Arial Narrow"/>
                <w:color w:val="000000"/>
                <w:sz w:val="20"/>
                <w:szCs w:val="20"/>
              </w:rPr>
            </w:pPr>
            <w:r w:rsidRPr="00171DE9">
              <w:rPr>
                <w:rFonts w:ascii="Arial Narrow" w:hAnsi="Arial Narrow"/>
                <w:color w:val="000000"/>
                <w:sz w:val="20"/>
                <w:szCs w:val="20"/>
              </w:rPr>
              <w:t>1.246</w:t>
            </w:r>
          </w:p>
          <w:p w:rsidR="006C50D2" w:rsidRPr="00171DE9" w:rsidRDefault="006C50D2" w:rsidP="00780E25">
            <w:pPr>
              <w:keepNext/>
              <w:keepLines/>
              <w:jc w:val="center"/>
              <w:rPr>
                <w:rFonts w:ascii="Arial Narrow" w:hAnsi="Arial Narrow"/>
                <w:color w:val="000000"/>
                <w:sz w:val="20"/>
                <w:szCs w:val="20"/>
              </w:rPr>
            </w:pPr>
            <w:r w:rsidRPr="00171DE9">
              <w:rPr>
                <w:rFonts w:ascii="Arial Narrow" w:hAnsi="Arial Narrow"/>
                <w:color w:val="000000"/>
                <w:sz w:val="20"/>
                <w:szCs w:val="20"/>
              </w:rPr>
              <w:t>(0.92, 1.69)</w:t>
            </w:r>
          </w:p>
        </w:tc>
        <w:tc>
          <w:tcPr>
            <w:tcW w:w="635" w:type="pct"/>
            <w:vAlign w:val="center"/>
          </w:tcPr>
          <w:p w:rsidR="006C50D2" w:rsidRPr="00171DE9" w:rsidRDefault="006C50D2" w:rsidP="00780E25">
            <w:pPr>
              <w:keepNext/>
              <w:keepLines/>
              <w:jc w:val="center"/>
              <w:rPr>
                <w:rFonts w:ascii="Arial Narrow" w:hAnsi="Arial Narrow"/>
                <w:color w:val="000000"/>
                <w:sz w:val="20"/>
                <w:szCs w:val="20"/>
              </w:rPr>
            </w:pPr>
            <w:r w:rsidRPr="00171DE9">
              <w:rPr>
                <w:rFonts w:ascii="Arial Narrow" w:hAnsi="Arial Narrow"/>
                <w:color w:val="000000"/>
                <w:sz w:val="20"/>
                <w:szCs w:val="20"/>
              </w:rPr>
              <w:t>31.5</w:t>
            </w:r>
          </w:p>
        </w:tc>
        <w:tc>
          <w:tcPr>
            <w:tcW w:w="631" w:type="pct"/>
            <w:vAlign w:val="center"/>
          </w:tcPr>
          <w:p w:rsidR="006C50D2" w:rsidRPr="00171DE9" w:rsidRDefault="006C50D2" w:rsidP="00780E25">
            <w:pPr>
              <w:keepNext/>
              <w:keepLines/>
              <w:jc w:val="center"/>
              <w:rPr>
                <w:rFonts w:ascii="Arial Narrow" w:hAnsi="Arial Narrow"/>
                <w:color w:val="000000"/>
                <w:sz w:val="20"/>
                <w:szCs w:val="20"/>
              </w:rPr>
            </w:pPr>
            <w:r w:rsidRPr="00171DE9">
              <w:rPr>
                <w:rFonts w:ascii="Arial Narrow" w:hAnsi="Arial Narrow"/>
                <w:color w:val="000000"/>
                <w:sz w:val="20"/>
                <w:szCs w:val="20"/>
              </w:rPr>
              <w:t>25.2</w:t>
            </w:r>
          </w:p>
        </w:tc>
        <w:tc>
          <w:tcPr>
            <w:tcW w:w="707" w:type="pct"/>
            <w:vAlign w:val="center"/>
          </w:tcPr>
          <w:p w:rsidR="006C50D2" w:rsidRPr="00171DE9" w:rsidRDefault="006C50D2" w:rsidP="00780E25">
            <w:pPr>
              <w:keepNext/>
              <w:keepLines/>
              <w:jc w:val="center"/>
              <w:rPr>
                <w:rFonts w:ascii="Arial Narrow" w:hAnsi="Arial Narrow"/>
                <w:color w:val="000000"/>
                <w:sz w:val="20"/>
                <w:szCs w:val="20"/>
              </w:rPr>
            </w:pPr>
            <w:r w:rsidRPr="00171DE9">
              <w:rPr>
                <w:rFonts w:ascii="Arial Narrow" w:hAnsi="Arial Narrow"/>
                <w:color w:val="000000"/>
                <w:sz w:val="20"/>
                <w:szCs w:val="20"/>
              </w:rPr>
              <w:t>0.06</w:t>
            </w:r>
          </w:p>
          <w:p w:rsidR="006C50D2" w:rsidRPr="00171DE9" w:rsidRDefault="006C50D2" w:rsidP="00780E25">
            <w:pPr>
              <w:keepNext/>
              <w:keepLines/>
              <w:jc w:val="center"/>
              <w:rPr>
                <w:rFonts w:ascii="Arial Narrow" w:hAnsi="Arial Narrow"/>
                <w:color w:val="000000"/>
                <w:sz w:val="20"/>
                <w:szCs w:val="20"/>
              </w:rPr>
            </w:pPr>
            <w:r w:rsidRPr="00171DE9">
              <w:rPr>
                <w:rFonts w:ascii="Arial Narrow" w:hAnsi="Arial Narrow"/>
                <w:color w:val="000000"/>
                <w:sz w:val="20"/>
                <w:szCs w:val="20"/>
              </w:rPr>
              <w:t>(-0.02, 0.15)</w:t>
            </w:r>
          </w:p>
        </w:tc>
      </w:tr>
    </w:tbl>
    <w:tbl>
      <w:tblPr>
        <w:tblStyle w:val="TableGrid"/>
        <w:tblW w:w="4700" w:type="pct"/>
        <w:tblInd w:w="698" w:type="dxa"/>
        <w:tblLayout w:type="fixed"/>
        <w:tblCellMar>
          <w:left w:w="28" w:type="dxa"/>
          <w:right w:w="28" w:type="dxa"/>
        </w:tblCellMar>
        <w:tblLook w:val="04A0" w:firstRow="1" w:lastRow="0" w:firstColumn="1" w:lastColumn="0" w:noHBand="0" w:noVBand="1"/>
        <w:tblCaption w:val="Comparative benefits and harms"/>
      </w:tblPr>
      <w:tblGrid>
        <w:gridCol w:w="1174"/>
        <w:gridCol w:w="1280"/>
        <w:gridCol w:w="1153"/>
        <w:gridCol w:w="1568"/>
        <w:gridCol w:w="1141"/>
        <w:gridCol w:w="1086"/>
        <w:gridCol w:w="1136"/>
      </w:tblGrid>
      <w:tr w:rsidR="006C50D2" w:rsidRPr="00171DE9" w:rsidTr="006C50D2">
        <w:tc>
          <w:tcPr>
            <w:tcW w:w="5000" w:type="pct"/>
            <w:gridSpan w:val="7"/>
            <w:tcBorders>
              <w:top w:val="double" w:sz="4" w:space="0" w:color="auto"/>
            </w:tcBorders>
            <w:shd w:val="clear" w:color="auto" w:fill="auto"/>
            <w:vAlign w:val="center"/>
          </w:tcPr>
          <w:p w:rsidR="006C50D2" w:rsidRPr="00171DE9" w:rsidRDefault="006C50D2" w:rsidP="00780E25">
            <w:pPr>
              <w:keepNext/>
              <w:keepLines/>
              <w:rPr>
                <w:rFonts w:ascii="Arial Narrow" w:hAnsi="Arial Narrow"/>
                <w:b/>
                <w:color w:val="000000"/>
                <w:sz w:val="20"/>
              </w:rPr>
            </w:pPr>
            <w:r w:rsidRPr="00171DE9">
              <w:rPr>
                <w:rFonts w:ascii="Arial Narrow" w:hAnsi="Arial Narrow"/>
                <w:b/>
                <w:color w:val="000000"/>
                <w:sz w:val="20"/>
              </w:rPr>
              <w:t xml:space="preserve">Harms  </w:t>
            </w:r>
          </w:p>
        </w:tc>
      </w:tr>
      <w:tr w:rsidR="006C50D2" w:rsidRPr="00171DE9" w:rsidTr="006C50D2">
        <w:trPr>
          <w:trHeight w:val="70"/>
        </w:trPr>
        <w:tc>
          <w:tcPr>
            <w:tcW w:w="685" w:type="pct"/>
            <w:vMerge w:val="restart"/>
            <w:shd w:val="clear" w:color="auto" w:fill="auto"/>
            <w:vAlign w:val="center"/>
          </w:tcPr>
          <w:p w:rsidR="006C50D2" w:rsidRPr="00171DE9" w:rsidRDefault="006C50D2" w:rsidP="00780E25">
            <w:pPr>
              <w:keepNext/>
              <w:keepLines/>
              <w:rPr>
                <w:rFonts w:ascii="Arial Narrow" w:hAnsi="Arial Narrow"/>
                <w:b/>
                <w:color w:val="000000"/>
                <w:sz w:val="20"/>
              </w:rPr>
            </w:pPr>
          </w:p>
        </w:tc>
        <w:tc>
          <w:tcPr>
            <w:tcW w:w="750" w:type="pct"/>
            <w:vMerge w:val="restart"/>
            <w:vAlign w:val="center"/>
          </w:tcPr>
          <w:p w:rsidR="006C50D2" w:rsidRPr="00171DE9" w:rsidRDefault="006C50D2" w:rsidP="00780E25">
            <w:pPr>
              <w:keepNext/>
              <w:keepLines/>
              <w:jc w:val="center"/>
              <w:rPr>
                <w:rFonts w:ascii="Arial Narrow" w:hAnsi="Arial Narrow"/>
                <w:b/>
                <w:color w:val="000000"/>
                <w:sz w:val="20"/>
              </w:rPr>
            </w:pPr>
            <w:r w:rsidRPr="00171DE9">
              <w:rPr>
                <w:rFonts w:ascii="Arial Narrow" w:hAnsi="Arial Narrow"/>
                <w:b/>
                <w:color w:val="000000"/>
                <w:sz w:val="20"/>
              </w:rPr>
              <w:t>B-R</w:t>
            </w:r>
          </w:p>
        </w:tc>
        <w:tc>
          <w:tcPr>
            <w:tcW w:w="675" w:type="pct"/>
            <w:vMerge w:val="restart"/>
            <w:vAlign w:val="center"/>
          </w:tcPr>
          <w:p w:rsidR="006C50D2" w:rsidRPr="00171DE9" w:rsidRDefault="006C50D2" w:rsidP="00780E25">
            <w:pPr>
              <w:keepNext/>
              <w:keepLines/>
              <w:jc w:val="center"/>
              <w:rPr>
                <w:rFonts w:ascii="Arial Narrow" w:hAnsi="Arial Narrow"/>
                <w:b/>
                <w:color w:val="000000"/>
                <w:sz w:val="20"/>
              </w:rPr>
            </w:pPr>
            <w:r w:rsidRPr="00171DE9">
              <w:rPr>
                <w:rFonts w:ascii="Arial Narrow" w:hAnsi="Arial Narrow"/>
                <w:b/>
                <w:color w:val="000000"/>
                <w:sz w:val="20"/>
              </w:rPr>
              <w:t>R-CHOP</w:t>
            </w:r>
          </w:p>
        </w:tc>
        <w:tc>
          <w:tcPr>
            <w:tcW w:w="918" w:type="pct"/>
            <w:vMerge w:val="restart"/>
            <w:vAlign w:val="center"/>
          </w:tcPr>
          <w:p w:rsidR="006C50D2" w:rsidRPr="00171DE9" w:rsidRDefault="006C50D2" w:rsidP="00780E25">
            <w:pPr>
              <w:keepNext/>
              <w:keepLines/>
              <w:jc w:val="center"/>
              <w:rPr>
                <w:rFonts w:ascii="Arial Narrow" w:hAnsi="Arial Narrow"/>
                <w:b/>
                <w:color w:val="000000"/>
                <w:sz w:val="20"/>
              </w:rPr>
            </w:pPr>
            <w:r w:rsidRPr="00171DE9">
              <w:rPr>
                <w:rFonts w:ascii="Arial Narrow" w:hAnsi="Arial Narrow"/>
                <w:b/>
                <w:color w:val="000000"/>
                <w:sz w:val="20"/>
              </w:rPr>
              <w:t>RR</w:t>
            </w:r>
          </w:p>
          <w:p w:rsidR="006C50D2" w:rsidRPr="00171DE9" w:rsidRDefault="006C50D2" w:rsidP="00780E25">
            <w:pPr>
              <w:keepNext/>
              <w:keepLines/>
              <w:jc w:val="center"/>
              <w:rPr>
                <w:rFonts w:ascii="Arial Narrow" w:hAnsi="Arial Narrow"/>
                <w:b/>
                <w:color w:val="000000"/>
                <w:sz w:val="20"/>
              </w:rPr>
            </w:pPr>
            <w:r w:rsidRPr="00171DE9">
              <w:rPr>
                <w:rFonts w:ascii="Arial Narrow" w:hAnsi="Arial Narrow"/>
                <w:b/>
                <w:color w:val="000000"/>
                <w:sz w:val="20"/>
              </w:rPr>
              <w:t>(95% CI)</w:t>
            </w:r>
          </w:p>
        </w:tc>
        <w:tc>
          <w:tcPr>
            <w:tcW w:w="1304" w:type="pct"/>
            <w:gridSpan w:val="2"/>
            <w:vAlign w:val="center"/>
          </w:tcPr>
          <w:p w:rsidR="006C50D2" w:rsidRPr="00171DE9" w:rsidRDefault="006C50D2" w:rsidP="00780E25">
            <w:pPr>
              <w:keepNext/>
              <w:keepLines/>
              <w:jc w:val="center"/>
              <w:rPr>
                <w:rFonts w:ascii="Arial Narrow" w:hAnsi="Arial Narrow"/>
                <w:b/>
                <w:color w:val="000000"/>
                <w:sz w:val="20"/>
              </w:rPr>
            </w:pPr>
            <w:r w:rsidRPr="00171DE9">
              <w:rPr>
                <w:rFonts w:ascii="Arial Narrow" w:hAnsi="Arial Narrow"/>
                <w:b/>
                <w:color w:val="000000"/>
                <w:sz w:val="20"/>
              </w:rPr>
              <w:t xml:space="preserve">Event rate/100 patients* </w:t>
            </w:r>
          </w:p>
        </w:tc>
        <w:tc>
          <w:tcPr>
            <w:tcW w:w="668" w:type="pct"/>
            <w:vMerge w:val="restart"/>
            <w:vAlign w:val="center"/>
          </w:tcPr>
          <w:p w:rsidR="006C50D2" w:rsidRPr="00171DE9" w:rsidRDefault="006C50D2" w:rsidP="00780E25">
            <w:pPr>
              <w:keepNext/>
              <w:keepLines/>
              <w:jc w:val="center"/>
              <w:rPr>
                <w:rFonts w:ascii="Arial Narrow" w:hAnsi="Arial Narrow"/>
                <w:b/>
                <w:color w:val="000000"/>
                <w:sz w:val="20"/>
              </w:rPr>
            </w:pPr>
            <w:r w:rsidRPr="00171DE9">
              <w:rPr>
                <w:rFonts w:ascii="Arial Narrow" w:hAnsi="Arial Narrow"/>
                <w:b/>
                <w:color w:val="000000"/>
                <w:sz w:val="20"/>
              </w:rPr>
              <w:t>RD</w:t>
            </w:r>
          </w:p>
          <w:p w:rsidR="006C50D2" w:rsidRPr="00171DE9" w:rsidRDefault="006C50D2" w:rsidP="00780E25">
            <w:pPr>
              <w:keepNext/>
              <w:keepLines/>
              <w:jc w:val="center"/>
              <w:rPr>
                <w:rFonts w:ascii="Arial Narrow" w:hAnsi="Arial Narrow"/>
                <w:b/>
                <w:color w:val="000000"/>
                <w:sz w:val="20"/>
              </w:rPr>
            </w:pPr>
            <w:r w:rsidRPr="00171DE9">
              <w:rPr>
                <w:rFonts w:ascii="Arial Narrow" w:hAnsi="Arial Narrow"/>
                <w:b/>
                <w:color w:val="000000"/>
                <w:sz w:val="20"/>
              </w:rPr>
              <w:t>(95% CI)</w:t>
            </w:r>
          </w:p>
        </w:tc>
      </w:tr>
      <w:tr w:rsidR="006C50D2" w:rsidRPr="00171DE9" w:rsidTr="006C50D2">
        <w:trPr>
          <w:trHeight w:val="390"/>
        </w:trPr>
        <w:tc>
          <w:tcPr>
            <w:tcW w:w="685" w:type="pct"/>
            <w:vMerge/>
            <w:shd w:val="clear" w:color="auto" w:fill="auto"/>
            <w:vAlign w:val="center"/>
          </w:tcPr>
          <w:p w:rsidR="006C50D2" w:rsidRPr="00171DE9" w:rsidRDefault="006C50D2" w:rsidP="00780E25">
            <w:pPr>
              <w:keepNext/>
              <w:keepLines/>
              <w:rPr>
                <w:rFonts w:ascii="Arial Narrow" w:hAnsi="Arial Narrow"/>
                <w:b/>
                <w:color w:val="000000"/>
                <w:sz w:val="20"/>
              </w:rPr>
            </w:pPr>
          </w:p>
        </w:tc>
        <w:tc>
          <w:tcPr>
            <w:tcW w:w="750" w:type="pct"/>
            <w:vMerge/>
            <w:vAlign w:val="center"/>
          </w:tcPr>
          <w:p w:rsidR="006C50D2" w:rsidRPr="00171DE9" w:rsidRDefault="006C50D2" w:rsidP="00780E25">
            <w:pPr>
              <w:keepNext/>
              <w:keepLines/>
              <w:jc w:val="center"/>
              <w:rPr>
                <w:rFonts w:ascii="Arial Narrow" w:hAnsi="Arial Narrow"/>
                <w:b/>
                <w:color w:val="000000"/>
                <w:sz w:val="20"/>
              </w:rPr>
            </w:pPr>
          </w:p>
        </w:tc>
        <w:tc>
          <w:tcPr>
            <w:tcW w:w="675" w:type="pct"/>
            <w:vMerge/>
            <w:vAlign w:val="center"/>
          </w:tcPr>
          <w:p w:rsidR="006C50D2" w:rsidRPr="00171DE9" w:rsidRDefault="006C50D2" w:rsidP="00780E25">
            <w:pPr>
              <w:keepNext/>
              <w:keepLines/>
              <w:jc w:val="center"/>
              <w:rPr>
                <w:rFonts w:ascii="Arial Narrow" w:hAnsi="Arial Narrow"/>
                <w:b/>
                <w:color w:val="000000"/>
                <w:sz w:val="20"/>
              </w:rPr>
            </w:pPr>
          </w:p>
        </w:tc>
        <w:tc>
          <w:tcPr>
            <w:tcW w:w="918" w:type="pct"/>
            <w:vMerge/>
            <w:vAlign w:val="center"/>
          </w:tcPr>
          <w:p w:rsidR="006C50D2" w:rsidRPr="00171DE9" w:rsidRDefault="006C50D2" w:rsidP="00780E25">
            <w:pPr>
              <w:keepNext/>
              <w:keepLines/>
              <w:jc w:val="center"/>
              <w:rPr>
                <w:rFonts w:ascii="Arial Narrow" w:hAnsi="Arial Narrow"/>
                <w:b/>
                <w:color w:val="000000"/>
                <w:sz w:val="20"/>
              </w:rPr>
            </w:pPr>
          </w:p>
        </w:tc>
        <w:tc>
          <w:tcPr>
            <w:tcW w:w="668" w:type="pct"/>
            <w:vAlign w:val="center"/>
          </w:tcPr>
          <w:p w:rsidR="006C50D2" w:rsidRPr="00171DE9" w:rsidRDefault="006C50D2" w:rsidP="00780E25">
            <w:pPr>
              <w:keepNext/>
              <w:keepLines/>
              <w:jc w:val="center"/>
              <w:rPr>
                <w:rFonts w:ascii="Arial Narrow" w:hAnsi="Arial Narrow"/>
                <w:b/>
                <w:color w:val="000000"/>
                <w:sz w:val="20"/>
              </w:rPr>
            </w:pPr>
            <w:r w:rsidRPr="00171DE9">
              <w:rPr>
                <w:rFonts w:ascii="Arial Narrow" w:hAnsi="Arial Narrow"/>
                <w:b/>
                <w:color w:val="000000"/>
                <w:sz w:val="20"/>
              </w:rPr>
              <w:t>B-R</w:t>
            </w:r>
          </w:p>
        </w:tc>
        <w:tc>
          <w:tcPr>
            <w:tcW w:w="636" w:type="pct"/>
            <w:vAlign w:val="center"/>
          </w:tcPr>
          <w:p w:rsidR="006C50D2" w:rsidRPr="00171DE9" w:rsidRDefault="006C50D2" w:rsidP="00780E25">
            <w:pPr>
              <w:keepNext/>
              <w:keepLines/>
              <w:jc w:val="center"/>
              <w:rPr>
                <w:rFonts w:ascii="Arial Narrow" w:hAnsi="Arial Narrow"/>
                <w:b/>
                <w:color w:val="000000"/>
                <w:sz w:val="20"/>
              </w:rPr>
            </w:pPr>
            <w:r w:rsidRPr="00171DE9">
              <w:rPr>
                <w:rFonts w:ascii="Arial Narrow" w:hAnsi="Arial Narrow"/>
                <w:b/>
                <w:color w:val="000000"/>
                <w:sz w:val="20"/>
              </w:rPr>
              <w:t>R-CHOP</w:t>
            </w:r>
          </w:p>
        </w:tc>
        <w:tc>
          <w:tcPr>
            <w:tcW w:w="668" w:type="pct"/>
            <w:vMerge/>
            <w:vAlign w:val="center"/>
          </w:tcPr>
          <w:p w:rsidR="006C50D2" w:rsidRPr="00171DE9" w:rsidRDefault="006C50D2" w:rsidP="00780E25">
            <w:pPr>
              <w:keepNext/>
              <w:keepLines/>
              <w:jc w:val="center"/>
              <w:rPr>
                <w:rFonts w:ascii="Arial Narrow" w:hAnsi="Arial Narrow"/>
                <w:b/>
                <w:color w:val="000000"/>
                <w:sz w:val="20"/>
              </w:rPr>
            </w:pPr>
          </w:p>
        </w:tc>
      </w:tr>
      <w:tr w:rsidR="006C50D2" w:rsidRPr="00171DE9" w:rsidTr="006C50D2">
        <w:tc>
          <w:tcPr>
            <w:tcW w:w="5000" w:type="pct"/>
            <w:gridSpan w:val="7"/>
            <w:shd w:val="clear" w:color="auto" w:fill="auto"/>
            <w:vAlign w:val="center"/>
          </w:tcPr>
          <w:p w:rsidR="006C50D2" w:rsidRPr="00171DE9" w:rsidRDefault="006C50D2" w:rsidP="00780E25">
            <w:pPr>
              <w:keepNext/>
              <w:keepLines/>
              <w:rPr>
                <w:rFonts w:ascii="Arial Narrow" w:hAnsi="Arial Narrow"/>
                <w:b/>
                <w:color w:val="000000"/>
                <w:sz w:val="20"/>
              </w:rPr>
            </w:pPr>
            <w:r w:rsidRPr="00171DE9">
              <w:rPr>
                <w:rFonts w:ascii="Arial Narrow" w:hAnsi="Arial Narrow"/>
                <w:b/>
                <w:color w:val="000000"/>
                <w:sz w:val="20"/>
              </w:rPr>
              <w:t>Neutropenia (Grade 3-4 haematological event)</w:t>
            </w:r>
          </w:p>
        </w:tc>
      </w:tr>
      <w:tr w:rsidR="006C50D2" w:rsidRPr="00171DE9" w:rsidTr="006C50D2">
        <w:tc>
          <w:tcPr>
            <w:tcW w:w="688" w:type="pct"/>
            <w:shd w:val="clear" w:color="auto" w:fill="auto"/>
            <w:vAlign w:val="center"/>
          </w:tcPr>
          <w:p w:rsidR="006C50D2" w:rsidRPr="00171DE9" w:rsidRDefault="006C50D2" w:rsidP="00780E25">
            <w:pPr>
              <w:keepNext/>
              <w:keepLines/>
              <w:rPr>
                <w:rFonts w:ascii="Arial Narrow" w:hAnsi="Arial Narrow"/>
                <w:color w:val="000000"/>
                <w:sz w:val="20"/>
              </w:rPr>
            </w:pPr>
            <w:proofErr w:type="spellStart"/>
            <w:r w:rsidRPr="00171DE9">
              <w:rPr>
                <w:rFonts w:ascii="Arial Narrow" w:hAnsi="Arial Narrow"/>
                <w:color w:val="000000"/>
                <w:sz w:val="20"/>
              </w:rPr>
              <w:t>StiL</w:t>
            </w:r>
            <w:proofErr w:type="spellEnd"/>
          </w:p>
        </w:tc>
        <w:tc>
          <w:tcPr>
            <w:tcW w:w="746"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77/261</w:t>
            </w:r>
          </w:p>
        </w:tc>
        <w:tc>
          <w:tcPr>
            <w:tcW w:w="675"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173/253</w:t>
            </w:r>
          </w:p>
        </w:tc>
        <w:tc>
          <w:tcPr>
            <w:tcW w:w="918"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0.43</w:t>
            </w:r>
          </w:p>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(0.35, 0.53)</w:t>
            </w:r>
          </w:p>
        </w:tc>
        <w:tc>
          <w:tcPr>
            <w:tcW w:w="668"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29.5</w:t>
            </w:r>
          </w:p>
        </w:tc>
        <w:tc>
          <w:tcPr>
            <w:tcW w:w="636"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68.4</w:t>
            </w:r>
          </w:p>
        </w:tc>
        <w:tc>
          <w:tcPr>
            <w:tcW w:w="668"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-0.39</w:t>
            </w:r>
          </w:p>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(-0.47, -0.31)</w:t>
            </w:r>
          </w:p>
        </w:tc>
      </w:tr>
      <w:tr w:rsidR="006C50D2" w:rsidRPr="00171DE9" w:rsidTr="006C50D2">
        <w:tc>
          <w:tcPr>
            <w:tcW w:w="688" w:type="pct"/>
            <w:shd w:val="clear" w:color="auto" w:fill="auto"/>
            <w:vAlign w:val="center"/>
          </w:tcPr>
          <w:p w:rsidR="006C50D2" w:rsidRPr="00171DE9" w:rsidRDefault="006C50D2" w:rsidP="00780E25">
            <w:pPr>
              <w:keepNext/>
              <w:keepLines/>
              <w:rPr>
                <w:rFonts w:ascii="Arial Narrow" w:hAnsi="Arial Narrow"/>
                <w:color w:val="000000"/>
                <w:sz w:val="20"/>
              </w:rPr>
            </w:pPr>
            <w:r w:rsidRPr="00171DE9">
              <w:rPr>
                <w:rFonts w:ascii="Arial Narrow" w:hAnsi="Arial Narrow"/>
                <w:color w:val="000000"/>
                <w:sz w:val="20"/>
              </w:rPr>
              <w:t>BRIGHT</w:t>
            </w:r>
          </w:p>
        </w:tc>
        <w:tc>
          <w:tcPr>
            <w:tcW w:w="746"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40/103</w:t>
            </w:r>
          </w:p>
        </w:tc>
        <w:tc>
          <w:tcPr>
            <w:tcW w:w="675"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85/98</w:t>
            </w:r>
          </w:p>
        </w:tc>
        <w:tc>
          <w:tcPr>
            <w:tcW w:w="918"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0.45</w:t>
            </w:r>
          </w:p>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(0.35, 0.58)</w:t>
            </w:r>
          </w:p>
        </w:tc>
        <w:tc>
          <w:tcPr>
            <w:tcW w:w="668"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38.8</w:t>
            </w:r>
          </w:p>
        </w:tc>
        <w:tc>
          <w:tcPr>
            <w:tcW w:w="636"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87.7</w:t>
            </w:r>
          </w:p>
        </w:tc>
        <w:tc>
          <w:tcPr>
            <w:tcW w:w="668"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-0.48</w:t>
            </w:r>
          </w:p>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(-0.59, -0.36)</w:t>
            </w:r>
          </w:p>
        </w:tc>
      </w:tr>
      <w:tr w:rsidR="006C50D2" w:rsidRPr="00171DE9" w:rsidTr="006C50D2">
        <w:tc>
          <w:tcPr>
            <w:tcW w:w="5000" w:type="pct"/>
            <w:gridSpan w:val="7"/>
            <w:shd w:val="clear" w:color="auto" w:fill="auto"/>
            <w:vAlign w:val="center"/>
          </w:tcPr>
          <w:p w:rsidR="006C50D2" w:rsidRPr="00171DE9" w:rsidRDefault="006C50D2" w:rsidP="00780E25">
            <w:pPr>
              <w:keepNext/>
              <w:keepLines/>
              <w:rPr>
                <w:rFonts w:ascii="Arial Narrow" w:hAnsi="Arial Narrow"/>
                <w:b/>
                <w:color w:val="000000"/>
                <w:sz w:val="20"/>
              </w:rPr>
            </w:pPr>
            <w:r w:rsidRPr="00171DE9">
              <w:rPr>
                <w:rFonts w:ascii="Arial Narrow" w:hAnsi="Arial Narrow"/>
                <w:b/>
                <w:color w:val="000000"/>
                <w:sz w:val="20"/>
              </w:rPr>
              <w:t>Neuropathy/</w:t>
            </w:r>
            <w:proofErr w:type="spellStart"/>
            <w:r w:rsidRPr="00171DE9">
              <w:rPr>
                <w:rFonts w:ascii="Arial Narrow" w:hAnsi="Arial Narrow"/>
                <w:b/>
                <w:color w:val="000000"/>
                <w:sz w:val="20"/>
              </w:rPr>
              <w:t>Paresthesia</w:t>
            </w:r>
            <w:proofErr w:type="spellEnd"/>
            <w:r w:rsidRPr="00171DE9">
              <w:rPr>
                <w:rFonts w:ascii="Arial Narrow" w:hAnsi="Arial Narrow"/>
                <w:b/>
                <w:color w:val="000000"/>
                <w:sz w:val="20"/>
              </w:rPr>
              <w:t xml:space="preserve"> (non-haematological event, all grades)</w:t>
            </w:r>
          </w:p>
        </w:tc>
      </w:tr>
      <w:tr w:rsidR="006C50D2" w:rsidRPr="00171DE9" w:rsidTr="006C50D2">
        <w:tc>
          <w:tcPr>
            <w:tcW w:w="688" w:type="pct"/>
            <w:shd w:val="clear" w:color="auto" w:fill="auto"/>
            <w:vAlign w:val="center"/>
          </w:tcPr>
          <w:p w:rsidR="006C50D2" w:rsidRPr="00171DE9" w:rsidRDefault="006C50D2" w:rsidP="00780E25">
            <w:pPr>
              <w:keepNext/>
              <w:keepLines/>
              <w:rPr>
                <w:rFonts w:ascii="Arial Narrow" w:hAnsi="Arial Narrow"/>
                <w:color w:val="000000"/>
                <w:sz w:val="20"/>
              </w:rPr>
            </w:pPr>
            <w:proofErr w:type="spellStart"/>
            <w:r w:rsidRPr="00171DE9">
              <w:rPr>
                <w:rFonts w:ascii="Arial Narrow" w:hAnsi="Arial Narrow"/>
                <w:color w:val="000000"/>
                <w:sz w:val="20"/>
              </w:rPr>
              <w:t>StiL</w:t>
            </w:r>
            <w:proofErr w:type="spellEnd"/>
          </w:p>
        </w:tc>
        <w:tc>
          <w:tcPr>
            <w:tcW w:w="746"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18/261</w:t>
            </w:r>
          </w:p>
        </w:tc>
        <w:tc>
          <w:tcPr>
            <w:tcW w:w="675"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73/253</w:t>
            </w:r>
          </w:p>
        </w:tc>
        <w:tc>
          <w:tcPr>
            <w:tcW w:w="918"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0.24</w:t>
            </w:r>
          </w:p>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(0.15, 0.39)</w:t>
            </w:r>
          </w:p>
        </w:tc>
        <w:tc>
          <w:tcPr>
            <w:tcW w:w="668"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6.9</w:t>
            </w:r>
          </w:p>
        </w:tc>
        <w:tc>
          <w:tcPr>
            <w:tcW w:w="636"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28.9</w:t>
            </w:r>
          </w:p>
        </w:tc>
        <w:tc>
          <w:tcPr>
            <w:tcW w:w="668"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-0.22</w:t>
            </w:r>
          </w:p>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(-0.28, -0.16)</w:t>
            </w:r>
          </w:p>
        </w:tc>
      </w:tr>
      <w:tr w:rsidR="006C50D2" w:rsidRPr="00171DE9" w:rsidTr="006C50D2">
        <w:tc>
          <w:tcPr>
            <w:tcW w:w="688" w:type="pct"/>
            <w:shd w:val="clear" w:color="auto" w:fill="auto"/>
            <w:vAlign w:val="center"/>
          </w:tcPr>
          <w:p w:rsidR="006C50D2" w:rsidRPr="00171DE9" w:rsidRDefault="006C50D2" w:rsidP="00780E25">
            <w:pPr>
              <w:keepNext/>
              <w:keepLines/>
              <w:rPr>
                <w:rFonts w:ascii="Arial Narrow" w:hAnsi="Arial Narrow"/>
                <w:color w:val="000000"/>
                <w:sz w:val="20"/>
              </w:rPr>
            </w:pPr>
            <w:r w:rsidRPr="00171DE9">
              <w:rPr>
                <w:rFonts w:ascii="Arial Narrow" w:hAnsi="Arial Narrow"/>
                <w:color w:val="000000"/>
                <w:sz w:val="20"/>
              </w:rPr>
              <w:t>BRIGHT</w:t>
            </w:r>
          </w:p>
        </w:tc>
        <w:tc>
          <w:tcPr>
            <w:tcW w:w="746"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9/103</w:t>
            </w:r>
          </w:p>
        </w:tc>
        <w:tc>
          <w:tcPr>
            <w:tcW w:w="675"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43/98</w:t>
            </w:r>
          </w:p>
        </w:tc>
        <w:tc>
          <w:tcPr>
            <w:tcW w:w="918"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0.20</w:t>
            </w:r>
          </w:p>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(0.10, 0.39)</w:t>
            </w:r>
          </w:p>
        </w:tc>
        <w:tc>
          <w:tcPr>
            <w:tcW w:w="668"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8.7</w:t>
            </w:r>
          </w:p>
        </w:tc>
        <w:tc>
          <w:tcPr>
            <w:tcW w:w="636"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43.9</w:t>
            </w:r>
          </w:p>
        </w:tc>
        <w:tc>
          <w:tcPr>
            <w:tcW w:w="668"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-0.35</w:t>
            </w:r>
          </w:p>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(-0.46, -0.24)</w:t>
            </w:r>
          </w:p>
        </w:tc>
      </w:tr>
      <w:tr w:rsidR="006C50D2" w:rsidRPr="00171DE9" w:rsidTr="006C50D2">
        <w:tc>
          <w:tcPr>
            <w:tcW w:w="5000" w:type="pct"/>
            <w:gridSpan w:val="7"/>
            <w:shd w:val="clear" w:color="auto" w:fill="auto"/>
            <w:vAlign w:val="center"/>
          </w:tcPr>
          <w:p w:rsidR="006C50D2" w:rsidRPr="00171DE9" w:rsidRDefault="006C50D2" w:rsidP="00780E25">
            <w:pPr>
              <w:keepNext/>
              <w:keepLines/>
              <w:rPr>
                <w:rFonts w:ascii="Arial Narrow" w:hAnsi="Arial Narrow"/>
                <w:color w:val="000000"/>
                <w:sz w:val="20"/>
              </w:rPr>
            </w:pPr>
            <w:r w:rsidRPr="00171DE9">
              <w:rPr>
                <w:rFonts w:ascii="Arial Narrow" w:hAnsi="Arial Narrow"/>
                <w:b/>
                <w:color w:val="000000"/>
                <w:sz w:val="20"/>
              </w:rPr>
              <w:t>Infection/infectio</w:t>
            </w:r>
            <w:r w:rsidR="00AA3F91" w:rsidRPr="00171DE9">
              <w:rPr>
                <w:rFonts w:ascii="Arial Narrow" w:hAnsi="Arial Narrow"/>
                <w:b/>
                <w:color w:val="000000"/>
                <w:sz w:val="20"/>
              </w:rPr>
              <w:t>u</w:t>
            </w:r>
            <w:r w:rsidRPr="00171DE9">
              <w:rPr>
                <w:rFonts w:ascii="Arial Narrow" w:hAnsi="Arial Narrow"/>
                <w:b/>
                <w:color w:val="000000"/>
                <w:sz w:val="20"/>
              </w:rPr>
              <w:t>s episodes (non-haematological event, all grades)</w:t>
            </w:r>
          </w:p>
        </w:tc>
      </w:tr>
      <w:tr w:rsidR="006C50D2" w:rsidRPr="00171DE9" w:rsidTr="006C50D2">
        <w:tc>
          <w:tcPr>
            <w:tcW w:w="685" w:type="pct"/>
            <w:shd w:val="clear" w:color="auto" w:fill="auto"/>
            <w:vAlign w:val="center"/>
          </w:tcPr>
          <w:p w:rsidR="006C50D2" w:rsidRPr="00171DE9" w:rsidRDefault="006C50D2" w:rsidP="00780E25">
            <w:pPr>
              <w:keepNext/>
              <w:keepLines/>
              <w:rPr>
                <w:rFonts w:ascii="Arial Narrow" w:hAnsi="Arial Narrow"/>
                <w:color w:val="000000"/>
                <w:sz w:val="20"/>
              </w:rPr>
            </w:pPr>
            <w:proofErr w:type="spellStart"/>
            <w:r w:rsidRPr="00171DE9">
              <w:rPr>
                <w:rFonts w:ascii="Arial Narrow" w:hAnsi="Arial Narrow"/>
                <w:color w:val="000000"/>
                <w:sz w:val="20"/>
              </w:rPr>
              <w:t>StiL</w:t>
            </w:r>
            <w:proofErr w:type="spellEnd"/>
          </w:p>
        </w:tc>
        <w:tc>
          <w:tcPr>
            <w:tcW w:w="750"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96/261</w:t>
            </w:r>
          </w:p>
        </w:tc>
        <w:tc>
          <w:tcPr>
            <w:tcW w:w="675"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127/253</w:t>
            </w:r>
          </w:p>
        </w:tc>
        <w:tc>
          <w:tcPr>
            <w:tcW w:w="918"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0.73</w:t>
            </w:r>
          </w:p>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(0.60, 0.90)</w:t>
            </w:r>
          </w:p>
        </w:tc>
        <w:tc>
          <w:tcPr>
            <w:tcW w:w="668"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36.8</w:t>
            </w:r>
          </w:p>
        </w:tc>
        <w:tc>
          <w:tcPr>
            <w:tcW w:w="636"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50.2</w:t>
            </w:r>
          </w:p>
        </w:tc>
        <w:tc>
          <w:tcPr>
            <w:tcW w:w="668"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 xml:space="preserve">-0.13 </w:t>
            </w:r>
          </w:p>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(-0.22, -0.05)</w:t>
            </w:r>
          </w:p>
        </w:tc>
      </w:tr>
      <w:tr w:rsidR="006C50D2" w:rsidRPr="00171DE9" w:rsidTr="006C50D2">
        <w:tc>
          <w:tcPr>
            <w:tcW w:w="685" w:type="pct"/>
            <w:shd w:val="clear" w:color="auto" w:fill="auto"/>
            <w:vAlign w:val="center"/>
          </w:tcPr>
          <w:p w:rsidR="006C50D2" w:rsidRPr="00171DE9" w:rsidRDefault="006C50D2" w:rsidP="00780E25">
            <w:pPr>
              <w:keepNext/>
              <w:keepLines/>
              <w:rPr>
                <w:rFonts w:ascii="Arial Narrow" w:hAnsi="Arial Narrow"/>
                <w:color w:val="000000"/>
                <w:sz w:val="20"/>
              </w:rPr>
            </w:pPr>
            <w:r w:rsidRPr="00171DE9">
              <w:rPr>
                <w:rFonts w:ascii="Arial Narrow" w:hAnsi="Arial Narrow"/>
                <w:color w:val="000000"/>
                <w:sz w:val="20"/>
              </w:rPr>
              <w:t>BRIGHT</w:t>
            </w:r>
          </w:p>
        </w:tc>
        <w:tc>
          <w:tcPr>
            <w:tcW w:w="750"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57/103</w:t>
            </w:r>
          </w:p>
        </w:tc>
        <w:tc>
          <w:tcPr>
            <w:tcW w:w="675"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56/98</w:t>
            </w:r>
          </w:p>
        </w:tc>
        <w:tc>
          <w:tcPr>
            <w:tcW w:w="918"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 xml:space="preserve">0.97 </w:t>
            </w:r>
          </w:p>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(0.76, 1.24)</w:t>
            </w:r>
          </w:p>
        </w:tc>
        <w:tc>
          <w:tcPr>
            <w:tcW w:w="668"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55.3</w:t>
            </w:r>
          </w:p>
        </w:tc>
        <w:tc>
          <w:tcPr>
            <w:tcW w:w="636"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57.1</w:t>
            </w:r>
          </w:p>
        </w:tc>
        <w:tc>
          <w:tcPr>
            <w:tcW w:w="668" w:type="pct"/>
            <w:vAlign w:val="center"/>
          </w:tcPr>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-0.02</w:t>
            </w:r>
          </w:p>
          <w:p w:rsidR="006C50D2" w:rsidRPr="00171DE9" w:rsidRDefault="006C50D2" w:rsidP="00780E25">
            <w:pPr>
              <w:keepNext/>
              <w:keepLines/>
              <w:jc w:val="center"/>
              <w:rPr>
                <w:rFonts w:ascii="Arial Narrow" w:hAnsi="Arial Narrow"/>
                <w:color w:val="000000"/>
                <w:sz w:val="20"/>
              </w:rPr>
            </w:pPr>
            <w:r w:rsidRPr="00171DE9">
              <w:rPr>
                <w:rFonts w:ascii="Arial Narrow" w:hAnsi="Arial Narrow"/>
                <w:color w:val="000000"/>
                <w:sz w:val="20"/>
              </w:rPr>
              <w:t>(-0.16, 0.12)</w:t>
            </w:r>
          </w:p>
        </w:tc>
      </w:tr>
    </w:tbl>
    <w:p w:rsidR="006C50D2" w:rsidRPr="00171DE9" w:rsidRDefault="006C50D2" w:rsidP="00780E25">
      <w:pPr>
        <w:keepNext/>
        <w:keepLines/>
        <w:ind w:left="567"/>
        <w:rPr>
          <w:rFonts w:ascii="Arial Narrow" w:eastAsia="Times New Roman" w:hAnsi="Arial Narrow"/>
          <w:sz w:val="18"/>
        </w:rPr>
      </w:pPr>
      <w:proofErr w:type="spellStart"/>
      <w:r w:rsidRPr="00171DE9">
        <w:rPr>
          <w:rFonts w:ascii="Arial Narrow" w:eastAsia="Times New Roman" w:hAnsi="Arial Narrow"/>
          <w:sz w:val="18"/>
        </w:rPr>
        <w:t>StiL</w:t>
      </w:r>
      <w:proofErr w:type="spellEnd"/>
      <w:r w:rsidRPr="00171DE9">
        <w:rPr>
          <w:rFonts w:ascii="Arial Narrow" w:eastAsia="Times New Roman" w:hAnsi="Arial Narrow"/>
          <w:sz w:val="18"/>
        </w:rPr>
        <w:t xml:space="preserve"> trial median duration of follow-up is 45 months; BRIGHT study follow-up is up to 8 cycles (B-R arm 1 cycle length is 28 days; R-CHOP or R-CVP arms 1 cycle length is 21 days), median follow-up is Not Reported (data is not mature, as per the planned 5 years minimum follow-up by the trial design) </w:t>
      </w:r>
    </w:p>
    <w:p w:rsidR="006C50D2" w:rsidRPr="00171DE9" w:rsidRDefault="006C50D2" w:rsidP="00780E25">
      <w:pPr>
        <w:keepNext/>
        <w:keepLines/>
        <w:ind w:left="567"/>
        <w:rPr>
          <w:rFonts w:ascii="Arial Narrow" w:eastAsia="Times New Roman" w:hAnsi="Arial Narrow"/>
          <w:sz w:val="18"/>
        </w:rPr>
      </w:pPr>
      <w:r w:rsidRPr="00171DE9">
        <w:rPr>
          <w:rFonts w:ascii="Arial Narrow" w:eastAsia="Times New Roman" w:hAnsi="Arial Narrow"/>
          <w:sz w:val="18"/>
        </w:rPr>
        <w:t xml:space="preserve">**BRIGHT study presents aggregate data for R-CHOP/R-CVP benefits </w:t>
      </w:r>
      <w:proofErr w:type="gramStart"/>
      <w:r w:rsidRPr="00171DE9">
        <w:rPr>
          <w:rFonts w:ascii="Arial Narrow" w:eastAsia="Times New Roman" w:hAnsi="Arial Narrow"/>
          <w:sz w:val="18"/>
        </w:rPr>
        <w:t>outcome,</w:t>
      </w:r>
      <w:proofErr w:type="gramEnd"/>
      <w:r w:rsidRPr="00171DE9">
        <w:rPr>
          <w:rFonts w:ascii="Arial Narrow" w:eastAsia="Times New Roman" w:hAnsi="Arial Narrow"/>
          <w:sz w:val="18"/>
        </w:rPr>
        <w:t xml:space="preserve"> and disaggregated data (R-CHOP only) for safety outcomes (Note: the safety profile of R-CHOP is distinct from that of R-CVP)</w:t>
      </w:r>
    </w:p>
    <w:p w:rsidR="006C50D2" w:rsidRPr="00171DE9" w:rsidRDefault="006C50D2" w:rsidP="00780E25">
      <w:pPr>
        <w:keepNext/>
        <w:keepLines/>
        <w:ind w:left="567"/>
        <w:rPr>
          <w:rFonts w:ascii="Arial Narrow" w:eastAsia="Times New Roman" w:hAnsi="Arial Narrow"/>
          <w:sz w:val="18"/>
        </w:rPr>
      </w:pPr>
      <w:r w:rsidRPr="00171DE9">
        <w:rPr>
          <w:rFonts w:ascii="Arial Narrow" w:eastAsia="Times New Roman" w:hAnsi="Arial Narrow"/>
          <w:sz w:val="18"/>
        </w:rPr>
        <w:t>Abbreviations: B-R=bendamustine-rituximab; C=Cyclophosphamide; H=Doxorubicin; O (in R-CHOP) / V (in R-CVP) =Vincristine; P=Prednisone; R=Rituximab D = risk difference; RR = risk ratio; CR= complete response; PFS=progression-free survival</w:t>
      </w:r>
    </w:p>
    <w:p w:rsidR="006C50D2" w:rsidRPr="00171DE9" w:rsidRDefault="006C50D2" w:rsidP="00780E25">
      <w:pPr>
        <w:keepNext/>
        <w:keepLines/>
        <w:rPr>
          <w:rFonts w:ascii="Arial Narrow" w:eastAsia="Times New Roman" w:hAnsi="Arial Narrow"/>
          <w:sz w:val="18"/>
        </w:rPr>
      </w:pPr>
      <w:r w:rsidRPr="00171DE9">
        <w:rPr>
          <w:rFonts w:ascii="Arial Narrow" w:eastAsia="Times New Roman" w:hAnsi="Arial Narrow"/>
          <w:sz w:val="18"/>
        </w:rPr>
        <w:t xml:space="preserve">             Source: Compiled during the evaluation, Tables B.6.1, B.6.2 and B.6.3, of the commentary</w:t>
      </w:r>
    </w:p>
    <w:p w:rsidR="00BD76AF" w:rsidRPr="00171DE9" w:rsidRDefault="00BD76AF" w:rsidP="00BD76AF"/>
    <w:p w:rsidR="006C50D2" w:rsidRPr="00171DE9" w:rsidRDefault="006C50D2" w:rsidP="00EB1E21">
      <w:pPr>
        <w:pStyle w:val="ListParagraph"/>
        <w:widowControl/>
        <w:numPr>
          <w:ilvl w:val="1"/>
          <w:numId w:val="1"/>
        </w:numPr>
        <w:rPr>
          <w:szCs w:val="22"/>
        </w:rPr>
      </w:pPr>
      <w:r w:rsidRPr="00171DE9">
        <w:t xml:space="preserve">On the basis of head-to-head </w:t>
      </w:r>
      <w:proofErr w:type="spellStart"/>
      <w:r w:rsidR="0099425E" w:rsidRPr="00171DE9">
        <w:t>StiL</w:t>
      </w:r>
      <w:proofErr w:type="spellEnd"/>
      <w:r w:rsidR="0099425E" w:rsidRPr="00171DE9">
        <w:t xml:space="preserve"> </w:t>
      </w:r>
      <w:r w:rsidRPr="00171DE9">
        <w:t xml:space="preserve">trial, the comparison of </w:t>
      </w:r>
      <w:r w:rsidR="00223AB2" w:rsidRPr="00171DE9">
        <w:t>B-R</w:t>
      </w:r>
      <w:r w:rsidRPr="00171DE9">
        <w:t xml:space="preserve"> and R-CHOP resulted in:</w:t>
      </w:r>
    </w:p>
    <w:p w:rsidR="006C50D2" w:rsidRPr="00171DE9" w:rsidRDefault="006C50D2" w:rsidP="00EB1E21">
      <w:pPr>
        <w:pStyle w:val="ListParagraph"/>
        <w:widowControl/>
        <w:numPr>
          <w:ilvl w:val="0"/>
          <w:numId w:val="5"/>
        </w:numPr>
        <w:rPr>
          <w:szCs w:val="22"/>
        </w:rPr>
      </w:pPr>
      <w:r w:rsidRPr="00171DE9">
        <w:rPr>
          <w:szCs w:val="22"/>
        </w:rPr>
        <w:t>A</w:t>
      </w:r>
      <w:r w:rsidR="00E775DE">
        <w:rPr>
          <w:szCs w:val="22"/>
        </w:rPr>
        <w:t>n improvement in median PFS of a</w:t>
      </w:r>
      <w:r w:rsidRPr="00171DE9">
        <w:rPr>
          <w:szCs w:val="22"/>
        </w:rPr>
        <w:t>pproximately 38</w:t>
      </w:r>
      <w:r w:rsidR="00144A61">
        <w:rPr>
          <w:szCs w:val="22"/>
        </w:rPr>
        <w:t xml:space="preserve"> </w:t>
      </w:r>
      <w:r w:rsidRPr="00171DE9">
        <w:rPr>
          <w:szCs w:val="22"/>
        </w:rPr>
        <w:t>months (</w:t>
      </w:r>
      <w:proofErr w:type="spellStart"/>
      <w:r w:rsidRPr="00171DE9">
        <w:rPr>
          <w:szCs w:val="22"/>
        </w:rPr>
        <w:t>StiL</w:t>
      </w:r>
      <w:proofErr w:type="spellEnd"/>
      <w:r w:rsidRPr="00171DE9">
        <w:rPr>
          <w:szCs w:val="22"/>
        </w:rPr>
        <w:t xml:space="preserve"> trial)</w:t>
      </w:r>
    </w:p>
    <w:p w:rsidR="006C50D2" w:rsidRDefault="006C50D2" w:rsidP="006C50D2">
      <w:pPr>
        <w:pStyle w:val="ListParagraph"/>
        <w:widowControl/>
        <w:rPr>
          <w:szCs w:val="22"/>
        </w:rPr>
      </w:pPr>
    </w:p>
    <w:p w:rsidR="006C50D2" w:rsidRPr="00171DE9" w:rsidRDefault="006C50D2" w:rsidP="00EB1E21">
      <w:pPr>
        <w:pStyle w:val="ListParagraph"/>
        <w:widowControl/>
        <w:numPr>
          <w:ilvl w:val="1"/>
          <w:numId w:val="1"/>
        </w:numPr>
        <w:rPr>
          <w:szCs w:val="22"/>
        </w:rPr>
      </w:pPr>
      <w:r w:rsidRPr="00171DE9">
        <w:t xml:space="preserve">On the basis of head-to-head trials presented in the submission, for every 100 patients treated with </w:t>
      </w:r>
      <w:r w:rsidR="00DF778F" w:rsidRPr="00171DE9">
        <w:t>B-R</w:t>
      </w:r>
      <w:r w:rsidRPr="00171DE9">
        <w:t xml:space="preserve"> in comparison to R-CHOP (</w:t>
      </w:r>
      <w:proofErr w:type="spellStart"/>
      <w:r w:rsidRPr="00171DE9">
        <w:t>StiL</w:t>
      </w:r>
      <w:proofErr w:type="spellEnd"/>
      <w:r w:rsidRPr="00171DE9">
        <w:t xml:space="preserve"> trial) or R-CHOP/R-CVP (BRIGHT study) resulted in:</w:t>
      </w:r>
    </w:p>
    <w:p w:rsidR="006C50D2" w:rsidRPr="00171DE9" w:rsidRDefault="006C50D2" w:rsidP="00EB1E21">
      <w:pPr>
        <w:pStyle w:val="ListParagraph"/>
        <w:widowControl/>
        <w:numPr>
          <w:ilvl w:val="0"/>
          <w:numId w:val="5"/>
        </w:numPr>
        <w:rPr>
          <w:szCs w:val="22"/>
        </w:rPr>
      </w:pPr>
      <w:r w:rsidRPr="00171DE9">
        <w:rPr>
          <w:szCs w:val="22"/>
        </w:rPr>
        <w:t xml:space="preserve">Approximately 10 additional patients would have </w:t>
      </w:r>
      <w:r w:rsidR="0099425E" w:rsidRPr="00171DE9">
        <w:rPr>
          <w:szCs w:val="22"/>
        </w:rPr>
        <w:t xml:space="preserve">a </w:t>
      </w:r>
      <w:r w:rsidRPr="00171DE9">
        <w:rPr>
          <w:szCs w:val="22"/>
        </w:rPr>
        <w:t>complete response (</w:t>
      </w:r>
      <w:proofErr w:type="spellStart"/>
      <w:r w:rsidRPr="00171DE9">
        <w:rPr>
          <w:szCs w:val="22"/>
        </w:rPr>
        <w:t>StiL</w:t>
      </w:r>
      <w:proofErr w:type="spellEnd"/>
      <w:r w:rsidRPr="00171DE9">
        <w:rPr>
          <w:szCs w:val="22"/>
        </w:rPr>
        <w:t xml:space="preserve"> trial)</w:t>
      </w:r>
    </w:p>
    <w:p w:rsidR="006C50D2" w:rsidRPr="00171DE9" w:rsidRDefault="006C50D2" w:rsidP="00EB1E21">
      <w:pPr>
        <w:pStyle w:val="ListParagraph"/>
        <w:widowControl/>
        <w:numPr>
          <w:ilvl w:val="0"/>
          <w:numId w:val="5"/>
        </w:numPr>
        <w:rPr>
          <w:szCs w:val="22"/>
        </w:rPr>
      </w:pPr>
      <w:r w:rsidRPr="00171DE9">
        <w:rPr>
          <w:szCs w:val="22"/>
        </w:rPr>
        <w:t>Approximately 6 additional patients would have complete response (BRIGHT study)</w:t>
      </w:r>
    </w:p>
    <w:p w:rsidR="00223AB2" w:rsidRPr="00171DE9" w:rsidRDefault="00223AB2" w:rsidP="00223AB2">
      <w:pPr>
        <w:pStyle w:val="ListParagraph"/>
        <w:widowControl/>
        <w:rPr>
          <w:szCs w:val="22"/>
        </w:rPr>
      </w:pPr>
    </w:p>
    <w:p w:rsidR="006C50D2" w:rsidRPr="00236268" w:rsidRDefault="006C50D2" w:rsidP="00EB1E21">
      <w:pPr>
        <w:pStyle w:val="ListParagraph"/>
        <w:widowControl/>
        <w:numPr>
          <w:ilvl w:val="1"/>
          <w:numId w:val="1"/>
        </w:numPr>
        <w:rPr>
          <w:szCs w:val="22"/>
        </w:rPr>
      </w:pPr>
      <w:r w:rsidRPr="00171DE9">
        <w:lastRenderedPageBreak/>
        <w:t xml:space="preserve">On the basis of head-to-head trial presented in the submission, for every 100 patients </w:t>
      </w:r>
      <w:r w:rsidRPr="00236268">
        <w:t xml:space="preserve">treated with </w:t>
      </w:r>
      <w:r w:rsidR="00223AB2" w:rsidRPr="00236268">
        <w:t xml:space="preserve">B-R </w:t>
      </w:r>
      <w:r w:rsidRPr="00236268">
        <w:t xml:space="preserve"> in comparison to R-CHOP</w:t>
      </w:r>
      <w:r w:rsidR="00EF4C61" w:rsidRPr="00236268">
        <w:t xml:space="preserve"> there would be</w:t>
      </w:r>
      <w:r w:rsidRPr="00236268">
        <w:t>:</w:t>
      </w:r>
    </w:p>
    <w:p w:rsidR="00660851" w:rsidRPr="00236268" w:rsidRDefault="00660851" w:rsidP="00EB1E21">
      <w:pPr>
        <w:pStyle w:val="ListParagraph"/>
        <w:widowControl/>
        <w:numPr>
          <w:ilvl w:val="0"/>
          <w:numId w:val="5"/>
        </w:numPr>
        <w:rPr>
          <w:szCs w:val="22"/>
        </w:rPr>
      </w:pPr>
      <w:r w:rsidRPr="00236268">
        <w:rPr>
          <w:szCs w:val="22"/>
        </w:rPr>
        <w:t xml:space="preserve">Approximately 39 </w:t>
      </w:r>
      <w:r w:rsidR="00144A61">
        <w:rPr>
          <w:szCs w:val="22"/>
        </w:rPr>
        <w:t xml:space="preserve">to 48 </w:t>
      </w:r>
      <w:r w:rsidRPr="00236268">
        <w:rPr>
          <w:szCs w:val="22"/>
        </w:rPr>
        <w:t xml:space="preserve">fewer cases of </w:t>
      </w:r>
      <w:r w:rsidR="00E775DE">
        <w:rPr>
          <w:szCs w:val="22"/>
        </w:rPr>
        <w:t xml:space="preserve">grade 3-4 </w:t>
      </w:r>
      <w:r w:rsidRPr="00236268">
        <w:rPr>
          <w:szCs w:val="22"/>
        </w:rPr>
        <w:t>neutropeni</w:t>
      </w:r>
      <w:r w:rsidR="0099425E" w:rsidRPr="00236268">
        <w:rPr>
          <w:szCs w:val="22"/>
        </w:rPr>
        <w:t>a</w:t>
      </w:r>
      <w:r w:rsidR="00E775DE">
        <w:rPr>
          <w:szCs w:val="22"/>
        </w:rPr>
        <w:t xml:space="preserve"> </w:t>
      </w:r>
      <w:r w:rsidR="00144A61">
        <w:rPr>
          <w:szCs w:val="22"/>
        </w:rPr>
        <w:t xml:space="preserve">based on the </w:t>
      </w:r>
      <w:proofErr w:type="spellStart"/>
      <w:r w:rsidRPr="00236268">
        <w:rPr>
          <w:szCs w:val="22"/>
        </w:rPr>
        <w:t>StiL</w:t>
      </w:r>
      <w:proofErr w:type="spellEnd"/>
      <w:r w:rsidRPr="00236268">
        <w:rPr>
          <w:szCs w:val="22"/>
        </w:rPr>
        <w:t xml:space="preserve"> </w:t>
      </w:r>
      <w:r w:rsidR="00144A61">
        <w:rPr>
          <w:szCs w:val="22"/>
        </w:rPr>
        <w:t xml:space="preserve">and </w:t>
      </w:r>
      <w:r w:rsidRPr="00236268">
        <w:rPr>
          <w:szCs w:val="22"/>
        </w:rPr>
        <w:t xml:space="preserve">BRIGHT </w:t>
      </w:r>
      <w:r w:rsidR="00144A61">
        <w:rPr>
          <w:szCs w:val="22"/>
        </w:rPr>
        <w:t>trials respectively</w:t>
      </w:r>
    </w:p>
    <w:p w:rsidR="00660851" w:rsidRPr="00236268" w:rsidRDefault="00660851" w:rsidP="00EB1E21">
      <w:pPr>
        <w:pStyle w:val="ListParagraph"/>
        <w:widowControl/>
        <w:numPr>
          <w:ilvl w:val="0"/>
          <w:numId w:val="5"/>
        </w:numPr>
        <w:rPr>
          <w:szCs w:val="22"/>
        </w:rPr>
      </w:pPr>
      <w:r w:rsidRPr="00236268">
        <w:rPr>
          <w:szCs w:val="22"/>
        </w:rPr>
        <w:t xml:space="preserve">Approximately 22 </w:t>
      </w:r>
      <w:r w:rsidR="00144A61">
        <w:rPr>
          <w:szCs w:val="22"/>
        </w:rPr>
        <w:t xml:space="preserve">to 35 </w:t>
      </w:r>
      <w:r w:rsidRPr="00236268">
        <w:rPr>
          <w:szCs w:val="22"/>
        </w:rPr>
        <w:t xml:space="preserve">fewer cases of neuropathy </w:t>
      </w:r>
      <w:r w:rsidR="00144A61">
        <w:rPr>
          <w:szCs w:val="22"/>
        </w:rPr>
        <w:t xml:space="preserve">based on the </w:t>
      </w:r>
      <w:proofErr w:type="spellStart"/>
      <w:r w:rsidRPr="00236268">
        <w:rPr>
          <w:szCs w:val="22"/>
        </w:rPr>
        <w:t>StiL</w:t>
      </w:r>
      <w:proofErr w:type="spellEnd"/>
      <w:r w:rsidRPr="00236268">
        <w:rPr>
          <w:szCs w:val="22"/>
        </w:rPr>
        <w:t xml:space="preserve"> </w:t>
      </w:r>
      <w:r w:rsidR="00144A61">
        <w:rPr>
          <w:szCs w:val="22"/>
        </w:rPr>
        <w:t xml:space="preserve">and BRIGHT </w:t>
      </w:r>
      <w:r w:rsidRPr="00236268">
        <w:rPr>
          <w:szCs w:val="22"/>
        </w:rPr>
        <w:t>trial</w:t>
      </w:r>
      <w:r w:rsidR="00144A61">
        <w:rPr>
          <w:szCs w:val="22"/>
        </w:rPr>
        <w:t>s respectively</w:t>
      </w:r>
    </w:p>
    <w:p w:rsidR="00660851" w:rsidRPr="00236268" w:rsidRDefault="00660851" w:rsidP="00EB1E21">
      <w:pPr>
        <w:pStyle w:val="ListParagraph"/>
        <w:widowControl/>
        <w:numPr>
          <w:ilvl w:val="0"/>
          <w:numId w:val="5"/>
        </w:numPr>
        <w:rPr>
          <w:szCs w:val="22"/>
        </w:rPr>
      </w:pPr>
      <w:r w:rsidRPr="00236268">
        <w:rPr>
          <w:szCs w:val="22"/>
        </w:rPr>
        <w:t xml:space="preserve">Approximately </w:t>
      </w:r>
      <w:r w:rsidR="00BC6EAE">
        <w:rPr>
          <w:szCs w:val="22"/>
        </w:rPr>
        <w:t xml:space="preserve">2 to </w:t>
      </w:r>
      <w:r w:rsidRPr="00236268">
        <w:rPr>
          <w:szCs w:val="22"/>
        </w:rPr>
        <w:t xml:space="preserve">13 fewer cases of infectious episodes </w:t>
      </w:r>
      <w:r w:rsidR="00BC6EAE">
        <w:rPr>
          <w:szCs w:val="22"/>
        </w:rPr>
        <w:t xml:space="preserve">based on the BRIGHT and </w:t>
      </w:r>
      <w:proofErr w:type="spellStart"/>
      <w:r w:rsidRPr="00236268">
        <w:rPr>
          <w:szCs w:val="22"/>
        </w:rPr>
        <w:t>StiL</w:t>
      </w:r>
      <w:proofErr w:type="spellEnd"/>
      <w:r w:rsidRPr="00236268">
        <w:rPr>
          <w:szCs w:val="22"/>
        </w:rPr>
        <w:t xml:space="preserve"> trial</w:t>
      </w:r>
      <w:r w:rsidR="00BC6EAE">
        <w:rPr>
          <w:szCs w:val="22"/>
        </w:rPr>
        <w:t>s respectively</w:t>
      </w:r>
    </w:p>
    <w:p w:rsidR="00BD76AF" w:rsidRPr="00236268" w:rsidRDefault="00BD76AF" w:rsidP="00BD76AF"/>
    <w:p w:rsidR="00BD76AF" w:rsidRPr="00236268" w:rsidRDefault="00BD76AF" w:rsidP="004C0A1A">
      <w:pPr>
        <w:pStyle w:val="Heading2"/>
      </w:pPr>
      <w:bookmarkStart w:id="18" w:name="_Toc409442446"/>
      <w:r w:rsidRPr="00236268">
        <w:t>Clinical claim</w:t>
      </w:r>
      <w:bookmarkEnd w:id="18"/>
    </w:p>
    <w:p w:rsidR="00BD76AF" w:rsidRPr="00236268" w:rsidRDefault="00BD76AF" w:rsidP="00BD76AF">
      <w:pPr>
        <w:ind w:left="720" w:hanging="720"/>
        <w:rPr>
          <w:szCs w:val="22"/>
        </w:rPr>
      </w:pPr>
    </w:p>
    <w:p w:rsidR="00BD76AF" w:rsidRPr="00236268" w:rsidRDefault="00BD76AF" w:rsidP="00EB1E21">
      <w:pPr>
        <w:pStyle w:val="ListParagraph"/>
        <w:widowControl/>
        <w:numPr>
          <w:ilvl w:val="1"/>
          <w:numId w:val="1"/>
        </w:numPr>
        <w:rPr>
          <w:szCs w:val="22"/>
        </w:rPr>
      </w:pPr>
      <w:r w:rsidRPr="00236268">
        <w:rPr>
          <w:szCs w:val="22"/>
        </w:rPr>
        <w:t>Previous</w:t>
      </w:r>
      <w:r w:rsidR="006B4F34" w:rsidRPr="00236268">
        <w:rPr>
          <w:szCs w:val="22"/>
        </w:rPr>
        <w:t>ly</w:t>
      </w:r>
      <w:r w:rsidRPr="00236268">
        <w:rPr>
          <w:szCs w:val="22"/>
        </w:rPr>
        <w:t xml:space="preserve"> untreated iNHL and MCL patients</w:t>
      </w:r>
      <w:r w:rsidR="00223AB2" w:rsidRPr="00236268">
        <w:rPr>
          <w:szCs w:val="22"/>
        </w:rPr>
        <w:t>:</w:t>
      </w:r>
    </w:p>
    <w:p w:rsidR="00BD76AF" w:rsidRPr="00236268" w:rsidRDefault="00BD76AF" w:rsidP="00514675">
      <w:pPr>
        <w:pStyle w:val="ListParagraph"/>
        <w:widowControl/>
        <w:rPr>
          <w:szCs w:val="22"/>
        </w:rPr>
      </w:pPr>
      <w:r w:rsidRPr="00236268">
        <w:rPr>
          <w:szCs w:val="22"/>
        </w:rPr>
        <w:t>The submission claim</w:t>
      </w:r>
      <w:r w:rsidR="006B4F34" w:rsidRPr="00236268">
        <w:rPr>
          <w:szCs w:val="22"/>
        </w:rPr>
        <w:t>ed</w:t>
      </w:r>
      <w:r w:rsidRPr="00236268">
        <w:rPr>
          <w:szCs w:val="22"/>
        </w:rPr>
        <w:t xml:space="preserve"> that bendamustine plus rituximab </w:t>
      </w:r>
      <w:r w:rsidR="003C4AB0" w:rsidRPr="00236268">
        <w:rPr>
          <w:szCs w:val="22"/>
        </w:rPr>
        <w:t>is</w:t>
      </w:r>
      <w:r w:rsidR="000C4078" w:rsidRPr="00236268">
        <w:rPr>
          <w:szCs w:val="22"/>
        </w:rPr>
        <w:t xml:space="preserve"> </w:t>
      </w:r>
      <w:r w:rsidRPr="00236268">
        <w:rPr>
          <w:szCs w:val="22"/>
        </w:rPr>
        <w:t xml:space="preserve">superior </w:t>
      </w:r>
      <w:r w:rsidR="003C4AB0" w:rsidRPr="00236268">
        <w:rPr>
          <w:szCs w:val="22"/>
        </w:rPr>
        <w:t xml:space="preserve">in terms of both </w:t>
      </w:r>
      <w:r w:rsidRPr="00236268">
        <w:rPr>
          <w:szCs w:val="22"/>
        </w:rPr>
        <w:t>effectiveness and safety when compared to R-CHOP for the f</w:t>
      </w:r>
      <w:r w:rsidR="006B4F34" w:rsidRPr="00236268">
        <w:rPr>
          <w:szCs w:val="22"/>
        </w:rPr>
        <w:t>i</w:t>
      </w:r>
      <w:r w:rsidR="00223AB2" w:rsidRPr="00236268">
        <w:rPr>
          <w:szCs w:val="22"/>
        </w:rPr>
        <w:t>r</w:t>
      </w:r>
      <w:r w:rsidR="006B4F34" w:rsidRPr="00236268">
        <w:rPr>
          <w:szCs w:val="22"/>
        </w:rPr>
        <w:t>st-</w:t>
      </w:r>
      <w:r w:rsidRPr="00236268">
        <w:rPr>
          <w:szCs w:val="22"/>
        </w:rPr>
        <w:t>line treatment of iNHL and MCL. Th</w:t>
      </w:r>
      <w:r w:rsidR="00E775DE">
        <w:rPr>
          <w:szCs w:val="22"/>
        </w:rPr>
        <w:t>e evaluation considered that th</w:t>
      </w:r>
      <w:r w:rsidRPr="00236268">
        <w:rPr>
          <w:szCs w:val="22"/>
        </w:rPr>
        <w:t xml:space="preserve">is claim </w:t>
      </w:r>
      <w:r w:rsidR="00E775DE">
        <w:rPr>
          <w:szCs w:val="22"/>
        </w:rPr>
        <w:t>wa</w:t>
      </w:r>
      <w:r w:rsidRPr="00236268">
        <w:rPr>
          <w:szCs w:val="22"/>
        </w:rPr>
        <w:t xml:space="preserve">s adequately </w:t>
      </w:r>
      <w:r w:rsidR="00B11A76" w:rsidRPr="00236268">
        <w:rPr>
          <w:szCs w:val="22"/>
        </w:rPr>
        <w:t>supported</w:t>
      </w:r>
      <w:r w:rsidR="009C11F9" w:rsidRPr="00236268">
        <w:rPr>
          <w:szCs w:val="22"/>
        </w:rPr>
        <w:t xml:space="preserve"> for the outcome of PFS</w:t>
      </w:r>
      <w:r w:rsidR="00BC6EAE">
        <w:rPr>
          <w:szCs w:val="22"/>
        </w:rPr>
        <w:t xml:space="preserve">, based on the </w:t>
      </w:r>
      <w:proofErr w:type="spellStart"/>
      <w:r w:rsidR="00BC6EAE">
        <w:rPr>
          <w:szCs w:val="22"/>
        </w:rPr>
        <w:t>StiL</w:t>
      </w:r>
      <w:proofErr w:type="spellEnd"/>
      <w:r w:rsidR="00BC6EAE">
        <w:rPr>
          <w:szCs w:val="22"/>
        </w:rPr>
        <w:t xml:space="preserve"> trial data</w:t>
      </w:r>
      <w:r w:rsidR="00B11A76" w:rsidRPr="00236268">
        <w:rPr>
          <w:szCs w:val="22"/>
        </w:rPr>
        <w:t>;</w:t>
      </w:r>
      <w:r w:rsidRPr="00236268">
        <w:rPr>
          <w:szCs w:val="22"/>
        </w:rPr>
        <w:t xml:space="preserve"> however no overall survival benefit </w:t>
      </w:r>
      <w:r w:rsidR="00223AB2" w:rsidRPr="00236268">
        <w:rPr>
          <w:szCs w:val="22"/>
        </w:rPr>
        <w:t xml:space="preserve">was </w:t>
      </w:r>
      <w:r w:rsidRPr="00236268">
        <w:rPr>
          <w:szCs w:val="22"/>
        </w:rPr>
        <w:t>demonstrated</w:t>
      </w:r>
      <w:r w:rsidR="003C6A4D" w:rsidRPr="00236268">
        <w:rPr>
          <w:szCs w:val="22"/>
        </w:rPr>
        <w:t>.</w:t>
      </w:r>
      <w:r w:rsidR="003C6A4D" w:rsidRPr="00236268">
        <w:t xml:space="preserve"> At the time of analysis (median follow up of 45 months), median overall survival was not reached in either group. </w:t>
      </w:r>
    </w:p>
    <w:p w:rsidR="00BD76AF" w:rsidRPr="00236268" w:rsidRDefault="00BD76AF" w:rsidP="00BD76AF">
      <w:pPr>
        <w:pStyle w:val="ListParagraph"/>
        <w:widowControl/>
        <w:rPr>
          <w:szCs w:val="22"/>
        </w:rPr>
      </w:pPr>
    </w:p>
    <w:p w:rsidR="00514675" w:rsidRPr="00236268" w:rsidRDefault="00514675" w:rsidP="00EB1E21">
      <w:pPr>
        <w:pStyle w:val="ListParagraph"/>
        <w:widowControl/>
        <w:numPr>
          <w:ilvl w:val="1"/>
          <w:numId w:val="1"/>
        </w:numPr>
        <w:rPr>
          <w:szCs w:val="22"/>
        </w:rPr>
      </w:pPr>
      <w:r w:rsidRPr="00236268">
        <w:rPr>
          <w:szCs w:val="22"/>
        </w:rPr>
        <w:t xml:space="preserve">The </w:t>
      </w:r>
      <w:proofErr w:type="spellStart"/>
      <w:r w:rsidRPr="00236268">
        <w:rPr>
          <w:szCs w:val="22"/>
        </w:rPr>
        <w:t>StiL</w:t>
      </w:r>
      <w:proofErr w:type="spellEnd"/>
      <w:r w:rsidRPr="00236268">
        <w:rPr>
          <w:szCs w:val="22"/>
        </w:rPr>
        <w:t xml:space="preserve"> trial did not include rituximab maintenance treatment, which reduced the applicability of the trial to the Australian setting and may have </w:t>
      </w:r>
      <w:r w:rsidR="00CF7CFB" w:rsidRPr="00236268">
        <w:rPr>
          <w:szCs w:val="22"/>
        </w:rPr>
        <w:t xml:space="preserve">led to an underestimate of </w:t>
      </w:r>
      <w:r w:rsidRPr="00236268">
        <w:rPr>
          <w:szCs w:val="22"/>
        </w:rPr>
        <w:t>PFS in both arms of the trial</w:t>
      </w:r>
      <w:r w:rsidR="00CF7CFB" w:rsidRPr="00236268">
        <w:rPr>
          <w:szCs w:val="22"/>
        </w:rPr>
        <w:t xml:space="preserve">. </w:t>
      </w:r>
      <w:r w:rsidR="00E8457F" w:rsidRPr="00236268">
        <w:rPr>
          <w:szCs w:val="22"/>
        </w:rPr>
        <w:t>T</w:t>
      </w:r>
      <w:r w:rsidRPr="00236268">
        <w:rPr>
          <w:szCs w:val="22"/>
        </w:rPr>
        <w:t xml:space="preserve">he impact on the relative efficacy of B-R compared to R-CHOP is unknown, but it is possible that the exclusion of rituximab maintenance may have overestimated the comparative PFS advantage of B-R. </w:t>
      </w:r>
    </w:p>
    <w:p w:rsidR="00514675" w:rsidRPr="00236268" w:rsidRDefault="00514675" w:rsidP="00BD76AF">
      <w:pPr>
        <w:pStyle w:val="ListParagraph"/>
        <w:widowControl/>
        <w:rPr>
          <w:szCs w:val="22"/>
        </w:rPr>
      </w:pPr>
    </w:p>
    <w:p w:rsidR="00BD76AF" w:rsidRPr="00236268" w:rsidRDefault="00BD76AF" w:rsidP="00EB1E21">
      <w:pPr>
        <w:pStyle w:val="ListParagraph"/>
        <w:widowControl/>
        <w:numPr>
          <w:ilvl w:val="1"/>
          <w:numId w:val="1"/>
        </w:numPr>
        <w:rPr>
          <w:szCs w:val="22"/>
        </w:rPr>
      </w:pPr>
      <w:r w:rsidRPr="00236268">
        <w:rPr>
          <w:szCs w:val="22"/>
        </w:rPr>
        <w:t>Rituximab refractory patients (Bendamustine monotherapy)</w:t>
      </w:r>
      <w:r w:rsidR="00514675" w:rsidRPr="00236268">
        <w:rPr>
          <w:szCs w:val="22"/>
        </w:rPr>
        <w:t>:</w:t>
      </w:r>
    </w:p>
    <w:p w:rsidR="00BD76AF" w:rsidRPr="00236268" w:rsidRDefault="00BD76AF" w:rsidP="00BD76AF">
      <w:pPr>
        <w:pStyle w:val="ListParagraph"/>
        <w:widowControl/>
        <w:rPr>
          <w:szCs w:val="22"/>
        </w:rPr>
      </w:pPr>
      <w:r w:rsidRPr="00236268">
        <w:rPr>
          <w:szCs w:val="22"/>
        </w:rPr>
        <w:t>The submission ma</w:t>
      </w:r>
      <w:r w:rsidR="00D547CD" w:rsidRPr="00236268">
        <w:rPr>
          <w:szCs w:val="22"/>
        </w:rPr>
        <w:t>d</w:t>
      </w:r>
      <w:r w:rsidRPr="00236268">
        <w:rPr>
          <w:szCs w:val="22"/>
        </w:rPr>
        <w:t>e no comparative clinical or safety claim for bendamustine monotherapy in rituximab refractory patients.</w:t>
      </w:r>
      <w:r w:rsidR="00223AB2" w:rsidRPr="00236268">
        <w:rPr>
          <w:szCs w:val="22"/>
        </w:rPr>
        <w:t xml:space="preserve"> </w:t>
      </w:r>
    </w:p>
    <w:p w:rsidR="00B60939" w:rsidRPr="00236268" w:rsidRDefault="00B60939" w:rsidP="00207D00"/>
    <w:p w:rsidR="00B60939" w:rsidRPr="00236268" w:rsidRDefault="00B60939" w:rsidP="004C0A1A">
      <w:pPr>
        <w:pStyle w:val="Heading2"/>
      </w:pPr>
      <w:bookmarkStart w:id="19" w:name="_Toc409442447"/>
      <w:r w:rsidRPr="00236268">
        <w:t>Economic analysis</w:t>
      </w:r>
      <w:bookmarkEnd w:id="19"/>
      <w:r w:rsidR="00491B3A" w:rsidRPr="00236268">
        <w:t xml:space="preserve"> </w:t>
      </w:r>
    </w:p>
    <w:p w:rsidR="00B60939" w:rsidRPr="00236268" w:rsidRDefault="00B60939" w:rsidP="00B60939">
      <w:pPr>
        <w:ind w:left="720" w:hanging="720"/>
        <w:rPr>
          <w:szCs w:val="22"/>
        </w:rPr>
      </w:pPr>
    </w:p>
    <w:p w:rsidR="00EB37B6" w:rsidRPr="00236268" w:rsidRDefault="00D547CD" w:rsidP="00EB1E21">
      <w:pPr>
        <w:pStyle w:val="ListParagraph"/>
        <w:widowControl/>
        <w:numPr>
          <w:ilvl w:val="1"/>
          <w:numId w:val="1"/>
        </w:numPr>
        <w:rPr>
          <w:szCs w:val="22"/>
        </w:rPr>
      </w:pPr>
      <w:r w:rsidRPr="00236268">
        <w:rPr>
          <w:color w:val="000000" w:themeColor="text1"/>
        </w:rPr>
        <w:t>Rituximab-refractory iNHL:</w:t>
      </w:r>
      <w:r w:rsidR="00A9378D" w:rsidRPr="00236268">
        <w:rPr>
          <w:color w:val="000000" w:themeColor="text1"/>
        </w:rPr>
        <w:t xml:space="preserve"> </w:t>
      </w:r>
      <w:r w:rsidR="00320373" w:rsidRPr="00236268">
        <w:rPr>
          <w:color w:val="000000" w:themeColor="text1"/>
        </w:rPr>
        <w:t>A</w:t>
      </w:r>
      <w:r w:rsidR="00EB37B6" w:rsidRPr="00236268">
        <w:rPr>
          <w:color w:val="000000" w:themeColor="text1"/>
        </w:rPr>
        <w:t>n</w:t>
      </w:r>
      <w:r w:rsidR="00320373" w:rsidRPr="00236268">
        <w:rPr>
          <w:color w:val="000000" w:themeColor="text1"/>
        </w:rPr>
        <w:t xml:space="preserve"> economic evaluation for the rituximab-refractory iNHL population was not included in the submission, as no relevant randomised controlled tri</w:t>
      </w:r>
      <w:r w:rsidR="00EF4C61" w:rsidRPr="00236268">
        <w:rPr>
          <w:color w:val="000000" w:themeColor="text1"/>
        </w:rPr>
        <w:t>a</w:t>
      </w:r>
      <w:r w:rsidR="00320373" w:rsidRPr="00236268">
        <w:rPr>
          <w:color w:val="000000" w:themeColor="text1"/>
        </w:rPr>
        <w:t xml:space="preserve">ls or comparative clinical </w:t>
      </w:r>
      <w:r w:rsidR="003C4AB0" w:rsidRPr="00236268">
        <w:rPr>
          <w:color w:val="000000" w:themeColor="text1"/>
        </w:rPr>
        <w:t>trials</w:t>
      </w:r>
      <w:r w:rsidR="00320373" w:rsidRPr="00236268">
        <w:rPr>
          <w:color w:val="000000" w:themeColor="text1"/>
        </w:rPr>
        <w:t xml:space="preserve"> were identified. </w:t>
      </w:r>
      <w:r w:rsidR="006B4F34" w:rsidRPr="00236268">
        <w:rPr>
          <w:color w:val="000000" w:themeColor="text1"/>
        </w:rPr>
        <w:t xml:space="preserve">The ESC </w:t>
      </w:r>
      <w:r w:rsidRPr="00236268">
        <w:rPr>
          <w:color w:val="000000" w:themeColor="text1"/>
        </w:rPr>
        <w:t xml:space="preserve">considered that the submission had not presented any evidence upon which </w:t>
      </w:r>
      <w:r w:rsidR="008F4A82" w:rsidRPr="00236268">
        <w:rPr>
          <w:color w:val="000000" w:themeColor="text1"/>
        </w:rPr>
        <w:t>to draw conclusions</w:t>
      </w:r>
      <w:r w:rsidRPr="00236268">
        <w:rPr>
          <w:color w:val="000000" w:themeColor="text1"/>
        </w:rPr>
        <w:t xml:space="preserve"> as to the comparative effectiveness</w:t>
      </w:r>
      <w:r w:rsidR="00E8457F" w:rsidRPr="00236268">
        <w:rPr>
          <w:color w:val="000000" w:themeColor="text1"/>
        </w:rPr>
        <w:t>,</w:t>
      </w:r>
      <w:r w:rsidRPr="00236268">
        <w:rPr>
          <w:color w:val="000000" w:themeColor="text1"/>
        </w:rPr>
        <w:t xml:space="preserve"> safety and cost-effectiveness of bendamustine in this setting. </w:t>
      </w:r>
      <w:r w:rsidR="00C474C0" w:rsidRPr="00236268">
        <w:rPr>
          <w:color w:val="000000" w:themeColor="text1"/>
        </w:rPr>
        <w:t>Thus, t</w:t>
      </w:r>
      <w:r w:rsidR="002D0F6E" w:rsidRPr="00236268">
        <w:rPr>
          <w:color w:val="000000" w:themeColor="text1"/>
        </w:rPr>
        <w:t>he ESC noted that there was no evidence upon which to determine the risk-benefit profile of bendamustine in this setting and considered that there is an opportunity cost associated with using resources that do not produce any benefit. Therefore, t</w:t>
      </w:r>
      <w:r w:rsidR="0049420B" w:rsidRPr="00236268">
        <w:rPr>
          <w:color w:val="000000" w:themeColor="text1"/>
        </w:rPr>
        <w:t>he ESC considered that the submission’s lack of any comparative information in this setting was unreasonable</w:t>
      </w:r>
      <w:r w:rsidR="002D0F6E" w:rsidRPr="00236268">
        <w:rPr>
          <w:color w:val="000000" w:themeColor="text1"/>
        </w:rPr>
        <w:t>.</w:t>
      </w:r>
      <w:r w:rsidR="0049420B" w:rsidRPr="00236268" w:rsidDel="00D547CD">
        <w:rPr>
          <w:color w:val="000000" w:themeColor="text1"/>
        </w:rPr>
        <w:t xml:space="preserve"> </w:t>
      </w:r>
    </w:p>
    <w:p w:rsidR="00B11A76" w:rsidRPr="00236268" w:rsidRDefault="00B11A76" w:rsidP="00B11A76">
      <w:pPr>
        <w:pStyle w:val="ListParagraph"/>
        <w:widowControl/>
        <w:rPr>
          <w:color w:val="000000" w:themeColor="text1"/>
        </w:rPr>
      </w:pPr>
    </w:p>
    <w:p w:rsidR="00A9378D" w:rsidRPr="00236268" w:rsidRDefault="00871C35" w:rsidP="00EB1E21">
      <w:pPr>
        <w:pStyle w:val="ListParagraph"/>
        <w:widowControl/>
        <w:numPr>
          <w:ilvl w:val="1"/>
          <w:numId w:val="1"/>
        </w:numPr>
        <w:rPr>
          <w:szCs w:val="22"/>
        </w:rPr>
      </w:pPr>
      <w:r w:rsidRPr="00236268">
        <w:rPr>
          <w:color w:val="000000" w:themeColor="text1"/>
        </w:rPr>
        <w:t xml:space="preserve">Previously untreated iNHL and MCL: </w:t>
      </w:r>
      <w:r w:rsidR="00320373" w:rsidRPr="00236268">
        <w:rPr>
          <w:color w:val="000000" w:themeColor="text1"/>
        </w:rPr>
        <w:t>The submission presented a stepped-economic evaluation</w:t>
      </w:r>
      <w:r w:rsidR="00E8457F" w:rsidRPr="00236268">
        <w:rPr>
          <w:color w:val="000000" w:themeColor="text1"/>
        </w:rPr>
        <w:t>,</w:t>
      </w:r>
      <w:r w:rsidR="00320373" w:rsidRPr="00236268">
        <w:rPr>
          <w:color w:val="000000" w:themeColor="text1"/>
        </w:rPr>
        <w:t xml:space="preserve"> based on the </w:t>
      </w:r>
      <w:proofErr w:type="spellStart"/>
      <w:r w:rsidR="00320373" w:rsidRPr="00236268">
        <w:rPr>
          <w:color w:val="000000" w:themeColor="text1"/>
        </w:rPr>
        <w:t>StiL</w:t>
      </w:r>
      <w:proofErr w:type="spellEnd"/>
      <w:r w:rsidR="00320373" w:rsidRPr="00236268">
        <w:rPr>
          <w:color w:val="000000" w:themeColor="text1"/>
        </w:rPr>
        <w:t xml:space="preserve"> </w:t>
      </w:r>
      <w:r w:rsidR="008A28A7" w:rsidRPr="00236268">
        <w:rPr>
          <w:color w:val="000000" w:themeColor="text1"/>
        </w:rPr>
        <w:t>trial that</w:t>
      </w:r>
      <w:r w:rsidR="00D547CD" w:rsidRPr="00236268">
        <w:rPr>
          <w:color w:val="000000" w:themeColor="text1"/>
        </w:rPr>
        <w:t xml:space="preserve"> </w:t>
      </w:r>
      <w:r w:rsidR="00320373" w:rsidRPr="00236268">
        <w:rPr>
          <w:color w:val="000000" w:themeColor="text1"/>
        </w:rPr>
        <w:t>compar</w:t>
      </w:r>
      <w:r w:rsidR="00D547CD" w:rsidRPr="00236268">
        <w:rPr>
          <w:color w:val="000000" w:themeColor="text1"/>
        </w:rPr>
        <w:t>ed</w:t>
      </w:r>
      <w:r w:rsidR="00320373" w:rsidRPr="00236268">
        <w:rPr>
          <w:color w:val="000000" w:themeColor="text1"/>
        </w:rPr>
        <w:t xml:space="preserve"> the costs and consequences of treatment with B-R versus R-CHOP </w:t>
      </w:r>
      <w:r w:rsidRPr="00236268">
        <w:rPr>
          <w:color w:val="000000" w:themeColor="text1"/>
        </w:rPr>
        <w:t xml:space="preserve">in </w:t>
      </w:r>
      <w:r w:rsidR="00D547CD" w:rsidRPr="00236268">
        <w:rPr>
          <w:color w:val="000000" w:themeColor="text1"/>
        </w:rPr>
        <w:t xml:space="preserve">the </w:t>
      </w:r>
      <w:r w:rsidR="00320373" w:rsidRPr="00236268">
        <w:rPr>
          <w:color w:val="000000" w:themeColor="text1"/>
        </w:rPr>
        <w:t xml:space="preserve">first-line treatment of patients with iNHL or MCL. </w:t>
      </w:r>
    </w:p>
    <w:p w:rsidR="00275C5A" w:rsidRPr="00236268" w:rsidRDefault="00275C5A" w:rsidP="00275C5A">
      <w:pPr>
        <w:widowControl/>
        <w:rPr>
          <w:szCs w:val="22"/>
        </w:rPr>
      </w:pPr>
    </w:p>
    <w:p w:rsidR="00320373" w:rsidRPr="00236268" w:rsidRDefault="00320373" w:rsidP="00780E25">
      <w:pPr>
        <w:keepNext/>
        <w:keepLines/>
        <w:ind w:firstLine="720"/>
        <w:rPr>
          <w:rStyle w:val="CommentReference"/>
        </w:rPr>
      </w:pPr>
      <w:r w:rsidRPr="00236268">
        <w:rPr>
          <w:rStyle w:val="CommentReference"/>
        </w:rPr>
        <w:lastRenderedPageBreak/>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mponents of the economic model"/>
      </w:tblPr>
      <w:tblGrid>
        <w:gridCol w:w="2552"/>
        <w:gridCol w:w="5793"/>
      </w:tblGrid>
      <w:tr w:rsidR="00320373" w:rsidRPr="00236268" w:rsidTr="00320373">
        <w:trPr>
          <w:tblHeader/>
        </w:trPr>
        <w:tc>
          <w:tcPr>
            <w:tcW w:w="1529" w:type="pct"/>
            <w:shd w:val="clear" w:color="auto" w:fill="auto"/>
            <w:vAlign w:val="center"/>
          </w:tcPr>
          <w:p w:rsidR="00320373" w:rsidRPr="00236268" w:rsidRDefault="00320373" w:rsidP="00780E25">
            <w:pPr>
              <w:keepNext/>
              <w:keepLines/>
              <w:jc w:val="left"/>
              <w:rPr>
                <w:rFonts w:ascii="Arial Narrow" w:hAnsi="Arial Narrow"/>
                <w:b/>
                <w:sz w:val="20"/>
              </w:rPr>
            </w:pPr>
            <w:r w:rsidRPr="00236268">
              <w:rPr>
                <w:rFonts w:ascii="Arial Narrow" w:hAnsi="Arial Narrow"/>
                <w:b/>
                <w:sz w:val="20"/>
              </w:rPr>
              <w:t>Component</w:t>
            </w:r>
          </w:p>
        </w:tc>
        <w:tc>
          <w:tcPr>
            <w:tcW w:w="3471" w:type="pct"/>
            <w:shd w:val="clear" w:color="auto" w:fill="auto"/>
            <w:vAlign w:val="center"/>
          </w:tcPr>
          <w:p w:rsidR="00320373" w:rsidRPr="00236268" w:rsidRDefault="00320373" w:rsidP="00780E25">
            <w:pPr>
              <w:keepNext/>
              <w:keepLines/>
              <w:jc w:val="center"/>
              <w:rPr>
                <w:rFonts w:ascii="Arial Narrow" w:hAnsi="Arial Narrow"/>
                <w:b/>
                <w:sz w:val="20"/>
              </w:rPr>
            </w:pPr>
            <w:r w:rsidRPr="00236268">
              <w:rPr>
                <w:rFonts w:ascii="Arial Narrow" w:hAnsi="Arial Narrow"/>
                <w:b/>
                <w:sz w:val="20"/>
              </w:rPr>
              <w:t>Summary</w:t>
            </w:r>
          </w:p>
        </w:tc>
      </w:tr>
      <w:tr w:rsidR="00320373" w:rsidRPr="00236268" w:rsidTr="00320373">
        <w:tc>
          <w:tcPr>
            <w:tcW w:w="1529" w:type="pct"/>
            <w:shd w:val="clear" w:color="auto" w:fill="auto"/>
            <w:vAlign w:val="center"/>
          </w:tcPr>
          <w:p w:rsidR="00320373" w:rsidRPr="00236268" w:rsidRDefault="00320373" w:rsidP="00780E25">
            <w:pPr>
              <w:keepNext/>
              <w:keepLines/>
              <w:jc w:val="left"/>
              <w:rPr>
                <w:rFonts w:ascii="Arial Narrow" w:hAnsi="Arial Narrow"/>
                <w:sz w:val="20"/>
              </w:rPr>
            </w:pPr>
            <w:r w:rsidRPr="00236268">
              <w:rPr>
                <w:rFonts w:ascii="Arial Narrow" w:hAnsi="Arial Narrow"/>
                <w:sz w:val="20"/>
              </w:rPr>
              <w:t>Time horizon</w:t>
            </w:r>
          </w:p>
        </w:tc>
        <w:tc>
          <w:tcPr>
            <w:tcW w:w="3471" w:type="pct"/>
            <w:shd w:val="clear" w:color="auto" w:fill="auto"/>
            <w:vAlign w:val="center"/>
          </w:tcPr>
          <w:p w:rsidR="00320373" w:rsidRPr="00236268" w:rsidRDefault="00320373" w:rsidP="00780E25">
            <w:pPr>
              <w:keepNext/>
              <w:keepLines/>
              <w:jc w:val="left"/>
              <w:rPr>
                <w:rFonts w:ascii="Arial Narrow" w:hAnsi="Arial Narrow"/>
                <w:sz w:val="20"/>
              </w:rPr>
            </w:pPr>
            <w:r w:rsidRPr="00236268">
              <w:rPr>
                <w:rFonts w:ascii="Arial Narrow" w:hAnsi="Arial Narrow"/>
                <w:sz w:val="20"/>
              </w:rPr>
              <w:t>20 years in the model base case versus 7.72 years in the trial</w:t>
            </w:r>
          </w:p>
        </w:tc>
      </w:tr>
      <w:tr w:rsidR="00320373" w:rsidRPr="00236268" w:rsidTr="00320373">
        <w:tc>
          <w:tcPr>
            <w:tcW w:w="1529" w:type="pct"/>
            <w:shd w:val="clear" w:color="auto" w:fill="auto"/>
            <w:vAlign w:val="center"/>
          </w:tcPr>
          <w:p w:rsidR="00320373" w:rsidRPr="00236268" w:rsidRDefault="00320373" w:rsidP="00780E25">
            <w:pPr>
              <w:keepNext/>
              <w:keepLines/>
              <w:jc w:val="left"/>
              <w:rPr>
                <w:rFonts w:ascii="Arial Narrow" w:hAnsi="Arial Narrow"/>
                <w:sz w:val="20"/>
              </w:rPr>
            </w:pPr>
            <w:r w:rsidRPr="00236268">
              <w:rPr>
                <w:rFonts w:ascii="Arial Narrow" w:hAnsi="Arial Narrow"/>
                <w:sz w:val="20"/>
              </w:rPr>
              <w:t>Outcomes</w:t>
            </w:r>
          </w:p>
        </w:tc>
        <w:tc>
          <w:tcPr>
            <w:tcW w:w="3471" w:type="pct"/>
            <w:shd w:val="clear" w:color="auto" w:fill="auto"/>
            <w:vAlign w:val="center"/>
          </w:tcPr>
          <w:p w:rsidR="00320373" w:rsidRPr="00236268" w:rsidRDefault="00320373" w:rsidP="00780E25">
            <w:pPr>
              <w:keepNext/>
              <w:keepLines/>
              <w:jc w:val="left"/>
              <w:rPr>
                <w:rFonts w:ascii="Arial Narrow" w:hAnsi="Arial Narrow"/>
                <w:sz w:val="20"/>
              </w:rPr>
            </w:pPr>
            <w:r w:rsidRPr="00236268">
              <w:rPr>
                <w:rFonts w:ascii="Arial Narrow" w:hAnsi="Arial Narrow"/>
                <w:sz w:val="20"/>
              </w:rPr>
              <w:t>LYG, QALYs</w:t>
            </w:r>
          </w:p>
        </w:tc>
      </w:tr>
      <w:tr w:rsidR="00320373" w:rsidRPr="00236268" w:rsidTr="00320373">
        <w:tc>
          <w:tcPr>
            <w:tcW w:w="1529" w:type="pct"/>
            <w:shd w:val="clear" w:color="auto" w:fill="auto"/>
            <w:vAlign w:val="center"/>
          </w:tcPr>
          <w:p w:rsidR="00320373" w:rsidRPr="00236268" w:rsidRDefault="00320373" w:rsidP="00780E25">
            <w:pPr>
              <w:keepNext/>
              <w:keepLines/>
              <w:jc w:val="left"/>
              <w:rPr>
                <w:rFonts w:ascii="Arial Narrow" w:hAnsi="Arial Narrow"/>
                <w:sz w:val="20"/>
              </w:rPr>
            </w:pPr>
            <w:r w:rsidRPr="00236268">
              <w:rPr>
                <w:rFonts w:ascii="Arial Narrow" w:hAnsi="Arial Narrow"/>
                <w:sz w:val="20"/>
              </w:rPr>
              <w:t>Methods used to generate results</w:t>
            </w:r>
          </w:p>
        </w:tc>
        <w:tc>
          <w:tcPr>
            <w:tcW w:w="3471" w:type="pct"/>
            <w:shd w:val="clear" w:color="auto" w:fill="auto"/>
            <w:vAlign w:val="center"/>
          </w:tcPr>
          <w:p w:rsidR="00320373" w:rsidRPr="00236268" w:rsidRDefault="00320373" w:rsidP="00780E25">
            <w:pPr>
              <w:keepNext/>
              <w:keepLines/>
              <w:jc w:val="left"/>
              <w:rPr>
                <w:rFonts w:ascii="Arial Narrow" w:hAnsi="Arial Narrow"/>
                <w:sz w:val="20"/>
              </w:rPr>
            </w:pPr>
            <w:r w:rsidRPr="00236268">
              <w:rPr>
                <w:rFonts w:ascii="Arial Narrow" w:hAnsi="Arial Narrow"/>
                <w:sz w:val="20"/>
              </w:rPr>
              <w:t>Cohort expected value analysis</w:t>
            </w:r>
          </w:p>
        </w:tc>
      </w:tr>
      <w:tr w:rsidR="00320373" w:rsidRPr="00236268" w:rsidTr="00320373">
        <w:tc>
          <w:tcPr>
            <w:tcW w:w="1529" w:type="pct"/>
            <w:shd w:val="clear" w:color="auto" w:fill="auto"/>
            <w:vAlign w:val="center"/>
          </w:tcPr>
          <w:p w:rsidR="00320373" w:rsidRPr="00236268" w:rsidRDefault="00320373" w:rsidP="00780E25">
            <w:pPr>
              <w:keepNext/>
              <w:keepLines/>
              <w:jc w:val="left"/>
              <w:rPr>
                <w:rFonts w:ascii="Arial Narrow" w:hAnsi="Arial Narrow"/>
                <w:sz w:val="20"/>
              </w:rPr>
            </w:pPr>
            <w:r w:rsidRPr="00236268">
              <w:rPr>
                <w:rFonts w:ascii="Arial Narrow" w:hAnsi="Arial Narrow"/>
                <w:sz w:val="20"/>
              </w:rPr>
              <w:t>Health states</w:t>
            </w:r>
          </w:p>
        </w:tc>
        <w:tc>
          <w:tcPr>
            <w:tcW w:w="3471" w:type="pct"/>
            <w:shd w:val="clear" w:color="auto" w:fill="auto"/>
            <w:vAlign w:val="center"/>
          </w:tcPr>
          <w:p w:rsidR="00320373" w:rsidRPr="00236268" w:rsidRDefault="00320373" w:rsidP="00780E25">
            <w:pPr>
              <w:keepNext/>
              <w:keepLines/>
              <w:jc w:val="left"/>
              <w:rPr>
                <w:rFonts w:ascii="Arial Narrow" w:hAnsi="Arial Narrow"/>
                <w:sz w:val="20"/>
              </w:rPr>
            </w:pPr>
            <w:r w:rsidRPr="00236268">
              <w:rPr>
                <w:rFonts w:ascii="Arial Narrow" w:hAnsi="Arial Narrow"/>
                <w:sz w:val="20"/>
              </w:rPr>
              <w:t>3 state Markov model: progression-free, progressed disease and death</w:t>
            </w:r>
          </w:p>
        </w:tc>
      </w:tr>
      <w:tr w:rsidR="00320373" w:rsidRPr="00236268" w:rsidTr="00320373">
        <w:tc>
          <w:tcPr>
            <w:tcW w:w="1529" w:type="pct"/>
            <w:shd w:val="clear" w:color="auto" w:fill="auto"/>
            <w:vAlign w:val="center"/>
          </w:tcPr>
          <w:p w:rsidR="00320373" w:rsidRPr="00236268" w:rsidRDefault="00320373" w:rsidP="00780E25">
            <w:pPr>
              <w:keepNext/>
              <w:keepLines/>
              <w:jc w:val="left"/>
              <w:rPr>
                <w:rFonts w:ascii="Arial Narrow" w:hAnsi="Arial Narrow"/>
                <w:sz w:val="20"/>
              </w:rPr>
            </w:pPr>
            <w:r w:rsidRPr="00236268">
              <w:rPr>
                <w:rFonts w:ascii="Arial Narrow" w:hAnsi="Arial Narrow"/>
                <w:sz w:val="20"/>
              </w:rPr>
              <w:t>Cycle length</w:t>
            </w:r>
          </w:p>
        </w:tc>
        <w:tc>
          <w:tcPr>
            <w:tcW w:w="3471" w:type="pct"/>
            <w:shd w:val="clear" w:color="auto" w:fill="auto"/>
            <w:vAlign w:val="center"/>
          </w:tcPr>
          <w:p w:rsidR="00320373" w:rsidRPr="00236268" w:rsidRDefault="00320373" w:rsidP="00780E25">
            <w:pPr>
              <w:keepNext/>
              <w:keepLines/>
              <w:jc w:val="left"/>
              <w:rPr>
                <w:rFonts w:ascii="Arial Narrow" w:hAnsi="Arial Narrow"/>
                <w:sz w:val="20"/>
              </w:rPr>
            </w:pPr>
            <w:r w:rsidRPr="00236268">
              <w:rPr>
                <w:rFonts w:ascii="Arial Narrow" w:hAnsi="Arial Narrow"/>
                <w:sz w:val="20"/>
              </w:rPr>
              <w:t>4 weekly cycles (half-cycle correction applied)</w:t>
            </w:r>
          </w:p>
        </w:tc>
      </w:tr>
      <w:tr w:rsidR="00320373" w:rsidRPr="00236268" w:rsidTr="00320373">
        <w:tc>
          <w:tcPr>
            <w:tcW w:w="1529" w:type="pct"/>
            <w:shd w:val="clear" w:color="auto" w:fill="auto"/>
            <w:vAlign w:val="center"/>
          </w:tcPr>
          <w:p w:rsidR="00320373" w:rsidRPr="00236268" w:rsidRDefault="00320373" w:rsidP="00780E25">
            <w:pPr>
              <w:keepNext/>
              <w:keepLines/>
              <w:jc w:val="left"/>
              <w:rPr>
                <w:rFonts w:ascii="Arial Narrow" w:hAnsi="Arial Narrow"/>
                <w:sz w:val="20"/>
              </w:rPr>
            </w:pPr>
            <w:r w:rsidRPr="00236268">
              <w:rPr>
                <w:rFonts w:ascii="Arial Narrow" w:hAnsi="Arial Narrow"/>
                <w:sz w:val="20"/>
              </w:rPr>
              <w:t>Transition probabilities</w:t>
            </w:r>
          </w:p>
        </w:tc>
        <w:tc>
          <w:tcPr>
            <w:tcW w:w="3471" w:type="pct"/>
            <w:shd w:val="clear" w:color="auto" w:fill="auto"/>
            <w:vAlign w:val="center"/>
          </w:tcPr>
          <w:p w:rsidR="00320373" w:rsidRPr="00236268" w:rsidRDefault="00320373" w:rsidP="00780E25">
            <w:pPr>
              <w:keepNext/>
              <w:keepLines/>
              <w:jc w:val="left"/>
              <w:rPr>
                <w:rFonts w:ascii="Arial Narrow" w:hAnsi="Arial Narrow"/>
                <w:sz w:val="20"/>
              </w:rPr>
            </w:pPr>
            <w:r w:rsidRPr="00236268">
              <w:rPr>
                <w:rFonts w:ascii="Arial Narrow" w:hAnsi="Arial Narrow"/>
                <w:sz w:val="20"/>
              </w:rPr>
              <w:t>Transition probabilities were based on KM curves from recreated individual patient data. For 20 year model a Weibull extrapolation to the trial data beyond the time horizon of the study was used.</w:t>
            </w:r>
          </w:p>
        </w:tc>
      </w:tr>
    </w:tbl>
    <w:p w:rsidR="00320373" w:rsidRPr="00236268" w:rsidRDefault="00320373" w:rsidP="00780E25">
      <w:pPr>
        <w:pStyle w:val="TableFooter"/>
        <w:keepNext/>
        <w:keepLines/>
        <w:ind w:firstLine="720"/>
      </w:pPr>
      <w:r w:rsidRPr="00236268">
        <w:t>Source: compiled during the evaluation</w:t>
      </w:r>
    </w:p>
    <w:p w:rsidR="00275C5A" w:rsidRPr="00236268" w:rsidRDefault="00275C5A" w:rsidP="00275C5A">
      <w:pPr>
        <w:widowControl/>
        <w:rPr>
          <w:szCs w:val="22"/>
        </w:rPr>
      </w:pPr>
    </w:p>
    <w:p w:rsidR="00320373" w:rsidRPr="00236268" w:rsidRDefault="00320373" w:rsidP="00EB1E21">
      <w:pPr>
        <w:pStyle w:val="ListParagraph"/>
        <w:widowControl/>
        <w:numPr>
          <w:ilvl w:val="1"/>
          <w:numId w:val="1"/>
        </w:numPr>
        <w:rPr>
          <w:color w:val="000000" w:themeColor="text1"/>
          <w:szCs w:val="22"/>
        </w:rPr>
      </w:pPr>
      <w:r w:rsidRPr="00236268">
        <w:rPr>
          <w:color w:val="000000" w:themeColor="text1"/>
        </w:rPr>
        <w:t xml:space="preserve">The key </w:t>
      </w:r>
      <w:r w:rsidR="00E41C97" w:rsidRPr="00236268">
        <w:rPr>
          <w:color w:val="000000" w:themeColor="text1"/>
        </w:rPr>
        <w:t>influences on the ICER</w:t>
      </w:r>
      <w:r w:rsidRPr="00236268">
        <w:rPr>
          <w:color w:val="000000" w:themeColor="text1"/>
        </w:rPr>
        <w:t xml:space="preserve"> were the utility values for the progression-free and progressed disease state, time horizon and body surface area (BSA) used in calculating the average dose per patient. </w:t>
      </w:r>
    </w:p>
    <w:p w:rsidR="0017735A" w:rsidRDefault="0017735A" w:rsidP="00320373">
      <w:pPr>
        <w:ind w:firstLine="720"/>
        <w:rPr>
          <w:rStyle w:val="CommentReference"/>
        </w:rPr>
      </w:pPr>
    </w:p>
    <w:p w:rsidR="00320373" w:rsidRPr="00236268" w:rsidRDefault="00320373" w:rsidP="00320373">
      <w:pPr>
        <w:ind w:firstLine="720"/>
        <w:rPr>
          <w:rStyle w:val="CommentReference"/>
        </w:rPr>
      </w:pPr>
      <w:r w:rsidRPr="00236268">
        <w:rPr>
          <w:rStyle w:val="CommentReference"/>
        </w:rPr>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economic model"/>
      </w:tblPr>
      <w:tblGrid>
        <w:gridCol w:w="2552"/>
        <w:gridCol w:w="3543"/>
        <w:gridCol w:w="2250"/>
      </w:tblGrid>
      <w:tr w:rsidR="00320373" w:rsidRPr="00236268" w:rsidTr="00320373">
        <w:trPr>
          <w:tblHeader/>
        </w:trPr>
        <w:tc>
          <w:tcPr>
            <w:tcW w:w="1529" w:type="pct"/>
            <w:shd w:val="clear" w:color="auto" w:fill="auto"/>
            <w:vAlign w:val="center"/>
          </w:tcPr>
          <w:p w:rsidR="00320373" w:rsidRPr="00236268" w:rsidRDefault="00320373" w:rsidP="00320373">
            <w:pPr>
              <w:jc w:val="left"/>
              <w:rPr>
                <w:rFonts w:ascii="Arial Narrow" w:hAnsi="Arial Narrow"/>
                <w:b/>
                <w:sz w:val="20"/>
                <w:lang w:val="en-US"/>
              </w:rPr>
            </w:pPr>
            <w:r w:rsidRPr="00236268">
              <w:rPr>
                <w:rFonts w:ascii="Arial Narrow" w:hAnsi="Arial Narrow"/>
                <w:b/>
                <w:sz w:val="20"/>
                <w:lang w:val="en-US"/>
              </w:rPr>
              <w:t>Description</w:t>
            </w:r>
          </w:p>
        </w:tc>
        <w:tc>
          <w:tcPr>
            <w:tcW w:w="2123" w:type="pct"/>
            <w:shd w:val="clear" w:color="auto" w:fill="auto"/>
            <w:vAlign w:val="center"/>
          </w:tcPr>
          <w:p w:rsidR="00320373" w:rsidRPr="00236268" w:rsidRDefault="00320373" w:rsidP="00320373">
            <w:pPr>
              <w:jc w:val="center"/>
              <w:rPr>
                <w:rFonts w:ascii="Arial Narrow" w:hAnsi="Arial Narrow"/>
                <w:b/>
                <w:sz w:val="20"/>
                <w:lang w:val="en-US"/>
              </w:rPr>
            </w:pPr>
            <w:r w:rsidRPr="00236268">
              <w:rPr>
                <w:rFonts w:ascii="Arial Narrow" w:hAnsi="Arial Narrow"/>
                <w:b/>
                <w:sz w:val="20"/>
                <w:lang w:val="en-US"/>
              </w:rPr>
              <w:t>Method/Value</w:t>
            </w:r>
          </w:p>
        </w:tc>
        <w:tc>
          <w:tcPr>
            <w:tcW w:w="1348" w:type="pct"/>
            <w:shd w:val="clear" w:color="auto" w:fill="auto"/>
            <w:vAlign w:val="center"/>
          </w:tcPr>
          <w:p w:rsidR="00320373" w:rsidRPr="00236268" w:rsidRDefault="00320373" w:rsidP="003B622E">
            <w:pPr>
              <w:jc w:val="center"/>
              <w:rPr>
                <w:rFonts w:ascii="Arial Narrow" w:hAnsi="Arial Narrow"/>
                <w:b/>
                <w:sz w:val="20"/>
                <w:lang w:val="en-US"/>
              </w:rPr>
            </w:pPr>
            <w:r w:rsidRPr="00236268">
              <w:rPr>
                <w:rFonts w:ascii="Arial Narrow" w:hAnsi="Arial Narrow"/>
                <w:b/>
                <w:sz w:val="20"/>
                <w:lang w:val="en-US"/>
              </w:rPr>
              <w:t>Impact</w:t>
            </w:r>
          </w:p>
        </w:tc>
      </w:tr>
      <w:tr w:rsidR="003B622E" w:rsidRPr="00236268" w:rsidTr="00320373">
        <w:tc>
          <w:tcPr>
            <w:tcW w:w="1529" w:type="pct"/>
            <w:shd w:val="clear" w:color="auto" w:fill="auto"/>
            <w:vAlign w:val="center"/>
          </w:tcPr>
          <w:p w:rsidR="003B622E" w:rsidRPr="00236268" w:rsidRDefault="003B622E" w:rsidP="00320373">
            <w:pPr>
              <w:jc w:val="left"/>
              <w:rPr>
                <w:rFonts w:ascii="Arial Narrow" w:hAnsi="Arial Narrow"/>
                <w:sz w:val="20"/>
                <w:lang w:val="en-US"/>
              </w:rPr>
            </w:pPr>
            <w:r w:rsidRPr="00236268">
              <w:rPr>
                <w:rFonts w:ascii="Arial Narrow" w:hAnsi="Arial Narrow"/>
                <w:sz w:val="20"/>
                <w:lang w:val="en-US"/>
              </w:rPr>
              <w:t xml:space="preserve">Utility values  </w:t>
            </w:r>
          </w:p>
        </w:tc>
        <w:tc>
          <w:tcPr>
            <w:tcW w:w="2123" w:type="pct"/>
            <w:shd w:val="clear" w:color="auto" w:fill="auto"/>
            <w:vAlign w:val="center"/>
          </w:tcPr>
          <w:p w:rsidR="003B622E" w:rsidRPr="00236268" w:rsidRDefault="003B622E" w:rsidP="00320373">
            <w:pPr>
              <w:jc w:val="left"/>
              <w:rPr>
                <w:rFonts w:ascii="Arial Narrow" w:hAnsi="Arial Narrow"/>
                <w:sz w:val="20"/>
                <w:lang w:val="en-US"/>
              </w:rPr>
            </w:pPr>
            <w:r w:rsidRPr="00236268">
              <w:rPr>
                <w:rFonts w:ascii="Arial Narrow" w:hAnsi="Arial Narrow"/>
                <w:sz w:val="20"/>
                <w:lang w:val="en-US"/>
              </w:rPr>
              <w:t xml:space="preserve">Increase in </w:t>
            </w:r>
            <w:r w:rsidR="00E8457F" w:rsidRPr="00236268">
              <w:rPr>
                <w:rFonts w:ascii="Arial Narrow" w:hAnsi="Arial Narrow"/>
                <w:sz w:val="20"/>
                <w:lang w:val="en-US"/>
              </w:rPr>
              <w:t>utility</w:t>
            </w:r>
            <w:r w:rsidRPr="00236268">
              <w:rPr>
                <w:rFonts w:ascii="Arial Narrow" w:hAnsi="Arial Narrow"/>
                <w:sz w:val="20"/>
                <w:lang w:val="en-US"/>
              </w:rPr>
              <w:t xml:space="preserve"> difference between PFS and PD state</w:t>
            </w:r>
          </w:p>
        </w:tc>
        <w:tc>
          <w:tcPr>
            <w:tcW w:w="1348" w:type="pct"/>
            <w:shd w:val="clear" w:color="auto" w:fill="auto"/>
            <w:vAlign w:val="center"/>
          </w:tcPr>
          <w:p w:rsidR="003B622E" w:rsidRPr="00236268" w:rsidRDefault="003B622E" w:rsidP="004C739A">
            <w:pPr>
              <w:jc w:val="center"/>
              <w:rPr>
                <w:rFonts w:ascii="Arial Narrow" w:hAnsi="Arial Narrow"/>
                <w:sz w:val="20"/>
                <w:lang w:val="en-US"/>
              </w:rPr>
            </w:pPr>
            <w:r w:rsidRPr="00236268">
              <w:rPr>
                <w:rFonts w:ascii="Arial Narrow" w:hAnsi="Arial Narrow"/>
                <w:sz w:val="20"/>
                <w:lang w:val="en-US"/>
              </w:rPr>
              <w:t xml:space="preserve">HIGH, </w:t>
            </w:r>
            <w:proofErr w:type="spellStart"/>
            <w:r w:rsidR="004C739A" w:rsidRPr="00236268">
              <w:rPr>
                <w:rFonts w:ascii="Arial Narrow" w:hAnsi="Arial Narrow"/>
                <w:sz w:val="20"/>
                <w:lang w:val="en-US"/>
              </w:rPr>
              <w:t>f</w:t>
            </w:r>
            <w:r w:rsidRPr="00236268">
              <w:rPr>
                <w:rFonts w:ascii="Arial Narrow" w:hAnsi="Arial Narrow"/>
                <w:sz w:val="20"/>
                <w:lang w:val="en-US"/>
              </w:rPr>
              <w:t>avours</w:t>
            </w:r>
            <w:proofErr w:type="spellEnd"/>
            <w:r w:rsidRPr="00236268">
              <w:rPr>
                <w:rFonts w:ascii="Arial Narrow" w:hAnsi="Arial Narrow"/>
                <w:sz w:val="20"/>
                <w:lang w:val="en-US"/>
              </w:rPr>
              <w:t xml:space="preserve"> B-R</w:t>
            </w:r>
          </w:p>
        </w:tc>
      </w:tr>
      <w:tr w:rsidR="003B622E" w:rsidRPr="00236268" w:rsidTr="00320373">
        <w:tc>
          <w:tcPr>
            <w:tcW w:w="1529" w:type="pct"/>
            <w:shd w:val="clear" w:color="auto" w:fill="auto"/>
            <w:vAlign w:val="center"/>
          </w:tcPr>
          <w:p w:rsidR="003B622E" w:rsidRPr="00236268" w:rsidRDefault="003B622E" w:rsidP="00320373">
            <w:pPr>
              <w:jc w:val="left"/>
              <w:rPr>
                <w:rFonts w:ascii="Arial Narrow" w:hAnsi="Arial Narrow"/>
                <w:sz w:val="20"/>
                <w:lang w:val="en-US"/>
              </w:rPr>
            </w:pPr>
            <w:r w:rsidRPr="00236268">
              <w:rPr>
                <w:rFonts w:ascii="Arial Narrow" w:hAnsi="Arial Narrow"/>
                <w:sz w:val="20"/>
                <w:lang w:val="en-US"/>
              </w:rPr>
              <w:t>Progression to death</w:t>
            </w:r>
          </w:p>
        </w:tc>
        <w:tc>
          <w:tcPr>
            <w:tcW w:w="2123" w:type="pct"/>
            <w:shd w:val="clear" w:color="auto" w:fill="auto"/>
            <w:vAlign w:val="center"/>
          </w:tcPr>
          <w:p w:rsidR="003B622E" w:rsidRPr="00236268" w:rsidRDefault="003B622E" w:rsidP="00320373">
            <w:pPr>
              <w:jc w:val="left"/>
              <w:rPr>
                <w:rFonts w:ascii="Arial Narrow" w:hAnsi="Arial Narrow"/>
                <w:sz w:val="20"/>
                <w:lang w:val="en-US"/>
              </w:rPr>
            </w:pPr>
            <w:r w:rsidRPr="00236268">
              <w:rPr>
                <w:rFonts w:ascii="Arial Narrow" w:hAnsi="Arial Narrow"/>
                <w:sz w:val="20"/>
                <w:lang w:val="en-US"/>
              </w:rPr>
              <w:t>Lower hazard rate from progression-free state to death compared with progressed disease state.</w:t>
            </w:r>
          </w:p>
        </w:tc>
        <w:tc>
          <w:tcPr>
            <w:tcW w:w="1348" w:type="pct"/>
            <w:shd w:val="clear" w:color="auto" w:fill="auto"/>
            <w:vAlign w:val="center"/>
          </w:tcPr>
          <w:p w:rsidR="003B622E" w:rsidRPr="00236268" w:rsidRDefault="003B622E" w:rsidP="003B622E">
            <w:pPr>
              <w:jc w:val="center"/>
              <w:rPr>
                <w:rFonts w:ascii="Arial Narrow" w:hAnsi="Arial Narrow"/>
                <w:sz w:val="20"/>
                <w:lang w:val="en-US"/>
              </w:rPr>
            </w:pPr>
            <w:r w:rsidRPr="00236268">
              <w:rPr>
                <w:rFonts w:ascii="Arial Narrow" w:hAnsi="Arial Narrow"/>
                <w:sz w:val="20"/>
                <w:lang w:val="en-US"/>
              </w:rPr>
              <w:t xml:space="preserve">Moderate, </w:t>
            </w:r>
            <w:proofErr w:type="spellStart"/>
            <w:r w:rsidRPr="00236268">
              <w:rPr>
                <w:rFonts w:ascii="Arial Narrow" w:hAnsi="Arial Narrow"/>
                <w:sz w:val="20"/>
                <w:lang w:val="en-US"/>
              </w:rPr>
              <w:t>favours</w:t>
            </w:r>
            <w:proofErr w:type="spellEnd"/>
            <w:r w:rsidRPr="00236268">
              <w:rPr>
                <w:rFonts w:ascii="Arial Narrow" w:hAnsi="Arial Narrow"/>
                <w:sz w:val="20"/>
                <w:lang w:val="en-US"/>
              </w:rPr>
              <w:t xml:space="preserve"> B-R</w:t>
            </w:r>
          </w:p>
        </w:tc>
      </w:tr>
      <w:tr w:rsidR="003B622E" w:rsidRPr="00236268" w:rsidTr="00320373">
        <w:tc>
          <w:tcPr>
            <w:tcW w:w="1529" w:type="pct"/>
            <w:shd w:val="clear" w:color="auto" w:fill="auto"/>
            <w:vAlign w:val="center"/>
          </w:tcPr>
          <w:p w:rsidR="003B622E" w:rsidRPr="00236268" w:rsidRDefault="003B622E" w:rsidP="00320373">
            <w:pPr>
              <w:jc w:val="left"/>
              <w:rPr>
                <w:rFonts w:ascii="Arial Narrow" w:hAnsi="Arial Narrow"/>
                <w:sz w:val="20"/>
                <w:lang w:val="en-US"/>
              </w:rPr>
            </w:pPr>
            <w:r w:rsidRPr="00236268">
              <w:rPr>
                <w:rFonts w:ascii="Arial Narrow" w:hAnsi="Arial Narrow"/>
                <w:sz w:val="20"/>
                <w:lang w:val="en-US"/>
              </w:rPr>
              <w:t>Time horizon</w:t>
            </w:r>
          </w:p>
        </w:tc>
        <w:tc>
          <w:tcPr>
            <w:tcW w:w="2123" w:type="pct"/>
            <w:shd w:val="clear" w:color="auto" w:fill="auto"/>
            <w:vAlign w:val="center"/>
          </w:tcPr>
          <w:p w:rsidR="003B622E" w:rsidRPr="00236268" w:rsidRDefault="003B622E" w:rsidP="00320373">
            <w:pPr>
              <w:jc w:val="left"/>
              <w:rPr>
                <w:rFonts w:ascii="Arial Narrow" w:hAnsi="Arial Narrow"/>
                <w:sz w:val="20"/>
                <w:lang w:val="en-US"/>
              </w:rPr>
            </w:pPr>
            <w:r w:rsidRPr="00236268">
              <w:rPr>
                <w:rFonts w:ascii="Arial Narrow" w:hAnsi="Arial Narrow"/>
                <w:sz w:val="20"/>
                <w:lang w:val="en-US"/>
              </w:rPr>
              <w:t>20 years (base case)</w:t>
            </w:r>
          </w:p>
          <w:p w:rsidR="003B622E" w:rsidRPr="00236268" w:rsidRDefault="003B622E" w:rsidP="00320373">
            <w:pPr>
              <w:jc w:val="left"/>
              <w:rPr>
                <w:rFonts w:ascii="Arial Narrow" w:hAnsi="Arial Narrow"/>
                <w:sz w:val="20"/>
                <w:lang w:val="en-US"/>
              </w:rPr>
            </w:pPr>
            <w:r w:rsidRPr="00236268">
              <w:rPr>
                <w:rFonts w:ascii="Arial Narrow" w:hAnsi="Arial Narrow"/>
                <w:sz w:val="20"/>
                <w:lang w:val="en-US"/>
              </w:rPr>
              <w:t>10 years; assumed from 60 month trial duration</w:t>
            </w:r>
          </w:p>
        </w:tc>
        <w:tc>
          <w:tcPr>
            <w:tcW w:w="1348" w:type="pct"/>
            <w:shd w:val="clear" w:color="auto" w:fill="auto"/>
            <w:vAlign w:val="center"/>
          </w:tcPr>
          <w:p w:rsidR="003B622E" w:rsidRPr="00236268" w:rsidRDefault="003B622E" w:rsidP="003B622E">
            <w:pPr>
              <w:jc w:val="center"/>
              <w:rPr>
                <w:rFonts w:ascii="Arial Narrow" w:hAnsi="Arial Narrow"/>
                <w:sz w:val="20"/>
                <w:lang w:val="en-US"/>
              </w:rPr>
            </w:pPr>
            <w:r w:rsidRPr="00236268">
              <w:rPr>
                <w:rFonts w:ascii="Arial Narrow" w:hAnsi="Arial Narrow"/>
                <w:sz w:val="20"/>
                <w:lang w:val="en-US"/>
              </w:rPr>
              <w:t xml:space="preserve">Moderate, </w:t>
            </w:r>
            <w:proofErr w:type="spellStart"/>
            <w:r w:rsidRPr="00236268">
              <w:rPr>
                <w:rFonts w:ascii="Arial Narrow" w:hAnsi="Arial Narrow"/>
                <w:sz w:val="20"/>
                <w:lang w:val="en-US"/>
              </w:rPr>
              <w:t>favours</w:t>
            </w:r>
            <w:proofErr w:type="spellEnd"/>
            <w:r w:rsidRPr="00236268">
              <w:rPr>
                <w:rFonts w:ascii="Arial Narrow" w:hAnsi="Arial Narrow"/>
                <w:sz w:val="20"/>
                <w:lang w:val="en-US"/>
              </w:rPr>
              <w:t xml:space="preserve"> B-R</w:t>
            </w:r>
          </w:p>
          <w:p w:rsidR="003B622E" w:rsidRPr="00236268" w:rsidRDefault="00E8457F" w:rsidP="003B622E">
            <w:pPr>
              <w:jc w:val="center"/>
              <w:rPr>
                <w:rFonts w:ascii="Arial Narrow" w:hAnsi="Arial Narrow"/>
                <w:sz w:val="20"/>
                <w:lang w:val="en-US"/>
              </w:rPr>
            </w:pPr>
            <w:r w:rsidRPr="00236268">
              <w:rPr>
                <w:rFonts w:ascii="Arial Narrow" w:hAnsi="Arial Narrow"/>
                <w:sz w:val="20"/>
                <w:lang w:val="en-US"/>
              </w:rPr>
              <w:t>Moderate</w:t>
            </w:r>
            <w:r w:rsidR="003B622E" w:rsidRPr="00236268">
              <w:rPr>
                <w:rFonts w:ascii="Arial Narrow" w:hAnsi="Arial Narrow"/>
                <w:sz w:val="20"/>
                <w:lang w:val="en-US"/>
              </w:rPr>
              <w:t xml:space="preserve">, </w:t>
            </w:r>
            <w:proofErr w:type="spellStart"/>
            <w:r w:rsidR="003B622E" w:rsidRPr="00236268">
              <w:rPr>
                <w:rFonts w:ascii="Arial Narrow" w:hAnsi="Arial Narrow"/>
                <w:sz w:val="20"/>
                <w:lang w:val="en-US"/>
              </w:rPr>
              <w:t>favours</w:t>
            </w:r>
            <w:proofErr w:type="spellEnd"/>
            <w:r w:rsidR="003B622E" w:rsidRPr="00236268">
              <w:rPr>
                <w:rFonts w:ascii="Arial Narrow" w:hAnsi="Arial Narrow"/>
                <w:sz w:val="20"/>
                <w:lang w:val="en-US"/>
              </w:rPr>
              <w:t xml:space="preserve"> R-CHOP</w:t>
            </w:r>
          </w:p>
        </w:tc>
      </w:tr>
      <w:tr w:rsidR="003B622E" w:rsidRPr="00236268" w:rsidTr="00320373">
        <w:tc>
          <w:tcPr>
            <w:tcW w:w="1529" w:type="pct"/>
            <w:shd w:val="clear" w:color="auto" w:fill="auto"/>
            <w:vAlign w:val="center"/>
          </w:tcPr>
          <w:p w:rsidR="003B622E" w:rsidRPr="00236268" w:rsidRDefault="003B622E" w:rsidP="00320373">
            <w:pPr>
              <w:jc w:val="left"/>
              <w:rPr>
                <w:rFonts w:ascii="Arial Narrow" w:hAnsi="Arial Narrow"/>
                <w:sz w:val="20"/>
                <w:lang w:val="en-US"/>
              </w:rPr>
            </w:pPr>
            <w:r w:rsidRPr="00236268">
              <w:rPr>
                <w:rFonts w:ascii="Arial Narrow" w:hAnsi="Arial Narrow"/>
                <w:sz w:val="20"/>
                <w:lang w:val="en-US"/>
              </w:rPr>
              <w:t>KM estimates (LCB)</w:t>
            </w:r>
          </w:p>
        </w:tc>
        <w:tc>
          <w:tcPr>
            <w:tcW w:w="2123" w:type="pct"/>
            <w:shd w:val="clear" w:color="auto" w:fill="auto"/>
            <w:vAlign w:val="center"/>
          </w:tcPr>
          <w:p w:rsidR="003B622E" w:rsidRPr="00236268" w:rsidRDefault="003B622E" w:rsidP="00320373">
            <w:pPr>
              <w:jc w:val="left"/>
              <w:rPr>
                <w:rFonts w:ascii="Arial Narrow" w:hAnsi="Arial Narrow"/>
                <w:sz w:val="20"/>
                <w:lang w:val="en-US"/>
              </w:rPr>
            </w:pPr>
            <w:r w:rsidRPr="00236268">
              <w:rPr>
                <w:rFonts w:ascii="Arial Narrow" w:hAnsi="Arial Narrow"/>
                <w:sz w:val="20"/>
                <w:lang w:val="en-US"/>
              </w:rPr>
              <w:t>Use of lower confidence bound of KM estimates and extrapolation for B-R and R-CHOP</w:t>
            </w:r>
          </w:p>
        </w:tc>
        <w:tc>
          <w:tcPr>
            <w:tcW w:w="1348" w:type="pct"/>
            <w:shd w:val="clear" w:color="auto" w:fill="auto"/>
            <w:vAlign w:val="center"/>
          </w:tcPr>
          <w:p w:rsidR="003B622E" w:rsidRPr="00236268" w:rsidRDefault="003B622E" w:rsidP="003B622E">
            <w:pPr>
              <w:jc w:val="center"/>
              <w:rPr>
                <w:rFonts w:ascii="Arial Narrow" w:hAnsi="Arial Narrow"/>
                <w:sz w:val="20"/>
                <w:lang w:val="en-US"/>
              </w:rPr>
            </w:pPr>
            <w:r w:rsidRPr="00236268">
              <w:rPr>
                <w:rFonts w:ascii="Arial Narrow" w:hAnsi="Arial Narrow"/>
                <w:sz w:val="20"/>
                <w:lang w:val="en-US"/>
              </w:rPr>
              <w:t xml:space="preserve">Moderate, </w:t>
            </w:r>
            <w:proofErr w:type="spellStart"/>
            <w:r w:rsidRPr="00236268">
              <w:rPr>
                <w:rFonts w:ascii="Arial Narrow" w:hAnsi="Arial Narrow"/>
                <w:sz w:val="20"/>
                <w:lang w:val="en-US"/>
              </w:rPr>
              <w:t>favours</w:t>
            </w:r>
            <w:proofErr w:type="spellEnd"/>
            <w:r w:rsidRPr="00236268">
              <w:rPr>
                <w:rFonts w:ascii="Arial Narrow" w:hAnsi="Arial Narrow"/>
                <w:sz w:val="20"/>
                <w:lang w:val="en-US"/>
              </w:rPr>
              <w:t xml:space="preserve"> R-CHOP</w:t>
            </w:r>
          </w:p>
        </w:tc>
      </w:tr>
      <w:tr w:rsidR="003B622E" w:rsidRPr="00236268" w:rsidTr="00320373">
        <w:tc>
          <w:tcPr>
            <w:tcW w:w="1529" w:type="pct"/>
            <w:shd w:val="clear" w:color="auto" w:fill="auto"/>
            <w:vAlign w:val="center"/>
          </w:tcPr>
          <w:p w:rsidR="003B622E" w:rsidRPr="00236268" w:rsidRDefault="003B622E" w:rsidP="00320373">
            <w:pPr>
              <w:jc w:val="left"/>
              <w:rPr>
                <w:rFonts w:ascii="Arial Narrow" w:hAnsi="Arial Narrow"/>
                <w:sz w:val="20"/>
                <w:lang w:val="en-US"/>
              </w:rPr>
            </w:pPr>
            <w:r w:rsidRPr="00236268">
              <w:rPr>
                <w:rFonts w:ascii="Arial Narrow" w:hAnsi="Arial Narrow"/>
                <w:sz w:val="20"/>
                <w:lang w:val="en-US"/>
              </w:rPr>
              <w:t>KM estimates (UCB)</w:t>
            </w:r>
          </w:p>
        </w:tc>
        <w:tc>
          <w:tcPr>
            <w:tcW w:w="2123" w:type="pct"/>
            <w:shd w:val="clear" w:color="auto" w:fill="auto"/>
            <w:vAlign w:val="center"/>
          </w:tcPr>
          <w:p w:rsidR="003B622E" w:rsidRPr="00236268" w:rsidRDefault="003B622E" w:rsidP="00320373">
            <w:pPr>
              <w:jc w:val="left"/>
              <w:rPr>
                <w:rFonts w:ascii="Arial Narrow" w:hAnsi="Arial Narrow"/>
                <w:sz w:val="20"/>
                <w:lang w:val="en-US"/>
              </w:rPr>
            </w:pPr>
            <w:r w:rsidRPr="00236268">
              <w:rPr>
                <w:rFonts w:ascii="Arial Narrow" w:hAnsi="Arial Narrow"/>
                <w:sz w:val="20"/>
                <w:lang w:val="en-US"/>
              </w:rPr>
              <w:t>Use of upper confidence bound of KM estimates and extrapolation for B-R and R-CHOP</w:t>
            </w:r>
          </w:p>
        </w:tc>
        <w:tc>
          <w:tcPr>
            <w:tcW w:w="1348" w:type="pct"/>
            <w:shd w:val="clear" w:color="auto" w:fill="auto"/>
            <w:vAlign w:val="center"/>
          </w:tcPr>
          <w:p w:rsidR="003B622E" w:rsidRPr="00236268" w:rsidRDefault="003B622E" w:rsidP="003B622E">
            <w:pPr>
              <w:jc w:val="center"/>
              <w:rPr>
                <w:rFonts w:ascii="Arial Narrow" w:hAnsi="Arial Narrow"/>
                <w:sz w:val="20"/>
                <w:lang w:val="en-US"/>
              </w:rPr>
            </w:pPr>
            <w:r w:rsidRPr="00236268">
              <w:rPr>
                <w:rFonts w:ascii="Arial Narrow" w:hAnsi="Arial Narrow"/>
                <w:sz w:val="20"/>
                <w:lang w:val="en-US"/>
              </w:rPr>
              <w:t xml:space="preserve">Moderate, </w:t>
            </w:r>
            <w:proofErr w:type="spellStart"/>
            <w:r w:rsidRPr="00236268">
              <w:rPr>
                <w:rFonts w:ascii="Arial Narrow" w:hAnsi="Arial Narrow"/>
                <w:sz w:val="20"/>
                <w:lang w:val="en-US"/>
              </w:rPr>
              <w:t>favours</w:t>
            </w:r>
            <w:proofErr w:type="spellEnd"/>
            <w:r w:rsidRPr="00236268">
              <w:rPr>
                <w:rFonts w:ascii="Arial Narrow" w:hAnsi="Arial Narrow"/>
                <w:sz w:val="20"/>
                <w:lang w:val="en-US"/>
              </w:rPr>
              <w:t xml:space="preserve"> B-R</w:t>
            </w:r>
          </w:p>
        </w:tc>
      </w:tr>
      <w:tr w:rsidR="003B622E" w:rsidRPr="00236268" w:rsidTr="00320373">
        <w:tc>
          <w:tcPr>
            <w:tcW w:w="1529" w:type="pct"/>
            <w:shd w:val="clear" w:color="auto" w:fill="auto"/>
            <w:vAlign w:val="center"/>
          </w:tcPr>
          <w:p w:rsidR="003B622E" w:rsidRPr="00236268" w:rsidRDefault="003B622E" w:rsidP="00320373">
            <w:pPr>
              <w:jc w:val="left"/>
              <w:rPr>
                <w:rFonts w:ascii="Arial Narrow" w:hAnsi="Arial Narrow"/>
                <w:sz w:val="20"/>
                <w:lang w:val="en-US"/>
              </w:rPr>
            </w:pPr>
            <w:r w:rsidRPr="00236268">
              <w:rPr>
                <w:rFonts w:ascii="Arial Narrow" w:hAnsi="Arial Narrow"/>
                <w:sz w:val="20"/>
                <w:lang w:val="en-US"/>
              </w:rPr>
              <w:t>BSA (1.59 kg/m</w:t>
            </w:r>
            <w:r w:rsidRPr="00236268">
              <w:rPr>
                <w:rFonts w:ascii="Arial Narrow" w:hAnsi="Arial Narrow"/>
                <w:sz w:val="20"/>
                <w:vertAlign w:val="superscript"/>
                <w:lang w:val="en-US"/>
              </w:rPr>
              <w:t>2</w:t>
            </w:r>
            <w:r w:rsidRPr="00236268">
              <w:rPr>
                <w:rFonts w:ascii="Arial Narrow" w:hAnsi="Arial Narrow"/>
                <w:sz w:val="20"/>
                <w:lang w:val="en-US"/>
              </w:rPr>
              <w:t>)</w:t>
            </w:r>
          </w:p>
        </w:tc>
        <w:tc>
          <w:tcPr>
            <w:tcW w:w="2123" w:type="pct"/>
            <w:shd w:val="clear" w:color="auto" w:fill="auto"/>
            <w:vAlign w:val="center"/>
          </w:tcPr>
          <w:p w:rsidR="003B622E" w:rsidRPr="00236268" w:rsidRDefault="003B622E" w:rsidP="00320373">
            <w:pPr>
              <w:jc w:val="left"/>
              <w:rPr>
                <w:rFonts w:ascii="Arial Narrow" w:hAnsi="Arial Narrow"/>
                <w:sz w:val="20"/>
                <w:lang w:val="en-US"/>
              </w:rPr>
            </w:pPr>
            <w:r w:rsidRPr="00236268">
              <w:rPr>
                <w:rFonts w:ascii="Arial Narrow" w:hAnsi="Arial Narrow"/>
                <w:sz w:val="20"/>
                <w:lang w:val="en-US"/>
              </w:rPr>
              <w:t>Use of lower BSA to estimate average dose per patient</w:t>
            </w:r>
          </w:p>
        </w:tc>
        <w:tc>
          <w:tcPr>
            <w:tcW w:w="1348" w:type="pct"/>
            <w:shd w:val="clear" w:color="auto" w:fill="auto"/>
            <w:vAlign w:val="center"/>
          </w:tcPr>
          <w:p w:rsidR="003B622E" w:rsidRPr="00236268" w:rsidRDefault="003B622E" w:rsidP="003B622E">
            <w:pPr>
              <w:jc w:val="center"/>
              <w:rPr>
                <w:rFonts w:ascii="Arial Narrow" w:hAnsi="Arial Narrow"/>
                <w:sz w:val="20"/>
                <w:lang w:val="en-US"/>
              </w:rPr>
            </w:pPr>
            <w:r w:rsidRPr="00236268">
              <w:rPr>
                <w:rFonts w:ascii="Arial Narrow" w:hAnsi="Arial Narrow"/>
                <w:sz w:val="20"/>
                <w:lang w:val="en-US"/>
              </w:rPr>
              <w:t>Moderate (</w:t>
            </w:r>
            <w:proofErr w:type="spellStart"/>
            <w:r w:rsidRPr="00236268">
              <w:rPr>
                <w:rFonts w:ascii="Arial Narrow" w:hAnsi="Arial Narrow"/>
                <w:sz w:val="20"/>
                <w:lang w:val="en-US"/>
              </w:rPr>
              <w:t>favours</w:t>
            </w:r>
            <w:proofErr w:type="spellEnd"/>
            <w:r w:rsidRPr="00236268">
              <w:rPr>
                <w:rFonts w:ascii="Arial Narrow" w:hAnsi="Arial Narrow"/>
                <w:sz w:val="20"/>
                <w:lang w:val="en-US"/>
              </w:rPr>
              <w:t xml:space="preserve"> B-R)</w:t>
            </w:r>
          </w:p>
        </w:tc>
      </w:tr>
      <w:tr w:rsidR="003B622E" w:rsidRPr="00236268" w:rsidTr="00320373">
        <w:tc>
          <w:tcPr>
            <w:tcW w:w="1529" w:type="pct"/>
            <w:shd w:val="clear" w:color="auto" w:fill="auto"/>
            <w:vAlign w:val="center"/>
          </w:tcPr>
          <w:p w:rsidR="003B622E" w:rsidRPr="00236268" w:rsidRDefault="003B622E" w:rsidP="00320373">
            <w:pPr>
              <w:jc w:val="left"/>
              <w:rPr>
                <w:rFonts w:ascii="Arial Narrow" w:hAnsi="Arial Narrow"/>
                <w:sz w:val="20"/>
                <w:lang w:val="en-US"/>
              </w:rPr>
            </w:pPr>
            <w:r w:rsidRPr="00236268">
              <w:rPr>
                <w:rFonts w:ascii="Arial Narrow" w:hAnsi="Arial Narrow"/>
                <w:sz w:val="20"/>
                <w:lang w:val="en-US"/>
              </w:rPr>
              <w:t>BSA (2.01 kg/m</w:t>
            </w:r>
            <w:r w:rsidRPr="00236268">
              <w:rPr>
                <w:rFonts w:ascii="Arial Narrow" w:hAnsi="Arial Narrow"/>
                <w:sz w:val="20"/>
                <w:vertAlign w:val="superscript"/>
                <w:lang w:val="en-US"/>
              </w:rPr>
              <w:t>2</w:t>
            </w:r>
            <w:r w:rsidRPr="00236268">
              <w:rPr>
                <w:rFonts w:ascii="Arial Narrow" w:hAnsi="Arial Narrow"/>
                <w:sz w:val="20"/>
                <w:lang w:val="en-US"/>
              </w:rPr>
              <w:t>)</w:t>
            </w:r>
          </w:p>
        </w:tc>
        <w:tc>
          <w:tcPr>
            <w:tcW w:w="2123" w:type="pct"/>
            <w:shd w:val="clear" w:color="auto" w:fill="auto"/>
            <w:vAlign w:val="center"/>
          </w:tcPr>
          <w:p w:rsidR="003B622E" w:rsidRPr="00236268" w:rsidRDefault="003B622E" w:rsidP="00320373">
            <w:pPr>
              <w:jc w:val="left"/>
              <w:rPr>
                <w:rFonts w:ascii="Arial Narrow" w:hAnsi="Arial Narrow"/>
                <w:sz w:val="20"/>
                <w:lang w:val="en-US"/>
              </w:rPr>
            </w:pPr>
            <w:r w:rsidRPr="00236268">
              <w:rPr>
                <w:rFonts w:ascii="Arial Narrow" w:hAnsi="Arial Narrow"/>
                <w:sz w:val="20"/>
                <w:lang w:val="en-US"/>
              </w:rPr>
              <w:t>Use of lower BSA to estimate average dose per patient</w:t>
            </w:r>
          </w:p>
        </w:tc>
        <w:tc>
          <w:tcPr>
            <w:tcW w:w="1348" w:type="pct"/>
            <w:shd w:val="clear" w:color="auto" w:fill="auto"/>
            <w:vAlign w:val="center"/>
          </w:tcPr>
          <w:p w:rsidR="003B622E" w:rsidRPr="00236268" w:rsidRDefault="003B622E" w:rsidP="003B622E">
            <w:pPr>
              <w:jc w:val="center"/>
              <w:rPr>
                <w:rFonts w:ascii="Arial Narrow" w:hAnsi="Arial Narrow"/>
                <w:sz w:val="20"/>
                <w:lang w:val="en-US"/>
              </w:rPr>
            </w:pPr>
            <w:r w:rsidRPr="00236268">
              <w:rPr>
                <w:rFonts w:ascii="Arial Narrow" w:hAnsi="Arial Narrow"/>
                <w:sz w:val="20"/>
                <w:lang w:val="en-US"/>
              </w:rPr>
              <w:t>Moderate (</w:t>
            </w:r>
            <w:proofErr w:type="spellStart"/>
            <w:r w:rsidRPr="00236268">
              <w:rPr>
                <w:rFonts w:ascii="Arial Narrow" w:hAnsi="Arial Narrow"/>
                <w:sz w:val="20"/>
                <w:lang w:val="en-US"/>
              </w:rPr>
              <w:t>favours</w:t>
            </w:r>
            <w:proofErr w:type="spellEnd"/>
            <w:r w:rsidRPr="00236268">
              <w:rPr>
                <w:rFonts w:ascii="Arial Narrow" w:hAnsi="Arial Narrow"/>
                <w:sz w:val="20"/>
                <w:lang w:val="en-US"/>
              </w:rPr>
              <w:t xml:space="preserve"> R-CHOP)</w:t>
            </w:r>
          </w:p>
        </w:tc>
      </w:tr>
    </w:tbl>
    <w:p w:rsidR="00320373" w:rsidRPr="00236268" w:rsidRDefault="00320373" w:rsidP="00320373">
      <w:pPr>
        <w:pStyle w:val="TableFooter"/>
        <w:ind w:firstLine="720"/>
      </w:pPr>
      <w:r w:rsidRPr="00236268">
        <w:t>Source: compiled during the evaluation</w:t>
      </w:r>
    </w:p>
    <w:p w:rsidR="00485D85" w:rsidRPr="00236268" w:rsidRDefault="00485D85" w:rsidP="00E6307C">
      <w:pPr>
        <w:pStyle w:val="TableFooter"/>
        <w:ind w:left="720"/>
      </w:pPr>
      <w:r w:rsidRPr="00236268">
        <w:t>PFS = progression-free su</w:t>
      </w:r>
      <w:r w:rsidR="00E6307C" w:rsidRPr="00236268">
        <w:t>rvival, PD = progressed disease; LCB = Lower confidence bound; UCB = upper confidence bound; KM = Kaplan-Meier; BSA = body surface area. B</w:t>
      </w:r>
      <w:r w:rsidR="00E6307C" w:rsidRPr="00236268">
        <w:noBreakHyphen/>
        <w:t>R =</w:t>
      </w:r>
      <w:proofErr w:type="gramStart"/>
      <w:r w:rsidR="00E6307C" w:rsidRPr="00236268">
        <w:t>  Bendamustine</w:t>
      </w:r>
      <w:proofErr w:type="gramEnd"/>
      <w:r w:rsidR="00E6307C" w:rsidRPr="00236268">
        <w:t xml:space="preserve"> + rituximab; R-CHOP =  rituximab, cyclophosphamide, doxorubicin, vincristine and prednisolone</w:t>
      </w:r>
    </w:p>
    <w:p w:rsidR="00D110BD" w:rsidRPr="00236268" w:rsidRDefault="00D110BD" w:rsidP="00275C5A">
      <w:pPr>
        <w:widowControl/>
        <w:rPr>
          <w:szCs w:val="22"/>
        </w:rPr>
      </w:pPr>
    </w:p>
    <w:p w:rsidR="00D110BD" w:rsidRPr="00236268" w:rsidRDefault="0017735A" w:rsidP="00EB1E21">
      <w:pPr>
        <w:pStyle w:val="ListParagraph"/>
        <w:widowControl/>
        <w:numPr>
          <w:ilvl w:val="1"/>
          <w:numId w:val="1"/>
        </w:numPr>
        <w:rPr>
          <w:color w:val="000000" w:themeColor="text1"/>
          <w:szCs w:val="22"/>
        </w:rPr>
      </w:pPr>
      <w:r>
        <w:rPr>
          <w:color w:val="000000" w:themeColor="text1"/>
        </w:rPr>
        <w:t>The table below</w:t>
      </w:r>
      <w:r w:rsidR="00D93EFC" w:rsidRPr="00236268">
        <w:rPr>
          <w:color w:val="000000" w:themeColor="text1"/>
        </w:rPr>
        <w:t xml:space="preserve"> </w:t>
      </w:r>
      <w:r w:rsidR="00320373" w:rsidRPr="00236268">
        <w:rPr>
          <w:color w:val="000000" w:themeColor="text1"/>
        </w:rPr>
        <w:t>summarise</w:t>
      </w:r>
      <w:r w:rsidR="00E41C97" w:rsidRPr="00236268">
        <w:rPr>
          <w:color w:val="000000" w:themeColor="text1"/>
        </w:rPr>
        <w:t>s</w:t>
      </w:r>
      <w:r w:rsidR="00320373" w:rsidRPr="00236268">
        <w:rPr>
          <w:color w:val="000000" w:themeColor="text1"/>
        </w:rPr>
        <w:t xml:space="preserve"> the results of the stepped economic analysis. </w:t>
      </w:r>
    </w:p>
    <w:p w:rsidR="00320373" w:rsidRPr="00236268" w:rsidRDefault="00320373" w:rsidP="00320373">
      <w:pPr>
        <w:pStyle w:val="ListParagraph"/>
        <w:widowControl/>
        <w:rPr>
          <w:szCs w:val="22"/>
        </w:rPr>
      </w:pPr>
    </w:p>
    <w:p w:rsidR="00320373" w:rsidRPr="00320373" w:rsidRDefault="00320373" w:rsidP="00E523AE">
      <w:pPr>
        <w:keepNext/>
        <w:keepLines/>
        <w:widowControl/>
        <w:ind w:firstLine="720"/>
        <w:rPr>
          <w:rStyle w:val="CommentReference"/>
          <w:rFonts w:ascii="Arial" w:hAnsi="Arial"/>
          <w:b w:val="0"/>
          <w:sz w:val="22"/>
          <w:szCs w:val="22"/>
        </w:rPr>
      </w:pPr>
      <w:r w:rsidRPr="001222FC">
        <w:rPr>
          <w:rStyle w:val="CommentReference"/>
        </w:rPr>
        <w:lastRenderedPageBreak/>
        <w:t>Results of the stepped economic evaluation</w:t>
      </w:r>
    </w:p>
    <w:tbl>
      <w:tblPr>
        <w:tblW w:w="452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from a stepped economic evaluation"/>
      </w:tblPr>
      <w:tblGrid>
        <w:gridCol w:w="2694"/>
        <w:gridCol w:w="1979"/>
        <w:gridCol w:w="1850"/>
        <w:gridCol w:w="1701"/>
      </w:tblGrid>
      <w:tr w:rsidR="00320373" w:rsidRPr="004E2ADC" w:rsidTr="006E5285">
        <w:tc>
          <w:tcPr>
            <w:tcW w:w="1638" w:type="pct"/>
            <w:vAlign w:val="center"/>
          </w:tcPr>
          <w:p w:rsidR="00320373" w:rsidRPr="007E376A" w:rsidRDefault="00320373" w:rsidP="00E523AE">
            <w:pPr>
              <w:keepNext/>
              <w:keepLines/>
              <w:jc w:val="left"/>
              <w:rPr>
                <w:rFonts w:ascii="Arial Narrow" w:hAnsi="Arial Narrow" w:cs="Times New Roman"/>
                <w:b/>
                <w:sz w:val="20"/>
              </w:rPr>
            </w:pPr>
            <w:r w:rsidRPr="007E376A">
              <w:rPr>
                <w:rFonts w:ascii="Arial Narrow" w:hAnsi="Arial Narrow" w:cs="Times New Roman"/>
                <w:b/>
                <w:sz w:val="20"/>
              </w:rPr>
              <w:t>Step and component</w:t>
            </w:r>
          </w:p>
        </w:tc>
        <w:tc>
          <w:tcPr>
            <w:tcW w:w="1203" w:type="pct"/>
          </w:tcPr>
          <w:p w:rsidR="00320373" w:rsidRPr="007E376A" w:rsidRDefault="00320373" w:rsidP="00E523AE">
            <w:pPr>
              <w:keepNext/>
              <w:keepLines/>
              <w:jc w:val="center"/>
              <w:rPr>
                <w:rFonts w:ascii="Arial Narrow" w:hAnsi="Arial Narrow" w:cs="Times New Roman"/>
                <w:b/>
                <w:sz w:val="20"/>
              </w:rPr>
            </w:pPr>
            <w:r w:rsidRPr="007E376A">
              <w:rPr>
                <w:rFonts w:ascii="Arial Narrow" w:hAnsi="Arial Narrow" w:cs="Times New Roman"/>
                <w:b/>
                <w:sz w:val="20"/>
              </w:rPr>
              <w:t>B-R</w:t>
            </w:r>
          </w:p>
        </w:tc>
        <w:tc>
          <w:tcPr>
            <w:tcW w:w="1124" w:type="pct"/>
            <w:vAlign w:val="center"/>
          </w:tcPr>
          <w:p w:rsidR="00320373" w:rsidRPr="007E376A" w:rsidRDefault="00320373" w:rsidP="00E523AE">
            <w:pPr>
              <w:keepNext/>
              <w:keepLines/>
              <w:jc w:val="center"/>
              <w:rPr>
                <w:rFonts w:ascii="Arial Narrow" w:hAnsi="Arial Narrow" w:cs="Times New Roman"/>
                <w:b/>
                <w:sz w:val="20"/>
              </w:rPr>
            </w:pPr>
            <w:r w:rsidRPr="007E376A">
              <w:rPr>
                <w:rFonts w:ascii="Arial Narrow" w:hAnsi="Arial Narrow" w:cs="Times New Roman"/>
                <w:b/>
                <w:sz w:val="20"/>
              </w:rPr>
              <w:t>R-CHOP</w:t>
            </w:r>
          </w:p>
        </w:tc>
        <w:tc>
          <w:tcPr>
            <w:tcW w:w="1034" w:type="pct"/>
          </w:tcPr>
          <w:p w:rsidR="00320373" w:rsidRPr="007E376A" w:rsidRDefault="00320373" w:rsidP="00E523AE">
            <w:pPr>
              <w:keepNext/>
              <w:keepLines/>
              <w:jc w:val="center"/>
              <w:rPr>
                <w:rFonts w:ascii="Arial Narrow" w:hAnsi="Arial Narrow" w:cs="Times New Roman"/>
                <w:b/>
                <w:sz w:val="20"/>
              </w:rPr>
            </w:pPr>
            <w:r w:rsidRPr="007E376A">
              <w:rPr>
                <w:rFonts w:ascii="Arial Narrow" w:hAnsi="Arial Narrow" w:cs="Times New Roman"/>
                <w:b/>
                <w:sz w:val="20"/>
              </w:rPr>
              <w:t>Increment</w:t>
            </w:r>
          </w:p>
        </w:tc>
      </w:tr>
      <w:tr w:rsidR="00320373" w:rsidRPr="004E2ADC" w:rsidTr="006E5285">
        <w:tc>
          <w:tcPr>
            <w:tcW w:w="5000" w:type="pct"/>
            <w:gridSpan w:val="4"/>
            <w:vAlign w:val="center"/>
          </w:tcPr>
          <w:p w:rsidR="00320373" w:rsidRPr="007E376A" w:rsidRDefault="00320373" w:rsidP="00E523AE">
            <w:pPr>
              <w:keepNext/>
              <w:keepLines/>
              <w:jc w:val="left"/>
              <w:rPr>
                <w:rFonts w:ascii="Arial Narrow" w:hAnsi="Arial Narrow" w:cs="Arial Narrow"/>
                <w:b/>
                <w:bCs/>
                <w:sz w:val="20"/>
              </w:rPr>
            </w:pPr>
            <w:r w:rsidRPr="007E376A">
              <w:rPr>
                <w:rFonts w:ascii="Arial Narrow" w:hAnsi="Arial Narrow" w:cs="Arial Narrow"/>
                <w:b/>
                <w:bCs/>
                <w:sz w:val="20"/>
              </w:rPr>
              <w:t>Step 1: median trial follow-up results (45 months)</w:t>
            </w:r>
          </w:p>
        </w:tc>
      </w:tr>
      <w:tr w:rsidR="00320373" w:rsidRPr="004E2ADC" w:rsidTr="006E5285">
        <w:tc>
          <w:tcPr>
            <w:tcW w:w="1638" w:type="pct"/>
            <w:vAlign w:val="center"/>
          </w:tcPr>
          <w:p w:rsidR="00320373" w:rsidRPr="007A3D6B" w:rsidRDefault="00320373" w:rsidP="00E523AE">
            <w:pPr>
              <w:keepNext/>
              <w:keepLines/>
              <w:jc w:val="left"/>
              <w:rPr>
                <w:rFonts w:ascii="Arial Narrow" w:hAnsi="Arial Narrow" w:cs="Times New Roman"/>
                <w:sz w:val="20"/>
              </w:rPr>
            </w:pPr>
            <w:r w:rsidRPr="007A3D6B">
              <w:rPr>
                <w:rFonts w:ascii="Arial Narrow" w:hAnsi="Arial Narrow" w:cs="Times New Roman"/>
                <w:sz w:val="20"/>
              </w:rPr>
              <w:t>Costs</w:t>
            </w:r>
          </w:p>
        </w:tc>
        <w:tc>
          <w:tcPr>
            <w:tcW w:w="1203" w:type="pct"/>
          </w:tcPr>
          <w:p w:rsidR="00320373" w:rsidRPr="007A3D6B" w:rsidRDefault="00320373" w:rsidP="00E523AE">
            <w:pPr>
              <w:keepNext/>
              <w:keepLines/>
              <w:jc w:val="center"/>
              <w:rPr>
                <w:rFonts w:ascii="Arial Narrow" w:hAnsi="Arial Narrow" w:cs="Times New Roman"/>
                <w:sz w:val="20"/>
              </w:rPr>
            </w:pPr>
            <w:r w:rsidRPr="007A3D6B">
              <w:rPr>
                <w:rFonts w:ascii="Arial Narrow" w:hAnsi="Arial Narrow" w:cs="Times New Roman"/>
                <w:sz w:val="20"/>
              </w:rPr>
              <w:t>$</w:t>
            </w:r>
            <w:r w:rsidR="009B4D1B">
              <w:rPr>
                <w:rFonts w:ascii="Arial Narrow" w:hAnsi="Arial Narrow" w:cs="Times New Roman"/>
                <w:noProof/>
                <w:color w:val="000000"/>
                <w:sz w:val="20"/>
                <w:highlight w:val="black"/>
              </w:rPr>
              <w:t>'''''''''''''''''''''''''</w:t>
            </w:r>
          </w:p>
        </w:tc>
        <w:tc>
          <w:tcPr>
            <w:tcW w:w="1124" w:type="pct"/>
            <w:vAlign w:val="center"/>
          </w:tcPr>
          <w:p w:rsidR="00320373" w:rsidRPr="007A3D6B" w:rsidRDefault="00320373" w:rsidP="00E523AE">
            <w:pPr>
              <w:keepNext/>
              <w:keepLines/>
              <w:jc w:val="center"/>
              <w:rPr>
                <w:rFonts w:ascii="Arial Narrow" w:hAnsi="Arial Narrow" w:cs="Times New Roman"/>
                <w:sz w:val="20"/>
              </w:rPr>
            </w:pPr>
            <w:r w:rsidRPr="007A3D6B">
              <w:rPr>
                <w:rFonts w:ascii="Arial Narrow" w:hAnsi="Arial Narrow" w:cs="Times New Roman"/>
                <w:sz w:val="20"/>
              </w:rPr>
              <w:t>$</w:t>
            </w:r>
            <w:r w:rsidR="009B4D1B">
              <w:rPr>
                <w:rFonts w:ascii="Arial Narrow" w:hAnsi="Arial Narrow" w:cs="Times New Roman"/>
                <w:noProof/>
                <w:color w:val="000000"/>
                <w:sz w:val="20"/>
                <w:highlight w:val="black"/>
              </w:rPr>
              <w:t>''''''''''''''''''''''''''</w:t>
            </w:r>
          </w:p>
        </w:tc>
        <w:tc>
          <w:tcPr>
            <w:tcW w:w="1034" w:type="pct"/>
          </w:tcPr>
          <w:p w:rsidR="00320373" w:rsidRPr="007A3D6B" w:rsidRDefault="00320373" w:rsidP="00E523AE">
            <w:pPr>
              <w:keepNext/>
              <w:keepLines/>
              <w:jc w:val="center"/>
              <w:rPr>
                <w:rFonts w:ascii="Arial Narrow" w:hAnsi="Arial Narrow" w:cs="Times New Roman"/>
                <w:sz w:val="20"/>
              </w:rPr>
            </w:pPr>
            <w:r w:rsidRPr="007A3D6B">
              <w:rPr>
                <w:rFonts w:ascii="Arial Narrow" w:hAnsi="Arial Narrow" w:cs="Times New Roman"/>
                <w:sz w:val="20"/>
              </w:rPr>
              <w:t>$</w:t>
            </w:r>
            <w:r w:rsidR="009B4D1B">
              <w:rPr>
                <w:rFonts w:ascii="Arial Narrow" w:hAnsi="Arial Narrow" w:cs="Times New Roman"/>
                <w:noProof/>
                <w:color w:val="000000"/>
                <w:sz w:val="20"/>
                <w:highlight w:val="black"/>
              </w:rPr>
              <w:t>''''''''''''''''''''''</w:t>
            </w:r>
          </w:p>
        </w:tc>
      </w:tr>
      <w:tr w:rsidR="00320373" w:rsidRPr="004E2ADC" w:rsidTr="00D40869">
        <w:trPr>
          <w:trHeight w:val="237"/>
        </w:trPr>
        <w:tc>
          <w:tcPr>
            <w:tcW w:w="1638" w:type="pct"/>
            <w:vAlign w:val="center"/>
          </w:tcPr>
          <w:p w:rsidR="00320373" w:rsidRPr="007A3D6B" w:rsidRDefault="00320373" w:rsidP="00E523AE">
            <w:pPr>
              <w:keepNext/>
              <w:keepLines/>
              <w:jc w:val="left"/>
              <w:rPr>
                <w:rFonts w:ascii="Arial Narrow" w:hAnsi="Arial Narrow" w:cs="Times New Roman"/>
                <w:sz w:val="20"/>
              </w:rPr>
            </w:pPr>
            <w:r w:rsidRPr="007A3D6B">
              <w:rPr>
                <w:rFonts w:ascii="Arial Narrow" w:hAnsi="Arial Narrow" w:cs="Times New Roman"/>
                <w:sz w:val="20"/>
              </w:rPr>
              <w:t>PFS years</w:t>
            </w:r>
          </w:p>
        </w:tc>
        <w:tc>
          <w:tcPr>
            <w:tcW w:w="1203" w:type="pct"/>
          </w:tcPr>
          <w:p w:rsidR="00320373" w:rsidRPr="009B4D1B" w:rsidRDefault="009B4D1B" w:rsidP="00E523A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24" w:type="pct"/>
            <w:vAlign w:val="center"/>
          </w:tcPr>
          <w:p w:rsidR="00320373" w:rsidRPr="009B4D1B" w:rsidRDefault="009B4D1B" w:rsidP="00E523A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34" w:type="pct"/>
          </w:tcPr>
          <w:p w:rsidR="00320373" w:rsidRPr="009B4D1B" w:rsidRDefault="009B4D1B" w:rsidP="00E523A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320373" w:rsidRPr="004E2ADC" w:rsidTr="006E5285">
        <w:tc>
          <w:tcPr>
            <w:tcW w:w="1638" w:type="pct"/>
            <w:vAlign w:val="center"/>
          </w:tcPr>
          <w:p w:rsidR="00320373" w:rsidRPr="007A3D6B" w:rsidRDefault="00320373" w:rsidP="00E523AE">
            <w:pPr>
              <w:keepNext/>
              <w:keepLines/>
              <w:jc w:val="left"/>
              <w:rPr>
                <w:rFonts w:ascii="Arial Narrow" w:hAnsi="Arial Narrow" w:cs="Times New Roman"/>
                <w:sz w:val="20"/>
              </w:rPr>
            </w:pPr>
            <w:r w:rsidRPr="007A3D6B">
              <w:rPr>
                <w:rFonts w:ascii="Arial Narrow" w:hAnsi="Arial Narrow" w:cs="Times New Roman"/>
                <w:sz w:val="20"/>
              </w:rPr>
              <w:t>QALYs</w:t>
            </w:r>
          </w:p>
        </w:tc>
        <w:tc>
          <w:tcPr>
            <w:tcW w:w="1203" w:type="pct"/>
          </w:tcPr>
          <w:p w:rsidR="00320373" w:rsidRPr="009B4D1B" w:rsidRDefault="009B4D1B" w:rsidP="00E523A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24" w:type="pct"/>
            <w:vAlign w:val="center"/>
          </w:tcPr>
          <w:p w:rsidR="00320373" w:rsidRPr="009B4D1B" w:rsidRDefault="009B4D1B" w:rsidP="00E523A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34" w:type="pct"/>
          </w:tcPr>
          <w:p w:rsidR="00320373" w:rsidRPr="009B4D1B" w:rsidRDefault="009B4D1B" w:rsidP="00E523A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320373" w:rsidRPr="004E2ADC" w:rsidTr="006E5285">
        <w:tc>
          <w:tcPr>
            <w:tcW w:w="3966" w:type="pct"/>
            <w:gridSpan w:val="3"/>
            <w:vAlign w:val="center"/>
          </w:tcPr>
          <w:p w:rsidR="00320373" w:rsidRPr="007A3D6B" w:rsidRDefault="00320373" w:rsidP="00E523AE">
            <w:pPr>
              <w:keepNext/>
              <w:keepLines/>
              <w:jc w:val="left"/>
              <w:rPr>
                <w:rFonts w:ascii="Arial Narrow" w:hAnsi="Arial Narrow" w:cs="Times New Roman"/>
                <w:b/>
                <w:snapToGrid/>
                <w:sz w:val="20"/>
              </w:rPr>
            </w:pPr>
            <w:r w:rsidRPr="007A3D6B">
              <w:rPr>
                <w:rFonts w:ascii="Arial Narrow" w:hAnsi="Arial Narrow" w:cs="Times New Roman"/>
                <w:b/>
                <w:snapToGrid/>
                <w:sz w:val="20"/>
              </w:rPr>
              <w:t>Incremental cost/PFS years</w:t>
            </w:r>
          </w:p>
        </w:tc>
        <w:tc>
          <w:tcPr>
            <w:tcW w:w="1034" w:type="pct"/>
          </w:tcPr>
          <w:p w:rsidR="00320373" w:rsidRPr="007A3D6B" w:rsidRDefault="00320373" w:rsidP="00E523AE">
            <w:pPr>
              <w:keepNext/>
              <w:keepLines/>
              <w:jc w:val="center"/>
              <w:rPr>
                <w:rFonts w:ascii="Arial Narrow" w:hAnsi="Arial Narrow" w:cs="Times New Roman"/>
                <w:b/>
                <w:sz w:val="20"/>
              </w:rPr>
            </w:pPr>
            <w:r w:rsidRPr="007A3D6B">
              <w:rPr>
                <w:rFonts w:ascii="Arial Narrow" w:hAnsi="Arial Narrow" w:cs="Times New Roman"/>
                <w:b/>
                <w:sz w:val="20"/>
              </w:rPr>
              <w:t>$</w:t>
            </w:r>
            <w:r w:rsidR="009B4D1B">
              <w:rPr>
                <w:rFonts w:ascii="Arial Narrow" w:hAnsi="Arial Narrow" w:cs="Times New Roman"/>
                <w:b/>
                <w:noProof/>
                <w:color w:val="000000"/>
                <w:sz w:val="20"/>
                <w:highlight w:val="black"/>
              </w:rPr>
              <w:t>''''''''''''''''''</w:t>
            </w:r>
          </w:p>
        </w:tc>
      </w:tr>
      <w:tr w:rsidR="00320373" w:rsidRPr="004E2ADC" w:rsidTr="006E5285">
        <w:tc>
          <w:tcPr>
            <w:tcW w:w="3966" w:type="pct"/>
            <w:gridSpan w:val="3"/>
            <w:vAlign w:val="center"/>
          </w:tcPr>
          <w:p w:rsidR="00320373" w:rsidRPr="007A3D6B" w:rsidRDefault="00320373" w:rsidP="00E523AE">
            <w:pPr>
              <w:keepNext/>
              <w:keepLines/>
              <w:jc w:val="left"/>
              <w:rPr>
                <w:rFonts w:ascii="Arial Narrow" w:hAnsi="Arial Narrow" w:cs="Times New Roman"/>
                <w:sz w:val="20"/>
              </w:rPr>
            </w:pPr>
            <w:r w:rsidRPr="007A3D6B">
              <w:rPr>
                <w:rFonts w:ascii="Arial Narrow" w:hAnsi="Arial Narrow" w:cs="Times New Roman"/>
                <w:b/>
                <w:snapToGrid/>
                <w:sz w:val="20"/>
              </w:rPr>
              <w:t>Incremental cost/QALY</w:t>
            </w:r>
          </w:p>
        </w:tc>
        <w:tc>
          <w:tcPr>
            <w:tcW w:w="1034" w:type="pct"/>
          </w:tcPr>
          <w:p w:rsidR="00320373" w:rsidRPr="007A3D6B" w:rsidRDefault="00320373" w:rsidP="00E523AE">
            <w:pPr>
              <w:keepNext/>
              <w:keepLines/>
              <w:jc w:val="center"/>
              <w:rPr>
                <w:rFonts w:ascii="Arial Narrow" w:hAnsi="Arial Narrow" w:cs="Times New Roman"/>
                <w:sz w:val="20"/>
              </w:rPr>
            </w:pPr>
            <w:r w:rsidRPr="007A3D6B">
              <w:rPr>
                <w:rFonts w:ascii="Arial Narrow" w:hAnsi="Arial Narrow" w:cs="Times New Roman"/>
                <w:b/>
                <w:sz w:val="20"/>
              </w:rPr>
              <w:t>$</w:t>
            </w:r>
            <w:r w:rsidR="009B4D1B">
              <w:rPr>
                <w:rFonts w:ascii="Arial Narrow" w:hAnsi="Arial Narrow" w:cs="Times New Roman"/>
                <w:b/>
                <w:noProof/>
                <w:color w:val="000000"/>
                <w:sz w:val="20"/>
                <w:highlight w:val="black"/>
              </w:rPr>
              <w:t>''''''''''''''''''''''</w:t>
            </w:r>
          </w:p>
        </w:tc>
      </w:tr>
      <w:tr w:rsidR="00320373" w:rsidRPr="004E2ADC" w:rsidTr="006E5285">
        <w:tc>
          <w:tcPr>
            <w:tcW w:w="5000" w:type="pct"/>
            <w:gridSpan w:val="4"/>
            <w:vAlign w:val="center"/>
          </w:tcPr>
          <w:p w:rsidR="00320373" w:rsidRPr="007A3D6B" w:rsidRDefault="00320373" w:rsidP="00E523AE">
            <w:pPr>
              <w:keepNext/>
              <w:keepLines/>
              <w:jc w:val="left"/>
              <w:rPr>
                <w:rFonts w:ascii="Arial Narrow" w:hAnsi="Arial Narrow" w:cs="Arial Narrow"/>
                <w:b/>
                <w:bCs/>
                <w:sz w:val="20"/>
              </w:rPr>
            </w:pPr>
            <w:r w:rsidRPr="007A3D6B">
              <w:rPr>
                <w:rFonts w:ascii="Arial Narrow" w:hAnsi="Arial Narrow" w:cs="Arial Narrow"/>
                <w:b/>
                <w:bCs/>
                <w:sz w:val="20"/>
              </w:rPr>
              <w:t>Step 2: trial based results (7.72 years)</w:t>
            </w:r>
          </w:p>
        </w:tc>
      </w:tr>
      <w:tr w:rsidR="00320373" w:rsidRPr="004E2ADC" w:rsidTr="006E5285">
        <w:tc>
          <w:tcPr>
            <w:tcW w:w="1638" w:type="pct"/>
            <w:vAlign w:val="center"/>
          </w:tcPr>
          <w:p w:rsidR="00320373" w:rsidRPr="007A3D6B" w:rsidRDefault="00320373" w:rsidP="00E523AE">
            <w:pPr>
              <w:keepNext/>
              <w:keepLines/>
              <w:jc w:val="left"/>
              <w:rPr>
                <w:rFonts w:ascii="Arial Narrow" w:hAnsi="Arial Narrow" w:cs="Times New Roman"/>
                <w:sz w:val="20"/>
              </w:rPr>
            </w:pPr>
            <w:r w:rsidRPr="007A3D6B">
              <w:rPr>
                <w:rFonts w:ascii="Arial Narrow" w:hAnsi="Arial Narrow" w:cs="Times New Roman"/>
                <w:sz w:val="20"/>
              </w:rPr>
              <w:t>Costs</w:t>
            </w:r>
          </w:p>
        </w:tc>
        <w:tc>
          <w:tcPr>
            <w:tcW w:w="1203" w:type="pct"/>
          </w:tcPr>
          <w:p w:rsidR="00320373" w:rsidRPr="007A3D6B" w:rsidRDefault="00320373" w:rsidP="00E523AE">
            <w:pPr>
              <w:keepNext/>
              <w:keepLines/>
              <w:jc w:val="center"/>
              <w:rPr>
                <w:rFonts w:ascii="Arial Narrow" w:hAnsi="Arial Narrow" w:cs="Times New Roman"/>
                <w:sz w:val="20"/>
              </w:rPr>
            </w:pPr>
            <w:r w:rsidRPr="007A3D6B">
              <w:rPr>
                <w:rFonts w:ascii="Arial Narrow" w:hAnsi="Arial Narrow" w:cs="Times New Roman"/>
                <w:sz w:val="20"/>
              </w:rPr>
              <w:t>$</w:t>
            </w:r>
            <w:r w:rsidR="009B4D1B">
              <w:rPr>
                <w:rFonts w:ascii="Arial Narrow" w:hAnsi="Arial Narrow" w:cs="Times New Roman"/>
                <w:noProof/>
                <w:color w:val="000000"/>
                <w:sz w:val="20"/>
                <w:highlight w:val="black"/>
              </w:rPr>
              <w:t>''''''''''''''''''''''</w:t>
            </w:r>
          </w:p>
        </w:tc>
        <w:tc>
          <w:tcPr>
            <w:tcW w:w="1124" w:type="pct"/>
            <w:vAlign w:val="center"/>
          </w:tcPr>
          <w:p w:rsidR="00320373" w:rsidRPr="007A3D6B" w:rsidRDefault="00320373" w:rsidP="00E523AE">
            <w:pPr>
              <w:keepNext/>
              <w:keepLines/>
              <w:jc w:val="center"/>
              <w:rPr>
                <w:rFonts w:ascii="Arial Narrow" w:hAnsi="Arial Narrow" w:cs="Times New Roman"/>
                <w:sz w:val="20"/>
              </w:rPr>
            </w:pPr>
            <w:r w:rsidRPr="007A3D6B">
              <w:rPr>
                <w:rFonts w:ascii="Arial Narrow" w:hAnsi="Arial Narrow" w:cs="Times New Roman"/>
                <w:sz w:val="20"/>
              </w:rPr>
              <w:t>$</w:t>
            </w:r>
            <w:r w:rsidR="009B4D1B">
              <w:rPr>
                <w:rFonts w:ascii="Arial Narrow" w:hAnsi="Arial Narrow" w:cs="Times New Roman"/>
                <w:noProof/>
                <w:color w:val="000000"/>
                <w:sz w:val="20"/>
                <w:highlight w:val="black"/>
              </w:rPr>
              <w:t>'''''''''''''''''''''</w:t>
            </w:r>
          </w:p>
        </w:tc>
        <w:tc>
          <w:tcPr>
            <w:tcW w:w="1034" w:type="pct"/>
          </w:tcPr>
          <w:p w:rsidR="00320373" w:rsidRPr="007A3D6B" w:rsidRDefault="00320373" w:rsidP="00E523AE">
            <w:pPr>
              <w:keepNext/>
              <w:keepLines/>
              <w:jc w:val="center"/>
              <w:rPr>
                <w:rFonts w:ascii="Arial Narrow" w:hAnsi="Arial Narrow" w:cs="Times New Roman"/>
                <w:sz w:val="20"/>
              </w:rPr>
            </w:pPr>
            <w:r w:rsidRPr="007A3D6B">
              <w:rPr>
                <w:rFonts w:ascii="Arial Narrow" w:hAnsi="Arial Narrow" w:cs="Times New Roman"/>
                <w:sz w:val="20"/>
              </w:rPr>
              <w:t>$</w:t>
            </w:r>
            <w:r w:rsidR="009B4D1B">
              <w:rPr>
                <w:rFonts w:ascii="Arial Narrow" w:hAnsi="Arial Narrow" w:cs="Times New Roman"/>
                <w:noProof/>
                <w:color w:val="000000"/>
                <w:sz w:val="20"/>
                <w:highlight w:val="black"/>
              </w:rPr>
              <w:t>''''''''''''''''''''''''''</w:t>
            </w:r>
          </w:p>
        </w:tc>
      </w:tr>
      <w:tr w:rsidR="00320373" w:rsidRPr="004E2ADC" w:rsidTr="006E5285">
        <w:tc>
          <w:tcPr>
            <w:tcW w:w="1638" w:type="pct"/>
            <w:vAlign w:val="center"/>
          </w:tcPr>
          <w:p w:rsidR="00320373" w:rsidRPr="007A3D6B" w:rsidRDefault="00320373" w:rsidP="00E523AE">
            <w:pPr>
              <w:keepNext/>
              <w:keepLines/>
              <w:jc w:val="left"/>
              <w:rPr>
                <w:rFonts w:ascii="Arial Narrow" w:hAnsi="Arial Narrow" w:cs="Times New Roman"/>
                <w:sz w:val="20"/>
              </w:rPr>
            </w:pPr>
            <w:r w:rsidRPr="007A3D6B">
              <w:rPr>
                <w:rFonts w:ascii="Arial Narrow" w:hAnsi="Arial Narrow" w:cs="Times New Roman"/>
                <w:sz w:val="20"/>
              </w:rPr>
              <w:t>PFS years</w:t>
            </w:r>
          </w:p>
        </w:tc>
        <w:tc>
          <w:tcPr>
            <w:tcW w:w="1203" w:type="pct"/>
          </w:tcPr>
          <w:p w:rsidR="00320373" w:rsidRPr="009B4D1B" w:rsidRDefault="009B4D1B" w:rsidP="00E523A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24" w:type="pct"/>
            <w:vAlign w:val="center"/>
          </w:tcPr>
          <w:p w:rsidR="00320373" w:rsidRPr="009B4D1B" w:rsidRDefault="009B4D1B" w:rsidP="00E523AE">
            <w:pPr>
              <w:keepNext/>
              <w:keepLines/>
              <w:ind w:firstLine="31"/>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34" w:type="pct"/>
          </w:tcPr>
          <w:p w:rsidR="00320373" w:rsidRPr="009B4D1B" w:rsidRDefault="009B4D1B" w:rsidP="00E523A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320373" w:rsidRPr="004E2ADC" w:rsidTr="006E5285">
        <w:tc>
          <w:tcPr>
            <w:tcW w:w="1638" w:type="pct"/>
            <w:vAlign w:val="center"/>
          </w:tcPr>
          <w:p w:rsidR="00320373" w:rsidRPr="007A3D6B" w:rsidRDefault="00320373" w:rsidP="00E523AE">
            <w:pPr>
              <w:keepNext/>
              <w:keepLines/>
              <w:jc w:val="left"/>
              <w:rPr>
                <w:rFonts w:ascii="Arial Narrow" w:hAnsi="Arial Narrow" w:cs="Times New Roman"/>
                <w:sz w:val="20"/>
              </w:rPr>
            </w:pPr>
            <w:r w:rsidRPr="007A3D6B">
              <w:rPr>
                <w:rFonts w:ascii="Arial Narrow" w:hAnsi="Arial Narrow" w:cs="Times New Roman"/>
                <w:sz w:val="20"/>
              </w:rPr>
              <w:t>QALYs</w:t>
            </w:r>
          </w:p>
        </w:tc>
        <w:tc>
          <w:tcPr>
            <w:tcW w:w="1203" w:type="pct"/>
          </w:tcPr>
          <w:p w:rsidR="00320373" w:rsidRPr="009B4D1B" w:rsidRDefault="009B4D1B" w:rsidP="00E523A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24" w:type="pct"/>
            <w:vAlign w:val="center"/>
          </w:tcPr>
          <w:p w:rsidR="00320373" w:rsidRPr="009B4D1B" w:rsidRDefault="009B4D1B" w:rsidP="00E523A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34" w:type="pct"/>
          </w:tcPr>
          <w:p w:rsidR="00320373" w:rsidRPr="009B4D1B" w:rsidRDefault="009B4D1B" w:rsidP="00E523A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320373" w:rsidRPr="004E2ADC" w:rsidTr="006E5285">
        <w:trPr>
          <w:trHeight w:val="70"/>
        </w:trPr>
        <w:tc>
          <w:tcPr>
            <w:tcW w:w="3966" w:type="pct"/>
            <w:gridSpan w:val="3"/>
            <w:vAlign w:val="center"/>
          </w:tcPr>
          <w:p w:rsidR="00320373" w:rsidRPr="007A3D6B" w:rsidRDefault="00320373" w:rsidP="00E523AE">
            <w:pPr>
              <w:keepNext/>
              <w:keepLines/>
              <w:jc w:val="left"/>
              <w:rPr>
                <w:rFonts w:ascii="Arial Narrow" w:hAnsi="Arial Narrow" w:cs="Times New Roman"/>
                <w:b/>
                <w:snapToGrid/>
                <w:sz w:val="20"/>
              </w:rPr>
            </w:pPr>
            <w:r w:rsidRPr="007A3D6B">
              <w:rPr>
                <w:rFonts w:ascii="Arial Narrow" w:hAnsi="Arial Narrow" w:cs="Times New Roman"/>
                <w:b/>
                <w:snapToGrid/>
                <w:sz w:val="20"/>
              </w:rPr>
              <w:t>Incremental cost/PFS years</w:t>
            </w:r>
          </w:p>
        </w:tc>
        <w:tc>
          <w:tcPr>
            <w:tcW w:w="1034" w:type="pct"/>
          </w:tcPr>
          <w:p w:rsidR="00320373" w:rsidRPr="007A3D6B" w:rsidRDefault="00320373" w:rsidP="00E523AE">
            <w:pPr>
              <w:keepNext/>
              <w:keepLines/>
              <w:jc w:val="center"/>
              <w:rPr>
                <w:rFonts w:ascii="Arial Narrow" w:hAnsi="Arial Narrow" w:cs="Times New Roman"/>
                <w:b/>
                <w:sz w:val="20"/>
              </w:rPr>
            </w:pPr>
            <w:r w:rsidRPr="007A3D6B">
              <w:rPr>
                <w:rFonts w:ascii="Arial Narrow" w:hAnsi="Arial Narrow" w:cs="Times New Roman"/>
                <w:b/>
                <w:sz w:val="20"/>
              </w:rPr>
              <w:t>$</w:t>
            </w:r>
            <w:r w:rsidR="009B4D1B">
              <w:rPr>
                <w:rFonts w:ascii="Arial Narrow" w:hAnsi="Arial Narrow" w:cs="Times New Roman"/>
                <w:b/>
                <w:noProof/>
                <w:color w:val="000000"/>
                <w:sz w:val="20"/>
                <w:highlight w:val="black"/>
              </w:rPr>
              <w:t>''''''''''''''''''</w:t>
            </w:r>
          </w:p>
        </w:tc>
      </w:tr>
      <w:tr w:rsidR="00320373" w:rsidRPr="004E2ADC" w:rsidTr="006E5285">
        <w:trPr>
          <w:trHeight w:val="70"/>
        </w:trPr>
        <w:tc>
          <w:tcPr>
            <w:tcW w:w="3966" w:type="pct"/>
            <w:gridSpan w:val="3"/>
            <w:vAlign w:val="center"/>
          </w:tcPr>
          <w:p w:rsidR="00320373" w:rsidRPr="007A3D6B" w:rsidRDefault="00320373" w:rsidP="00E523AE">
            <w:pPr>
              <w:keepNext/>
              <w:keepLines/>
              <w:jc w:val="left"/>
              <w:rPr>
                <w:rFonts w:ascii="Arial Narrow" w:hAnsi="Arial Narrow" w:cs="Times New Roman"/>
                <w:sz w:val="20"/>
              </w:rPr>
            </w:pPr>
            <w:r w:rsidRPr="007A3D6B">
              <w:rPr>
                <w:rFonts w:ascii="Arial Narrow" w:hAnsi="Arial Narrow" w:cs="Times New Roman"/>
                <w:b/>
                <w:snapToGrid/>
                <w:sz w:val="20"/>
              </w:rPr>
              <w:t>Incremental cost/QALY</w:t>
            </w:r>
          </w:p>
        </w:tc>
        <w:tc>
          <w:tcPr>
            <w:tcW w:w="1034" w:type="pct"/>
          </w:tcPr>
          <w:p w:rsidR="00320373" w:rsidRPr="007A3D6B" w:rsidRDefault="00320373" w:rsidP="00E523AE">
            <w:pPr>
              <w:keepNext/>
              <w:keepLines/>
              <w:jc w:val="center"/>
              <w:rPr>
                <w:rFonts w:ascii="Arial Narrow" w:hAnsi="Arial Narrow" w:cs="Times New Roman"/>
                <w:sz w:val="20"/>
              </w:rPr>
            </w:pPr>
            <w:r w:rsidRPr="007A3D6B">
              <w:rPr>
                <w:rFonts w:ascii="Arial Narrow" w:hAnsi="Arial Narrow" w:cs="Times New Roman"/>
                <w:b/>
                <w:sz w:val="20"/>
              </w:rPr>
              <w:t>$</w:t>
            </w:r>
            <w:r w:rsidR="009B4D1B">
              <w:rPr>
                <w:rFonts w:ascii="Arial Narrow" w:hAnsi="Arial Narrow" w:cs="Times New Roman"/>
                <w:b/>
                <w:noProof/>
                <w:color w:val="000000"/>
                <w:sz w:val="20"/>
                <w:highlight w:val="black"/>
              </w:rPr>
              <w:t>''''''''''''''''''''</w:t>
            </w:r>
          </w:p>
        </w:tc>
      </w:tr>
      <w:tr w:rsidR="00320373" w:rsidRPr="004E2ADC" w:rsidTr="006E5285">
        <w:tc>
          <w:tcPr>
            <w:tcW w:w="5000" w:type="pct"/>
            <w:gridSpan w:val="4"/>
            <w:vAlign w:val="center"/>
          </w:tcPr>
          <w:p w:rsidR="00320373" w:rsidRPr="007A3D6B" w:rsidRDefault="00320373" w:rsidP="00E523AE">
            <w:pPr>
              <w:keepNext/>
              <w:keepLines/>
              <w:jc w:val="left"/>
              <w:rPr>
                <w:rFonts w:ascii="Arial Narrow" w:hAnsi="Arial Narrow" w:cs="Arial Narrow"/>
                <w:b/>
                <w:bCs/>
                <w:sz w:val="20"/>
              </w:rPr>
            </w:pPr>
            <w:r w:rsidRPr="007A3D6B">
              <w:rPr>
                <w:rFonts w:ascii="Arial Narrow" w:hAnsi="Arial Narrow" w:cs="Arial Narrow"/>
                <w:b/>
                <w:bCs/>
                <w:sz w:val="20"/>
              </w:rPr>
              <w:t>Step 3: modelled evaluation (extrapolation of PFS estimates 20 years)</w:t>
            </w:r>
          </w:p>
        </w:tc>
      </w:tr>
      <w:tr w:rsidR="00320373" w:rsidRPr="004E2ADC" w:rsidTr="006E5285">
        <w:tc>
          <w:tcPr>
            <w:tcW w:w="1638" w:type="pct"/>
            <w:vAlign w:val="center"/>
          </w:tcPr>
          <w:p w:rsidR="00320373" w:rsidRPr="007A3D6B" w:rsidRDefault="00320373" w:rsidP="00E523AE">
            <w:pPr>
              <w:keepNext/>
              <w:keepLines/>
              <w:jc w:val="left"/>
              <w:rPr>
                <w:rFonts w:ascii="Arial Narrow" w:hAnsi="Arial Narrow" w:cs="Times New Roman"/>
                <w:sz w:val="20"/>
              </w:rPr>
            </w:pPr>
            <w:r w:rsidRPr="007A3D6B">
              <w:rPr>
                <w:rFonts w:ascii="Arial Narrow" w:hAnsi="Arial Narrow" w:cs="Times New Roman"/>
                <w:sz w:val="20"/>
              </w:rPr>
              <w:t>Costs</w:t>
            </w:r>
          </w:p>
        </w:tc>
        <w:tc>
          <w:tcPr>
            <w:tcW w:w="1203" w:type="pct"/>
          </w:tcPr>
          <w:p w:rsidR="00320373" w:rsidRPr="007A3D6B" w:rsidRDefault="00320373" w:rsidP="00E523AE">
            <w:pPr>
              <w:keepNext/>
              <w:keepLines/>
              <w:jc w:val="center"/>
              <w:rPr>
                <w:rFonts w:ascii="Arial Narrow" w:hAnsi="Arial Narrow" w:cs="Times New Roman"/>
                <w:sz w:val="20"/>
              </w:rPr>
            </w:pPr>
            <w:r w:rsidRPr="007A3D6B">
              <w:rPr>
                <w:rFonts w:ascii="Arial Narrow" w:hAnsi="Arial Narrow" w:cs="Times New Roman"/>
                <w:sz w:val="20"/>
              </w:rPr>
              <w:t>$</w:t>
            </w:r>
            <w:r w:rsidR="009B4D1B">
              <w:rPr>
                <w:rFonts w:ascii="Arial Narrow" w:hAnsi="Arial Narrow" w:cs="Times New Roman"/>
                <w:noProof/>
                <w:color w:val="000000"/>
                <w:sz w:val="20"/>
                <w:highlight w:val="black"/>
              </w:rPr>
              <w:t>''''''''''''''''''''''</w:t>
            </w:r>
          </w:p>
        </w:tc>
        <w:tc>
          <w:tcPr>
            <w:tcW w:w="1124" w:type="pct"/>
            <w:vAlign w:val="center"/>
          </w:tcPr>
          <w:p w:rsidR="00320373" w:rsidRPr="007A3D6B" w:rsidRDefault="00320373" w:rsidP="00E523AE">
            <w:pPr>
              <w:keepNext/>
              <w:keepLines/>
              <w:jc w:val="center"/>
              <w:rPr>
                <w:rFonts w:ascii="Arial Narrow" w:hAnsi="Arial Narrow" w:cs="Times New Roman"/>
                <w:sz w:val="20"/>
              </w:rPr>
            </w:pPr>
            <w:r w:rsidRPr="007A3D6B">
              <w:rPr>
                <w:rFonts w:ascii="Arial Narrow" w:hAnsi="Arial Narrow" w:cs="Times New Roman"/>
                <w:sz w:val="20"/>
              </w:rPr>
              <w:t>$</w:t>
            </w:r>
            <w:r w:rsidR="009B4D1B">
              <w:rPr>
                <w:rFonts w:ascii="Arial Narrow" w:hAnsi="Arial Narrow" w:cs="Times New Roman"/>
                <w:noProof/>
                <w:color w:val="000000"/>
                <w:sz w:val="20"/>
                <w:highlight w:val="black"/>
              </w:rPr>
              <w:t>'''''''''''''''''''''''</w:t>
            </w:r>
          </w:p>
        </w:tc>
        <w:tc>
          <w:tcPr>
            <w:tcW w:w="1034" w:type="pct"/>
          </w:tcPr>
          <w:p w:rsidR="00320373" w:rsidRPr="007A3D6B" w:rsidRDefault="00320373" w:rsidP="00E523AE">
            <w:pPr>
              <w:keepNext/>
              <w:keepLines/>
              <w:jc w:val="center"/>
              <w:rPr>
                <w:rFonts w:ascii="Arial Narrow" w:hAnsi="Arial Narrow" w:cs="Times New Roman"/>
                <w:sz w:val="20"/>
              </w:rPr>
            </w:pPr>
            <w:r w:rsidRPr="007A3D6B">
              <w:rPr>
                <w:rFonts w:ascii="Arial Narrow" w:hAnsi="Arial Narrow" w:cs="Times New Roman"/>
                <w:sz w:val="20"/>
              </w:rPr>
              <w:t>$</w:t>
            </w:r>
            <w:r w:rsidR="009B4D1B">
              <w:rPr>
                <w:rFonts w:ascii="Arial Narrow" w:hAnsi="Arial Narrow" w:cs="Times New Roman"/>
                <w:noProof/>
                <w:color w:val="000000"/>
                <w:sz w:val="20"/>
                <w:highlight w:val="black"/>
              </w:rPr>
              <w:t>'''''''''''''''''''''''</w:t>
            </w:r>
          </w:p>
        </w:tc>
      </w:tr>
      <w:tr w:rsidR="00320373" w:rsidRPr="004E2ADC" w:rsidTr="006E5285">
        <w:tc>
          <w:tcPr>
            <w:tcW w:w="1638" w:type="pct"/>
            <w:vAlign w:val="center"/>
          </w:tcPr>
          <w:p w:rsidR="00320373" w:rsidRPr="007A3D6B" w:rsidRDefault="00320373" w:rsidP="00E523AE">
            <w:pPr>
              <w:keepNext/>
              <w:keepLines/>
              <w:jc w:val="left"/>
              <w:rPr>
                <w:rFonts w:ascii="Arial Narrow" w:hAnsi="Arial Narrow" w:cs="Times New Roman"/>
                <w:sz w:val="20"/>
              </w:rPr>
            </w:pPr>
            <w:r w:rsidRPr="007A3D6B">
              <w:rPr>
                <w:rFonts w:ascii="Arial Narrow" w:hAnsi="Arial Narrow" w:cs="Times New Roman"/>
                <w:sz w:val="20"/>
              </w:rPr>
              <w:t>PFS years</w:t>
            </w:r>
          </w:p>
        </w:tc>
        <w:tc>
          <w:tcPr>
            <w:tcW w:w="1203" w:type="pct"/>
          </w:tcPr>
          <w:p w:rsidR="00320373" w:rsidRPr="009B4D1B" w:rsidRDefault="009B4D1B" w:rsidP="00E523A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24" w:type="pct"/>
            <w:vAlign w:val="center"/>
          </w:tcPr>
          <w:p w:rsidR="00320373" w:rsidRPr="009B4D1B" w:rsidRDefault="009B4D1B" w:rsidP="00E523A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34" w:type="pct"/>
          </w:tcPr>
          <w:p w:rsidR="00320373" w:rsidRPr="009B4D1B" w:rsidRDefault="009B4D1B" w:rsidP="00E523A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320373" w:rsidRPr="004E2ADC" w:rsidTr="006E5285">
        <w:tc>
          <w:tcPr>
            <w:tcW w:w="1638" w:type="pct"/>
            <w:vAlign w:val="center"/>
          </w:tcPr>
          <w:p w:rsidR="00320373" w:rsidRPr="007A3D6B" w:rsidRDefault="00320373" w:rsidP="00E523AE">
            <w:pPr>
              <w:keepNext/>
              <w:keepLines/>
              <w:jc w:val="left"/>
              <w:rPr>
                <w:rFonts w:ascii="Arial Narrow" w:hAnsi="Arial Narrow" w:cs="Times New Roman"/>
                <w:sz w:val="20"/>
              </w:rPr>
            </w:pPr>
            <w:r w:rsidRPr="007A3D6B">
              <w:rPr>
                <w:rFonts w:ascii="Arial Narrow" w:hAnsi="Arial Narrow" w:cs="Times New Roman"/>
                <w:sz w:val="20"/>
              </w:rPr>
              <w:t>QALYs</w:t>
            </w:r>
          </w:p>
        </w:tc>
        <w:tc>
          <w:tcPr>
            <w:tcW w:w="1203" w:type="pct"/>
          </w:tcPr>
          <w:p w:rsidR="00320373" w:rsidRPr="009B4D1B" w:rsidRDefault="009B4D1B" w:rsidP="00E523A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24" w:type="pct"/>
            <w:vAlign w:val="center"/>
          </w:tcPr>
          <w:p w:rsidR="00320373" w:rsidRPr="009B4D1B" w:rsidRDefault="009B4D1B" w:rsidP="00E523A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34" w:type="pct"/>
          </w:tcPr>
          <w:p w:rsidR="00320373" w:rsidRPr="009B4D1B" w:rsidRDefault="009B4D1B" w:rsidP="00E523A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320373" w:rsidRPr="004E2ADC" w:rsidTr="006E5285">
        <w:tc>
          <w:tcPr>
            <w:tcW w:w="3966" w:type="pct"/>
            <w:gridSpan w:val="3"/>
            <w:vAlign w:val="center"/>
          </w:tcPr>
          <w:p w:rsidR="00320373" w:rsidRPr="007A3D6B" w:rsidRDefault="00320373" w:rsidP="00E523AE">
            <w:pPr>
              <w:keepNext/>
              <w:keepLines/>
              <w:jc w:val="left"/>
              <w:rPr>
                <w:rFonts w:ascii="Arial Narrow" w:hAnsi="Arial Narrow" w:cs="Times New Roman"/>
                <w:b/>
                <w:sz w:val="20"/>
              </w:rPr>
            </w:pPr>
            <w:r w:rsidRPr="007A3D6B">
              <w:rPr>
                <w:rFonts w:ascii="Arial Narrow" w:hAnsi="Arial Narrow" w:cs="Times New Roman"/>
                <w:b/>
                <w:snapToGrid/>
                <w:sz w:val="20"/>
              </w:rPr>
              <w:t>Incremental cost/PFS years</w:t>
            </w:r>
          </w:p>
        </w:tc>
        <w:tc>
          <w:tcPr>
            <w:tcW w:w="1034" w:type="pct"/>
          </w:tcPr>
          <w:p w:rsidR="00320373" w:rsidRPr="007A3D6B" w:rsidRDefault="00320373" w:rsidP="00E523AE">
            <w:pPr>
              <w:keepNext/>
              <w:keepLines/>
              <w:jc w:val="center"/>
              <w:rPr>
                <w:rFonts w:ascii="Arial Narrow" w:hAnsi="Arial Narrow" w:cs="Times New Roman"/>
                <w:b/>
                <w:sz w:val="20"/>
              </w:rPr>
            </w:pPr>
            <w:r w:rsidRPr="007A3D6B">
              <w:rPr>
                <w:rFonts w:ascii="Arial Narrow" w:hAnsi="Arial Narrow" w:cs="Times New Roman"/>
                <w:b/>
                <w:sz w:val="20"/>
              </w:rPr>
              <w:t>$</w:t>
            </w:r>
            <w:r w:rsidR="009B4D1B">
              <w:rPr>
                <w:rFonts w:ascii="Arial Narrow" w:hAnsi="Arial Narrow" w:cs="Times New Roman"/>
                <w:b/>
                <w:noProof/>
                <w:color w:val="000000"/>
                <w:sz w:val="20"/>
                <w:highlight w:val="black"/>
              </w:rPr>
              <w:t>'''''''''''''''''</w:t>
            </w:r>
          </w:p>
        </w:tc>
      </w:tr>
      <w:tr w:rsidR="00320373" w:rsidRPr="004E2ADC" w:rsidTr="006E5285">
        <w:tc>
          <w:tcPr>
            <w:tcW w:w="3966" w:type="pct"/>
            <w:gridSpan w:val="3"/>
            <w:vAlign w:val="center"/>
          </w:tcPr>
          <w:p w:rsidR="00320373" w:rsidRPr="007A3D6B" w:rsidRDefault="00320373" w:rsidP="00E523AE">
            <w:pPr>
              <w:keepNext/>
              <w:keepLines/>
              <w:jc w:val="left"/>
              <w:rPr>
                <w:rFonts w:ascii="Arial Narrow" w:hAnsi="Arial Narrow" w:cs="Times New Roman"/>
                <w:b/>
                <w:sz w:val="20"/>
              </w:rPr>
            </w:pPr>
            <w:r w:rsidRPr="007A3D6B">
              <w:rPr>
                <w:rFonts w:ascii="Arial Narrow" w:hAnsi="Arial Narrow" w:cs="Times New Roman"/>
                <w:b/>
                <w:sz w:val="20"/>
              </w:rPr>
              <w:t>Incremental cost/QALY</w:t>
            </w:r>
          </w:p>
        </w:tc>
        <w:tc>
          <w:tcPr>
            <w:tcW w:w="1034" w:type="pct"/>
          </w:tcPr>
          <w:p w:rsidR="00320373" w:rsidRPr="007A3D6B" w:rsidRDefault="00320373" w:rsidP="00E523AE">
            <w:pPr>
              <w:keepNext/>
              <w:keepLines/>
              <w:jc w:val="center"/>
              <w:rPr>
                <w:rFonts w:ascii="Arial Narrow" w:hAnsi="Arial Narrow" w:cs="Times New Roman"/>
                <w:b/>
                <w:sz w:val="20"/>
              </w:rPr>
            </w:pPr>
            <w:r w:rsidRPr="007A3D6B">
              <w:rPr>
                <w:rFonts w:ascii="Arial Narrow" w:hAnsi="Arial Narrow" w:cs="Times New Roman"/>
                <w:b/>
                <w:sz w:val="20"/>
              </w:rPr>
              <w:t>$</w:t>
            </w:r>
            <w:r w:rsidR="009B4D1B">
              <w:rPr>
                <w:rFonts w:ascii="Arial Narrow" w:hAnsi="Arial Narrow" w:cs="Times New Roman"/>
                <w:b/>
                <w:noProof/>
                <w:color w:val="000000"/>
                <w:sz w:val="20"/>
                <w:highlight w:val="black"/>
              </w:rPr>
              <w:t>'''''''''''''''''''''</w:t>
            </w:r>
          </w:p>
        </w:tc>
      </w:tr>
    </w:tbl>
    <w:p w:rsidR="00320373" w:rsidRDefault="00320373" w:rsidP="00E523AE">
      <w:pPr>
        <w:pStyle w:val="TableFooter"/>
        <w:keepNext/>
        <w:keepLines/>
        <w:ind w:firstLine="720"/>
      </w:pPr>
      <w:r>
        <w:t xml:space="preserve">Source: </w:t>
      </w:r>
      <w:r w:rsidRPr="00D110BD">
        <w:t>Table</w:t>
      </w:r>
      <w:r>
        <w:t xml:space="preserve"> D.4/D.5/D.6, pp206-209, Section D of the submission</w:t>
      </w:r>
    </w:p>
    <w:p w:rsidR="00A24A95" w:rsidRDefault="00A24A95" w:rsidP="00E523AE">
      <w:pPr>
        <w:pStyle w:val="TableFooter"/>
        <w:keepNext/>
        <w:keepLines/>
        <w:ind w:firstLine="720"/>
      </w:pPr>
    </w:p>
    <w:p w:rsidR="00E97007" w:rsidRPr="006C1462" w:rsidRDefault="0017735A" w:rsidP="00EB1E21">
      <w:pPr>
        <w:pStyle w:val="ListParagraph"/>
        <w:widowControl/>
        <w:numPr>
          <w:ilvl w:val="1"/>
          <w:numId w:val="1"/>
        </w:numPr>
      </w:pPr>
      <w:r>
        <w:rPr>
          <w:color w:val="000000" w:themeColor="text1"/>
        </w:rPr>
        <w:t>The table below</w:t>
      </w:r>
      <w:r w:rsidR="00D93EFC" w:rsidRPr="006C1462">
        <w:rPr>
          <w:color w:val="000000" w:themeColor="text1"/>
        </w:rPr>
        <w:t xml:space="preserve"> </w:t>
      </w:r>
      <w:r w:rsidR="00E97007" w:rsidRPr="006C1462">
        <w:rPr>
          <w:color w:val="000000" w:themeColor="text1"/>
        </w:rPr>
        <w:t>summarise</w:t>
      </w:r>
      <w:r w:rsidR="00E41C97" w:rsidRPr="006C1462">
        <w:rPr>
          <w:color w:val="000000" w:themeColor="text1"/>
        </w:rPr>
        <w:t>s</w:t>
      </w:r>
      <w:r w:rsidR="00E97007" w:rsidRPr="006C1462">
        <w:rPr>
          <w:color w:val="000000" w:themeColor="text1"/>
        </w:rPr>
        <w:t xml:space="preserve"> the re</w:t>
      </w:r>
      <w:r w:rsidR="006C1462">
        <w:rPr>
          <w:color w:val="000000" w:themeColor="text1"/>
        </w:rPr>
        <w:t>sults of the sensitivity analyse</w:t>
      </w:r>
      <w:r w:rsidR="00E97007" w:rsidRPr="006C1462">
        <w:rPr>
          <w:color w:val="000000" w:themeColor="text1"/>
        </w:rPr>
        <w:t>s presented in the submission</w:t>
      </w:r>
      <w:r w:rsidR="00C97E32" w:rsidRPr="006C1462">
        <w:rPr>
          <w:color w:val="000000" w:themeColor="text1"/>
        </w:rPr>
        <w:t xml:space="preserve"> and the commentary, and </w:t>
      </w:r>
      <w:r w:rsidR="00E41C97" w:rsidRPr="006C1462">
        <w:rPr>
          <w:color w:val="000000" w:themeColor="text1"/>
        </w:rPr>
        <w:t>additional sensitivity analyses requested by the ESC</w:t>
      </w:r>
      <w:r w:rsidR="006007E5" w:rsidRPr="006C1462">
        <w:rPr>
          <w:color w:val="000000" w:themeColor="text1"/>
        </w:rPr>
        <w:t>.</w:t>
      </w:r>
    </w:p>
    <w:p w:rsidR="00E97007" w:rsidRDefault="00E97007" w:rsidP="00A24A95">
      <w:pPr>
        <w:ind w:firstLine="720"/>
        <w:rPr>
          <w:rStyle w:val="CommentReference"/>
        </w:rPr>
      </w:pPr>
    </w:p>
    <w:p w:rsidR="00A24A95" w:rsidRPr="006C1462" w:rsidRDefault="00A24A95" w:rsidP="00A24A95">
      <w:pPr>
        <w:ind w:firstLine="720"/>
        <w:rPr>
          <w:rStyle w:val="CommentReference"/>
        </w:rPr>
      </w:pPr>
      <w:r w:rsidRPr="006C1462">
        <w:rPr>
          <w:rStyle w:val="CommentReference"/>
        </w:rPr>
        <w:t>Sensitivity analys</w:t>
      </w:r>
      <w:r w:rsidR="006C1462">
        <w:rPr>
          <w:rStyle w:val="CommentReference"/>
        </w:rPr>
        <w:t>e</w:t>
      </w:r>
      <w:r w:rsidRPr="006C1462">
        <w:rPr>
          <w:rStyle w:val="CommentReference"/>
        </w:rPr>
        <w:t>s</w:t>
      </w:r>
    </w:p>
    <w:tbl>
      <w:tblPr>
        <w:tblW w:w="452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Sensitivity analysis"/>
      </w:tblPr>
      <w:tblGrid>
        <w:gridCol w:w="2014"/>
        <w:gridCol w:w="3656"/>
        <w:gridCol w:w="2554"/>
      </w:tblGrid>
      <w:tr w:rsidR="00E97007" w:rsidRPr="006C1462" w:rsidTr="00927B52">
        <w:trPr>
          <w:tblHeader/>
        </w:trPr>
        <w:tc>
          <w:tcPr>
            <w:tcW w:w="1224" w:type="pct"/>
            <w:shd w:val="clear" w:color="auto" w:fill="auto"/>
            <w:vAlign w:val="center"/>
          </w:tcPr>
          <w:p w:rsidR="00E97007" w:rsidRPr="006C1462" w:rsidRDefault="00E97007" w:rsidP="005F564A">
            <w:pPr>
              <w:jc w:val="left"/>
              <w:rPr>
                <w:rFonts w:ascii="Arial Narrow" w:hAnsi="Arial Narrow"/>
                <w:b/>
                <w:sz w:val="20"/>
                <w:lang w:val="en-US"/>
              </w:rPr>
            </w:pPr>
            <w:r w:rsidRPr="006C1462">
              <w:rPr>
                <w:rFonts w:ascii="Arial Narrow" w:hAnsi="Arial Narrow"/>
                <w:b/>
                <w:sz w:val="20"/>
                <w:lang w:val="en-US"/>
              </w:rPr>
              <w:t>Description</w:t>
            </w:r>
          </w:p>
        </w:tc>
        <w:tc>
          <w:tcPr>
            <w:tcW w:w="2223" w:type="pct"/>
            <w:shd w:val="clear" w:color="auto" w:fill="auto"/>
            <w:vAlign w:val="center"/>
          </w:tcPr>
          <w:p w:rsidR="00E97007" w:rsidRPr="006C1462" w:rsidRDefault="00E97007" w:rsidP="005F564A">
            <w:pPr>
              <w:jc w:val="center"/>
              <w:rPr>
                <w:rFonts w:ascii="Arial Narrow" w:hAnsi="Arial Narrow"/>
                <w:b/>
                <w:sz w:val="20"/>
                <w:lang w:val="en-US"/>
              </w:rPr>
            </w:pPr>
            <w:r w:rsidRPr="006C1462">
              <w:rPr>
                <w:rFonts w:ascii="Arial Narrow" w:hAnsi="Arial Narrow"/>
                <w:b/>
                <w:sz w:val="20"/>
                <w:lang w:val="en-US"/>
              </w:rPr>
              <w:t>Method/Value</w:t>
            </w:r>
          </w:p>
        </w:tc>
        <w:tc>
          <w:tcPr>
            <w:tcW w:w="1553" w:type="pct"/>
          </w:tcPr>
          <w:p w:rsidR="00E97007" w:rsidRPr="006C1462" w:rsidRDefault="00E97007" w:rsidP="005F564A">
            <w:pPr>
              <w:jc w:val="center"/>
              <w:rPr>
                <w:rFonts w:ascii="Arial Narrow" w:hAnsi="Arial Narrow"/>
                <w:b/>
                <w:sz w:val="20"/>
                <w:lang w:val="en-US"/>
              </w:rPr>
            </w:pPr>
            <w:r w:rsidRPr="006C1462">
              <w:rPr>
                <w:rFonts w:ascii="Arial Narrow" w:hAnsi="Arial Narrow"/>
                <w:b/>
                <w:sz w:val="20"/>
                <w:lang w:val="en-US"/>
              </w:rPr>
              <w:t>ICER</w:t>
            </w:r>
          </w:p>
        </w:tc>
      </w:tr>
      <w:tr w:rsidR="00E97007" w:rsidRPr="006C1462" w:rsidTr="00927B52">
        <w:tc>
          <w:tcPr>
            <w:tcW w:w="1224" w:type="pct"/>
            <w:shd w:val="clear" w:color="auto" w:fill="auto"/>
            <w:vAlign w:val="center"/>
          </w:tcPr>
          <w:p w:rsidR="00E97007" w:rsidRPr="006C1462" w:rsidRDefault="00E97007" w:rsidP="005F564A">
            <w:pPr>
              <w:jc w:val="left"/>
              <w:rPr>
                <w:rFonts w:ascii="Arial Narrow" w:hAnsi="Arial Narrow"/>
                <w:sz w:val="20"/>
                <w:lang w:val="en-US"/>
              </w:rPr>
            </w:pPr>
            <w:r w:rsidRPr="006C1462">
              <w:rPr>
                <w:rFonts w:ascii="Arial Narrow" w:hAnsi="Arial Narrow"/>
                <w:sz w:val="20"/>
                <w:lang w:val="en-US"/>
              </w:rPr>
              <w:t>Progression to death</w:t>
            </w:r>
          </w:p>
        </w:tc>
        <w:tc>
          <w:tcPr>
            <w:tcW w:w="2223" w:type="pct"/>
            <w:shd w:val="clear" w:color="auto" w:fill="auto"/>
            <w:vAlign w:val="center"/>
          </w:tcPr>
          <w:p w:rsidR="00E97007" w:rsidRPr="006C1462" w:rsidRDefault="00E97007" w:rsidP="005F564A">
            <w:pPr>
              <w:jc w:val="left"/>
              <w:rPr>
                <w:rFonts w:ascii="Arial Narrow" w:hAnsi="Arial Narrow"/>
                <w:sz w:val="20"/>
                <w:lang w:val="en-US"/>
              </w:rPr>
            </w:pPr>
            <w:r w:rsidRPr="006C1462">
              <w:rPr>
                <w:rFonts w:ascii="Arial Narrow" w:hAnsi="Arial Narrow"/>
                <w:sz w:val="20"/>
                <w:lang w:val="en-US"/>
              </w:rPr>
              <w:t>Lower hazard rate from progression-free state to death compared with progressed disease state.</w:t>
            </w:r>
          </w:p>
        </w:tc>
        <w:tc>
          <w:tcPr>
            <w:tcW w:w="1553" w:type="pct"/>
          </w:tcPr>
          <w:p w:rsidR="00E97007" w:rsidRPr="006C1462" w:rsidRDefault="00E97007" w:rsidP="00927B52">
            <w:pPr>
              <w:jc w:val="center"/>
              <w:rPr>
                <w:rFonts w:ascii="Arial Narrow" w:hAnsi="Arial Narrow"/>
                <w:sz w:val="20"/>
                <w:lang w:val="en-US"/>
              </w:rPr>
            </w:pPr>
            <w:r w:rsidRPr="006C1462">
              <w:rPr>
                <w:rFonts w:ascii="Arial Narrow" w:hAnsi="Arial Narrow"/>
                <w:sz w:val="20"/>
                <w:lang w:val="en-US"/>
              </w:rPr>
              <w:t>$</w:t>
            </w:r>
            <w:r w:rsidR="00927B52" w:rsidRPr="00D40869">
              <w:rPr>
                <w:rFonts w:ascii="Arial Narrow" w:hAnsi="Arial Narrow"/>
                <w:sz w:val="20"/>
                <w:lang w:val="en-US"/>
              </w:rPr>
              <w:t>15,000/QALY - $45,000/QALY</w:t>
            </w:r>
          </w:p>
        </w:tc>
      </w:tr>
      <w:tr w:rsidR="00E97007" w:rsidRPr="006C1462" w:rsidTr="00927B52">
        <w:tc>
          <w:tcPr>
            <w:tcW w:w="1224" w:type="pct"/>
            <w:shd w:val="clear" w:color="auto" w:fill="auto"/>
            <w:vAlign w:val="center"/>
          </w:tcPr>
          <w:p w:rsidR="00E97007" w:rsidRPr="006C1462" w:rsidRDefault="00E97007" w:rsidP="005F564A">
            <w:pPr>
              <w:jc w:val="left"/>
              <w:rPr>
                <w:rFonts w:ascii="Arial Narrow" w:hAnsi="Arial Narrow"/>
                <w:sz w:val="20"/>
                <w:lang w:val="en-US"/>
              </w:rPr>
            </w:pPr>
            <w:r w:rsidRPr="006C1462">
              <w:rPr>
                <w:rFonts w:ascii="Arial Narrow" w:hAnsi="Arial Narrow"/>
                <w:sz w:val="20"/>
                <w:lang w:val="en-US"/>
              </w:rPr>
              <w:t>Time horizon</w:t>
            </w:r>
          </w:p>
        </w:tc>
        <w:tc>
          <w:tcPr>
            <w:tcW w:w="2223" w:type="pct"/>
            <w:shd w:val="clear" w:color="auto" w:fill="auto"/>
            <w:vAlign w:val="center"/>
          </w:tcPr>
          <w:p w:rsidR="00E97007" w:rsidRPr="006C1462" w:rsidRDefault="00E97007" w:rsidP="005F564A">
            <w:pPr>
              <w:jc w:val="left"/>
              <w:rPr>
                <w:rFonts w:ascii="Arial Narrow" w:hAnsi="Arial Narrow"/>
                <w:sz w:val="20"/>
                <w:lang w:val="en-US"/>
              </w:rPr>
            </w:pPr>
            <w:r w:rsidRPr="006C1462">
              <w:rPr>
                <w:rFonts w:ascii="Arial Narrow" w:hAnsi="Arial Narrow"/>
                <w:sz w:val="20"/>
                <w:lang w:val="en-US"/>
              </w:rPr>
              <w:t>10 years</w:t>
            </w:r>
          </w:p>
          <w:p w:rsidR="00E97007" w:rsidRPr="006C1462" w:rsidRDefault="00E97007" w:rsidP="005F564A">
            <w:pPr>
              <w:jc w:val="left"/>
              <w:rPr>
                <w:rFonts w:ascii="Arial Narrow" w:hAnsi="Arial Narrow"/>
                <w:sz w:val="20"/>
                <w:lang w:val="en-US"/>
              </w:rPr>
            </w:pPr>
            <w:r w:rsidRPr="006C1462">
              <w:rPr>
                <w:rFonts w:ascii="Arial Narrow" w:hAnsi="Arial Narrow"/>
                <w:sz w:val="20"/>
                <w:lang w:val="en-US"/>
              </w:rPr>
              <w:t>30 years</w:t>
            </w:r>
          </w:p>
        </w:tc>
        <w:tc>
          <w:tcPr>
            <w:tcW w:w="1553" w:type="pct"/>
            <w:vAlign w:val="center"/>
          </w:tcPr>
          <w:p w:rsidR="006007E5" w:rsidRPr="006C1462" w:rsidRDefault="006007E5" w:rsidP="006007E5">
            <w:pPr>
              <w:jc w:val="center"/>
              <w:rPr>
                <w:rFonts w:ascii="Arial Narrow" w:hAnsi="Arial Narrow"/>
                <w:sz w:val="20"/>
                <w:lang w:val="en-US"/>
              </w:rPr>
            </w:pPr>
            <w:r w:rsidRPr="006C1462">
              <w:rPr>
                <w:rFonts w:ascii="Arial Narrow" w:hAnsi="Arial Narrow"/>
                <w:sz w:val="20"/>
                <w:lang w:val="en-US"/>
              </w:rPr>
              <w:t>$</w:t>
            </w:r>
            <w:r w:rsidR="00927B52" w:rsidRPr="00D40869">
              <w:rPr>
                <w:rFonts w:ascii="Arial Narrow" w:hAnsi="Arial Narrow"/>
                <w:sz w:val="20"/>
                <w:lang w:val="en-US"/>
              </w:rPr>
              <w:t>45,000/QALY - $75,000/QALY</w:t>
            </w:r>
          </w:p>
          <w:p w:rsidR="00E97007" w:rsidRPr="006C1462" w:rsidRDefault="00927B52" w:rsidP="006007E5">
            <w:pPr>
              <w:jc w:val="center"/>
              <w:rPr>
                <w:rFonts w:ascii="Arial Narrow" w:hAnsi="Arial Narrow"/>
                <w:sz w:val="20"/>
                <w:lang w:val="en-US"/>
              </w:rPr>
            </w:pPr>
            <w:r w:rsidRPr="006C1462">
              <w:rPr>
                <w:rFonts w:ascii="Arial Narrow" w:hAnsi="Arial Narrow"/>
                <w:sz w:val="20"/>
                <w:lang w:val="en-US"/>
              </w:rPr>
              <w:t>$</w:t>
            </w:r>
            <w:r w:rsidRPr="00D40869">
              <w:rPr>
                <w:rFonts w:ascii="Arial Narrow" w:hAnsi="Arial Narrow"/>
                <w:sz w:val="20"/>
                <w:lang w:val="en-US"/>
              </w:rPr>
              <w:t>15,000/QALY - $45,000/QALY</w:t>
            </w:r>
            <w:r w:rsidRPr="006C1462" w:rsidDel="00927B52">
              <w:rPr>
                <w:rFonts w:ascii="Arial Narrow" w:hAnsi="Arial Narrow"/>
                <w:sz w:val="20"/>
                <w:lang w:val="en-US"/>
              </w:rPr>
              <w:t xml:space="preserve"> </w:t>
            </w:r>
          </w:p>
        </w:tc>
      </w:tr>
      <w:tr w:rsidR="00E97007" w:rsidRPr="006C1462" w:rsidTr="00927B52">
        <w:tc>
          <w:tcPr>
            <w:tcW w:w="1224" w:type="pct"/>
            <w:shd w:val="clear" w:color="auto" w:fill="auto"/>
            <w:vAlign w:val="center"/>
          </w:tcPr>
          <w:p w:rsidR="00E97007" w:rsidRPr="006C1462" w:rsidRDefault="00E97007" w:rsidP="005F564A">
            <w:pPr>
              <w:jc w:val="left"/>
              <w:rPr>
                <w:rFonts w:ascii="Arial Narrow" w:hAnsi="Arial Narrow"/>
                <w:sz w:val="20"/>
                <w:lang w:val="en-US"/>
              </w:rPr>
            </w:pPr>
            <w:r w:rsidRPr="006C1462">
              <w:rPr>
                <w:rFonts w:ascii="Arial Narrow" w:hAnsi="Arial Narrow"/>
                <w:sz w:val="20"/>
                <w:lang w:val="en-US"/>
              </w:rPr>
              <w:t>KM estimates (LCB)</w:t>
            </w:r>
          </w:p>
        </w:tc>
        <w:tc>
          <w:tcPr>
            <w:tcW w:w="2223" w:type="pct"/>
            <w:shd w:val="clear" w:color="auto" w:fill="auto"/>
            <w:vAlign w:val="center"/>
          </w:tcPr>
          <w:p w:rsidR="00E97007" w:rsidRPr="006C1462" w:rsidRDefault="00E97007" w:rsidP="005F564A">
            <w:pPr>
              <w:jc w:val="left"/>
              <w:rPr>
                <w:rFonts w:ascii="Arial Narrow" w:hAnsi="Arial Narrow"/>
                <w:sz w:val="20"/>
                <w:lang w:val="en-US"/>
              </w:rPr>
            </w:pPr>
            <w:r w:rsidRPr="006C1462">
              <w:rPr>
                <w:rFonts w:ascii="Arial Narrow" w:hAnsi="Arial Narrow"/>
                <w:sz w:val="20"/>
                <w:lang w:val="en-US"/>
              </w:rPr>
              <w:t>L</w:t>
            </w:r>
            <w:r w:rsidR="00EE5DF8" w:rsidRPr="006C1462">
              <w:rPr>
                <w:rFonts w:ascii="Arial Narrow" w:hAnsi="Arial Narrow"/>
                <w:sz w:val="20"/>
                <w:lang w:val="en-US"/>
              </w:rPr>
              <w:t>ower bound of Confidence Interval</w:t>
            </w:r>
          </w:p>
          <w:p w:rsidR="00E97007" w:rsidRPr="006C1462" w:rsidRDefault="00E97007" w:rsidP="00EE5DF8">
            <w:pPr>
              <w:jc w:val="left"/>
              <w:rPr>
                <w:rFonts w:ascii="Arial Narrow" w:hAnsi="Arial Narrow"/>
                <w:sz w:val="20"/>
                <w:lang w:val="en-US"/>
              </w:rPr>
            </w:pPr>
            <w:r w:rsidRPr="006C1462">
              <w:rPr>
                <w:rFonts w:ascii="Arial Narrow" w:hAnsi="Arial Narrow"/>
                <w:sz w:val="20"/>
                <w:lang w:val="en-US"/>
              </w:rPr>
              <w:t>U</w:t>
            </w:r>
            <w:r w:rsidR="00EE5DF8" w:rsidRPr="006C1462">
              <w:rPr>
                <w:rFonts w:ascii="Arial Narrow" w:hAnsi="Arial Narrow"/>
                <w:sz w:val="20"/>
                <w:lang w:val="en-US"/>
              </w:rPr>
              <w:t>pper bound of Confidence Interval</w:t>
            </w:r>
          </w:p>
        </w:tc>
        <w:tc>
          <w:tcPr>
            <w:tcW w:w="1553" w:type="pct"/>
            <w:vAlign w:val="center"/>
          </w:tcPr>
          <w:p w:rsidR="00927B52" w:rsidRPr="006C1462" w:rsidRDefault="00927B52" w:rsidP="00927B52">
            <w:pPr>
              <w:jc w:val="center"/>
              <w:rPr>
                <w:rFonts w:ascii="Arial Narrow" w:hAnsi="Arial Narrow"/>
                <w:sz w:val="20"/>
                <w:lang w:val="en-US"/>
              </w:rPr>
            </w:pPr>
            <w:r w:rsidRPr="00D40869">
              <w:rPr>
                <w:rFonts w:ascii="Arial Narrow" w:hAnsi="Arial Narrow"/>
                <w:sz w:val="20"/>
                <w:lang w:val="en-US"/>
              </w:rPr>
              <w:t>$45,000/QALY - $75,000/QALY</w:t>
            </w:r>
          </w:p>
          <w:p w:rsidR="00E97007" w:rsidRPr="006C1462" w:rsidRDefault="00927B52" w:rsidP="005F564A">
            <w:pPr>
              <w:jc w:val="center"/>
              <w:rPr>
                <w:rFonts w:ascii="Arial Narrow" w:hAnsi="Arial Narrow"/>
                <w:sz w:val="20"/>
                <w:lang w:val="en-US"/>
              </w:rPr>
            </w:pPr>
            <w:r w:rsidRPr="006C1462">
              <w:rPr>
                <w:rFonts w:ascii="Arial Narrow" w:hAnsi="Arial Narrow"/>
                <w:sz w:val="20"/>
                <w:lang w:val="en-US"/>
              </w:rPr>
              <w:t>$</w:t>
            </w:r>
            <w:r w:rsidRPr="00D40869">
              <w:rPr>
                <w:rFonts w:ascii="Arial Narrow" w:hAnsi="Arial Narrow"/>
                <w:sz w:val="20"/>
                <w:lang w:val="en-US"/>
              </w:rPr>
              <w:t>15,000/QALY - $45,000/QALY</w:t>
            </w:r>
          </w:p>
        </w:tc>
      </w:tr>
      <w:tr w:rsidR="00E97007" w:rsidRPr="006C1462" w:rsidTr="00927B52">
        <w:tc>
          <w:tcPr>
            <w:tcW w:w="1224" w:type="pct"/>
            <w:shd w:val="clear" w:color="auto" w:fill="auto"/>
            <w:vAlign w:val="center"/>
          </w:tcPr>
          <w:p w:rsidR="00E97007" w:rsidRPr="006C1462" w:rsidRDefault="00E97007" w:rsidP="00E97007">
            <w:pPr>
              <w:jc w:val="left"/>
              <w:rPr>
                <w:rFonts w:ascii="Arial Narrow" w:hAnsi="Arial Narrow"/>
                <w:sz w:val="20"/>
                <w:lang w:val="en-US"/>
              </w:rPr>
            </w:pPr>
            <w:r w:rsidRPr="006C1462">
              <w:rPr>
                <w:rFonts w:ascii="Arial Narrow" w:hAnsi="Arial Narrow"/>
                <w:sz w:val="20"/>
                <w:lang w:val="en-US"/>
              </w:rPr>
              <w:t>B</w:t>
            </w:r>
            <w:r w:rsidR="00EE5DF8" w:rsidRPr="006C1462">
              <w:rPr>
                <w:rFonts w:ascii="Arial Narrow" w:hAnsi="Arial Narrow"/>
                <w:sz w:val="20"/>
                <w:lang w:val="en-US"/>
              </w:rPr>
              <w:t xml:space="preserve">ody </w:t>
            </w:r>
            <w:r w:rsidRPr="006C1462">
              <w:rPr>
                <w:rFonts w:ascii="Arial Narrow" w:hAnsi="Arial Narrow"/>
                <w:sz w:val="20"/>
                <w:lang w:val="en-US"/>
              </w:rPr>
              <w:t>S</w:t>
            </w:r>
            <w:r w:rsidR="00EE5DF8" w:rsidRPr="006C1462">
              <w:rPr>
                <w:rFonts w:ascii="Arial Narrow" w:hAnsi="Arial Narrow"/>
                <w:sz w:val="20"/>
                <w:lang w:val="en-US"/>
              </w:rPr>
              <w:t xml:space="preserve">urface </w:t>
            </w:r>
            <w:r w:rsidRPr="006C1462">
              <w:rPr>
                <w:rFonts w:ascii="Arial Narrow" w:hAnsi="Arial Narrow"/>
                <w:sz w:val="20"/>
                <w:lang w:val="en-US"/>
              </w:rPr>
              <w:t>A</w:t>
            </w:r>
            <w:r w:rsidR="00EE5DF8" w:rsidRPr="006C1462">
              <w:rPr>
                <w:rFonts w:ascii="Arial Narrow" w:hAnsi="Arial Narrow"/>
                <w:sz w:val="20"/>
                <w:lang w:val="en-US"/>
              </w:rPr>
              <w:t>rea</w:t>
            </w:r>
            <w:r w:rsidRPr="006C1462">
              <w:rPr>
                <w:rFonts w:ascii="Arial Narrow" w:hAnsi="Arial Narrow"/>
                <w:sz w:val="20"/>
                <w:lang w:val="en-US"/>
              </w:rPr>
              <w:t xml:space="preserve"> </w:t>
            </w:r>
          </w:p>
        </w:tc>
        <w:tc>
          <w:tcPr>
            <w:tcW w:w="2223" w:type="pct"/>
            <w:shd w:val="clear" w:color="auto" w:fill="auto"/>
            <w:vAlign w:val="center"/>
          </w:tcPr>
          <w:p w:rsidR="00E97007" w:rsidRPr="006C1462" w:rsidRDefault="00E97007" w:rsidP="005F564A">
            <w:pPr>
              <w:jc w:val="left"/>
              <w:rPr>
                <w:rFonts w:ascii="Arial Narrow" w:hAnsi="Arial Narrow"/>
                <w:sz w:val="20"/>
                <w:lang w:val="en-US"/>
              </w:rPr>
            </w:pPr>
            <w:r w:rsidRPr="006C1462">
              <w:rPr>
                <w:rFonts w:ascii="Arial Narrow" w:hAnsi="Arial Narrow"/>
                <w:sz w:val="20"/>
                <w:lang w:val="en-US"/>
              </w:rPr>
              <w:t>1.59 kg/m</w:t>
            </w:r>
            <w:r w:rsidRPr="006C1462">
              <w:rPr>
                <w:rFonts w:ascii="Arial Narrow" w:hAnsi="Arial Narrow"/>
                <w:sz w:val="20"/>
                <w:vertAlign w:val="superscript"/>
                <w:lang w:val="en-US"/>
              </w:rPr>
              <w:t>2</w:t>
            </w:r>
          </w:p>
          <w:p w:rsidR="00E97007" w:rsidRPr="006C1462" w:rsidRDefault="00E97007" w:rsidP="005F564A">
            <w:pPr>
              <w:jc w:val="left"/>
              <w:rPr>
                <w:rFonts w:ascii="Arial Narrow" w:hAnsi="Arial Narrow"/>
                <w:sz w:val="20"/>
                <w:lang w:val="en-US"/>
              </w:rPr>
            </w:pPr>
            <w:r w:rsidRPr="006C1462">
              <w:rPr>
                <w:rFonts w:ascii="Arial Narrow" w:hAnsi="Arial Narrow"/>
                <w:sz w:val="20"/>
                <w:lang w:val="en-US"/>
              </w:rPr>
              <w:t>2.01 kg/m</w:t>
            </w:r>
            <w:r w:rsidRPr="006C1462">
              <w:rPr>
                <w:rFonts w:ascii="Arial Narrow" w:hAnsi="Arial Narrow"/>
                <w:sz w:val="20"/>
                <w:vertAlign w:val="superscript"/>
                <w:lang w:val="en-US"/>
              </w:rPr>
              <w:t>2</w:t>
            </w:r>
          </w:p>
        </w:tc>
        <w:tc>
          <w:tcPr>
            <w:tcW w:w="1553" w:type="pct"/>
            <w:vAlign w:val="center"/>
          </w:tcPr>
          <w:p w:rsidR="00E97007" w:rsidRPr="006C1462" w:rsidRDefault="00927B52" w:rsidP="005F564A">
            <w:pPr>
              <w:jc w:val="center"/>
              <w:rPr>
                <w:rFonts w:ascii="Arial Narrow" w:hAnsi="Arial Narrow"/>
                <w:sz w:val="20"/>
                <w:lang w:val="en-US"/>
              </w:rPr>
            </w:pPr>
            <w:r w:rsidRPr="006C1462">
              <w:rPr>
                <w:rFonts w:ascii="Arial Narrow" w:hAnsi="Arial Narrow"/>
                <w:sz w:val="20"/>
                <w:lang w:val="en-US"/>
              </w:rPr>
              <w:t>$</w:t>
            </w:r>
            <w:r w:rsidRPr="00D40869">
              <w:rPr>
                <w:rFonts w:ascii="Arial Narrow" w:hAnsi="Arial Narrow"/>
                <w:sz w:val="20"/>
                <w:lang w:val="en-US"/>
              </w:rPr>
              <w:t>15,000/QALY - $45,000/QALY</w:t>
            </w:r>
            <w:r w:rsidRPr="006C1462" w:rsidDel="00927B52">
              <w:rPr>
                <w:rFonts w:ascii="Arial Narrow" w:hAnsi="Arial Narrow"/>
                <w:sz w:val="20"/>
                <w:lang w:val="en-US"/>
              </w:rPr>
              <w:t xml:space="preserve"> </w:t>
            </w:r>
            <w:r w:rsidRPr="006C1462">
              <w:rPr>
                <w:rFonts w:ascii="Arial Narrow" w:hAnsi="Arial Narrow"/>
                <w:sz w:val="20"/>
                <w:lang w:val="en-US"/>
              </w:rPr>
              <w:t>$</w:t>
            </w:r>
            <w:r w:rsidRPr="00D40869">
              <w:rPr>
                <w:rFonts w:ascii="Arial Narrow" w:hAnsi="Arial Narrow"/>
                <w:sz w:val="20"/>
                <w:lang w:val="en-US"/>
              </w:rPr>
              <w:t>15,000/QALY - $45,000/QALY</w:t>
            </w:r>
          </w:p>
        </w:tc>
      </w:tr>
      <w:tr w:rsidR="00E97007" w:rsidRPr="006C1462" w:rsidTr="00927B52">
        <w:tc>
          <w:tcPr>
            <w:tcW w:w="1224" w:type="pct"/>
            <w:shd w:val="clear" w:color="auto" w:fill="auto"/>
            <w:vAlign w:val="center"/>
          </w:tcPr>
          <w:p w:rsidR="009319C9" w:rsidRPr="006C1462" w:rsidRDefault="00E97007" w:rsidP="005F564A">
            <w:pPr>
              <w:jc w:val="left"/>
              <w:rPr>
                <w:rFonts w:ascii="Arial Narrow" w:hAnsi="Arial Narrow"/>
                <w:sz w:val="20"/>
                <w:lang w:val="en-US"/>
              </w:rPr>
            </w:pPr>
            <w:r w:rsidRPr="006C1462">
              <w:rPr>
                <w:rFonts w:ascii="Arial Narrow" w:hAnsi="Arial Narrow"/>
                <w:sz w:val="20"/>
                <w:lang w:val="en-US"/>
              </w:rPr>
              <w:t xml:space="preserve">Utility values </w:t>
            </w:r>
          </w:p>
          <w:p w:rsidR="00E97007" w:rsidRPr="006C1462" w:rsidRDefault="009319C9" w:rsidP="005F564A">
            <w:pPr>
              <w:jc w:val="left"/>
              <w:rPr>
                <w:rFonts w:ascii="Arial Narrow" w:hAnsi="Arial Narrow"/>
                <w:sz w:val="20"/>
                <w:lang w:val="en-US"/>
              </w:rPr>
            </w:pPr>
            <w:r w:rsidRPr="006C1462">
              <w:rPr>
                <w:rFonts w:ascii="Arial Narrow" w:hAnsi="Arial Narrow"/>
                <w:sz w:val="20"/>
                <w:lang w:val="en-US"/>
              </w:rPr>
              <w:t xml:space="preserve">The utilities used in the model were: </w:t>
            </w:r>
          </w:p>
          <w:p w:rsidR="009319C9" w:rsidRPr="006C1462" w:rsidRDefault="009319C9" w:rsidP="005F564A">
            <w:pPr>
              <w:jc w:val="left"/>
              <w:rPr>
                <w:rFonts w:ascii="Arial Narrow" w:hAnsi="Arial Narrow"/>
                <w:sz w:val="20"/>
                <w:lang w:val="en-US"/>
              </w:rPr>
            </w:pPr>
            <w:r w:rsidRPr="006C1462">
              <w:rPr>
                <w:rFonts w:ascii="Arial Narrow" w:hAnsi="Arial Narrow"/>
                <w:sz w:val="20"/>
                <w:lang w:val="en-US"/>
              </w:rPr>
              <w:t xml:space="preserve">0.805 for Progression-free: </w:t>
            </w:r>
          </w:p>
          <w:p w:rsidR="009319C9" w:rsidRPr="006C1462" w:rsidRDefault="009319C9" w:rsidP="005F564A">
            <w:pPr>
              <w:jc w:val="left"/>
              <w:rPr>
                <w:rFonts w:ascii="Arial Narrow" w:hAnsi="Arial Narrow"/>
                <w:sz w:val="20"/>
                <w:lang w:val="en-US"/>
              </w:rPr>
            </w:pPr>
            <w:r w:rsidRPr="006C1462">
              <w:rPr>
                <w:rFonts w:ascii="Arial Narrow" w:hAnsi="Arial Narrow"/>
                <w:sz w:val="20"/>
                <w:lang w:val="en-US"/>
              </w:rPr>
              <w:t>0.618 for Progressed Disease</w:t>
            </w:r>
          </w:p>
        </w:tc>
        <w:tc>
          <w:tcPr>
            <w:tcW w:w="2223" w:type="pct"/>
            <w:shd w:val="clear" w:color="auto" w:fill="auto"/>
            <w:vAlign w:val="center"/>
          </w:tcPr>
          <w:p w:rsidR="006007E5" w:rsidRPr="006C1462" w:rsidRDefault="006007E5" w:rsidP="00E41C97">
            <w:pPr>
              <w:widowControl/>
              <w:jc w:val="left"/>
              <w:rPr>
                <w:rFonts w:ascii="Arial Narrow" w:eastAsia="Calibri" w:hAnsi="Arial Narrow" w:cs="Times New Roman"/>
                <w:snapToGrid/>
                <w:sz w:val="20"/>
                <w:lang w:val="en-US"/>
              </w:rPr>
            </w:pPr>
            <w:r w:rsidRPr="006C1462">
              <w:rPr>
                <w:rFonts w:ascii="Arial Narrow" w:eastAsia="Calibri" w:hAnsi="Arial Narrow" w:cs="Times New Roman"/>
                <w:snapToGrid/>
                <w:sz w:val="20"/>
                <w:lang w:val="en-US"/>
              </w:rPr>
              <w:t>PFS = 0.780,  PDS = 0.618</w:t>
            </w:r>
          </w:p>
          <w:p w:rsidR="006007E5" w:rsidRPr="006C1462" w:rsidRDefault="006007E5" w:rsidP="00E41C97">
            <w:pPr>
              <w:widowControl/>
              <w:jc w:val="left"/>
              <w:rPr>
                <w:rFonts w:ascii="Arial Narrow" w:eastAsia="Calibri" w:hAnsi="Arial Narrow" w:cs="Times New Roman"/>
                <w:iCs/>
                <w:snapToGrid/>
                <w:sz w:val="20"/>
                <w:lang w:val="en-US"/>
              </w:rPr>
            </w:pPr>
            <w:r w:rsidRPr="006C1462">
              <w:rPr>
                <w:rFonts w:ascii="Arial Narrow" w:eastAsia="Calibri" w:hAnsi="Arial Narrow" w:cs="Times New Roman"/>
                <w:iCs/>
                <w:snapToGrid/>
                <w:sz w:val="20"/>
                <w:lang w:val="en-US"/>
              </w:rPr>
              <w:t>PFS = 0.840, PDS = 0.618*</w:t>
            </w:r>
          </w:p>
          <w:p w:rsidR="006007E5" w:rsidRPr="006C1462" w:rsidRDefault="006007E5" w:rsidP="00E41C97">
            <w:pPr>
              <w:widowControl/>
              <w:jc w:val="left"/>
              <w:rPr>
                <w:rFonts w:ascii="Arial Narrow" w:eastAsia="Calibri" w:hAnsi="Arial Narrow" w:cs="Times New Roman"/>
                <w:iCs/>
                <w:snapToGrid/>
                <w:sz w:val="20"/>
                <w:lang w:val="en-US"/>
              </w:rPr>
            </w:pPr>
            <w:r w:rsidRPr="006C1462">
              <w:rPr>
                <w:rFonts w:ascii="Arial Narrow" w:eastAsia="Calibri" w:hAnsi="Arial Narrow" w:cs="Times New Roman"/>
                <w:iCs/>
                <w:snapToGrid/>
                <w:sz w:val="20"/>
                <w:lang w:val="en-US"/>
              </w:rPr>
              <w:t>PFS = 0.770, PDS = 0.618*</w:t>
            </w:r>
          </w:p>
          <w:p w:rsidR="006007E5" w:rsidRPr="006C1462" w:rsidRDefault="006007E5" w:rsidP="00E41C97">
            <w:pPr>
              <w:widowControl/>
              <w:jc w:val="left"/>
              <w:rPr>
                <w:rFonts w:ascii="Arial Narrow" w:eastAsia="Calibri" w:hAnsi="Arial Narrow" w:cs="Times New Roman"/>
                <w:iCs/>
                <w:snapToGrid/>
                <w:sz w:val="20"/>
                <w:lang w:val="en-US"/>
              </w:rPr>
            </w:pPr>
            <w:r w:rsidRPr="006C1462">
              <w:rPr>
                <w:rFonts w:ascii="Arial Narrow" w:eastAsia="Calibri" w:hAnsi="Arial Narrow" w:cs="Times New Roman"/>
                <w:iCs/>
                <w:snapToGrid/>
                <w:sz w:val="20"/>
                <w:lang w:val="en-US"/>
              </w:rPr>
              <w:t>PFS = 0.805, PDS = 0.728*</w:t>
            </w:r>
          </w:p>
          <w:p w:rsidR="006007E5" w:rsidRPr="006C1462" w:rsidRDefault="006007E5" w:rsidP="00E41C97">
            <w:pPr>
              <w:widowControl/>
              <w:jc w:val="left"/>
              <w:rPr>
                <w:rFonts w:ascii="Arial Narrow" w:eastAsia="Calibri" w:hAnsi="Arial Narrow" w:cs="Times New Roman"/>
                <w:iCs/>
                <w:snapToGrid/>
                <w:sz w:val="20"/>
                <w:lang w:val="en-US"/>
              </w:rPr>
            </w:pPr>
            <w:r w:rsidRPr="006C1462">
              <w:rPr>
                <w:rFonts w:ascii="Arial Narrow" w:eastAsia="Calibri" w:hAnsi="Arial Narrow" w:cs="Times New Roman"/>
                <w:iCs/>
                <w:snapToGrid/>
                <w:sz w:val="20"/>
                <w:lang w:val="en-US"/>
              </w:rPr>
              <w:t>PFS = 0.805, PDS = 0.508*</w:t>
            </w:r>
          </w:p>
          <w:p w:rsidR="00485D85" w:rsidRPr="006C1462" w:rsidRDefault="006007E5" w:rsidP="00E41C97">
            <w:pPr>
              <w:jc w:val="left"/>
              <w:rPr>
                <w:rFonts w:ascii="Arial Narrow" w:hAnsi="Arial Narrow"/>
                <w:sz w:val="20"/>
                <w:lang w:val="en-US"/>
              </w:rPr>
            </w:pPr>
            <w:r w:rsidRPr="006C1462">
              <w:rPr>
                <w:rFonts w:ascii="Arial Narrow" w:eastAsia="Calibri" w:hAnsi="Arial Narrow" w:cs="Times New Roman"/>
                <w:iCs/>
                <w:snapToGrid/>
                <w:sz w:val="20"/>
                <w:lang w:val="en-US"/>
              </w:rPr>
              <w:t>PFS = 0.805, PDS = 0.736**</w:t>
            </w:r>
          </w:p>
        </w:tc>
        <w:tc>
          <w:tcPr>
            <w:tcW w:w="1553" w:type="pct"/>
          </w:tcPr>
          <w:p w:rsidR="00927B52" w:rsidRPr="006C1462" w:rsidRDefault="00927B52" w:rsidP="00927B52">
            <w:pPr>
              <w:jc w:val="center"/>
              <w:rPr>
                <w:rFonts w:ascii="Arial Narrow" w:hAnsi="Arial Narrow"/>
                <w:sz w:val="20"/>
                <w:lang w:val="en-US"/>
              </w:rPr>
            </w:pPr>
            <w:r w:rsidRPr="006C1462">
              <w:rPr>
                <w:rFonts w:ascii="Arial Narrow" w:hAnsi="Arial Narrow"/>
                <w:sz w:val="20"/>
                <w:lang w:val="en-US"/>
              </w:rPr>
              <w:t>$</w:t>
            </w:r>
            <w:r w:rsidRPr="00D40869">
              <w:rPr>
                <w:rFonts w:ascii="Arial Narrow" w:hAnsi="Arial Narrow"/>
                <w:sz w:val="20"/>
                <w:lang w:val="en-US"/>
              </w:rPr>
              <w:t>15,000/QALY - $45,000/QALY</w:t>
            </w:r>
            <w:r w:rsidRPr="006C1462" w:rsidDel="00927B52">
              <w:rPr>
                <w:rFonts w:ascii="Arial Narrow" w:hAnsi="Arial Narrow"/>
                <w:sz w:val="20"/>
                <w:lang w:val="en-US"/>
              </w:rPr>
              <w:t xml:space="preserve"> </w:t>
            </w:r>
            <w:r w:rsidRPr="006C1462">
              <w:rPr>
                <w:rFonts w:ascii="Arial Narrow" w:hAnsi="Arial Narrow"/>
                <w:sz w:val="20"/>
                <w:lang w:val="en-US"/>
              </w:rPr>
              <w:t>$</w:t>
            </w:r>
            <w:r w:rsidRPr="00D40869">
              <w:rPr>
                <w:rFonts w:ascii="Arial Narrow" w:hAnsi="Arial Narrow"/>
                <w:sz w:val="20"/>
                <w:lang w:val="en-US"/>
              </w:rPr>
              <w:t>15,000/QALY - $45,000/QALY</w:t>
            </w:r>
            <w:r w:rsidRPr="006C1462" w:rsidDel="00927B52">
              <w:rPr>
                <w:rFonts w:ascii="Arial Narrow" w:hAnsi="Arial Narrow"/>
                <w:sz w:val="20"/>
                <w:lang w:val="en-US"/>
              </w:rPr>
              <w:t xml:space="preserve"> </w:t>
            </w:r>
            <w:r w:rsidRPr="006C1462">
              <w:rPr>
                <w:rFonts w:ascii="Arial Narrow" w:hAnsi="Arial Narrow"/>
                <w:sz w:val="20"/>
                <w:lang w:val="en-US"/>
              </w:rPr>
              <w:t>$</w:t>
            </w:r>
            <w:r w:rsidRPr="00D40869">
              <w:rPr>
                <w:rFonts w:ascii="Arial Narrow" w:hAnsi="Arial Narrow"/>
                <w:sz w:val="20"/>
                <w:lang w:val="en-US"/>
              </w:rPr>
              <w:t>15,000/QALY - $45,000/QALY</w:t>
            </w:r>
            <w:r w:rsidRPr="006C1462" w:rsidDel="00927B52">
              <w:rPr>
                <w:rFonts w:ascii="Arial Narrow" w:hAnsi="Arial Narrow"/>
                <w:sz w:val="20"/>
                <w:lang w:val="en-US"/>
              </w:rPr>
              <w:t xml:space="preserve"> </w:t>
            </w:r>
            <w:r w:rsidRPr="006C1462">
              <w:rPr>
                <w:rFonts w:ascii="Arial Narrow" w:hAnsi="Arial Narrow"/>
                <w:sz w:val="20"/>
                <w:lang w:val="en-US"/>
              </w:rPr>
              <w:t>$</w:t>
            </w:r>
            <w:r w:rsidR="00D40869">
              <w:rPr>
                <w:rFonts w:ascii="Arial Narrow" w:hAnsi="Arial Narrow"/>
                <w:sz w:val="20"/>
                <w:lang w:val="en-US"/>
              </w:rPr>
              <w:t>7</w:t>
            </w:r>
            <w:r w:rsidRPr="00D40869">
              <w:rPr>
                <w:rFonts w:ascii="Arial Narrow" w:hAnsi="Arial Narrow"/>
                <w:sz w:val="20"/>
                <w:lang w:val="en-US"/>
              </w:rPr>
              <w:t>5,000/QALY - $</w:t>
            </w:r>
            <w:r w:rsidR="00D40869">
              <w:rPr>
                <w:rFonts w:ascii="Arial Narrow" w:hAnsi="Arial Narrow"/>
                <w:sz w:val="20"/>
                <w:lang w:val="en-US"/>
              </w:rPr>
              <w:t>105</w:t>
            </w:r>
            <w:r w:rsidRPr="00D40869">
              <w:rPr>
                <w:rFonts w:ascii="Arial Narrow" w:hAnsi="Arial Narrow"/>
                <w:sz w:val="20"/>
                <w:lang w:val="en-US"/>
              </w:rPr>
              <w:t>,000/QALY</w:t>
            </w:r>
          </w:p>
          <w:p w:rsidR="00E97007" w:rsidRPr="006C1462" w:rsidRDefault="00927B52" w:rsidP="00D40869">
            <w:pPr>
              <w:jc w:val="center"/>
              <w:rPr>
                <w:rFonts w:ascii="Arial Narrow" w:hAnsi="Arial Narrow"/>
                <w:sz w:val="20"/>
                <w:highlight w:val="yellow"/>
                <w:lang w:val="en-US"/>
              </w:rPr>
            </w:pPr>
            <w:r w:rsidRPr="006C1462">
              <w:rPr>
                <w:rFonts w:ascii="Arial Narrow" w:hAnsi="Arial Narrow"/>
                <w:sz w:val="20"/>
                <w:lang w:val="en-US"/>
              </w:rPr>
              <w:t>$</w:t>
            </w:r>
            <w:r w:rsidRPr="00D40869">
              <w:rPr>
                <w:rFonts w:ascii="Arial Narrow" w:hAnsi="Arial Narrow"/>
                <w:sz w:val="20"/>
                <w:lang w:val="en-US"/>
              </w:rPr>
              <w:t>15,000/QALY</w:t>
            </w:r>
            <w:r w:rsidR="00D40869">
              <w:rPr>
                <w:rFonts w:ascii="Arial Narrow" w:hAnsi="Arial Narrow"/>
                <w:sz w:val="20"/>
                <w:lang w:val="en-US"/>
              </w:rPr>
              <w:t xml:space="preserve"> </w:t>
            </w:r>
            <w:r w:rsidRPr="00D40869">
              <w:rPr>
                <w:rFonts w:ascii="Arial Narrow" w:hAnsi="Arial Narrow"/>
                <w:sz w:val="20"/>
                <w:lang w:val="en-US"/>
              </w:rPr>
              <w:t>-</w:t>
            </w:r>
            <w:r w:rsidR="00D40869">
              <w:rPr>
                <w:rFonts w:ascii="Arial Narrow" w:hAnsi="Arial Narrow"/>
                <w:sz w:val="20"/>
                <w:lang w:val="en-US"/>
              </w:rPr>
              <w:t xml:space="preserve"> </w:t>
            </w:r>
            <w:r w:rsidRPr="00D40869">
              <w:rPr>
                <w:rFonts w:ascii="Arial Narrow" w:hAnsi="Arial Narrow"/>
                <w:sz w:val="20"/>
                <w:lang w:val="en-US"/>
              </w:rPr>
              <w:t>$45,000/QALY</w:t>
            </w:r>
            <w:r w:rsidRPr="006C1462" w:rsidDel="00927B52">
              <w:rPr>
                <w:rFonts w:ascii="Arial Narrow" w:hAnsi="Arial Narrow"/>
                <w:iCs/>
                <w:sz w:val="20"/>
                <w:lang w:val="en-US"/>
              </w:rPr>
              <w:t xml:space="preserve"> </w:t>
            </w:r>
            <w:r w:rsidRPr="006C1462">
              <w:rPr>
                <w:rFonts w:ascii="Arial Narrow" w:hAnsi="Arial Narrow"/>
                <w:sz w:val="20"/>
                <w:lang w:val="en-US"/>
              </w:rPr>
              <w:t>$</w:t>
            </w:r>
            <w:r w:rsidR="003C4C33">
              <w:rPr>
                <w:rFonts w:ascii="Arial Narrow" w:hAnsi="Arial Narrow"/>
                <w:sz w:val="20"/>
                <w:lang w:val="en-US"/>
              </w:rPr>
              <w:t>7</w:t>
            </w:r>
            <w:r w:rsidRPr="00D40869">
              <w:rPr>
                <w:rFonts w:ascii="Arial Narrow" w:hAnsi="Arial Narrow"/>
                <w:sz w:val="20"/>
                <w:lang w:val="en-US"/>
              </w:rPr>
              <w:t>5,000/QALY - $</w:t>
            </w:r>
            <w:r w:rsidR="003C4C33">
              <w:rPr>
                <w:rFonts w:ascii="Arial Narrow" w:hAnsi="Arial Narrow"/>
                <w:sz w:val="20"/>
                <w:lang w:val="en-US"/>
              </w:rPr>
              <w:t>10</w:t>
            </w:r>
            <w:r w:rsidRPr="00D40869">
              <w:rPr>
                <w:rFonts w:ascii="Arial Narrow" w:hAnsi="Arial Narrow"/>
                <w:sz w:val="20"/>
                <w:lang w:val="en-US"/>
              </w:rPr>
              <w:t>5,000/QALY</w:t>
            </w:r>
          </w:p>
        </w:tc>
      </w:tr>
    </w:tbl>
    <w:p w:rsidR="00A24A95" w:rsidRPr="006C1462" w:rsidRDefault="00A24A95" w:rsidP="00A24A95">
      <w:pPr>
        <w:pStyle w:val="TableFooter"/>
        <w:ind w:firstLine="720"/>
      </w:pPr>
      <w:r w:rsidRPr="006C1462">
        <w:t>Source: compiled during the evaluation</w:t>
      </w:r>
    </w:p>
    <w:p w:rsidR="006007E5" w:rsidRPr="006C1462" w:rsidRDefault="006007E5" w:rsidP="006007E5">
      <w:pPr>
        <w:pStyle w:val="TableFooter"/>
        <w:ind w:left="720"/>
      </w:pPr>
      <w:r w:rsidRPr="006C1462">
        <w:t>Abbreviations</w:t>
      </w:r>
      <w:r w:rsidR="008A28A7" w:rsidRPr="006C1462">
        <w:t>:</w:t>
      </w:r>
      <w:r w:rsidRPr="006C1462">
        <w:t xml:space="preserve"> PFS=progression-free state, PD=progressed disease state</w:t>
      </w:r>
    </w:p>
    <w:p w:rsidR="006007E5" w:rsidRPr="006C1462" w:rsidRDefault="006007E5" w:rsidP="006007E5">
      <w:pPr>
        <w:pStyle w:val="TableFooter"/>
        <w:ind w:firstLine="720"/>
      </w:pPr>
      <w:r w:rsidRPr="006C1462">
        <w:t>*Based on confidence intervals around the base case utility, calculated from the standard errors in Wild et al (2006)</w:t>
      </w:r>
    </w:p>
    <w:p w:rsidR="006007E5" w:rsidRPr="006C1462" w:rsidRDefault="006007E5" w:rsidP="006007E5">
      <w:pPr>
        <w:pStyle w:val="TableFooter"/>
        <w:ind w:firstLine="720"/>
      </w:pPr>
      <w:r w:rsidRPr="006C1462">
        <w:t xml:space="preserve">**Utility values sourced from </w:t>
      </w:r>
      <w:proofErr w:type="spellStart"/>
      <w:r w:rsidRPr="006C1462">
        <w:t>Dewilde</w:t>
      </w:r>
      <w:proofErr w:type="spellEnd"/>
      <w:r w:rsidRPr="006C1462">
        <w:t xml:space="preserve"> et al (2014)</w:t>
      </w:r>
    </w:p>
    <w:p w:rsidR="00E97007" w:rsidRDefault="00E97007" w:rsidP="00E97007">
      <w:pPr>
        <w:pStyle w:val="TableFooter"/>
      </w:pPr>
    </w:p>
    <w:p w:rsidR="00FF0DDE" w:rsidRPr="006C1462" w:rsidRDefault="00B2393F" w:rsidP="00FE6631">
      <w:pPr>
        <w:pStyle w:val="ListParagraph"/>
        <w:widowControl/>
        <w:numPr>
          <w:ilvl w:val="1"/>
          <w:numId w:val="1"/>
        </w:numPr>
        <w:rPr>
          <w:szCs w:val="22"/>
        </w:rPr>
      </w:pPr>
      <w:r>
        <w:rPr>
          <w:szCs w:val="22"/>
        </w:rPr>
        <w:t xml:space="preserve">The </w:t>
      </w:r>
      <w:r w:rsidR="00320373" w:rsidRPr="0006145B">
        <w:rPr>
          <w:color w:val="000000" w:themeColor="text1"/>
        </w:rPr>
        <w:t xml:space="preserve">resulting ICER was </w:t>
      </w:r>
      <w:r w:rsidR="00FE6631" w:rsidRPr="00FE6631">
        <w:rPr>
          <w:color w:val="000000" w:themeColor="text1"/>
        </w:rPr>
        <w:t>$15,000/QALY - $45,000/QALY</w:t>
      </w:r>
      <w:r w:rsidR="00320373" w:rsidRPr="0006145B">
        <w:rPr>
          <w:color w:val="000000" w:themeColor="text1"/>
        </w:rPr>
        <w:t>.</w:t>
      </w:r>
      <w:r w:rsidR="00320373">
        <w:rPr>
          <w:color w:val="3366FF"/>
        </w:rPr>
        <w:t xml:space="preserve"> </w:t>
      </w:r>
      <w:r w:rsidR="00320373" w:rsidRPr="00C14FE4">
        <w:rPr>
          <w:color w:val="000000" w:themeColor="text1"/>
        </w:rPr>
        <w:t xml:space="preserve">The ICER </w:t>
      </w:r>
      <w:r w:rsidR="004C739A">
        <w:rPr>
          <w:color w:val="000000" w:themeColor="text1"/>
        </w:rPr>
        <w:t>wa</w:t>
      </w:r>
      <w:r w:rsidR="00320373" w:rsidRPr="00C14FE4">
        <w:rPr>
          <w:color w:val="000000" w:themeColor="text1"/>
        </w:rPr>
        <w:t xml:space="preserve">s highly sensitive </w:t>
      </w:r>
      <w:r w:rsidR="00B11A76" w:rsidRPr="00C14FE4">
        <w:rPr>
          <w:color w:val="000000" w:themeColor="text1"/>
        </w:rPr>
        <w:t>to the</w:t>
      </w:r>
      <w:r w:rsidR="00320373" w:rsidRPr="00C14FE4">
        <w:rPr>
          <w:color w:val="000000" w:themeColor="text1"/>
        </w:rPr>
        <w:t xml:space="preserve"> </w:t>
      </w:r>
      <w:r w:rsidR="006C1462">
        <w:rPr>
          <w:color w:val="000000" w:themeColor="text1"/>
        </w:rPr>
        <w:t xml:space="preserve">time horizon and the </w:t>
      </w:r>
      <w:r w:rsidR="00320373" w:rsidRPr="00C14FE4">
        <w:rPr>
          <w:color w:val="000000" w:themeColor="text1"/>
        </w:rPr>
        <w:t>proportion of patients in the progression-</w:t>
      </w:r>
      <w:r w:rsidR="00B11A76" w:rsidRPr="00C14FE4">
        <w:rPr>
          <w:color w:val="000000" w:themeColor="text1"/>
        </w:rPr>
        <w:t>free and</w:t>
      </w:r>
      <w:r w:rsidR="00320373" w:rsidRPr="00C14FE4">
        <w:rPr>
          <w:color w:val="000000" w:themeColor="text1"/>
        </w:rPr>
        <w:t xml:space="preserve"> the progressed disease state</w:t>
      </w:r>
      <w:r w:rsidR="003C4AB0">
        <w:rPr>
          <w:color w:val="000000" w:themeColor="text1"/>
        </w:rPr>
        <w:t>s</w:t>
      </w:r>
      <w:r w:rsidR="00320373" w:rsidRPr="00C14FE4">
        <w:rPr>
          <w:color w:val="000000" w:themeColor="text1"/>
        </w:rPr>
        <w:t xml:space="preserve"> as well as the utility values applied to these states. </w:t>
      </w:r>
      <w:r w:rsidR="00320373" w:rsidRPr="00FB050F">
        <w:rPr>
          <w:color w:val="000000" w:themeColor="text1"/>
        </w:rPr>
        <w:t xml:space="preserve">The submission </w:t>
      </w:r>
      <w:r w:rsidR="00996037">
        <w:rPr>
          <w:color w:val="000000" w:themeColor="text1"/>
        </w:rPr>
        <w:t>present</w:t>
      </w:r>
      <w:r w:rsidR="004C739A">
        <w:rPr>
          <w:color w:val="000000" w:themeColor="text1"/>
        </w:rPr>
        <w:t>ed</w:t>
      </w:r>
      <w:r w:rsidR="00996037">
        <w:rPr>
          <w:color w:val="000000" w:themeColor="text1"/>
        </w:rPr>
        <w:t xml:space="preserve"> un</w:t>
      </w:r>
      <w:r w:rsidR="00320373" w:rsidRPr="00FB050F">
        <w:rPr>
          <w:color w:val="000000" w:themeColor="text1"/>
        </w:rPr>
        <w:t>ivariate and multivariate</w:t>
      </w:r>
      <w:r w:rsidR="00320373">
        <w:rPr>
          <w:color w:val="000000" w:themeColor="text1"/>
        </w:rPr>
        <w:t xml:space="preserve"> analyses.</w:t>
      </w:r>
      <w:r w:rsidR="00320373" w:rsidRPr="00FB050F">
        <w:rPr>
          <w:color w:val="000000" w:themeColor="text1"/>
        </w:rPr>
        <w:t xml:space="preserve"> </w:t>
      </w:r>
      <w:r w:rsidR="002155CE">
        <w:rPr>
          <w:color w:val="000000" w:themeColor="text1"/>
        </w:rPr>
        <w:t xml:space="preserve">A </w:t>
      </w:r>
      <w:r w:rsidR="002155CE" w:rsidRPr="006C1462">
        <w:rPr>
          <w:color w:val="000000" w:themeColor="text1"/>
        </w:rPr>
        <w:t>sensitivity analysis conducted during the evaluation demonstrated that as the utility values of the progression-free state and progressed disease state converge</w:t>
      </w:r>
      <w:r w:rsidR="004C739A" w:rsidRPr="006C1462">
        <w:rPr>
          <w:color w:val="000000" w:themeColor="text1"/>
        </w:rPr>
        <w:t>d</w:t>
      </w:r>
      <w:r w:rsidR="002155CE" w:rsidRPr="006C1462">
        <w:rPr>
          <w:color w:val="000000" w:themeColor="text1"/>
        </w:rPr>
        <w:t>, the</w:t>
      </w:r>
      <w:r w:rsidR="00C474C0" w:rsidRPr="006C1462">
        <w:rPr>
          <w:color w:val="000000" w:themeColor="text1"/>
        </w:rPr>
        <w:t xml:space="preserve"> ICER significantly increased.</w:t>
      </w:r>
      <w:r w:rsidR="002155CE" w:rsidRPr="006C1462">
        <w:rPr>
          <w:color w:val="000000" w:themeColor="text1"/>
        </w:rPr>
        <w:t xml:space="preserve"> </w:t>
      </w:r>
    </w:p>
    <w:p w:rsidR="00FF0DDE" w:rsidRPr="00FF0DDE" w:rsidRDefault="00FF0DDE" w:rsidP="00FF0DDE">
      <w:pPr>
        <w:pStyle w:val="ListParagraph"/>
        <w:widowControl/>
        <w:rPr>
          <w:szCs w:val="22"/>
        </w:rPr>
      </w:pPr>
    </w:p>
    <w:p w:rsidR="002155CE" w:rsidRPr="006C1462" w:rsidRDefault="002A7639" w:rsidP="00EB1E21">
      <w:pPr>
        <w:pStyle w:val="ListParagraph"/>
        <w:widowControl/>
        <w:numPr>
          <w:ilvl w:val="1"/>
          <w:numId w:val="1"/>
        </w:numPr>
        <w:rPr>
          <w:szCs w:val="22"/>
        </w:rPr>
      </w:pPr>
      <w:r w:rsidRPr="002A7639">
        <w:rPr>
          <w:color w:val="000000" w:themeColor="text1"/>
        </w:rPr>
        <w:t>T</w:t>
      </w:r>
      <w:r w:rsidR="006C1462" w:rsidRPr="002A7639">
        <w:rPr>
          <w:color w:val="000000" w:themeColor="text1"/>
        </w:rPr>
        <w:t xml:space="preserve">he ESC noted that the ICER is sensitive to the incremental difference in utilities between </w:t>
      </w:r>
      <w:r w:rsidRPr="002A7639">
        <w:rPr>
          <w:color w:val="000000" w:themeColor="text1"/>
        </w:rPr>
        <w:t>the ‘progression-free’ health state and the ‘progressed disease’ health states</w:t>
      </w:r>
      <w:r w:rsidR="006C1462" w:rsidRPr="002A7639">
        <w:rPr>
          <w:color w:val="000000" w:themeColor="text1"/>
        </w:rPr>
        <w:t xml:space="preserve">. </w:t>
      </w:r>
      <w:r w:rsidR="0017735A" w:rsidRPr="0017735A">
        <w:rPr>
          <w:color w:val="000000" w:themeColor="text1"/>
        </w:rPr>
        <w:t>The</w:t>
      </w:r>
      <w:r w:rsidR="009319C9" w:rsidRPr="0017735A">
        <w:rPr>
          <w:color w:val="000000" w:themeColor="text1"/>
        </w:rPr>
        <w:t xml:space="preserve"> </w:t>
      </w:r>
      <w:r w:rsidR="0017735A" w:rsidRPr="0017735A">
        <w:rPr>
          <w:color w:val="000000" w:themeColor="text1"/>
        </w:rPr>
        <w:t xml:space="preserve">ESC noted the </w:t>
      </w:r>
      <w:r w:rsidR="009319C9" w:rsidRPr="0017735A">
        <w:rPr>
          <w:color w:val="000000" w:themeColor="text1"/>
        </w:rPr>
        <w:t xml:space="preserve">sensitivity analyses </w:t>
      </w:r>
      <w:r w:rsidR="0017735A" w:rsidRPr="0017735A">
        <w:rPr>
          <w:color w:val="000000" w:themeColor="text1"/>
        </w:rPr>
        <w:t>that use</w:t>
      </w:r>
      <w:r w:rsidR="009319C9" w:rsidRPr="0017735A">
        <w:rPr>
          <w:color w:val="000000" w:themeColor="text1"/>
        </w:rPr>
        <w:t xml:space="preserve"> utilit</w:t>
      </w:r>
      <w:r w:rsidR="00BA5168">
        <w:rPr>
          <w:color w:val="000000" w:themeColor="text1"/>
        </w:rPr>
        <w:t>y value</w:t>
      </w:r>
      <w:r w:rsidR="009319C9" w:rsidRPr="0017735A">
        <w:rPr>
          <w:color w:val="000000" w:themeColor="text1"/>
        </w:rPr>
        <w:t>s</w:t>
      </w:r>
      <w:r w:rsidR="009319C9" w:rsidRPr="006C1462">
        <w:rPr>
          <w:color w:val="000000" w:themeColor="text1"/>
        </w:rPr>
        <w:t xml:space="preserve"> based on confidence intervals around the base case utility, calculated from the standard errors in Wild et al (2006) and utility values sourced from </w:t>
      </w:r>
      <w:proofErr w:type="spellStart"/>
      <w:r w:rsidR="009319C9" w:rsidRPr="006C1462">
        <w:rPr>
          <w:color w:val="000000" w:themeColor="text1"/>
        </w:rPr>
        <w:t>Dewilde</w:t>
      </w:r>
      <w:proofErr w:type="spellEnd"/>
      <w:r w:rsidR="009319C9" w:rsidRPr="006C1462">
        <w:rPr>
          <w:color w:val="000000" w:themeColor="text1"/>
        </w:rPr>
        <w:t xml:space="preserve"> et al </w:t>
      </w:r>
      <w:r w:rsidR="00E8457F" w:rsidRPr="006C1462">
        <w:rPr>
          <w:color w:val="000000" w:themeColor="text1"/>
        </w:rPr>
        <w:t>(</w:t>
      </w:r>
      <w:r w:rsidR="009319C9" w:rsidRPr="006C1462">
        <w:rPr>
          <w:color w:val="000000" w:themeColor="text1"/>
        </w:rPr>
        <w:t>2014</w:t>
      </w:r>
      <w:r w:rsidR="00E8457F" w:rsidRPr="006C1462">
        <w:rPr>
          <w:color w:val="000000" w:themeColor="text1"/>
        </w:rPr>
        <w:t>)</w:t>
      </w:r>
      <w:r w:rsidR="009319C9" w:rsidRPr="006C1462">
        <w:rPr>
          <w:color w:val="000000" w:themeColor="text1"/>
        </w:rPr>
        <w:t>.</w:t>
      </w:r>
    </w:p>
    <w:p w:rsidR="00104B3D" w:rsidRPr="006C1462" w:rsidRDefault="00104B3D" w:rsidP="00104B3D">
      <w:pPr>
        <w:pStyle w:val="ListParagraph"/>
        <w:widowControl/>
        <w:rPr>
          <w:szCs w:val="22"/>
        </w:rPr>
      </w:pPr>
    </w:p>
    <w:p w:rsidR="00872ABD" w:rsidRDefault="00E16006" w:rsidP="00EB1E21">
      <w:pPr>
        <w:pStyle w:val="ListParagraph"/>
        <w:widowControl/>
        <w:numPr>
          <w:ilvl w:val="1"/>
          <w:numId w:val="1"/>
        </w:numPr>
        <w:rPr>
          <w:color w:val="000000" w:themeColor="text1"/>
        </w:rPr>
      </w:pPr>
      <w:r>
        <w:rPr>
          <w:color w:val="000000" w:themeColor="text1"/>
        </w:rPr>
        <w:t>The ESC noted that t</w:t>
      </w:r>
      <w:r w:rsidR="00872ABD" w:rsidRPr="00673BDE">
        <w:rPr>
          <w:color w:val="000000" w:themeColor="text1"/>
        </w:rPr>
        <w:t>he model structure does not include subsequent therapies, such as rituximab maintenance and the multiple lines of subsequent rituximab-based regimens.</w:t>
      </w:r>
      <w:r w:rsidR="00872ABD" w:rsidRPr="00673BDE">
        <w:t xml:space="preserve"> This does </w:t>
      </w:r>
      <w:r w:rsidR="00872ABD" w:rsidRPr="00673BDE">
        <w:rPr>
          <w:color w:val="000000" w:themeColor="text1"/>
        </w:rPr>
        <w:t xml:space="preserve">not reflect treatment patterns in clinical practice and underestimates future costs. </w:t>
      </w:r>
      <w:r w:rsidR="0002616A" w:rsidRPr="00673BDE">
        <w:rPr>
          <w:color w:val="000000" w:themeColor="text1"/>
        </w:rPr>
        <w:t>Th</w:t>
      </w:r>
      <w:r w:rsidR="00872ABD" w:rsidRPr="00673BDE">
        <w:rPr>
          <w:color w:val="000000" w:themeColor="text1"/>
        </w:rPr>
        <w:t xml:space="preserve">e </w:t>
      </w:r>
      <w:r w:rsidR="00872ABD" w:rsidRPr="0017735A">
        <w:rPr>
          <w:color w:val="000000" w:themeColor="text1"/>
        </w:rPr>
        <w:t xml:space="preserve">ESC agreed with the PSCR that the </w:t>
      </w:r>
      <w:r w:rsidR="009815EC">
        <w:rPr>
          <w:color w:val="000000" w:themeColor="text1"/>
        </w:rPr>
        <w:t>exclusion</w:t>
      </w:r>
      <w:r w:rsidR="009815EC" w:rsidRPr="0017735A">
        <w:rPr>
          <w:color w:val="000000" w:themeColor="text1"/>
        </w:rPr>
        <w:t xml:space="preserve"> </w:t>
      </w:r>
      <w:r w:rsidR="00872ABD" w:rsidRPr="0017735A">
        <w:rPr>
          <w:color w:val="000000" w:themeColor="text1"/>
        </w:rPr>
        <w:t>of subsequent lines of therapy may favour R-CHOP</w:t>
      </w:r>
      <w:r w:rsidR="0002616A" w:rsidRPr="0017735A">
        <w:rPr>
          <w:color w:val="000000" w:themeColor="text1"/>
        </w:rPr>
        <w:t xml:space="preserve"> given the higher rate of subsequent salvage therapy observed in the R-CHOP arm compared</w:t>
      </w:r>
      <w:r w:rsidR="0002616A" w:rsidRPr="00673BDE">
        <w:rPr>
          <w:color w:val="000000" w:themeColor="text1"/>
        </w:rPr>
        <w:t xml:space="preserve"> to the B-R </w:t>
      </w:r>
      <w:r w:rsidR="00DF778F" w:rsidRPr="00673BDE">
        <w:rPr>
          <w:color w:val="000000" w:themeColor="text1"/>
        </w:rPr>
        <w:t>arm</w:t>
      </w:r>
      <w:r w:rsidR="0002616A" w:rsidRPr="00673BDE">
        <w:rPr>
          <w:color w:val="000000" w:themeColor="text1"/>
        </w:rPr>
        <w:t>. However,</w:t>
      </w:r>
      <w:r w:rsidR="00872ABD" w:rsidRPr="00673BDE">
        <w:rPr>
          <w:color w:val="000000" w:themeColor="text1"/>
        </w:rPr>
        <w:t xml:space="preserve"> the ESC considered that a more reliable model structure would need to appropriately reflect the possibility of additional lines of treatment, with their costs and health benefits.  </w:t>
      </w:r>
    </w:p>
    <w:p w:rsidR="00673BDE" w:rsidRPr="00673BDE" w:rsidRDefault="00673BDE" w:rsidP="00673BDE">
      <w:pPr>
        <w:pStyle w:val="ListParagraph"/>
        <w:rPr>
          <w:color w:val="000000" w:themeColor="text1"/>
        </w:rPr>
      </w:pPr>
    </w:p>
    <w:p w:rsidR="00673BDE" w:rsidRPr="00673BDE" w:rsidRDefault="00673BDE" w:rsidP="00EB1E21">
      <w:pPr>
        <w:pStyle w:val="ListParagraph"/>
        <w:widowControl/>
        <w:numPr>
          <w:ilvl w:val="1"/>
          <w:numId w:val="1"/>
        </w:numPr>
        <w:rPr>
          <w:color w:val="000000" w:themeColor="text1"/>
        </w:rPr>
      </w:pPr>
      <w:r>
        <w:rPr>
          <w:color w:val="000000" w:themeColor="text1"/>
        </w:rPr>
        <w:t>The ESC noted that the costs and benefits were not linked within the model over time, and that this limited the usefulness of the model and any sensitivity analyses.</w:t>
      </w:r>
    </w:p>
    <w:p w:rsidR="00872ABD" w:rsidRPr="00780E25" w:rsidRDefault="00872ABD" w:rsidP="00104B3D">
      <w:pPr>
        <w:pStyle w:val="ListParagraph"/>
        <w:widowControl/>
        <w:rPr>
          <w:szCs w:val="22"/>
        </w:rPr>
      </w:pPr>
    </w:p>
    <w:p w:rsidR="00E16006" w:rsidRPr="00780E25" w:rsidRDefault="00E16006" w:rsidP="00EB1E21">
      <w:pPr>
        <w:pStyle w:val="ListParagraph"/>
        <w:widowControl/>
        <w:numPr>
          <w:ilvl w:val="1"/>
          <w:numId w:val="1"/>
        </w:numPr>
        <w:rPr>
          <w:szCs w:val="22"/>
        </w:rPr>
      </w:pPr>
      <w:r w:rsidRPr="00780E25">
        <w:rPr>
          <w:szCs w:val="22"/>
        </w:rPr>
        <w:t>The PBAC noted that the source of the utility values used in the economic model was a poster</w:t>
      </w:r>
      <w:r w:rsidR="00300431" w:rsidRPr="00780E25">
        <w:rPr>
          <w:szCs w:val="22"/>
        </w:rPr>
        <w:t xml:space="preserve"> presentation</w:t>
      </w:r>
      <w:r w:rsidR="002A7639" w:rsidRPr="00780E25">
        <w:t xml:space="preserve"> (</w:t>
      </w:r>
      <w:r w:rsidR="002A7639" w:rsidRPr="00780E25">
        <w:rPr>
          <w:szCs w:val="22"/>
        </w:rPr>
        <w:t>Wild et al 2006)</w:t>
      </w:r>
      <w:r w:rsidRPr="00780E25">
        <w:rPr>
          <w:szCs w:val="22"/>
        </w:rPr>
        <w:t xml:space="preserve">. The PBAC noted that </w:t>
      </w:r>
      <w:r w:rsidR="00300431" w:rsidRPr="00780E25">
        <w:rPr>
          <w:szCs w:val="22"/>
        </w:rPr>
        <w:t xml:space="preserve">the pre-progression and post-progression utilities in </w:t>
      </w:r>
      <w:r w:rsidRPr="00780E25">
        <w:rPr>
          <w:szCs w:val="22"/>
        </w:rPr>
        <w:t xml:space="preserve">Figure 2 </w:t>
      </w:r>
      <w:r w:rsidR="00300431" w:rsidRPr="00780E25">
        <w:rPr>
          <w:szCs w:val="22"/>
        </w:rPr>
        <w:t>of</w:t>
      </w:r>
      <w:r w:rsidRPr="00780E25">
        <w:rPr>
          <w:szCs w:val="22"/>
        </w:rPr>
        <w:t xml:space="preserve"> Wild et al </w:t>
      </w:r>
      <w:r w:rsidR="00300431" w:rsidRPr="00780E25">
        <w:rPr>
          <w:szCs w:val="22"/>
        </w:rPr>
        <w:t>were</w:t>
      </w:r>
      <w:r w:rsidRPr="00780E25">
        <w:rPr>
          <w:szCs w:val="22"/>
        </w:rPr>
        <w:t xml:space="preserve"> mislabelled. Wild et al grouped patients with follicular lymphoma into 5 disease states (newly diagnosed, active disease relapsed, partial response, remission-full response, and disease-free). Wild et al state</w:t>
      </w:r>
      <w:r w:rsidR="002A7639" w:rsidRPr="00780E25">
        <w:rPr>
          <w:szCs w:val="22"/>
        </w:rPr>
        <w:t>d</w:t>
      </w:r>
      <w:r w:rsidRPr="00780E25">
        <w:rPr>
          <w:szCs w:val="22"/>
        </w:rPr>
        <w:t xml:space="preserve"> that this was “following a literature review and discussion with clinical experts”, and that these 5 health states “correspond to the health state categorisation commonly employed in clinical trials of the condition”. In order for the utilities to fit a particular cost effectiveness model, Wild et al also grouped the categories to form two broader health states, which were described as the “macro health states” of pre-progression </w:t>
      </w:r>
      <w:r w:rsidR="002A7639" w:rsidRPr="00780E25">
        <w:rPr>
          <w:szCs w:val="22"/>
        </w:rPr>
        <w:t>and post-progression</w:t>
      </w:r>
      <w:r w:rsidRPr="00780E25">
        <w:rPr>
          <w:szCs w:val="22"/>
        </w:rPr>
        <w:t>.</w:t>
      </w:r>
      <w:r w:rsidR="00300431" w:rsidRPr="00780E25">
        <w:rPr>
          <w:szCs w:val="22"/>
        </w:rPr>
        <w:t xml:space="preserve"> The model structure for bendamustine used these two macro health states</w:t>
      </w:r>
      <w:r w:rsidR="002A7639" w:rsidRPr="00780E25">
        <w:rPr>
          <w:szCs w:val="22"/>
        </w:rPr>
        <w:t xml:space="preserve"> (‘progression free’ and ‘progressed disease’)</w:t>
      </w:r>
      <w:r w:rsidR="00300431" w:rsidRPr="00780E25">
        <w:rPr>
          <w:szCs w:val="22"/>
        </w:rPr>
        <w:t xml:space="preserve">, informed by the </w:t>
      </w:r>
      <w:r w:rsidR="002A7639" w:rsidRPr="00780E25">
        <w:rPr>
          <w:szCs w:val="22"/>
        </w:rPr>
        <w:t>W</w:t>
      </w:r>
      <w:r w:rsidR="00300431" w:rsidRPr="00780E25">
        <w:rPr>
          <w:szCs w:val="22"/>
        </w:rPr>
        <w:t xml:space="preserve">ild et al utilities. </w:t>
      </w:r>
    </w:p>
    <w:p w:rsidR="00E16006" w:rsidRPr="00780E25" w:rsidRDefault="00E16006" w:rsidP="00104B3D">
      <w:pPr>
        <w:pStyle w:val="ListParagraph"/>
        <w:widowControl/>
        <w:rPr>
          <w:szCs w:val="22"/>
        </w:rPr>
      </w:pPr>
    </w:p>
    <w:p w:rsidR="00104B3D" w:rsidRPr="00780E25" w:rsidRDefault="00104B3D" w:rsidP="00104B3D">
      <w:pPr>
        <w:widowControl/>
        <w:rPr>
          <w:szCs w:val="22"/>
          <w:u w:val="single"/>
        </w:rPr>
      </w:pPr>
      <w:r w:rsidRPr="00780E25">
        <w:rPr>
          <w:szCs w:val="22"/>
          <w:u w:val="single"/>
        </w:rPr>
        <w:t>Mantle Cell Lymphoma</w:t>
      </w:r>
    </w:p>
    <w:p w:rsidR="004C739A" w:rsidRPr="00673BDE" w:rsidRDefault="00E41C97" w:rsidP="00EB1E21">
      <w:pPr>
        <w:pStyle w:val="ListParagraph"/>
        <w:widowControl/>
        <w:numPr>
          <w:ilvl w:val="1"/>
          <w:numId w:val="1"/>
        </w:numPr>
        <w:rPr>
          <w:color w:val="000000" w:themeColor="text1"/>
        </w:rPr>
      </w:pPr>
      <w:r w:rsidRPr="00673BDE">
        <w:rPr>
          <w:color w:val="000000" w:themeColor="text1"/>
        </w:rPr>
        <w:t xml:space="preserve">A single economic evaluation was presented </w:t>
      </w:r>
      <w:r w:rsidR="00FC68BB" w:rsidRPr="00673BDE">
        <w:rPr>
          <w:color w:val="000000" w:themeColor="text1"/>
        </w:rPr>
        <w:t>for</w:t>
      </w:r>
      <w:r w:rsidRPr="00673BDE">
        <w:rPr>
          <w:color w:val="000000" w:themeColor="text1"/>
        </w:rPr>
        <w:t xml:space="preserve"> both iNHL and MCL. The ESC considered that</w:t>
      </w:r>
      <w:r w:rsidR="00FC68BB" w:rsidRPr="00673BDE">
        <w:rPr>
          <w:color w:val="000000" w:themeColor="text1"/>
        </w:rPr>
        <w:t xml:space="preserve"> combining the two disease states in a single model</w:t>
      </w:r>
      <w:r w:rsidRPr="00673BDE">
        <w:rPr>
          <w:color w:val="000000" w:themeColor="text1"/>
        </w:rPr>
        <w:t xml:space="preserve"> w</w:t>
      </w:r>
      <w:r w:rsidR="00BA5168">
        <w:rPr>
          <w:color w:val="000000" w:themeColor="text1"/>
        </w:rPr>
        <w:t xml:space="preserve">ould </w:t>
      </w:r>
      <w:r w:rsidR="004C739A" w:rsidRPr="00673BDE">
        <w:rPr>
          <w:color w:val="000000" w:themeColor="text1"/>
        </w:rPr>
        <w:t xml:space="preserve">not </w:t>
      </w:r>
      <w:r w:rsidR="00BA5168">
        <w:rPr>
          <w:color w:val="000000" w:themeColor="text1"/>
        </w:rPr>
        <w:t xml:space="preserve">be </w:t>
      </w:r>
      <w:r w:rsidR="004C739A" w:rsidRPr="00673BDE">
        <w:rPr>
          <w:color w:val="000000" w:themeColor="text1"/>
        </w:rPr>
        <w:t xml:space="preserve">appropriate </w:t>
      </w:r>
      <w:r w:rsidR="00A81B28" w:rsidRPr="00673BDE">
        <w:rPr>
          <w:color w:val="000000" w:themeColor="text1"/>
        </w:rPr>
        <w:t>if</w:t>
      </w:r>
      <w:r w:rsidRPr="00673BDE">
        <w:rPr>
          <w:color w:val="000000" w:themeColor="text1"/>
        </w:rPr>
        <w:t xml:space="preserve"> </w:t>
      </w:r>
      <w:r w:rsidR="004C739A" w:rsidRPr="00673BDE">
        <w:rPr>
          <w:color w:val="000000" w:themeColor="text1"/>
        </w:rPr>
        <w:t>there are substantial differences between the two conditions</w:t>
      </w:r>
      <w:r w:rsidR="00C474C0" w:rsidRPr="00673BDE">
        <w:rPr>
          <w:color w:val="000000" w:themeColor="text1"/>
        </w:rPr>
        <w:t xml:space="preserve">. </w:t>
      </w:r>
      <w:r w:rsidRPr="00673BDE">
        <w:rPr>
          <w:color w:val="000000" w:themeColor="text1"/>
        </w:rPr>
        <w:t xml:space="preserve">The ESC considered that this </w:t>
      </w:r>
      <w:r w:rsidR="00E8457F" w:rsidRPr="00673BDE">
        <w:rPr>
          <w:color w:val="000000" w:themeColor="text1"/>
        </w:rPr>
        <w:t xml:space="preserve">may </w:t>
      </w:r>
      <w:r w:rsidRPr="00673BDE">
        <w:rPr>
          <w:color w:val="000000" w:themeColor="text1"/>
        </w:rPr>
        <w:t>limit the potential usefulness of the model.</w:t>
      </w:r>
    </w:p>
    <w:p w:rsidR="00E41C97" w:rsidRPr="00673BDE" w:rsidRDefault="00E41C97" w:rsidP="00E41C97">
      <w:pPr>
        <w:pStyle w:val="ListParagraph"/>
        <w:rPr>
          <w:color w:val="000000" w:themeColor="text1"/>
        </w:rPr>
      </w:pPr>
    </w:p>
    <w:p w:rsidR="00E866F4" w:rsidRPr="00673BDE" w:rsidRDefault="00E866F4" w:rsidP="00EB1E21">
      <w:pPr>
        <w:pStyle w:val="ListParagraph"/>
        <w:widowControl/>
        <w:numPr>
          <w:ilvl w:val="1"/>
          <w:numId w:val="1"/>
        </w:numPr>
        <w:rPr>
          <w:color w:val="000000" w:themeColor="text1"/>
        </w:rPr>
      </w:pPr>
      <w:r w:rsidRPr="00673BDE">
        <w:rPr>
          <w:color w:val="000000" w:themeColor="text1"/>
        </w:rPr>
        <w:t xml:space="preserve">The submission attempted to account for this in sensitivity analyses by adjusting the hazard ratio to account for different proportions of patients with MCL. However, the ESC considered that this did not adequately account for </w:t>
      </w:r>
      <w:r w:rsidR="00A81B28" w:rsidRPr="00673BDE">
        <w:rPr>
          <w:color w:val="000000" w:themeColor="text1"/>
        </w:rPr>
        <w:t>other</w:t>
      </w:r>
      <w:r w:rsidRPr="00673BDE">
        <w:rPr>
          <w:color w:val="000000" w:themeColor="text1"/>
        </w:rPr>
        <w:t xml:space="preserve"> differences </w:t>
      </w:r>
      <w:r w:rsidR="00EE18A3" w:rsidRPr="00673BDE">
        <w:rPr>
          <w:color w:val="000000" w:themeColor="text1"/>
        </w:rPr>
        <w:t xml:space="preserve">in disease characteristics </w:t>
      </w:r>
      <w:r w:rsidRPr="00673BDE">
        <w:rPr>
          <w:color w:val="000000" w:themeColor="text1"/>
        </w:rPr>
        <w:t xml:space="preserve">between iNHL and MCL. The ESC noted that MCL </w:t>
      </w:r>
      <w:r w:rsidR="00EE18A3" w:rsidRPr="00673BDE">
        <w:rPr>
          <w:color w:val="000000" w:themeColor="text1"/>
        </w:rPr>
        <w:t>has a median overall survival of between 5 and 7 years.</w:t>
      </w:r>
      <w:r w:rsidR="004A6C8E" w:rsidRPr="00673BDE">
        <w:rPr>
          <w:rStyle w:val="FootnoteReference"/>
          <w:color w:val="000000" w:themeColor="text1"/>
        </w:rPr>
        <w:footnoteReference w:id="1"/>
      </w:r>
      <w:r w:rsidR="00EE18A3" w:rsidRPr="00673BDE">
        <w:rPr>
          <w:color w:val="000000" w:themeColor="text1"/>
        </w:rPr>
        <w:t xml:space="preserve"> Therefore </w:t>
      </w:r>
      <w:r w:rsidR="004A6C8E" w:rsidRPr="00673BDE">
        <w:rPr>
          <w:color w:val="000000" w:themeColor="text1"/>
        </w:rPr>
        <w:t>a shorter time horizon</w:t>
      </w:r>
      <w:r w:rsidR="00EE18A3" w:rsidRPr="00673BDE">
        <w:rPr>
          <w:color w:val="000000" w:themeColor="text1"/>
        </w:rPr>
        <w:t xml:space="preserve"> was tested in a univariate sensitivity analysis, for indicative purposes. </w:t>
      </w:r>
    </w:p>
    <w:p w:rsidR="004A6C8E" w:rsidRPr="00673BDE" w:rsidRDefault="004A6C8E" w:rsidP="004A6C8E">
      <w:pPr>
        <w:pStyle w:val="ListParagraph"/>
        <w:widowControl/>
        <w:rPr>
          <w:szCs w:val="22"/>
        </w:rPr>
      </w:pPr>
    </w:p>
    <w:p w:rsidR="004A6C8E" w:rsidRPr="00673BDE" w:rsidRDefault="004A6C8E" w:rsidP="00104B3D">
      <w:pPr>
        <w:keepNext/>
        <w:keepLines/>
        <w:ind w:left="720"/>
        <w:rPr>
          <w:rStyle w:val="CommentReference"/>
        </w:rPr>
      </w:pPr>
      <w:r w:rsidRPr="00673BDE">
        <w:rPr>
          <w:rStyle w:val="CommentReference"/>
        </w:rPr>
        <w:lastRenderedPageBreak/>
        <w:t>Sensitivity analyses of shorter time horizons that more accurately reflect Mantle Cell Lymphoma</w:t>
      </w:r>
    </w:p>
    <w:tbl>
      <w:tblPr>
        <w:tblStyle w:val="TableGrid2"/>
        <w:tblW w:w="4558" w:type="pct"/>
        <w:tblInd w:w="817" w:type="dxa"/>
        <w:tblLook w:val="04A0" w:firstRow="1" w:lastRow="0" w:firstColumn="1" w:lastColumn="0" w:noHBand="0" w:noVBand="1"/>
        <w:tblCaption w:val="Sensitivty analysis"/>
      </w:tblPr>
      <w:tblGrid>
        <w:gridCol w:w="5629"/>
        <w:gridCol w:w="2797"/>
      </w:tblGrid>
      <w:tr w:rsidR="004A6C8E" w:rsidRPr="00673BDE" w:rsidTr="00002004">
        <w:tc>
          <w:tcPr>
            <w:tcW w:w="3340" w:type="pct"/>
          </w:tcPr>
          <w:p w:rsidR="004A6C8E" w:rsidRPr="00673BDE" w:rsidRDefault="004A6C8E" w:rsidP="00104B3D">
            <w:pPr>
              <w:keepNext/>
              <w:keepLines/>
              <w:jc w:val="left"/>
              <w:rPr>
                <w:rFonts w:ascii="Arial Narrow" w:hAnsi="Arial Narrow"/>
                <w:b/>
                <w:sz w:val="20"/>
                <w:lang w:val="en-US"/>
              </w:rPr>
            </w:pPr>
            <w:r w:rsidRPr="00673BDE">
              <w:rPr>
                <w:rFonts w:ascii="Arial Narrow" w:hAnsi="Arial Narrow"/>
                <w:b/>
                <w:sz w:val="20"/>
                <w:lang w:val="en-US"/>
              </w:rPr>
              <w:t>Time Horizon</w:t>
            </w:r>
          </w:p>
        </w:tc>
        <w:tc>
          <w:tcPr>
            <w:tcW w:w="1660" w:type="pct"/>
          </w:tcPr>
          <w:p w:rsidR="004A6C8E" w:rsidRPr="00673BDE" w:rsidRDefault="004A6C8E" w:rsidP="00104B3D">
            <w:pPr>
              <w:keepNext/>
              <w:keepLines/>
              <w:jc w:val="left"/>
              <w:rPr>
                <w:rFonts w:ascii="Arial Narrow" w:hAnsi="Arial Narrow"/>
                <w:b/>
                <w:sz w:val="20"/>
                <w:lang w:val="en-US"/>
              </w:rPr>
            </w:pPr>
            <w:r w:rsidRPr="00673BDE">
              <w:rPr>
                <w:rFonts w:ascii="Arial Narrow" w:hAnsi="Arial Narrow"/>
                <w:b/>
                <w:sz w:val="20"/>
                <w:lang w:val="en-US"/>
              </w:rPr>
              <w:t>ICER/QALY</w:t>
            </w:r>
          </w:p>
        </w:tc>
      </w:tr>
      <w:tr w:rsidR="004A6C8E" w:rsidRPr="00673BDE" w:rsidTr="00002004">
        <w:tc>
          <w:tcPr>
            <w:tcW w:w="3340" w:type="pct"/>
          </w:tcPr>
          <w:p w:rsidR="004A6C8E" w:rsidRPr="00673BDE" w:rsidRDefault="004A6C8E" w:rsidP="00104B3D">
            <w:pPr>
              <w:keepNext/>
              <w:keepLines/>
              <w:jc w:val="left"/>
              <w:rPr>
                <w:rFonts w:ascii="Arial Narrow" w:hAnsi="Arial Narrow"/>
                <w:sz w:val="20"/>
                <w:lang w:val="en-US"/>
              </w:rPr>
            </w:pPr>
            <w:r w:rsidRPr="00673BDE">
              <w:rPr>
                <w:rFonts w:ascii="Arial Narrow" w:hAnsi="Arial Narrow"/>
                <w:sz w:val="20"/>
                <w:lang w:val="en-US"/>
              </w:rPr>
              <w:t>5 years</w:t>
            </w:r>
          </w:p>
        </w:tc>
        <w:tc>
          <w:tcPr>
            <w:tcW w:w="1660" w:type="pct"/>
          </w:tcPr>
          <w:p w:rsidR="004A6C8E" w:rsidRPr="007A3D6B" w:rsidRDefault="004A6C8E" w:rsidP="00927B52">
            <w:pPr>
              <w:keepNext/>
              <w:keepLines/>
              <w:jc w:val="left"/>
              <w:rPr>
                <w:rFonts w:ascii="Arial Narrow" w:hAnsi="Arial Narrow"/>
                <w:sz w:val="20"/>
                <w:lang w:val="en-US"/>
              </w:rPr>
            </w:pPr>
            <w:r w:rsidRPr="007A3D6B">
              <w:rPr>
                <w:rFonts w:ascii="Arial Narrow" w:hAnsi="Arial Narrow"/>
                <w:sz w:val="20"/>
                <w:lang w:val="en-US"/>
              </w:rPr>
              <w:t>$</w:t>
            </w:r>
            <w:r w:rsidR="00927B52" w:rsidRPr="00B12EA6">
              <w:rPr>
                <w:rFonts w:ascii="Arial Narrow" w:hAnsi="Arial Narrow"/>
                <w:sz w:val="20"/>
                <w:lang w:val="en-US"/>
              </w:rPr>
              <w:t>75,000/QALY - $105,000/QALY</w:t>
            </w:r>
          </w:p>
        </w:tc>
      </w:tr>
      <w:tr w:rsidR="004A6C8E" w:rsidRPr="00673BDE" w:rsidTr="00002004">
        <w:tc>
          <w:tcPr>
            <w:tcW w:w="3340" w:type="pct"/>
          </w:tcPr>
          <w:p w:rsidR="004A6C8E" w:rsidRPr="00673BDE" w:rsidRDefault="004A6C8E" w:rsidP="00104B3D">
            <w:pPr>
              <w:keepNext/>
              <w:keepLines/>
              <w:jc w:val="left"/>
              <w:rPr>
                <w:rFonts w:ascii="Arial Narrow" w:hAnsi="Arial Narrow"/>
                <w:sz w:val="20"/>
                <w:lang w:val="en-US"/>
              </w:rPr>
            </w:pPr>
            <w:r w:rsidRPr="00673BDE">
              <w:rPr>
                <w:rFonts w:ascii="Arial Narrow" w:hAnsi="Arial Narrow"/>
                <w:sz w:val="20"/>
                <w:lang w:val="en-US"/>
              </w:rPr>
              <w:t>7 years</w:t>
            </w:r>
          </w:p>
        </w:tc>
        <w:tc>
          <w:tcPr>
            <w:tcW w:w="1660" w:type="pct"/>
          </w:tcPr>
          <w:p w:rsidR="004A6C8E" w:rsidRPr="007A3D6B" w:rsidRDefault="004A6C8E" w:rsidP="00104B3D">
            <w:pPr>
              <w:keepNext/>
              <w:keepLines/>
              <w:jc w:val="left"/>
              <w:rPr>
                <w:rFonts w:ascii="Arial Narrow" w:hAnsi="Arial Narrow"/>
                <w:sz w:val="20"/>
                <w:lang w:val="en-US"/>
              </w:rPr>
            </w:pPr>
            <w:r w:rsidRPr="007A3D6B">
              <w:rPr>
                <w:rFonts w:ascii="Arial Narrow" w:hAnsi="Arial Narrow"/>
                <w:sz w:val="20"/>
                <w:lang w:val="en-US"/>
              </w:rPr>
              <w:t>$</w:t>
            </w:r>
            <w:r w:rsidR="00E5414A">
              <w:rPr>
                <w:rFonts w:ascii="Arial Narrow" w:hAnsi="Arial Narrow"/>
                <w:sz w:val="20"/>
                <w:lang w:val="en-US"/>
              </w:rPr>
              <w:t>45,000/QALY – $75,000/QALY</w:t>
            </w:r>
          </w:p>
        </w:tc>
      </w:tr>
    </w:tbl>
    <w:p w:rsidR="004A6C8E" w:rsidRPr="00673BDE" w:rsidRDefault="004A6C8E" w:rsidP="00104B3D">
      <w:pPr>
        <w:pStyle w:val="TableFooter"/>
        <w:keepNext/>
        <w:keepLines/>
        <w:ind w:left="720"/>
      </w:pPr>
      <w:r w:rsidRPr="00673BDE">
        <w:t xml:space="preserve">Source: compiled at the request of the ESC. The median progression-free period for patients with MCL is 20 months and the median overall survival is between 5 and </w:t>
      </w:r>
      <w:proofErr w:type="gramStart"/>
      <w:r w:rsidRPr="00673BDE">
        <w:t>7 years.</w:t>
      </w:r>
      <w:r w:rsidRPr="00673BDE">
        <w:rPr>
          <w:vertAlign w:val="superscript"/>
        </w:rPr>
        <w:t>1</w:t>
      </w:r>
      <w:proofErr w:type="gramEnd"/>
      <w:r w:rsidRPr="00673BDE">
        <w:t xml:space="preserve">  </w:t>
      </w:r>
    </w:p>
    <w:p w:rsidR="00E866F4" w:rsidRPr="00673BDE" w:rsidRDefault="00E866F4" w:rsidP="00E866F4">
      <w:pPr>
        <w:pStyle w:val="ListParagraph"/>
        <w:rPr>
          <w:color w:val="000000" w:themeColor="text1"/>
        </w:rPr>
      </w:pPr>
    </w:p>
    <w:p w:rsidR="00FC68BB" w:rsidRDefault="004A6C8E" w:rsidP="00EB1E21">
      <w:pPr>
        <w:pStyle w:val="ListParagraph"/>
        <w:widowControl/>
        <w:numPr>
          <w:ilvl w:val="1"/>
          <w:numId w:val="1"/>
        </w:numPr>
        <w:rPr>
          <w:color w:val="000000" w:themeColor="text1"/>
        </w:rPr>
      </w:pPr>
      <w:r w:rsidRPr="00673BDE">
        <w:rPr>
          <w:color w:val="000000" w:themeColor="text1"/>
        </w:rPr>
        <w:t>The</w:t>
      </w:r>
      <w:r w:rsidR="00FC68BB" w:rsidRPr="00673BDE">
        <w:rPr>
          <w:color w:val="000000" w:themeColor="text1"/>
        </w:rPr>
        <w:t xml:space="preserve"> ESC noted that</w:t>
      </w:r>
      <w:r w:rsidRPr="00673BDE">
        <w:rPr>
          <w:color w:val="000000" w:themeColor="text1"/>
        </w:rPr>
        <w:t xml:space="preserve"> other</w:t>
      </w:r>
      <w:r w:rsidR="00FC68BB" w:rsidRPr="00673BDE">
        <w:rPr>
          <w:color w:val="000000" w:themeColor="text1"/>
        </w:rPr>
        <w:t xml:space="preserve"> structural</w:t>
      </w:r>
      <w:r w:rsidR="00C97E32" w:rsidRPr="00673BDE">
        <w:rPr>
          <w:color w:val="000000" w:themeColor="text1"/>
        </w:rPr>
        <w:t>, methodological and content</w:t>
      </w:r>
      <w:r w:rsidR="00FC68BB" w:rsidRPr="00673BDE">
        <w:rPr>
          <w:color w:val="000000" w:themeColor="text1"/>
        </w:rPr>
        <w:t xml:space="preserve"> </w:t>
      </w:r>
      <w:r w:rsidR="00C97E32" w:rsidRPr="00673BDE">
        <w:rPr>
          <w:color w:val="000000" w:themeColor="text1"/>
        </w:rPr>
        <w:t xml:space="preserve">issues </w:t>
      </w:r>
      <w:r w:rsidR="00A81B28" w:rsidRPr="00673BDE">
        <w:rPr>
          <w:color w:val="000000" w:themeColor="text1"/>
        </w:rPr>
        <w:t>may</w:t>
      </w:r>
      <w:r w:rsidR="00104B3D" w:rsidRPr="00673BDE">
        <w:rPr>
          <w:color w:val="000000" w:themeColor="text1"/>
        </w:rPr>
        <w:t xml:space="preserve"> need to be taken into account in order to accurately assess the cost-effectiveness of B-R in MCL. </w:t>
      </w:r>
      <w:r w:rsidR="00EE18A3" w:rsidRPr="00673BDE">
        <w:rPr>
          <w:color w:val="000000" w:themeColor="text1"/>
        </w:rPr>
        <w:t xml:space="preserve">For example, other inputs </w:t>
      </w:r>
      <w:r w:rsidRPr="00673BDE">
        <w:rPr>
          <w:color w:val="000000" w:themeColor="text1"/>
        </w:rPr>
        <w:t xml:space="preserve">into the model are </w:t>
      </w:r>
      <w:r w:rsidR="00FC68BB" w:rsidRPr="00673BDE">
        <w:rPr>
          <w:color w:val="000000" w:themeColor="text1"/>
        </w:rPr>
        <w:t xml:space="preserve">based </w:t>
      </w:r>
      <w:r w:rsidR="00FC68BB" w:rsidRPr="00236268">
        <w:rPr>
          <w:color w:val="000000" w:themeColor="text1"/>
        </w:rPr>
        <w:t xml:space="preserve">on the pooled data for all </w:t>
      </w:r>
      <w:r w:rsidRPr="00236268">
        <w:rPr>
          <w:color w:val="000000" w:themeColor="text1"/>
        </w:rPr>
        <w:t xml:space="preserve">the NHL </w:t>
      </w:r>
      <w:r w:rsidR="00FC68BB" w:rsidRPr="00236268">
        <w:rPr>
          <w:color w:val="000000" w:themeColor="text1"/>
        </w:rPr>
        <w:t>subtypes</w:t>
      </w:r>
      <w:r w:rsidRPr="00236268">
        <w:rPr>
          <w:color w:val="000000" w:themeColor="text1"/>
        </w:rPr>
        <w:t xml:space="preserve"> that were enrolled in the </w:t>
      </w:r>
      <w:proofErr w:type="spellStart"/>
      <w:r w:rsidRPr="00236268">
        <w:rPr>
          <w:color w:val="000000" w:themeColor="text1"/>
        </w:rPr>
        <w:t>StiL</w:t>
      </w:r>
      <w:proofErr w:type="spellEnd"/>
      <w:r w:rsidRPr="00236268">
        <w:rPr>
          <w:color w:val="000000" w:themeColor="text1"/>
        </w:rPr>
        <w:t xml:space="preserve"> trial. In particular, the model transition probabilities are based on pooled Kaplan-Meier estimates of PFS. The ESC noted that if </w:t>
      </w:r>
      <w:r w:rsidR="00E8457F" w:rsidRPr="00236268">
        <w:rPr>
          <w:color w:val="000000" w:themeColor="text1"/>
        </w:rPr>
        <w:t xml:space="preserve">the </w:t>
      </w:r>
      <w:r w:rsidRPr="00236268">
        <w:rPr>
          <w:color w:val="000000" w:themeColor="text1"/>
        </w:rPr>
        <w:t xml:space="preserve">PFS </w:t>
      </w:r>
      <w:r w:rsidR="00E8457F" w:rsidRPr="00236268">
        <w:rPr>
          <w:color w:val="000000" w:themeColor="text1"/>
        </w:rPr>
        <w:t xml:space="preserve">for the MCL sub-group </w:t>
      </w:r>
      <w:r w:rsidR="00FC68BB" w:rsidRPr="00236268">
        <w:rPr>
          <w:color w:val="000000" w:themeColor="text1"/>
        </w:rPr>
        <w:t xml:space="preserve">could be used, the cost-effectiveness </w:t>
      </w:r>
      <w:r w:rsidRPr="00236268">
        <w:rPr>
          <w:color w:val="000000" w:themeColor="text1"/>
        </w:rPr>
        <w:t xml:space="preserve">may improve, </w:t>
      </w:r>
      <w:r w:rsidR="00FC68BB" w:rsidRPr="00236268">
        <w:rPr>
          <w:color w:val="000000" w:themeColor="text1"/>
        </w:rPr>
        <w:t xml:space="preserve">even </w:t>
      </w:r>
      <w:r w:rsidRPr="00236268">
        <w:rPr>
          <w:color w:val="000000" w:themeColor="text1"/>
        </w:rPr>
        <w:t xml:space="preserve">with the </w:t>
      </w:r>
      <w:r w:rsidR="00FC68BB" w:rsidRPr="00236268">
        <w:rPr>
          <w:color w:val="000000" w:themeColor="text1"/>
        </w:rPr>
        <w:t xml:space="preserve">shorter time horizons. </w:t>
      </w:r>
    </w:p>
    <w:p w:rsidR="00395A88" w:rsidRPr="00780E25" w:rsidRDefault="00395A88" w:rsidP="00395A88">
      <w:pPr>
        <w:pStyle w:val="ListParagraph"/>
        <w:widowControl/>
      </w:pPr>
    </w:p>
    <w:p w:rsidR="00395A88" w:rsidRPr="00780E25" w:rsidRDefault="00395A88" w:rsidP="00EB1E21">
      <w:pPr>
        <w:pStyle w:val="ListParagraph"/>
        <w:widowControl/>
        <w:numPr>
          <w:ilvl w:val="1"/>
          <w:numId w:val="1"/>
        </w:numPr>
      </w:pPr>
      <w:r w:rsidRPr="00780E25">
        <w:t xml:space="preserve">The Pre-PBAC response </w:t>
      </w:r>
      <w:r w:rsidR="00CC4F4D" w:rsidRPr="00780E25">
        <w:t>stat</w:t>
      </w:r>
      <w:r w:rsidRPr="00780E25">
        <w:t>ed that this approach was biased against B-R because it did not capture all the consequences</w:t>
      </w:r>
      <w:r w:rsidR="00CC4F4D" w:rsidRPr="00780E25">
        <w:t xml:space="preserve"> of treatment with bendamustine</w:t>
      </w:r>
      <w:r w:rsidRPr="00780E25">
        <w:t xml:space="preserve">.  </w:t>
      </w:r>
    </w:p>
    <w:p w:rsidR="00525103" w:rsidRPr="00780E25" w:rsidRDefault="00525103" w:rsidP="00FC68BB">
      <w:pPr>
        <w:pStyle w:val="ListParagraph"/>
      </w:pPr>
    </w:p>
    <w:p w:rsidR="00525103" w:rsidRPr="00236268" w:rsidRDefault="00525103" w:rsidP="00FC68BB">
      <w:pPr>
        <w:pStyle w:val="ListParagraph"/>
        <w:rPr>
          <w:color w:val="000000" w:themeColor="text1"/>
        </w:rPr>
      </w:pPr>
    </w:p>
    <w:p w:rsidR="00320373" w:rsidRPr="00236268" w:rsidRDefault="00320373" w:rsidP="004C0A1A">
      <w:pPr>
        <w:pStyle w:val="Heading2"/>
      </w:pPr>
      <w:bookmarkStart w:id="20" w:name="_Toc409442448"/>
      <w:r w:rsidRPr="00236268">
        <w:t>Drug cost/patient/</w:t>
      </w:r>
      <w:r w:rsidR="00C25D9C" w:rsidRPr="00236268">
        <w:t>course/year</w:t>
      </w:r>
      <w:r w:rsidRPr="00236268">
        <w:t>: $</w:t>
      </w:r>
      <w:r w:rsidR="009B4D1B">
        <w:rPr>
          <w:noProof/>
          <w:color w:val="000000"/>
          <w:highlight w:val="black"/>
        </w:rPr>
        <w:t>''''''''''''</w:t>
      </w:r>
      <w:r w:rsidRPr="007A3D6B">
        <w:t xml:space="preserve"> (iNHL/MCL), $</w:t>
      </w:r>
      <w:r w:rsidR="009B4D1B">
        <w:rPr>
          <w:noProof/>
          <w:color w:val="000000"/>
          <w:highlight w:val="black"/>
        </w:rPr>
        <w:t>''''''''''''''</w:t>
      </w:r>
      <w:r w:rsidRPr="007A3D6B">
        <w:t xml:space="preserve"> (monotherapy).</w:t>
      </w:r>
      <w:bookmarkEnd w:id="20"/>
    </w:p>
    <w:p w:rsidR="00C25D9C" w:rsidRPr="00236268" w:rsidRDefault="00C25D9C" w:rsidP="0052717B">
      <w:pPr>
        <w:pStyle w:val="BodyText"/>
      </w:pPr>
    </w:p>
    <w:p w:rsidR="00AA1262" w:rsidRPr="00236268" w:rsidRDefault="00AA1262" w:rsidP="00EB1E21">
      <w:pPr>
        <w:pStyle w:val="ListParagraph"/>
        <w:keepNext/>
        <w:keepLines/>
        <w:widowControl/>
        <w:numPr>
          <w:ilvl w:val="1"/>
          <w:numId w:val="1"/>
        </w:numPr>
        <w:rPr>
          <w:szCs w:val="22"/>
        </w:rPr>
      </w:pPr>
      <w:r w:rsidRPr="00236268">
        <w:rPr>
          <w:color w:val="000000" w:themeColor="text1"/>
          <w:szCs w:val="22"/>
        </w:rPr>
        <w:t xml:space="preserve">For previously untreated iNHL and MCL: </w:t>
      </w:r>
      <w:r w:rsidR="00320373" w:rsidRPr="00236268">
        <w:rPr>
          <w:color w:val="000000" w:themeColor="text1"/>
          <w:szCs w:val="22"/>
        </w:rPr>
        <w:t xml:space="preserve">The total cost per patient per course </w:t>
      </w:r>
      <w:r w:rsidRPr="00236268">
        <w:rPr>
          <w:color w:val="000000" w:themeColor="text1"/>
          <w:szCs w:val="22"/>
        </w:rPr>
        <w:t>wa</w:t>
      </w:r>
      <w:r w:rsidR="00320373" w:rsidRPr="00236268">
        <w:rPr>
          <w:color w:val="000000" w:themeColor="text1"/>
          <w:szCs w:val="22"/>
        </w:rPr>
        <w:t>s estimated to be $</w:t>
      </w:r>
      <w:r w:rsidR="009B4D1B">
        <w:rPr>
          <w:noProof/>
          <w:color w:val="000000"/>
          <w:szCs w:val="22"/>
          <w:highlight w:val="black"/>
        </w:rPr>
        <w:t>'''''''''''''''</w:t>
      </w:r>
      <w:r w:rsidR="00320373" w:rsidRPr="007A3D6B">
        <w:rPr>
          <w:color w:val="000000" w:themeColor="text1"/>
          <w:szCs w:val="22"/>
        </w:rPr>
        <w:t xml:space="preserve"> for B-R, $</w:t>
      </w:r>
      <w:r w:rsidR="009B4D1B">
        <w:rPr>
          <w:noProof/>
          <w:color w:val="000000"/>
          <w:szCs w:val="22"/>
          <w:highlight w:val="black"/>
        </w:rPr>
        <w:t>'''''''''''''''</w:t>
      </w:r>
      <w:r w:rsidR="00320373" w:rsidRPr="007A3D6B">
        <w:rPr>
          <w:color w:val="000000" w:themeColor="text1"/>
          <w:szCs w:val="22"/>
        </w:rPr>
        <w:t xml:space="preserve"> for R-CHOP and $</w:t>
      </w:r>
      <w:r w:rsidR="009B4D1B">
        <w:rPr>
          <w:noProof/>
          <w:color w:val="000000"/>
          <w:szCs w:val="22"/>
          <w:highlight w:val="black"/>
        </w:rPr>
        <w:t>''''''''''''''''''</w:t>
      </w:r>
      <w:r w:rsidR="00320373" w:rsidRPr="00236268">
        <w:rPr>
          <w:color w:val="000000" w:themeColor="text1"/>
          <w:szCs w:val="22"/>
        </w:rPr>
        <w:t xml:space="preserve"> for R</w:t>
      </w:r>
      <w:r w:rsidR="002C4454" w:rsidRPr="00236268">
        <w:rPr>
          <w:color w:val="000000" w:themeColor="text1"/>
          <w:szCs w:val="22"/>
        </w:rPr>
        <w:noBreakHyphen/>
      </w:r>
      <w:r w:rsidR="00320373" w:rsidRPr="00236268">
        <w:rPr>
          <w:color w:val="000000" w:themeColor="text1"/>
          <w:szCs w:val="22"/>
        </w:rPr>
        <w:t xml:space="preserve">CVP. These costs </w:t>
      </w:r>
      <w:r w:rsidRPr="00236268">
        <w:rPr>
          <w:color w:val="000000" w:themeColor="text1"/>
          <w:szCs w:val="22"/>
        </w:rPr>
        <w:t>were</w:t>
      </w:r>
      <w:r w:rsidR="00320373" w:rsidRPr="00236268">
        <w:rPr>
          <w:color w:val="000000" w:themeColor="text1"/>
          <w:szCs w:val="22"/>
        </w:rPr>
        <w:t xml:space="preserve"> based on an average BSA of 1.8 kg/m</w:t>
      </w:r>
      <w:r w:rsidR="00320373" w:rsidRPr="00236268">
        <w:rPr>
          <w:color w:val="000000" w:themeColor="text1"/>
          <w:szCs w:val="22"/>
          <w:vertAlign w:val="superscript"/>
        </w:rPr>
        <w:t>2</w:t>
      </w:r>
      <w:r w:rsidR="00320373" w:rsidRPr="00236268">
        <w:rPr>
          <w:color w:val="000000" w:themeColor="text1"/>
          <w:szCs w:val="22"/>
        </w:rPr>
        <w:t xml:space="preserve"> </w:t>
      </w:r>
      <w:r w:rsidRPr="00236268">
        <w:rPr>
          <w:color w:val="000000" w:themeColor="text1"/>
          <w:szCs w:val="22"/>
        </w:rPr>
        <w:t>and</w:t>
      </w:r>
      <w:r w:rsidR="00320373" w:rsidRPr="00236268">
        <w:rPr>
          <w:color w:val="000000" w:themeColor="text1"/>
          <w:szCs w:val="22"/>
        </w:rPr>
        <w:t xml:space="preserve"> an average number of cycles of 5.58, 5.63 and 6 for B-R, R-CHOP and R-CVP respectively.</w:t>
      </w:r>
      <w:r w:rsidR="00320373" w:rsidRPr="00236268">
        <w:rPr>
          <w:color w:val="3366FF"/>
          <w:szCs w:val="22"/>
        </w:rPr>
        <w:t xml:space="preserve">  </w:t>
      </w:r>
    </w:p>
    <w:p w:rsidR="00AA1262" w:rsidRPr="00236268" w:rsidRDefault="00AA1262" w:rsidP="00AA1262">
      <w:pPr>
        <w:pStyle w:val="ListParagraph"/>
        <w:keepNext/>
        <w:keepLines/>
        <w:widowControl/>
        <w:rPr>
          <w:szCs w:val="22"/>
        </w:rPr>
      </w:pPr>
    </w:p>
    <w:p w:rsidR="00320373" w:rsidRPr="00236268" w:rsidRDefault="00AA1262" w:rsidP="00EB1E21">
      <w:pPr>
        <w:pStyle w:val="ListParagraph"/>
        <w:keepNext/>
        <w:keepLines/>
        <w:widowControl/>
        <w:numPr>
          <w:ilvl w:val="1"/>
          <w:numId w:val="1"/>
        </w:numPr>
        <w:rPr>
          <w:szCs w:val="22"/>
        </w:rPr>
      </w:pPr>
      <w:r w:rsidRPr="00236268">
        <w:rPr>
          <w:color w:val="000000" w:themeColor="text1"/>
          <w:szCs w:val="22"/>
        </w:rPr>
        <w:t>Rituximab-refractory iNHL:</w:t>
      </w:r>
      <w:r w:rsidR="002C4454" w:rsidRPr="00236268">
        <w:rPr>
          <w:color w:val="000000" w:themeColor="text1"/>
          <w:szCs w:val="22"/>
        </w:rPr>
        <w:t xml:space="preserve"> </w:t>
      </w:r>
      <w:r w:rsidR="00320373" w:rsidRPr="00236268">
        <w:rPr>
          <w:color w:val="000000" w:themeColor="text1"/>
          <w:szCs w:val="22"/>
        </w:rPr>
        <w:t>The total cost per patient is $</w:t>
      </w:r>
      <w:r w:rsidR="009B4D1B">
        <w:rPr>
          <w:noProof/>
          <w:color w:val="000000"/>
          <w:szCs w:val="22"/>
          <w:highlight w:val="black"/>
        </w:rPr>
        <w:t>''''''''''''''''</w:t>
      </w:r>
      <w:r w:rsidR="00320373" w:rsidRPr="00236268">
        <w:rPr>
          <w:color w:val="000000" w:themeColor="text1"/>
          <w:szCs w:val="22"/>
        </w:rPr>
        <w:t xml:space="preserve"> based on </w:t>
      </w:r>
      <w:r w:rsidRPr="00236268">
        <w:rPr>
          <w:color w:val="000000" w:themeColor="text1"/>
          <w:szCs w:val="22"/>
        </w:rPr>
        <w:t xml:space="preserve">bendamustine </w:t>
      </w:r>
      <w:r w:rsidR="00320373" w:rsidRPr="00236268">
        <w:rPr>
          <w:color w:val="000000" w:themeColor="text1"/>
          <w:szCs w:val="22"/>
        </w:rPr>
        <w:t>monotherapy for an average of 6 cycles.</w:t>
      </w:r>
      <w:r w:rsidR="00320373" w:rsidRPr="00236268">
        <w:rPr>
          <w:color w:val="3366FF"/>
          <w:szCs w:val="22"/>
        </w:rPr>
        <w:t xml:space="preserve"> </w:t>
      </w:r>
    </w:p>
    <w:p w:rsidR="00B60939" w:rsidRPr="00236268" w:rsidRDefault="00B60939" w:rsidP="001456B0">
      <w:pPr>
        <w:rPr>
          <w:szCs w:val="22"/>
        </w:rPr>
      </w:pPr>
    </w:p>
    <w:p w:rsidR="00B60939" w:rsidRPr="00236268" w:rsidRDefault="00B60939" w:rsidP="004C0A1A">
      <w:pPr>
        <w:pStyle w:val="Heading2"/>
      </w:pPr>
      <w:bookmarkStart w:id="21" w:name="_Toc409442449"/>
      <w:r w:rsidRPr="00236268">
        <w:t>Estimated PBS usage &amp; financial implications</w:t>
      </w:r>
      <w:bookmarkEnd w:id="21"/>
    </w:p>
    <w:p w:rsidR="00B60939" w:rsidRPr="00236268" w:rsidRDefault="00B60939" w:rsidP="00B60939">
      <w:pPr>
        <w:ind w:left="720" w:hanging="720"/>
        <w:rPr>
          <w:b/>
          <w:szCs w:val="22"/>
        </w:rPr>
      </w:pPr>
    </w:p>
    <w:p w:rsidR="002D478E" w:rsidRPr="002D478E" w:rsidRDefault="002D478E" w:rsidP="00EB1E21">
      <w:pPr>
        <w:pStyle w:val="ListParagraph"/>
        <w:numPr>
          <w:ilvl w:val="1"/>
          <w:numId w:val="1"/>
        </w:numPr>
        <w:rPr>
          <w:color w:val="000000" w:themeColor="text1"/>
        </w:rPr>
      </w:pPr>
      <w:r w:rsidRPr="002D478E">
        <w:rPr>
          <w:color w:val="000000" w:themeColor="text1"/>
        </w:rPr>
        <w:t xml:space="preserve">The submission </w:t>
      </w:r>
      <w:r w:rsidR="00ED3C80">
        <w:rPr>
          <w:color w:val="000000" w:themeColor="text1"/>
        </w:rPr>
        <w:t>us</w:t>
      </w:r>
      <w:r w:rsidRPr="002D478E">
        <w:rPr>
          <w:color w:val="000000" w:themeColor="text1"/>
        </w:rPr>
        <w:t>ed an epidemiological incidence approach to estimate the utilisation and financial imp</w:t>
      </w:r>
      <w:r w:rsidR="00ED3C80">
        <w:rPr>
          <w:color w:val="000000" w:themeColor="text1"/>
        </w:rPr>
        <w:t xml:space="preserve">lications associated with the requested PBS </w:t>
      </w:r>
      <w:r w:rsidRPr="002D478E">
        <w:rPr>
          <w:color w:val="000000" w:themeColor="text1"/>
        </w:rPr>
        <w:t xml:space="preserve">listing </w:t>
      </w:r>
      <w:r w:rsidR="00ED3C80">
        <w:rPr>
          <w:color w:val="000000" w:themeColor="text1"/>
        </w:rPr>
        <w:t>of bendamustine</w:t>
      </w:r>
      <w:r w:rsidRPr="002D478E">
        <w:rPr>
          <w:color w:val="000000" w:themeColor="text1"/>
        </w:rPr>
        <w:t xml:space="preserve">. </w:t>
      </w:r>
    </w:p>
    <w:p w:rsidR="002D478E" w:rsidRDefault="002D478E" w:rsidP="002D478E">
      <w:pPr>
        <w:pStyle w:val="ListParagraph"/>
        <w:rPr>
          <w:szCs w:val="22"/>
        </w:rPr>
      </w:pPr>
    </w:p>
    <w:p w:rsidR="00ED3C80" w:rsidRPr="00ED3C80" w:rsidRDefault="00ED3C80" w:rsidP="00ED3C80">
      <w:pPr>
        <w:pStyle w:val="ListParagraph"/>
        <w:numPr>
          <w:ilvl w:val="1"/>
          <w:numId w:val="1"/>
        </w:numPr>
        <w:rPr>
          <w:szCs w:val="22"/>
        </w:rPr>
      </w:pPr>
      <w:r w:rsidRPr="00ED3C80">
        <w:rPr>
          <w:szCs w:val="22"/>
        </w:rPr>
        <w:t>The submission was considered by the DUSC. The main i</w:t>
      </w:r>
      <w:r>
        <w:rPr>
          <w:szCs w:val="22"/>
        </w:rPr>
        <w:t xml:space="preserve">ssues identified by the DUSC in relation to the previously untreated </w:t>
      </w:r>
      <w:r w:rsidR="000C064F">
        <w:rPr>
          <w:szCs w:val="22"/>
        </w:rPr>
        <w:t xml:space="preserve">iNHL and MCL </w:t>
      </w:r>
      <w:r>
        <w:rPr>
          <w:szCs w:val="22"/>
        </w:rPr>
        <w:t>indications were:</w:t>
      </w:r>
    </w:p>
    <w:p w:rsidR="00ED3C80" w:rsidRDefault="00ED3C80" w:rsidP="00ED3C80">
      <w:pPr>
        <w:pStyle w:val="ListParagraph"/>
        <w:widowControl/>
        <w:rPr>
          <w:szCs w:val="22"/>
        </w:rPr>
      </w:pPr>
    </w:p>
    <w:p w:rsidR="00E271F6" w:rsidRPr="00E271F6" w:rsidRDefault="00E271F6" w:rsidP="00ED3C80">
      <w:pPr>
        <w:pStyle w:val="ListParagraph"/>
        <w:widowControl/>
        <w:numPr>
          <w:ilvl w:val="0"/>
          <w:numId w:val="6"/>
        </w:numPr>
        <w:rPr>
          <w:szCs w:val="22"/>
        </w:rPr>
      </w:pPr>
      <w:r w:rsidRPr="00E271F6">
        <w:rPr>
          <w:szCs w:val="22"/>
        </w:rPr>
        <w:t xml:space="preserve">DUSC considered that a prevalence approach would have been preferable to the incidence approach taken particularly in year 1 of listing. DUSC was convinced that there would be a prevalent pool of patients awaiting treatment, due to the chronic and relapsing-remitting nature of the disease. The patient numbers </w:t>
      </w:r>
      <w:r w:rsidR="00731336">
        <w:rPr>
          <w:szCs w:val="22"/>
        </w:rPr>
        <w:t>we</w:t>
      </w:r>
      <w:r w:rsidRPr="00E271F6">
        <w:rPr>
          <w:szCs w:val="22"/>
        </w:rPr>
        <w:t>re therefore likely to be underestimated</w:t>
      </w:r>
      <w:r w:rsidR="00ED3C80">
        <w:rPr>
          <w:szCs w:val="22"/>
        </w:rPr>
        <w:t>.</w:t>
      </w:r>
      <w:r w:rsidRPr="00E271F6">
        <w:rPr>
          <w:szCs w:val="22"/>
        </w:rPr>
        <w:t xml:space="preserve"> </w:t>
      </w:r>
    </w:p>
    <w:p w:rsidR="00BA5168" w:rsidRDefault="00BA5168" w:rsidP="00BA5168">
      <w:pPr>
        <w:pStyle w:val="ListParagraph"/>
        <w:widowControl/>
        <w:rPr>
          <w:szCs w:val="22"/>
        </w:rPr>
      </w:pPr>
    </w:p>
    <w:p w:rsidR="00E271F6" w:rsidRPr="00E271F6" w:rsidRDefault="00E271F6" w:rsidP="00ED3C80">
      <w:pPr>
        <w:pStyle w:val="ListParagraph"/>
        <w:widowControl/>
        <w:numPr>
          <w:ilvl w:val="0"/>
          <w:numId w:val="6"/>
        </w:numPr>
        <w:rPr>
          <w:szCs w:val="22"/>
        </w:rPr>
      </w:pPr>
      <w:r w:rsidRPr="00E271F6">
        <w:rPr>
          <w:szCs w:val="22"/>
        </w:rPr>
        <w:t xml:space="preserve">DUSC considered the linear incidence projections were not appropriate for all of the disease subtypes, particularly in relation to MCL, </w:t>
      </w:r>
      <w:proofErr w:type="spellStart"/>
      <w:r w:rsidRPr="00E271F6">
        <w:rPr>
          <w:szCs w:val="22"/>
        </w:rPr>
        <w:t>Waldenstrom’s</w:t>
      </w:r>
      <w:proofErr w:type="spellEnd"/>
      <w:r w:rsidRPr="00E271F6">
        <w:rPr>
          <w:szCs w:val="22"/>
        </w:rPr>
        <w:t xml:space="preserve"> </w:t>
      </w:r>
      <w:proofErr w:type="spellStart"/>
      <w:r w:rsidRPr="00E271F6">
        <w:rPr>
          <w:szCs w:val="22"/>
        </w:rPr>
        <w:t>macroglobulinaemia</w:t>
      </w:r>
      <w:proofErr w:type="spellEnd"/>
      <w:r w:rsidRPr="00E271F6">
        <w:rPr>
          <w:szCs w:val="22"/>
        </w:rPr>
        <w:t xml:space="preserve"> </w:t>
      </w:r>
      <w:r w:rsidR="00ED3C80">
        <w:rPr>
          <w:szCs w:val="22"/>
        </w:rPr>
        <w:t>and small lymphocytic leukaemia.</w:t>
      </w:r>
    </w:p>
    <w:p w:rsidR="00BA5168" w:rsidRDefault="00BA5168" w:rsidP="00BA5168">
      <w:pPr>
        <w:pStyle w:val="ListParagraph"/>
        <w:widowControl/>
        <w:rPr>
          <w:szCs w:val="22"/>
        </w:rPr>
      </w:pPr>
    </w:p>
    <w:p w:rsidR="00E271F6" w:rsidRPr="00E271F6" w:rsidRDefault="00E271F6" w:rsidP="00ED3C80">
      <w:pPr>
        <w:pStyle w:val="ListParagraph"/>
        <w:widowControl/>
        <w:numPr>
          <w:ilvl w:val="0"/>
          <w:numId w:val="6"/>
        </w:numPr>
        <w:rPr>
          <w:szCs w:val="22"/>
        </w:rPr>
      </w:pPr>
      <w:r w:rsidRPr="00E271F6">
        <w:rPr>
          <w:szCs w:val="22"/>
        </w:rPr>
        <w:t xml:space="preserve">DUSC expected that patients may cycle through all of the available treatments, such that bendamustine would delay rather than substitute R-CHOP or R-CVP. Therefore the DUSC considered that attributing market share proportions of the </w:t>
      </w:r>
      <w:r w:rsidRPr="00E271F6">
        <w:rPr>
          <w:szCs w:val="22"/>
        </w:rPr>
        <w:lastRenderedPageBreak/>
        <w:t xml:space="preserve">eligible population </w:t>
      </w:r>
      <w:r w:rsidR="00731336">
        <w:rPr>
          <w:szCs w:val="22"/>
        </w:rPr>
        <w:t>wa</w:t>
      </w:r>
      <w:r w:rsidRPr="00E271F6">
        <w:rPr>
          <w:szCs w:val="22"/>
        </w:rPr>
        <w:t>s not appropriate, when all eligible patients may try bendamustine;</w:t>
      </w:r>
    </w:p>
    <w:p w:rsidR="00BA5168" w:rsidRDefault="00BA5168" w:rsidP="00BA5168">
      <w:pPr>
        <w:pStyle w:val="ListParagraph"/>
        <w:widowControl/>
        <w:rPr>
          <w:szCs w:val="22"/>
        </w:rPr>
      </w:pPr>
    </w:p>
    <w:p w:rsidR="00E271F6" w:rsidRPr="00E271F6" w:rsidRDefault="00E271F6" w:rsidP="00ED3C80">
      <w:pPr>
        <w:pStyle w:val="ListParagraph"/>
        <w:widowControl/>
        <w:numPr>
          <w:ilvl w:val="0"/>
          <w:numId w:val="6"/>
        </w:numPr>
        <w:rPr>
          <w:szCs w:val="22"/>
        </w:rPr>
      </w:pPr>
      <w:r w:rsidRPr="00E271F6">
        <w:rPr>
          <w:szCs w:val="22"/>
        </w:rPr>
        <w:t>Rituximab maintenance was not included;</w:t>
      </w:r>
    </w:p>
    <w:p w:rsidR="00BA5168" w:rsidRDefault="00BA5168" w:rsidP="00BA5168">
      <w:pPr>
        <w:pStyle w:val="ListParagraph"/>
        <w:widowControl/>
        <w:rPr>
          <w:szCs w:val="22"/>
        </w:rPr>
      </w:pPr>
    </w:p>
    <w:p w:rsidR="00E271F6" w:rsidRPr="00E271F6" w:rsidRDefault="00E271F6" w:rsidP="00ED3C80">
      <w:pPr>
        <w:pStyle w:val="ListParagraph"/>
        <w:widowControl/>
        <w:numPr>
          <w:ilvl w:val="0"/>
          <w:numId w:val="6"/>
        </w:numPr>
        <w:rPr>
          <w:szCs w:val="22"/>
        </w:rPr>
      </w:pPr>
      <w:r w:rsidRPr="00E271F6">
        <w:rPr>
          <w:szCs w:val="22"/>
        </w:rPr>
        <w:t>There is potential for bendamustine to be used outside the requested restriction; including treatment as a second line and subsequent lines of therapy, use in rituximab-refractory MCL patients and leakage to CLL patients; and</w:t>
      </w:r>
    </w:p>
    <w:p w:rsidR="00BA5168" w:rsidRDefault="00BA5168" w:rsidP="00BA5168">
      <w:pPr>
        <w:pStyle w:val="ListParagraph"/>
        <w:widowControl/>
        <w:rPr>
          <w:szCs w:val="22"/>
        </w:rPr>
      </w:pPr>
    </w:p>
    <w:p w:rsidR="00E271F6" w:rsidRDefault="00E271F6" w:rsidP="00ED3C80">
      <w:pPr>
        <w:pStyle w:val="ListParagraph"/>
        <w:widowControl/>
        <w:numPr>
          <w:ilvl w:val="0"/>
          <w:numId w:val="6"/>
        </w:numPr>
        <w:rPr>
          <w:szCs w:val="22"/>
        </w:rPr>
      </w:pPr>
      <w:r w:rsidRPr="00E271F6">
        <w:rPr>
          <w:szCs w:val="22"/>
        </w:rPr>
        <w:t xml:space="preserve">Wastage of vials was not considered. </w:t>
      </w:r>
    </w:p>
    <w:p w:rsidR="00ED3C80" w:rsidRPr="00ED3C80" w:rsidRDefault="00ED3C80" w:rsidP="00ED3C80">
      <w:pPr>
        <w:pStyle w:val="ListParagraph"/>
        <w:rPr>
          <w:szCs w:val="22"/>
        </w:rPr>
      </w:pPr>
    </w:p>
    <w:p w:rsidR="00292C80" w:rsidRPr="00292C80" w:rsidRDefault="00ED3C80" w:rsidP="00292C80">
      <w:pPr>
        <w:pStyle w:val="ListParagraph"/>
        <w:numPr>
          <w:ilvl w:val="1"/>
          <w:numId w:val="1"/>
        </w:numPr>
        <w:rPr>
          <w:szCs w:val="22"/>
        </w:rPr>
      </w:pPr>
      <w:r>
        <w:rPr>
          <w:szCs w:val="22"/>
        </w:rPr>
        <w:t>The submission estimated use and financial implications for the</w:t>
      </w:r>
      <w:r w:rsidRPr="00ED3C80">
        <w:t xml:space="preserve"> </w:t>
      </w:r>
      <w:r w:rsidRPr="00ED3C80">
        <w:rPr>
          <w:szCs w:val="22"/>
        </w:rPr>
        <w:t>previ</w:t>
      </w:r>
      <w:r>
        <w:rPr>
          <w:szCs w:val="22"/>
        </w:rPr>
        <w:t xml:space="preserve">ously untreated indications are outlined below. </w:t>
      </w:r>
    </w:p>
    <w:p w:rsidR="00ED3C80" w:rsidRDefault="00ED3C80" w:rsidP="00ED3C80">
      <w:pPr>
        <w:pStyle w:val="ListParagraph"/>
        <w:rPr>
          <w:szCs w:val="22"/>
        </w:rPr>
      </w:pPr>
    </w:p>
    <w:p w:rsidR="00ED3C80" w:rsidRPr="002D478E" w:rsidRDefault="00ED3C80" w:rsidP="00ED3C80">
      <w:pPr>
        <w:keepNext/>
        <w:rPr>
          <w:b/>
          <w:sz w:val="20"/>
          <w:szCs w:val="16"/>
        </w:rPr>
      </w:pPr>
      <w:r w:rsidRPr="002D478E">
        <w:rPr>
          <w:b/>
          <w:sz w:val="20"/>
          <w:szCs w:val="16"/>
        </w:rPr>
        <w:t>Estimated use and financial implications (iNHL and MCL) first line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PBS usage &amp; financial implications"/>
        <w:tblDescription w:val="Year 1 to 5 for  iNHL and MCL"/>
      </w:tblPr>
      <w:tblGrid>
        <w:gridCol w:w="1732"/>
        <w:gridCol w:w="1233"/>
        <w:gridCol w:w="1233"/>
        <w:gridCol w:w="1389"/>
        <w:gridCol w:w="1389"/>
        <w:gridCol w:w="1369"/>
      </w:tblGrid>
      <w:tr w:rsidR="00ED3C80" w:rsidRPr="002D478E" w:rsidTr="00002004">
        <w:trPr>
          <w:tblHeader/>
        </w:trPr>
        <w:tc>
          <w:tcPr>
            <w:tcW w:w="1038" w:type="pct"/>
            <w:shd w:val="clear" w:color="auto" w:fill="auto"/>
            <w:vAlign w:val="center"/>
          </w:tcPr>
          <w:p w:rsidR="00ED3C80" w:rsidRPr="002D478E" w:rsidRDefault="00ED3C80" w:rsidP="00ED3C80">
            <w:pPr>
              <w:keepNext/>
              <w:tabs>
                <w:tab w:val="left" w:pos="142"/>
              </w:tabs>
              <w:jc w:val="left"/>
              <w:rPr>
                <w:rFonts w:ascii="Arial Narrow" w:eastAsia="Times New Roman" w:hAnsi="Arial Narrow" w:cs="Times New Roman"/>
                <w:b/>
                <w:sz w:val="20"/>
              </w:rPr>
            </w:pPr>
          </w:p>
        </w:tc>
        <w:tc>
          <w:tcPr>
            <w:tcW w:w="739" w:type="pct"/>
            <w:shd w:val="clear" w:color="auto" w:fill="auto"/>
            <w:vAlign w:val="center"/>
          </w:tcPr>
          <w:p w:rsidR="00ED3C80" w:rsidRPr="002D478E" w:rsidRDefault="00ED3C80" w:rsidP="00ED3C80">
            <w:pPr>
              <w:keepNext/>
              <w:jc w:val="center"/>
              <w:rPr>
                <w:rFonts w:ascii="Arial Narrow" w:eastAsia="Times New Roman" w:hAnsi="Arial Narrow" w:cs="Times New Roman"/>
                <w:b/>
                <w:sz w:val="20"/>
              </w:rPr>
            </w:pPr>
            <w:r w:rsidRPr="002D478E">
              <w:rPr>
                <w:rFonts w:ascii="Arial Narrow" w:eastAsia="Times New Roman" w:hAnsi="Arial Narrow" w:cs="Times New Roman"/>
                <w:b/>
                <w:sz w:val="20"/>
              </w:rPr>
              <w:t>Year 1</w:t>
            </w:r>
          </w:p>
        </w:tc>
        <w:tc>
          <w:tcPr>
            <w:tcW w:w="739" w:type="pct"/>
            <w:shd w:val="clear" w:color="auto" w:fill="auto"/>
            <w:vAlign w:val="center"/>
          </w:tcPr>
          <w:p w:rsidR="00ED3C80" w:rsidRPr="002D478E" w:rsidRDefault="00ED3C80" w:rsidP="00ED3C80">
            <w:pPr>
              <w:keepNext/>
              <w:jc w:val="center"/>
              <w:rPr>
                <w:rFonts w:ascii="Arial Narrow" w:eastAsia="Times New Roman" w:hAnsi="Arial Narrow" w:cs="Times New Roman"/>
                <w:b/>
                <w:sz w:val="20"/>
              </w:rPr>
            </w:pPr>
            <w:r w:rsidRPr="002D478E">
              <w:rPr>
                <w:rFonts w:ascii="Arial Narrow" w:eastAsia="Times New Roman" w:hAnsi="Arial Narrow" w:cs="Times New Roman"/>
                <w:b/>
                <w:sz w:val="20"/>
              </w:rPr>
              <w:t>Year 2</w:t>
            </w:r>
          </w:p>
        </w:tc>
        <w:tc>
          <w:tcPr>
            <w:tcW w:w="832" w:type="pct"/>
            <w:shd w:val="clear" w:color="auto" w:fill="auto"/>
            <w:vAlign w:val="center"/>
          </w:tcPr>
          <w:p w:rsidR="00ED3C80" w:rsidRPr="002D478E" w:rsidRDefault="00ED3C80" w:rsidP="00ED3C80">
            <w:pPr>
              <w:keepNext/>
              <w:jc w:val="center"/>
              <w:rPr>
                <w:rFonts w:ascii="Arial Narrow" w:eastAsia="Times New Roman" w:hAnsi="Arial Narrow" w:cs="Times New Roman"/>
                <w:b/>
                <w:sz w:val="20"/>
              </w:rPr>
            </w:pPr>
            <w:r w:rsidRPr="002D478E">
              <w:rPr>
                <w:rFonts w:ascii="Arial Narrow" w:eastAsia="Times New Roman" w:hAnsi="Arial Narrow" w:cs="Times New Roman"/>
                <w:b/>
                <w:sz w:val="20"/>
              </w:rPr>
              <w:t>Year 3</w:t>
            </w:r>
          </w:p>
        </w:tc>
        <w:tc>
          <w:tcPr>
            <w:tcW w:w="832" w:type="pct"/>
            <w:shd w:val="clear" w:color="auto" w:fill="auto"/>
            <w:vAlign w:val="center"/>
          </w:tcPr>
          <w:p w:rsidR="00ED3C80" w:rsidRPr="002D478E" w:rsidRDefault="00ED3C80" w:rsidP="00ED3C80">
            <w:pPr>
              <w:keepNext/>
              <w:jc w:val="center"/>
              <w:rPr>
                <w:rFonts w:ascii="Arial Narrow" w:eastAsia="Times New Roman" w:hAnsi="Arial Narrow" w:cs="Times New Roman"/>
                <w:b/>
                <w:sz w:val="20"/>
              </w:rPr>
            </w:pPr>
            <w:r w:rsidRPr="002D478E">
              <w:rPr>
                <w:rFonts w:ascii="Arial Narrow" w:eastAsia="Times New Roman" w:hAnsi="Arial Narrow" w:cs="Times New Roman"/>
                <w:b/>
                <w:sz w:val="20"/>
              </w:rPr>
              <w:t>Year 4</w:t>
            </w:r>
          </w:p>
        </w:tc>
        <w:tc>
          <w:tcPr>
            <w:tcW w:w="822" w:type="pct"/>
            <w:shd w:val="clear" w:color="auto" w:fill="auto"/>
            <w:vAlign w:val="center"/>
          </w:tcPr>
          <w:p w:rsidR="00ED3C80" w:rsidRPr="002D478E" w:rsidRDefault="00ED3C80" w:rsidP="00ED3C80">
            <w:pPr>
              <w:keepNext/>
              <w:jc w:val="center"/>
              <w:rPr>
                <w:rFonts w:ascii="Arial Narrow" w:eastAsia="Times New Roman" w:hAnsi="Arial Narrow" w:cs="Times New Roman"/>
                <w:b/>
                <w:sz w:val="20"/>
              </w:rPr>
            </w:pPr>
            <w:r w:rsidRPr="002D478E">
              <w:rPr>
                <w:rFonts w:ascii="Arial Narrow" w:eastAsia="Times New Roman" w:hAnsi="Arial Narrow" w:cs="Times New Roman"/>
                <w:b/>
                <w:sz w:val="20"/>
              </w:rPr>
              <w:t>Year 5</w:t>
            </w:r>
          </w:p>
        </w:tc>
      </w:tr>
      <w:tr w:rsidR="00ED3C80" w:rsidRPr="002D478E" w:rsidTr="00002004">
        <w:tc>
          <w:tcPr>
            <w:tcW w:w="5000" w:type="pct"/>
            <w:gridSpan w:val="6"/>
            <w:shd w:val="clear" w:color="auto" w:fill="auto"/>
            <w:vAlign w:val="center"/>
          </w:tcPr>
          <w:p w:rsidR="00ED3C80" w:rsidRPr="002D478E" w:rsidRDefault="00ED3C80" w:rsidP="00ED3C80">
            <w:pPr>
              <w:keepNext/>
              <w:jc w:val="left"/>
              <w:rPr>
                <w:rFonts w:ascii="Arial Narrow" w:eastAsia="Times New Roman" w:hAnsi="Arial Narrow" w:cs="Times New Roman"/>
                <w:b/>
                <w:bCs/>
                <w:color w:val="000000"/>
                <w:sz w:val="20"/>
              </w:rPr>
            </w:pPr>
            <w:r w:rsidRPr="002D478E">
              <w:rPr>
                <w:rFonts w:ascii="Arial Narrow" w:eastAsia="Times New Roman" w:hAnsi="Arial Narrow" w:cs="Times New Roman"/>
                <w:b/>
                <w:bCs/>
                <w:color w:val="000000"/>
                <w:sz w:val="20"/>
              </w:rPr>
              <w:t>Estimated extent of use</w:t>
            </w:r>
          </w:p>
        </w:tc>
      </w:tr>
      <w:tr w:rsidR="00ED3C80" w:rsidRPr="002D478E" w:rsidTr="00002004">
        <w:tc>
          <w:tcPr>
            <w:tcW w:w="1038" w:type="pct"/>
            <w:shd w:val="clear" w:color="auto" w:fill="auto"/>
            <w:vAlign w:val="center"/>
          </w:tcPr>
          <w:p w:rsidR="00ED3C80" w:rsidRPr="002D478E" w:rsidRDefault="00ED3C80" w:rsidP="00ED3C80">
            <w:pPr>
              <w:keepNext/>
              <w:tabs>
                <w:tab w:val="left" w:pos="142"/>
              </w:tabs>
              <w:jc w:val="left"/>
              <w:rPr>
                <w:rFonts w:ascii="Arial Narrow" w:eastAsia="Times New Roman" w:hAnsi="Arial Narrow" w:cs="Times New Roman"/>
                <w:sz w:val="20"/>
              </w:rPr>
            </w:pPr>
            <w:r w:rsidRPr="002D478E">
              <w:rPr>
                <w:rFonts w:ascii="Arial Narrow" w:eastAsia="Times New Roman" w:hAnsi="Arial Narrow" w:cs="Times New Roman"/>
                <w:sz w:val="20"/>
              </w:rPr>
              <w:t>Number treated</w:t>
            </w:r>
          </w:p>
        </w:tc>
        <w:tc>
          <w:tcPr>
            <w:tcW w:w="739" w:type="pct"/>
            <w:shd w:val="clear" w:color="auto" w:fill="auto"/>
            <w:vAlign w:val="center"/>
          </w:tcPr>
          <w:p w:rsidR="00ED3C80" w:rsidRPr="009B4D1B" w:rsidRDefault="009B4D1B" w:rsidP="00ED3C80">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c>
          <w:tcPr>
            <w:tcW w:w="739" w:type="pct"/>
            <w:shd w:val="clear" w:color="auto" w:fill="auto"/>
            <w:vAlign w:val="center"/>
          </w:tcPr>
          <w:p w:rsidR="00ED3C80" w:rsidRPr="009B4D1B" w:rsidRDefault="009B4D1B" w:rsidP="00ED3C80">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c>
          <w:tcPr>
            <w:tcW w:w="832" w:type="pct"/>
            <w:shd w:val="clear" w:color="auto" w:fill="auto"/>
            <w:vAlign w:val="center"/>
          </w:tcPr>
          <w:p w:rsidR="00ED3C80" w:rsidRPr="009B4D1B" w:rsidRDefault="009B4D1B" w:rsidP="00ED3C80">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c>
          <w:tcPr>
            <w:tcW w:w="832" w:type="pct"/>
            <w:shd w:val="clear" w:color="auto" w:fill="auto"/>
            <w:vAlign w:val="center"/>
          </w:tcPr>
          <w:p w:rsidR="00ED3C80" w:rsidRPr="009B4D1B" w:rsidRDefault="009B4D1B" w:rsidP="00ED3C80">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c>
          <w:tcPr>
            <w:tcW w:w="822" w:type="pct"/>
            <w:shd w:val="clear" w:color="auto" w:fill="auto"/>
            <w:vAlign w:val="center"/>
          </w:tcPr>
          <w:p w:rsidR="00ED3C80" w:rsidRPr="009B4D1B" w:rsidRDefault="009B4D1B" w:rsidP="00ED3C80">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r>
      <w:tr w:rsidR="00ED3C80" w:rsidRPr="002D478E" w:rsidTr="00002004">
        <w:tc>
          <w:tcPr>
            <w:tcW w:w="1038" w:type="pct"/>
            <w:shd w:val="clear" w:color="auto" w:fill="auto"/>
            <w:vAlign w:val="center"/>
          </w:tcPr>
          <w:p w:rsidR="00ED3C80" w:rsidRPr="002D478E" w:rsidRDefault="00ED3C80" w:rsidP="00ED3C80">
            <w:pPr>
              <w:keepNext/>
              <w:tabs>
                <w:tab w:val="left" w:pos="142"/>
              </w:tabs>
              <w:jc w:val="left"/>
              <w:rPr>
                <w:rFonts w:ascii="Arial Narrow" w:eastAsia="Times New Roman" w:hAnsi="Arial Narrow" w:cs="Times New Roman"/>
                <w:sz w:val="20"/>
              </w:rPr>
            </w:pPr>
            <w:r w:rsidRPr="002D478E">
              <w:rPr>
                <w:rFonts w:ascii="Arial Narrow" w:eastAsia="Times New Roman" w:hAnsi="Arial Narrow" w:cs="Times New Roman"/>
                <w:sz w:val="20"/>
              </w:rPr>
              <w:t>Market share</w:t>
            </w:r>
          </w:p>
        </w:tc>
        <w:tc>
          <w:tcPr>
            <w:tcW w:w="739" w:type="pct"/>
            <w:shd w:val="clear" w:color="auto" w:fill="auto"/>
            <w:vAlign w:val="center"/>
          </w:tcPr>
          <w:p w:rsidR="00ED3C80" w:rsidRPr="002D478E" w:rsidRDefault="009B4D1B" w:rsidP="00ED3C80">
            <w:pPr>
              <w:keepNext/>
              <w:jc w:val="center"/>
              <w:rPr>
                <w:rFonts w:ascii="Arial Narrow" w:eastAsia="Times New Roman" w:hAnsi="Arial Narrow" w:cs="Times New Roman"/>
                <w:bCs/>
                <w:color w:val="000000"/>
                <w:sz w:val="20"/>
              </w:rPr>
            </w:pPr>
            <w:r>
              <w:rPr>
                <w:rFonts w:ascii="Arial Narrow" w:eastAsia="Times New Roman" w:hAnsi="Arial Narrow" w:cs="Times New Roman"/>
                <w:bCs/>
                <w:noProof/>
                <w:color w:val="000000"/>
                <w:sz w:val="20"/>
                <w:highlight w:val="black"/>
              </w:rPr>
              <w:t>''''''</w:t>
            </w:r>
            <w:r w:rsidR="00ED3C80" w:rsidRPr="002D478E">
              <w:rPr>
                <w:rFonts w:ascii="Arial Narrow" w:eastAsia="Times New Roman" w:hAnsi="Arial Narrow" w:cs="Times New Roman"/>
                <w:bCs/>
                <w:color w:val="000000"/>
                <w:sz w:val="20"/>
              </w:rPr>
              <w:t>%</w:t>
            </w:r>
          </w:p>
        </w:tc>
        <w:tc>
          <w:tcPr>
            <w:tcW w:w="739" w:type="pct"/>
            <w:shd w:val="clear" w:color="auto" w:fill="auto"/>
            <w:vAlign w:val="center"/>
          </w:tcPr>
          <w:p w:rsidR="00ED3C80" w:rsidRPr="002D478E" w:rsidRDefault="009B4D1B" w:rsidP="00ED3C80">
            <w:pPr>
              <w:keepNext/>
              <w:jc w:val="center"/>
              <w:rPr>
                <w:rFonts w:ascii="Arial Narrow" w:eastAsia="Times New Roman" w:hAnsi="Arial Narrow" w:cs="Times New Roman"/>
                <w:bCs/>
                <w:color w:val="000000"/>
                <w:sz w:val="20"/>
              </w:rPr>
            </w:pPr>
            <w:r>
              <w:rPr>
                <w:rFonts w:ascii="Arial Narrow" w:eastAsia="Times New Roman" w:hAnsi="Arial Narrow" w:cs="Times New Roman"/>
                <w:bCs/>
                <w:noProof/>
                <w:color w:val="000000"/>
                <w:sz w:val="20"/>
                <w:highlight w:val="black"/>
              </w:rPr>
              <w:t>''''''</w:t>
            </w:r>
            <w:r w:rsidR="00ED3C80" w:rsidRPr="002D478E">
              <w:rPr>
                <w:rFonts w:ascii="Arial Narrow" w:eastAsia="Times New Roman" w:hAnsi="Arial Narrow" w:cs="Times New Roman"/>
                <w:bCs/>
                <w:color w:val="000000"/>
                <w:sz w:val="20"/>
              </w:rPr>
              <w:t>%</w:t>
            </w:r>
          </w:p>
        </w:tc>
        <w:tc>
          <w:tcPr>
            <w:tcW w:w="832" w:type="pct"/>
            <w:shd w:val="clear" w:color="auto" w:fill="auto"/>
            <w:vAlign w:val="center"/>
          </w:tcPr>
          <w:p w:rsidR="00ED3C80" w:rsidRPr="002D478E" w:rsidRDefault="009B4D1B" w:rsidP="00ED3C80">
            <w:pPr>
              <w:keepNext/>
              <w:jc w:val="center"/>
              <w:rPr>
                <w:rFonts w:ascii="Arial Narrow" w:eastAsia="Times New Roman" w:hAnsi="Arial Narrow" w:cs="Times New Roman"/>
                <w:bCs/>
                <w:color w:val="000000"/>
                <w:sz w:val="20"/>
              </w:rPr>
            </w:pPr>
            <w:r>
              <w:rPr>
                <w:rFonts w:ascii="Arial Narrow" w:eastAsia="Times New Roman" w:hAnsi="Arial Narrow" w:cs="Times New Roman"/>
                <w:bCs/>
                <w:noProof/>
                <w:color w:val="000000"/>
                <w:sz w:val="20"/>
                <w:highlight w:val="black"/>
              </w:rPr>
              <w:t>''''''</w:t>
            </w:r>
            <w:r w:rsidR="00ED3C80" w:rsidRPr="002D478E">
              <w:rPr>
                <w:rFonts w:ascii="Arial Narrow" w:eastAsia="Times New Roman" w:hAnsi="Arial Narrow" w:cs="Times New Roman"/>
                <w:bCs/>
                <w:color w:val="000000"/>
                <w:sz w:val="20"/>
              </w:rPr>
              <w:t>%</w:t>
            </w:r>
          </w:p>
        </w:tc>
        <w:tc>
          <w:tcPr>
            <w:tcW w:w="832" w:type="pct"/>
            <w:shd w:val="clear" w:color="auto" w:fill="auto"/>
            <w:vAlign w:val="center"/>
          </w:tcPr>
          <w:p w:rsidR="00ED3C80" w:rsidRPr="002D478E" w:rsidRDefault="009B4D1B" w:rsidP="00ED3C80">
            <w:pPr>
              <w:keepNext/>
              <w:jc w:val="center"/>
              <w:rPr>
                <w:rFonts w:ascii="Arial Narrow" w:eastAsia="Times New Roman" w:hAnsi="Arial Narrow" w:cs="Times New Roman"/>
                <w:bCs/>
                <w:color w:val="000000"/>
                <w:sz w:val="20"/>
              </w:rPr>
            </w:pPr>
            <w:r>
              <w:rPr>
                <w:rFonts w:ascii="Arial Narrow" w:eastAsia="Times New Roman" w:hAnsi="Arial Narrow" w:cs="Times New Roman"/>
                <w:bCs/>
                <w:noProof/>
                <w:color w:val="000000"/>
                <w:sz w:val="20"/>
                <w:highlight w:val="black"/>
              </w:rPr>
              <w:t>'''''</w:t>
            </w:r>
            <w:r w:rsidR="00ED3C80" w:rsidRPr="002D478E">
              <w:rPr>
                <w:rFonts w:ascii="Arial Narrow" w:eastAsia="Times New Roman" w:hAnsi="Arial Narrow" w:cs="Times New Roman"/>
                <w:bCs/>
                <w:color w:val="000000"/>
                <w:sz w:val="20"/>
              </w:rPr>
              <w:t>%</w:t>
            </w:r>
          </w:p>
        </w:tc>
        <w:tc>
          <w:tcPr>
            <w:tcW w:w="822" w:type="pct"/>
            <w:shd w:val="clear" w:color="auto" w:fill="auto"/>
            <w:vAlign w:val="center"/>
          </w:tcPr>
          <w:p w:rsidR="00ED3C80" w:rsidRPr="002D478E" w:rsidRDefault="009B4D1B" w:rsidP="00ED3C80">
            <w:pPr>
              <w:keepNext/>
              <w:jc w:val="center"/>
              <w:rPr>
                <w:rFonts w:ascii="Arial Narrow" w:eastAsia="Times New Roman" w:hAnsi="Arial Narrow" w:cs="Times New Roman"/>
                <w:bCs/>
                <w:color w:val="000000"/>
                <w:sz w:val="20"/>
              </w:rPr>
            </w:pPr>
            <w:r>
              <w:rPr>
                <w:rFonts w:ascii="Arial Narrow" w:eastAsia="Times New Roman" w:hAnsi="Arial Narrow" w:cs="Times New Roman"/>
                <w:bCs/>
                <w:noProof/>
                <w:color w:val="000000"/>
                <w:sz w:val="20"/>
                <w:highlight w:val="black"/>
              </w:rPr>
              <w:t>''''''</w:t>
            </w:r>
            <w:r w:rsidR="00ED3C80" w:rsidRPr="002D478E">
              <w:rPr>
                <w:rFonts w:ascii="Arial Narrow" w:eastAsia="Times New Roman" w:hAnsi="Arial Narrow" w:cs="Times New Roman"/>
                <w:bCs/>
                <w:color w:val="000000"/>
                <w:sz w:val="20"/>
              </w:rPr>
              <w:t>%</w:t>
            </w:r>
          </w:p>
        </w:tc>
      </w:tr>
      <w:tr w:rsidR="00ED3C80" w:rsidRPr="002D478E" w:rsidTr="00002004">
        <w:tc>
          <w:tcPr>
            <w:tcW w:w="1038" w:type="pct"/>
            <w:shd w:val="clear" w:color="auto" w:fill="auto"/>
            <w:vAlign w:val="center"/>
          </w:tcPr>
          <w:p w:rsidR="00ED3C80" w:rsidRPr="002D478E" w:rsidRDefault="00ED3C80" w:rsidP="00ED3C80">
            <w:pPr>
              <w:keepNext/>
              <w:tabs>
                <w:tab w:val="left" w:pos="142"/>
              </w:tabs>
              <w:jc w:val="left"/>
              <w:rPr>
                <w:rFonts w:ascii="Arial Narrow" w:eastAsia="Times New Roman" w:hAnsi="Arial Narrow" w:cs="Times New Roman"/>
                <w:sz w:val="20"/>
              </w:rPr>
            </w:pPr>
            <w:proofErr w:type="spellStart"/>
            <w:r w:rsidRPr="002D478E">
              <w:rPr>
                <w:rFonts w:ascii="Arial Narrow" w:eastAsia="Times New Roman" w:hAnsi="Arial Narrow" w:cs="Times New Roman"/>
                <w:sz w:val="20"/>
              </w:rPr>
              <w:t>Scripts</w:t>
            </w:r>
            <w:r w:rsidRPr="002D478E">
              <w:rPr>
                <w:rFonts w:ascii="Arial Narrow" w:eastAsia="Times New Roman" w:hAnsi="Arial Narrow" w:cs="Times New Roman"/>
                <w:sz w:val="20"/>
                <w:vertAlign w:val="superscript"/>
              </w:rPr>
              <w:t>a</w:t>
            </w:r>
            <w:proofErr w:type="spellEnd"/>
          </w:p>
        </w:tc>
        <w:tc>
          <w:tcPr>
            <w:tcW w:w="739" w:type="pct"/>
            <w:shd w:val="clear" w:color="auto" w:fill="auto"/>
            <w:vAlign w:val="center"/>
          </w:tcPr>
          <w:p w:rsidR="00ED3C80" w:rsidRPr="009B4D1B" w:rsidRDefault="009B4D1B" w:rsidP="00ED3C80">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c>
          <w:tcPr>
            <w:tcW w:w="739" w:type="pct"/>
            <w:shd w:val="clear" w:color="auto" w:fill="auto"/>
            <w:vAlign w:val="center"/>
          </w:tcPr>
          <w:p w:rsidR="00ED3C80" w:rsidRPr="009B4D1B" w:rsidRDefault="009B4D1B" w:rsidP="00ED3C80">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c>
          <w:tcPr>
            <w:tcW w:w="832" w:type="pct"/>
            <w:shd w:val="clear" w:color="auto" w:fill="auto"/>
            <w:vAlign w:val="center"/>
          </w:tcPr>
          <w:p w:rsidR="00ED3C80" w:rsidRPr="009B4D1B" w:rsidRDefault="009B4D1B" w:rsidP="00ED3C80">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c>
          <w:tcPr>
            <w:tcW w:w="832" w:type="pct"/>
            <w:shd w:val="clear" w:color="auto" w:fill="auto"/>
            <w:vAlign w:val="center"/>
          </w:tcPr>
          <w:p w:rsidR="00ED3C80" w:rsidRPr="009B4D1B" w:rsidRDefault="009B4D1B" w:rsidP="00ED3C80">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c>
          <w:tcPr>
            <w:tcW w:w="822" w:type="pct"/>
            <w:shd w:val="clear" w:color="auto" w:fill="auto"/>
            <w:vAlign w:val="center"/>
          </w:tcPr>
          <w:p w:rsidR="00ED3C80" w:rsidRPr="009B4D1B" w:rsidRDefault="009B4D1B" w:rsidP="00ED3C80">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r>
      <w:tr w:rsidR="00ED3C80" w:rsidRPr="002D478E" w:rsidTr="00002004">
        <w:tc>
          <w:tcPr>
            <w:tcW w:w="5000" w:type="pct"/>
            <w:gridSpan w:val="6"/>
            <w:shd w:val="clear" w:color="auto" w:fill="auto"/>
            <w:vAlign w:val="center"/>
          </w:tcPr>
          <w:p w:rsidR="00ED3C80" w:rsidRPr="002D478E" w:rsidRDefault="00ED3C80" w:rsidP="00ED3C80">
            <w:pPr>
              <w:keepNext/>
              <w:jc w:val="left"/>
              <w:rPr>
                <w:rFonts w:ascii="Arial Narrow" w:eastAsia="Times New Roman" w:hAnsi="Arial Narrow" w:cs="Times New Roman"/>
                <w:b/>
                <w:bCs/>
                <w:color w:val="000000"/>
                <w:sz w:val="20"/>
              </w:rPr>
            </w:pPr>
            <w:r w:rsidRPr="002D478E">
              <w:rPr>
                <w:rFonts w:ascii="Arial Narrow" w:eastAsia="Times New Roman" w:hAnsi="Arial Narrow" w:cs="Times New Roman"/>
                <w:b/>
                <w:bCs/>
                <w:color w:val="000000"/>
                <w:sz w:val="20"/>
              </w:rPr>
              <w:t>Estimated net cost to PBS/RPBS/MBS</w:t>
            </w:r>
          </w:p>
        </w:tc>
      </w:tr>
      <w:tr w:rsidR="00ED3C80" w:rsidRPr="002D478E" w:rsidTr="00002004">
        <w:tc>
          <w:tcPr>
            <w:tcW w:w="1038" w:type="pct"/>
            <w:shd w:val="clear" w:color="auto" w:fill="auto"/>
            <w:vAlign w:val="center"/>
          </w:tcPr>
          <w:p w:rsidR="00ED3C80" w:rsidRPr="002D478E" w:rsidRDefault="00ED3C80" w:rsidP="00ED3C80">
            <w:pPr>
              <w:keepNext/>
              <w:tabs>
                <w:tab w:val="left" w:pos="142"/>
              </w:tabs>
              <w:jc w:val="left"/>
              <w:rPr>
                <w:rFonts w:ascii="Arial Narrow" w:eastAsia="Times New Roman" w:hAnsi="Arial Narrow" w:cs="Times New Roman"/>
                <w:sz w:val="20"/>
              </w:rPr>
            </w:pPr>
            <w:r w:rsidRPr="002D478E">
              <w:rPr>
                <w:rFonts w:ascii="Arial Narrow" w:eastAsia="Times New Roman" w:hAnsi="Arial Narrow" w:cs="Times New Roman"/>
                <w:sz w:val="20"/>
              </w:rPr>
              <w:t>Net cost to PBS/RPBS</w:t>
            </w:r>
          </w:p>
        </w:tc>
        <w:tc>
          <w:tcPr>
            <w:tcW w:w="739" w:type="pct"/>
            <w:shd w:val="clear" w:color="auto" w:fill="auto"/>
            <w:vAlign w:val="center"/>
          </w:tcPr>
          <w:p w:rsidR="00ED3C80" w:rsidRPr="002D478E" w:rsidRDefault="00ED3C80" w:rsidP="00ED3C80">
            <w:pPr>
              <w:keepNext/>
              <w:jc w:val="center"/>
              <w:rPr>
                <w:rFonts w:ascii="Arial Narrow" w:eastAsia="Times New Roman" w:hAnsi="Arial Narrow" w:cs="Times New Roman"/>
                <w:bCs/>
                <w:color w:val="000000"/>
                <w:sz w:val="20"/>
              </w:rPr>
            </w:pPr>
            <w:r w:rsidRPr="002D478E">
              <w:rPr>
                <w:rFonts w:ascii="Arial Narrow" w:eastAsia="Times New Roman" w:hAnsi="Arial Narrow" w:cs="Times New Roman"/>
                <w:sz w:val="20"/>
              </w:rPr>
              <w:t>$</w:t>
            </w:r>
            <w:r w:rsidR="009B4D1B">
              <w:rPr>
                <w:rFonts w:ascii="Arial Narrow" w:eastAsia="Times New Roman" w:hAnsi="Arial Narrow" w:cs="Times New Roman"/>
                <w:noProof/>
                <w:color w:val="000000"/>
                <w:sz w:val="20"/>
                <w:highlight w:val="black"/>
              </w:rPr>
              <w:t>'''''''''''''''''''''</w:t>
            </w:r>
          </w:p>
        </w:tc>
        <w:tc>
          <w:tcPr>
            <w:tcW w:w="739" w:type="pct"/>
            <w:shd w:val="clear" w:color="auto" w:fill="auto"/>
            <w:vAlign w:val="center"/>
          </w:tcPr>
          <w:p w:rsidR="00ED3C80" w:rsidRPr="002D478E" w:rsidRDefault="00ED3C80" w:rsidP="00ED3C80">
            <w:pPr>
              <w:keepNext/>
              <w:jc w:val="center"/>
              <w:rPr>
                <w:rFonts w:ascii="Arial Narrow" w:eastAsia="Times New Roman" w:hAnsi="Arial Narrow" w:cs="Times New Roman"/>
                <w:bCs/>
                <w:color w:val="000000"/>
                <w:sz w:val="20"/>
              </w:rPr>
            </w:pPr>
            <w:r w:rsidRPr="002D478E">
              <w:rPr>
                <w:rFonts w:ascii="Arial Narrow" w:eastAsia="Times New Roman" w:hAnsi="Arial Narrow" w:cs="Times New Roman"/>
                <w:sz w:val="20"/>
              </w:rPr>
              <w:t>$</w:t>
            </w:r>
            <w:r w:rsidR="009B4D1B">
              <w:rPr>
                <w:rFonts w:ascii="Arial Narrow" w:eastAsia="Times New Roman" w:hAnsi="Arial Narrow" w:cs="Times New Roman"/>
                <w:noProof/>
                <w:color w:val="000000"/>
                <w:sz w:val="20"/>
                <w:highlight w:val="black"/>
              </w:rPr>
              <w:t>''''''''''''''''''''''''''''</w:t>
            </w:r>
          </w:p>
        </w:tc>
        <w:tc>
          <w:tcPr>
            <w:tcW w:w="832" w:type="pct"/>
            <w:shd w:val="clear" w:color="auto" w:fill="auto"/>
            <w:vAlign w:val="center"/>
          </w:tcPr>
          <w:p w:rsidR="00ED3C80" w:rsidRPr="002D478E" w:rsidRDefault="00ED3C80" w:rsidP="00ED3C80">
            <w:pPr>
              <w:keepNext/>
              <w:jc w:val="center"/>
              <w:rPr>
                <w:rFonts w:ascii="Arial Narrow" w:eastAsia="Times New Roman" w:hAnsi="Arial Narrow" w:cs="Times New Roman"/>
                <w:bCs/>
                <w:color w:val="000000"/>
                <w:sz w:val="20"/>
              </w:rPr>
            </w:pPr>
            <w:r w:rsidRPr="002D478E">
              <w:rPr>
                <w:rFonts w:ascii="Arial Narrow" w:eastAsia="Times New Roman" w:hAnsi="Arial Narrow" w:cs="Times New Roman"/>
                <w:sz w:val="20"/>
              </w:rPr>
              <w:t>$</w:t>
            </w:r>
            <w:r w:rsidR="009B4D1B">
              <w:rPr>
                <w:rFonts w:ascii="Arial Narrow" w:eastAsia="Times New Roman" w:hAnsi="Arial Narrow" w:cs="Times New Roman"/>
                <w:noProof/>
                <w:color w:val="000000"/>
                <w:sz w:val="20"/>
                <w:highlight w:val="black"/>
              </w:rPr>
              <w:t>'''''''''''''''''''''''''</w:t>
            </w:r>
          </w:p>
        </w:tc>
        <w:tc>
          <w:tcPr>
            <w:tcW w:w="832" w:type="pct"/>
            <w:shd w:val="clear" w:color="auto" w:fill="auto"/>
            <w:vAlign w:val="center"/>
          </w:tcPr>
          <w:p w:rsidR="00ED3C80" w:rsidRPr="002D478E" w:rsidRDefault="00ED3C80" w:rsidP="00ED3C80">
            <w:pPr>
              <w:keepNext/>
              <w:jc w:val="center"/>
              <w:rPr>
                <w:rFonts w:ascii="Arial Narrow" w:eastAsia="Times New Roman" w:hAnsi="Arial Narrow" w:cs="Times New Roman"/>
                <w:bCs/>
                <w:color w:val="000000"/>
                <w:sz w:val="20"/>
              </w:rPr>
            </w:pPr>
            <w:r w:rsidRPr="002D478E">
              <w:rPr>
                <w:rFonts w:ascii="Arial Narrow" w:eastAsia="Times New Roman" w:hAnsi="Arial Narrow" w:cs="Times New Roman"/>
                <w:sz w:val="20"/>
              </w:rPr>
              <w:t>$</w:t>
            </w:r>
            <w:r w:rsidR="009B4D1B">
              <w:rPr>
                <w:rFonts w:ascii="Arial Narrow" w:eastAsia="Times New Roman" w:hAnsi="Arial Narrow" w:cs="Times New Roman"/>
                <w:noProof/>
                <w:color w:val="000000"/>
                <w:sz w:val="20"/>
                <w:highlight w:val="black"/>
              </w:rPr>
              <w:t>'''''''''''''''''''''''''''</w:t>
            </w:r>
          </w:p>
        </w:tc>
        <w:tc>
          <w:tcPr>
            <w:tcW w:w="822" w:type="pct"/>
            <w:shd w:val="clear" w:color="auto" w:fill="auto"/>
            <w:vAlign w:val="center"/>
          </w:tcPr>
          <w:p w:rsidR="00ED3C80" w:rsidRPr="002D478E" w:rsidRDefault="00ED3C80" w:rsidP="00ED3C80">
            <w:pPr>
              <w:keepNext/>
              <w:jc w:val="center"/>
              <w:rPr>
                <w:rFonts w:ascii="Arial Narrow" w:eastAsia="Times New Roman" w:hAnsi="Arial Narrow" w:cs="Times New Roman"/>
                <w:bCs/>
                <w:color w:val="000000"/>
                <w:sz w:val="20"/>
              </w:rPr>
            </w:pPr>
            <w:r w:rsidRPr="002D478E">
              <w:rPr>
                <w:rFonts w:ascii="Arial Narrow" w:eastAsia="Times New Roman" w:hAnsi="Arial Narrow" w:cs="Times New Roman"/>
                <w:sz w:val="20"/>
              </w:rPr>
              <w:t>$</w:t>
            </w:r>
            <w:r w:rsidR="009B4D1B">
              <w:rPr>
                <w:rFonts w:ascii="Arial Narrow" w:eastAsia="Times New Roman" w:hAnsi="Arial Narrow" w:cs="Times New Roman"/>
                <w:noProof/>
                <w:color w:val="000000"/>
                <w:sz w:val="20"/>
                <w:highlight w:val="black"/>
              </w:rPr>
              <w:t>''''''''''''''''''''''''''</w:t>
            </w:r>
          </w:p>
        </w:tc>
      </w:tr>
      <w:tr w:rsidR="00ED3C80" w:rsidRPr="002D478E" w:rsidTr="00002004">
        <w:tc>
          <w:tcPr>
            <w:tcW w:w="1038" w:type="pct"/>
            <w:shd w:val="clear" w:color="auto" w:fill="auto"/>
            <w:vAlign w:val="center"/>
          </w:tcPr>
          <w:p w:rsidR="00ED3C80" w:rsidRPr="002D478E" w:rsidRDefault="00ED3C80" w:rsidP="00ED3C80">
            <w:pPr>
              <w:keepNext/>
              <w:tabs>
                <w:tab w:val="left" w:pos="142"/>
              </w:tabs>
              <w:jc w:val="left"/>
              <w:rPr>
                <w:rFonts w:ascii="Arial Narrow" w:eastAsia="Times New Roman" w:hAnsi="Arial Narrow" w:cs="Times New Roman"/>
                <w:sz w:val="20"/>
              </w:rPr>
            </w:pPr>
            <w:r w:rsidRPr="002D478E">
              <w:rPr>
                <w:rFonts w:ascii="Arial Narrow" w:eastAsia="Times New Roman" w:hAnsi="Arial Narrow" w:cs="Times New Roman"/>
                <w:sz w:val="20"/>
              </w:rPr>
              <w:t>Net cost to MBS</w:t>
            </w:r>
          </w:p>
        </w:tc>
        <w:tc>
          <w:tcPr>
            <w:tcW w:w="739" w:type="pct"/>
            <w:shd w:val="clear" w:color="auto" w:fill="auto"/>
            <w:vAlign w:val="center"/>
          </w:tcPr>
          <w:p w:rsidR="00ED3C80" w:rsidRPr="002D478E" w:rsidRDefault="00ED3C80" w:rsidP="00ED3C80">
            <w:pPr>
              <w:keepNext/>
              <w:jc w:val="center"/>
              <w:rPr>
                <w:rFonts w:ascii="Arial Narrow" w:eastAsia="Times New Roman" w:hAnsi="Arial Narrow" w:cs="Times New Roman"/>
                <w:bCs/>
                <w:color w:val="000000"/>
                <w:sz w:val="20"/>
              </w:rPr>
            </w:pPr>
            <w:r w:rsidRPr="002D478E">
              <w:rPr>
                <w:rFonts w:ascii="Arial Narrow" w:eastAsia="Times New Roman" w:hAnsi="Arial Narrow" w:cs="Times New Roman"/>
                <w:bCs/>
                <w:sz w:val="20"/>
              </w:rPr>
              <w:t>$</w:t>
            </w:r>
            <w:r w:rsidR="009B4D1B">
              <w:rPr>
                <w:rFonts w:ascii="Arial Narrow" w:eastAsia="Times New Roman" w:hAnsi="Arial Narrow" w:cs="Times New Roman"/>
                <w:bCs/>
                <w:noProof/>
                <w:color w:val="000000"/>
                <w:sz w:val="20"/>
                <w:highlight w:val="black"/>
              </w:rPr>
              <w:t>'''''''''''''''''</w:t>
            </w:r>
          </w:p>
        </w:tc>
        <w:tc>
          <w:tcPr>
            <w:tcW w:w="739" w:type="pct"/>
            <w:shd w:val="clear" w:color="auto" w:fill="auto"/>
            <w:vAlign w:val="center"/>
          </w:tcPr>
          <w:p w:rsidR="00ED3C80" w:rsidRPr="002D478E" w:rsidRDefault="00ED3C80" w:rsidP="00ED3C80">
            <w:pPr>
              <w:keepNext/>
              <w:jc w:val="center"/>
              <w:rPr>
                <w:rFonts w:ascii="Arial Narrow" w:eastAsia="Times New Roman" w:hAnsi="Arial Narrow" w:cs="Times New Roman"/>
                <w:bCs/>
                <w:color w:val="000000"/>
                <w:sz w:val="20"/>
              </w:rPr>
            </w:pPr>
            <w:r w:rsidRPr="002D478E">
              <w:rPr>
                <w:rFonts w:ascii="Arial Narrow" w:eastAsia="Times New Roman" w:hAnsi="Arial Narrow" w:cs="Times New Roman"/>
                <w:bCs/>
                <w:sz w:val="20"/>
              </w:rPr>
              <w:t>$</w:t>
            </w:r>
            <w:r w:rsidR="009B4D1B">
              <w:rPr>
                <w:rFonts w:ascii="Arial Narrow" w:eastAsia="Times New Roman" w:hAnsi="Arial Narrow" w:cs="Times New Roman"/>
                <w:bCs/>
                <w:noProof/>
                <w:color w:val="000000"/>
                <w:sz w:val="20"/>
                <w:highlight w:val="black"/>
              </w:rPr>
              <w:t>''''''''''''''''''</w:t>
            </w:r>
          </w:p>
        </w:tc>
        <w:tc>
          <w:tcPr>
            <w:tcW w:w="832" w:type="pct"/>
            <w:shd w:val="clear" w:color="auto" w:fill="auto"/>
            <w:vAlign w:val="center"/>
          </w:tcPr>
          <w:p w:rsidR="00ED3C80" w:rsidRPr="002D478E" w:rsidRDefault="00ED3C80" w:rsidP="00ED3C80">
            <w:pPr>
              <w:keepNext/>
              <w:jc w:val="center"/>
              <w:rPr>
                <w:rFonts w:ascii="Arial Narrow" w:eastAsia="Times New Roman" w:hAnsi="Arial Narrow" w:cs="Times New Roman"/>
                <w:bCs/>
                <w:color w:val="000000"/>
                <w:sz w:val="20"/>
              </w:rPr>
            </w:pPr>
            <w:r w:rsidRPr="002D478E">
              <w:rPr>
                <w:rFonts w:ascii="Arial Narrow" w:eastAsia="Times New Roman" w:hAnsi="Arial Narrow" w:cs="Times New Roman"/>
                <w:bCs/>
                <w:sz w:val="20"/>
              </w:rPr>
              <w:t>$</w:t>
            </w:r>
            <w:r w:rsidR="009B4D1B">
              <w:rPr>
                <w:rFonts w:ascii="Arial Narrow" w:eastAsia="Times New Roman" w:hAnsi="Arial Narrow" w:cs="Times New Roman"/>
                <w:bCs/>
                <w:noProof/>
                <w:color w:val="000000"/>
                <w:sz w:val="20"/>
                <w:highlight w:val="black"/>
              </w:rPr>
              <w:t>'''''''''''''''''</w:t>
            </w:r>
          </w:p>
        </w:tc>
        <w:tc>
          <w:tcPr>
            <w:tcW w:w="832" w:type="pct"/>
            <w:shd w:val="clear" w:color="auto" w:fill="auto"/>
            <w:vAlign w:val="center"/>
          </w:tcPr>
          <w:p w:rsidR="00ED3C80" w:rsidRPr="002D478E" w:rsidRDefault="00ED3C80" w:rsidP="00ED3C80">
            <w:pPr>
              <w:keepNext/>
              <w:jc w:val="center"/>
              <w:rPr>
                <w:rFonts w:ascii="Arial Narrow" w:eastAsia="Times New Roman" w:hAnsi="Arial Narrow" w:cs="Times New Roman"/>
                <w:bCs/>
                <w:color w:val="000000"/>
                <w:sz w:val="20"/>
              </w:rPr>
            </w:pPr>
            <w:r w:rsidRPr="002D478E">
              <w:rPr>
                <w:rFonts w:ascii="Arial Narrow" w:eastAsia="Times New Roman" w:hAnsi="Arial Narrow" w:cs="Times New Roman"/>
                <w:bCs/>
                <w:sz w:val="20"/>
              </w:rPr>
              <w:t>$</w:t>
            </w:r>
            <w:r w:rsidR="009B4D1B">
              <w:rPr>
                <w:rFonts w:ascii="Arial Narrow" w:eastAsia="Times New Roman" w:hAnsi="Arial Narrow" w:cs="Times New Roman"/>
                <w:bCs/>
                <w:noProof/>
                <w:color w:val="000000"/>
                <w:sz w:val="20"/>
                <w:highlight w:val="black"/>
              </w:rPr>
              <w:t>'''''''''''''''''''''</w:t>
            </w:r>
          </w:p>
        </w:tc>
        <w:tc>
          <w:tcPr>
            <w:tcW w:w="822" w:type="pct"/>
            <w:shd w:val="clear" w:color="auto" w:fill="auto"/>
            <w:vAlign w:val="center"/>
          </w:tcPr>
          <w:p w:rsidR="00ED3C80" w:rsidRPr="002D478E" w:rsidRDefault="00ED3C80" w:rsidP="00ED3C80">
            <w:pPr>
              <w:keepNext/>
              <w:jc w:val="center"/>
              <w:rPr>
                <w:rFonts w:ascii="Arial Narrow" w:eastAsia="Times New Roman" w:hAnsi="Arial Narrow" w:cs="Times New Roman"/>
                <w:bCs/>
                <w:color w:val="000000"/>
                <w:sz w:val="20"/>
              </w:rPr>
            </w:pPr>
            <w:r w:rsidRPr="002D478E">
              <w:rPr>
                <w:rFonts w:ascii="Arial Narrow" w:eastAsia="Times New Roman" w:hAnsi="Arial Narrow" w:cs="Times New Roman"/>
                <w:bCs/>
                <w:sz w:val="20"/>
              </w:rPr>
              <w:t>$</w:t>
            </w:r>
            <w:r w:rsidR="009B4D1B">
              <w:rPr>
                <w:rFonts w:ascii="Arial Narrow" w:eastAsia="Times New Roman" w:hAnsi="Arial Narrow" w:cs="Times New Roman"/>
                <w:bCs/>
                <w:noProof/>
                <w:color w:val="000000"/>
                <w:sz w:val="20"/>
                <w:highlight w:val="black"/>
              </w:rPr>
              <w:t>'''''''''''''''''''</w:t>
            </w:r>
          </w:p>
        </w:tc>
      </w:tr>
      <w:tr w:rsidR="00ED3C80" w:rsidRPr="002D478E" w:rsidTr="00002004">
        <w:tc>
          <w:tcPr>
            <w:tcW w:w="5000" w:type="pct"/>
            <w:gridSpan w:val="6"/>
            <w:shd w:val="clear" w:color="auto" w:fill="auto"/>
            <w:vAlign w:val="center"/>
          </w:tcPr>
          <w:p w:rsidR="00ED3C80" w:rsidRPr="002D478E" w:rsidRDefault="00ED3C80" w:rsidP="00ED3C80">
            <w:pPr>
              <w:keepNext/>
              <w:jc w:val="left"/>
              <w:rPr>
                <w:rFonts w:ascii="Arial Narrow" w:eastAsia="Times New Roman" w:hAnsi="Arial Narrow" w:cs="Times New Roman"/>
                <w:b/>
                <w:color w:val="000000"/>
                <w:sz w:val="20"/>
              </w:rPr>
            </w:pPr>
            <w:r w:rsidRPr="002D478E">
              <w:rPr>
                <w:rFonts w:ascii="Arial Narrow" w:eastAsia="Times New Roman" w:hAnsi="Arial Narrow" w:cs="Times New Roman"/>
                <w:b/>
                <w:color w:val="000000"/>
                <w:sz w:val="20"/>
              </w:rPr>
              <w:t>Estimated total net cost</w:t>
            </w:r>
          </w:p>
        </w:tc>
      </w:tr>
      <w:tr w:rsidR="00ED3C80" w:rsidRPr="002D478E" w:rsidTr="00002004">
        <w:tc>
          <w:tcPr>
            <w:tcW w:w="1038" w:type="pct"/>
            <w:shd w:val="clear" w:color="auto" w:fill="auto"/>
            <w:vAlign w:val="center"/>
          </w:tcPr>
          <w:p w:rsidR="00ED3C80" w:rsidRPr="002D478E" w:rsidRDefault="00ED3C80" w:rsidP="00ED3C80">
            <w:pPr>
              <w:keepNext/>
              <w:tabs>
                <w:tab w:val="left" w:pos="142"/>
              </w:tabs>
              <w:jc w:val="left"/>
              <w:rPr>
                <w:rFonts w:ascii="Arial Narrow" w:eastAsia="Times New Roman" w:hAnsi="Arial Narrow" w:cs="Times New Roman"/>
                <w:b/>
                <w:sz w:val="20"/>
              </w:rPr>
            </w:pPr>
            <w:r w:rsidRPr="002D478E">
              <w:rPr>
                <w:rFonts w:ascii="Arial Narrow" w:eastAsia="Times New Roman" w:hAnsi="Arial Narrow" w:cs="Times New Roman"/>
                <w:b/>
                <w:bCs/>
                <w:color w:val="000000"/>
                <w:sz w:val="20"/>
              </w:rPr>
              <w:t>Net cost to PBS/RPBS/MBS</w:t>
            </w:r>
          </w:p>
        </w:tc>
        <w:tc>
          <w:tcPr>
            <w:tcW w:w="739" w:type="pct"/>
            <w:shd w:val="clear" w:color="auto" w:fill="auto"/>
            <w:vAlign w:val="center"/>
          </w:tcPr>
          <w:p w:rsidR="00ED3C80" w:rsidRPr="002D478E" w:rsidRDefault="00ED3C80" w:rsidP="00ED3C80">
            <w:pPr>
              <w:keepNext/>
              <w:jc w:val="center"/>
              <w:rPr>
                <w:rFonts w:ascii="Arial Narrow" w:eastAsia="Times New Roman" w:hAnsi="Arial Narrow" w:cs="Times New Roman"/>
                <w:color w:val="000000"/>
                <w:sz w:val="20"/>
              </w:rPr>
            </w:pPr>
            <w:r w:rsidRPr="002D478E">
              <w:rPr>
                <w:rFonts w:ascii="Arial Narrow" w:eastAsia="Times New Roman" w:hAnsi="Arial Narrow" w:cs="Times New Roman"/>
                <w:b/>
                <w:bCs/>
                <w:sz w:val="20"/>
              </w:rPr>
              <w:t>$</w:t>
            </w:r>
            <w:r w:rsidR="009B4D1B">
              <w:rPr>
                <w:rFonts w:ascii="Arial Narrow" w:eastAsia="Times New Roman" w:hAnsi="Arial Narrow" w:cs="Times New Roman"/>
                <w:b/>
                <w:bCs/>
                <w:noProof/>
                <w:color w:val="000000"/>
                <w:sz w:val="20"/>
                <w:highlight w:val="black"/>
              </w:rPr>
              <w:t>''''''''''''''''''''</w:t>
            </w:r>
          </w:p>
        </w:tc>
        <w:tc>
          <w:tcPr>
            <w:tcW w:w="739" w:type="pct"/>
            <w:shd w:val="clear" w:color="auto" w:fill="auto"/>
            <w:vAlign w:val="center"/>
          </w:tcPr>
          <w:p w:rsidR="00ED3C80" w:rsidRPr="002D478E" w:rsidRDefault="00ED3C80" w:rsidP="00ED3C80">
            <w:pPr>
              <w:keepNext/>
              <w:jc w:val="center"/>
              <w:rPr>
                <w:rFonts w:ascii="Arial Narrow" w:eastAsia="Times New Roman" w:hAnsi="Arial Narrow" w:cs="Times New Roman"/>
                <w:color w:val="000000"/>
                <w:sz w:val="20"/>
              </w:rPr>
            </w:pPr>
            <w:r w:rsidRPr="002D478E">
              <w:rPr>
                <w:rFonts w:ascii="Arial Narrow" w:eastAsia="Times New Roman" w:hAnsi="Arial Narrow" w:cs="Times New Roman"/>
                <w:b/>
                <w:bCs/>
                <w:sz w:val="20"/>
              </w:rPr>
              <w:t>$</w:t>
            </w:r>
            <w:r w:rsidR="009B4D1B">
              <w:rPr>
                <w:rFonts w:ascii="Arial Narrow" w:eastAsia="Times New Roman" w:hAnsi="Arial Narrow" w:cs="Times New Roman"/>
                <w:b/>
                <w:bCs/>
                <w:noProof/>
                <w:color w:val="000000"/>
                <w:sz w:val="20"/>
                <w:highlight w:val="black"/>
              </w:rPr>
              <w:t>''''''''''''''''''''''</w:t>
            </w:r>
          </w:p>
        </w:tc>
        <w:tc>
          <w:tcPr>
            <w:tcW w:w="832" w:type="pct"/>
            <w:shd w:val="clear" w:color="auto" w:fill="auto"/>
            <w:vAlign w:val="center"/>
          </w:tcPr>
          <w:p w:rsidR="00ED3C80" w:rsidRPr="002D478E" w:rsidRDefault="00ED3C80" w:rsidP="00ED3C80">
            <w:pPr>
              <w:keepNext/>
              <w:jc w:val="center"/>
              <w:rPr>
                <w:rFonts w:ascii="Arial Narrow" w:eastAsia="Times New Roman" w:hAnsi="Arial Narrow" w:cs="Times New Roman"/>
                <w:color w:val="000000"/>
                <w:sz w:val="20"/>
              </w:rPr>
            </w:pPr>
            <w:r w:rsidRPr="002D478E">
              <w:rPr>
                <w:rFonts w:ascii="Arial Narrow" w:eastAsia="Times New Roman" w:hAnsi="Arial Narrow" w:cs="Times New Roman"/>
                <w:b/>
                <w:bCs/>
                <w:sz w:val="20"/>
              </w:rPr>
              <w:t>$</w:t>
            </w:r>
            <w:r w:rsidR="009B4D1B">
              <w:rPr>
                <w:rFonts w:ascii="Arial Narrow" w:eastAsia="Times New Roman" w:hAnsi="Arial Narrow" w:cs="Times New Roman"/>
                <w:b/>
                <w:bCs/>
                <w:noProof/>
                <w:color w:val="000000"/>
                <w:sz w:val="20"/>
                <w:highlight w:val="black"/>
              </w:rPr>
              <w:t>'''''''''''''''''''</w:t>
            </w:r>
          </w:p>
        </w:tc>
        <w:tc>
          <w:tcPr>
            <w:tcW w:w="832" w:type="pct"/>
            <w:shd w:val="clear" w:color="auto" w:fill="auto"/>
            <w:vAlign w:val="center"/>
          </w:tcPr>
          <w:p w:rsidR="00ED3C80" w:rsidRPr="002D478E" w:rsidRDefault="00ED3C80" w:rsidP="00ED3C80">
            <w:pPr>
              <w:keepNext/>
              <w:jc w:val="center"/>
              <w:rPr>
                <w:rFonts w:ascii="Arial Narrow" w:eastAsia="Times New Roman" w:hAnsi="Arial Narrow" w:cs="Times New Roman"/>
                <w:color w:val="000000"/>
                <w:sz w:val="20"/>
              </w:rPr>
            </w:pPr>
            <w:r w:rsidRPr="002D478E">
              <w:rPr>
                <w:rFonts w:ascii="Arial Narrow" w:eastAsia="Times New Roman" w:hAnsi="Arial Narrow" w:cs="Times New Roman"/>
                <w:b/>
                <w:bCs/>
                <w:sz w:val="20"/>
              </w:rPr>
              <w:t>$</w:t>
            </w:r>
            <w:r w:rsidR="009B4D1B">
              <w:rPr>
                <w:rFonts w:ascii="Arial Narrow" w:eastAsia="Times New Roman" w:hAnsi="Arial Narrow" w:cs="Times New Roman"/>
                <w:b/>
                <w:bCs/>
                <w:noProof/>
                <w:color w:val="000000"/>
                <w:sz w:val="20"/>
                <w:highlight w:val="black"/>
              </w:rPr>
              <w:t>'''''''''''''''''''''''</w:t>
            </w:r>
          </w:p>
        </w:tc>
        <w:tc>
          <w:tcPr>
            <w:tcW w:w="822" w:type="pct"/>
            <w:shd w:val="clear" w:color="auto" w:fill="auto"/>
            <w:vAlign w:val="center"/>
          </w:tcPr>
          <w:p w:rsidR="00ED3C80" w:rsidRPr="002D478E" w:rsidRDefault="00ED3C80" w:rsidP="00ED3C80">
            <w:pPr>
              <w:keepNext/>
              <w:jc w:val="center"/>
              <w:rPr>
                <w:rFonts w:ascii="Arial Narrow" w:eastAsia="Times New Roman" w:hAnsi="Arial Narrow" w:cs="Times New Roman"/>
                <w:color w:val="000000"/>
                <w:sz w:val="20"/>
              </w:rPr>
            </w:pPr>
            <w:r w:rsidRPr="002D478E">
              <w:rPr>
                <w:rFonts w:ascii="Arial Narrow" w:eastAsia="Times New Roman" w:hAnsi="Arial Narrow" w:cs="Times New Roman"/>
                <w:b/>
                <w:bCs/>
                <w:sz w:val="20"/>
              </w:rPr>
              <w:t>$</w:t>
            </w:r>
            <w:r w:rsidR="009B4D1B">
              <w:rPr>
                <w:rFonts w:ascii="Arial Narrow" w:eastAsia="Times New Roman" w:hAnsi="Arial Narrow" w:cs="Times New Roman"/>
                <w:b/>
                <w:bCs/>
                <w:noProof/>
                <w:color w:val="000000"/>
                <w:sz w:val="20"/>
                <w:highlight w:val="black"/>
              </w:rPr>
              <w:t>''''''''''''''''''''</w:t>
            </w:r>
          </w:p>
        </w:tc>
      </w:tr>
    </w:tbl>
    <w:p w:rsidR="00ED3C80" w:rsidRPr="002D478E" w:rsidRDefault="00ED3C80" w:rsidP="00002004">
      <w:pPr>
        <w:ind w:firstLine="720"/>
        <w:rPr>
          <w:rFonts w:ascii="Arial Narrow" w:hAnsi="Arial Narrow"/>
          <w:sz w:val="18"/>
          <w:szCs w:val="18"/>
        </w:rPr>
      </w:pPr>
      <w:proofErr w:type="spellStart"/>
      <w:proofErr w:type="gramStart"/>
      <w:r w:rsidRPr="002D478E">
        <w:rPr>
          <w:rFonts w:ascii="Arial Narrow" w:hAnsi="Arial Narrow"/>
          <w:sz w:val="18"/>
          <w:szCs w:val="18"/>
          <w:vertAlign w:val="superscript"/>
        </w:rPr>
        <w:t>a</w:t>
      </w:r>
      <w:proofErr w:type="spellEnd"/>
      <w:proofErr w:type="gramEnd"/>
      <w:r w:rsidRPr="002D478E">
        <w:rPr>
          <w:rFonts w:ascii="Arial Narrow" w:hAnsi="Arial Narrow"/>
          <w:sz w:val="18"/>
          <w:szCs w:val="18"/>
        </w:rPr>
        <w:t xml:space="preserve"> Included services for both bendamustine and rituximab</w:t>
      </w:r>
    </w:p>
    <w:p w:rsidR="00ED3C80" w:rsidRPr="002D478E" w:rsidRDefault="00ED3C80" w:rsidP="00002004">
      <w:pPr>
        <w:ind w:left="720"/>
        <w:rPr>
          <w:rFonts w:ascii="Arial Narrow" w:hAnsi="Arial Narrow"/>
          <w:sz w:val="18"/>
          <w:szCs w:val="18"/>
        </w:rPr>
      </w:pPr>
      <w:r w:rsidRPr="002D478E">
        <w:rPr>
          <w:rFonts w:ascii="Arial Narrow" w:hAnsi="Arial Narrow"/>
          <w:sz w:val="18"/>
          <w:szCs w:val="18"/>
        </w:rPr>
        <w:t>Source: Table 9, p8, Executive Summary of the Commentary; Table E30/E34/E35, p258/p264/p265, Section E of the submission</w:t>
      </w:r>
    </w:p>
    <w:p w:rsidR="00ED3C80" w:rsidRPr="00E271F6" w:rsidRDefault="00ED3C80" w:rsidP="00E271F6">
      <w:pPr>
        <w:pStyle w:val="ListParagraph"/>
        <w:widowControl/>
        <w:rPr>
          <w:szCs w:val="22"/>
        </w:rPr>
      </w:pPr>
    </w:p>
    <w:p w:rsidR="00292C80" w:rsidRDefault="00292C80" w:rsidP="00ED3C80">
      <w:pPr>
        <w:pStyle w:val="ListParagraph"/>
        <w:numPr>
          <w:ilvl w:val="1"/>
          <w:numId w:val="1"/>
        </w:numPr>
        <w:rPr>
          <w:szCs w:val="22"/>
        </w:rPr>
      </w:pPr>
      <w:r>
        <w:rPr>
          <w:szCs w:val="22"/>
        </w:rPr>
        <w:t xml:space="preserve">The redacted table above shows the estimated </w:t>
      </w:r>
      <w:r w:rsidR="00B12EA6">
        <w:rPr>
          <w:szCs w:val="22"/>
        </w:rPr>
        <w:t xml:space="preserve">use and financial implications </w:t>
      </w:r>
      <w:r>
        <w:rPr>
          <w:szCs w:val="22"/>
        </w:rPr>
        <w:t xml:space="preserve">of bendamustine to the PBS, RPBS and MBS for the first-line treatment of iNHL and MCL is less than $10 million in the first year and $10 - $20 million in subsequent years. </w:t>
      </w:r>
    </w:p>
    <w:p w:rsidR="00292C80" w:rsidRDefault="00292C80" w:rsidP="00292C80">
      <w:pPr>
        <w:pStyle w:val="ListParagraph"/>
        <w:rPr>
          <w:szCs w:val="22"/>
        </w:rPr>
      </w:pPr>
    </w:p>
    <w:p w:rsidR="00ED3C80" w:rsidRPr="00ED3C80" w:rsidRDefault="00ED3C80" w:rsidP="00ED3C80">
      <w:pPr>
        <w:pStyle w:val="ListParagraph"/>
        <w:numPr>
          <w:ilvl w:val="1"/>
          <w:numId w:val="1"/>
        </w:numPr>
        <w:rPr>
          <w:szCs w:val="22"/>
        </w:rPr>
      </w:pPr>
      <w:r w:rsidRPr="00ED3C80">
        <w:rPr>
          <w:szCs w:val="22"/>
        </w:rPr>
        <w:t xml:space="preserve">The main issues identified by the DUSC in relation to the </w:t>
      </w:r>
      <w:r>
        <w:rPr>
          <w:szCs w:val="22"/>
        </w:rPr>
        <w:t xml:space="preserve">rituximab-refractory </w:t>
      </w:r>
      <w:r w:rsidR="000C064F">
        <w:rPr>
          <w:szCs w:val="22"/>
        </w:rPr>
        <w:t xml:space="preserve">iNHL </w:t>
      </w:r>
      <w:r>
        <w:rPr>
          <w:szCs w:val="22"/>
        </w:rPr>
        <w:t xml:space="preserve">population </w:t>
      </w:r>
      <w:r w:rsidRPr="00ED3C80">
        <w:rPr>
          <w:szCs w:val="22"/>
        </w:rPr>
        <w:t>were:</w:t>
      </w:r>
    </w:p>
    <w:p w:rsidR="00E271F6" w:rsidRPr="00E271F6" w:rsidRDefault="00E271F6" w:rsidP="00ED3C80">
      <w:pPr>
        <w:pStyle w:val="ListParagraph"/>
        <w:widowControl/>
        <w:numPr>
          <w:ilvl w:val="0"/>
          <w:numId w:val="6"/>
        </w:numPr>
        <w:rPr>
          <w:szCs w:val="22"/>
        </w:rPr>
      </w:pPr>
      <w:r w:rsidRPr="00E271F6">
        <w:rPr>
          <w:szCs w:val="22"/>
        </w:rPr>
        <w:t>The prevalent population is more likely to be the initial patient group; and</w:t>
      </w:r>
    </w:p>
    <w:p w:rsidR="00BA5168" w:rsidRDefault="00BA5168" w:rsidP="00BA5168">
      <w:pPr>
        <w:pStyle w:val="ListParagraph"/>
        <w:widowControl/>
        <w:rPr>
          <w:szCs w:val="22"/>
        </w:rPr>
      </w:pPr>
    </w:p>
    <w:p w:rsidR="00E271F6" w:rsidRPr="00E271F6" w:rsidRDefault="00E271F6" w:rsidP="00ED3C80">
      <w:pPr>
        <w:pStyle w:val="ListParagraph"/>
        <w:widowControl/>
        <w:numPr>
          <w:ilvl w:val="0"/>
          <w:numId w:val="6"/>
        </w:numPr>
        <w:rPr>
          <w:szCs w:val="22"/>
        </w:rPr>
      </w:pPr>
      <w:r w:rsidRPr="00E271F6">
        <w:rPr>
          <w:szCs w:val="22"/>
        </w:rPr>
        <w:t>The timing of the patients in the estimates (where last line treatment oc</w:t>
      </w:r>
      <w:r w:rsidR="00731336">
        <w:rPr>
          <w:szCs w:val="22"/>
        </w:rPr>
        <w:t>curs the year after diagnosis) wa</w:t>
      </w:r>
      <w:r w:rsidRPr="00E271F6">
        <w:rPr>
          <w:szCs w:val="22"/>
        </w:rPr>
        <w:t>s not representative of the disease progression.</w:t>
      </w:r>
    </w:p>
    <w:p w:rsidR="00E271F6" w:rsidRDefault="00E271F6" w:rsidP="00E271F6">
      <w:pPr>
        <w:pStyle w:val="ListParagraph"/>
        <w:widowControl/>
        <w:rPr>
          <w:szCs w:val="22"/>
          <w:highlight w:val="magenta"/>
        </w:rPr>
      </w:pPr>
    </w:p>
    <w:p w:rsidR="002D478E" w:rsidRPr="002D478E" w:rsidRDefault="002D478E" w:rsidP="00002004">
      <w:pPr>
        <w:keepNext/>
        <w:ind w:firstLine="720"/>
        <w:rPr>
          <w:b/>
          <w:sz w:val="20"/>
          <w:szCs w:val="16"/>
        </w:rPr>
      </w:pPr>
      <w:r w:rsidRPr="002D478E">
        <w:rPr>
          <w:b/>
          <w:sz w:val="20"/>
          <w:szCs w:val="16"/>
        </w:rPr>
        <w:lastRenderedPageBreak/>
        <w:t>Estimated use and financial implications (Rituximab-refractory)</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PBS usage &amp; financial implications"/>
        <w:tblDescription w:val="Year 1 to 5 - rituximab-refractory iNHL"/>
      </w:tblPr>
      <w:tblGrid>
        <w:gridCol w:w="1732"/>
        <w:gridCol w:w="1233"/>
        <w:gridCol w:w="1233"/>
        <w:gridCol w:w="1389"/>
        <w:gridCol w:w="1389"/>
        <w:gridCol w:w="1369"/>
      </w:tblGrid>
      <w:tr w:rsidR="002D478E" w:rsidRPr="002D478E" w:rsidTr="00002004">
        <w:trPr>
          <w:tblHeader/>
        </w:trPr>
        <w:tc>
          <w:tcPr>
            <w:tcW w:w="1038" w:type="pct"/>
            <w:shd w:val="clear" w:color="auto" w:fill="auto"/>
            <w:vAlign w:val="center"/>
          </w:tcPr>
          <w:p w:rsidR="002D478E" w:rsidRPr="002D478E" w:rsidRDefault="002D478E" w:rsidP="002D478E">
            <w:pPr>
              <w:keepNext/>
              <w:tabs>
                <w:tab w:val="left" w:pos="142"/>
              </w:tabs>
              <w:jc w:val="left"/>
              <w:rPr>
                <w:rFonts w:ascii="Arial Narrow" w:eastAsia="Times New Roman" w:hAnsi="Arial Narrow" w:cs="Times New Roman"/>
                <w:b/>
                <w:sz w:val="20"/>
              </w:rPr>
            </w:pPr>
          </w:p>
        </w:tc>
        <w:tc>
          <w:tcPr>
            <w:tcW w:w="739" w:type="pct"/>
            <w:shd w:val="clear" w:color="auto" w:fill="auto"/>
            <w:vAlign w:val="center"/>
          </w:tcPr>
          <w:p w:rsidR="002D478E" w:rsidRPr="002D478E" w:rsidRDefault="002D478E" w:rsidP="002D478E">
            <w:pPr>
              <w:keepNext/>
              <w:jc w:val="center"/>
              <w:rPr>
                <w:rFonts w:ascii="Arial Narrow" w:eastAsia="Times New Roman" w:hAnsi="Arial Narrow" w:cs="Times New Roman"/>
                <w:b/>
                <w:sz w:val="20"/>
              </w:rPr>
            </w:pPr>
            <w:r w:rsidRPr="002D478E">
              <w:rPr>
                <w:rFonts w:ascii="Arial Narrow" w:eastAsia="Times New Roman" w:hAnsi="Arial Narrow" w:cs="Times New Roman"/>
                <w:b/>
                <w:sz w:val="20"/>
              </w:rPr>
              <w:t>Year 1</w:t>
            </w:r>
          </w:p>
        </w:tc>
        <w:tc>
          <w:tcPr>
            <w:tcW w:w="739" w:type="pct"/>
            <w:shd w:val="clear" w:color="auto" w:fill="auto"/>
            <w:vAlign w:val="center"/>
          </w:tcPr>
          <w:p w:rsidR="002D478E" w:rsidRPr="002D478E" w:rsidRDefault="002D478E" w:rsidP="002D478E">
            <w:pPr>
              <w:keepNext/>
              <w:jc w:val="center"/>
              <w:rPr>
                <w:rFonts w:ascii="Arial Narrow" w:eastAsia="Times New Roman" w:hAnsi="Arial Narrow" w:cs="Times New Roman"/>
                <w:b/>
                <w:sz w:val="20"/>
              </w:rPr>
            </w:pPr>
            <w:r w:rsidRPr="002D478E">
              <w:rPr>
                <w:rFonts w:ascii="Arial Narrow" w:eastAsia="Times New Roman" w:hAnsi="Arial Narrow" w:cs="Times New Roman"/>
                <w:b/>
                <w:sz w:val="20"/>
              </w:rPr>
              <w:t>Year 2</w:t>
            </w:r>
          </w:p>
        </w:tc>
        <w:tc>
          <w:tcPr>
            <w:tcW w:w="832" w:type="pct"/>
            <w:shd w:val="clear" w:color="auto" w:fill="auto"/>
            <w:vAlign w:val="center"/>
          </w:tcPr>
          <w:p w:rsidR="002D478E" w:rsidRPr="002D478E" w:rsidRDefault="002D478E" w:rsidP="002D478E">
            <w:pPr>
              <w:keepNext/>
              <w:jc w:val="center"/>
              <w:rPr>
                <w:rFonts w:ascii="Arial Narrow" w:eastAsia="Times New Roman" w:hAnsi="Arial Narrow" w:cs="Times New Roman"/>
                <w:b/>
                <w:sz w:val="20"/>
              </w:rPr>
            </w:pPr>
            <w:r w:rsidRPr="002D478E">
              <w:rPr>
                <w:rFonts w:ascii="Arial Narrow" w:eastAsia="Times New Roman" w:hAnsi="Arial Narrow" w:cs="Times New Roman"/>
                <w:b/>
                <w:sz w:val="20"/>
              </w:rPr>
              <w:t>Year 3</w:t>
            </w:r>
          </w:p>
        </w:tc>
        <w:tc>
          <w:tcPr>
            <w:tcW w:w="832" w:type="pct"/>
            <w:shd w:val="clear" w:color="auto" w:fill="auto"/>
            <w:vAlign w:val="center"/>
          </w:tcPr>
          <w:p w:rsidR="002D478E" w:rsidRPr="002D478E" w:rsidRDefault="002D478E" w:rsidP="002D478E">
            <w:pPr>
              <w:keepNext/>
              <w:jc w:val="center"/>
              <w:rPr>
                <w:rFonts w:ascii="Arial Narrow" w:eastAsia="Times New Roman" w:hAnsi="Arial Narrow" w:cs="Times New Roman"/>
                <w:b/>
                <w:sz w:val="20"/>
              </w:rPr>
            </w:pPr>
            <w:r w:rsidRPr="002D478E">
              <w:rPr>
                <w:rFonts w:ascii="Arial Narrow" w:eastAsia="Times New Roman" w:hAnsi="Arial Narrow" w:cs="Times New Roman"/>
                <w:b/>
                <w:sz w:val="20"/>
              </w:rPr>
              <w:t>Year 4</w:t>
            </w:r>
          </w:p>
        </w:tc>
        <w:tc>
          <w:tcPr>
            <w:tcW w:w="822" w:type="pct"/>
            <w:shd w:val="clear" w:color="auto" w:fill="auto"/>
            <w:vAlign w:val="center"/>
          </w:tcPr>
          <w:p w:rsidR="002D478E" w:rsidRPr="002D478E" w:rsidRDefault="002D478E" w:rsidP="002D478E">
            <w:pPr>
              <w:keepNext/>
              <w:jc w:val="center"/>
              <w:rPr>
                <w:rFonts w:ascii="Arial Narrow" w:eastAsia="Times New Roman" w:hAnsi="Arial Narrow" w:cs="Times New Roman"/>
                <w:b/>
                <w:sz w:val="20"/>
              </w:rPr>
            </w:pPr>
            <w:r w:rsidRPr="002D478E">
              <w:rPr>
                <w:rFonts w:ascii="Arial Narrow" w:eastAsia="Times New Roman" w:hAnsi="Arial Narrow" w:cs="Times New Roman"/>
                <w:b/>
                <w:sz w:val="20"/>
              </w:rPr>
              <w:t>Year 5</w:t>
            </w:r>
          </w:p>
        </w:tc>
      </w:tr>
      <w:tr w:rsidR="002D478E" w:rsidRPr="002D478E" w:rsidTr="00002004">
        <w:tc>
          <w:tcPr>
            <w:tcW w:w="5000" w:type="pct"/>
            <w:gridSpan w:val="6"/>
            <w:shd w:val="clear" w:color="auto" w:fill="auto"/>
            <w:vAlign w:val="center"/>
          </w:tcPr>
          <w:p w:rsidR="002D478E" w:rsidRPr="002D478E" w:rsidRDefault="002D478E" w:rsidP="002D478E">
            <w:pPr>
              <w:keepNext/>
              <w:jc w:val="left"/>
              <w:rPr>
                <w:rFonts w:ascii="Arial Narrow" w:eastAsia="Times New Roman" w:hAnsi="Arial Narrow" w:cs="Times New Roman"/>
                <w:b/>
                <w:bCs/>
                <w:color w:val="000000"/>
                <w:sz w:val="20"/>
              </w:rPr>
            </w:pPr>
            <w:r w:rsidRPr="002D478E">
              <w:rPr>
                <w:rFonts w:ascii="Arial Narrow" w:eastAsia="Times New Roman" w:hAnsi="Arial Narrow" w:cs="Times New Roman"/>
                <w:b/>
                <w:bCs/>
                <w:color w:val="000000"/>
                <w:sz w:val="20"/>
              </w:rPr>
              <w:t>Estimated extent of use</w:t>
            </w:r>
          </w:p>
        </w:tc>
      </w:tr>
      <w:tr w:rsidR="002D478E" w:rsidRPr="002D478E" w:rsidTr="00002004">
        <w:tc>
          <w:tcPr>
            <w:tcW w:w="1038" w:type="pct"/>
            <w:shd w:val="clear" w:color="auto" w:fill="auto"/>
            <w:vAlign w:val="center"/>
          </w:tcPr>
          <w:p w:rsidR="002D478E" w:rsidRPr="002D478E" w:rsidRDefault="002D478E" w:rsidP="002D478E">
            <w:pPr>
              <w:keepNext/>
              <w:tabs>
                <w:tab w:val="left" w:pos="142"/>
              </w:tabs>
              <w:jc w:val="left"/>
              <w:rPr>
                <w:rFonts w:ascii="Arial Narrow" w:eastAsia="Times New Roman" w:hAnsi="Arial Narrow" w:cs="Times New Roman"/>
                <w:sz w:val="20"/>
              </w:rPr>
            </w:pPr>
            <w:r w:rsidRPr="002D478E">
              <w:rPr>
                <w:rFonts w:ascii="Arial Narrow" w:eastAsia="Times New Roman" w:hAnsi="Arial Narrow" w:cs="Times New Roman"/>
                <w:sz w:val="20"/>
              </w:rPr>
              <w:t>Number treated</w:t>
            </w:r>
          </w:p>
        </w:tc>
        <w:tc>
          <w:tcPr>
            <w:tcW w:w="739" w:type="pct"/>
            <w:shd w:val="clear" w:color="auto" w:fill="auto"/>
            <w:vAlign w:val="center"/>
          </w:tcPr>
          <w:p w:rsidR="002D478E" w:rsidRPr="009B4D1B" w:rsidRDefault="009B4D1B" w:rsidP="002D478E">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c>
          <w:tcPr>
            <w:tcW w:w="739" w:type="pct"/>
            <w:shd w:val="clear" w:color="auto" w:fill="auto"/>
            <w:vAlign w:val="center"/>
          </w:tcPr>
          <w:p w:rsidR="002D478E" w:rsidRPr="009B4D1B" w:rsidRDefault="009B4D1B" w:rsidP="002D478E">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c>
          <w:tcPr>
            <w:tcW w:w="832" w:type="pct"/>
            <w:shd w:val="clear" w:color="auto" w:fill="auto"/>
            <w:vAlign w:val="center"/>
          </w:tcPr>
          <w:p w:rsidR="002D478E" w:rsidRPr="009B4D1B" w:rsidRDefault="009B4D1B" w:rsidP="002D478E">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c>
          <w:tcPr>
            <w:tcW w:w="832" w:type="pct"/>
            <w:shd w:val="clear" w:color="auto" w:fill="auto"/>
            <w:vAlign w:val="center"/>
          </w:tcPr>
          <w:p w:rsidR="002D478E" w:rsidRPr="009B4D1B" w:rsidRDefault="009B4D1B" w:rsidP="002D478E">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c>
          <w:tcPr>
            <w:tcW w:w="822" w:type="pct"/>
            <w:shd w:val="clear" w:color="auto" w:fill="auto"/>
            <w:vAlign w:val="center"/>
          </w:tcPr>
          <w:p w:rsidR="002D478E" w:rsidRPr="009B4D1B" w:rsidRDefault="009B4D1B" w:rsidP="002D478E">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r>
      <w:tr w:rsidR="002D478E" w:rsidRPr="002D478E" w:rsidTr="00002004">
        <w:trPr>
          <w:trHeight w:hRule="exact" w:val="257"/>
        </w:trPr>
        <w:tc>
          <w:tcPr>
            <w:tcW w:w="1038" w:type="pct"/>
            <w:shd w:val="clear" w:color="auto" w:fill="auto"/>
            <w:vAlign w:val="center"/>
          </w:tcPr>
          <w:p w:rsidR="002D478E" w:rsidRPr="002D478E" w:rsidRDefault="002D478E" w:rsidP="002D478E">
            <w:pPr>
              <w:keepNext/>
              <w:tabs>
                <w:tab w:val="left" w:pos="142"/>
              </w:tabs>
              <w:jc w:val="left"/>
              <w:rPr>
                <w:rFonts w:ascii="Arial Narrow" w:eastAsia="Times New Roman" w:hAnsi="Arial Narrow" w:cs="Times New Roman"/>
                <w:sz w:val="20"/>
              </w:rPr>
            </w:pPr>
            <w:r w:rsidRPr="002D478E">
              <w:rPr>
                <w:rFonts w:ascii="Arial Narrow" w:eastAsia="Times New Roman" w:hAnsi="Arial Narrow" w:cs="Times New Roman"/>
                <w:sz w:val="20"/>
              </w:rPr>
              <w:t>Market share</w:t>
            </w:r>
          </w:p>
        </w:tc>
        <w:tc>
          <w:tcPr>
            <w:tcW w:w="739" w:type="pct"/>
            <w:shd w:val="clear" w:color="auto" w:fill="auto"/>
            <w:vAlign w:val="center"/>
          </w:tcPr>
          <w:p w:rsidR="002D478E" w:rsidRPr="002D478E" w:rsidRDefault="009B4D1B" w:rsidP="002D478E">
            <w:pPr>
              <w:keepNext/>
              <w:jc w:val="center"/>
              <w:rPr>
                <w:rFonts w:ascii="Arial Narrow" w:eastAsia="Times New Roman" w:hAnsi="Arial Narrow" w:cs="Times New Roman"/>
                <w:bCs/>
                <w:color w:val="000000"/>
                <w:sz w:val="20"/>
              </w:rPr>
            </w:pPr>
            <w:r>
              <w:rPr>
                <w:rFonts w:ascii="Arial Narrow" w:eastAsia="Times New Roman" w:hAnsi="Arial Narrow" w:cs="Times New Roman"/>
                <w:bCs/>
                <w:noProof/>
                <w:color w:val="000000"/>
                <w:sz w:val="20"/>
                <w:highlight w:val="black"/>
              </w:rPr>
              <w:t>'''''</w:t>
            </w:r>
            <w:r w:rsidR="002D478E" w:rsidRPr="002D478E">
              <w:rPr>
                <w:rFonts w:ascii="Arial Narrow" w:eastAsia="Times New Roman" w:hAnsi="Arial Narrow" w:cs="Times New Roman"/>
                <w:bCs/>
                <w:color w:val="000000"/>
                <w:sz w:val="20"/>
              </w:rPr>
              <w:t>%</w:t>
            </w:r>
          </w:p>
        </w:tc>
        <w:tc>
          <w:tcPr>
            <w:tcW w:w="739" w:type="pct"/>
            <w:shd w:val="clear" w:color="auto" w:fill="auto"/>
            <w:vAlign w:val="center"/>
          </w:tcPr>
          <w:p w:rsidR="002D478E" w:rsidRPr="002D478E" w:rsidRDefault="009B4D1B" w:rsidP="002D478E">
            <w:pPr>
              <w:keepNext/>
              <w:jc w:val="center"/>
              <w:rPr>
                <w:rFonts w:ascii="Arial Narrow" w:eastAsia="Times New Roman" w:hAnsi="Arial Narrow" w:cs="Times New Roman"/>
                <w:bCs/>
                <w:color w:val="000000"/>
                <w:sz w:val="20"/>
              </w:rPr>
            </w:pPr>
            <w:r>
              <w:rPr>
                <w:rFonts w:ascii="Arial Narrow" w:eastAsia="Times New Roman" w:hAnsi="Arial Narrow" w:cs="Times New Roman"/>
                <w:bCs/>
                <w:noProof/>
                <w:color w:val="000000"/>
                <w:sz w:val="20"/>
                <w:highlight w:val="black"/>
              </w:rPr>
              <w:t>'''''''</w:t>
            </w:r>
            <w:r w:rsidR="002D478E" w:rsidRPr="002D478E">
              <w:rPr>
                <w:rFonts w:ascii="Arial Narrow" w:eastAsia="Times New Roman" w:hAnsi="Arial Narrow" w:cs="Times New Roman"/>
                <w:bCs/>
                <w:color w:val="000000"/>
                <w:sz w:val="20"/>
              </w:rPr>
              <w:t>%</w:t>
            </w:r>
          </w:p>
        </w:tc>
        <w:tc>
          <w:tcPr>
            <w:tcW w:w="832" w:type="pct"/>
            <w:shd w:val="clear" w:color="auto" w:fill="auto"/>
            <w:vAlign w:val="center"/>
          </w:tcPr>
          <w:p w:rsidR="002D478E" w:rsidRPr="002D478E" w:rsidRDefault="009B4D1B" w:rsidP="002D478E">
            <w:pPr>
              <w:keepNext/>
              <w:jc w:val="center"/>
              <w:rPr>
                <w:rFonts w:ascii="Arial Narrow" w:eastAsia="Times New Roman" w:hAnsi="Arial Narrow" w:cs="Times New Roman"/>
                <w:bCs/>
                <w:color w:val="000000"/>
                <w:sz w:val="20"/>
              </w:rPr>
            </w:pPr>
            <w:r>
              <w:rPr>
                <w:rFonts w:ascii="Arial Narrow" w:eastAsia="Times New Roman" w:hAnsi="Arial Narrow" w:cs="Times New Roman"/>
                <w:bCs/>
                <w:noProof/>
                <w:color w:val="000000"/>
                <w:sz w:val="20"/>
                <w:highlight w:val="black"/>
              </w:rPr>
              <w:t>''''''</w:t>
            </w:r>
            <w:r w:rsidR="002D478E" w:rsidRPr="002D478E">
              <w:rPr>
                <w:rFonts w:ascii="Arial Narrow" w:eastAsia="Times New Roman" w:hAnsi="Arial Narrow" w:cs="Times New Roman"/>
                <w:bCs/>
                <w:color w:val="000000"/>
                <w:sz w:val="20"/>
              </w:rPr>
              <w:t>%</w:t>
            </w:r>
          </w:p>
        </w:tc>
        <w:tc>
          <w:tcPr>
            <w:tcW w:w="832" w:type="pct"/>
            <w:shd w:val="clear" w:color="auto" w:fill="auto"/>
            <w:vAlign w:val="center"/>
          </w:tcPr>
          <w:p w:rsidR="002D478E" w:rsidRPr="002D478E" w:rsidRDefault="009B4D1B" w:rsidP="002D478E">
            <w:pPr>
              <w:keepNext/>
              <w:jc w:val="center"/>
              <w:rPr>
                <w:rFonts w:ascii="Arial Narrow" w:eastAsia="Times New Roman" w:hAnsi="Arial Narrow" w:cs="Times New Roman"/>
                <w:bCs/>
                <w:color w:val="000000"/>
                <w:sz w:val="20"/>
              </w:rPr>
            </w:pPr>
            <w:r>
              <w:rPr>
                <w:rFonts w:ascii="Arial Narrow" w:eastAsia="Times New Roman" w:hAnsi="Arial Narrow" w:cs="Times New Roman"/>
                <w:bCs/>
                <w:noProof/>
                <w:color w:val="000000"/>
                <w:sz w:val="20"/>
                <w:highlight w:val="black"/>
              </w:rPr>
              <w:t>'''''</w:t>
            </w:r>
            <w:r w:rsidR="002D478E" w:rsidRPr="002D478E">
              <w:rPr>
                <w:rFonts w:ascii="Arial Narrow" w:eastAsia="Times New Roman" w:hAnsi="Arial Narrow" w:cs="Times New Roman"/>
                <w:bCs/>
                <w:color w:val="000000"/>
                <w:sz w:val="20"/>
              </w:rPr>
              <w:t>%</w:t>
            </w:r>
          </w:p>
        </w:tc>
        <w:tc>
          <w:tcPr>
            <w:tcW w:w="822" w:type="pct"/>
            <w:shd w:val="clear" w:color="auto" w:fill="auto"/>
            <w:vAlign w:val="center"/>
          </w:tcPr>
          <w:p w:rsidR="002D478E" w:rsidRPr="002D478E" w:rsidRDefault="009B4D1B" w:rsidP="002D478E">
            <w:pPr>
              <w:keepNext/>
              <w:jc w:val="center"/>
              <w:rPr>
                <w:rFonts w:ascii="Arial Narrow" w:eastAsia="Times New Roman" w:hAnsi="Arial Narrow" w:cs="Times New Roman"/>
                <w:bCs/>
                <w:color w:val="000000"/>
                <w:sz w:val="20"/>
              </w:rPr>
            </w:pPr>
            <w:r>
              <w:rPr>
                <w:rFonts w:ascii="Arial Narrow" w:eastAsia="Times New Roman" w:hAnsi="Arial Narrow" w:cs="Times New Roman"/>
                <w:bCs/>
                <w:noProof/>
                <w:color w:val="000000"/>
                <w:sz w:val="20"/>
                <w:highlight w:val="black"/>
              </w:rPr>
              <w:t>''''''</w:t>
            </w:r>
            <w:r w:rsidR="002D478E" w:rsidRPr="002D478E">
              <w:rPr>
                <w:rFonts w:ascii="Arial Narrow" w:eastAsia="Times New Roman" w:hAnsi="Arial Narrow" w:cs="Times New Roman"/>
                <w:bCs/>
                <w:color w:val="000000"/>
                <w:sz w:val="20"/>
              </w:rPr>
              <w:t>%</w:t>
            </w:r>
          </w:p>
        </w:tc>
      </w:tr>
      <w:tr w:rsidR="002D478E" w:rsidRPr="002D478E" w:rsidTr="00002004">
        <w:tc>
          <w:tcPr>
            <w:tcW w:w="1038" w:type="pct"/>
            <w:shd w:val="clear" w:color="auto" w:fill="auto"/>
            <w:vAlign w:val="center"/>
          </w:tcPr>
          <w:p w:rsidR="002D478E" w:rsidRPr="002D478E" w:rsidRDefault="002D478E" w:rsidP="002D478E">
            <w:pPr>
              <w:keepNext/>
              <w:tabs>
                <w:tab w:val="left" w:pos="142"/>
              </w:tabs>
              <w:jc w:val="left"/>
              <w:rPr>
                <w:rFonts w:ascii="Arial Narrow" w:eastAsia="Times New Roman" w:hAnsi="Arial Narrow" w:cs="Times New Roman"/>
                <w:sz w:val="20"/>
              </w:rPr>
            </w:pPr>
            <w:proofErr w:type="spellStart"/>
            <w:r w:rsidRPr="002D478E">
              <w:rPr>
                <w:rFonts w:ascii="Arial Narrow" w:eastAsia="Times New Roman" w:hAnsi="Arial Narrow" w:cs="Times New Roman"/>
                <w:sz w:val="20"/>
              </w:rPr>
              <w:t>Scripts</w:t>
            </w:r>
            <w:r w:rsidRPr="002D478E">
              <w:rPr>
                <w:rFonts w:ascii="Arial Narrow" w:eastAsia="Times New Roman" w:hAnsi="Arial Narrow" w:cs="Times New Roman"/>
                <w:sz w:val="20"/>
                <w:vertAlign w:val="superscript"/>
              </w:rPr>
              <w:t>a</w:t>
            </w:r>
            <w:proofErr w:type="spellEnd"/>
          </w:p>
        </w:tc>
        <w:tc>
          <w:tcPr>
            <w:tcW w:w="739" w:type="pct"/>
            <w:shd w:val="clear" w:color="auto" w:fill="auto"/>
            <w:vAlign w:val="center"/>
          </w:tcPr>
          <w:p w:rsidR="002D478E" w:rsidRPr="009B4D1B" w:rsidRDefault="009B4D1B" w:rsidP="002D478E">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c>
          <w:tcPr>
            <w:tcW w:w="739" w:type="pct"/>
            <w:shd w:val="clear" w:color="auto" w:fill="auto"/>
            <w:vAlign w:val="center"/>
          </w:tcPr>
          <w:p w:rsidR="002D478E" w:rsidRPr="009B4D1B" w:rsidRDefault="009B4D1B" w:rsidP="002D478E">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c>
          <w:tcPr>
            <w:tcW w:w="832" w:type="pct"/>
            <w:shd w:val="clear" w:color="auto" w:fill="auto"/>
            <w:vAlign w:val="center"/>
          </w:tcPr>
          <w:p w:rsidR="002D478E" w:rsidRPr="009B4D1B" w:rsidRDefault="009B4D1B" w:rsidP="002D478E">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c>
          <w:tcPr>
            <w:tcW w:w="832" w:type="pct"/>
            <w:shd w:val="clear" w:color="auto" w:fill="auto"/>
            <w:vAlign w:val="center"/>
          </w:tcPr>
          <w:p w:rsidR="002D478E" w:rsidRPr="009B4D1B" w:rsidRDefault="009B4D1B" w:rsidP="002D478E">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c>
          <w:tcPr>
            <w:tcW w:w="822" w:type="pct"/>
            <w:shd w:val="clear" w:color="auto" w:fill="auto"/>
            <w:vAlign w:val="center"/>
          </w:tcPr>
          <w:p w:rsidR="002D478E" w:rsidRPr="009B4D1B" w:rsidRDefault="009B4D1B" w:rsidP="002D478E">
            <w:pPr>
              <w:keepNext/>
              <w:jc w:val="center"/>
              <w:rPr>
                <w:rFonts w:ascii="Arial Narrow" w:eastAsia="Times New Roman" w:hAnsi="Arial Narrow" w:cs="Times New Roman"/>
                <w:bCs/>
                <w:color w:val="000000"/>
                <w:sz w:val="20"/>
                <w:highlight w:val="black"/>
              </w:rPr>
            </w:pPr>
            <w:r>
              <w:rPr>
                <w:rFonts w:ascii="Arial Narrow" w:eastAsia="Times New Roman" w:hAnsi="Arial Narrow" w:cs="Times New Roman"/>
                <w:bCs/>
                <w:noProof/>
                <w:color w:val="000000"/>
                <w:sz w:val="20"/>
                <w:highlight w:val="black"/>
              </w:rPr>
              <w:t>'''''''''</w:t>
            </w:r>
          </w:p>
        </w:tc>
      </w:tr>
      <w:tr w:rsidR="002D478E" w:rsidRPr="002D478E" w:rsidTr="00002004">
        <w:tc>
          <w:tcPr>
            <w:tcW w:w="5000" w:type="pct"/>
            <w:gridSpan w:val="6"/>
            <w:shd w:val="clear" w:color="auto" w:fill="auto"/>
            <w:vAlign w:val="center"/>
          </w:tcPr>
          <w:p w:rsidR="002D478E" w:rsidRPr="002D478E" w:rsidRDefault="002D478E" w:rsidP="002D478E">
            <w:pPr>
              <w:keepNext/>
              <w:jc w:val="left"/>
              <w:rPr>
                <w:rFonts w:ascii="Arial Narrow" w:eastAsia="Times New Roman" w:hAnsi="Arial Narrow" w:cs="Times New Roman"/>
                <w:b/>
                <w:bCs/>
                <w:color w:val="000000"/>
                <w:sz w:val="20"/>
              </w:rPr>
            </w:pPr>
            <w:r w:rsidRPr="002D478E">
              <w:rPr>
                <w:rFonts w:ascii="Arial Narrow" w:eastAsia="Times New Roman" w:hAnsi="Arial Narrow" w:cs="Times New Roman"/>
                <w:b/>
                <w:bCs/>
                <w:color w:val="000000"/>
                <w:sz w:val="20"/>
              </w:rPr>
              <w:t>Estimated net cost to PBS/RPBS/MBS</w:t>
            </w:r>
          </w:p>
        </w:tc>
      </w:tr>
      <w:tr w:rsidR="002D478E" w:rsidRPr="002D478E" w:rsidTr="00002004">
        <w:tc>
          <w:tcPr>
            <w:tcW w:w="1038" w:type="pct"/>
            <w:shd w:val="clear" w:color="auto" w:fill="auto"/>
            <w:vAlign w:val="center"/>
          </w:tcPr>
          <w:p w:rsidR="002D478E" w:rsidRPr="002D478E" w:rsidRDefault="002D478E" w:rsidP="002D478E">
            <w:pPr>
              <w:keepNext/>
              <w:tabs>
                <w:tab w:val="left" w:pos="142"/>
              </w:tabs>
              <w:jc w:val="left"/>
              <w:rPr>
                <w:rFonts w:ascii="Arial Narrow" w:eastAsia="Times New Roman" w:hAnsi="Arial Narrow" w:cs="Times New Roman"/>
                <w:sz w:val="20"/>
              </w:rPr>
            </w:pPr>
            <w:r w:rsidRPr="002D478E">
              <w:rPr>
                <w:rFonts w:ascii="Arial Narrow" w:eastAsia="Times New Roman" w:hAnsi="Arial Narrow" w:cs="Times New Roman"/>
                <w:sz w:val="19"/>
                <w:szCs w:val="19"/>
              </w:rPr>
              <w:t>Net cost to PBS/RPBS</w:t>
            </w:r>
          </w:p>
        </w:tc>
        <w:tc>
          <w:tcPr>
            <w:tcW w:w="739" w:type="pct"/>
            <w:shd w:val="clear" w:color="auto" w:fill="auto"/>
            <w:vAlign w:val="center"/>
          </w:tcPr>
          <w:p w:rsidR="002D478E" w:rsidRPr="002D478E" w:rsidRDefault="002D478E" w:rsidP="002D478E">
            <w:pPr>
              <w:keepNext/>
              <w:jc w:val="right"/>
              <w:rPr>
                <w:rFonts w:ascii="Arial Narrow" w:eastAsia="Times New Roman" w:hAnsi="Arial Narrow" w:cs="Times New Roman"/>
                <w:bCs/>
                <w:color w:val="000000"/>
                <w:sz w:val="20"/>
              </w:rPr>
            </w:pPr>
            <w:r w:rsidRPr="002D478E">
              <w:rPr>
                <w:rFonts w:ascii="Arial Narrow" w:eastAsia="Times New Roman" w:hAnsi="Arial Narrow" w:cs="Times New Roman"/>
                <w:sz w:val="20"/>
              </w:rPr>
              <w:t>$</w:t>
            </w:r>
            <w:r w:rsidR="009B4D1B">
              <w:rPr>
                <w:rFonts w:ascii="Arial Narrow" w:eastAsia="Times New Roman" w:hAnsi="Arial Narrow" w:cs="Times New Roman"/>
                <w:noProof/>
                <w:color w:val="000000"/>
                <w:sz w:val="20"/>
                <w:highlight w:val="black"/>
              </w:rPr>
              <w:t>'''''''''''''''''''''''''</w:t>
            </w:r>
          </w:p>
        </w:tc>
        <w:tc>
          <w:tcPr>
            <w:tcW w:w="739" w:type="pct"/>
            <w:shd w:val="clear" w:color="auto" w:fill="auto"/>
            <w:vAlign w:val="center"/>
          </w:tcPr>
          <w:p w:rsidR="002D478E" w:rsidRPr="002D478E" w:rsidRDefault="002D478E" w:rsidP="002D478E">
            <w:pPr>
              <w:keepNext/>
              <w:jc w:val="right"/>
              <w:rPr>
                <w:rFonts w:ascii="Arial Narrow" w:eastAsia="Times New Roman" w:hAnsi="Arial Narrow" w:cs="Times New Roman"/>
                <w:bCs/>
                <w:color w:val="000000"/>
                <w:sz w:val="20"/>
              </w:rPr>
            </w:pPr>
            <w:r w:rsidRPr="002D478E">
              <w:rPr>
                <w:rFonts w:ascii="Arial Narrow" w:eastAsia="Times New Roman" w:hAnsi="Arial Narrow" w:cs="Times New Roman"/>
                <w:sz w:val="20"/>
              </w:rPr>
              <w:t>$</w:t>
            </w:r>
            <w:r w:rsidR="009B4D1B">
              <w:rPr>
                <w:rFonts w:ascii="Arial Narrow" w:eastAsia="Times New Roman" w:hAnsi="Arial Narrow" w:cs="Times New Roman"/>
                <w:noProof/>
                <w:color w:val="000000"/>
                <w:sz w:val="20"/>
                <w:highlight w:val="black"/>
              </w:rPr>
              <w:t>'''''''''''''''''''''''''</w:t>
            </w:r>
          </w:p>
        </w:tc>
        <w:tc>
          <w:tcPr>
            <w:tcW w:w="832" w:type="pct"/>
            <w:shd w:val="clear" w:color="auto" w:fill="auto"/>
            <w:vAlign w:val="center"/>
          </w:tcPr>
          <w:p w:rsidR="002D478E" w:rsidRPr="002D478E" w:rsidRDefault="002D478E" w:rsidP="002D478E">
            <w:pPr>
              <w:keepNext/>
              <w:jc w:val="right"/>
              <w:rPr>
                <w:rFonts w:ascii="Arial Narrow" w:eastAsia="Times New Roman" w:hAnsi="Arial Narrow" w:cs="Times New Roman"/>
                <w:bCs/>
                <w:color w:val="000000"/>
                <w:sz w:val="20"/>
              </w:rPr>
            </w:pPr>
            <w:r w:rsidRPr="002D478E">
              <w:rPr>
                <w:rFonts w:ascii="Arial Narrow" w:eastAsia="Times New Roman" w:hAnsi="Arial Narrow" w:cs="Times New Roman"/>
                <w:sz w:val="20"/>
              </w:rPr>
              <w:t>$</w:t>
            </w:r>
            <w:r w:rsidR="009B4D1B">
              <w:rPr>
                <w:rFonts w:ascii="Arial Narrow" w:eastAsia="Times New Roman" w:hAnsi="Arial Narrow" w:cs="Times New Roman"/>
                <w:noProof/>
                <w:color w:val="000000"/>
                <w:sz w:val="20"/>
                <w:highlight w:val="black"/>
              </w:rPr>
              <w:t>''''''''''''''''''''''</w:t>
            </w:r>
          </w:p>
        </w:tc>
        <w:tc>
          <w:tcPr>
            <w:tcW w:w="832" w:type="pct"/>
            <w:shd w:val="clear" w:color="auto" w:fill="auto"/>
            <w:vAlign w:val="center"/>
          </w:tcPr>
          <w:p w:rsidR="002D478E" w:rsidRPr="002D478E" w:rsidRDefault="002D478E" w:rsidP="002D478E">
            <w:pPr>
              <w:keepNext/>
              <w:jc w:val="right"/>
              <w:rPr>
                <w:rFonts w:ascii="Arial Narrow" w:eastAsia="Times New Roman" w:hAnsi="Arial Narrow" w:cs="Times New Roman"/>
                <w:bCs/>
                <w:color w:val="000000"/>
                <w:sz w:val="20"/>
              </w:rPr>
            </w:pPr>
            <w:r w:rsidRPr="002D478E">
              <w:rPr>
                <w:rFonts w:ascii="Arial Narrow" w:eastAsia="Times New Roman" w:hAnsi="Arial Narrow" w:cs="Times New Roman"/>
                <w:sz w:val="20"/>
              </w:rPr>
              <w:t>$</w:t>
            </w:r>
            <w:r w:rsidR="009B4D1B">
              <w:rPr>
                <w:rFonts w:ascii="Arial Narrow" w:eastAsia="Times New Roman" w:hAnsi="Arial Narrow" w:cs="Times New Roman"/>
                <w:noProof/>
                <w:color w:val="000000"/>
                <w:sz w:val="20"/>
                <w:highlight w:val="black"/>
              </w:rPr>
              <w:t>'''''''''''''''''''''''''</w:t>
            </w:r>
          </w:p>
        </w:tc>
        <w:tc>
          <w:tcPr>
            <w:tcW w:w="822" w:type="pct"/>
            <w:shd w:val="clear" w:color="auto" w:fill="auto"/>
            <w:vAlign w:val="center"/>
          </w:tcPr>
          <w:p w:rsidR="002D478E" w:rsidRPr="002D478E" w:rsidRDefault="002D478E" w:rsidP="002D478E">
            <w:pPr>
              <w:keepNext/>
              <w:jc w:val="right"/>
              <w:rPr>
                <w:rFonts w:ascii="Arial Narrow" w:eastAsia="Times New Roman" w:hAnsi="Arial Narrow" w:cs="Times New Roman"/>
                <w:bCs/>
                <w:color w:val="000000"/>
                <w:sz w:val="20"/>
              </w:rPr>
            </w:pPr>
            <w:r w:rsidRPr="002D478E">
              <w:rPr>
                <w:rFonts w:ascii="Arial Narrow" w:eastAsia="Times New Roman" w:hAnsi="Arial Narrow" w:cs="Times New Roman"/>
                <w:sz w:val="20"/>
              </w:rPr>
              <w:t>$</w:t>
            </w:r>
            <w:r w:rsidR="009B4D1B">
              <w:rPr>
                <w:rFonts w:ascii="Arial Narrow" w:eastAsia="Times New Roman" w:hAnsi="Arial Narrow" w:cs="Times New Roman"/>
                <w:noProof/>
                <w:color w:val="000000"/>
                <w:sz w:val="20"/>
                <w:highlight w:val="black"/>
              </w:rPr>
              <w:t>'''''''''''''''''''''''''</w:t>
            </w:r>
          </w:p>
        </w:tc>
      </w:tr>
      <w:tr w:rsidR="002D478E" w:rsidRPr="002D478E" w:rsidTr="00002004">
        <w:tc>
          <w:tcPr>
            <w:tcW w:w="1038" w:type="pct"/>
            <w:shd w:val="clear" w:color="auto" w:fill="auto"/>
            <w:vAlign w:val="center"/>
          </w:tcPr>
          <w:p w:rsidR="002D478E" w:rsidRPr="002D478E" w:rsidRDefault="002D478E" w:rsidP="002D478E">
            <w:pPr>
              <w:keepNext/>
              <w:tabs>
                <w:tab w:val="left" w:pos="142"/>
              </w:tabs>
              <w:jc w:val="left"/>
              <w:rPr>
                <w:rFonts w:ascii="Arial Narrow" w:eastAsia="Times New Roman" w:hAnsi="Arial Narrow" w:cs="Times New Roman"/>
                <w:sz w:val="20"/>
              </w:rPr>
            </w:pPr>
            <w:r w:rsidRPr="002D478E">
              <w:rPr>
                <w:rFonts w:ascii="Arial Narrow" w:eastAsia="Times New Roman" w:hAnsi="Arial Narrow" w:cs="Times New Roman"/>
                <w:sz w:val="19"/>
                <w:szCs w:val="19"/>
              </w:rPr>
              <w:t>Net cost to MBS</w:t>
            </w:r>
          </w:p>
        </w:tc>
        <w:tc>
          <w:tcPr>
            <w:tcW w:w="739" w:type="pct"/>
            <w:shd w:val="clear" w:color="auto" w:fill="auto"/>
            <w:vAlign w:val="center"/>
          </w:tcPr>
          <w:p w:rsidR="002D478E" w:rsidRPr="002D478E" w:rsidRDefault="002D478E" w:rsidP="002D478E">
            <w:pPr>
              <w:keepNext/>
              <w:jc w:val="right"/>
              <w:rPr>
                <w:rFonts w:ascii="Arial Narrow" w:eastAsia="Times New Roman" w:hAnsi="Arial Narrow" w:cs="Times New Roman"/>
                <w:bCs/>
                <w:color w:val="000000"/>
                <w:sz w:val="20"/>
              </w:rPr>
            </w:pPr>
            <w:r w:rsidRPr="002D478E">
              <w:rPr>
                <w:rFonts w:ascii="Arial Narrow" w:eastAsia="Times New Roman" w:hAnsi="Arial Narrow" w:cs="Times New Roman"/>
                <w:bCs/>
                <w:sz w:val="20"/>
              </w:rPr>
              <w:t>$</w:t>
            </w:r>
            <w:r w:rsidR="009B4D1B">
              <w:rPr>
                <w:rFonts w:ascii="Arial Narrow" w:eastAsia="Times New Roman" w:hAnsi="Arial Narrow" w:cs="Times New Roman"/>
                <w:bCs/>
                <w:noProof/>
                <w:color w:val="000000"/>
                <w:sz w:val="20"/>
                <w:highlight w:val="black"/>
              </w:rPr>
              <w:t>'''''''''''''''</w:t>
            </w:r>
          </w:p>
        </w:tc>
        <w:tc>
          <w:tcPr>
            <w:tcW w:w="739" w:type="pct"/>
            <w:shd w:val="clear" w:color="auto" w:fill="auto"/>
            <w:vAlign w:val="center"/>
          </w:tcPr>
          <w:p w:rsidR="002D478E" w:rsidRPr="002D478E" w:rsidRDefault="002D478E" w:rsidP="002D478E">
            <w:pPr>
              <w:keepNext/>
              <w:jc w:val="right"/>
              <w:rPr>
                <w:rFonts w:ascii="Arial Narrow" w:eastAsia="Times New Roman" w:hAnsi="Arial Narrow" w:cs="Times New Roman"/>
                <w:bCs/>
                <w:color w:val="000000"/>
                <w:sz w:val="20"/>
              </w:rPr>
            </w:pPr>
            <w:r w:rsidRPr="002D478E">
              <w:rPr>
                <w:rFonts w:ascii="Arial Narrow" w:eastAsia="Times New Roman" w:hAnsi="Arial Narrow" w:cs="Times New Roman"/>
                <w:bCs/>
                <w:sz w:val="20"/>
              </w:rPr>
              <w:t>$</w:t>
            </w:r>
            <w:r w:rsidR="009B4D1B">
              <w:rPr>
                <w:rFonts w:ascii="Arial Narrow" w:eastAsia="Times New Roman" w:hAnsi="Arial Narrow" w:cs="Times New Roman"/>
                <w:bCs/>
                <w:noProof/>
                <w:color w:val="000000"/>
                <w:sz w:val="20"/>
                <w:highlight w:val="black"/>
              </w:rPr>
              <w:t>''''''''''''''''</w:t>
            </w:r>
          </w:p>
        </w:tc>
        <w:tc>
          <w:tcPr>
            <w:tcW w:w="832" w:type="pct"/>
            <w:shd w:val="clear" w:color="auto" w:fill="auto"/>
            <w:vAlign w:val="center"/>
          </w:tcPr>
          <w:p w:rsidR="002D478E" w:rsidRPr="002D478E" w:rsidRDefault="002D478E" w:rsidP="002D478E">
            <w:pPr>
              <w:keepNext/>
              <w:jc w:val="right"/>
              <w:rPr>
                <w:rFonts w:ascii="Arial Narrow" w:eastAsia="Times New Roman" w:hAnsi="Arial Narrow" w:cs="Times New Roman"/>
                <w:bCs/>
                <w:color w:val="000000"/>
                <w:sz w:val="20"/>
              </w:rPr>
            </w:pPr>
            <w:r w:rsidRPr="002D478E">
              <w:rPr>
                <w:rFonts w:ascii="Arial Narrow" w:eastAsia="Times New Roman" w:hAnsi="Arial Narrow" w:cs="Times New Roman"/>
                <w:bCs/>
                <w:sz w:val="20"/>
              </w:rPr>
              <w:t>$</w:t>
            </w:r>
            <w:r w:rsidR="009B4D1B">
              <w:rPr>
                <w:rFonts w:ascii="Arial Narrow" w:eastAsia="Times New Roman" w:hAnsi="Arial Narrow" w:cs="Times New Roman"/>
                <w:bCs/>
                <w:noProof/>
                <w:color w:val="000000"/>
                <w:sz w:val="20"/>
                <w:highlight w:val="black"/>
              </w:rPr>
              <w:t>''''''''''''''''</w:t>
            </w:r>
          </w:p>
        </w:tc>
        <w:tc>
          <w:tcPr>
            <w:tcW w:w="832" w:type="pct"/>
            <w:shd w:val="clear" w:color="auto" w:fill="auto"/>
            <w:vAlign w:val="center"/>
          </w:tcPr>
          <w:p w:rsidR="002D478E" w:rsidRPr="002D478E" w:rsidRDefault="002D478E" w:rsidP="002D478E">
            <w:pPr>
              <w:keepNext/>
              <w:jc w:val="right"/>
              <w:rPr>
                <w:rFonts w:ascii="Arial Narrow" w:eastAsia="Times New Roman" w:hAnsi="Arial Narrow" w:cs="Times New Roman"/>
                <w:bCs/>
                <w:color w:val="000000"/>
                <w:sz w:val="20"/>
              </w:rPr>
            </w:pPr>
            <w:r w:rsidRPr="002D478E">
              <w:rPr>
                <w:rFonts w:ascii="Arial Narrow" w:eastAsia="Times New Roman" w:hAnsi="Arial Narrow" w:cs="Times New Roman"/>
                <w:bCs/>
                <w:sz w:val="20"/>
              </w:rPr>
              <w:t>$</w:t>
            </w:r>
            <w:r w:rsidR="009B4D1B">
              <w:rPr>
                <w:rFonts w:ascii="Arial Narrow" w:eastAsia="Times New Roman" w:hAnsi="Arial Narrow" w:cs="Times New Roman"/>
                <w:bCs/>
                <w:noProof/>
                <w:color w:val="000000"/>
                <w:sz w:val="20"/>
                <w:highlight w:val="black"/>
              </w:rPr>
              <w:t>'''''''''''''''''</w:t>
            </w:r>
          </w:p>
        </w:tc>
        <w:tc>
          <w:tcPr>
            <w:tcW w:w="822" w:type="pct"/>
            <w:shd w:val="clear" w:color="auto" w:fill="auto"/>
            <w:vAlign w:val="center"/>
          </w:tcPr>
          <w:p w:rsidR="002D478E" w:rsidRPr="002D478E" w:rsidRDefault="002D478E" w:rsidP="002D478E">
            <w:pPr>
              <w:keepNext/>
              <w:jc w:val="right"/>
              <w:rPr>
                <w:rFonts w:ascii="Arial Narrow" w:eastAsia="Times New Roman" w:hAnsi="Arial Narrow" w:cs="Times New Roman"/>
                <w:bCs/>
                <w:color w:val="000000"/>
                <w:sz w:val="20"/>
              </w:rPr>
            </w:pPr>
            <w:r w:rsidRPr="002D478E">
              <w:rPr>
                <w:rFonts w:ascii="Arial Narrow" w:eastAsia="Times New Roman" w:hAnsi="Arial Narrow" w:cs="Times New Roman"/>
                <w:bCs/>
                <w:sz w:val="20"/>
              </w:rPr>
              <w:t>$</w:t>
            </w:r>
            <w:r w:rsidR="009B4D1B">
              <w:rPr>
                <w:rFonts w:ascii="Arial Narrow" w:eastAsia="Times New Roman" w:hAnsi="Arial Narrow" w:cs="Times New Roman"/>
                <w:bCs/>
                <w:noProof/>
                <w:color w:val="000000"/>
                <w:sz w:val="20"/>
                <w:highlight w:val="black"/>
              </w:rPr>
              <w:t>''''''''''''''''</w:t>
            </w:r>
          </w:p>
        </w:tc>
      </w:tr>
      <w:tr w:rsidR="002D478E" w:rsidRPr="002D478E" w:rsidTr="00002004">
        <w:tc>
          <w:tcPr>
            <w:tcW w:w="5000" w:type="pct"/>
            <w:gridSpan w:val="6"/>
            <w:shd w:val="clear" w:color="auto" w:fill="auto"/>
            <w:vAlign w:val="center"/>
          </w:tcPr>
          <w:p w:rsidR="002D478E" w:rsidRPr="002D478E" w:rsidRDefault="002D478E" w:rsidP="002D478E">
            <w:pPr>
              <w:keepNext/>
              <w:jc w:val="left"/>
              <w:rPr>
                <w:rFonts w:ascii="Arial Narrow" w:eastAsia="Times New Roman" w:hAnsi="Arial Narrow" w:cs="Times New Roman"/>
                <w:b/>
                <w:color w:val="000000"/>
                <w:sz w:val="20"/>
              </w:rPr>
            </w:pPr>
            <w:r w:rsidRPr="002D478E">
              <w:rPr>
                <w:rFonts w:ascii="Arial Narrow" w:eastAsia="Times New Roman" w:hAnsi="Arial Narrow" w:cs="Times New Roman"/>
                <w:b/>
                <w:color w:val="000000"/>
                <w:sz w:val="20"/>
              </w:rPr>
              <w:t>Estimated total net cost</w:t>
            </w:r>
          </w:p>
        </w:tc>
      </w:tr>
      <w:tr w:rsidR="002D478E" w:rsidRPr="002D478E" w:rsidTr="00002004">
        <w:tc>
          <w:tcPr>
            <w:tcW w:w="1038" w:type="pct"/>
            <w:shd w:val="clear" w:color="auto" w:fill="auto"/>
            <w:vAlign w:val="center"/>
          </w:tcPr>
          <w:p w:rsidR="002D478E" w:rsidRPr="002D478E" w:rsidRDefault="002D478E" w:rsidP="002D478E">
            <w:pPr>
              <w:keepNext/>
              <w:tabs>
                <w:tab w:val="left" w:pos="142"/>
              </w:tabs>
              <w:jc w:val="left"/>
              <w:rPr>
                <w:rFonts w:ascii="Arial Narrow" w:eastAsia="Times New Roman" w:hAnsi="Arial Narrow" w:cs="Times New Roman"/>
                <w:b/>
                <w:sz w:val="20"/>
              </w:rPr>
            </w:pPr>
            <w:r w:rsidRPr="002D478E">
              <w:rPr>
                <w:rFonts w:ascii="Arial Narrow" w:eastAsia="Times New Roman" w:hAnsi="Arial Narrow" w:cs="Times New Roman"/>
                <w:b/>
                <w:bCs/>
                <w:color w:val="000000"/>
                <w:sz w:val="20"/>
              </w:rPr>
              <w:t>Net cost to PBS/RPBS/MBS</w:t>
            </w:r>
          </w:p>
        </w:tc>
        <w:tc>
          <w:tcPr>
            <w:tcW w:w="739" w:type="pct"/>
            <w:shd w:val="clear" w:color="auto" w:fill="auto"/>
            <w:vAlign w:val="center"/>
          </w:tcPr>
          <w:p w:rsidR="002D478E" w:rsidRPr="002D478E" w:rsidRDefault="002D478E" w:rsidP="002D478E">
            <w:pPr>
              <w:keepNext/>
              <w:jc w:val="right"/>
              <w:rPr>
                <w:rFonts w:ascii="Arial Narrow" w:eastAsia="Times New Roman" w:hAnsi="Arial Narrow" w:cs="Times New Roman"/>
                <w:color w:val="000000"/>
                <w:sz w:val="20"/>
              </w:rPr>
            </w:pPr>
            <w:r w:rsidRPr="002D478E">
              <w:rPr>
                <w:rFonts w:ascii="Arial Narrow" w:eastAsia="Times New Roman" w:hAnsi="Arial Narrow" w:cs="Times New Roman"/>
                <w:b/>
                <w:bCs/>
                <w:sz w:val="20"/>
              </w:rPr>
              <w:t>$</w:t>
            </w:r>
            <w:r w:rsidR="009B4D1B">
              <w:rPr>
                <w:rFonts w:ascii="Arial Narrow" w:eastAsia="Times New Roman" w:hAnsi="Arial Narrow" w:cs="Times New Roman"/>
                <w:b/>
                <w:bCs/>
                <w:noProof/>
                <w:color w:val="000000"/>
                <w:sz w:val="20"/>
                <w:highlight w:val="black"/>
              </w:rPr>
              <w:t>'''''''''''''''''''''</w:t>
            </w:r>
          </w:p>
        </w:tc>
        <w:tc>
          <w:tcPr>
            <w:tcW w:w="739" w:type="pct"/>
            <w:shd w:val="clear" w:color="auto" w:fill="auto"/>
            <w:vAlign w:val="center"/>
          </w:tcPr>
          <w:p w:rsidR="002D478E" w:rsidRPr="002D478E" w:rsidRDefault="002D478E" w:rsidP="002D478E">
            <w:pPr>
              <w:keepNext/>
              <w:jc w:val="right"/>
              <w:rPr>
                <w:rFonts w:ascii="Arial Narrow" w:eastAsia="Times New Roman" w:hAnsi="Arial Narrow" w:cs="Times New Roman"/>
                <w:color w:val="000000"/>
                <w:sz w:val="20"/>
              </w:rPr>
            </w:pPr>
            <w:r w:rsidRPr="002D478E">
              <w:rPr>
                <w:rFonts w:ascii="Arial Narrow" w:eastAsia="Times New Roman" w:hAnsi="Arial Narrow" w:cs="Times New Roman"/>
                <w:b/>
                <w:bCs/>
                <w:sz w:val="20"/>
              </w:rPr>
              <w:t>$</w:t>
            </w:r>
            <w:r w:rsidR="009B4D1B">
              <w:rPr>
                <w:rFonts w:ascii="Arial Narrow" w:eastAsia="Times New Roman" w:hAnsi="Arial Narrow" w:cs="Times New Roman"/>
                <w:b/>
                <w:bCs/>
                <w:noProof/>
                <w:color w:val="000000"/>
                <w:sz w:val="20"/>
                <w:highlight w:val="black"/>
              </w:rPr>
              <w:t>'''''''''''''''''</w:t>
            </w:r>
          </w:p>
        </w:tc>
        <w:tc>
          <w:tcPr>
            <w:tcW w:w="832" w:type="pct"/>
            <w:shd w:val="clear" w:color="auto" w:fill="auto"/>
            <w:vAlign w:val="center"/>
          </w:tcPr>
          <w:p w:rsidR="002D478E" w:rsidRPr="002D478E" w:rsidRDefault="002D478E" w:rsidP="002D478E">
            <w:pPr>
              <w:keepNext/>
              <w:jc w:val="right"/>
              <w:rPr>
                <w:rFonts w:ascii="Arial Narrow" w:eastAsia="Times New Roman" w:hAnsi="Arial Narrow" w:cs="Times New Roman"/>
                <w:color w:val="000000"/>
                <w:sz w:val="20"/>
              </w:rPr>
            </w:pPr>
            <w:r w:rsidRPr="002D478E">
              <w:rPr>
                <w:rFonts w:ascii="Arial Narrow" w:eastAsia="Times New Roman" w:hAnsi="Arial Narrow" w:cs="Times New Roman"/>
                <w:b/>
                <w:bCs/>
                <w:sz w:val="20"/>
              </w:rPr>
              <w:t>$</w:t>
            </w:r>
            <w:r w:rsidR="009B4D1B">
              <w:rPr>
                <w:rFonts w:ascii="Arial Narrow" w:eastAsia="Times New Roman" w:hAnsi="Arial Narrow" w:cs="Times New Roman"/>
                <w:b/>
                <w:bCs/>
                <w:noProof/>
                <w:color w:val="000000"/>
                <w:sz w:val="20"/>
                <w:highlight w:val="black"/>
              </w:rPr>
              <w:t>'''''''''''''''''''''</w:t>
            </w:r>
          </w:p>
        </w:tc>
        <w:tc>
          <w:tcPr>
            <w:tcW w:w="832" w:type="pct"/>
            <w:shd w:val="clear" w:color="auto" w:fill="auto"/>
            <w:vAlign w:val="center"/>
          </w:tcPr>
          <w:p w:rsidR="002D478E" w:rsidRPr="002D478E" w:rsidRDefault="002D478E" w:rsidP="002D478E">
            <w:pPr>
              <w:keepNext/>
              <w:jc w:val="right"/>
              <w:rPr>
                <w:rFonts w:ascii="Arial Narrow" w:eastAsia="Times New Roman" w:hAnsi="Arial Narrow" w:cs="Times New Roman"/>
                <w:color w:val="000000"/>
                <w:sz w:val="20"/>
              </w:rPr>
            </w:pPr>
            <w:r w:rsidRPr="002D478E">
              <w:rPr>
                <w:rFonts w:ascii="Arial Narrow" w:eastAsia="Times New Roman" w:hAnsi="Arial Narrow" w:cs="Times New Roman"/>
                <w:b/>
                <w:bCs/>
                <w:sz w:val="20"/>
              </w:rPr>
              <w:t>$</w:t>
            </w:r>
            <w:r w:rsidR="009B4D1B">
              <w:rPr>
                <w:rFonts w:ascii="Arial Narrow" w:eastAsia="Times New Roman" w:hAnsi="Arial Narrow" w:cs="Times New Roman"/>
                <w:b/>
                <w:bCs/>
                <w:noProof/>
                <w:color w:val="000000"/>
                <w:sz w:val="20"/>
                <w:highlight w:val="black"/>
              </w:rPr>
              <w:t>'''''''''''''''''''</w:t>
            </w:r>
          </w:p>
        </w:tc>
        <w:tc>
          <w:tcPr>
            <w:tcW w:w="822" w:type="pct"/>
            <w:shd w:val="clear" w:color="auto" w:fill="auto"/>
            <w:vAlign w:val="center"/>
          </w:tcPr>
          <w:p w:rsidR="002D478E" w:rsidRPr="002D478E" w:rsidRDefault="002D478E" w:rsidP="002D478E">
            <w:pPr>
              <w:keepNext/>
              <w:jc w:val="right"/>
              <w:rPr>
                <w:rFonts w:ascii="Arial Narrow" w:eastAsia="Times New Roman" w:hAnsi="Arial Narrow" w:cs="Times New Roman"/>
                <w:color w:val="000000"/>
                <w:sz w:val="20"/>
              </w:rPr>
            </w:pPr>
            <w:r w:rsidRPr="002D478E">
              <w:rPr>
                <w:rFonts w:ascii="Arial Narrow" w:eastAsia="Times New Roman" w:hAnsi="Arial Narrow" w:cs="Times New Roman"/>
                <w:b/>
                <w:bCs/>
                <w:sz w:val="20"/>
              </w:rPr>
              <w:t>$</w:t>
            </w:r>
            <w:r w:rsidR="009B4D1B">
              <w:rPr>
                <w:rFonts w:ascii="Arial Narrow" w:eastAsia="Times New Roman" w:hAnsi="Arial Narrow" w:cs="Times New Roman"/>
                <w:b/>
                <w:bCs/>
                <w:noProof/>
                <w:color w:val="000000"/>
                <w:sz w:val="20"/>
                <w:highlight w:val="black"/>
              </w:rPr>
              <w:t>'''''''''''''''''''</w:t>
            </w:r>
          </w:p>
        </w:tc>
      </w:tr>
    </w:tbl>
    <w:p w:rsidR="002D478E" w:rsidRPr="002D478E" w:rsidRDefault="002D478E" w:rsidP="00002004">
      <w:pPr>
        <w:ind w:firstLine="720"/>
        <w:rPr>
          <w:rFonts w:ascii="Arial Narrow" w:hAnsi="Arial Narrow"/>
          <w:sz w:val="18"/>
          <w:szCs w:val="18"/>
        </w:rPr>
      </w:pPr>
      <w:proofErr w:type="spellStart"/>
      <w:proofErr w:type="gramStart"/>
      <w:r w:rsidRPr="002D478E">
        <w:rPr>
          <w:rFonts w:ascii="Arial Narrow" w:hAnsi="Arial Narrow"/>
          <w:sz w:val="18"/>
          <w:szCs w:val="18"/>
          <w:vertAlign w:val="superscript"/>
        </w:rPr>
        <w:t>a</w:t>
      </w:r>
      <w:proofErr w:type="spellEnd"/>
      <w:proofErr w:type="gramEnd"/>
      <w:r w:rsidRPr="002D478E">
        <w:rPr>
          <w:rFonts w:ascii="Arial Narrow" w:hAnsi="Arial Narrow"/>
          <w:sz w:val="18"/>
          <w:szCs w:val="18"/>
        </w:rPr>
        <w:t xml:space="preserve"> Included services for both bendamustine and rituximab</w:t>
      </w:r>
    </w:p>
    <w:p w:rsidR="002D478E" w:rsidRPr="002D478E" w:rsidRDefault="002D478E" w:rsidP="00002004">
      <w:pPr>
        <w:keepNext/>
        <w:ind w:firstLine="720"/>
        <w:rPr>
          <w:rFonts w:ascii="Arial Narrow" w:hAnsi="Arial Narrow"/>
          <w:sz w:val="18"/>
          <w:szCs w:val="18"/>
        </w:rPr>
      </w:pPr>
      <w:r w:rsidRPr="002D478E">
        <w:rPr>
          <w:rFonts w:ascii="Arial Narrow" w:hAnsi="Arial Narrow"/>
          <w:sz w:val="18"/>
          <w:szCs w:val="18"/>
        </w:rPr>
        <w:t>Source: Table 10, p8, Executive Summary of the Commentary</w:t>
      </w:r>
    </w:p>
    <w:p w:rsidR="002D478E" w:rsidRDefault="002D478E" w:rsidP="00E271F6">
      <w:pPr>
        <w:pStyle w:val="ListParagraph"/>
        <w:widowControl/>
        <w:rPr>
          <w:szCs w:val="22"/>
          <w:highlight w:val="magenta"/>
        </w:rPr>
      </w:pPr>
    </w:p>
    <w:p w:rsidR="00292C80" w:rsidRPr="00292C80" w:rsidRDefault="00292C80" w:rsidP="00292C80">
      <w:pPr>
        <w:pStyle w:val="ListParagraph"/>
        <w:numPr>
          <w:ilvl w:val="1"/>
          <w:numId w:val="1"/>
        </w:numPr>
        <w:rPr>
          <w:szCs w:val="22"/>
        </w:rPr>
      </w:pPr>
      <w:r w:rsidRPr="00292C80">
        <w:rPr>
          <w:szCs w:val="22"/>
        </w:rPr>
        <w:t>The redacted table above</w:t>
      </w:r>
      <w:r>
        <w:rPr>
          <w:szCs w:val="22"/>
        </w:rPr>
        <w:t xml:space="preserve"> shows </w:t>
      </w:r>
      <w:r w:rsidR="00FA6AF6">
        <w:rPr>
          <w:szCs w:val="22"/>
        </w:rPr>
        <w:t xml:space="preserve">that </w:t>
      </w:r>
      <w:r>
        <w:rPr>
          <w:szCs w:val="22"/>
        </w:rPr>
        <w:t>the estimated</w:t>
      </w:r>
      <w:r w:rsidR="00B12EA6">
        <w:rPr>
          <w:szCs w:val="22"/>
        </w:rPr>
        <w:t xml:space="preserve"> use and financial implication</w:t>
      </w:r>
      <w:r w:rsidR="00FA6AF6">
        <w:rPr>
          <w:szCs w:val="22"/>
        </w:rPr>
        <w:t>s</w:t>
      </w:r>
      <w:r>
        <w:rPr>
          <w:szCs w:val="22"/>
        </w:rPr>
        <w:t xml:space="preserve"> of bendamustine to the PBS, RPBS, and MBS for the treatment of rituximab-refractory iNHL is less than $10 million per year in each </w:t>
      </w:r>
      <w:r w:rsidR="00B12EA6">
        <w:rPr>
          <w:szCs w:val="22"/>
        </w:rPr>
        <w:t xml:space="preserve">of the first five years of listing. </w:t>
      </w:r>
      <w:r>
        <w:rPr>
          <w:szCs w:val="22"/>
        </w:rPr>
        <w:t xml:space="preserve"> </w:t>
      </w:r>
      <w:r w:rsidRPr="00292C80">
        <w:rPr>
          <w:szCs w:val="22"/>
        </w:rPr>
        <w:t xml:space="preserve"> </w:t>
      </w:r>
    </w:p>
    <w:p w:rsidR="00D50528" w:rsidRPr="00236268" w:rsidRDefault="00D50528" w:rsidP="00D50528">
      <w:pPr>
        <w:pStyle w:val="ListParagraph"/>
        <w:widowControl/>
        <w:rPr>
          <w:szCs w:val="22"/>
        </w:rPr>
      </w:pPr>
    </w:p>
    <w:p w:rsidR="00D50528" w:rsidRPr="00D50528" w:rsidRDefault="002D478E" w:rsidP="00780E25">
      <w:pPr>
        <w:pStyle w:val="PBACHeading1"/>
        <w:keepNext/>
        <w:keepLines/>
      </w:pPr>
      <w:r>
        <w:t>PBAC Outcome</w:t>
      </w:r>
    </w:p>
    <w:p w:rsidR="00D50528" w:rsidRDefault="00D50528" w:rsidP="00780E25">
      <w:pPr>
        <w:pStyle w:val="PBACHeading1"/>
        <w:keepNext/>
        <w:keepLines/>
        <w:numPr>
          <w:ilvl w:val="0"/>
          <w:numId w:val="0"/>
        </w:numPr>
        <w:ind w:left="720" w:hanging="720"/>
      </w:pPr>
    </w:p>
    <w:p w:rsidR="00430D68" w:rsidRPr="00FE01D3" w:rsidRDefault="00430D68" w:rsidP="00780E25">
      <w:pPr>
        <w:pStyle w:val="ListParagraph"/>
        <w:keepNext/>
        <w:keepLines/>
        <w:widowControl/>
        <w:numPr>
          <w:ilvl w:val="1"/>
          <w:numId w:val="1"/>
        </w:numPr>
      </w:pPr>
      <w:r w:rsidRPr="00FE01D3">
        <w:rPr>
          <w:szCs w:val="22"/>
        </w:rPr>
        <w:t>The</w:t>
      </w:r>
      <w:r w:rsidRPr="00FE01D3">
        <w:t xml:space="preserve"> PBAC deferred its </w:t>
      </w:r>
      <w:r w:rsidR="00706AF5">
        <w:t xml:space="preserve">decision on </w:t>
      </w:r>
      <w:r w:rsidRPr="00FE01D3">
        <w:t>bendamustine</w:t>
      </w:r>
      <w:r w:rsidR="00706AF5">
        <w:t xml:space="preserve"> </w:t>
      </w:r>
      <w:r w:rsidR="0080375A">
        <w:t xml:space="preserve">in previously untreated iNHL and MCL </w:t>
      </w:r>
      <w:r w:rsidR="00706AF5">
        <w:t>noting</w:t>
      </w:r>
      <w:r w:rsidR="00047304">
        <w:t>:</w:t>
      </w:r>
      <w:r w:rsidR="00236268">
        <w:t xml:space="preserve"> that </w:t>
      </w:r>
      <w:r w:rsidR="00706AF5">
        <w:t xml:space="preserve">the </w:t>
      </w:r>
      <w:r w:rsidR="00236268">
        <w:t xml:space="preserve">economic model submitted by the sponsor did not provide </w:t>
      </w:r>
      <w:r w:rsidR="00931A9B">
        <w:t xml:space="preserve">a </w:t>
      </w:r>
      <w:r w:rsidR="00931A9B" w:rsidRPr="0002076B">
        <w:t>reliable</w:t>
      </w:r>
      <w:r w:rsidR="00236268" w:rsidRPr="0002076B">
        <w:t xml:space="preserve"> estimate of the cost</w:t>
      </w:r>
      <w:r w:rsidR="00236268" w:rsidRPr="0002076B">
        <w:noBreakHyphen/>
        <w:t>effectiveness of bendamustine</w:t>
      </w:r>
      <w:r w:rsidR="00047304" w:rsidRPr="0002076B">
        <w:t>;</w:t>
      </w:r>
      <w:r w:rsidR="00236268" w:rsidRPr="0002076B">
        <w:t xml:space="preserve"> </w:t>
      </w:r>
      <w:r w:rsidR="00706AF5" w:rsidRPr="0002076B">
        <w:t>the pending trial data (BRIGHT)</w:t>
      </w:r>
      <w:r w:rsidR="00047304" w:rsidRPr="0002076B">
        <w:t>;</w:t>
      </w:r>
      <w:r w:rsidR="00706AF5" w:rsidRPr="0002076B">
        <w:t xml:space="preserve"> and also the high price compared to other brands</w:t>
      </w:r>
      <w:r w:rsidR="00340632">
        <w:t xml:space="preserve"> of bendamustine</w:t>
      </w:r>
      <w:r w:rsidR="00706AF5" w:rsidRPr="0002076B">
        <w:t xml:space="preserve"> imported under the </w:t>
      </w:r>
      <w:r w:rsidR="00CC4F4D" w:rsidRPr="0002076B">
        <w:t>TGA Special Access Scheme</w:t>
      </w:r>
      <w:r w:rsidR="00167326" w:rsidRPr="0002076B">
        <w:t>.</w:t>
      </w:r>
      <w:r w:rsidR="000B031E">
        <w:t xml:space="preserve"> </w:t>
      </w:r>
      <w:r w:rsidR="000B031E" w:rsidRPr="000B031E">
        <w:t>The PBAC did not recommend bendamustine in the rituximab-refractory patient population.</w:t>
      </w:r>
    </w:p>
    <w:p w:rsidR="00706AF5" w:rsidRDefault="00706AF5" w:rsidP="00D50528">
      <w:pPr>
        <w:pStyle w:val="PBACHeading1"/>
        <w:numPr>
          <w:ilvl w:val="0"/>
          <w:numId w:val="0"/>
        </w:numPr>
        <w:ind w:left="720" w:hanging="720"/>
        <w:rPr>
          <w:b w:val="0"/>
        </w:rPr>
      </w:pPr>
    </w:p>
    <w:p w:rsidR="000422CE" w:rsidRDefault="000422CE" w:rsidP="00EB1E21">
      <w:pPr>
        <w:pStyle w:val="ListParagraph"/>
        <w:widowControl/>
        <w:numPr>
          <w:ilvl w:val="1"/>
          <w:numId w:val="1"/>
        </w:numPr>
        <w:rPr>
          <w:b/>
        </w:rPr>
      </w:pPr>
      <w:r>
        <w:t>The PBAC agreed that</w:t>
      </w:r>
      <w:r w:rsidRPr="000422CE">
        <w:t xml:space="preserve"> R</w:t>
      </w:r>
      <w:r w:rsidR="00DE3426">
        <w:t>-</w:t>
      </w:r>
      <w:r w:rsidRPr="000422CE">
        <w:t xml:space="preserve">CHOP </w:t>
      </w:r>
      <w:r w:rsidR="00FE56D5">
        <w:t>wa</w:t>
      </w:r>
      <w:r w:rsidR="00931A9B">
        <w:t>s the a</w:t>
      </w:r>
      <w:r w:rsidRPr="000422CE">
        <w:t>ppropriate</w:t>
      </w:r>
      <w:r w:rsidR="00931A9B">
        <w:t xml:space="preserve"> comparator </w:t>
      </w:r>
      <w:r w:rsidR="00931A9B" w:rsidRPr="00931A9B">
        <w:t xml:space="preserve">in the </w:t>
      </w:r>
      <w:r w:rsidR="00FE56D5">
        <w:t>iNHL and MCL patient populations, and that best supportive care was the appropriate comparator in the rituximab-refractory patient population.</w:t>
      </w:r>
      <w:r w:rsidRPr="000422CE">
        <w:t xml:space="preserve">  </w:t>
      </w:r>
    </w:p>
    <w:p w:rsidR="000422CE" w:rsidRPr="00FE01D3" w:rsidRDefault="000422CE" w:rsidP="00D50528">
      <w:pPr>
        <w:pStyle w:val="PBACHeading1"/>
        <w:numPr>
          <w:ilvl w:val="0"/>
          <w:numId w:val="0"/>
        </w:numPr>
        <w:ind w:left="720" w:hanging="720"/>
        <w:rPr>
          <w:b w:val="0"/>
        </w:rPr>
      </w:pPr>
    </w:p>
    <w:p w:rsidR="00236268" w:rsidRPr="00401961" w:rsidRDefault="00401961" w:rsidP="00EB1E21">
      <w:pPr>
        <w:pStyle w:val="ListParagraph"/>
        <w:widowControl/>
        <w:numPr>
          <w:ilvl w:val="1"/>
          <w:numId w:val="1"/>
        </w:numPr>
        <w:rPr>
          <w:szCs w:val="22"/>
        </w:rPr>
      </w:pPr>
      <w:r w:rsidRPr="00401961">
        <w:rPr>
          <w:szCs w:val="22"/>
        </w:rPr>
        <w:t xml:space="preserve">The PBAC welcomed the input received from individuals and organisations in support of the submission for bendamustine, including at the consumer hearing. The comments </w:t>
      </w:r>
      <w:r>
        <w:rPr>
          <w:szCs w:val="22"/>
        </w:rPr>
        <w:t xml:space="preserve">outlined </w:t>
      </w:r>
      <w:r w:rsidR="00236268" w:rsidRPr="00401961">
        <w:rPr>
          <w:szCs w:val="22"/>
        </w:rPr>
        <w:t>a range of benefits</w:t>
      </w:r>
      <w:r>
        <w:rPr>
          <w:szCs w:val="22"/>
        </w:rPr>
        <w:t xml:space="preserve"> of bendamustine therapy</w:t>
      </w:r>
      <w:r w:rsidR="00236268" w:rsidRPr="00401961">
        <w:rPr>
          <w:szCs w:val="22"/>
        </w:rPr>
        <w:t xml:space="preserve"> including improved quality of life and a more favourable adverse event profile than current</w:t>
      </w:r>
      <w:r w:rsidR="0002076B" w:rsidRPr="00401961">
        <w:rPr>
          <w:szCs w:val="22"/>
        </w:rPr>
        <w:t>ly available</w:t>
      </w:r>
      <w:r w:rsidR="00853807" w:rsidRPr="00401961">
        <w:rPr>
          <w:szCs w:val="22"/>
        </w:rPr>
        <w:t xml:space="preserve"> therapies</w:t>
      </w:r>
      <w:r w:rsidR="00236268" w:rsidRPr="00401961">
        <w:rPr>
          <w:szCs w:val="22"/>
        </w:rPr>
        <w:t xml:space="preserve">. </w:t>
      </w:r>
      <w:r w:rsidR="00430D68" w:rsidRPr="00401961">
        <w:rPr>
          <w:szCs w:val="22"/>
        </w:rPr>
        <w:t xml:space="preserve"> </w:t>
      </w:r>
    </w:p>
    <w:p w:rsidR="00236268" w:rsidRPr="00FE01D3" w:rsidRDefault="00236268" w:rsidP="00236268">
      <w:pPr>
        <w:pStyle w:val="ListParagraph"/>
        <w:widowControl/>
        <w:rPr>
          <w:szCs w:val="22"/>
        </w:rPr>
      </w:pPr>
    </w:p>
    <w:p w:rsidR="00430D68" w:rsidRDefault="00430D68" w:rsidP="00EB1E21">
      <w:pPr>
        <w:pStyle w:val="ListParagraph"/>
        <w:widowControl/>
        <w:numPr>
          <w:ilvl w:val="1"/>
          <w:numId w:val="1"/>
        </w:numPr>
        <w:rPr>
          <w:b/>
        </w:rPr>
      </w:pPr>
      <w:r w:rsidRPr="00FE01D3">
        <w:rPr>
          <w:szCs w:val="22"/>
        </w:rPr>
        <w:t>The submission had requ</w:t>
      </w:r>
      <w:r w:rsidR="00FE01D3">
        <w:rPr>
          <w:szCs w:val="22"/>
        </w:rPr>
        <w:t>e</w:t>
      </w:r>
      <w:r w:rsidRPr="00FE01D3">
        <w:rPr>
          <w:szCs w:val="22"/>
        </w:rPr>
        <w:t>sted</w:t>
      </w:r>
      <w:r w:rsidR="0002076B">
        <w:rPr>
          <w:szCs w:val="22"/>
        </w:rPr>
        <w:t xml:space="preserve"> PBS</w:t>
      </w:r>
      <w:r w:rsidRPr="00FE01D3">
        <w:rPr>
          <w:szCs w:val="22"/>
        </w:rPr>
        <w:t xml:space="preserve"> listing in three patient </w:t>
      </w:r>
      <w:r w:rsidR="00FE01D3" w:rsidRPr="00FE01D3">
        <w:rPr>
          <w:szCs w:val="22"/>
        </w:rPr>
        <w:t>populations</w:t>
      </w:r>
      <w:r>
        <w:rPr>
          <w:b/>
        </w:rPr>
        <w:t>:</w:t>
      </w:r>
    </w:p>
    <w:p w:rsidR="00430D68" w:rsidRPr="00430D68" w:rsidRDefault="00430D68" w:rsidP="00EB1E21">
      <w:pPr>
        <w:pStyle w:val="PBACHeading1"/>
        <w:numPr>
          <w:ilvl w:val="0"/>
          <w:numId w:val="8"/>
        </w:numPr>
        <w:ind w:left="1134" w:hanging="283"/>
        <w:rPr>
          <w:b w:val="0"/>
        </w:rPr>
      </w:pPr>
      <w:r w:rsidRPr="00430D68">
        <w:rPr>
          <w:b w:val="0"/>
        </w:rPr>
        <w:t xml:space="preserve">Previously untreated indolent CD20-positive, stage III-IV </w:t>
      </w:r>
      <w:r w:rsidR="00C607FB">
        <w:rPr>
          <w:b w:val="0"/>
        </w:rPr>
        <w:t>NHL</w:t>
      </w:r>
      <w:r w:rsidR="00FE01D3">
        <w:rPr>
          <w:b w:val="0"/>
        </w:rPr>
        <w:t xml:space="preserve">, in combination with rituximab. </w:t>
      </w:r>
    </w:p>
    <w:p w:rsidR="00430D68" w:rsidRPr="00430D68" w:rsidRDefault="00430D68" w:rsidP="00EB1E21">
      <w:pPr>
        <w:pStyle w:val="PBACHeading1"/>
        <w:numPr>
          <w:ilvl w:val="0"/>
          <w:numId w:val="8"/>
        </w:numPr>
        <w:ind w:left="1134" w:hanging="283"/>
        <w:rPr>
          <w:b w:val="0"/>
        </w:rPr>
      </w:pPr>
      <w:r w:rsidRPr="00430D68">
        <w:rPr>
          <w:b w:val="0"/>
        </w:rPr>
        <w:t>Previously untreated indolent CD20-positive, stage III-IV Mantle Cell Lymphoma in combination with rituximab, in patients ineligible for autologous stem cell transplantation; and</w:t>
      </w:r>
    </w:p>
    <w:p w:rsidR="00C607FB" w:rsidRDefault="00430D68" w:rsidP="00EB1E21">
      <w:pPr>
        <w:pStyle w:val="PBACHeading1"/>
        <w:numPr>
          <w:ilvl w:val="0"/>
          <w:numId w:val="8"/>
        </w:numPr>
        <w:ind w:left="1134" w:hanging="283"/>
        <w:rPr>
          <w:b w:val="0"/>
        </w:rPr>
      </w:pPr>
      <w:r w:rsidRPr="00430D68">
        <w:rPr>
          <w:b w:val="0"/>
        </w:rPr>
        <w:t>Refractory indolent Non-Hodgkin’s Lymphoma</w:t>
      </w:r>
    </w:p>
    <w:p w:rsidR="00FE01D3" w:rsidRDefault="00FE01D3" w:rsidP="00430D68">
      <w:pPr>
        <w:pStyle w:val="PBACHeading1"/>
        <w:numPr>
          <w:ilvl w:val="0"/>
          <w:numId w:val="0"/>
        </w:numPr>
        <w:ind w:left="720" w:hanging="720"/>
        <w:rPr>
          <w:b w:val="0"/>
        </w:rPr>
      </w:pPr>
    </w:p>
    <w:p w:rsidR="00167326" w:rsidRDefault="0002076B" w:rsidP="00EB1E21">
      <w:pPr>
        <w:pStyle w:val="ListParagraph"/>
        <w:numPr>
          <w:ilvl w:val="1"/>
          <w:numId w:val="1"/>
        </w:numPr>
        <w:rPr>
          <w:szCs w:val="22"/>
        </w:rPr>
      </w:pPr>
      <w:r>
        <w:rPr>
          <w:szCs w:val="22"/>
        </w:rPr>
        <w:t>B</w:t>
      </w:r>
      <w:r w:rsidR="00167326" w:rsidRPr="00167326">
        <w:rPr>
          <w:szCs w:val="22"/>
        </w:rPr>
        <w:t xml:space="preserve">endamustine </w:t>
      </w:r>
      <w:r>
        <w:rPr>
          <w:szCs w:val="22"/>
        </w:rPr>
        <w:t>i</w:t>
      </w:r>
      <w:r w:rsidR="00167326" w:rsidRPr="00167326">
        <w:rPr>
          <w:szCs w:val="22"/>
        </w:rPr>
        <w:t xml:space="preserve">s </w:t>
      </w:r>
      <w:r>
        <w:rPr>
          <w:szCs w:val="22"/>
        </w:rPr>
        <w:t xml:space="preserve">also </w:t>
      </w:r>
      <w:r w:rsidR="00167326" w:rsidRPr="00167326">
        <w:rPr>
          <w:szCs w:val="22"/>
        </w:rPr>
        <w:t xml:space="preserve">TGA registered for the first line treatment of </w:t>
      </w:r>
      <w:r w:rsidR="00CC7B30" w:rsidRPr="00CC7B30">
        <w:rPr>
          <w:szCs w:val="22"/>
        </w:rPr>
        <w:t>chronic lymphocytic leukaemia</w:t>
      </w:r>
      <w:r w:rsidR="00167326" w:rsidRPr="00167326">
        <w:rPr>
          <w:szCs w:val="22"/>
        </w:rPr>
        <w:t xml:space="preserve">, </w:t>
      </w:r>
      <w:r>
        <w:rPr>
          <w:szCs w:val="22"/>
        </w:rPr>
        <w:t xml:space="preserve">and the </w:t>
      </w:r>
      <w:r w:rsidRPr="0002076B">
        <w:rPr>
          <w:szCs w:val="22"/>
        </w:rPr>
        <w:t>PBAC considered</w:t>
      </w:r>
      <w:r w:rsidR="00340632">
        <w:rPr>
          <w:szCs w:val="22"/>
        </w:rPr>
        <w:t xml:space="preserve"> this</w:t>
      </w:r>
      <w:r w:rsidRPr="0002076B">
        <w:rPr>
          <w:szCs w:val="22"/>
        </w:rPr>
        <w:t xml:space="preserve"> to be </w:t>
      </w:r>
      <w:r>
        <w:rPr>
          <w:szCs w:val="22"/>
        </w:rPr>
        <w:t xml:space="preserve">an area </w:t>
      </w:r>
      <w:r w:rsidRPr="0002076B">
        <w:rPr>
          <w:szCs w:val="22"/>
        </w:rPr>
        <w:t>of high clinical need</w:t>
      </w:r>
      <w:r>
        <w:rPr>
          <w:szCs w:val="22"/>
        </w:rPr>
        <w:t>.</w:t>
      </w:r>
      <w:r w:rsidRPr="0002076B">
        <w:rPr>
          <w:szCs w:val="22"/>
        </w:rPr>
        <w:t xml:space="preserve"> </w:t>
      </w:r>
      <w:r>
        <w:rPr>
          <w:szCs w:val="22"/>
        </w:rPr>
        <w:t xml:space="preserve">However, </w:t>
      </w:r>
      <w:r w:rsidR="00167326" w:rsidRPr="00167326">
        <w:rPr>
          <w:szCs w:val="22"/>
        </w:rPr>
        <w:t xml:space="preserve">the sponsor </w:t>
      </w:r>
      <w:r>
        <w:rPr>
          <w:szCs w:val="22"/>
        </w:rPr>
        <w:t>di</w:t>
      </w:r>
      <w:r w:rsidR="00167326" w:rsidRPr="00167326">
        <w:rPr>
          <w:szCs w:val="22"/>
        </w:rPr>
        <w:t xml:space="preserve">d not </w:t>
      </w:r>
      <w:r w:rsidR="00BA5168">
        <w:rPr>
          <w:szCs w:val="22"/>
        </w:rPr>
        <w:t>submit</w:t>
      </w:r>
      <w:r w:rsidR="00167326" w:rsidRPr="00167326">
        <w:rPr>
          <w:szCs w:val="22"/>
        </w:rPr>
        <w:t xml:space="preserve"> an application to the PBAC for this indication. </w:t>
      </w:r>
    </w:p>
    <w:p w:rsidR="00E16006" w:rsidRDefault="00E16006" w:rsidP="00E16006">
      <w:pPr>
        <w:pStyle w:val="ListParagraph"/>
        <w:rPr>
          <w:szCs w:val="22"/>
        </w:rPr>
      </w:pPr>
    </w:p>
    <w:p w:rsidR="003F6ABC" w:rsidRPr="00167326" w:rsidRDefault="003F6ABC" w:rsidP="00EB1E21">
      <w:pPr>
        <w:pStyle w:val="ListParagraph"/>
        <w:numPr>
          <w:ilvl w:val="1"/>
          <w:numId w:val="1"/>
        </w:numPr>
        <w:rPr>
          <w:szCs w:val="22"/>
        </w:rPr>
      </w:pPr>
      <w:r>
        <w:rPr>
          <w:szCs w:val="22"/>
        </w:rPr>
        <w:t>For MCL, the PBAC considered that</w:t>
      </w:r>
      <w:r w:rsidR="00E16006">
        <w:rPr>
          <w:szCs w:val="22"/>
        </w:rPr>
        <w:t xml:space="preserve"> the bendamustine restriction should specify that </w:t>
      </w:r>
      <w:r w:rsidR="00E16006">
        <w:rPr>
          <w:szCs w:val="22"/>
        </w:rPr>
        <w:lastRenderedPageBreak/>
        <w:t xml:space="preserve">use is for patients who are not eligible for stem cell transplant, which is consistent with the </w:t>
      </w:r>
      <w:proofErr w:type="spellStart"/>
      <w:r w:rsidR="00E16006">
        <w:rPr>
          <w:szCs w:val="22"/>
        </w:rPr>
        <w:t>StiL</w:t>
      </w:r>
      <w:proofErr w:type="spellEnd"/>
      <w:r w:rsidR="00E16006">
        <w:rPr>
          <w:szCs w:val="22"/>
        </w:rPr>
        <w:t xml:space="preserve"> trial inclusion criteria.</w:t>
      </w:r>
      <w:r>
        <w:rPr>
          <w:szCs w:val="22"/>
        </w:rPr>
        <w:t xml:space="preserve"> </w:t>
      </w:r>
    </w:p>
    <w:p w:rsidR="00167326" w:rsidRDefault="00167326" w:rsidP="003F6ABC">
      <w:pPr>
        <w:pStyle w:val="ListParagraph"/>
        <w:widowControl/>
        <w:rPr>
          <w:szCs w:val="22"/>
        </w:rPr>
      </w:pPr>
    </w:p>
    <w:p w:rsidR="00167326" w:rsidRDefault="00167326" w:rsidP="00EB1E21">
      <w:pPr>
        <w:pStyle w:val="ListParagraph"/>
        <w:widowControl/>
        <w:numPr>
          <w:ilvl w:val="1"/>
          <w:numId w:val="1"/>
        </w:numPr>
        <w:rPr>
          <w:szCs w:val="22"/>
        </w:rPr>
      </w:pPr>
      <w:r w:rsidRPr="00167326">
        <w:rPr>
          <w:szCs w:val="22"/>
        </w:rPr>
        <w:t>The PBAC considered the comparative safety and effectiveness data in each of the</w:t>
      </w:r>
      <w:r>
        <w:rPr>
          <w:szCs w:val="22"/>
        </w:rPr>
        <w:t xml:space="preserve"> three requested patient populations</w:t>
      </w:r>
      <w:r w:rsidRPr="00167326">
        <w:rPr>
          <w:szCs w:val="22"/>
        </w:rPr>
        <w:t xml:space="preserve"> groups.  </w:t>
      </w:r>
    </w:p>
    <w:p w:rsidR="00167326" w:rsidRDefault="00167326" w:rsidP="00167326">
      <w:pPr>
        <w:pStyle w:val="ListParagraph"/>
        <w:widowControl/>
        <w:rPr>
          <w:szCs w:val="22"/>
        </w:rPr>
      </w:pPr>
    </w:p>
    <w:p w:rsidR="00167326" w:rsidRDefault="00167326" w:rsidP="00167326">
      <w:pPr>
        <w:widowControl/>
        <w:rPr>
          <w:szCs w:val="22"/>
          <w:u w:val="single"/>
        </w:rPr>
      </w:pPr>
      <w:r w:rsidRPr="00167326">
        <w:rPr>
          <w:szCs w:val="22"/>
          <w:u w:val="single"/>
        </w:rPr>
        <w:t>Indolent Non-Hodgkin’s Lymphoma</w:t>
      </w:r>
    </w:p>
    <w:p w:rsidR="00967954" w:rsidRPr="00167326" w:rsidRDefault="00967954" w:rsidP="00167326">
      <w:pPr>
        <w:widowControl/>
        <w:rPr>
          <w:szCs w:val="22"/>
          <w:u w:val="single"/>
        </w:rPr>
      </w:pPr>
    </w:p>
    <w:p w:rsidR="004E0C36" w:rsidRDefault="000441D2" w:rsidP="00EB1E21">
      <w:pPr>
        <w:pStyle w:val="ListParagraph"/>
        <w:widowControl/>
        <w:numPr>
          <w:ilvl w:val="1"/>
          <w:numId w:val="1"/>
        </w:numPr>
        <w:rPr>
          <w:szCs w:val="22"/>
        </w:rPr>
      </w:pPr>
      <w:r w:rsidRPr="00C607FB">
        <w:rPr>
          <w:szCs w:val="22"/>
        </w:rPr>
        <w:t>For the first-line treatment of iNHL, t</w:t>
      </w:r>
      <w:r w:rsidR="00FE01D3" w:rsidRPr="00C607FB">
        <w:rPr>
          <w:szCs w:val="22"/>
        </w:rPr>
        <w:t xml:space="preserve">he PBAC considered that </w:t>
      </w:r>
      <w:r w:rsidR="00E271F6">
        <w:rPr>
          <w:szCs w:val="22"/>
        </w:rPr>
        <w:t xml:space="preserve">the claim of superior comparative effectiveness of </w:t>
      </w:r>
      <w:r w:rsidR="00CC7B30">
        <w:rPr>
          <w:szCs w:val="22"/>
        </w:rPr>
        <w:t>B-R</w:t>
      </w:r>
      <w:r w:rsidR="00FE01D3" w:rsidRPr="00340632">
        <w:rPr>
          <w:szCs w:val="22"/>
        </w:rPr>
        <w:t xml:space="preserve"> </w:t>
      </w:r>
      <w:r w:rsidR="00E271F6" w:rsidRPr="00340632">
        <w:rPr>
          <w:szCs w:val="22"/>
        </w:rPr>
        <w:t xml:space="preserve">compared </w:t>
      </w:r>
      <w:r w:rsidR="00FE01D3" w:rsidRPr="00340632">
        <w:rPr>
          <w:szCs w:val="22"/>
        </w:rPr>
        <w:t xml:space="preserve">to R-CHOP </w:t>
      </w:r>
      <w:r w:rsidR="00E271F6" w:rsidRPr="00340632">
        <w:rPr>
          <w:szCs w:val="22"/>
        </w:rPr>
        <w:t xml:space="preserve">was adequately supported by the data </w:t>
      </w:r>
      <w:r w:rsidR="00FE01D3" w:rsidRPr="00340632">
        <w:rPr>
          <w:szCs w:val="22"/>
        </w:rPr>
        <w:t>for the outcome of PFS</w:t>
      </w:r>
      <w:r w:rsidR="00BC6EAE">
        <w:rPr>
          <w:szCs w:val="22"/>
        </w:rPr>
        <w:t xml:space="preserve"> based on the </w:t>
      </w:r>
      <w:proofErr w:type="spellStart"/>
      <w:r w:rsidR="00BC6EAE">
        <w:rPr>
          <w:szCs w:val="22"/>
        </w:rPr>
        <w:t>StiL</w:t>
      </w:r>
      <w:proofErr w:type="spellEnd"/>
      <w:r w:rsidR="00BC6EAE">
        <w:rPr>
          <w:szCs w:val="22"/>
        </w:rPr>
        <w:t xml:space="preserve"> trial data</w:t>
      </w:r>
      <w:r w:rsidR="00FE01D3" w:rsidRPr="00340632">
        <w:rPr>
          <w:szCs w:val="22"/>
        </w:rPr>
        <w:t xml:space="preserve">. </w:t>
      </w:r>
      <w:r w:rsidR="00340632" w:rsidRPr="00340632">
        <w:rPr>
          <w:szCs w:val="22"/>
        </w:rPr>
        <w:t>In particular, t</w:t>
      </w:r>
      <w:r w:rsidR="004E0C36" w:rsidRPr="00340632">
        <w:rPr>
          <w:szCs w:val="22"/>
        </w:rPr>
        <w:t xml:space="preserve">he PBAC considered that this claim was </w:t>
      </w:r>
      <w:r w:rsidR="00EA3918" w:rsidRPr="00340632">
        <w:rPr>
          <w:szCs w:val="22"/>
        </w:rPr>
        <w:t xml:space="preserve">well supported for the sub-group of patients with </w:t>
      </w:r>
      <w:r w:rsidR="004E0C36" w:rsidRPr="00340632">
        <w:rPr>
          <w:szCs w:val="22"/>
        </w:rPr>
        <w:t xml:space="preserve">follicular </w:t>
      </w:r>
      <w:r w:rsidR="00EA3918" w:rsidRPr="00340632">
        <w:rPr>
          <w:szCs w:val="22"/>
        </w:rPr>
        <w:t>lymphoma</w:t>
      </w:r>
      <w:r w:rsidR="004E0C36" w:rsidRPr="00340632">
        <w:rPr>
          <w:szCs w:val="22"/>
        </w:rPr>
        <w:t xml:space="preserve">. </w:t>
      </w:r>
      <w:r w:rsidR="00CC7B30">
        <w:rPr>
          <w:szCs w:val="22"/>
        </w:rPr>
        <w:t>Fifty</w:t>
      </w:r>
      <w:r w:rsidR="00CC7B30">
        <w:rPr>
          <w:szCs w:val="22"/>
        </w:rPr>
        <w:noBreakHyphen/>
      </w:r>
      <w:r w:rsidR="00EA3918" w:rsidRPr="00340632">
        <w:rPr>
          <w:szCs w:val="22"/>
        </w:rPr>
        <w:t xml:space="preserve">three percent </w:t>
      </w:r>
      <w:r w:rsidR="00615921" w:rsidRPr="00340632">
        <w:rPr>
          <w:szCs w:val="22"/>
        </w:rPr>
        <w:t>of patients enrolled</w:t>
      </w:r>
      <w:r w:rsidR="00615921" w:rsidRPr="00EA3918">
        <w:rPr>
          <w:szCs w:val="22"/>
        </w:rPr>
        <w:t xml:space="preserve"> in the </w:t>
      </w:r>
      <w:proofErr w:type="spellStart"/>
      <w:r w:rsidR="00292C80" w:rsidRPr="00EA3918">
        <w:rPr>
          <w:szCs w:val="22"/>
        </w:rPr>
        <w:t>S</w:t>
      </w:r>
      <w:r w:rsidR="00292C80">
        <w:rPr>
          <w:szCs w:val="22"/>
        </w:rPr>
        <w:t>t</w:t>
      </w:r>
      <w:r w:rsidR="00292C80" w:rsidRPr="00EA3918">
        <w:rPr>
          <w:szCs w:val="22"/>
        </w:rPr>
        <w:t>iL</w:t>
      </w:r>
      <w:proofErr w:type="spellEnd"/>
      <w:r w:rsidR="00292C80" w:rsidRPr="00EA3918">
        <w:rPr>
          <w:szCs w:val="22"/>
        </w:rPr>
        <w:t xml:space="preserve"> </w:t>
      </w:r>
      <w:r w:rsidR="00615921" w:rsidRPr="00EA3918">
        <w:rPr>
          <w:szCs w:val="22"/>
        </w:rPr>
        <w:t>trial had follicular lymphoma,</w:t>
      </w:r>
      <w:r w:rsidR="00227C0B" w:rsidRPr="00EA3918">
        <w:rPr>
          <w:szCs w:val="22"/>
        </w:rPr>
        <w:t xml:space="preserve"> and the HR for </w:t>
      </w:r>
      <w:r w:rsidR="00615921" w:rsidRPr="00EA3918">
        <w:rPr>
          <w:szCs w:val="22"/>
        </w:rPr>
        <w:t xml:space="preserve">PFS </w:t>
      </w:r>
      <w:r w:rsidR="00227C0B" w:rsidRPr="00EA3918">
        <w:rPr>
          <w:szCs w:val="22"/>
        </w:rPr>
        <w:t xml:space="preserve">in this sub-group was </w:t>
      </w:r>
      <w:r w:rsidR="00C607FB" w:rsidRPr="00EA3918">
        <w:rPr>
          <w:szCs w:val="22"/>
        </w:rPr>
        <w:t>0.61 (</w:t>
      </w:r>
      <w:r w:rsidR="00CC7B30">
        <w:rPr>
          <w:szCs w:val="22"/>
        </w:rPr>
        <w:t xml:space="preserve">95% CI: </w:t>
      </w:r>
      <w:r w:rsidR="00C607FB" w:rsidRPr="00EA3918">
        <w:rPr>
          <w:szCs w:val="22"/>
        </w:rPr>
        <w:t xml:space="preserve">0.42, 0.87). </w:t>
      </w:r>
    </w:p>
    <w:p w:rsidR="00853807" w:rsidRDefault="00853807" w:rsidP="00853807">
      <w:pPr>
        <w:pStyle w:val="ListParagraph"/>
        <w:widowControl/>
        <w:rPr>
          <w:szCs w:val="22"/>
        </w:rPr>
      </w:pPr>
    </w:p>
    <w:p w:rsidR="00853807" w:rsidRPr="00EA3918" w:rsidRDefault="00853807" w:rsidP="00EB1E21">
      <w:pPr>
        <w:pStyle w:val="ListParagraph"/>
        <w:widowControl/>
        <w:numPr>
          <w:ilvl w:val="1"/>
          <w:numId w:val="1"/>
        </w:numPr>
        <w:rPr>
          <w:szCs w:val="22"/>
        </w:rPr>
      </w:pPr>
      <w:r w:rsidRPr="00853807">
        <w:rPr>
          <w:szCs w:val="22"/>
        </w:rPr>
        <w:t xml:space="preserve">The committee noted that no overall survival benefit was demonstrated in the </w:t>
      </w:r>
      <w:proofErr w:type="spellStart"/>
      <w:r w:rsidRPr="00853807">
        <w:rPr>
          <w:szCs w:val="22"/>
        </w:rPr>
        <w:t>StiL</w:t>
      </w:r>
      <w:proofErr w:type="spellEnd"/>
      <w:r w:rsidRPr="00853807">
        <w:rPr>
          <w:szCs w:val="22"/>
        </w:rPr>
        <w:t xml:space="preserve"> trial, but that median overall survival was not reached in either group at the time of analysis (median follow up of 45 months). The economic model did not</w:t>
      </w:r>
      <w:r w:rsidR="008D2B88">
        <w:rPr>
          <w:szCs w:val="22"/>
        </w:rPr>
        <w:t xml:space="preserve"> incorporate</w:t>
      </w:r>
      <w:r w:rsidRPr="00853807">
        <w:rPr>
          <w:szCs w:val="22"/>
        </w:rPr>
        <w:t xml:space="preserve"> any differences in overall survival between B-R and R CHOP, and the PBAC considered that this was appropriate.</w:t>
      </w:r>
    </w:p>
    <w:p w:rsidR="008E2FD7" w:rsidRDefault="008E2FD7" w:rsidP="008E2FD7">
      <w:pPr>
        <w:pStyle w:val="ListParagraph"/>
        <w:widowControl/>
        <w:rPr>
          <w:szCs w:val="22"/>
        </w:rPr>
      </w:pPr>
    </w:p>
    <w:p w:rsidR="008E2FD7" w:rsidRPr="005D45A0" w:rsidRDefault="008E2FD7" w:rsidP="00EB1E21">
      <w:pPr>
        <w:pStyle w:val="ListParagraph"/>
        <w:numPr>
          <w:ilvl w:val="1"/>
          <w:numId w:val="1"/>
        </w:numPr>
        <w:rPr>
          <w:szCs w:val="22"/>
        </w:rPr>
      </w:pPr>
      <w:r w:rsidRPr="005669A7">
        <w:rPr>
          <w:szCs w:val="22"/>
        </w:rPr>
        <w:t xml:space="preserve">The </w:t>
      </w:r>
      <w:r w:rsidR="00CC7B30" w:rsidRPr="005669A7">
        <w:rPr>
          <w:szCs w:val="22"/>
        </w:rPr>
        <w:t>BRIGHT trial reported that B-R was non-inferior</w:t>
      </w:r>
      <w:r w:rsidR="00853807" w:rsidRPr="005669A7">
        <w:rPr>
          <w:szCs w:val="22"/>
        </w:rPr>
        <w:t>, but not statistically significantly superior,</w:t>
      </w:r>
      <w:r w:rsidR="00CC7B30" w:rsidRPr="005669A7">
        <w:rPr>
          <w:szCs w:val="22"/>
        </w:rPr>
        <w:t xml:space="preserve"> to R</w:t>
      </w:r>
      <w:r w:rsidR="00CC7B30" w:rsidRPr="005669A7">
        <w:rPr>
          <w:szCs w:val="22"/>
        </w:rPr>
        <w:noBreakHyphen/>
        <w:t xml:space="preserve">CHOP/R-CVP for the outcome of </w:t>
      </w:r>
      <w:r w:rsidRPr="005669A7">
        <w:rPr>
          <w:szCs w:val="22"/>
        </w:rPr>
        <w:t>C</w:t>
      </w:r>
      <w:r w:rsidR="00CC7B30" w:rsidRPr="005669A7">
        <w:rPr>
          <w:szCs w:val="22"/>
        </w:rPr>
        <w:t xml:space="preserve">omplete </w:t>
      </w:r>
      <w:r w:rsidRPr="005669A7">
        <w:rPr>
          <w:szCs w:val="22"/>
        </w:rPr>
        <w:t>R</w:t>
      </w:r>
      <w:r w:rsidR="00CC7B30" w:rsidRPr="005669A7">
        <w:rPr>
          <w:szCs w:val="22"/>
        </w:rPr>
        <w:t>esponse (CR)</w:t>
      </w:r>
      <w:r w:rsidRPr="005669A7">
        <w:rPr>
          <w:szCs w:val="22"/>
        </w:rPr>
        <w:t xml:space="preserve"> rates</w:t>
      </w:r>
      <w:r w:rsidR="00CC7B30" w:rsidRPr="005669A7">
        <w:rPr>
          <w:szCs w:val="22"/>
        </w:rPr>
        <w:t xml:space="preserve"> (CR rates of 31% and 25% respectively</w:t>
      </w:r>
      <w:r w:rsidR="00853807" w:rsidRPr="005669A7">
        <w:rPr>
          <w:szCs w:val="22"/>
        </w:rPr>
        <w:t xml:space="preserve">; </w:t>
      </w:r>
      <w:r w:rsidRPr="005669A7">
        <w:rPr>
          <w:szCs w:val="22"/>
        </w:rPr>
        <w:t xml:space="preserve">p=0.1269). </w:t>
      </w:r>
      <w:r w:rsidR="005669A7">
        <w:rPr>
          <w:szCs w:val="22"/>
        </w:rPr>
        <w:t>Fo</w:t>
      </w:r>
      <w:r w:rsidR="005669A7" w:rsidRPr="005669A7">
        <w:rPr>
          <w:szCs w:val="22"/>
        </w:rPr>
        <w:t>llow-up of the BRIGHT trial is ongoing for PFS and OS, which were secondary o</w:t>
      </w:r>
      <w:r w:rsidR="005669A7">
        <w:rPr>
          <w:szCs w:val="22"/>
        </w:rPr>
        <w:t>utcomes. The trial protocol pre</w:t>
      </w:r>
      <w:r w:rsidR="005669A7">
        <w:rPr>
          <w:szCs w:val="22"/>
        </w:rPr>
        <w:noBreakHyphen/>
      </w:r>
      <w:r w:rsidR="005669A7" w:rsidRPr="005669A7">
        <w:rPr>
          <w:szCs w:val="22"/>
        </w:rPr>
        <w:t>specified that a 5-year minimum follow-up time was required to evaluate these outcomes, and the estimated trial completion date listed</w:t>
      </w:r>
      <w:r w:rsidR="005669A7">
        <w:rPr>
          <w:szCs w:val="22"/>
        </w:rPr>
        <w:t xml:space="preserve"> on clinicaltrials.gov is March </w:t>
      </w:r>
      <w:r w:rsidR="005669A7" w:rsidRPr="005669A7">
        <w:rPr>
          <w:szCs w:val="22"/>
        </w:rPr>
        <w:t xml:space="preserve">2017. </w:t>
      </w:r>
      <w:r w:rsidR="005E553F">
        <w:rPr>
          <w:szCs w:val="22"/>
        </w:rPr>
        <w:t>The P</w:t>
      </w:r>
      <w:r w:rsidR="00CC7B30">
        <w:rPr>
          <w:szCs w:val="22"/>
        </w:rPr>
        <w:t>BAC considered that this follow</w:t>
      </w:r>
      <w:r w:rsidR="00CC7B30">
        <w:rPr>
          <w:szCs w:val="22"/>
        </w:rPr>
        <w:noBreakHyphen/>
      </w:r>
      <w:r w:rsidR="005E553F">
        <w:rPr>
          <w:szCs w:val="22"/>
        </w:rPr>
        <w:t xml:space="preserve">up data may provide further information as </w:t>
      </w:r>
      <w:r w:rsidR="005E553F" w:rsidRPr="005D45A0">
        <w:rPr>
          <w:szCs w:val="22"/>
        </w:rPr>
        <w:t>to t</w:t>
      </w:r>
      <w:r w:rsidR="008251C3" w:rsidRPr="005D45A0">
        <w:rPr>
          <w:szCs w:val="22"/>
        </w:rPr>
        <w:t>he magnitude of the incremental ef</w:t>
      </w:r>
      <w:r w:rsidR="005E553F" w:rsidRPr="005D45A0">
        <w:rPr>
          <w:szCs w:val="22"/>
        </w:rPr>
        <w:t xml:space="preserve">fect of </w:t>
      </w:r>
      <w:r w:rsidR="00901201" w:rsidRPr="005D45A0">
        <w:rPr>
          <w:szCs w:val="22"/>
        </w:rPr>
        <w:t>B-R</w:t>
      </w:r>
      <w:r w:rsidR="00CF1666" w:rsidRPr="005D45A0">
        <w:rPr>
          <w:szCs w:val="22"/>
        </w:rPr>
        <w:t xml:space="preserve"> over R</w:t>
      </w:r>
      <w:r w:rsidR="00CF1666" w:rsidRPr="005D45A0">
        <w:rPr>
          <w:szCs w:val="22"/>
        </w:rPr>
        <w:noBreakHyphen/>
      </w:r>
      <w:r w:rsidR="005E553F" w:rsidRPr="005D45A0">
        <w:rPr>
          <w:szCs w:val="22"/>
        </w:rPr>
        <w:t>CHOP.</w:t>
      </w:r>
    </w:p>
    <w:p w:rsidR="005F1CD8" w:rsidRPr="005D45A0" w:rsidRDefault="005F1CD8" w:rsidP="005F1CD8">
      <w:pPr>
        <w:pStyle w:val="ListParagraph"/>
        <w:rPr>
          <w:szCs w:val="22"/>
        </w:rPr>
      </w:pPr>
    </w:p>
    <w:p w:rsidR="005F1CD8" w:rsidRPr="005D45A0" w:rsidRDefault="005F1CD8" w:rsidP="005F1CD8">
      <w:pPr>
        <w:pStyle w:val="ListParagraph"/>
        <w:widowControl/>
        <w:numPr>
          <w:ilvl w:val="1"/>
          <w:numId w:val="1"/>
        </w:numPr>
      </w:pPr>
      <w:r w:rsidRPr="005D45A0">
        <w:t>For the first-line treatment of iNHL and for MCL, the PBAC considered that bendamustine plus rituximab was superior to R</w:t>
      </w:r>
      <w:r w:rsidRPr="005D45A0">
        <w:noBreakHyphen/>
        <w:t>CHOP in terms of comparative safety, but noted th</w:t>
      </w:r>
      <w:r w:rsidR="005D45A0" w:rsidRPr="005D45A0">
        <w:t xml:space="preserve">at </w:t>
      </w:r>
      <w:r w:rsidRPr="005D45A0">
        <w:t xml:space="preserve">bendamustine </w:t>
      </w:r>
      <w:r w:rsidR="005D45A0" w:rsidRPr="005D45A0">
        <w:t>is not without adverse events.</w:t>
      </w:r>
      <w:r w:rsidRPr="005D45A0">
        <w:t xml:space="preserve"> </w:t>
      </w:r>
    </w:p>
    <w:p w:rsidR="00FE01D3" w:rsidRDefault="00FE01D3" w:rsidP="00FE01D3">
      <w:pPr>
        <w:pStyle w:val="ListParagraph"/>
        <w:widowControl/>
        <w:rPr>
          <w:szCs w:val="22"/>
        </w:rPr>
      </w:pPr>
    </w:p>
    <w:p w:rsidR="00167326" w:rsidRDefault="003F6ABC" w:rsidP="00167326">
      <w:pPr>
        <w:widowControl/>
        <w:rPr>
          <w:szCs w:val="22"/>
          <w:u w:val="single"/>
        </w:rPr>
      </w:pPr>
      <w:r>
        <w:rPr>
          <w:szCs w:val="22"/>
          <w:u w:val="single"/>
        </w:rPr>
        <w:t>Mantle C</w:t>
      </w:r>
      <w:r w:rsidR="00167326" w:rsidRPr="00167326">
        <w:rPr>
          <w:szCs w:val="22"/>
          <w:u w:val="single"/>
        </w:rPr>
        <w:t>ell Lymphoma</w:t>
      </w:r>
    </w:p>
    <w:p w:rsidR="003C26B3" w:rsidRPr="00167326" w:rsidRDefault="003C26B3" w:rsidP="00167326">
      <w:pPr>
        <w:widowControl/>
        <w:rPr>
          <w:szCs w:val="22"/>
          <w:u w:val="single"/>
        </w:rPr>
      </w:pPr>
    </w:p>
    <w:p w:rsidR="00965A94" w:rsidRPr="009178DD" w:rsidRDefault="00965A94" w:rsidP="00EB1E21">
      <w:pPr>
        <w:pStyle w:val="ListParagraph"/>
        <w:widowControl/>
        <w:numPr>
          <w:ilvl w:val="1"/>
          <w:numId w:val="1"/>
        </w:numPr>
        <w:rPr>
          <w:szCs w:val="22"/>
        </w:rPr>
      </w:pPr>
      <w:r>
        <w:t xml:space="preserve">For </w:t>
      </w:r>
      <w:r w:rsidR="00167326">
        <w:t xml:space="preserve">the first-line treatment of </w:t>
      </w:r>
      <w:r>
        <w:t xml:space="preserve">MCL, the </w:t>
      </w:r>
      <w:r w:rsidR="00C81E2F" w:rsidRPr="009178DD">
        <w:t xml:space="preserve">PBAC considered </w:t>
      </w:r>
      <w:r w:rsidR="00631CD8" w:rsidRPr="00631CD8">
        <w:t xml:space="preserve">that the claim of superior effectiveness of </w:t>
      </w:r>
      <w:r w:rsidR="00901201">
        <w:t>B-R</w:t>
      </w:r>
      <w:r w:rsidR="00631CD8" w:rsidRPr="00631CD8">
        <w:t xml:space="preserve"> compared to R-CHOP was adequately supported for the outcome of PFS</w:t>
      </w:r>
      <w:r w:rsidR="005F1CD8">
        <w:t xml:space="preserve">, based on the </w:t>
      </w:r>
      <w:proofErr w:type="spellStart"/>
      <w:r w:rsidR="005F1CD8">
        <w:t>StiL</w:t>
      </w:r>
      <w:proofErr w:type="spellEnd"/>
      <w:r w:rsidR="005F1CD8">
        <w:t xml:space="preserve"> trial data</w:t>
      </w:r>
      <w:r w:rsidR="00631CD8" w:rsidRPr="00631CD8">
        <w:t>.</w:t>
      </w:r>
      <w:r w:rsidR="00C81E2F" w:rsidRPr="009178DD">
        <w:t xml:space="preserve"> </w:t>
      </w:r>
    </w:p>
    <w:p w:rsidR="00C81E2F" w:rsidRDefault="00C81E2F" w:rsidP="005F1CD8">
      <w:pPr>
        <w:rPr>
          <w:szCs w:val="22"/>
        </w:rPr>
      </w:pPr>
    </w:p>
    <w:p w:rsidR="00167326" w:rsidRDefault="00167326" w:rsidP="00167326">
      <w:pPr>
        <w:widowControl/>
        <w:rPr>
          <w:szCs w:val="22"/>
          <w:u w:val="single"/>
        </w:rPr>
      </w:pPr>
      <w:r w:rsidRPr="00167326">
        <w:rPr>
          <w:szCs w:val="22"/>
          <w:u w:val="single"/>
        </w:rPr>
        <w:t>Rituximab-refractory iNHL</w:t>
      </w:r>
    </w:p>
    <w:p w:rsidR="00967954" w:rsidRPr="00167326" w:rsidRDefault="00967954" w:rsidP="00167326">
      <w:pPr>
        <w:widowControl/>
        <w:rPr>
          <w:szCs w:val="22"/>
          <w:u w:val="single"/>
        </w:rPr>
      </w:pPr>
    </w:p>
    <w:p w:rsidR="00FE01D3" w:rsidRDefault="00167326" w:rsidP="00EB1E21">
      <w:pPr>
        <w:pStyle w:val="ListParagraph"/>
        <w:widowControl/>
        <w:numPr>
          <w:ilvl w:val="1"/>
          <w:numId w:val="1"/>
        </w:numPr>
        <w:rPr>
          <w:szCs w:val="22"/>
        </w:rPr>
      </w:pPr>
      <w:r>
        <w:rPr>
          <w:szCs w:val="22"/>
        </w:rPr>
        <w:t>For</w:t>
      </w:r>
      <w:r w:rsidR="00FE01D3">
        <w:rPr>
          <w:szCs w:val="22"/>
        </w:rPr>
        <w:t xml:space="preserve"> patients with r</w:t>
      </w:r>
      <w:r w:rsidR="00FE01D3" w:rsidRPr="007E376A">
        <w:rPr>
          <w:szCs w:val="22"/>
        </w:rPr>
        <w:t>ituximab</w:t>
      </w:r>
      <w:r w:rsidR="003F6ABC">
        <w:rPr>
          <w:szCs w:val="22"/>
        </w:rPr>
        <w:t>-</w:t>
      </w:r>
      <w:r w:rsidR="00FE01D3" w:rsidRPr="007E376A">
        <w:rPr>
          <w:szCs w:val="22"/>
        </w:rPr>
        <w:t xml:space="preserve">refractory </w:t>
      </w:r>
      <w:r>
        <w:rPr>
          <w:szCs w:val="22"/>
        </w:rPr>
        <w:t>i</w:t>
      </w:r>
      <w:r w:rsidR="00FE01D3">
        <w:rPr>
          <w:szCs w:val="22"/>
        </w:rPr>
        <w:t>NHL, the PBAC agreed with the ESC that there was a lack of comparative information, and it was not possible to draw any conclusions regarding the comparative</w:t>
      </w:r>
      <w:r w:rsidR="00061C75">
        <w:rPr>
          <w:szCs w:val="22"/>
        </w:rPr>
        <w:t xml:space="preserve"> effectiveness, safety and cost</w:t>
      </w:r>
      <w:r w:rsidR="00061C75">
        <w:rPr>
          <w:szCs w:val="22"/>
        </w:rPr>
        <w:noBreakHyphen/>
      </w:r>
      <w:r w:rsidR="00FE01D3">
        <w:rPr>
          <w:szCs w:val="22"/>
        </w:rPr>
        <w:t xml:space="preserve">effectiveness of bendamustine in this setting. </w:t>
      </w:r>
    </w:p>
    <w:p w:rsidR="003B0DFA" w:rsidRPr="003B0DFA" w:rsidRDefault="003B0DFA" w:rsidP="003B0DFA">
      <w:pPr>
        <w:pStyle w:val="ListParagraph"/>
        <w:rPr>
          <w:szCs w:val="22"/>
        </w:rPr>
      </w:pPr>
    </w:p>
    <w:p w:rsidR="00002004" w:rsidRDefault="00002004">
      <w:pPr>
        <w:widowControl/>
        <w:jc w:val="left"/>
        <w:rPr>
          <w:u w:val="single"/>
        </w:rPr>
      </w:pPr>
      <w:r>
        <w:rPr>
          <w:u w:val="single"/>
        </w:rPr>
        <w:br w:type="page"/>
      </w:r>
    </w:p>
    <w:p w:rsidR="00D04D76" w:rsidRPr="00BB1414" w:rsidRDefault="00FC69D2" w:rsidP="00BB1414">
      <w:pPr>
        <w:widowControl/>
        <w:rPr>
          <w:u w:val="single"/>
        </w:rPr>
      </w:pPr>
      <w:r w:rsidRPr="00BB1414">
        <w:rPr>
          <w:u w:val="single"/>
        </w:rPr>
        <w:lastRenderedPageBreak/>
        <w:t>Economic Model</w:t>
      </w:r>
    </w:p>
    <w:p w:rsidR="00FC67F6" w:rsidRDefault="00FC67F6" w:rsidP="00FC67F6">
      <w:pPr>
        <w:pStyle w:val="ListParagraph"/>
        <w:widowControl/>
      </w:pPr>
    </w:p>
    <w:p w:rsidR="00795310" w:rsidRDefault="00FC67F6" w:rsidP="00EB1E21">
      <w:pPr>
        <w:pStyle w:val="ListParagraph"/>
        <w:widowControl/>
        <w:numPr>
          <w:ilvl w:val="1"/>
          <w:numId w:val="1"/>
        </w:numPr>
      </w:pPr>
      <w:r>
        <w:t>T</w:t>
      </w:r>
      <w:r w:rsidR="001952B2">
        <w:t xml:space="preserve">he PBAC considered that the two “macro health states” </w:t>
      </w:r>
      <w:r w:rsidR="00300431" w:rsidRPr="00300431">
        <w:t>of pre-progression and post-progression from Wild et al</w:t>
      </w:r>
      <w:r w:rsidR="00300431">
        <w:t xml:space="preserve"> </w:t>
      </w:r>
      <w:r w:rsidR="0096324E">
        <w:t>we</w:t>
      </w:r>
      <w:r w:rsidR="00E25DEF">
        <w:t xml:space="preserve">re not an appropriate basis for </w:t>
      </w:r>
      <w:r w:rsidR="0096324E">
        <w:t>the</w:t>
      </w:r>
      <w:r w:rsidR="00E25DEF">
        <w:t xml:space="preserve"> economic evaluation. </w:t>
      </w:r>
      <w:r w:rsidR="001952B2">
        <w:t xml:space="preserve">The </w:t>
      </w:r>
      <w:r>
        <w:t>five disease states</w:t>
      </w:r>
      <w:r w:rsidR="00E85C3C">
        <w:t xml:space="preserve"> outlined in Wild et al</w:t>
      </w:r>
      <w:r w:rsidR="00300431">
        <w:t xml:space="preserve"> </w:t>
      </w:r>
      <w:r w:rsidR="00300431" w:rsidRPr="00300431">
        <w:t>(newly diagnosed, active disease relapsed, partial response, remission-full response, and disease-free</w:t>
      </w:r>
      <w:r w:rsidR="00300431">
        <w:t>)</w:t>
      </w:r>
      <w:r>
        <w:t xml:space="preserve"> and their corresponding utilit</w:t>
      </w:r>
      <w:r w:rsidR="00300431">
        <w:t xml:space="preserve">y values more accurately reflect the course of </w:t>
      </w:r>
      <w:r w:rsidR="00BB1414">
        <w:t>the condition</w:t>
      </w:r>
      <w:r w:rsidR="00300431">
        <w:t xml:space="preserve">. </w:t>
      </w:r>
    </w:p>
    <w:p w:rsidR="00E66BD5" w:rsidRDefault="00E66BD5" w:rsidP="00D50528">
      <w:pPr>
        <w:pStyle w:val="ListParagraph"/>
      </w:pPr>
    </w:p>
    <w:p w:rsidR="00D50528" w:rsidRDefault="00FC67F6" w:rsidP="00EB1E21">
      <w:pPr>
        <w:pStyle w:val="ListParagraph"/>
        <w:widowControl/>
        <w:numPr>
          <w:ilvl w:val="1"/>
          <w:numId w:val="1"/>
        </w:numPr>
      </w:pPr>
      <w:r>
        <w:t xml:space="preserve">The PBAC </w:t>
      </w:r>
      <w:r w:rsidR="00E85C3C">
        <w:t>noted the issues with the economic model raised by the ESC (refer to Paragraphs 6.2</w:t>
      </w:r>
      <w:r w:rsidR="00D11FDD">
        <w:t>8</w:t>
      </w:r>
      <w:r w:rsidR="00E85C3C">
        <w:t>-6.3</w:t>
      </w:r>
      <w:r w:rsidR="00D11FDD">
        <w:t>6</w:t>
      </w:r>
      <w:r w:rsidR="00E85C3C">
        <w:t xml:space="preserve">), and </w:t>
      </w:r>
      <w:r>
        <w:t xml:space="preserve">considered that an appropriate model would: </w:t>
      </w:r>
    </w:p>
    <w:p w:rsidR="00384891" w:rsidRPr="00384891" w:rsidRDefault="00FC67F6" w:rsidP="00EB1E21">
      <w:pPr>
        <w:pStyle w:val="ListParagraph"/>
        <w:numPr>
          <w:ilvl w:val="0"/>
          <w:numId w:val="6"/>
        </w:numPr>
      </w:pPr>
      <w:r>
        <w:t>Incorporate a structure that appropriately reflects the different levels of disease progression</w:t>
      </w:r>
      <w:r w:rsidR="00384891">
        <w:t xml:space="preserve"> using</w:t>
      </w:r>
      <w:r w:rsidR="00384891" w:rsidRPr="00384891">
        <w:t xml:space="preserve"> the five disease state utilities from Wild et al, rather than the two macro health state utilities. </w:t>
      </w:r>
    </w:p>
    <w:p w:rsidR="00E85C3C" w:rsidRDefault="00E85C3C" w:rsidP="00EB1E21">
      <w:pPr>
        <w:pStyle w:val="ListParagraph"/>
        <w:widowControl/>
        <w:numPr>
          <w:ilvl w:val="0"/>
          <w:numId w:val="6"/>
        </w:numPr>
      </w:pPr>
      <w:r w:rsidRPr="00E85C3C">
        <w:t>Incorporate the impact of further lines of treatment with their costs and health benefits</w:t>
      </w:r>
      <w:r>
        <w:t>;</w:t>
      </w:r>
      <w:r w:rsidR="00384891">
        <w:t xml:space="preserve"> </w:t>
      </w:r>
    </w:p>
    <w:p w:rsidR="008D2B88" w:rsidRDefault="007E091C" w:rsidP="00EB1E21">
      <w:pPr>
        <w:pStyle w:val="ListParagraph"/>
        <w:widowControl/>
        <w:numPr>
          <w:ilvl w:val="0"/>
          <w:numId w:val="6"/>
        </w:numPr>
      </w:pPr>
      <w:r>
        <w:t>Provide separate</w:t>
      </w:r>
      <w:r w:rsidR="00F60D4F">
        <w:t xml:space="preserve"> </w:t>
      </w:r>
      <w:r>
        <w:t xml:space="preserve">economic evaluations for </w:t>
      </w:r>
      <w:r w:rsidR="00F60D4F">
        <w:t>indolent NHL and MCL</w:t>
      </w:r>
      <w:r w:rsidR="008D2B88">
        <w:t xml:space="preserve">; </w:t>
      </w:r>
    </w:p>
    <w:p w:rsidR="008D2B88" w:rsidRDefault="008D2B88" w:rsidP="00EB1E21">
      <w:pPr>
        <w:pStyle w:val="ListParagraph"/>
        <w:widowControl/>
        <w:numPr>
          <w:ilvl w:val="0"/>
          <w:numId w:val="6"/>
        </w:numPr>
      </w:pPr>
      <w:r>
        <w:t xml:space="preserve">Use a 10 year time horizon for the economic </w:t>
      </w:r>
      <w:r w:rsidR="009E5019">
        <w:t>evaluation</w:t>
      </w:r>
      <w:r w:rsidR="005D45A0">
        <w:t xml:space="preserve"> </w:t>
      </w:r>
      <w:r>
        <w:t>for MCL, with a 7</w:t>
      </w:r>
      <w:r w:rsidR="005D45A0">
        <w:t> </w:t>
      </w:r>
      <w:r>
        <w:t xml:space="preserve">year </w:t>
      </w:r>
      <w:r w:rsidR="005D45A0">
        <w:t xml:space="preserve">time horizon used in a </w:t>
      </w:r>
      <w:r>
        <w:t>sensitivity analysis; and</w:t>
      </w:r>
    </w:p>
    <w:p w:rsidR="00FC67F6" w:rsidRDefault="008D2B88" w:rsidP="00EB1E21">
      <w:pPr>
        <w:pStyle w:val="ListParagraph"/>
        <w:widowControl/>
        <w:numPr>
          <w:ilvl w:val="0"/>
          <w:numId w:val="6"/>
        </w:numPr>
      </w:pPr>
      <w:r>
        <w:t>Justify the use of a 20 year time horizon for indolent NHL.</w:t>
      </w:r>
    </w:p>
    <w:p w:rsidR="001952B2" w:rsidRDefault="001952B2" w:rsidP="00881CBF">
      <w:pPr>
        <w:pStyle w:val="ListParagraph"/>
      </w:pPr>
    </w:p>
    <w:p w:rsidR="00E85C3C" w:rsidRDefault="00E85C3C" w:rsidP="00EB1E21">
      <w:pPr>
        <w:pStyle w:val="ListParagraph"/>
        <w:widowControl/>
        <w:numPr>
          <w:ilvl w:val="1"/>
          <w:numId w:val="1"/>
        </w:numPr>
        <w:rPr>
          <w:szCs w:val="22"/>
        </w:rPr>
      </w:pPr>
      <w:r w:rsidRPr="00E85C3C">
        <w:rPr>
          <w:szCs w:val="22"/>
        </w:rPr>
        <w:t>In light of these issues, the PBAC considered that</w:t>
      </w:r>
      <w:r>
        <w:rPr>
          <w:szCs w:val="22"/>
        </w:rPr>
        <w:t xml:space="preserve"> the submitted model did not provide a reliable basis for estimating the cost-</w:t>
      </w:r>
      <w:r w:rsidRPr="00E85C3C">
        <w:rPr>
          <w:szCs w:val="22"/>
        </w:rPr>
        <w:t>effectiveness of bendamustine.</w:t>
      </w:r>
      <w:r>
        <w:rPr>
          <w:szCs w:val="22"/>
        </w:rPr>
        <w:t xml:space="preserve"> </w:t>
      </w:r>
      <w:r w:rsidR="00FF1633" w:rsidRPr="00FF1633">
        <w:rPr>
          <w:szCs w:val="22"/>
        </w:rPr>
        <w:t>Therefore, the PBAC requested that, for the previously untreated iNHL and MCL patient populations,  the sponsor either:</w:t>
      </w:r>
    </w:p>
    <w:p w:rsidR="00E85C3C" w:rsidRDefault="00E85C3C" w:rsidP="00E85C3C">
      <w:pPr>
        <w:pStyle w:val="ListParagraph"/>
        <w:widowControl/>
        <w:rPr>
          <w:szCs w:val="22"/>
        </w:rPr>
      </w:pPr>
    </w:p>
    <w:p w:rsidR="00E85C3C" w:rsidRDefault="00FF1633" w:rsidP="00EB1E21">
      <w:pPr>
        <w:pStyle w:val="ListParagraph"/>
        <w:widowControl/>
        <w:numPr>
          <w:ilvl w:val="0"/>
          <w:numId w:val="6"/>
        </w:numPr>
        <w:rPr>
          <w:szCs w:val="22"/>
        </w:rPr>
      </w:pPr>
      <w:r w:rsidRPr="00FF1633">
        <w:rPr>
          <w:szCs w:val="22"/>
        </w:rPr>
        <w:t xml:space="preserve">Provide a major re-submission that addresses the issues in the model as outlined in Paragraph 7.15. </w:t>
      </w:r>
      <w:r>
        <w:rPr>
          <w:szCs w:val="22"/>
        </w:rPr>
        <w:t>However, t</w:t>
      </w:r>
      <w:r w:rsidRPr="00FF1633">
        <w:rPr>
          <w:szCs w:val="22"/>
        </w:rPr>
        <w:t xml:space="preserve">he PBAC noted that </w:t>
      </w:r>
      <w:r>
        <w:rPr>
          <w:szCs w:val="22"/>
        </w:rPr>
        <w:t>this</w:t>
      </w:r>
      <w:r w:rsidRPr="00FF1633">
        <w:rPr>
          <w:szCs w:val="22"/>
        </w:rPr>
        <w:t xml:space="preserve"> may require individual patient level data</w:t>
      </w:r>
      <w:r>
        <w:rPr>
          <w:szCs w:val="22"/>
        </w:rPr>
        <w:t>, to which the sponsor may not have access</w:t>
      </w:r>
      <w:r w:rsidRPr="00FF1633">
        <w:rPr>
          <w:szCs w:val="22"/>
        </w:rPr>
        <w:t xml:space="preserve">. </w:t>
      </w:r>
    </w:p>
    <w:p w:rsidR="00FF1633" w:rsidRDefault="00FF1633" w:rsidP="00FF1633">
      <w:pPr>
        <w:pStyle w:val="ListParagraph"/>
        <w:widowControl/>
        <w:ind w:left="1080"/>
        <w:rPr>
          <w:szCs w:val="22"/>
        </w:rPr>
      </w:pPr>
    </w:p>
    <w:p w:rsidR="00FF1633" w:rsidRPr="00FF18BA" w:rsidRDefault="00FF1633" w:rsidP="00EB1E21">
      <w:pPr>
        <w:pStyle w:val="ListParagraph"/>
        <w:widowControl/>
        <w:numPr>
          <w:ilvl w:val="0"/>
          <w:numId w:val="6"/>
        </w:numPr>
        <w:rPr>
          <w:szCs w:val="22"/>
        </w:rPr>
      </w:pPr>
      <w:bookmarkStart w:id="22" w:name="_GoBack"/>
      <w:bookmarkEnd w:id="22"/>
      <w:proofErr w:type="gramStart"/>
      <w:r w:rsidRPr="00FF18BA">
        <w:rPr>
          <w:szCs w:val="22"/>
        </w:rPr>
        <w:t>propose</w:t>
      </w:r>
      <w:proofErr w:type="gramEnd"/>
      <w:r w:rsidRPr="00FF18BA">
        <w:rPr>
          <w:szCs w:val="22"/>
        </w:rPr>
        <w:t xml:space="preserve"> an entry price that mitigates the risk that the model does not accurately estimate the true cos</w:t>
      </w:r>
      <w:r w:rsidR="00FF18BA" w:rsidRPr="00FF18BA">
        <w:rPr>
          <w:szCs w:val="22"/>
        </w:rPr>
        <w:t>t-effectiveness of bendamustine</w:t>
      </w:r>
      <w:r w:rsidRPr="00FF18BA">
        <w:rPr>
          <w:szCs w:val="22"/>
        </w:rPr>
        <w:t xml:space="preserve">. </w:t>
      </w:r>
      <w:r w:rsidR="00FF18BA" w:rsidRPr="00FF18BA">
        <w:rPr>
          <w:szCs w:val="22"/>
        </w:rPr>
        <w:t>In forming this view, the PBAC noted</w:t>
      </w:r>
      <w:r w:rsidR="00843C96">
        <w:rPr>
          <w:szCs w:val="22"/>
        </w:rPr>
        <w:t>:</w:t>
      </w:r>
      <w:r w:rsidR="00FF18BA" w:rsidRPr="00FF18BA">
        <w:rPr>
          <w:szCs w:val="22"/>
        </w:rPr>
        <w:t xml:space="preserve"> the safety advantage over R-CHOP</w:t>
      </w:r>
      <w:r w:rsidR="00843C96">
        <w:rPr>
          <w:szCs w:val="22"/>
        </w:rPr>
        <w:t xml:space="preserve">; </w:t>
      </w:r>
      <w:r w:rsidR="00FF18BA" w:rsidRPr="00FF18BA">
        <w:rPr>
          <w:szCs w:val="22"/>
        </w:rPr>
        <w:t>the requested economic evaluation may not be possible</w:t>
      </w:r>
      <w:r w:rsidR="000B031E">
        <w:rPr>
          <w:szCs w:val="22"/>
        </w:rPr>
        <w:t xml:space="preserve"> because of limitations on data available to the sponsor</w:t>
      </w:r>
      <w:r w:rsidR="00843C96">
        <w:rPr>
          <w:szCs w:val="22"/>
        </w:rPr>
        <w:t xml:space="preserve">; and </w:t>
      </w:r>
      <w:r w:rsidR="00CF1666" w:rsidRPr="00FF18BA">
        <w:rPr>
          <w:szCs w:val="22"/>
        </w:rPr>
        <w:t xml:space="preserve">the high asking price compared to other brands of bendamustine imported under the TGA Special Access Scheme. </w:t>
      </w:r>
      <w:r w:rsidRPr="00FF18BA">
        <w:rPr>
          <w:szCs w:val="22"/>
        </w:rPr>
        <w:t>In th</w:t>
      </w:r>
      <w:r w:rsidR="00843C96">
        <w:rPr>
          <w:szCs w:val="22"/>
        </w:rPr>
        <w:t>e absence of a reliable economic evaluation</w:t>
      </w:r>
      <w:r w:rsidRPr="00FF18BA">
        <w:rPr>
          <w:szCs w:val="22"/>
        </w:rPr>
        <w:t>, the PBAC requested that the Department review the listing of bendamustine once longer term follow</w:t>
      </w:r>
      <w:r w:rsidRPr="00FF18BA">
        <w:rPr>
          <w:szCs w:val="22"/>
        </w:rPr>
        <w:noBreakHyphen/>
        <w:t xml:space="preserve">up </w:t>
      </w:r>
      <w:r w:rsidR="00901201" w:rsidRPr="00FF18BA">
        <w:rPr>
          <w:szCs w:val="22"/>
        </w:rPr>
        <w:t xml:space="preserve">data </w:t>
      </w:r>
      <w:r w:rsidRPr="00FF18BA">
        <w:rPr>
          <w:szCs w:val="22"/>
        </w:rPr>
        <w:t xml:space="preserve">from the BRIGHT trial </w:t>
      </w:r>
      <w:r w:rsidR="005F1CD8">
        <w:rPr>
          <w:szCs w:val="22"/>
        </w:rPr>
        <w:t>are</w:t>
      </w:r>
      <w:r w:rsidR="005F1CD8" w:rsidRPr="00FF18BA">
        <w:rPr>
          <w:szCs w:val="22"/>
        </w:rPr>
        <w:t xml:space="preserve"> </w:t>
      </w:r>
      <w:r w:rsidRPr="00FF18BA">
        <w:rPr>
          <w:szCs w:val="22"/>
        </w:rPr>
        <w:t xml:space="preserve">available, to ensure that the PFS </w:t>
      </w:r>
      <w:r w:rsidR="00FF18BA">
        <w:rPr>
          <w:szCs w:val="22"/>
        </w:rPr>
        <w:t xml:space="preserve">data from the BRIGHT trial are consistent with the data presented in this submission from the </w:t>
      </w:r>
      <w:proofErr w:type="spellStart"/>
      <w:r w:rsidRPr="00FF18BA">
        <w:rPr>
          <w:szCs w:val="22"/>
        </w:rPr>
        <w:t>STiL</w:t>
      </w:r>
      <w:proofErr w:type="spellEnd"/>
      <w:r w:rsidRPr="00FF18BA">
        <w:rPr>
          <w:szCs w:val="22"/>
        </w:rPr>
        <w:t xml:space="preserve"> trial.</w:t>
      </w:r>
      <w:r w:rsidR="005C2131" w:rsidRPr="00FF18BA">
        <w:rPr>
          <w:szCs w:val="22"/>
        </w:rPr>
        <w:t xml:space="preserve"> Should there be </w:t>
      </w:r>
      <w:r w:rsidR="005F1CD8">
        <w:rPr>
          <w:szCs w:val="22"/>
        </w:rPr>
        <w:t>substantially less incremental improvement</w:t>
      </w:r>
      <w:r w:rsidR="005C2131" w:rsidRPr="00FF18BA">
        <w:rPr>
          <w:szCs w:val="22"/>
        </w:rPr>
        <w:t xml:space="preserve"> </w:t>
      </w:r>
      <w:r w:rsidR="005F1CD8">
        <w:rPr>
          <w:szCs w:val="22"/>
        </w:rPr>
        <w:t xml:space="preserve">over R-CHOP </w:t>
      </w:r>
      <w:r w:rsidR="005C2131" w:rsidRPr="00FF18BA">
        <w:rPr>
          <w:szCs w:val="22"/>
        </w:rPr>
        <w:t xml:space="preserve">in PFS </w:t>
      </w:r>
      <w:r w:rsidR="00205A8A">
        <w:rPr>
          <w:szCs w:val="22"/>
        </w:rPr>
        <w:t xml:space="preserve">(hazard ratio, median) </w:t>
      </w:r>
      <w:r w:rsidR="005C2131" w:rsidRPr="00FF18BA">
        <w:rPr>
          <w:szCs w:val="22"/>
        </w:rPr>
        <w:t xml:space="preserve">observed </w:t>
      </w:r>
      <w:r w:rsidR="00205A8A">
        <w:rPr>
          <w:szCs w:val="22"/>
        </w:rPr>
        <w:t xml:space="preserve">in the BRIGHT study compared to the </w:t>
      </w:r>
      <w:proofErr w:type="spellStart"/>
      <w:r w:rsidR="00205A8A">
        <w:rPr>
          <w:szCs w:val="22"/>
        </w:rPr>
        <w:t>StiL</w:t>
      </w:r>
      <w:proofErr w:type="spellEnd"/>
      <w:r w:rsidR="00205A8A">
        <w:rPr>
          <w:szCs w:val="22"/>
        </w:rPr>
        <w:t xml:space="preserve"> </w:t>
      </w:r>
      <w:r w:rsidR="005C2131" w:rsidRPr="00FF18BA">
        <w:rPr>
          <w:szCs w:val="22"/>
        </w:rPr>
        <w:t xml:space="preserve">trial, the sponsor would need to provide a reliable economic evaluation to support continued listing of the product at the listed price. </w:t>
      </w:r>
    </w:p>
    <w:p w:rsidR="00E85C3C" w:rsidRDefault="00E85C3C" w:rsidP="00E85C3C">
      <w:pPr>
        <w:pStyle w:val="PBACHeading1"/>
        <w:numPr>
          <w:ilvl w:val="0"/>
          <w:numId w:val="0"/>
        </w:numPr>
        <w:ind w:left="720"/>
      </w:pPr>
    </w:p>
    <w:p w:rsidR="00C85CC2" w:rsidRPr="004B5DE5" w:rsidRDefault="004B5DE5" w:rsidP="004B5DE5">
      <w:pPr>
        <w:widowControl/>
        <w:spacing w:after="160" w:line="259" w:lineRule="auto"/>
        <w:jc w:val="left"/>
        <w:rPr>
          <w:u w:val="single"/>
        </w:rPr>
      </w:pPr>
      <w:r w:rsidRPr="004B5DE5">
        <w:rPr>
          <w:u w:val="single"/>
        </w:rPr>
        <w:t>Financial estimates</w:t>
      </w:r>
    </w:p>
    <w:p w:rsidR="00E16006" w:rsidRPr="00E16006" w:rsidRDefault="00E16006" w:rsidP="00EB1E21">
      <w:pPr>
        <w:pStyle w:val="ListParagraph"/>
        <w:numPr>
          <w:ilvl w:val="1"/>
          <w:numId w:val="1"/>
        </w:numPr>
        <w:rPr>
          <w:szCs w:val="22"/>
        </w:rPr>
      </w:pPr>
      <w:r w:rsidRPr="00E16006">
        <w:rPr>
          <w:szCs w:val="22"/>
        </w:rPr>
        <w:t xml:space="preserve">The </w:t>
      </w:r>
      <w:proofErr w:type="spellStart"/>
      <w:r w:rsidRPr="00E16006">
        <w:rPr>
          <w:szCs w:val="22"/>
        </w:rPr>
        <w:t>StiL</w:t>
      </w:r>
      <w:proofErr w:type="spellEnd"/>
      <w:r w:rsidRPr="00E16006">
        <w:rPr>
          <w:szCs w:val="22"/>
        </w:rPr>
        <w:t xml:space="preserve"> trial did not include subsequent rituximab maintenance treatment. Both </w:t>
      </w:r>
      <w:r w:rsidR="00FF18BA" w:rsidRPr="00FF18BA">
        <w:rPr>
          <w:szCs w:val="22"/>
        </w:rPr>
        <w:t xml:space="preserve">rituximab maintenance </w:t>
      </w:r>
      <w:r w:rsidR="00A56009">
        <w:rPr>
          <w:szCs w:val="22"/>
        </w:rPr>
        <w:t>and B-R</w:t>
      </w:r>
      <w:r w:rsidR="00CF1666" w:rsidRPr="00CF1666">
        <w:rPr>
          <w:szCs w:val="22"/>
        </w:rPr>
        <w:t xml:space="preserve"> </w:t>
      </w:r>
      <w:r w:rsidRPr="00E16006">
        <w:rPr>
          <w:szCs w:val="22"/>
        </w:rPr>
        <w:t xml:space="preserve">prolong PFS and </w:t>
      </w:r>
      <w:r w:rsidR="00752484">
        <w:rPr>
          <w:szCs w:val="22"/>
        </w:rPr>
        <w:t xml:space="preserve">no evidence </w:t>
      </w:r>
      <w:r w:rsidR="005C2131">
        <w:rPr>
          <w:szCs w:val="22"/>
        </w:rPr>
        <w:t>was</w:t>
      </w:r>
      <w:r w:rsidR="00752484">
        <w:rPr>
          <w:szCs w:val="22"/>
        </w:rPr>
        <w:t xml:space="preserve"> pr</w:t>
      </w:r>
      <w:r w:rsidR="005C2131">
        <w:rPr>
          <w:szCs w:val="22"/>
        </w:rPr>
        <w:t>ovide</w:t>
      </w:r>
      <w:r w:rsidR="00752484">
        <w:rPr>
          <w:szCs w:val="22"/>
        </w:rPr>
        <w:t xml:space="preserve">d to demonstrate that </w:t>
      </w:r>
      <w:r w:rsidRPr="00E16006">
        <w:rPr>
          <w:szCs w:val="22"/>
        </w:rPr>
        <w:t>these benefits would be additive. Therefore the PBAC considered that the use of rituximab maintenance should not be permitted following induction</w:t>
      </w:r>
      <w:r w:rsidR="00CF1666" w:rsidRPr="00CF1666">
        <w:t xml:space="preserve"> </w:t>
      </w:r>
      <w:r w:rsidR="00CF1666">
        <w:t xml:space="preserve">with </w:t>
      </w:r>
      <w:r w:rsidR="00A56009">
        <w:rPr>
          <w:szCs w:val="22"/>
        </w:rPr>
        <w:t>B-R</w:t>
      </w:r>
      <w:r w:rsidRPr="00E16006">
        <w:rPr>
          <w:szCs w:val="22"/>
        </w:rPr>
        <w:t xml:space="preserve">. This would require a flow-on change to the </w:t>
      </w:r>
      <w:r w:rsidR="00752484">
        <w:rPr>
          <w:szCs w:val="22"/>
        </w:rPr>
        <w:t xml:space="preserve">PBS restrictions for </w:t>
      </w:r>
      <w:r w:rsidRPr="00E16006">
        <w:rPr>
          <w:szCs w:val="22"/>
        </w:rPr>
        <w:t xml:space="preserve">rituximab </w:t>
      </w:r>
      <w:r w:rsidR="00752484">
        <w:rPr>
          <w:szCs w:val="22"/>
        </w:rPr>
        <w:t xml:space="preserve">in </w:t>
      </w:r>
      <w:r w:rsidR="00752484">
        <w:rPr>
          <w:szCs w:val="22"/>
        </w:rPr>
        <w:lastRenderedPageBreak/>
        <w:t xml:space="preserve">the </w:t>
      </w:r>
      <w:r w:rsidRPr="00E16006">
        <w:rPr>
          <w:szCs w:val="22"/>
        </w:rPr>
        <w:t>maintenance</w:t>
      </w:r>
      <w:r w:rsidR="00752484">
        <w:rPr>
          <w:szCs w:val="22"/>
        </w:rPr>
        <w:t xml:space="preserve"> setting</w:t>
      </w:r>
      <w:r w:rsidRPr="00E16006">
        <w:rPr>
          <w:szCs w:val="22"/>
        </w:rPr>
        <w:t xml:space="preserve">.  </w:t>
      </w:r>
    </w:p>
    <w:p w:rsidR="00E16006" w:rsidRPr="00E16006" w:rsidRDefault="00E16006" w:rsidP="00E25DEF">
      <w:pPr>
        <w:pStyle w:val="ListParagraph"/>
        <w:widowControl/>
        <w:rPr>
          <w:i/>
          <w:szCs w:val="22"/>
        </w:rPr>
      </w:pPr>
    </w:p>
    <w:p w:rsidR="007F6140" w:rsidRPr="007F6140" w:rsidRDefault="00E25DEF" w:rsidP="00EB1E21">
      <w:pPr>
        <w:pStyle w:val="ListParagraph"/>
        <w:widowControl/>
        <w:numPr>
          <w:ilvl w:val="1"/>
          <w:numId w:val="1"/>
        </w:numPr>
        <w:rPr>
          <w:i/>
          <w:szCs w:val="22"/>
        </w:rPr>
      </w:pPr>
      <w:r>
        <w:t xml:space="preserve">Therefore, the PBAC considered that the </w:t>
      </w:r>
      <w:r w:rsidR="007F6140">
        <w:t xml:space="preserve">financial estimates should account for the exclusion of </w:t>
      </w:r>
      <w:r>
        <w:t>rituximab maintenance</w:t>
      </w:r>
      <w:r w:rsidR="007F6140">
        <w:t xml:space="preserve"> therapy following treatment with bendamustine. </w:t>
      </w:r>
    </w:p>
    <w:p w:rsidR="007F6140" w:rsidRDefault="007F6140" w:rsidP="007F6140">
      <w:pPr>
        <w:pStyle w:val="ListParagraph"/>
      </w:pPr>
    </w:p>
    <w:p w:rsidR="00EC3B33" w:rsidRPr="004B5DE5" w:rsidRDefault="004B5DE5" w:rsidP="004B5DE5">
      <w:pPr>
        <w:widowControl/>
        <w:spacing w:after="160" w:line="259" w:lineRule="auto"/>
        <w:jc w:val="left"/>
        <w:rPr>
          <w:u w:val="single"/>
        </w:rPr>
      </w:pPr>
      <w:r w:rsidRPr="004B5DE5">
        <w:rPr>
          <w:u w:val="single"/>
        </w:rPr>
        <w:t>Registration of concomitant r</w:t>
      </w:r>
      <w:r>
        <w:rPr>
          <w:u w:val="single"/>
        </w:rPr>
        <w:t>i</w:t>
      </w:r>
      <w:r w:rsidRPr="004B5DE5">
        <w:rPr>
          <w:u w:val="single"/>
        </w:rPr>
        <w:t>tuximab</w:t>
      </w:r>
    </w:p>
    <w:p w:rsidR="00AC60FA" w:rsidRDefault="007F6140" w:rsidP="00EB1E21">
      <w:pPr>
        <w:pStyle w:val="ListParagraph"/>
        <w:widowControl/>
        <w:numPr>
          <w:ilvl w:val="1"/>
          <w:numId w:val="1"/>
        </w:numPr>
      </w:pPr>
      <w:r>
        <w:t>The PBAC noted the need for patients to have subsidised access to</w:t>
      </w:r>
      <w:r w:rsidR="00EC3B33">
        <w:t xml:space="preserve"> concomitant rituximab</w:t>
      </w:r>
      <w:r w:rsidR="00752484">
        <w:t>.</w:t>
      </w:r>
      <w:r w:rsidR="00AC60FA">
        <w:t xml:space="preserve"> </w:t>
      </w:r>
    </w:p>
    <w:p w:rsidR="00AC60FA" w:rsidRDefault="00AC60FA" w:rsidP="002D478E">
      <w:pPr>
        <w:pStyle w:val="PBACHeading1"/>
        <w:numPr>
          <w:ilvl w:val="0"/>
          <w:numId w:val="0"/>
        </w:numPr>
        <w:ind w:left="720" w:hanging="720"/>
      </w:pPr>
    </w:p>
    <w:p w:rsidR="00AC60FA" w:rsidRDefault="00AC60FA" w:rsidP="002D478E">
      <w:pPr>
        <w:pStyle w:val="PBACHeading1"/>
        <w:numPr>
          <w:ilvl w:val="0"/>
          <w:numId w:val="0"/>
        </w:numPr>
        <w:ind w:left="720" w:hanging="720"/>
      </w:pPr>
    </w:p>
    <w:p w:rsidR="002D478E" w:rsidRDefault="002D478E" w:rsidP="002D478E">
      <w:pPr>
        <w:pStyle w:val="PBACHeading1"/>
        <w:numPr>
          <w:ilvl w:val="0"/>
          <w:numId w:val="0"/>
        </w:numPr>
        <w:ind w:left="720" w:hanging="720"/>
      </w:pPr>
      <w:r>
        <w:t>Outcome:</w:t>
      </w:r>
    </w:p>
    <w:p w:rsidR="002D478E" w:rsidRDefault="002D478E" w:rsidP="002D478E">
      <w:pPr>
        <w:pStyle w:val="PBACHeading1"/>
        <w:numPr>
          <w:ilvl w:val="0"/>
          <w:numId w:val="0"/>
        </w:numPr>
        <w:ind w:left="720" w:hanging="720"/>
        <w:rPr>
          <w:b w:val="0"/>
        </w:rPr>
      </w:pPr>
      <w:r w:rsidRPr="002D478E">
        <w:rPr>
          <w:b w:val="0"/>
        </w:rPr>
        <w:t>Deferred</w:t>
      </w:r>
    </w:p>
    <w:p w:rsidR="002D478E" w:rsidRDefault="002D478E" w:rsidP="002D478E">
      <w:pPr>
        <w:pStyle w:val="PBACHeading1"/>
        <w:numPr>
          <w:ilvl w:val="0"/>
          <w:numId w:val="0"/>
        </w:numPr>
        <w:ind w:left="720" w:hanging="720"/>
        <w:rPr>
          <w:b w:val="0"/>
        </w:rPr>
      </w:pPr>
    </w:p>
    <w:p w:rsidR="007B4A19" w:rsidRPr="007B4A19" w:rsidRDefault="007B4A19" w:rsidP="007B4A19">
      <w:pPr>
        <w:rPr>
          <w:rFonts w:eastAsia="Times New Roman"/>
          <w:szCs w:val="22"/>
        </w:rPr>
      </w:pPr>
    </w:p>
    <w:p w:rsidR="007B4A19" w:rsidRPr="007B4A19" w:rsidRDefault="007B4A19" w:rsidP="00EE2918">
      <w:pPr>
        <w:pStyle w:val="PBACHeading1"/>
        <w:rPr>
          <w:snapToGrid/>
        </w:rPr>
      </w:pPr>
      <w:r w:rsidRPr="007B4A19">
        <w:rPr>
          <w:snapToGrid/>
        </w:rPr>
        <w:t>Context for Decision</w:t>
      </w:r>
    </w:p>
    <w:p w:rsidR="007B4A19" w:rsidRPr="007B4A19" w:rsidRDefault="007B4A19" w:rsidP="007B4A19">
      <w:pPr>
        <w:widowControl/>
        <w:ind w:left="720"/>
        <w:contextualSpacing/>
        <w:jc w:val="left"/>
        <w:rPr>
          <w:rFonts w:ascii="Times New Roman" w:eastAsia="Times New Roman" w:hAnsi="Times New Roman" w:cs="Times New Roman"/>
          <w:b/>
          <w:snapToGrid/>
          <w:sz w:val="24"/>
          <w:szCs w:val="24"/>
          <w:lang w:eastAsia="en-AU"/>
        </w:rPr>
      </w:pPr>
    </w:p>
    <w:p w:rsidR="007B4A19" w:rsidRPr="007B4A19" w:rsidRDefault="007B4A19" w:rsidP="007B4A19">
      <w:pPr>
        <w:widowControl/>
        <w:ind w:left="720"/>
        <w:jc w:val="left"/>
        <w:rPr>
          <w:rFonts w:eastAsia="Times New Roman"/>
          <w:bCs/>
          <w:szCs w:val="22"/>
          <w:lang w:eastAsia="en-AU"/>
        </w:rPr>
      </w:pPr>
      <w:r w:rsidRPr="007B4A19">
        <w:rPr>
          <w:rFonts w:eastAsia="Times New Roman"/>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B4A19" w:rsidRPr="007B4A19" w:rsidRDefault="007B4A19" w:rsidP="007B4A19">
      <w:pPr>
        <w:widowControl/>
        <w:jc w:val="left"/>
        <w:rPr>
          <w:rFonts w:ascii="Times New Roman" w:eastAsia="Times New Roman" w:hAnsi="Times New Roman" w:cs="Times New Roman"/>
          <w:snapToGrid/>
          <w:sz w:val="24"/>
          <w:szCs w:val="24"/>
          <w:lang w:eastAsia="en-AU"/>
        </w:rPr>
      </w:pPr>
    </w:p>
    <w:p w:rsidR="007B4A19" w:rsidRPr="007B4A19" w:rsidRDefault="007B4A19" w:rsidP="00EE2918">
      <w:pPr>
        <w:pStyle w:val="PBACHeading1"/>
        <w:rPr>
          <w:snapToGrid/>
        </w:rPr>
      </w:pPr>
      <w:r w:rsidRPr="007B4A19">
        <w:rPr>
          <w:snapToGrid/>
        </w:rPr>
        <w:t>Sponsor’s Comment</w:t>
      </w:r>
    </w:p>
    <w:p w:rsidR="007B4A19" w:rsidRPr="007B4A19" w:rsidRDefault="007B4A19" w:rsidP="007B4A19">
      <w:pPr>
        <w:widowControl/>
        <w:rPr>
          <w:rFonts w:eastAsia="Times New Roman" w:cs="Times New Roman"/>
          <w:snapToGrid/>
          <w:szCs w:val="22"/>
          <w:lang w:eastAsia="en-AU"/>
        </w:rPr>
      </w:pPr>
    </w:p>
    <w:p w:rsidR="007668CD" w:rsidRPr="008F0B36" w:rsidRDefault="007668CD" w:rsidP="007668CD">
      <w:pPr>
        <w:widowControl/>
        <w:ind w:left="720"/>
        <w:jc w:val="left"/>
        <w:rPr>
          <w:rFonts w:eastAsia="Times New Roman"/>
          <w:bCs/>
          <w:szCs w:val="22"/>
          <w:lang w:eastAsia="en-AU"/>
        </w:rPr>
      </w:pPr>
      <w:r w:rsidRPr="008F0B36">
        <w:rPr>
          <w:rFonts w:eastAsia="Times New Roman"/>
          <w:bCs/>
          <w:szCs w:val="22"/>
          <w:lang w:eastAsia="en-AU"/>
        </w:rPr>
        <w:t xml:space="preserve">The </w:t>
      </w:r>
      <w:r w:rsidR="003564A1">
        <w:rPr>
          <w:rFonts w:eastAsia="Times New Roman"/>
          <w:bCs/>
          <w:szCs w:val="22"/>
          <w:lang w:eastAsia="en-AU"/>
        </w:rPr>
        <w:t>S</w:t>
      </w:r>
      <w:r w:rsidRPr="008F0B36">
        <w:rPr>
          <w:rFonts w:eastAsia="Times New Roman"/>
          <w:bCs/>
          <w:szCs w:val="22"/>
          <w:lang w:eastAsia="en-AU"/>
        </w:rPr>
        <w:t xml:space="preserve">ponsor is disappointed with the outcome and does not agree with the rationale for the </w:t>
      </w:r>
      <w:r>
        <w:rPr>
          <w:rFonts w:eastAsia="Times New Roman"/>
          <w:bCs/>
          <w:szCs w:val="22"/>
          <w:lang w:eastAsia="en-AU"/>
        </w:rPr>
        <w:t xml:space="preserve">PBAC’s recommendation. </w:t>
      </w:r>
      <w:r w:rsidRPr="008F0B36">
        <w:rPr>
          <w:rFonts w:eastAsia="Times New Roman"/>
          <w:bCs/>
          <w:szCs w:val="22"/>
          <w:lang w:eastAsia="en-AU"/>
        </w:rPr>
        <w:t xml:space="preserve">The sponsor is, however, working to resolve the issues </w:t>
      </w:r>
      <w:proofErr w:type="gramStart"/>
      <w:r w:rsidRPr="008F0B36">
        <w:rPr>
          <w:rFonts w:eastAsia="Times New Roman"/>
          <w:bCs/>
          <w:szCs w:val="22"/>
          <w:lang w:eastAsia="en-AU"/>
        </w:rPr>
        <w:t>raised</w:t>
      </w:r>
      <w:proofErr w:type="gramEnd"/>
      <w:r w:rsidRPr="008F0B36">
        <w:rPr>
          <w:rFonts w:eastAsia="Times New Roman"/>
          <w:bCs/>
          <w:szCs w:val="22"/>
          <w:lang w:eastAsia="en-AU"/>
        </w:rPr>
        <w:t xml:space="preserve"> by the PBAC, so that patients can access this important medicine </w:t>
      </w:r>
      <w:r>
        <w:rPr>
          <w:rFonts w:eastAsia="Times New Roman"/>
          <w:bCs/>
          <w:szCs w:val="22"/>
          <w:lang w:eastAsia="en-AU"/>
        </w:rPr>
        <w:t>in a timely manner.</w:t>
      </w:r>
      <w:r w:rsidRPr="008F0B36">
        <w:rPr>
          <w:rFonts w:eastAsia="Times New Roman"/>
          <w:bCs/>
          <w:szCs w:val="22"/>
          <w:lang w:eastAsia="en-AU"/>
        </w:rPr>
        <w:t xml:space="preserve"> </w:t>
      </w:r>
      <w:r>
        <w:rPr>
          <w:rFonts w:eastAsia="Times New Roman"/>
          <w:bCs/>
          <w:szCs w:val="22"/>
          <w:lang w:eastAsia="en-AU"/>
        </w:rPr>
        <w:t>A re-submission will be considered at the July 2015 meeting.</w:t>
      </w:r>
    </w:p>
    <w:p w:rsidR="007B4A19" w:rsidRPr="007B4A19" w:rsidRDefault="007B4A19" w:rsidP="007B4A19">
      <w:pPr>
        <w:rPr>
          <w:rFonts w:eastAsia="Times New Roman"/>
          <w:b/>
          <w:szCs w:val="22"/>
        </w:rPr>
      </w:pPr>
    </w:p>
    <w:p w:rsidR="007B4A19" w:rsidRPr="007B4A19" w:rsidRDefault="007B4A19" w:rsidP="007B4A19">
      <w:pPr>
        <w:rPr>
          <w:rFonts w:eastAsia="Times New Roman"/>
          <w:szCs w:val="22"/>
        </w:rPr>
      </w:pPr>
    </w:p>
    <w:p w:rsidR="002D478E" w:rsidRDefault="002D478E" w:rsidP="002D478E">
      <w:pPr>
        <w:pStyle w:val="PBACHeading1"/>
        <w:numPr>
          <w:ilvl w:val="0"/>
          <w:numId w:val="0"/>
        </w:numPr>
        <w:ind w:left="720" w:hanging="720"/>
      </w:pPr>
    </w:p>
    <w:p w:rsidR="0080375A" w:rsidRDefault="0080375A" w:rsidP="002D478E">
      <w:pPr>
        <w:pStyle w:val="PBACHeading1"/>
        <w:numPr>
          <w:ilvl w:val="0"/>
          <w:numId w:val="0"/>
        </w:numPr>
        <w:ind w:left="720" w:hanging="720"/>
      </w:pPr>
    </w:p>
    <w:p w:rsidR="000B031E" w:rsidRDefault="000B031E" w:rsidP="0080375A">
      <w:pPr>
        <w:pStyle w:val="PBACHeading1"/>
        <w:numPr>
          <w:ilvl w:val="0"/>
          <w:numId w:val="0"/>
        </w:numPr>
        <w:rPr>
          <w:b w:val="0"/>
        </w:rPr>
      </w:pPr>
    </w:p>
    <w:sectPr w:rsidR="000B031E" w:rsidSect="00C71898">
      <w:headerReference w:type="default" r:id="rId9"/>
      <w:footerReference w:type="default" r:id="rId10"/>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B3549A" w15:done="0"/>
  <w15:commentEx w15:paraId="199F52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D1B" w:rsidRDefault="009B4D1B" w:rsidP="00124A51">
      <w:r>
        <w:separator/>
      </w:r>
    </w:p>
  </w:endnote>
  <w:endnote w:type="continuationSeparator" w:id="0">
    <w:p w:rsidR="009B4D1B" w:rsidRDefault="009B4D1B"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761"/>
      <w:docPartObj>
        <w:docPartGallery w:val="Page Numbers (Bottom of Page)"/>
        <w:docPartUnique/>
      </w:docPartObj>
    </w:sdtPr>
    <w:sdtEndPr/>
    <w:sdtContent>
      <w:p w:rsidR="00371302" w:rsidRDefault="00371302">
        <w:pPr>
          <w:pStyle w:val="Footer"/>
          <w:jc w:val="center"/>
        </w:pPr>
        <w:r>
          <w:fldChar w:fldCharType="begin"/>
        </w:r>
        <w:r>
          <w:instrText xml:space="preserve"> PAGE   \* MERGEFORMAT </w:instrText>
        </w:r>
        <w:r>
          <w:fldChar w:fldCharType="separate"/>
        </w:r>
        <w:r w:rsidR="00002004">
          <w:rPr>
            <w:noProof/>
          </w:rPr>
          <w:t>19</w:t>
        </w:r>
        <w:r>
          <w:rPr>
            <w:noProof/>
          </w:rPr>
          <w:fldChar w:fldCharType="end"/>
        </w:r>
      </w:p>
    </w:sdtContent>
  </w:sdt>
  <w:p w:rsidR="00371302" w:rsidRDefault="00371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D1B" w:rsidRDefault="009B4D1B" w:rsidP="00124A51">
      <w:r>
        <w:separator/>
      </w:r>
    </w:p>
  </w:footnote>
  <w:footnote w:type="continuationSeparator" w:id="0">
    <w:p w:rsidR="009B4D1B" w:rsidRDefault="009B4D1B" w:rsidP="00124A51">
      <w:r>
        <w:continuationSeparator/>
      </w:r>
    </w:p>
  </w:footnote>
  <w:footnote w:id="1">
    <w:p w:rsidR="00371302" w:rsidRDefault="00371302">
      <w:pPr>
        <w:pStyle w:val="FootnoteText"/>
      </w:pPr>
      <w:r>
        <w:rPr>
          <w:rStyle w:val="FootnoteReference"/>
        </w:rPr>
        <w:footnoteRef/>
      </w:r>
      <w:r>
        <w:t xml:space="preserve"> </w:t>
      </w:r>
      <w:hyperlink r:id="rId1" w:history="1">
        <w:r w:rsidRPr="00B779DA">
          <w:rPr>
            <w:rStyle w:val="Hyperlink"/>
          </w:rPr>
          <w:t>http://www.lls.org/content/nationalcontent/resourcecenter/freeeducationmaterials/lymphoma/pdf/</w:t>
        </w:r>
      </w:hyperlink>
    </w:p>
    <w:p w:rsidR="00371302" w:rsidRDefault="00371302">
      <w:pPr>
        <w:pStyle w:val="FootnoteText"/>
      </w:pPr>
      <w:r w:rsidRPr="004A6C8E">
        <w:t>mantlecelllymphoma.pdf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302" w:rsidRPr="00126D4F" w:rsidRDefault="00371302" w:rsidP="00126D4F">
    <w:pPr>
      <w:tabs>
        <w:tab w:val="left" w:pos="142"/>
        <w:tab w:val="right" w:pos="9027"/>
      </w:tabs>
      <w:jc w:val="center"/>
      <w:rPr>
        <w:i/>
      </w:rPr>
    </w:pPr>
    <w:r w:rsidRPr="007B4A19">
      <w:rPr>
        <w:i/>
      </w:rPr>
      <w:t>Public Summary Document</w:t>
    </w:r>
    <w:r>
      <w:rPr>
        <w:i/>
        <w:color w:val="808080"/>
      </w:rPr>
      <w:t xml:space="preserve"> </w:t>
    </w:r>
    <w:r w:rsidRPr="00126D4F">
      <w:rPr>
        <w:i/>
      </w:rPr>
      <w:t>– March 2015 PBAC Meeting</w:t>
    </w:r>
  </w:p>
  <w:p w:rsidR="00371302" w:rsidRDefault="003713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91781"/>
    <w:multiLevelType w:val="hybridMultilevel"/>
    <w:tmpl w:val="06A89DD4"/>
    <w:lvl w:ilvl="0" w:tplc="F600F25A">
      <w:start w:val="1"/>
      <w:numFmt w:val="bullet"/>
      <w:pStyle w:val="Bullet1"/>
      <w:lvlText w:val=""/>
      <w:lvlJc w:val="left"/>
      <w:pPr>
        <w:tabs>
          <w:tab w:val="num" w:pos="360"/>
        </w:tabs>
        <w:ind w:left="360" w:hanging="360"/>
      </w:pPr>
      <w:rPr>
        <w:rFonts w:ascii="Symbol" w:hAnsi="Symbol" w:hint="default"/>
      </w:rPr>
    </w:lvl>
    <w:lvl w:ilvl="1" w:tplc="2A206412">
      <w:start w:val="1"/>
      <w:numFmt w:val="bullet"/>
      <w:pStyle w:val="Bullet2"/>
      <w:lvlText w:val="o"/>
      <w:lvlJc w:val="left"/>
      <w:pPr>
        <w:tabs>
          <w:tab w:val="num" w:pos="894"/>
        </w:tabs>
        <w:ind w:left="894"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D7264E"/>
    <w:multiLevelType w:val="hybridMultilevel"/>
    <w:tmpl w:val="8BC6B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9986F03"/>
    <w:multiLevelType w:val="hybridMultilevel"/>
    <w:tmpl w:val="057230F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8863BC8"/>
    <w:multiLevelType w:val="hybridMultilevel"/>
    <w:tmpl w:val="352EA038"/>
    <w:lvl w:ilvl="0" w:tplc="22D238BE">
      <w:start w:val="3"/>
      <w:numFmt w:val="bullet"/>
      <w:lvlText w:val="-"/>
      <w:lvlJc w:val="left"/>
      <w:pPr>
        <w:ind w:left="1080" w:hanging="360"/>
      </w:pPr>
      <w:rPr>
        <w:rFonts w:ascii="Arial" w:eastAsia="SimSu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3F723CEC"/>
    <w:multiLevelType w:val="hybridMultilevel"/>
    <w:tmpl w:val="EC4A93A6"/>
    <w:lvl w:ilvl="0" w:tplc="ACEEC7EA">
      <w:numFmt w:val="bullet"/>
      <w:lvlText w:val="-"/>
      <w:lvlJc w:val="left"/>
      <w:pPr>
        <w:ind w:left="1080" w:hanging="360"/>
      </w:pPr>
      <w:rPr>
        <w:rFonts w:ascii="Arial" w:eastAsia="SimSu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41C90778"/>
    <w:multiLevelType w:val="hybridMultilevel"/>
    <w:tmpl w:val="913C2166"/>
    <w:lvl w:ilvl="0" w:tplc="4480364C">
      <w:start w:val="3"/>
      <w:numFmt w:val="bullet"/>
      <w:lvlText w:val="-"/>
      <w:lvlJc w:val="left"/>
      <w:pPr>
        <w:ind w:left="1080" w:hanging="360"/>
      </w:pPr>
      <w:rPr>
        <w:rFonts w:ascii="Arial" w:eastAsia="SimSun" w:hAnsi="Arial" w:cs="Arial"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49161F8A"/>
    <w:multiLevelType w:val="hybridMultilevel"/>
    <w:tmpl w:val="B7AE0FD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5EAC310F"/>
    <w:multiLevelType w:val="multilevel"/>
    <w:tmpl w:val="581ECDC8"/>
    <w:lvl w:ilvl="0">
      <w:start w:val="1"/>
      <w:numFmt w:val="decimal"/>
      <w:pStyle w:val="TableTitleE"/>
      <w:lvlText w:val="Table E.%1"/>
      <w:lvlJc w:val="left"/>
      <w:pPr>
        <w:tabs>
          <w:tab w:val="num" w:pos="1170"/>
        </w:tabs>
        <w:ind w:left="941" w:hanging="851"/>
      </w:pPr>
      <w:rPr>
        <w:rFonts w:ascii="Arial" w:hAnsi="Arial" w:hint="default"/>
        <w:b/>
        <w:i w:val="0"/>
        <w:caps w:val="0"/>
        <w:sz w:val="20"/>
      </w:rPr>
    </w:lvl>
    <w:lvl w:ilvl="1">
      <w:start w:val="1"/>
      <w:numFmt w:val="none"/>
      <w:lvlText w:val=""/>
      <w:lvlJc w:val="left"/>
      <w:pPr>
        <w:tabs>
          <w:tab w:val="num" w:pos="941"/>
        </w:tabs>
        <w:ind w:left="941" w:hanging="851"/>
      </w:pPr>
      <w:rPr>
        <w:rFonts w:hint="default"/>
        <w:b/>
        <w:i w:val="0"/>
      </w:rPr>
    </w:lvl>
    <w:lvl w:ilvl="2">
      <w:start w:val="1"/>
      <w:numFmt w:val="decimal"/>
      <w:lvlText w:val="%1.%2.%3"/>
      <w:lvlJc w:val="left"/>
      <w:pPr>
        <w:tabs>
          <w:tab w:val="num" w:pos="941"/>
        </w:tabs>
        <w:ind w:left="941" w:hanging="851"/>
      </w:pPr>
      <w:rPr>
        <w:rFonts w:hint="default"/>
      </w:rPr>
    </w:lvl>
    <w:lvl w:ilvl="3">
      <w:start w:val="1"/>
      <w:numFmt w:val="decimal"/>
      <w:lvlText w:val="%1.%2.%3.%4"/>
      <w:lvlJc w:val="left"/>
      <w:pPr>
        <w:tabs>
          <w:tab w:val="num" w:pos="1170"/>
        </w:tabs>
        <w:ind w:left="810" w:hanging="720"/>
      </w:pPr>
      <w:rPr>
        <w:rFonts w:hint="default"/>
      </w:rPr>
    </w:lvl>
    <w:lvl w:ilvl="4">
      <w:start w:val="1"/>
      <w:numFmt w:val="decimal"/>
      <w:lvlText w:val="%1.%2.%3.%4.%5"/>
      <w:lvlJc w:val="left"/>
      <w:pPr>
        <w:tabs>
          <w:tab w:val="num" w:pos="1170"/>
        </w:tabs>
        <w:ind w:left="1170" w:hanging="1080"/>
      </w:pPr>
      <w:rPr>
        <w:rFonts w:hint="default"/>
      </w:rPr>
    </w:lvl>
    <w:lvl w:ilvl="5">
      <w:start w:val="1"/>
      <w:numFmt w:val="decimal"/>
      <w:lvlText w:val="%1.%2.%3.%4.%5.%6"/>
      <w:lvlJc w:val="left"/>
      <w:pPr>
        <w:tabs>
          <w:tab w:val="num" w:pos="1170"/>
        </w:tabs>
        <w:ind w:left="1170" w:hanging="1080"/>
      </w:pPr>
      <w:rPr>
        <w:rFonts w:hint="default"/>
      </w:rPr>
    </w:lvl>
    <w:lvl w:ilvl="6">
      <w:start w:val="1"/>
      <w:numFmt w:val="decimal"/>
      <w:lvlText w:val="%1.%2.%3.%4.%5.%6.%7"/>
      <w:lvlJc w:val="left"/>
      <w:pPr>
        <w:tabs>
          <w:tab w:val="num" w:pos="1530"/>
        </w:tabs>
        <w:ind w:left="1530" w:hanging="1440"/>
      </w:pPr>
      <w:rPr>
        <w:rFonts w:hint="default"/>
      </w:rPr>
    </w:lvl>
    <w:lvl w:ilvl="7">
      <w:start w:val="1"/>
      <w:numFmt w:val="decimal"/>
      <w:lvlText w:val="%1.%2.%3.%4.%5.%6.%7.%8"/>
      <w:lvlJc w:val="left"/>
      <w:pPr>
        <w:tabs>
          <w:tab w:val="num" w:pos="1530"/>
        </w:tabs>
        <w:ind w:left="1530" w:hanging="1440"/>
      </w:pPr>
      <w:rPr>
        <w:rFonts w:hint="default"/>
      </w:rPr>
    </w:lvl>
    <w:lvl w:ilvl="8">
      <w:start w:val="1"/>
      <w:numFmt w:val="decimal"/>
      <w:lvlText w:val="%1.%2.%3.%4.%5.%6.%7.%8.%9"/>
      <w:lvlJc w:val="left"/>
      <w:pPr>
        <w:tabs>
          <w:tab w:val="num" w:pos="1890"/>
        </w:tabs>
        <w:ind w:left="1890" w:hanging="1800"/>
      </w:pPr>
      <w:rPr>
        <w:rFonts w:hint="default"/>
      </w:rPr>
    </w:lvl>
  </w:abstractNum>
  <w:abstractNum w:abstractNumId="8">
    <w:nsid w:val="738B6CE2"/>
    <w:multiLevelType w:val="hybridMultilevel"/>
    <w:tmpl w:val="3F228B4C"/>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84D033C"/>
    <w:multiLevelType w:val="multilevel"/>
    <w:tmpl w:val="FF0E7E8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0"/>
  </w:num>
  <w:num w:numId="4">
    <w:abstractNumId w:val="1"/>
  </w:num>
  <w:num w:numId="5">
    <w:abstractNumId w:val="6"/>
  </w:num>
  <w:num w:numId="6">
    <w:abstractNumId w:val="3"/>
  </w:num>
  <w:num w:numId="7">
    <w:abstractNumId w:val="5"/>
  </w:num>
  <w:num w:numId="8">
    <w:abstractNumId w:val="8"/>
  </w:num>
  <w:num w:numId="9">
    <w:abstractNumId w:val="2"/>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01F"/>
    <w:rsid w:val="000004E6"/>
    <w:rsid w:val="00000790"/>
    <w:rsid w:val="0000110B"/>
    <w:rsid w:val="00001492"/>
    <w:rsid w:val="00002004"/>
    <w:rsid w:val="00003499"/>
    <w:rsid w:val="00004706"/>
    <w:rsid w:val="00004D66"/>
    <w:rsid w:val="00005DDA"/>
    <w:rsid w:val="00007DF6"/>
    <w:rsid w:val="000115F3"/>
    <w:rsid w:val="00013247"/>
    <w:rsid w:val="00013823"/>
    <w:rsid w:val="000152A7"/>
    <w:rsid w:val="000154CA"/>
    <w:rsid w:val="00015886"/>
    <w:rsid w:val="000161AC"/>
    <w:rsid w:val="000162EF"/>
    <w:rsid w:val="00016988"/>
    <w:rsid w:val="00016E6A"/>
    <w:rsid w:val="000202E2"/>
    <w:rsid w:val="0002076B"/>
    <w:rsid w:val="0002160F"/>
    <w:rsid w:val="0002225F"/>
    <w:rsid w:val="00023763"/>
    <w:rsid w:val="00024C5E"/>
    <w:rsid w:val="0002616A"/>
    <w:rsid w:val="00030D61"/>
    <w:rsid w:val="00030E6C"/>
    <w:rsid w:val="00032658"/>
    <w:rsid w:val="000347F0"/>
    <w:rsid w:val="00035286"/>
    <w:rsid w:val="00035348"/>
    <w:rsid w:val="0003722A"/>
    <w:rsid w:val="00040895"/>
    <w:rsid w:val="00041118"/>
    <w:rsid w:val="000422CE"/>
    <w:rsid w:val="00043C37"/>
    <w:rsid w:val="000441D2"/>
    <w:rsid w:val="00047304"/>
    <w:rsid w:val="00047A3B"/>
    <w:rsid w:val="00051761"/>
    <w:rsid w:val="00051B9C"/>
    <w:rsid w:val="00051E1A"/>
    <w:rsid w:val="00052346"/>
    <w:rsid w:val="00054362"/>
    <w:rsid w:val="000546D7"/>
    <w:rsid w:val="00056109"/>
    <w:rsid w:val="00061C75"/>
    <w:rsid w:val="000677E7"/>
    <w:rsid w:val="00071248"/>
    <w:rsid w:val="000720B9"/>
    <w:rsid w:val="00074737"/>
    <w:rsid w:val="000812CA"/>
    <w:rsid w:val="00081B9F"/>
    <w:rsid w:val="0008407F"/>
    <w:rsid w:val="00086793"/>
    <w:rsid w:val="00087717"/>
    <w:rsid w:val="000909F6"/>
    <w:rsid w:val="00090BD1"/>
    <w:rsid w:val="00090C7E"/>
    <w:rsid w:val="00091618"/>
    <w:rsid w:val="000A0CC1"/>
    <w:rsid w:val="000A4078"/>
    <w:rsid w:val="000A59A8"/>
    <w:rsid w:val="000B031E"/>
    <w:rsid w:val="000B1B08"/>
    <w:rsid w:val="000B4B1A"/>
    <w:rsid w:val="000B7264"/>
    <w:rsid w:val="000B7537"/>
    <w:rsid w:val="000C064F"/>
    <w:rsid w:val="000C1AD6"/>
    <w:rsid w:val="000C4078"/>
    <w:rsid w:val="000C523E"/>
    <w:rsid w:val="000D1AF5"/>
    <w:rsid w:val="000D1BFC"/>
    <w:rsid w:val="000D345D"/>
    <w:rsid w:val="000D4FBD"/>
    <w:rsid w:val="000D5973"/>
    <w:rsid w:val="000D5CE2"/>
    <w:rsid w:val="000D6212"/>
    <w:rsid w:val="000D778D"/>
    <w:rsid w:val="000E37B5"/>
    <w:rsid w:val="000F49A7"/>
    <w:rsid w:val="000F4A75"/>
    <w:rsid w:val="000F4BB8"/>
    <w:rsid w:val="000F5DC4"/>
    <w:rsid w:val="000F5E80"/>
    <w:rsid w:val="000F7121"/>
    <w:rsid w:val="000F7127"/>
    <w:rsid w:val="00100F8A"/>
    <w:rsid w:val="00104B3D"/>
    <w:rsid w:val="00105083"/>
    <w:rsid w:val="0011032E"/>
    <w:rsid w:val="0011041C"/>
    <w:rsid w:val="00110D45"/>
    <w:rsid w:val="00112084"/>
    <w:rsid w:val="0011208B"/>
    <w:rsid w:val="0011239D"/>
    <w:rsid w:val="00112655"/>
    <w:rsid w:val="0011298D"/>
    <w:rsid w:val="001129DF"/>
    <w:rsid w:val="0011348B"/>
    <w:rsid w:val="00114B15"/>
    <w:rsid w:val="00115A03"/>
    <w:rsid w:val="00116534"/>
    <w:rsid w:val="00117916"/>
    <w:rsid w:val="00120BBC"/>
    <w:rsid w:val="00121799"/>
    <w:rsid w:val="001222FC"/>
    <w:rsid w:val="00123C8D"/>
    <w:rsid w:val="00124A51"/>
    <w:rsid w:val="001250C3"/>
    <w:rsid w:val="001265F3"/>
    <w:rsid w:val="00126621"/>
    <w:rsid w:val="00126D4F"/>
    <w:rsid w:val="00127E8C"/>
    <w:rsid w:val="001301E9"/>
    <w:rsid w:val="00132B54"/>
    <w:rsid w:val="00136509"/>
    <w:rsid w:val="00137645"/>
    <w:rsid w:val="0014015A"/>
    <w:rsid w:val="0014027E"/>
    <w:rsid w:val="00140E99"/>
    <w:rsid w:val="00143DF2"/>
    <w:rsid w:val="00144A61"/>
    <w:rsid w:val="00145540"/>
    <w:rsid w:val="001456B0"/>
    <w:rsid w:val="00146127"/>
    <w:rsid w:val="0015168D"/>
    <w:rsid w:val="00153962"/>
    <w:rsid w:val="00155F64"/>
    <w:rsid w:val="00156762"/>
    <w:rsid w:val="00157130"/>
    <w:rsid w:val="00157C70"/>
    <w:rsid w:val="0016067E"/>
    <w:rsid w:val="00162913"/>
    <w:rsid w:val="001638A8"/>
    <w:rsid w:val="00163EFF"/>
    <w:rsid w:val="001661FB"/>
    <w:rsid w:val="0016672F"/>
    <w:rsid w:val="00167326"/>
    <w:rsid w:val="00171DE9"/>
    <w:rsid w:val="0017735A"/>
    <w:rsid w:val="0017787A"/>
    <w:rsid w:val="00182154"/>
    <w:rsid w:val="001840BF"/>
    <w:rsid w:val="0018752F"/>
    <w:rsid w:val="00187A8D"/>
    <w:rsid w:val="00190FFF"/>
    <w:rsid w:val="001931F6"/>
    <w:rsid w:val="001943CB"/>
    <w:rsid w:val="00195222"/>
    <w:rsid w:val="001952B2"/>
    <w:rsid w:val="0019599A"/>
    <w:rsid w:val="001975D8"/>
    <w:rsid w:val="001A29B2"/>
    <w:rsid w:val="001A3797"/>
    <w:rsid w:val="001A3D0C"/>
    <w:rsid w:val="001A61D1"/>
    <w:rsid w:val="001B3443"/>
    <w:rsid w:val="001B41EB"/>
    <w:rsid w:val="001B46C3"/>
    <w:rsid w:val="001B5EBD"/>
    <w:rsid w:val="001B6C2B"/>
    <w:rsid w:val="001C69A6"/>
    <w:rsid w:val="001C6E66"/>
    <w:rsid w:val="001D0DDA"/>
    <w:rsid w:val="001D1337"/>
    <w:rsid w:val="001D2064"/>
    <w:rsid w:val="001E121D"/>
    <w:rsid w:val="001E238E"/>
    <w:rsid w:val="001E2B1E"/>
    <w:rsid w:val="001E454F"/>
    <w:rsid w:val="001E52EB"/>
    <w:rsid w:val="001E65C6"/>
    <w:rsid w:val="001E740C"/>
    <w:rsid w:val="001E7F2D"/>
    <w:rsid w:val="001F0657"/>
    <w:rsid w:val="001F1235"/>
    <w:rsid w:val="001F1CB3"/>
    <w:rsid w:val="001F21B0"/>
    <w:rsid w:val="001F39D5"/>
    <w:rsid w:val="001F7361"/>
    <w:rsid w:val="0020385F"/>
    <w:rsid w:val="00205A8A"/>
    <w:rsid w:val="00207021"/>
    <w:rsid w:val="00207D00"/>
    <w:rsid w:val="002105C1"/>
    <w:rsid w:val="00210A9E"/>
    <w:rsid w:val="00210AA4"/>
    <w:rsid w:val="00211134"/>
    <w:rsid w:val="00213F2C"/>
    <w:rsid w:val="002155CE"/>
    <w:rsid w:val="00215609"/>
    <w:rsid w:val="0022137C"/>
    <w:rsid w:val="00221812"/>
    <w:rsid w:val="00223AB2"/>
    <w:rsid w:val="00223B49"/>
    <w:rsid w:val="00223B83"/>
    <w:rsid w:val="00223EAA"/>
    <w:rsid w:val="0022414D"/>
    <w:rsid w:val="00224310"/>
    <w:rsid w:val="002243E8"/>
    <w:rsid w:val="00224DD4"/>
    <w:rsid w:val="00226809"/>
    <w:rsid w:val="00226AEC"/>
    <w:rsid w:val="00226FEA"/>
    <w:rsid w:val="00227C0B"/>
    <w:rsid w:val="00227F36"/>
    <w:rsid w:val="002309CC"/>
    <w:rsid w:val="002337CF"/>
    <w:rsid w:val="00236268"/>
    <w:rsid w:val="00236B34"/>
    <w:rsid w:val="00240929"/>
    <w:rsid w:val="00241E0F"/>
    <w:rsid w:val="00242BE8"/>
    <w:rsid w:val="002453F9"/>
    <w:rsid w:val="00245D5A"/>
    <w:rsid w:val="00247F1F"/>
    <w:rsid w:val="00250BC2"/>
    <w:rsid w:val="00250D0E"/>
    <w:rsid w:val="00252EF0"/>
    <w:rsid w:val="00254DCF"/>
    <w:rsid w:val="0025534B"/>
    <w:rsid w:val="00255BB7"/>
    <w:rsid w:val="0026162E"/>
    <w:rsid w:val="00262489"/>
    <w:rsid w:val="00262A87"/>
    <w:rsid w:val="002638F7"/>
    <w:rsid w:val="00273927"/>
    <w:rsid w:val="00274AE5"/>
    <w:rsid w:val="00275C5A"/>
    <w:rsid w:val="0027684C"/>
    <w:rsid w:val="00277176"/>
    <w:rsid w:val="002776BA"/>
    <w:rsid w:val="002800AE"/>
    <w:rsid w:val="00281014"/>
    <w:rsid w:val="00282726"/>
    <w:rsid w:val="00282B0F"/>
    <w:rsid w:val="00283A60"/>
    <w:rsid w:val="0028655E"/>
    <w:rsid w:val="00292C80"/>
    <w:rsid w:val="00292D41"/>
    <w:rsid w:val="00295831"/>
    <w:rsid w:val="00295ABA"/>
    <w:rsid w:val="00296ED0"/>
    <w:rsid w:val="002977E6"/>
    <w:rsid w:val="002A14AB"/>
    <w:rsid w:val="002A1646"/>
    <w:rsid w:val="002A40A7"/>
    <w:rsid w:val="002A7639"/>
    <w:rsid w:val="002B1C1F"/>
    <w:rsid w:val="002B27E0"/>
    <w:rsid w:val="002B432F"/>
    <w:rsid w:val="002B5782"/>
    <w:rsid w:val="002B57E7"/>
    <w:rsid w:val="002B6CCE"/>
    <w:rsid w:val="002C0792"/>
    <w:rsid w:val="002C2775"/>
    <w:rsid w:val="002C27C1"/>
    <w:rsid w:val="002C4454"/>
    <w:rsid w:val="002C49CF"/>
    <w:rsid w:val="002C4EE5"/>
    <w:rsid w:val="002C5A1B"/>
    <w:rsid w:val="002C7700"/>
    <w:rsid w:val="002D0F6E"/>
    <w:rsid w:val="002D1C04"/>
    <w:rsid w:val="002D20FB"/>
    <w:rsid w:val="002D478E"/>
    <w:rsid w:val="002D5A2D"/>
    <w:rsid w:val="002D6F76"/>
    <w:rsid w:val="002D7842"/>
    <w:rsid w:val="002E0E6F"/>
    <w:rsid w:val="002E1367"/>
    <w:rsid w:val="002E24EF"/>
    <w:rsid w:val="002E2D3A"/>
    <w:rsid w:val="002E3657"/>
    <w:rsid w:val="002E3735"/>
    <w:rsid w:val="002E65DE"/>
    <w:rsid w:val="002F1FFB"/>
    <w:rsid w:val="002F3F31"/>
    <w:rsid w:val="002F4DED"/>
    <w:rsid w:val="002F6ACC"/>
    <w:rsid w:val="002F6BF1"/>
    <w:rsid w:val="00300431"/>
    <w:rsid w:val="00301017"/>
    <w:rsid w:val="0030509A"/>
    <w:rsid w:val="00306234"/>
    <w:rsid w:val="0030786C"/>
    <w:rsid w:val="0031031A"/>
    <w:rsid w:val="00310981"/>
    <w:rsid w:val="00311C5C"/>
    <w:rsid w:val="00314A21"/>
    <w:rsid w:val="00314CA5"/>
    <w:rsid w:val="00315498"/>
    <w:rsid w:val="00316730"/>
    <w:rsid w:val="003200EC"/>
    <w:rsid w:val="00320373"/>
    <w:rsid w:val="0032066B"/>
    <w:rsid w:val="00323FED"/>
    <w:rsid w:val="00324F81"/>
    <w:rsid w:val="0033021C"/>
    <w:rsid w:val="0033069B"/>
    <w:rsid w:val="00331E1B"/>
    <w:rsid w:val="00333127"/>
    <w:rsid w:val="00334E6F"/>
    <w:rsid w:val="003366C9"/>
    <w:rsid w:val="00336D3A"/>
    <w:rsid w:val="003371B0"/>
    <w:rsid w:val="00340632"/>
    <w:rsid w:val="003407C8"/>
    <w:rsid w:val="00341D93"/>
    <w:rsid w:val="003451A2"/>
    <w:rsid w:val="00350C29"/>
    <w:rsid w:val="003518F3"/>
    <w:rsid w:val="00352024"/>
    <w:rsid w:val="00353509"/>
    <w:rsid w:val="00354CD1"/>
    <w:rsid w:val="0035620E"/>
    <w:rsid w:val="003564A1"/>
    <w:rsid w:val="00356FA3"/>
    <w:rsid w:val="0035765D"/>
    <w:rsid w:val="00360DC7"/>
    <w:rsid w:val="003623CA"/>
    <w:rsid w:val="00364D5F"/>
    <w:rsid w:val="00365541"/>
    <w:rsid w:val="00366A09"/>
    <w:rsid w:val="00371302"/>
    <w:rsid w:val="0037272F"/>
    <w:rsid w:val="00374800"/>
    <w:rsid w:val="00375B98"/>
    <w:rsid w:val="003765DA"/>
    <w:rsid w:val="00376B5F"/>
    <w:rsid w:val="00377F61"/>
    <w:rsid w:val="00380611"/>
    <w:rsid w:val="0038365C"/>
    <w:rsid w:val="00384891"/>
    <w:rsid w:val="00385A87"/>
    <w:rsid w:val="003914BA"/>
    <w:rsid w:val="00395A88"/>
    <w:rsid w:val="00396A72"/>
    <w:rsid w:val="00396FD0"/>
    <w:rsid w:val="00397D63"/>
    <w:rsid w:val="003A0915"/>
    <w:rsid w:val="003A1A7A"/>
    <w:rsid w:val="003A25BB"/>
    <w:rsid w:val="003B0DFA"/>
    <w:rsid w:val="003B1233"/>
    <w:rsid w:val="003B31EA"/>
    <w:rsid w:val="003B519F"/>
    <w:rsid w:val="003B5D08"/>
    <w:rsid w:val="003B6061"/>
    <w:rsid w:val="003B622E"/>
    <w:rsid w:val="003C01C6"/>
    <w:rsid w:val="003C100F"/>
    <w:rsid w:val="003C26B3"/>
    <w:rsid w:val="003C359A"/>
    <w:rsid w:val="003C3C4D"/>
    <w:rsid w:val="003C3E16"/>
    <w:rsid w:val="003C4AB0"/>
    <w:rsid w:val="003C4C33"/>
    <w:rsid w:val="003C6472"/>
    <w:rsid w:val="003C6A4D"/>
    <w:rsid w:val="003D05C4"/>
    <w:rsid w:val="003D0F42"/>
    <w:rsid w:val="003D1828"/>
    <w:rsid w:val="003D2422"/>
    <w:rsid w:val="003D3982"/>
    <w:rsid w:val="003D4855"/>
    <w:rsid w:val="003D675F"/>
    <w:rsid w:val="003E22A3"/>
    <w:rsid w:val="003E2A32"/>
    <w:rsid w:val="003E427C"/>
    <w:rsid w:val="003E7858"/>
    <w:rsid w:val="003E7FCB"/>
    <w:rsid w:val="003F068E"/>
    <w:rsid w:val="003F08E8"/>
    <w:rsid w:val="003F2E60"/>
    <w:rsid w:val="003F4156"/>
    <w:rsid w:val="003F41EE"/>
    <w:rsid w:val="003F4B68"/>
    <w:rsid w:val="003F6ABC"/>
    <w:rsid w:val="00400501"/>
    <w:rsid w:val="00401961"/>
    <w:rsid w:val="00403F41"/>
    <w:rsid w:val="00406FA3"/>
    <w:rsid w:val="00410423"/>
    <w:rsid w:val="00410708"/>
    <w:rsid w:val="00410EC7"/>
    <w:rsid w:val="00411AF4"/>
    <w:rsid w:val="00414476"/>
    <w:rsid w:val="0041448F"/>
    <w:rsid w:val="00416A1A"/>
    <w:rsid w:val="00420B9F"/>
    <w:rsid w:val="0042361F"/>
    <w:rsid w:val="004242F1"/>
    <w:rsid w:val="004245B3"/>
    <w:rsid w:val="00424D7D"/>
    <w:rsid w:val="00426AB9"/>
    <w:rsid w:val="004303DB"/>
    <w:rsid w:val="00430D68"/>
    <w:rsid w:val="004319F8"/>
    <w:rsid w:val="004329FD"/>
    <w:rsid w:val="00433044"/>
    <w:rsid w:val="004341B1"/>
    <w:rsid w:val="004341D8"/>
    <w:rsid w:val="004441F1"/>
    <w:rsid w:val="004443A7"/>
    <w:rsid w:val="004464EB"/>
    <w:rsid w:val="00446946"/>
    <w:rsid w:val="004516DD"/>
    <w:rsid w:val="00453CE7"/>
    <w:rsid w:val="00455D45"/>
    <w:rsid w:val="00456A0D"/>
    <w:rsid w:val="00457D51"/>
    <w:rsid w:val="00461B57"/>
    <w:rsid w:val="00462A35"/>
    <w:rsid w:val="0046307C"/>
    <w:rsid w:val="00464595"/>
    <w:rsid w:val="004706F5"/>
    <w:rsid w:val="00471205"/>
    <w:rsid w:val="00471563"/>
    <w:rsid w:val="00474109"/>
    <w:rsid w:val="004744D8"/>
    <w:rsid w:val="004766F8"/>
    <w:rsid w:val="00477240"/>
    <w:rsid w:val="004805B8"/>
    <w:rsid w:val="0048099E"/>
    <w:rsid w:val="00482139"/>
    <w:rsid w:val="004836AF"/>
    <w:rsid w:val="00485D85"/>
    <w:rsid w:val="004867E2"/>
    <w:rsid w:val="00491B3A"/>
    <w:rsid w:val="00492CFD"/>
    <w:rsid w:val="00492D9B"/>
    <w:rsid w:val="00493D7E"/>
    <w:rsid w:val="0049420B"/>
    <w:rsid w:val="0049497B"/>
    <w:rsid w:val="004962D2"/>
    <w:rsid w:val="004969F5"/>
    <w:rsid w:val="00497DF1"/>
    <w:rsid w:val="004A06FE"/>
    <w:rsid w:val="004A0CC6"/>
    <w:rsid w:val="004A0DA1"/>
    <w:rsid w:val="004A26FE"/>
    <w:rsid w:val="004A6597"/>
    <w:rsid w:val="004A6C8E"/>
    <w:rsid w:val="004B024C"/>
    <w:rsid w:val="004B1CB4"/>
    <w:rsid w:val="004B2C15"/>
    <w:rsid w:val="004B2F18"/>
    <w:rsid w:val="004B3DDB"/>
    <w:rsid w:val="004B4004"/>
    <w:rsid w:val="004B44FD"/>
    <w:rsid w:val="004B58C5"/>
    <w:rsid w:val="004B5C02"/>
    <w:rsid w:val="004B5CFC"/>
    <w:rsid w:val="004B5DE5"/>
    <w:rsid w:val="004C0A1A"/>
    <w:rsid w:val="004C1624"/>
    <w:rsid w:val="004C26FB"/>
    <w:rsid w:val="004C2A46"/>
    <w:rsid w:val="004C34A3"/>
    <w:rsid w:val="004C4AED"/>
    <w:rsid w:val="004C739A"/>
    <w:rsid w:val="004D3221"/>
    <w:rsid w:val="004D3752"/>
    <w:rsid w:val="004D45E9"/>
    <w:rsid w:val="004E0C36"/>
    <w:rsid w:val="004E0EB8"/>
    <w:rsid w:val="004E189C"/>
    <w:rsid w:val="004E251F"/>
    <w:rsid w:val="004E2ADC"/>
    <w:rsid w:val="004E3869"/>
    <w:rsid w:val="004E43B2"/>
    <w:rsid w:val="004E54C1"/>
    <w:rsid w:val="004E58EA"/>
    <w:rsid w:val="004E6E80"/>
    <w:rsid w:val="004E7682"/>
    <w:rsid w:val="004F102F"/>
    <w:rsid w:val="004F1D02"/>
    <w:rsid w:val="004F2679"/>
    <w:rsid w:val="004F4BAE"/>
    <w:rsid w:val="004F5027"/>
    <w:rsid w:val="004F5227"/>
    <w:rsid w:val="004F7865"/>
    <w:rsid w:val="005024B4"/>
    <w:rsid w:val="00502591"/>
    <w:rsid w:val="005063AC"/>
    <w:rsid w:val="00506928"/>
    <w:rsid w:val="00506934"/>
    <w:rsid w:val="00514675"/>
    <w:rsid w:val="005152B5"/>
    <w:rsid w:val="00515E16"/>
    <w:rsid w:val="00520B57"/>
    <w:rsid w:val="00521319"/>
    <w:rsid w:val="00523C28"/>
    <w:rsid w:val="005244FB"/>
    <w:rsid w:val="00525103"/>
    <w:rsid w:val="00526D35"/>
    <w:rsid w:val="0052717B"/>
    <w:rsid w:val="00527E92"/>
    <w:rsid w:val="00530458"/>
    <w:rsid w:val="005308B2"/>
    <w:rsid w:val="005339C1"/>
    <w:rsid w:val="00533CF2"/>
    <w:rsid w:val="00536BC2"/>
    <w:rsid w:val="00537126"/>
    <w:rsid w:val="0054007E"/>
    <w:rsid w:val="0054040E"/>
    <w:rsid w:val="0054414B"/>
    <w:rsid w:val="00545C45"/>
    <w:rsid w:val="00550753"/>
    <w:rsid w:val="005511B8"/>
    <w:rsid w:val="005525F3"/>
    <w:rsid w:val="00552946"/>
    <w:rsid w:val="00552BD3"/>
    <w:rsid w:val="0055405C"/>
    <w:rsid w:val="00555109"/>
    <w:rsid w:val="005603F7"/>
    <w:rsid w:val="005605A6"/>
    <w:rsid w:val="00561C8C"/>
    <w:rsid w:val="00562B7C"/>
    <w:rsid w:val="00562D8B"/>
    <w:rsid w:val="0056696F"/>
    <w:rsid w:val="005669A7"/>
    <w:rsid w:val="00567FEF"/>
    <w:rsid w:val="0057002C"/>
    <w:rsid w:val="00575D8D"/>
    <w:rsid w:val="0057618C"/>
    <w:rsid w:val="00576972"/>
    <w:rsid w:val="005800EE"/>
    <w:rsid w:val="00583699"/>
    <w:rsid w:val="00584322"/>
    <w:rsid w:val="005847BD"/>
    <w:rsid w:val="00585EDA"/>
    <w:rsid w:val="005868B5"/>
    <w:rsid w:val="00586D63"/>
    <w:rsid w:val="00590A9C"/>
    <w:rsid w:val="00591E46"/>
    <w:rsid w:val="005939C7"/>
    <w:rsid w:val="00595B41"/>
    <w:rsid w:val="005A37A7"/>
    <w:rsid w:val="005A4747"/>
    <w:rsid w:val="005A53D8"/>
    <w:rsid w:val="005A658D"/>
    <w:rsid w:val="005A6776"/>
    <w:rsid w:val="005A6D55"/>
    <w:rsid w:val="005A6F4E"/>
    <w:rsid w:val="005B19E6"/>
    <w:rsid w:val="005B2D2A"/>
    <w:rsid w:val="005B47D4"/>
    <w:rsid w:val="005B502C"/>
    <w:rsid w:val="005B5857"/>
    <w:rsid w:val="005C052C"/>
    <w:rsid w:val="005C1B83"/>
    <w:rsid w:val="005C2131"/>
    <w:rsid w:val="005C2CF4"/>
    <w:rsid w:val="005C320B"/>
    <w:rsid w:val="005C346B"/>
    <w:rsid w:val="005C6C53"/>
    <w:rsid w:val="005C7760"/>
    <w:rsid w:val="005D02AF"/>
    <w:rsid w:val="005D044D"/>
    <w:rsid w:val="005D16E8"/>
    <w:rsid w:val="005D18AD"/>
    <w:rsid w:val="005D3BD5"/>
    <w:rsid w:val="005D4360"/>
    <w:rsid w:val="005D45A0"/>
    <w:rsid w:val="005D586B"/>
    <w:rsid w:val="005D6446"/>
    <w:rsid w:val="005D6CC3"/>
    <w:rsid w:val="005D702B"/>
    <w:rsid w:val="005E553F"/>
    <w:rsid w:val="005E73C0"/>
    <w:rsid w:val="005F1CD8"/>
    <w:rsid w:val="005F2706"/>
    <w:rsid w:val="005F3491"/>
    <w:rsid w:val="005F564A"/>
    <w:rsid w:val="005F64CB"/>
    <w:rsid w:val="005F65A9"/>
    <w:rsid w:val="005F686F"/>
    <w:rsid w:val="005F6A8F"/>
    <w:rsid w:val="005F6F6B"/>
    <w:rsid w:val="006007E5"/>
    <w:rsid w:val="006008BD"/>
    <w:rsid w:val="00601017"/>
    <w:rsid w:val="00601FCE"/>
    <w:rsid w:val="00603922"/>
    <w:rsid w:val="0060591F"/>
    <w:rsid w:val="00607669"/>
    <w:rsid w:val="00612F97"/>
    <w:rsid w:val="00615921"/>
    <w:rsid w:val="006166C9"/>
    <w:rsid w:val="00616802"/>
    <w:rsid w:val="006172B9"/>
    <w:rsid w:val="00617E12"/>
    <w:rsid w:val="00621477"/>
    <w:rsid w:val="006246EC"/>
    <w:rsid w:val="00626EB0"/>
    <w:rsid w:val="00630120"/>
    <w:rsid w:val="00631119"/>
    <w:rsid w:val="006318BE"/>
    <w:rsid w:val="00631CD8"/>
    <w:rsid w:val="00631D6B"/>
    <w:rsid w:val="00632D03"/>
    <w:rsid w:val="00633CBB"/>
    <w:rsid w:val="006342C9"/>
    <w:rsid w:val="0063479F"/>
    <w:rsid w:val="006354E2"/>
    <w:rsid w:val="006364A1"/>
    <w:rsid w:val="00637174"/>
    <w:rsid w:val="00637BFD"/>
    <w:rsid w:val="006439E5"/>
    <w:rsid w:val="00643B9B"/>
    <w:rsid w:val="00646C16"/>
    <w:rsid w:val="006471CC"/>
    <w:rsid w:val="0065079F"/>
    <w:rsid w:val="006557A1"/>
    <w:rsid w:val="00660851"/>
    <w:rsid w:val="00662589"/>
    <w:rsid w:val="00663954"/>
    <w:rsid w:val="00666E25"/>
    <w:rsid w:val="006673DE"/>
    <w:rsid w:val="00672C2B"/>
    <w:rsid w:val="00673BDE"/>
    <w:rsid w:val="00674E42"/>
    <w:rsid w:val="00680470"/>
    <w:rsid w:val="006804C7"/>
    <w:rsid w:val="00680D53"/>
    <w:rsid w:val="00682112"/>
    <w:rsid w:val="006842AB"/>
    <w:rsid w:val="00684F47"/>
    <w:rsid w:val="006872BA"/>
    <w:rsid w:val="006900A7"/>
    <w:rsid w:val="0069145B"/>
    <w:rsid w:val="006917D7"/>
    <w:rsid w:val="0069358F"/>
    <w:rsid w:val="00694F44"/>
    <w:rsid w:val="006A156F"/>
    <w:rsid w:val="006A179C"/>
    <w:rsid w:val="006A228A"/>
    <w:rsid w:val="006A318C"/>
    <w:rsid w:val="006A3509"/>
    <w:rsid w:val="006A3834"/>
    <w:rsid w:val="006A4E1D"/>
    <w:rsid w:val="006B18DB"/>
    <w:rsid w:val="006B2FA4"/>
    <w:rsid w:val="006B4F34"/>
    <w:rsid w:val="006B6C20"/>
    <w:rsid w:val="006B7DFE"/>
    <w:rsid w:val="006C0879"/>
    <w:rsid w:val="006C0E06"/>
    <w:rsid w:val="006C1462"/>
    <w:rsid w:val="006C2A8E"/>
    <w:rsid w:val="006C50D2"/>
    <w:rsid w:val="006C7A93"/>
    <w:rsid w:val="006D09B4"/>
    <w:rsid w:val="006D1181"/>
    <w:rsid w:val="006D3C7D"/>
    <w:rsid w:val="006D5D5F"/>
    <w:rsid w:val="006E2DB4"/>
    <w:rsid w:val="006E474B"/>
    <w:rsid w:val="006E5285"/>
    <w:rsid w:val="006F022F"/>
    <w:rsid w:val="006F1AD0"/>
    <w:rsid w:val="006F3CDF"/>
    <w:rsid w:val="006F63A5"/>
    <w:rsid w:val="006F652D"/>
    <w:rsid w:val="00700FFF"/>
    <w:rsid w:val="0070276E"/>
    <w:rsid w:val="007028F5"/>
    <w:rsid w:val="00702F8F"/>
    <w:rsid w:val="00703C85"/>
    <w:rsid w:val="00703EB8"/>
    <w:rsid w:val="007042B2"/>
    <w:rsid w:val="00704CCB"/>
    <w:rsid w:val="00706AF5"/>
    <w:rsid w:val="007073E4"/>
    <w:rsid w:val="007074A4"/>
    <w:rsid w:val="00707863"/>
    <w:rsid w:val="00711044"/>
    <w:rsid w:val="00711A36"/>
    <w:rsid w:val="00715204"/>
    <w:rsid w:val="00715CB4"/>
    <w:rsid w:val="007172AD"/>
    <w:rsid w:val="0072416F"/>
    <w:rsid w:val="00725339"/>
    <w:rsid w:val="00725536"/>
    <w:rsid w:val="00726253"/>
    <w:rsid w:val="00730B88"/>
    <w:rsid w:val="00731336"/>
    <w:rsid w:val="00735328"/>
    <w:rsid w:val="0073541C"/>
    <w:rsid w:val="0073685B"/>
    <w:rsid w:val="007374EE"/>
    <w:rsid w:val="00742482"/>
    <w:rsid w:val="007431CC"/>
    <w:rsid w:val="00744A1E"/>
    <w:rsid w:val="007510AA"/>
    <w:rsid w:val="007511D3"/>
    <w:rsid w:val="007513E7"/>
    <w:rsid w:val="00751A46"/>
    <w:rsid w:val="00752484"/>
    <w:rsid w:val="00754EE4"/>
    <w:rsid w:val="00757001"/>
    <w:rsid w:val="007600E8"/>
    <w:rsid w:val="0076050C"/>
    <w:rsid w:val="00760571"/>
    <w:rsid w:val="007607E4"/>
    <w:rsid w:val="0076172D"/>
    <w:rsid w:val="00761F51"/>
    <w:rsid w:val="00762BF4"/>
    <w:rsid w:val="0076383F"/>
    <w:rsid w:val="007668CD"/>
    <w:rsid w:val="007719DE"/>
    <w:rsid w:val="00776AF7"/>
    <w:rsid w:val="0077759D"/>
    <w:rsid w:val="00780E25"/>
    <w:rsid w:val="00780F48"/>
    <w:rsid w:val="0078225E"/>
    <w:rsid w:val="00784B97"/>
    <w:rsid w:val="00785B91"/>
    <w:rsid w:val="00786730"/>
    <w:rsid w:val="00786AFC"/>
    <w:rsid w:val="00787460"/>
    <w:rsid w:val="007901B5"/>
    <w:rsid w:val="0079164B"/>
    <w:rsid w:val="00791F3E"/>
    <w:rsid w:val="00795310"/>
    <w:rsid w:val="007979F0"/>
    <w:rsid w:val="007A08DA"/>
    <w:rsid w:val="007A0A12"/>
    <w:rsid w:val="007A0C46"/>
    <w:rsid w:val="007A3BDF"/>
    <w:rsid w:val="007A3D6B"/>
    <w:rsid w:val="007A3E8A"/>
    <w:rsid w:val="007B1F21"/>
    <w:rsid w:val="007B251D"/>
    <w:rsid w:val="007B2626"/>
    <w:rsid w:val="007B3964"/>
    <w:rsid w:val="007B4A19"/>
    <w:rsid w:val="007B5017"/>
    <w:rsid w:val="007B50EB"/>
    <w:rsid w:val="007B77D1"/>
    <w:rsid w:val="007C1DD3"/>
    <w:rsid w:val="007C361D"/>
    <w:rsid w:val="007C36B3"/>
    <w:rsid w:val="007C4434"/>
    <w:rsid w:val="007C4CEC"/>
    <w:rsid w:val="007C5216"/>
    <w:rsid w:val="007C5A72"/>
    <w:rsid w:val="007C613A"/>
    <w:rsid w:val="007D0665"/>
    <w:rsid w:val="007D0B38"/>
    <w:rsid w:val="007D356E"/>
    <w:rsid w:val="007D4ADD"/>
    <w:rsid w:val="007D7801"/>
    <w:rsid w:val="007E091C"/>
    <w:rsid w:val="007E185A"/>
    <w:rsid w:val="007E31E1"/>
    <w:rsid w:val="007E376A"/>
    <w:rsid w:val="007F1017"/>
    <w:rsid w:val="007F335D"/>
    <w:rsid w:val="007F4A3F"/>
    <w:rsid w:val="007F6140"/>
    <w:rsid w:val="007F77AB"/>
    <w:rsid w:val="00800ABD"/>
    <w:rsid w:val="0080375A"/>
    <w:rsid w:val="00803874"/>
    <w:rsid w:val="00803C66"/>
    <w:rsid w:val="00803E1C"/>
    <w:rsid w:val="008045A2"/>
    <w:rsid w:val="00805142"/>
    <w:rsid w:val="0080689E"/>
    <w:rsid w:val="00807A8B"/>
    <w:rsid w:val="00812149"/>
    <w:rsid w:val="00813453"/>
    <w:rsid w:val="00815414"/>
    <w:rsid w:val="008166EF"/>
    <w:rsid w:val="00817900"/>
    <w:rsid w:val="00817BE1"/>
    <w:rsid w:val="008208FF"/>
    <w:rsid w:val="008210A0"/>
    <w:rsid w:val="00822860"/>
    <w:rsid w:val="0082339B"/>
    <w:rsid w:val="00823674"/>
    <w:rsid w:val="00823B1F"/>
    <w:rsid w:val="00824CD8"/>
    <w:rsid w:val="00824D78"/>
    <w:rsid w:val="008251C3"/>
    <w:rsid w:val="008264EB"/>
    <w:rsid w:val="00833A03"/>
    <w:rsid w:val="00833A0A"/>
    <w:rsid w:val="00833B05"/>
    <w:rsid w:val="00833C73"/>
    <w:rsid w:val="00836B91"/>
    <w:rsid w:val="00840CA2"/>
    <w:rsid w:val="00841B40"/>
    <w:rsid w:val="00843890"/>
    <w:rsid w:val="00843C96"/>
    <w:rsid w:val="008471FB"/>
    <w:rsid w:val="00852224"/>
    <w:rsid w:val="008528D8"/>
    <w:rsid w:val="00853089"/>
    <w:rsid w:val="008531D2"/>
    <w:rsid w:val="00853807"/>
    <w:rsid w:val="008552AF"/>
    <w:rsid w:val="008561CC"/>
    <w:rsid w:val="008567B0"/>
    <w:rsid w:val="00856E9A"/>
    <w:rsid w:val="00857BB4"/>
    <w:rsid w:val="0086091C"/>
    <w:rsid w:val="00860D10"/>
    <w:rsid w:val="0086104A"/>
    <w:rsid w:val="00861683"/>
    <w:rsid w:val="00862502"/>
    <w:rsid w:val="00863F1D"/>
    <w:rsid w:val="008644C5"/>
    <w:rsid w:val="00865928"/>
    <w:rsid w:val="00870D41"/>
    <w:rsid w:val="00871C35"/>
    <w:rsid w:val="00872191"/>
    <w:rsid w:val="008725B2"/>
    <w:rsid w:val="00872ABD"/>
    <w:rsid w:val="008732E9"/>
    <w:rsid w:val="00873FCB"/>
    <w:rsid w:val="008759E0"/>
    <w:rsid w:val="008763D5"/>
    <w:rsid w:val="008765B4"/>
    <w:rsid w:val="008812D9"/>
    <w:rsid w:val="00881CBF"/>
    <w:rsid w:val="00882874"/>
    <w:rsid w:val="008835BB"/>
    <w:rsid w:val="00883787"/>
    <w:rsid w:val="0088417E"/>
    <w:rsid w:val="008856E2"/>
    <w:rsid w:val="008914EC"/>
    <w:rsid w:val="00893A8B"/>
    <w:rsid w:val="00893F23"/>
    <w:rsid w:val="00894376"/>
    <w:rsid w:val="00894489"/>
    <w:rsid w:val="00896089"/>
    <w:rsid w:val="008963A5"/>
    <w:rsid w:val="00896D3D"/>
    <w:rsid w:val="008A28A7"/>
    <w:rsid w:val="008A2CF3"/>
    <w:rsid w:val="008A306D"/>
    <w:rsid w:val="008A3C3E"/>
    <w:rsid w:val="008A4B7A"/>
    <w:rsid w:val="008A59E7"/>
    <w:rsid w:val="008A676E"/>
    <w:rsid w:val="008A79DE"/>
    <w:rsid w:val="008A7FC4"/>
    <w:rsid w:val="008B098D"/>
    <w:rsid w:val="008B0A38"/>
    <w:rsid w:val="008B0A9B"/>
    <w:rsid w:val="008B4DB1"/>
    <w:rsid w:val="008B5DFE"/>
    <w:rsid w:val="008B66BC"/>
    <w:rsid w:val="008B7B74"/>
    <w:rsid w:val="008B7D7E"/>
    <w:rsid w:val="008C484C"/>
    <w:rsid w:val="008C7CD8"/>
    <w:rsid w:val="008C7ECB"/>
    <w:rsid w:val="008D1043"/>
    <w:rsid w:val="008D2B88"/>
    <w:rsid w:val="008D32AE"/>
    <w:rsid w:val="008D45F8"/>
    <w:rsid w:val="008D48A5"/>
    <w:rsid w:val="008D4949"/>
    <w:rsid w:val="008D62BD"/>
    <w:rsid w:val="008D706F"/>
    <w:rsid w:val="008E1158"/>
    <w:rsid w:val="008E155A"/>
    <w:rsid w:val="008E1B9E"/>
    <w:rsid w:val="008E2FD7"/>
    <w:rsid w:val="008E3319"/>
    <w:rsid w:val="008F120A"/>
    <w:rsid w:val="008F2452"/>
    <w:rsid w:val="008F381B"/>
    <w:rsid w:val="008F48EB"/>
    <w:rsid w:val="008F4A82"/>
    <w:rsid w:val="008F4F0B"/>
    <w:rsid w:val="008F61B7"/>
    <w:rsid w:val="00900771"/>
    <w:rsid w:val="00901201"/>
    <w:rsid w:val="00902FFC"/>
    <w:rsid w:val="009031E1"/>
    <w:rsid w:val="00903D27"/>
    <w:rsid w:val="009062A5"/>
    <w:rsid w:val="00907928"/>
    <w:rsid w:val="00911272"/>
    <w:rsid w:val="009130BE"/>
    <w:rsid w:val="009135A8"/>
    <w:rsid w:val="009146FD"/>
    <w:rsid w:val="009178DD"/>
    <w:rsid w:val="00917AFE"/>
    <w:rsid w:val="009227CC"/>
    <w:rsid w:val="00922C23"/>
    <w:rsid w:val="009251FE"/>
    <w:rsid w:val="0092577A"/>
    <w:rsid w:val="0092656B"/>
    <w:rsid w:val="00927B52"/>
    <w:rsid w:val="00930812"/>
    <w:rsid w:val="00931593"/>
    <w:rsid w:val="009319C9"/>
    <w:rsid w:val="00931A9B"/>
    <w:rsid w:val="009335BC"/>
    <w:rsid w:val="009336D9"/>
    <w:rsid w:val="00937E75"/>
    <w:rsid w:val="00940BF7"/>
    <w:rsid w:val="0094115E"/>
    <w:rsid w:val="009438F7"/>
    <w:rsid w:val="009439C9"/>
    <w:rsid w:val="009522DD"/>
    <w:rsid w:val="009626CC"/>
    <w:rsid w:val="00962CB9"/>
    <w:rsid w:val="0096324E"/>
    <w:rsid w:val="00964312"/>
    <w:rsid w:val="00964FF8"/>
    <w:rsid w:val="0096520A"/>
    <w:rsid w:val="00965A94"/>
    <w:rsid w:val="00965F9D"/>
    <w:rsid w:val="00967625"/>
    <w:rsid w:val="00967954"/>
    <w:rsid w:val="00974F6A"/>
    <w:rsid w:val="00977829"/>
    <w:rsid w:val="009815EC"/>
    <w:rsid w:val="00983531"/>
    <w:rsid w:val="00983B55"/>
    <w:rsid w:val="00983E57"/>
    <w:rsid w:val="0098590B"/>
    <w:rsid w:val="009878F2"/>
    <w:rsid w:val="00990732"/>
    <w:rsid w:val="009926C2"/>
    <w:rsid w:val="0099373B"/>
    <w:rsid w:val="0099425E"/>
    <w:rsid w:val="00994523"/>
    <w:rsid w:val="009945A1"/>
    <w:rsid w:val="00995F89"/>
    <w:rsid w:val="00996037"/>
    <w:rsid w:val="00996B1A"/>
    <w:rsid w:val="009979BF"/>
    <w:rsid w:val="009A1265"/>
    <w:rsid w:val="009B3E26"/>
    <w:rsid w:val="009B44A0"/>
    <w:rsid w:val="009B4D1B"/>
    <w:rsid w:val="009B6072"/>
    <w:rsid w:val="009C11F9"/>
    <w:rsid w:val="009C469C"/>
    <w:rsid w:val="009C5513"/>
    <w:rsid w:val="009C6058"/>
    <w:rsid w:val="009D46AF"/>
    <w:rsid w:val="009D4D4B"/>
    <w:rsid w:val="009D5B91"/>
    <w:rsid w:val="009D6EE2"/>
    <w:rsid w:val="009D744F"/>
    <w:rsid w:val="009E0E74"/>
    <w:rsid w:val="009E15A0"/>
    <w:rsid w:val="009E25E6"/>
    <w:rsid w:val="009E4835"/>
    <w:rsid w:val="009E4C07"/>
    <w:rsid w:val="009E5019"/>
    <w:rsid w:val="009F2822"/>
    <w:rsid w:val="009F5ED5"/>
    <w:rsid w:val="009F7E78"/>
    <w:rsid w:val="00A009D4"/>
    <w:rsid w:val="00A00C4E"/>
    <w:rsid w:val="00A00CB8"/>
    <w:rsid w:val="00A021FA"/>
    <w:rsid w:val="00A03141"/>
    <w:rsid w:val="00A03D43"/>
    <w:rsid w:val="00A04380"/>
    <w:rsid w:val="00A07DA7"/>
    <w:rsid w:val="00A1076C"/>
    <w:rsid w:val="00A12D80"/>
    <w:rsid w:val="00A130DD"/>
    <w:rsid w:val="00A13948"/>
    <w:rsid w:val="00A13E8B"/>
    <w:rsid w:val="00A14A1D"/>
    <w:rsid w:val="00A17297"/>
    <w:rsid w:val="00A23756"/>
    <w:rsid w:val="00A23D23"/>
    <w:rsid w:val="00A240EB"/>
    <w:rsid w:val="00A24A95"/>
    <w:rsid w:val="00A255D9"/>
    <w:rsid w:val="00A267D7"/>
    <w:rsid w:val="00A27AEC"/>
    <w:rsid w:val="00A3070B"/>
    <w:rsid w:val="00A32E65"/>
    <w:rsid w:val="00A3526E"/>
    <w:rsid w:val="00A35D16"/>
    <w:rsid w:val="00A36627"/>
    <w:rsid w:val="00A3748D"/>
    <w:rsid w:val="00A438B8"/>
    <w:rsid w:val="00A43C59"/>
    <w:rsid w:val="00A44080"/>
    <w:rsid w:val="00A46C2B"/>
    <w:rsid w:val="00A4729E"/>
    <w:rsid w:val="00A47B7C"/>
    <w:rsid w:val="00A50383"/>
    <w:rsid w:val="00A5059C"/>
    <w:rsid w:val="00A50ECD"/>
    <w:rsid w:val="00A51540"/>
    <w:rsid w:val="00A519AF"/>
    <w:rsid w:val="00A52729"/>
    <w:rsid w:val="00A5272D"/>
    <w:rsid w:val="00A528C6"/>
    <w:rsid w:val="00A53675"/>
    <w:rsid w:val="00A53DE1"/>
    <w:rsid w:val="00A56009"/>
    <w:rsid w:val="00A56B6A"/>
    <w:rsid w:val="00A571C3"/>
    <w:rsid w:val="00A578DC"/>
    <w:rsid w:val="00A6725B"/>
    <w:rsid w:val="00A713D1"/>
    <w:rsid w:val="00A71917"/>
    <w:rsid w:val="00A71922"/>
    <w:rsid w:val="00A72BD8"/>
    <w:rsid w:val="00A72EE9"/>
    <w:rsid w:val="00A816D2"/>
    <w:rsid w:val="00A81B28"/>
    <w:rsid w:val="00A81DD8"/>
    <w:rsid w:val="00A837A0"/>
    <w:rsid w:val="00A844FC"/>
    <w:rsid w:val="00A86E8B"/>
    <w:rsid w:val="00A87A24"/>
    <w:rsid w:val="00A92A98"/>
    <w:rsid w:val="00A93072"/>
    <w:rsid w:val="00A9378D"/>
    <w:rsid w:val="00A93DE5"/>
    <w:rsid w:val="00A955A7"/>
    <w:rsid w:val="00A959D8"/>
    <w:rsid w:val="00AA1262"/>
    <w:rsid w:val="00AA2008"/>
    <w:rsid w:val="00AA3F91"/>
    <w:rsid w:val="00AA5C8C"/>
    <w:rsid w:val="00AA6136"/>
    <w:rsid w:val="00AA6AE0"/>
    <w:rsid w:val="00AA7FD6"/>
    <w:rsid w:val="00AB042A"/>
    <w:rsid w:val="00AB1233"/>
    <w:rsid w:val="00AB1FA3"/>
    <w:rsid w:val="00AB2D34"/>
    <w:rsid w:val="00AB3136"/>
    <w:rsid w:val="00AB3430"/>
    <w:rsid w:val="00AB37BD"/>
    <w:rsid w:val="00AB49CD"/>
    <w:rsid w:val="00AB6F07"/>
    <w:rsid w:val="00AB7CFA"/>
    <w:rsid w:val="00AC0390"/>
    <w:rsid w:val="00AC14A9"/>
    <w:rsid w:val="00AC209D"/>
    <w:rsid w:val="00AC4CE6"/>
    <w:rsid w:val="00AC60FA"/>
    <w:rsid w:val="00AC693E"/>
    <w:rsid w:val="00AD1AED"/>
    <w:rsid w:val="00AD2077"/>
    <w:rsid w:val="00AD2E1D"/>
    <w:rsid w:val="00AD2E8C"/>
    <w:rsid w:val="00AD519F"/>
    <w:rsid w:val="00AD7739"/>
    <w:rsid w:val="00AE1A58"/>
    <w:rsid w:val="00AE1D5C"/>
    <w:rsid w:val="00AE1F2C"/>
    <w:rsid w:val="00AE221C"/>
    <w:rsid w:val="00AE54D2"/>
    <w:rsid w:val="00AE7A0B"/>
    <w:rsid w:val="00AF1109"/>
    <w:rsid w:val="00AF169D"/>
    <w:rsid w:val="00AF17BE"/>
    <w:rsid w:val="00AF1B88"/>
    <w:rsid w:val="00B00B07"/>
    <w:rsid w:val="00B11A76"/>
    <w:rsid w:val="00B1236B"/>
    <w:rsid w:val="00B12EA6"/>
    <w:rsid w:val="00B1458F"/>
    <w:rsid w:val="00B15052"/>
    <w:rsid w:val="00B153E4"/>
    <w:rsid w:val="00B16A77"/>
    <w:rsid w:val="00B22D06"/>
    <w:rsid w:val="00B2393F"/>
    <w:rsid w:val="00B23DBF"/>
    <w:rsid w:val="00B25C39"/>
    <w:rsid w:val="00B25C3B"/>
    <w:rsid w:val="00B27819"/>
    <w:rsid w:val="00B303EB"/>
    <w:rsid w:val="00B31A0A"/>
    <w:rsid w:val="00B34DF6"/>
    <w:rsid w:val="00B354B1"/>
    <w:rsid w:val="00B37B70"/>
    <w:rsid w:val="00B37D1C"/>
    <w:rsid w:val="00B4119F"/>
    <w:rsid w:val="00B42536"/>
    <w:rsid w:val="00B42851"/>
    <w:rsid w:val="00B42C78"/>
    <w:rsid w:val="00B43AB6"/>
    <w:rsid w:val="00B50C99"/>
    <w:rsid w:val="00B50DB8"/>
    <w:rsid w:val="00B53905"/>
    <w:rsid w:val="00B54B5B"/>
    <w:rsid w:val="00B55121"/>
    <w:rsid w:val="00B5562E"/>
    <w:rsid w:val="00B57000"/>
    <w:rsid w:val="00B60939"/>
    <w:rsid w:val="00B60AFD"/>
    <w:rsid w:val="00B62715"/>
    <w:rsid w:val="00B63091"/>
    <w:rsid w:val="00B70150"/>
    <w:rsid w:val="00B707AA"/>
    <w:rsid w:val="00B71CD6"/>
    <w:rsid w:val="00B71D2A"/>
    <w:rsid w:val="00B72454"/>
    <w:rsid w:val="00B731A3"/>
    <w:rsid w:val="00B7371F"/>
    <w:rsid w:val="00B75994"/>
    <w:rsid w:val="00B76786"/>
    <w:rsid w:val="00B76E71"/>
    <w:rsid w:val="00B7799D"/>
    <w:rsid w:val="00B77F14"/>
    <w:rsid w:val="00B818A4"/>
    <w:rsid w:val="00B84DC9"/>
    <w:rsid w:val="00B8649C"/>
    <w:rsid w:val="00B918E6"/>
    <w:rsid w:val="00B92D0B"/>
    <w:rsid w:val="00B93DF9"/>
    <w:rsid w:val="00B94945"/>
    <w:rsid w:val="00BA2306"/>
    <w:rsid w:val="00BA3DA5"/>
    <w:rsid w:val="00BA5168"/>
    <w:rsid w:val="00BA5959"/>
    <w:rsid w:val="00BA7335"/>
    <w:rsid w:val="00BB1414"/>
    <w:rsid w:val="00BB1719"/>
    <w:rsid w:val="00BB4610"/>
    <w:rsid w:val="00BB5563"/>
    <w:rsid w:val="00BB5D6A"/>
    <w:rsid w:val="00BB7405"/>
    <w:rsid w:val="00BB7464"/>
    <w:rsid w:val="00BC1B86"/>
    <w:rsid w:val="00BC3E97"/>
    <w:rsid w:val="00BC6EAE"/>
    <w:rsid w:val="00BD1C6D"/>
    <w:rsid w:val="00BD2594"/>
    <w:rsid w:val="00BD3A32"/>
    <w:rsid w:val="00BD66E1"/>
    <w:rsid w:val="00BD6CF3"/>
    <w:rsid w:val="00BD76AF"/>
    <w:rsid w:val="00BE070D"/>
    <w:rsid w:val="00BE1372"/>
    <w:rsid w:val="00BE186F"/>
    <w:rsid w:val="00BE2180"/>
    <w:rsid w:val="00BE4275"/>
    <w:rsid w:val="00BE59D4"/>
    <w:rsid w:val="00BF066B"/>
    <w:rsid w:val="00BF2433"/>
    <w:rsid w:val="00BF5DF0"/>
    <w:rsid w:val="00BF61C9"/>
    <w:rsid w:val="00BF64D1"/>
    <w:rsid w:val="00C006E9"/>
    <w:rsid w:val="00C008B1"/>
    <w:rsid w:val="00C0135C"/>
    <w:rsid w:val="00C03475"/>
    <w:rsid w:val="00C11C87"/>
    <w:rsid w:val="00C133E8"/>
    <w:rsid w:val="00C139EC"/>
    <w:rsid w:val="00C14F4B"/>
    <w:rsid w:val="00C15BA0"/>
    <w:rsid w:val="00C2409A"/>
    <w:rsid w:val="00C25418"/>
    <w:rsid w:val="00C25684"/>
    <w:rsid w:val="00C25D9C"/>
    <w:rsid w:val="00C31537"/>
    <w:rsid w:val="00C31649"/>
    <w:rsid w:val="00C323C3"/>
    <w:rsid w:val="00C37237"/>
    <w:rsid w:val="00C40385"/>
    <w:rsid w:val="00C40A66"/>
    <w:rsid w:val="00C458A2"/>
    <w:rsid w:val="00C46D93"/>
    <w:rsid w:val="00C474C0"/>
    <w:rsid w:val="00C5113A"/>
    <w:rsid w:val="00C52893"/>
    <w:rsid w:val="00C54CB4"/>
    <w:rsid w:val="00C575C0"/>
    <w:rsid w:val="00C607FB"/>
    <w:rsid w:val="00C62415"/>
    <w:rsid w:val="00C65576"/>
    <w:rsid w:val="00C66165"/>
    <w:rsid w:val="00C71898"/>
    <w:rsid w:val="00C72E64"/>
    <w:rsid w:val="00C7308A"/>
    <w:rsid w:val="00C73D06"/>
    <w:rsid w:val="00C750C8"/>
    <w:rsid w:val="00C8183A"/>
    <w:rsid w:val="00C81E2F"/>
    <w:rsid w:val="00C8213F"/>
    <w:rsid w:val="00C826D3"/>
    <w:rsid w:val="00C84BC3"/>
    <w:rsid w:val="00C851D3"/>
    <w:rsid w:val="00C85CC2"/>
    <w:rsid w:val="00C86E71"/>
    <w:rsid w:val="00C8797A"/>
    <w:rsid w:val="00C9012A"/>
    <w:rsid w:val="00C938CF"/>
    <w:rsid w:val="00C9508F"/>
    <w:rsid w:val="00C9678C"/>
    <w:rsid w:val="00C97351"/>
    <w:rsid w:val="00C97E32"/>
    <w:rsid w:val="00CA132F"/>
    <w:rsid w:val="00CA254E"/>
    <w:rsid w:val="00CA2E29"/>
    <w:rsid w:val="00CA3336"/>
    <w:rsid w:val="00CA3E5F"/>
    <w:rsid w:val="00CA3E98"/>
    <w:rsid w:val="00CA4A76"/>
    <w:rsid w:val="00CA5245"/>
    <w:rsid w:val="00CA7B09"/>
    <w:rsid w:val="00CA7E01"/>
    <w:rsid w:val="00CB0FA7"/>
    <w:rsid w:val="00CB1777"/>
    <w:rsid w:val="00CB2083"/>
    <w:rsid w:val="00CB5B1A"/>
    <w:rsid w:val="00CC0FFD"/>
    <w:rsid w:val="00CC352F"/>
    <w:rsid w:val="00CC357B"/>
    <w:rsid w:val="00CC3583"/>
    <w:rsid w:val="00CC44AA"/>
    <w:rsid w:val="00CC4F4D"/>
    <w:rsid w:val="00CC6155"/>
    <w:rsid w:val="00CC62CB"/>
    <w:rsid w:val="00CC7B30"/>
    <w:rsid w:val="00CD30C4"/>
    <w:rsid w:val="00CD66DC"/>
    <w:rsid w:val="00CD6ADC"/>
    <w:rsid w:val="00CE0FE1"/>
    <w:rsid w:val="00CE161B"/>
    <w:rsid w:val="00CE3A5A"/>
    <w:rsid w:val="00CE3B96"/>
    <w:rsid w:val="00CE3BBD"/>
    <w:rsid w:val="00CE6274"/>
    <w:rsid w:val="00CF1666"/>
    <w:rsid w:val="00CF230D"/>
    <w:rsid w:val="00CF456B"/>
    <w:rsid w:val="00CF5A22"/>
    <w:rsid w:val="00CF7CFB"/>
    <w:rsid w:val="00D00332"/>
    <w:rsid w:val="00D0262E"/>
    <w:rsid w:val="00D04D76"/>
    <w:rsid w:val="00D05E8F"/>
    <w:rsid w:val="00D06C2B"/>
    <w:rsid w:val="00D07863"/>
    <w:rsid w:val="00D07A97"/>
    <w:rsid w:val="00D110BD"/>
    <w:rsid w:val="00D11FDD"/>
    <w:rsid w:val="00D12C42"/>
    <w:rsid w:val="00D12E90"/>
    <w:rsid w:val="00D17AD2"/>
    <w:rsid w:val="00D17D6C"/>
    <w:rsid w:val="00D17DA8"/>
    <w:rsid w:val="00D20C20"/>
    <w:rsid w:val="00D31977"/>
    <w:rsid w:val="00D31DB8"/>
    <w:rsid w:val="00D32382"/>
    <w:rsid w:val="00D334E9"/>
    <w:rsid w:val="00D357FF"/>
    <w:rsid w:val="00D37C39"/>
    <w:rsid w:val="00D40869"/>
    <w:rsid w:val="00D41A1E"/>
    <w:rsid w:val="00D428AE"/>
    <w:rsid w:val="00D4439B"/>
    <w:rsid w:val="00D454D2"/>
    <w:rsid w:val="00D458BB"/>
    <w:rsid w:val="00D45B4E"/>
    <w:rsid w:val="00D50528"/>
    <w:rsid w:val="00D525F2"/>
    <w:rsid w:val="00D532E5"/>
    <w:rsid w:val="00D54188"/>
    <w:rsid w:val="00D547CD"/>
    <w:rsid w:val="00D54A10"/>
    <w:rsid w:val="00D57C95"/>
    <w:rsid w:val="00D60D48"/>
    <w:rsid w:val="00D62895"/>
    <w:rsid w:val="00D65CCB"/>
    <w:rsid w:val="00D662D2"/>
    <w:rsid w:val="00D67F46"/>
    <w:rsid w:val="00D70059"/>
    <w:rsid w:val="00D71C8A"/>
    <w:rsid w:val="00D74DEA"/>
    <w:rsid w:val="00D76A44"/>
    <w:rsid w:val="00D80321"/>
    <w:rsid w:val="00D807CF"/>
    <w:rsid w:val="00D81479"/>
    <w:rsid w:val="00D84B63"/>
    <w:rsid w:val="00D85B61"/>
    <w:rsid w:val="00D86865"/>
    <w:rsid w:val="00D91836"/>
    <w:rsid w:val="00D91A62"/>
    <w:rsid w:val="00D91DBD"/>
    <w:rsid w:val="00D92284"/>
    <w:rsid w:val="00D93753"/>
    <w:rsid w:val="00D93EFC"/>
    <w:rsid w:val="00D97016"/>
    <w:rsid w:val="00D97361"/>
    <w:rsid w:val="00D97B98"/>
    <w:rsid w:val="00DA13D3"/>
    <w:rsid w:val="00DA1907"/>
    <w:rsid w:val="00DA3672"/>
    <w:rsid w:val="00DA4A01"/>
    <w:rsid w:val="00DA4E8A"/>
    <w:rsid w:val="00DA77A5"/>
    <w:rsid w:val="00DB03D4"/>
    <w:rsid w:val="00DB0BF1"/>
    <w:rsid w:val="00DB7410"/>
    <w:rsid w:val="00DC0042"/>
    <w:rsid w:val="00DC3F34"/>
    <w:rsid w:val="00DC4FD2"/>
    <w:rsid w:val="00DC5501"/>
    <w:rsid w:val="00DC6EDF"/>
    <w:rsid w:val="00DD2458"/>
    <w:rsid w:val="00DD3F28"/>
    <w:rsid w:val="00DD4537"/>
    <w:rsid w:val="00DD4E15"/>
    <w:rsid w:val="00DD673D"/>
    <w:rsid w:val="00DE3426"/>
    <w:rsid w:val="00DE4FCB"/>
    <w:rsid w:val="00DE6026"/>
    <w:rsid w:val="00DE72BE"/>
    <w:rsid w:val="00DF0043"/>
    <w:rsid w:val="00DF07DC"/>
    <w:rsid w:val="00DF0EF6"/>
    <w:rsid w:val="00DF1A9E"/>
    <w:rsid w:val="00DF5D2B"/>
    <w:rsid w:val="00DF668A"/>
    <w:rsid w:val="00DF778F"/>
    <w:rsid w:val="00E07150"/>
    <w:rsid w:val="00E07157"/>
    <w:rsid w:val="00E076EE"/>
    <w:rsid w:val="00E10149"/>
    <w:rsid w:val="00E107A0"/>
    <w:rsid w:val="00E112BD"/>
    <w:rsid w:val="00E114FB"/>
    <w:rsid w:val="00E14CDD"/>
    <w:rsid w:val="00E15200"/>
    <w:rsid w:val="00E16006"/>
    <w:rsid w:val="00E16372"/>
    <w:rsid w:val="00E20ED6"/>
    <w:rsid w:val="00E21358"/>
    <w:rsid w:val="00E21970"/>
    <w:rsid w:val="00E22448"/>
    <w:rsid w:val="00E2249B"/>
    <w:rsid w:val="00E22A0D"/>
    <w:rsid w:val="00E237F9"/>
    <w:rsid w:val="00E23932"/>
    <w:rsid w:val="00E25DEF"/>
    <w:rsid w:val="00E271F6"/>
    <w:rsid w:val="00E2771E"/>
    <w:rsid w:val="00E30D8F"/>
    <w:rsid w:val="00E319EF"/>
    <w:rsid w:val="00E32AFC"/>
    <w:rsid w:val="00E34302"/>
    <w:rsid w:val="00E352EA"/>
    <w:rsid w:val="00E37569"/>
    <w:rsid w:val="00E376B7"/>
    <w:rsid w:val="00E419E6"/>
    <w:rsid w:val="00E41C97"/>
    <w:rsid w:val="00E41E30"/>
    <w:rsid w:val="00E43938"/>
    <w:rsid w:val="00E43D70"/>
    <w:rsid w:val="00E448DE"/>
    <w:rsid w:val="00E4787E"/>
    <w:rsid w:val="00E47B2C"/>
    <w:rsid w:val="00E51560"/>
    <w:rsid w:val="00E520EA"/>
    <w:rsid w:val="00E523AE"/>
    <w:rsid w:val="00E5270F"/>
    <w:rsid w:val="00E531B4"/>
    <w:rsid w:val="00E5414A"/>
    <w:rsid w:val="00E55424"/>
    <w:rsid w:val="00E55BB5"/>
    <w:rsid w:val="00E56C78"/>
    <w:rsid w:val="00E572BF"/>
    <w:rsid w:val="00E60A26"/>
    <w:rsid w:val="00E6307C"/>
    <w:rsid w:val="00E65E79"/>
    <w:rsid w:val="00E66BD5"/>
    <w:rsid w:val="00E67416"/>
    <w:rsid w:val="00E7027D"/>
    <w:rsid w:val="00E718B6"/>
    <w:rsid w:val="00E73347"/>
    <w:rsid w:val="00E73581"/>
    <w:rsid w:val="00E775DE"/>
    <w:rsid w:val="00E778E6"/>
    <w:rsid w:val="00E82048"/>
    <w:rsid w:val="00E83238"/>
    <w:rsid w:val="00E8327E"/>
    <w:rsid w:val="00E83BDF"/>
    <w:rsid w:val="00E8457F"/>
    <w:rsid w:val="00E85A04"/>
    <w:rsid w:val="00E85C3C"/>
    <w:rsid w:val="00E866F4"/>
    <w:rsid w:val="00E87B81"/>
    <w:rsid w:val="00E910B2"/>
    <w:rsid w:val="00E91F12"/>
    <w:rsid w:val="00E93799"/>
    <w:rsid w:val="00E941F4"/>
    <w:rsid w:val="00E97007"/>
    <w:rsid w:val="00EA3864"/>
    <w:rsid w:val="00EA3918"/>
    <w:rsid w:val="00EA4FEC"/>
    <w:rsid w:val="00EA51D3"/>
    <w:rsid w:val="00EA5E38"/>
    <w:rsid w:val="00EB15B6"/>
    <w:rsid w:val="00EB1E21"/>
    <w:rsid w:val="00EB2A5B"/>
    <w:rsid w:val="00EB37B6"/>
    <w:rsid w:val="00EB3A56"/>
    <w:rsid w:val="00EB4916"/>
    <w:rsid w:val="00EB79CD"/>
    <w:rsid w:val="00EC00C9"/>
    <w:rsid w:val="00EC12D9"/>
    <w:rsid w:val="00EC1F05"/>
    <w:rsid w:val="00EC2ACD"/>
    <w:rsid w:val="00EC3B33"/>
    <w:rsid w:val="00EC46A3"/>
    <w:rsid w:val="00EC4AD9"/>
    <w:rsid w:val="00ED27D9"/>
    <w:rsid w:val="00ED3C80"/>
    <w:rsid w:val="00ED499E"/>
    <w:rsid w:val="00ED49DE"/>
    <w:rsid w:val="00ED56BB"/>
    <w:rsid w:val="00ED5DDF"/>
    <w:rsid w:val="00ED7441"/>
    <w:rsid w:val="00EE07D3"/>
    <w:rsid w:val="00EE0A6A"/>
    <w:rsid w:val="00EE18A3"/>
    <w:rsid w:val="00EE2230"/>
    <w:rsid w:val="00EE2918"/>
    <w:rsid w:val="00EE5DF8"/>
    <w:rsid w:val="00EE6161"/>
    <w:rsid w:val="00EE7F5A"/>
    <w:rsid w:val="00EF0BD6"/>
    <w:rsid w:val="00EF48F4"/>
    <w:rsid w:val="00EF4C61"/>
    <w:rsid w:val="00EF56AB"/>
    <w:rsid w:val="00EF63AB"/>
    <w:rsid w:val="00F0188F"/>
    <w:rsid w:val="00F067A2"/>
    <w:rsid w:val="00F10195"/>
    <w:rsid w:val="00F141A9"/>
    <w:rsid w:val="00F20DEF"/>
    <w:rsid w:val="00F237DA"/>
    <w:rsid w:val="00F24837"/>
    <w:rsid w:val="00F2575F"/>
    <w:rsid w:val="00F26015"/>
    <w:rsid w:val="00F26445"/>
    <w:rsid w:val="00F31317"/>
    <w:rsid w:val="00F33920"/>
    <w:rsid w:val="00F33DE9"/>
    <w:rsid w:val="00F33FCC"/>
    <w:rsid w:val="00F35CE2"/>
    <w:rsid w:val="00F3619A"/>
    <w:rsid w:val="00F41E1F"/>
    <w:rsid w:val="00F421DB"/>
    <w:rsid w:val="00F434DA"/>
    <w:rsid w:val="00F46CB6"/>
    <w:rsid w:val="00F47D8A"/>
    <w:rsid w:val="00F5201B"/>
    <w:rsid w:val="00F55E73"/>
    <w:rsid w:val="00F571A8"/>
    <w:rsid w:val="00F57A7C"/>
    <w:rsid w:val="00F60092"/>
    <w:rsid w:val="00F600EF"/>
    <w:rsid w:val="00F60D4F"/>
    <w:rsid w:val="00F657BA"/>
    <w:rsid w:val="00F72DE0"/>
    <w:rsid w:val="00F754E8"/>
    <w:rsid w:val="00F75C81"/>
    <w:rsid w:val="00F80B00"/>
    <w:rsid w:val="00F80E5D"/>
    <w:rsid w:val="00F811DA"/>
    <w:rsid w:val="00F83DB7"/>
    <w:rsid w:val="00F851CE"/>
    <w:rsid w:val="00F86D8A"/>
    <w:rsid w:val="00F906E0"/>
    <w:rsid w:val="00F923B7"/>
    <w:rsid w:val="00F92C7F"/>
    <w:rsid w:val="00F93DB7"/>
    <w:rsid w:val="00F9588C"/>
    <w:rsid w:val="00F96E23"/>
    <w:rsid w:val="00F97A78"/>
    <w:rsid w:val="00F97D98"/>
    <w:rsid w:val="00FA0801"/>
    <w:rsid w:val="00FA24E7"/>
    <w:rsid w:val="00FA59B2"/>
    <w:rsid w:val="00FA6AF6"/>
    <w:rsid w:val="00FA769B"/>
    <w:rsid w:val="00FB1635"/>
    <w:rsid w:val="00FB28D5"/>
    <w:rsid w:val="00FB2FCB"/>
    <w:rsid w:val="00FB3946"/>
    <w:rsid w:val="00FB4098"/>
    <w:rsid w:val="00FB55BD"/>
    <w:rsid w:val="00FC1074"/>
    <w:rsid w:val="00FC1884"/>
    <w:rsid w:val="00FC4B14"/>
    <w:rsid w:val="00FC5BDA"/>
    <w:rsid w:val="00FC67F6"/>
    <w:rsid w:val="00FC68BB"/>
    <w:rsid w:val="00FC69D2"/>
    <w:rsid w:val="00FC7CFB"/>
    <w:rsid w:val="00FD2100"/>
    <w:rsid w:val="00FD295D"/>
    <w:rsid w:val="00FD446D"/>
    <w:rsid w:val="00FD5907"/>
    <w:rsid w:val="00FD7079"/>
    <w:rsid w:val="00FD72F4"/>
    <w:rsid w:val="00FD773E"/>
    <w:rsid w:val="00FD7C79"/>
    <w:rsid w:val="00FE01D3"/>
    <w:rsid w:val="00FE0C0F"/>
    <w:rsid w:val="00FE1F06"/>
    <w:rsid w:val="00FE4824"/>
    <w:rsid w:val="00FE56D5"/>
    <w:rsid w:val="00FE6631"/>
    <w:rsid w:val="00FE6E2C"/>
    <w:rsid w:val="00FF0752"/>
    <w:rsid w:val="00FF0DDE"/>
    <w:rsid w:val="00FF1201"/>
    <w:rsid w:val="00FF1633"/>
    <w:rsid w:val="00FF18BA"/>
    <w:rsid w:val="00FF307B"/>
    <w:rsid w:val="00FF3DCF"/>
    <w:rsid w:val="00FF5AA3"/>
    <w:rsid w:val="00FF7AFF"/>
    <w:rsid w:val="00FF7C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A3E98"/>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C0A1A"/>
    <w:pPr>
      <w:keepNext/>
      <w:keepLines/>
      <w:outlineLvl w:val="1"/>
    </w:pPr>
    <w:rPr>
      <w:b/>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C0A1A"/>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371302"/>
    <w:rPr>
      <w:sz w:val="28"/>
    </w:rPr>
  </w:style>
  <w:style w:type="character" w:customStyle="1" w:styleId="TitleChar">
    <w:name w:val="Title Char"/>
    <w:basedOn w:val="DefaultParagraphFont"/>
    <w:link w:val="Title"/>
    <w:rsid w:val="00371302"/>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paragraph" w:customStyle="1" w:styleId="TableText1left">
    <w:name w:val="Table Text 1 (left)"/>
    <w:basedOn w:val="Normal"/>
    <w:link w:val="TableText1leftChar"/>
    <w:qFormat/>
    <w:rsid w:val="00426AB9"/>
    <w:pPr>
      <w:widowControl/>
      <w:spacing w:before="40" w:after="40"/>
      <w:jc w:val="left"/>
    </w:pPr>
    <w:rPr>
      <w:rFonts w:ascii="Times New Roman" w:hAnsi="Times New Roman" w:cs="Times New Roman"/>
      <w:snapToGrid/>
      <w:sz w:val="20"/>
      <w:lang w:val="en-GB"/>
    </w:rPr>
  </w:style>
  <w:style w:type="character" w:customStyle="1" w:styleId="TableText1leftChar">
    <w:name w:val="Table Text 1 (left) Char"/>
    <w:link w:val="TableText1left"/>
    <w:rsid w:val="00426AB9"/>
    <w:rPr>
      <w:rFonts w:eastAsia="SimSun"/>
      <w:lang w:val="en-GB" w:eastAsia="en-US"/>
    </w:rPr>
  </w:style>
  <w:style w:type="paragraph" w:styleId="FootnoteText">
    <w:name w:val="footnote text"/>
    <w:basedOn w:val="Normal"/>
    <w:link w:val="FootnoteTextChar"/>
    <w:uiPriority w:val="99"/>
    <w:rsid w:val="00426AB9"/>
    <w:rPr>
      <w:rFonts w:ascii="Times New Roman" w:hAnsi="Times New Roman" w:cs="Times New Roman"/>
      <w:sz w:val="20"/>
    </w:rPr>
  </w:style>
  <w:style w:type="character" w:customStyle="1" w:styleId="FootnoteTextChar">
    <w:name w:val="Footnote Text Char"/>
    <w:basedOn w:val="DefaultParagraphFont"/>
    <w:link w:val="FootnoteText"/>
    <w:uiPriority w:val="99"/>
    <w:rsid w:val="00426AB9"/>
    <w:rPr>
      <w:snapToGrid w:val="0"/>
      <w:lang w:eastAsia="en-US"/>
    </w:rPr>
  </w:style>
  <w:style w:type="character" w:styleId="FootnoteReference">
    <w:name w:val="footnote reference"/>
    <w:basedOn w:val="DefaultParagraphFont"/>
    <w:uiPriority w:val="99"/>
    <w:rsid w:val="00426AB9"/>
    <w:rPr>
      <w:vertAlign w:val="superscript"/>
    </w:rPr>
  </w:style>
  <w:style w:type="paragraph" w:customStyle="1" w:styleId="TableTitleE">
    <w:name w:val="Table Title E"/>
    <w:basedOn w:val="BodyText"/>
    <w:next w:val="BodyText"/>
    <w:qFormat/>
    <w:rsid w:val="00E56C78"/>
    <w:pPr>
      <w:widowControl/>
      <w:numPr>
        <w:numId w:val="2"/>
      </w:numPr>
      <w:spacing w:after="120"/>
      <w:jc w:val="both"/>
    </w:pPr>
    <w:rPr>
      <w:rFonts w:cs="Times New Roman"/>
      <w:b/>
      <w:snapToGrid/>
      <w:sz w:val="20"/>
      <w:szCs w:val="24"/>
    </w:rPr>
  </w:style>
  <w:style w:type="paragraph" w:customStyle="1" w:styleId="TableText1">
    <w:name w:val="Table Text"/>
    <w:basedOn w:val="Normal"/>
    <w:next w:val="BodyText"/>
    <w:qFormat/>
    <w:rsid w:val="00032658"/>
    <w:pPr>
      <w:widowControl/>
      <w:spacing w:before="40" w:after="40"/>
    </w:pPr>
    <w:rPr>
      <w:rFonts w:cs="Times New Roman"/>
      <w:snapToGrid/>
      <w:sz w:val="18"/>
      <w:szCs w:val="24"/>
    </w:rPr>
  </w:style>
  <w:style w:type="character" w:customStyle="1" w:styleId="TableTextChar0">
    <w:name w:val="TableText Char"/>
    <w:basedOn w:val="DefaultParagraphFont"/>
    <w:link w:val="TableText0"/>
    <w:rsid w:val="0033021C"/>
    <w:rPr>
      <w:rFonts w:ascii="Arial Narrow" w:hAnsi="Arial Narrow" w:cs="Arial Narrow"/>
      <w:lang w:eastAsia="en-US"/>
    </w:rPr>
  </w:style>
  <w:style w:type="character" w:customStyle="1" w:styleId="ListParagraphChar">
    <w:name w:val="List Paragraph Char"/>
    <w:link w:val="ListParagraph"/>
    <w:uiPriority w:val="34"/>
    <w:rsid w:val="00680D53"/>
    <w:rPr>
      <w:rFonts w:ascii="Arial" w:hAnsi="Arial" w:cs="Arial"/>
      <w:snapToGrid w:val="0"/>
      <w:sz w:val="22"/>
      <w:lang w:eastAsia="en-US"/>
    </w:rPr>
  </w:style>
  <w:style w:type="paragraph" w:customStyle="1" w:styleId="Bullet1">
    <w:name w:val="Bullet 1"/>
    <w:basedOn w:val="Normal"/>
    <w:next w:val="BodyText"/>
    <w:qFormat/>
    <w:rsid w:val="00B42C78"/>
    <w:pPr>
      <w:widowControl/>
      <w:numPr>
        <w:numId w:val="3"/>
      </w:numPr>
      <w:spacing w:before="40" w:after="40" w:line="360" w:lineRule="auto"/>
    </w:pPr>
    <w:rPr>
      <w:rFonts w:cs="Times New Roman"/>
      <w:snapToGrid/>
      <w:sz w:val="20"/>
      <w:szCs w:val="24"/>
    </w:rPr>
  </w:style>
  <w:style w:type="paragraph" w:customStyle="1" w:styleId="Bullet2">
    <w:name w:val="Bullet 2"/>
    <w:basedOn w:val="Normal"/>
    <w:next w:val="Normal"/>
    <w:qFormat/>
    <w:rsid w:val="00B42C78"/>
    <w:pPr>
      <w:widowControl/>
      <w:numPr>
        <w:ilvl w:val="1"/>
        <w:numId w:val="3"/>
      </w:numPr>
      <w:spacing w:line="360" w:lineRule="auto"/>
    </w:pPr>
    <w:rPr>
      <w:rFonts w:cs="Times New Roman"/>
      <w:snapToGrid/>
      <w:sz w:val="20"/>
      <w:szCs w:val="24"/>
    </w:rPr>
  </w:style>
  <w:style w:type="character" w:styleId="Strong">
    <w:name w:val="Strong"/>
    <w:basedOn w:val="DefaultParagraphFont"/>
    <w:uiPriority w:val="22"/>
    <w:qFormat/>
    <w:rsid w:val="00AD2E8C"/>
    <w:rPr>
      <w:b/>
      <w:bCs/>
    </w:rPr>
  </w:style>
  <w:style w:type="character" w:customStyle="1" w:styleId="apple-converted-space">
    <w:name w:val="apple-converted-space"/>
    <w:basedOn w:val="DefaultParagraphFont"/>
    <w:rsid w:val="00AD2E8C"/>
  </w:style>
  <w:style w:type="character" w:styleId="FollowedHyperlink">
    <w:name w:val="FollowedHyperlink"/>
    <w:basedOn w:val="DefaultParagraphFont"/>
    <w:semiHidden/>
    <w:unhideWhenUsed/>
    <w:rsid w:val="000B7264"/>
    <w:rPr>
      <w:color w:val="800080" w:themeColor="followedHyperlink"/>
      <w:u w:val="single"/>
    </w:rPr>
  </w:style>
  <w:style w:type="table" w:customStyle="1" w:styleId="TableGrid5">
    <w:name w:val="Table Grid5"/>
    <w:basedOn w:val="TableNormal"/>
    <w:next w:val="TableGrid"/>
    <w:uiPriority w:val="59"/>
    <w:rsid w:val="0077759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775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811DA"/>
    <w:pPr>
      <w:widowControl/>
      <w:spacing w:after="160" w:line="240" w:lineRule="exact"/>
      <w:jc w:val="left"/>
    </w:pPr>
    <w:rPr>
      <w:rFonts w:ascii="Verdana" w:eastAsia="MS Mincho" w:hAnsi="Verdana" w:cs="Verdana"/>
      <w:snapToGrid/>
      <w:sz w:val="20"/>
      <w:lang w:val="en-US"/>
    </w:rPr>
  </w:style>
  <w:style w:type="table" w:customStyle="1" w:styleId="TableGrid2">
    <w:name w:val="Table Grid2"/>
    <w:basedOn w:val="TableNormal"/>
    <w:next w:val="TableGrid"/>
    <w:uiPriority w:val="59"/>
    <w:rsid w:val="00B37B7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2197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684F47"/>
    <w:pPr>
      <w:ind w:left="720" w:hanging="720"/>
    </w:pPr>
    <w:rPr>
      <w:rFonts w:ascii="Arial"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A3E98"/>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C0A1A"/>
    <w:pPr>
      <w:keepNext/>
      <w:keepLines/>
      <w:outlineLvl w:val="1"/>
    </w:pPr>
    <w:rPr>
      <w:b/>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C0A1A"/>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371302"/>
    <w:rPr>
      <w:sz w:val="28"/>
    </w:rPr>
  </w:style>
  <w:style w:type="character" w:customStyle="1" w:styleId="TitleChar">
    <w:name w:val="Title Char"/>
    <w:basedOn w:val="DefaultParagraphFont"/>
    <w:link w:val="Title"/>
    <w:rsid w:val="00371302"/>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paragraph" w:customStyle="1" w:styleId="TableText1left">
    <w:name w:val="Table Text 1 (left)"/>
    <w:basedOn w:val="Normal"/>
    <w:link w:val="TableText1leftChar"/>
    <w:qFormat/>
    <w:rsid w:val="00426AB9"/>
    <w:pPr>
      <w:widowControl/>
      <w:spacing w:before="40" w:after="40"/>
      <w:jc w:val="left"/>
    </w:pPr>
    <w:rPr>
      <w:rFonts w:ascii="Times New Roman" w:hAnsi="Times New Roman" w:cs="Times New Roman"/>
      <w:snapToGrid/>
      <w:sz w:val="20"/>
      <w:lang w:val="en-GB"/>
    </w:rPr>
  </w:style>
  <w:style w:type="character" w:customStyle="1" w:styleId="TableText1leftChar">
    <w:name w:val="Table Text 1 (left) Char"/>
    <w:link w:val="TableText1left"/>
    <w:rsid w:val="00426AB9"/>
    <w:rPr>
      <w:rFonts w:eastAsia="SimSun"/>
      <w:lang w:val="en-GB" w:eastAsia="en-US"/>
    </w:rPr>
  </w:style>
  <w:style w:type="paragraph" w:styleId="FootnoteText">
    <w:name w:val="footnote text"/>
    <w:basedOn w:val="Normal"/>
    <w:link w:val="FootnoteTextChar"/>
    <w:uiPriority w:val="99"/>
    <w:rsid w:val="00426AB9"/>
    <w:rPr>
      <w:rFonts w:ascii="Times New Roman" w:hAnsi="Times New Roman" w:cs="Times New Roman"/>
      <w:sz w:val="20"/>
    </w:rPr>
  </w:style>
  <w:style w:type="character" w:customStyle="1" w:styleId="FootnoteTextChar">
    <w:name w:val="Footnote Text Char"/>
    <w:basedOn w:val="DefaultParagraphFont"/>
    <w:link w:val="FootnoteText"/>
    <w:uiPriority w:val="99"/>
    <w:rsid w:val="00426AB9"/>
    <w:rPr>
      <w:snapToGrid w:val="0"/>
      <w:lang w:eastAsia="en-US"/>
    </w:rPr>
  </w:style>
  <w:style w:type="character" w:styleId="FootnoteReference">
    <w:name w:val="footnote reference"/>
    <w:basedOn w:val="DefaultParagraphFont"/>
    <w:uiPriority w:val="99"/>
    <w:rsid w:val="00426AB9"/>
    <w:rPr>
      <w:vertAlign w:val="superscript"/>
    </w:rPr>
  </w:style>
  <w:style w:type="paragraph" w:customStyle="1" w:styleId="TableTitleE">
    <w:name w:val="Table Title E"/>
    <w:basedOn w:val="BodyText"/>
    <w:next w:val="BodyText"/>
    <w:qFormat/>
    <w:rsid w:val="00E56C78"/>
    <w:pPr>
      <w:widowControl/>
      <w:numPr>
        <w:numId w:val="2"/>
      </w:numPr>
      <w:spacing w:after="120"/>
      <w:jc w:val="both"/>
    </w:pPr>
    <w:rPr>
      <w:rFonts w:cs="Times New Roman"/>
      <w:b/>
      <w:snapToGrid/>
      <w:sz w:val="20"/>
      <w:szCs w:val="24"/>
    </w:rPr>
  </w:style>
  <w:style w:type="paragraph" w:customStyle="1" w:styleId="TableText1">
    <w:name w:val="Table Text"/>
    <w:basedOn w:val="Normal"/>
    <w:next w:val="BodyText"/>
    <w:qFormat/>
    <w:rsid w:val="00032658"/>
    <w:pPr>
      <w:widowControl/>
      <w:spacing w:before="40" w:after="40"/>
    </w:pPr>
    <w:rPr>
      <w:rFonts w:cs="Times New Roman"/>
      <w:snapToGrid/>
      <w:sz w:val="18"/>
      <w:szCs w:val="24"/>
    </w:rPr>
  </w:style>
  <w:style w:type="character" w:customStyle="1" w:styleId="TableTextChar0">
    <w:name w:val="TableText Char"/>
    <w:basedOn w:val="DefaultParagraphFont"/>
    <w:link w:val="TableText0"/>
    <w:rsid w:val="0033021C"/>
    <w:rPr>
      <w:rFonts w:ascii="Arial Narrow" w:hAnsi="Arial Narrow" w:cs="Arial Narrow"/>
      <w:lang w:eastAsia="en-US"/>
    </w:rPr>
  </w:style>
  <w:style w:type="character" w:customStyle="1" w:styleId="ListParagraphChar">
    <w:name w:val="List Paragraph Char"/>
    <w:link w:val="ListParagraph"/>
    <w:uiPriority w:val="34"/>
    <w:rsid w:val="00680D53"/>
    <w:rPr>
      <w:rFonts w:ascii="Arial" w:hAnsi="Arial" w:cs="Arial"/>
      <w:snapToGrid w:val="0"/>
      <w:sz w:val="22"/>
      <w:lang w:eastAsia="en-US"/>
    </w:rPr>
  </w:style>
  <w:style w:type="paragraph" w:customStyle="1" w:styleId="Bullet1">
    <w:name w:val="Bullet 1"/>
    <w:basedOn w:val="Normal"/>
    <w:next w:val="BodyText"/>
    <w:qFormat/>
    <w:rsid w:val="00B42C78"/>
    <w:pPr>
      <w:widowControl/>
      <w:numPr>
        <w:numId w:val="3"/>
      </w:numPr>
      <w:spacing w:before="40" w:after="40" w:line="360" w:lineRule="auto"/>
    </w:pPr>
    <w:rPr>
      <w:rFonts w:cs="Times New Roman"/>
      <w:snapToGrid/>
      <w:sz w:val="20"/>
      <w:szCs w:val="24"/>
    </w:rPr>
  </w:style>
  <w:style w:type="paragraph" w:customStyle="1" w:styleId="Bullet2">
    <w:name w:val="Bullet 2"/>
    <w:basedOn w:val="Normal"/>
    <w:next w:val="Normal"/>
    <w:qFormat/>
    <w:rsid w:val="00B42C78"/>
    <w:pPr>
      <w:widowControl/>
      <w:numPr>
        <w:ilvl w:val="1"/>
        <w:numId w:val="3"/>
      </w:numPr>
      <w:spacing w:line="360" w:lineRule="auto"/>
    </w:pPr>
    <w:rPr>
      <w:rFonts w:cs="Times New Roman"/>
      <w:snapToGrid/>
      <w:sz w:val="20"/>
      <w:szCs w:val="24"/>
    </w:rPr>
  </w:style>
  <w:style w:type="character" w:styleId="Strong">
    <w:name w:val="Strong"/>
    <w:basedOn w:val="DefaultParagraphFont"/>
    <w:uiPriority w:val="22"/>
    <w:qFormat/>
    <w:rsid w:val="00AD2E8C"/>
    <w:rPr>
      <w:b/>
      <w:bCs/>
    </w:rPr>
  </w:style>
  <w:style w:type="character" w:customStyle="1" w:styleId="apple-converted-space">
    <w:name w:val="apple-converted-space"/>
    <w:basedOn w:val="DefaultParagraphFont"/>
    <w:rsid w:val="00AD2E8C"/>
  </w:style>
  <w:style w:type="character" w:styleId="FollowedHyperlink">
    <w:name w:val="FollowedHyperlink"/>
    <w:basedOn w:val="DefaultParagraphFont"/>
    <w:semiHidden/>
    <w:unhideWhenUsed/>
    <w:rsid w:val="000B7264"/>
    <w:rPr>
      <w:color w:val="800080" w:themeColor="followedHyperlink"/>
      <w:u w:val="single"/>
    </w:rPr>
  </w:style>
  <w:style w:type="table" w:customStyle="1" w:styleId="TableGrid5">
    <w:name w:val="Table Grid5"/>
    <w:basedOn w:val="TableNormal"/>
    <w:next w:val="TableGrid"/>
    <w:uiPriority w:val="59"/>
    <w:rsid w:val="0077759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775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811DA"/>
    <w:pPr>
      <w:widowControl/>
      <w:spacing w:after="160" w:line="240" w:lineRule="exact"/>
      <w:jc w:val="left"/>
    </w:pPr>
    <w:rPr>
      <w:rFonts w:ascii="Verdana" w:eastAsia="MS Mincho" w:hAnsi="Verdana" w:cs="Verdana"/>
      <w:snapToGrid/>
      <w:sz w:val="20"/>
      <w:lang w:val="en-US"/>
    </w:rPr>
  </w:style>
  <w:style w:type="table" w:customStyle="1" w:styleId="TableGrid2">
    <w:name w:val="Table Grid2"/>
    <w:basedOn w:val="TableNormal"/>
    <w:next w:val="TableGrid"/>
    <w:uiPriority w:val="59"/>
    <w:rsid w:val="00B37B7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2197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684F47"/>
    <w:pPr>
      <w:ind w:left="720" w:hanging="720"/>
    </w:pPr>
    <w:rPr>
      <w:rFonts w:ascii="Arial"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64367">
      <w:bodyDiv w:val="1"/>
      <w:marLeft w:val="0"/>
      <w:marRight w:val="0"/>
      <w:marTop w:val="0"/>
      <w:marBottom w:val="0"/>
      <w:divBdr>
        <w:top w:val="none" w:sz="0" w:space="0" w:color="auto"/>
        <w:left w:val="none" w:sz="0" w:space="0" w:color="auto"/>
        <w:bottom w:val="none" w:sz="0" w:space="0" w:color="auto"/>
        <w:right w:val="none" w:sz="0" w:space="0" w:color="auto"/>
      </w:divBdr>
    </w:div>
    <w:div w:id="570503050">
      <w:bodyDiv w:val="1"/>
      <w:marLeft w:val="0"/>
      <w:marRight w:val="0"/>
      <w:marTop w:val="0"/>
      <w:marBottom w:val="0"/>
      <w:divBdr>
        <w:top w:val="none" w:sz="0" w:space="0" w:color="auto"/>
        <w:left w:val="none" w:sz="0" w:space="0" w:color="auto"/>
        <w:bottom w:val="none" w:sz="0" w:space="0" w:color="auto"/>
        <w:right w:val="none" w:sz="0" w:space="0" w:color="auto"/>
      </w:divBdr>
    </w:div>
    <w:div w:id="643005656">
      <w:bodyDiv w:val="1"/>
      <w:marLeft w:val="0"/>
      <w:marRight w:val="0"/>
      <w:marTop w:val="0"/>
      <w:marBottom w:val="0"/>
      <w:divBdr>
        <w:top w:val="none" w:sz="0" w:space="0" w:color="auto"/>
        <w:left w:val="none" w:sz="0" w:space="0" w:color="auto"/>
        <w:bottom w:val="none" w:sz="0" w:space="0" w:color="auto"/>
        <w:right w:val="none" w:sz="0" w:space="0" w:color="auto"/>
      </w:divBdr>
    </w:div>
    <w:div w:id="1259870615">
      <w:bodyDiv w:val="1"/>
      <w:marLeft w:val="0"/>
      <w:marRight w:val="0"/>
      <w:marTop w:val="0"/>
      <w:marBottom w:val="0"/>
      <w:divBdr>
        <w:top w:val="none" w:sz="0" w:space="0" w:color="auto"/>
        <w:left w:val="none" w:sz="0" w:space="0" w:color="auto"/>
        <w:bottom w:val="none" w:sz="0" w:space="0" w:color="auto"/>
        <w:right w:val="none" w:sz="0" w:space="0" w:color="auto"/>
      </w:divBdr>
    </w:div>
    <w:div w:id="1511603623">
      <w:bodyDiv w:val="1"/>
      <w:marLeft w:val="0"/>
      <w:marRight w:val="0"/>
      <w:marTop w:val="0"/>
      <w:marBottom w:val="0"/>
      <w:divBdr>
        <w:top w:val="none" w:sz="0" w:space="0" w:color="auto"/>
        <w:left w:val="none" w:sz="0" w:space="0" w:color="auto"/>
        <w:bottom w:val="none" w:sz="0" w:space="0" w:color="auto"/>
        <w:right w:val="none" w:sz="0" w:space="0" w:color="auto"/>
      </w:divBdr>
    </w:div>
    <w:div w:id="1706759146">
      <w:bodyDiv w:val="1"/>
      <w:marLeft w:val="0"/>
      <w:marRight w:val="0"/>
      <w:marTop w:val="0"/>
      <w:marBottom w:val="0"/>
      <w:divBdr>
        <w:top w:val="none" w:sz="0" w:space="0" w:color="auto"/>
        <w:left w:val="none" w:sz="0" w:space="0" w:color="auto"/>
        <w:bottom w:val="none" w:sz="0" w:space="0" w:color="auto"/>
        <w:right w:val="none" w:sz="0" w:space="0" w:color="auto"/>
      </w:divBdr>
    </w:div>
    <w:div w:id="1723210807">
      <w:bodyDiv w:val="1"/>
      <w:marLeft w:val="0"/>
      <w:marRight w:val="0"/>
      <w:marTop w:val="0"/>
      <w:marBottom w:val="0"/>
      <w:divBdr>
        <w:top w:val="none" w:sz="0" w:space="0" w:color="auto"/>
        <w:left w:val="none" w:sz="0" w:space="0" w:color="auto"/>
        <w:bottom w:val="none" w:sz="0" w:space="0" w:color="auto"/>
        <w:right w:val="none" w:sz="0" w:space="0" w:color="auto"/>
      </w:divBdr>
    </w:div>
    <w:div w:id="1833182179">
      <w:bodyDiv w:val="1"/>
      <w:marLeft w:val="0"/>
      <w:marRight w:val="0"/>
      <w:marTop w:val="0"/>
      <w:marBottom w:val="0"/>
      <w:divBdr>
        <w:top w:val="none" w:sz="0" w:space="0" w:color="auto"/>
        <w:left w:val="none" w:sz="0" w:space="0" w:color="auto"/>
        <w:bottom w:val="none" w:sz="0" w:space="0" w:color="auto"/>
        <w:right w:val="none" w:sz="0" w:space="0" w:color="auto"/>
      </w:divBdr>
    </w:div>
    <w:div w:id="1835993342">
      <w:bodyDiv w:val="1"/>
      <w:marLeft w:val="0"/>
      <w:marRight w:val="0"/>
      <w:marTop w:val="0"/>
      <w:marBottom w:val="0"/>
      <w:divBdr>
        <w:top w:val="none" w:sz="0" w:space="0" w:color="auto"/>
        <w:left w:val="none" w:sz="0" w:space="0" w:color="auto"/>
        <w:bottom w:val="none" w:sz="0" w:space="0" w:color="auto"/>
        <w:right w:val="none" w:sz="0" w:space="0" w:color="auto"/>
      </w:divBdr>
      <w:divsChild>
        <w:div w:id="180248255">
          <w:marLeft w:val="0"/>
          <w:marRight w:val="0"/>
          <w:marTop w:val="0"/>
          <w:marBottom w:val="0"/>
          <w:divBdr>
            <w:top w:val="none" w:sz="0" w:space="0" w:color="auto"/>
            <w:left w:val="none" w:sz="0" w:space="0" w:color="auto"/>
            <w:bottom w:val="none" w:sz="0" w:space="0" w:color="auto"/>
            <w:right w:val="none" w:sz="0" w:space="0" w:color="auto"/>
          </w:divBdr>
        </w:div>
        <w:div w:id="325593324">
          <w:marLeft w:val="0"/>
          <w:marRight w:val="0"/>
          <w:marTop w:val="0"/>
          <w:marBottom w:val="0"/>
          <w:divBdr>
            <w:top w:val="none" w:sz="0" w:space="0" w:color="auto"/>
            <w:left w:val="none" w:sz="0" w:space="0" w:color="auto"/>
            <w:bottom w:val="none" w:sz="0" w:space="0" w:color="auto"/>
            <w:right w:val="none" w:sz="0" w:space="0" w:color="auto"/>
          </w:divBdr>
        </w:div>
        <w:div w:id="663163537">
          <w:marLeft w:val="0"/>
          <w:marRight w:val="0"/>
          <w:marTop w:val="0"/>
          <w:marBottom w:val="0"/>
          <w:divBdr>
            <w:top w:val="none" w:sz="0" w:space="0" w:color="auto"/>
            <w:left w:val="none" w:sz="0" w:space="0" w:color="auto"/>
            <w:bottom w:val="none" w:sz="0" w:space="0" w:color="auto"/>
            <w:right w:val="none" w:sz="0" w:space="0" w:color="auto"/>
          </w:divBdr>
        </w:div>
        <w:div w:id="730930894">
          <w:marLeft w:val="0"/>
          <w:marRight w:val="0"/>
          <w:marTop w:val="0"/>
          <w:marBottom w:val="0"/>
          <w:divBdr>
            <w:top w:val="none" w:sz="0" w:space="0" w:color="auto"/>
            <w:left w:val="none" w:sz="0" w:space="0" w:color="auto"/>
            <w:bottom w:val="none" w:sz="0" w:space="0" w:color="auto"/>
            <w:right w:val="none" w:sz="0" w:space="0" w:color="auto"/>
          </w:divBdr>
        </w:div>
        <w:div w:id="1083453349">
          <w:marLeft w:val="0"/>
          <w:marRight w:val="0"/>
          <w:marTop w:val="0"/>
          <w:marBottom w:val="0"/>
          <w:divBdr>
            <w:top w:val="none" w:sz="0" w:space="0" w:color="auto"/>
            <w:left w:val="none" w:sz="0" w:space="0" w:color="auto"/>
            <w:bottom w:val="none" w:sz="0" w:space="0" w:color="auto"/>
            <w:right w:val="none" w:sz="0" w:space="0" w:color="auto"/>
          </w:divBdr>
        </w:div>
        <w:div w:id="1392387783">
          <w:marLeft w:val="0"/>
          <w:marRight w:val="0"/>
          <w:marTop w:val="0"/>
          <w:marBottom w:val="0"/>
          <w:divBdr>
            <w:top w:val="none" w:sz="0" w:space="0" w:color="auto"/>
            <w:left w:val="none" w:sz="0" w:space="0" w:color="auto"/>
            <w:bottom w:val="none" w:sz="0" w:space="0" w:color="auto"/>
            <w:right w:val="none" w:sz="0" w:space="0" w:color="auto"/>
          </w:divBdr>
        </w:div>
        <w:div w:id="1434395123">
          <w:marLeft w:val="0"/>
          <w:marRight w:val="0"/>
          <w:marTop w:val="0"/>
          <w:marBottom w:val="0"/>
          <w:divBdr>
            <w:top w:val="none" w:sz="0" w:space="0" w:color="auto"/>
            <w:left w:val="none" w:sz="0" w:space="0" w:color="auto"/>
            <w:bottom w:val="none" w:sz="0" w:space="0" w:color="auto"/>
            <w:right w:val="none" w:sz="0" w:space="0" w:color="auto"/>
          </w:divBdr>
        </w:div>
        <w:div w:id="1618246534">
          <w:marLeft w:val="0"/>
          <w:marRight w:val="0"/>
          <w:marTop w:val="0"/>
          <w:marBottom w:val="0"/>
          <w:divBdr>
            <w:top w:val="none" w:sz="0" w:space="0" w:color="auto"/>
            <w:left w:val="none" w:sz="0" w:space="0" w:color="auto"/>
            <w:bottom w:val="none" w:sz="0" w:space="0" w:color="auto"/>
            <w:right w:val="none" w:sz="0" w:space="0" w:color="auto"/>
          </w:divBdr>
        </w:div>
        <w:div w:id="1920944902">
          <w:marLeft w:val="0"/>
          <w:marRight w:val="0"/>
          <w:marTop w:val="0"/>
          <w:marBottom w:val="0"/>
          <w:divBdr>
            <w:top w:val="none" w:sz="0" w:space="0" w:color="auto"/>
            <w:left w:val="none" w:sz="0" w:space="0" w:color="auto"/>
            <w:bottom w:val="none" w:sz="0" w:space="0" w:color="auto"/>
            <w:right w:val="none" w:sz="0" w:space="0" w:color="auto"/>
          </w:divBdr>
        </w:div>
        <w:div w:id="2058312557">
          <w:marLeft w:val="0"/>
          <w:marRight w:val="0"/>
          <w:marTop w:val="0"/>
          <w:marBottom w:val="0"/>
          <w:divBdr>
            <w:top w:val="none" w:sz="0" w:space="0" w:color="auto"/>
            <w:left w:val="none" w:sz="0" w:space="0" w:color="auto"/>
            <w:bottom w:val="none" w:sz="0" w:space="0" w:color="auto"/>
            <w:right w:val="none" w:sz="0" w:space="0" w:color="auto"/>
          </w:divBdr>
        </w:div>
      </w:divsChild>
    </w:div>
    <w:div w:id="1905405330">
      <w:bodyDiv w:val="1"/>
      <w:marLeft w:val="0"/>
      <w:marRight w:val="0"/>
      <w:marTop w:val="0"/>
      <w:marBottom w:val="0"/>
      <w:divBdr>
        <w:top w:val="none" w:sz="0" w:space="0" w:color="auto"/>
        <w:left w:val="none" w:sz="0" w:space="0" w:color="auto"/>
        <w:bottom w:val="none" w:sz="0" w:space="0" w:color="auto"/>
        <w:right w:val="none" w:sz="0" w:space="0" w:color="auto"/>
      </w:divBdr>
    </w:div>
    <w:div w:id="2087264285">
      <w:bodyDiv w:val="1"/>
      <w:marLeft w:val="0"/>
      <w:marRight w:val="0"/>
      <w:marTop w:val="0"/>
      <w:marBottom w:val="0"/>
      <w:divBdr>
        <w:top w:val="none" w:sz="0" w:space="0" w:color="auto"/>
        <w:left w:val="none" w:sz="0" w:space="0" w:color="auto"/>
        <w:bottom w:val="none" w:sz="0" w:space="0" w:color="auto"/>
        <w:right w:val="none" w:sz="0" w:space="0" w:color="auto"/>
      </w:divBdr>
    </w:div>
    <w:div w:id="209277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lls.org/content/nationalcontent/resourcecenter/freeeducationmaterials/lympho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C6B9E-C1CE-45DD-A330-44C34F7C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6507</Words>
  <Characters>38245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5.04 Bendamustine</vt:lpstr>
    </vt:vector>
  </TitlesOfParts>
  <LinksUpToDate>false</LinksUpToDate>
  <CharactersWithSpaces>44663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 Bendamustine</dc:title>
  <dc:creator/>
  <cp:lastModifiedBy/>
  <cp:revision>1</cp:revision>
  <dcterms:created xsi:type="dcterms:W3CDTF">2015-06-29T03:39:00Z</dcterms:created>
  <dcterms:modified xsi:type="dcterms:W3CDTF">2015-06-29T06:33:00Z</dcterms:modified>
</cp:coreProperties>
</file>