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919" w:rsidRDefault="009F1919" w:rsidP="009F1919">
      <w:pPr>
        <w:pStyle w:val="Header"/>
      </w:pPr>
    </w:p>
    <w:p w:rsidR="0078618A" w:rsidRPr="0078618A" w:rsidRDefault="0078618A" w:rsidP="0078618A">
      <w:pPr>
        <w:pStyle w:val="Title"/>
      </w:pPr>
      <w:bookmarkStart w:id="0" w:name="_Toc409610856"/>
      <w:r w:rsidRPr="0078618A">
        <w:t>5.03</w:t>
      </w:r>
      <w:r w:rsidRPr="0078618A">
        <w:tab/>
        <w:t>ASUNAPREVIR</w:t>
      </w:r>
    </w:p>
    <w:p w:rsidR="0078618A" w:rsidRDefault="00A13EF8" w:rsidP="0078618A">
      <w:pPr>
        <w:pStyle w:val="Heading1"/>
        <w:ind w:hanging="11"/>
        <w:rPr>
          <w:caps w:val="0"/>
          <w:sz w:val="28"/>
        </w:rPr>
      </w:pPr>
      <w:r>
        <w:rPr>
          <w:sz w:val="28"/>
        </w:rPr>
        <w:t xml:space="preserve"> </w:t>
      </w:r>
      <w:r>
        <w:rPr>
          <w:caps w:val="0"/>
          <w:sz w:val="28"/>
        </w:rPr>
        <w:t xml:space="preserve">100mg, </w:t>
      </w:r>
      <w:r w:rsidR="00A46419">
        <w:rPr>
          <w:caps w:val="0"/>
          <w:sz w:val="28"/>
        </w:rPr>
        <w:t>C</w:t>
      </w:r>
      <w:r w:rsidR="00A46419" w:rsidRPr="00791AB1">
        <w:rPr>
          <w:caps w:val="0"/>
          <w:sz w:val="28"/>
        </w:rPr>
        <w:t>apsule</w:t>
      </w:r>
      <w:r w:rsidR="0078618A">
        <w:rPr>
          <w:caps w:val="0"/>
          <w:sz w:val="28"/>
        </w:rPr>
        <w:t>;</w:t>
      </w:r>
    </w:p>
    <w:p w:rsidR="00A13EF8" w:rsidRPr="0078618A" w:rsidRDefault="0078618A" w:rsidP="0078618A">
      <w:pPr>
        <w:pStyle w:val="Heading1"/>
        <w:ind w:hanging="11"/>
        <w:rPr>
          <w:sz w:val="28"/>
        </w:rPr>
      </w:pPr>
      <w:r>
        <w:rPr>
          <w:caps w:val="0"/>
          <w:sz w:val="28"/>
        </w:rPr>
        <w:t xml:space="preserve"> </w:t>
      </w:r>
      <w:r w:rsidR="00A13EF8" w:rsidRPr="00791AB1">
        <w:rPr>
          <w:caps w:val="0"/>
          <w:sz w:val="28"/>
        </w:rPr>
        <w:t>Sunvepra</w:t>
      </w:r>
      <w:r w:rsidR="00A13EF8" w:rsidRPr="00207D00">
        <w:rPr>
          <w:sz w:val="28"/>
          <w:vertAlign w:val="superscript"/>
        </w:rPr>
        <w:t>®</w:t>
      </w:r>
      <w:r>
        <w:rPr>
          <w:sz w:val="28"/>
        </w:rPr>
        <w:t xml:space="preserve">; </w:t>
      </w:r>
      <w:r w:rsidR="00A13EF8" w:rsidRPr="00791AB1">
        <w:rPr>
          <w:caps w:val="0"/>
          <w:sz w:val="28"/>
        </w:rPr>
        <w:t>Bristol-Myers Squibb</w:t>
      </w:r>
      <w:bookmarkEnd w:id="0"/>
    </w:p>
    <w:p w:rsidR="00AA4467" w:rsidRDefault="00AA4467" w:rsidP="00760EA5"/>
    <w:p w:rsidR="00760EA5" w:rsidRPr="00407F2D" w:rsidRDefault="00760EA5" w:rsidP="00BA53D4">
      <w:pPr>
        <w:pStyle w:val="PBACHeading1"/>
        <w:numPr>
          <w:ilvl w:val="0"/>
          <w:numId w:val="5"/>
        </w:numPr>
      </w:pPr>
      <w:bookmarkStart w:id="1" w:name="_Toc409610875"/>
      <w:r w:rsidRPr="00407F2D">
        <w:t>Purpose of Application</w:t>
      </w:r>
      <w:bookmarkEnd w:id="1"/>
    </w:p>
    <w:p w:rsidR="00760EA5" w:rsidRPr="00882085" w:rsidRDefault="00760EA5" w:rsidP="00760EA5">
      <w:pPr>
        <w:rPr>
          <w:szCs w:val="22"/>
        </w:rPr>
      </w:pPr>
    </w:p>
    <w:p w:rsidR="000630BC" w:rsidRPr="00270697" w:rsidRDefault="00774FE5" w:rsidP="00270697">
      <w:pPr>
        <w:pStyle w:val="ListParagraph"/>
        <w:widowControl/>
        <w:numPr>
          <w:ilvl w:val="1"/>
          <w:numId w:val="1"/>
        </w:numPr>
        <w:rPr>
          <w:szCs w:val="22"/>
        </w:rPr>
      </w:pPr>
      <w:r>
        <w:t>The submission requested</w:t>
      </w:r>
      <w:r w:rsidR="00760EA5">
        <w:t xml:space="preserve"> a </w:t>
      </w:r>
      <w:r w:rsidR="00760EA5" w:rsidRPr="004B3DDB">
        <w:t xml:space="preserve">Section </w:t>
      </w:r>
      <w:r w:rsidR="00760EA5">
        <w:t xml:space="preserve">85 </w:t>
      </w:r>
      <w:r w:rsidR="00760EA5" w:rsidRPr="004B3DDB">
        <w:t>Authority Required</w:t>
      </w:r>
      <w:r w:rsidR="00760EA5">
        <w:t xml:space="preserve"> (STREAMLINED) </w:t>
      </w:r>
      <w:r w:rsidR="00760EA5" w:rsidRPr="004B3DDB">
        <w:t xml:space="preserve">listing for </w:t>
      </w:r>
      <w:r w:rsidR="000570F8">
        <w:t xml:space="preserve">both </w:t>
      </w:r>
      <w:r w:rsidR="00760EA5">
        <w:t>daclatasvir</w:t>
      </w:r>
      <w:r>
        <w:t xml:space="preserve"> (DCV)</w:t>
      </w:r>
      <w:r w:rsidR="00760EA5">
        <w:t xml:space="preserve"> </w:t>
      </w:r>
      <w:r w:rsidR="000570F8">
        <w:t xml:space="preserve">and asunaprevir </w:t>
      </w:r>
      <w:r w:rsidR="007747E7">
        <w:t xml:space="preserve">(ASV) </w:t>
      </w:r>
      <w:r w:rsidR="000570F8">
        <w:t xml:space="preserve">(used in combination) </w:t>
      </w:r>
      <w:r w:rsidR="00760EA5" w:rsidRPr="004B3DDB">
        <w:t xml:space="preserve">for </w:t>
      </w:r>
      <w:r w:rsidR="007958A8">
        <w:t xml:space="preserve">the </w:t>
      </w:r>
      <w:r w:rsidR="00760EA5" w:rsidRPr="004B3DDB">
        <w:t xml:space="preserve">treatment of </w:t>
      </w:r>
      <w:r w:rsidR="007958A8">
        <w:t xml:space="preserve">chronic </w:t>
      </w:r>
      <w:r w:rsidR="00787EBE">
        <w:t>Hepatitis C Virus (HCV)</w:t>
      </w:r>
      <w:r w:rsidR="00760EA5">
        <w:t xml:space="preserve"> infection</w:t>
      </w:r>
      <w:r w:rsidR="00760EA5" w:rsidRPr="004B3DDB">
        <w:t>.</w:t>
      </w:r>
    </w:p>
    <w:p w:rsidR="00760EA5" w:rsidRPr="00882085" w:rsidRDefault="00760EA5" w:rsidP="00760EA5"/>
    <w:p w:rsidR="00760EA5" w:rsidRDefault="00760EA5" w:rsidP="00760EA5">
      <w:pPr>
        <w:pStyle w:val="PBACHeading1"/>
      </w:pPr>
      <w:bookmarkStart w:id="2" w:name="_Toc409610876"/>
      <w:r w:rsidRPr="00407F2D">
        <w:t>Requested listing</w:t>
      </w:r>
      <w:bookmarkEnd w:id="2"/>
    </w:p>
    <w:p w:rsidR="00A04930" w:rsidRPr="00407F2D" w:rsidRDefault="00A04930" w:rsidP="00A04930">
      <w:pPr>
        <w:pStyle w:val="PBACHeading1"/>
        <w:numPr>
          <w:ilvl w:val="0"/>
          <w:numId w:val="0"/>
        </w:numPr>
        <w:ind w:left="720"/>
      </w:pPr>
    </w:p>
    <w:p w:rsidR="00A04930" w:rsidRPr="00882085" w:rsidRDefault="00A04930" w:rsidP="00A04930">
      <w:pPr>
        <w:pStyle w:val="ListParagraph"/>
        <w:widowControl/>
      </w:pPr>
    </w:p>
    <w:p w:rsidR="00760EA5" w:rsidRDefault="00760EA5" w:rsidP="00BA53D4">
      <w:pPr>
        <w:pStyle w:val="ListParagraph"/>
        <w:widowControl/>
        <w:numPr>
          <w:ilvl w:val="1"/>
          <w:numId w:val="1"/>
        </w:numPr>
        <w:rPr>
          <w:szCs w:val="22"/>
        </w:rPr>
      </w:pPr>
      <w:r>
        <w:rPr>
          <w:szCs w:val="22"/>
        </w:rPr>
        <w:t xml:space="preserve">The requested listing </w:t>
      </w:r>
      <w:r w:rsidR="00687229">
        <w:rPr>
          <w:szCs w:val="22"/>
        </w:rPr>
        <w:t xml:space="preserve">for asunaprevir </w:t>
      </w:r>
      <w:r w:rsidR="00774FE5">
        <w:rPr>
          <w:szCs w:val="22"/>
        </w:rPr>
        <w:t>wa</w:t>
      </w:r>
      <w:r>
        <w:rPr>
          <w:szCs w:val="22"/>
        </w:rPr>
        <w:t>s:</w:t>
      </w:r>
    </w:p>
    <w:tbl>
      <w:tblPr>
        <w:tblW w:w="4584" w:type="pct"/>
        <w:tblInd w:w="755" w:type="dxa"/>
        <w:tblCellMar>
          <w:left w:w="28" w:type="dxa"/>
          <w:right w:w="28" w:type="dxa"/>
        </w:tblCellMar>
        <w:tblLook w:val="0000" w:firstRow="0" w:lastRow="0" w:firstColumn="0" w:lastColumn="0" w:noHBand="0" w:noVBand="0"/>
      </w:tblPr>
      <w:tblGrid>
        <w:gridCol w:w="1594"/>
        <w:gridCol w:w="1119"/>
        <w:gridCol w:w="603"/>
        <w:gridCol w:w="904"/>
        <w:gridCol w:w="1813"/>
        <w:gridCol w:w="934"/>
        <w:gridCol w:w="1359"/>
      </w:tblGrid>
      <w:tr w:rsidR="00687229" w:rsidRPr="00A939CD" w:rsidTr="00CC1B6C">
        <w:trPr>
          <w:cantSplit/>
          <w:trHeight w:val="471"/>
        </w:trPr>
        <w:tc>
          <w:tcPr>
            <w:tcW w:w="1629" w:type="pct"/>
            <w:gridSpan w:val="2"/>
            <w:tcBorders>
              <w:bottom w:val="single" w:sz="4" w:space="0" w:color="auto"/>
            </w:tcBorders>
          </w:tcPr>
          <w:p w:rsidR="00687229" w:rsidRDefault="00687229" w:rsidP="009009ED">
            <w:pPr>
              <w:keepNext/>
              <w:rPr>
                <w:sz w:val="20"/>
              </w:rPr>
            </w:pPr>
            <w:r>
              <w:rPr>
                <w:sz w:val="20"/>
              </w:rPr>
              <w:t>Name, Restriction,</w:t>
            </w:r>
          </w:p>
          <w:p w:rsidR="00687229" w:rsidRDefault="00687229" w:rsidP="009009ED">
            <w:pPr>
              <w:keepNext/>
              <w:rPr>
                <w:sz w:val="20"/>
              </w:rPr>
            </w:pPr>
            <w:r>
              <w:rPr>
                <w:sz w:val="20"/>
              </w:rPr>
              <w:t>Manner of administration and form</w:t>
            </w:r>
          </w:p>
        </w:tc>
        <w:tc>
          <w:tcPr>
            <w:tcW w:w="362" w:type="pct"/>
            <w:tcBorders>
              <w:bottom w:val="single" w:sz="4" w:space="0" w:color="auto"/>
            </w:tcBorders>
          </w:tcPr>
          <w:p w:rsidR="00687229" w:rsidRDefault="00687229" w:rsidP="009009ED">
            <w:pPr>
              <w:keepNext/>
              <w:jc w:val="center"/>
              <w:rPr>
                <w:sz w:val="20"/>
              </w:rPr>
            </w:pPr>
            <w:r>
              <w:rPr>
                <w:sz w:val="20"/>
              </w:rPr>
              <w:t>Max.</w:t>
            </w:r>
          </w:p>
          <w:p w:rsidR="00687229" w:rsidRDefault="00687229" w:rsidP="009009ED">
            <w:pPr>
              <w:keepNext/>
              <w:jc w:val="center"/>
              <w:rPr>
                <w:sz w:val="20"/>
              </w:rPr>
            </w:pPr>
            <w:r>
              <w:rPr>
                <w:sz w:val="20"/>
              </w:rPr>
              <w:t>Qty</w:t>
            </w:r>
          </w:p>
        </w:tc>
        <w:tc>
          <w:tcPr>
            <w:tcW w:w="543" w:type="pct"/>
            <w:tcBorders>
              <w:bottom w:val="single" w:sz="4" w:space="0" w:color="auto"/>
            </w:tcBorders>
          </w:tcPr>
          <w:p w:rsidR="00687229" w:rsidRDefault="00687229" w:rsidP="009009ED">
            <w:pPr>
              <w:keepNext/>
              <w:jc w:val="center"/>
              <w:rPr>
                <w:sz w:val="20"/>
              </w:rPr>
            </w:pPr>
            <w:r>
              <w:rPr>
                <w:sz w:val="20"/>
              </w:rPr>
              <w:t>№.of</w:t>
            </w:r>
          </w:p>
          <w:p w:rsidR="00687229" w:rsidRDefault="00687229" w:rsidP="009009ED">
            <w:pPr>
              <w:keepNext/>
              <w:jc w:val="center"/>
              <w:rPr>
                <w:sz w:val="20"/>
              </w:rPr>
            </w:pPr>
            <w:r>
              <w:rPr>
                <w:sz w:val="20"/>
              </w:rPr>
              <w:t>Rpts</w:t>
            </w:r>
          </w:p>
        </w:tc>
        <w:tc>
          <w:tcPr>
            <w:tcW w:w="1089" w:type="pct"/>
            <w:tcBorders>
              <w:bottom w:val="single" w:sz="4" w:space="0" w:color="auto"/>
            </w:tcBorders>
          </w:tcPr>
          <w:p w:rsidR="00687229" w:rsidRDefault="00687229" w:rsidP="009009ED">
            <w:pPr>
              <w:keepNext/>
              <w:jc w:val="center"/>
              <w:rPr>
                <w:sz w:val="20"/>
              </w:rPr>
            </w:pPr>
            <w:r>
              <w:rPr>
                <w:sz w:val="20"/>
              </w:rPr>
              <w:t>Dispensed Price for Max. Qty</w:t>
            </w:r>
          </w:p>
        </w:tc>
        <w:tc>
          <w:tcPr>
            <w:tcW w:w="1377" w:type="pct"/>
            <w:gridSpan w:val="2"/>
            <w:tcBorders>
              <w:bottom w:val="single" w:sz="4" w:space="0" w:color="auto"/>
            </w:tcBorders>
          </w:tcPr>
          <w:p w:rsidR="00687229" w:rsidRDefault="00687229" w:rsidP="009009ED">
            <w:pPr>
              <w:keepNext/>
              <w:jc w:val="center"/>
              <w:rPr>
                <w:sz w:val="20"/>
                <w:lang w:val="fr-FR"/>
              </w:rPr>
            </w:pPr>
            <w:r>
              <w:rPr>
                <w:sz w:val="20"/>
              </w:rPr>
              <w:t>Proprietary Name and Manufacturer</w:t>
            </w:r>
          </w:p>
        </w:tc>
      </w:tr>
      <w:tr w:rsidR="00687229" w:rsidRPr="00A939CD" w:rsidTr="00CC1B6C">
        <w:trPr>
          <w:cantSplit/>
          <w:trHeight w:val="577"/>
        </w:trPr>
        <w:tc>
          <w:tcPr>
            <w:tcW w:w="1629" w:type="pct"/>
            <w:gridSpan w:val="2"/>
          </w:tcPr>
          <w:p w:rsidR="00687229" w:rsidRDefault="00687229" w:rsidP="009009ED">
            <w:pPr>
              <w:keepNext/>
              <w:rPr>
                <w:sz w:val="20"/>
              </w:rPr>
            </w:pPr>
            <w:r>
              <w:rPr>
                <w:smallCaps/>
                <w:sz w:val="20"/>
              </w:rPr>
              <w:t xml:space="preserve">Asunaprevir </w:t>
            </w:r>
          </w:p>
          <w:p w:rsidR="00687229" w:rsidRDefault="00687229" w:rsidP="009009ED">
            <w:pPr>
              <w:keepNext/>
              <w:rPr>
                <w:sz w:val="20"/>
              </w:rPr>
            </w:pPr>
            <w:r>
              <w:rPr>
                <w:sz w:val="20"/>
              </w:rPr>
              <w:t>Capsule 100mg, 56</w:t>
            </w:r>
          </w:p>
        </w:tc>
        <w:tc>
          <w:tcPr>
            <w:tcW w:w="362" w:type="pct"/>
          </w:tcPr>
          <w:p w:rsidR="00687229" w:rsidRDefault="00687229" w:rsidP="009009ED">
            <w:pPr>
              <w:keepNext/>
              <w:jc w:val="center"/>
              <w:rPr>
                <w:sz w:val="20"/>
              </w:rPr>
            </w:pPr>
          </w:p>
          <w:p w:rsidR="00687229" w:rsidRDefault="00687229" w:rsidP="009009ED">
            <w:pPr>
              <w:keepNext/>
              <w:jc w:val="center"/>
              <w:rPr>
                <w:sz w:val="20"/>
              </w:rPr>
            </w:pPr>
            <w:r>
              <w:rPr>
                <w:sz w:val="20"/>
              </w:rPr>
              <w:t>3</w:t>
            </w:r>
          </w:p>
        </w:tc>
        <w:tc>
          <w:tcPr>
            <w:tcW w:w="543" w:type="pct"/>
          </w:tcPr>
          <w:p w:rsidR="00687229" w:rsidRDefault="00687229" w:rsidP="009009ED">
            <w:pPr>
              <w:keepNext/>
              <w:jc w:val="center"/>
              <w:rPr>
                <w:sz w:val="20"/>
              </w:rPr>
            </w:pPr>
          </w:p>
          <w:p w:rsidR="00687229" w:rsidRDefault="00687229" w:rsidP="009009ED">
            <w:pPr>
              <w:keepNext/>
              <w:jc w:val="center"/>
              <w:rPr>
                <w:sz w:val="20"/>
              </w:rPr>
            </w:pPr>
            <w:r>
              <w:rPr>
                <w:sz w:val="20"/>
              </w:rPr>
              <w:t>1</w:t>
            </w:r>
          </w:p>
        </w:tc>
        <w:tc>
          <w:tcPr>
            <w:tcW w:w="1089" w:type="pct"/>
          </w:tcPr>
          <w:p w:rsidR="00687229" w:rsidRDefault="00687229" w:rsidP="009009ED">
            <w:pPr>
              <w:keepNext/>
              <w:jc w:val="center"/>
              <w:rPr>
                <w:sz w:val="20"/>
              </w:rPr>
            </w:pPr>
          </w:p>
          <w:p w:rsidR="00687229" w:rsidRDefault="00687229" w:rsidP="009009ED">
            <w:pPr>
              <w:keepNext/>
              <w:jc w:val="center"/>
              <w:rPr>
                <w:sz w:val="20"/>
              </w:rPr>
            </w:pPr>
            <w:r>
              <w:rPr>
                <w:sz w:val="20"/>
              </w:rPr>
              <w:t>$</w:t>
            </w:r>
            <w:r w:rsidR="00A54692">
              <w:rPr>
                <w:noProof/>
                <w:color w:val="000000"/>
                <w:sz w:val="20"/>
                <w:highlight w:val="black"/>
              </w:rPr>
              <w:t>''''''''''''''''''''</w:t>
            </w:r>
          </w:p>
        </w:tc>
        <w:tc>
          <w:tcPr>
            <w:tcW w:w="561" w:type="pct"/>
          </w:tcPr>
          <w:p w:rsidR="00687229" w:rsidRDefault="00687229" w:rsidP="009009ED">
            <w:pPr>
              <w:keepNext/>
              <w:jc w:val="center"/>
              <w:rPr>
                <w:sz w:val="20"/>
              </w:rPr>
            </w:pPr>
            <w:r>
              <w:rPr>
                <w:sz w:val="20"/>
              </w:rPr>
              <w:t>Sunvepra</w:t>
            </w:r>
          </w:p>
        </w:tc>
        <w:tc>
          <w:tcPr>
            <w:tcW w:w="816" w:type="pct"/>
          </w:tcPr>
          <w:p w:rsidR="00687229" w:rsidRDefault="00687229" w:rsidP="009009ED">
            <w:pPr>
              <w:keepNext/>
              <w:jc w:val="center"/>
              <w:rPr>
                <w:sz w:val="20"/>
              </w:rPr>
            </w:pPr>
            <w:r>
              <w:rPr>
                <w:sz w:val="20"/>
              </w:rPr>
              <w:t>Bristol-Myers Squibb</w:t>
            </w:r>
          </w:p>
        </w:tc>
      </w:tr>
      <w:tr w:rsidR="00CC1B6C" w:rsidRPr="00731E48" w:rsidTr="00CC1B6C">
        <w:tblPrEx>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CC1B6C" w:rsidRPr="00731E48" w:rsidRDefault="00CC1B6C" w:rsidP="00AF2415">
            <w:pPr>
              <w:snapToGrid w:val="0"/>
              <w:spacing w:line="20" w:lineRule="atLeast"/>
              <w:rPr>
                <w:sz w:val="20"/>
                <w:lang w:eastAsia="en-AU"/>
              </w:rPr>
            </w:pPr>
            <w:r w:rsidRPr="00731E48">
              <w:rPr>
                <w:rFonts w:ascii="Arial Narrow" w:hAnsi="Arial Narrow"/>
                <w:b/>
                <w:bCs/>
                <w:sz w:val="20"/>
                <w:lang w:eastAsia="en-AU"/>
              </w:rPr>
              <w:t>Treatment phase:</w:t>
            </w:r>
          </w:p>
        </w:tc>
      </w:tr>
      <w:tr w:rsidR="00CC1B6C" w:rsidRPr="00731E48" w:rsidTr="00CC1B6C">
        <w:tblPrEx>
          <w:tblLook w:val="04A0" w:firstRow="1" w:lastRow="0" w:firstColumn="1" w:lastColumn="0" w:noHBand="0" w:noVBand="1"/>
        </w:tblPrEx>
        <w:trPr>
          <w:trHeight w:val="20"/>
        </w:trPr>
        <w:tc>
          <w:tcPr>
            <w:tcW w:w="957" w:type="pct"/>
            <w:tcBorders>
              <w:top w:val="single" w:sz="4" w:space="0" w:color="auto"/>
              <w:left w:val="single" w:sz="4" w:space="0" w:color="auto"/>
              <w:bottom w:val="single" w:sz="4" w:space="0" w:color="auto"/>
              <w:right w:val="single" w:sz="4" w:space="0" w:color="auto"/>
            </w:tcBorders>
            <w:hideMark/>
          </w:tcPr>
          <w:p w:rsidR="00CC1B6C" w:rsidRPr="00731E48" w:rsidRDefault="00CC1B6C" w:rsidP="00AF2415">
            <w:pPr>
              <w:snapToGrid w:val="0"/>
              <w:spacing w:line="20" w:lineRule="atLeast"/>
              <w:rPr>
                <w:sz w:val="20"/>
                <w:lang w:eastAsia="en-AU"/>
              </w:rPr>
            </w:pPr>
            <w:r w:rsidRPr="00731E48">
              <w:rPr>
                <w:rFonts w:ascii="Arial Narrow" w:hAnsi="Arial Narrow"/>
                <w:sz w:val="20"/>
                <w:lang w:eastAsia="en-AU"/>
              </w:rPr>
              <w:t>Condition</w:t>
            </w:r>
          </w:p>
        </w:tc>
        <w:tc>
          <w:tcPr>
            <w:tcW w:w="4043" w:type="pct"/>
            <w:gridSpan w:val="6"/>
            <w:tcBorders>
              <w:top w:val="single" w:sz="4" w:space="0" w:color="auto"/>
              <w:left w:val="single" w:sz="4" w:space="0" w:color="auto"/>
              <w:bottom w:val="single" w:sz="4" w:space="0" w:color="auto"/>
              <w:right w:val="single" w:sz="4" w:space="0" w:color="auto"/>
            </w:tcBorders>
          </w:tcPr>
          <w:p w:rsidR="00CC1B6C" w:rsidRPr="00731E48" w:rsidRDefault="00CC1B6C" w:rsidP="00AF2415">
            <w:pPr>
              <w:snapToGrid w:val="0"/>
              <w:spacing w:line="20" w:lineRule="atLeast"/>
              <w:rPr>
                <w:rFonts w:ascii="Arial Narrow" w:hAnsi="Arial Narrow"/>
                <w:sz w:val="20"/>
                <w:lang w:eastAsia="en-AU"/>
              </w:rPr>
            </w:pPr>
            <w:r w:rsidRPr="00731E48">
              <w:rPr>
                <w:rFonts w:ascii="Arial Narrow" w:hAnsi="Arial Narrow"/>
                <w:sz w:val="20"/>
                <w:lang w:eastAsia="en-AU"/>
              </w:rPr>
              <w:t xml:space="preserve">Chronic </w:t>
            </w:r>
            <w:r>
              <w:rPr>
                <w:rFonts w:ascii="Arial Narrow" w:hAnsi="Arial Narrow"/>
                <w:sz w:val="20"/>
                <w:lang w:eastAsia="en-AU"/>
              </w:rPr>
              <w:t xml:space="preserve">genotype 1b </w:t>
            </w:r>
            <w:r w:rsidRPr="00731E48">
              <w:rPr>
                <w:rFonts w:ascii="Arial Narrow" w:hAnsi="Arial Narrow"/>
                <w:sz w:val="20"/>
                <w:lang w:eastAsia="en-AU"/>
              </w:rPr>
              <w:t>hepatitis C infection</w:t>
            </w:r>
          </w:p>
        </w:tc>
      </w:tr>
      <w:tr w:rsidR="00CC1B6C" w:rsidRPr="00731E48" w:rsidTr="00CC1B6C">
        <w:tblPrEx>
          <w:tblLook w:val="04A0" w:firstRow="1" w:lastRow="0" w:firstColumn="1" w:lastColumn="0" w:noHBand="0" w:noVBand="1"/>
        </w:tblPrEx>
        <w:trPr>
          <w:trHeight w:val="20"/>
        </w:trPr>
        <w:tc>
          <w:tcPr>
            <w:tcW w:w="957" w:type="pct"/>
            <w:tcBorders>
              <w:top w:val="single" w:sz="4" w:space="0" w:color="auto"/>
              <w:left w:val="single" w:sz="4" w:space="0" w:color="auto"/>
              <w:bottom w:val="single" w:sz="4" w:space="0" w:color="auto"/>
              <w:right w:val="single" w:sz="4" w:space="0" w:color="auto"/>
            </w:tcBorders>
            <w:hideMark/>
          </w:tcPr>
          <w:p w:rsidR="00CC1B6C" w:rsidRPr="00731E48" w:rsidRDefault="00CC1B6C" w:rsidP="00AF2415">
            <w:pPr>
              <w:snapToGrid w:val="0"/>
              <w:spacing w:line="20" w:lineRule="atLeast"/>
              <w:rPr>
                <w:sz w:val="20"/>
                <w:lang w:eastAsia="en-AU"/>
              </w:rPr>
            </w:pPr>
            <w:r w:rsidRPr="00731E48">
              <w:rPr>
                <w:rFonts w:ascii="Arial Narrow" w:hAnsi="Arial Narrow"/>
                <w:sz w:val="20"/>
                <w:lang w:eastAsia="en-AU"/>
              </w:rPr>
              <w:t>Restriction</w:t>
            </w:r>
          </w:p>
        </w:tc>
        <w:tc>
          <w:tcPr>
            <w:tcW w:w="4043" w:type="pct"/>
            <w:gridSpan w:val="6"/>
            <w:tcBorders>
              <w:top w:val="single" w:sz="4" w:space="0" w:color="auto"/>
              <w:left w:val="single" w:sz="4" w:space="0" w:color="auto"/>
              <w:bottom w:val="single" w:sz="4" w:space="0" w:color="auto"/>
              <w:right w:val="single" w:sz="4" w:space="0" w:color="auto"/>
            </w:tcBorders>
          </w:tcPr>
          <w:p w:rsidR="00CC1B6C" w:rsidRDefault="00CC1B6C" w:rsidP="00AF2415">
            <w:pPr>
              <w:snapToGrid w:val="0"/>
              <w:spacing w:line="20" w:lineRule="atLeast"/>
              <w:rPr>
                <w:rFonts w:ascii="Arial Narrow" w:hAnsi="Arial Narrow"/>
                <w:sz w:val="20"/>
                <w:lang w:eastAsia="en-AU"/>
              </w:rPr>
            </w:pPr>
            <w:r w:rsidRPr="00731E48">
              <w:rPr>
                <w:rFonts w:ascii="Arial Narrow" w:hAnsi="Arial Narrow"/>
                <w:sz w:val="20"/>
                <w:lang w:eastAsia="en-AU"/>
              </w:rPr>
              <w:t>Section 85 Au</w:t>
            </w:r>
            <w:r>
              <w:rPr>
                <w:rFonts w:ascii="Arial Narrow" w:hAnsi="Arial Narrow"/>
                <w:sz w:val="20"/>
                <w:lang w:eastAsia="en-AU"/>
              </w:rPr>
              <w:t>thority required (STREAMLINED)</w:t>
            </w:r>
          </w:p>
          <w:p w:rsidR="00CC1B6C" w:rsidRPr="00731E48" w:rsidRDefault="00CC1B6C" w:rsidP="00AF2415">
            <w:pPr>
              <w:snapToGrid w:val="0"/>
              <w:spacing w:line="20" w:lineRule="atLeast"/>
              <w:rPr>
                <w:rFonts w:ascii="Arial Narrow" w:hAnsi="Arial Narrow"/>
                <w:sz w:val="20"/>
                <w:lang w:eastAsia="en-AU"/>
              </w:rPr>
            </w:pPr>
            <w:r>
              <w:rPr>
                <w:rFonts w:ascii="Arial Narrow" w:hAnsi="Arial Narrow"/>
                <w:sz w:val="20"/>
                <w:lang w:eastAsia="en-AU"/>
              </w:rPr>
              <w:t>Chronic hepatitis C infection</w:t>
            </w:r>
          </w:p>
        </w:tc>
      </w:tr>
      <w:tr w:rsidR="00CC1B6C" w:rsidRPr="00731E48" w:rsidTr="00CC1B6C">
        <w:tblPrEx>
          <w:tblLook w:val="04A0" w:firstRow="1" w:lastRow="0" w:firstColumn="1" w:lastColumn="0" w:noHBand="0" w:noVBand="1"/>
        </w:tblPrEx>
        <w:trPr>
          <w:trHeight w:val="20"/>
        </w:trPr>
        <w:tc>
          <w:tcPr>
            <w:tcW w:w="957" w:type="pct"/>
            <w:tcBorders>
              <w:top w:val="single" w:sz="4" w:space="0" w:color="auto"/>
              <w:left w:val="single" w:sz="4" w:space="0" w:color="auto"/>
              <w:bottom w:val="single" w:sz="4" w:space="0" w:color="auto"/>
              <w:right w:val="single" w:sz="4" w:space="0" w:color="auto"/>
            </w:tcBorders>
            <w:hideMark/>
          </w:tcPr>
          <w:p w:rsidR="00CC1B6C" w:rsidRPr="00731E48" w:rsidRDefault="00CC1B6C" w:rsidP="00AF2415">
            <w:pPr>
              <w:snapToGrid w:val="0"/>
              <w:spacing w:line="20" w:lineRule="atLeast"/>
              <w:rPr>
                <w:sz w:val="20"/>
                <w:lang w:eastAsia="en-AU"/>
              </w:rPr>
            </w:pPr>
            <w:r w:rsidRPr="00731E48">
              <w:rPr>
                <w:rFonts w:ascii="Arial Narrow" w:hAnsi="Arial Narrow"/>
                <w:sz w:val="20"/>
                <w:lang w:eastAsia="en-AU"/>
              </w:rPr>
              <w:t>Treatment criteria</w:t>
            </w:r>
          </w:p>
        </w:tc>
        <w:tc>
          <w:tcPr>
            <w:tcW w:w="4043" w:type="pct"/>
            <w:gridSpan w:val="6"/>
            <w:tcBorders>
              <w:top w:val="single" w:sz="4" w:space="0" w:color="auto"/>
              <w:left w:val="single" w:sz="4" w:space="0" w:color="auto"/>
              <w:bottom w:val="single" w:sz="4" w:space="0" w:color="auto"/>
              <w:right w:val="single" w:sz="4" w:space="0" w:color="auto"/>
            </w:tcBorders>
          </w:tcPr>
          <w:p w:rsidR="00CC1B6C" w:rsidRPr="00731E48" w:rsidRDefault="00CC1B6C" w:rsidP="00AF2415">
            <w:pPr>
              <w:snapToGrid w:val="0"/>
              <w:spacing w:line="20" w:lineRule="atLeast"/>
              <w:rPr>
                <w:rFonts w:ascii="Arial Narrow" w:hAnsi="Arial Narrow"/>
                <w:sz w:val="20"/>
                <w:lang w:eastAsia="en-AU"/>
              </w:rPr>
            </w:pPr>
            <w:r>
              <w:rPr>
                <w:rFonts w:ascii="Arial Narrow" w:hAnsi="Arial Narrow"/>
                <w:sz w:val="20"/>
                <w:lang w:eastAsia="en-AU"/>
              </w:rPr>
              <w:t>Evidence of chronic genotype 1b hepatitis C infection (repeatedly anti-HCV positive, HCV RNA positive and genotype 1b positive) must be documented in the patient’s medical records.</w:t>
            </w:r>
          </w:p>
        </w:tc>
      </w:tr>
      <w:tr w:rsidR="00CC1B6C" w:rsidRPr="00731E48" w:rsidTr="00CC1B6C">
        <w:tblPrEx>
          <w:tblLook w:val="04A0" w:firstRow="1" w:lastRow="0" w:firstColumn="1" w:lastColumn="0" w:noHBand="0" w:noVBand="1"/>
        </w:tblPrEx>
        <w:trPr>
          <w:trHeight w:val="20"/>
        </w:trPr>
        <w:tc>
          <w:tcPr>
            <w:tcW w:w="957" w:type="pct"/>
            <w:tcBorders>
              <w:top w:val="single" w:sz="4" w:space="0" w:color="auto"/>
              <w:left w:val="single" w:sz="4" w:space="0" w:color="auto"/>
              <w:bottom w:val="single" w:sz="4" w:space="0" w:color="auto"/>
              <w:right w:val="single" w:sz="4" w:space="0" w:color="auto"/>
            </w:tcBorders>
            <w:hideMark/>
          </w:tcPr>
          <w:p w:rsidR="00CC1B6C" w:rsidRPr="00731E48" w:rsidRDefault="00CC1B6C" w:rsidP="00AF2415">
            <w:pPr>
              <w:snapToGrid w:val="0"/>
              <w:spacing w:line="20" w:lineRule="atLeast"/>
              <w:rPr>
                <w:sz w:val="20"/>
                <w:lang w:eastAsia="en-AU"/>
              </w:rPr>
            </w:pPr>
            <w:r w:rsidRPr="00731E48">
              <w:rPr>
                <w:rFonts w:ascii="Arial Narrow" w:hAnsi="Arial Narrow"/>
                <w:sz w:val="20"/>
                <w:lang w:eastAsia="en-AU"/>
              </w:rPr>
              <w:t>Clinical criteria</w:t>
            </w:r>
          </w:p>
        </w:tc>
        <w:tc>
          <w:tcPr>
            <w:tcW w:w="4043" w:type="pct"/>
            <w:gridSpan w:val="6"/>
            <w:tcBorders>
              <w:top w:val="single" w:sz="4" w:space="0" w:color="auto"/>
              <w:left w:val="single" w:sz="4" w:space="0" w:color="auto"/>
              <w:bottom w:val="single" w:sz="4" w:space="0" w:color="auto"/>
              <w:right w:val="single" w:sz="4" w:space="0" w:color="auto"/>
            </w:tcBorders>
          </w:tcPr>
          <w:p w:rsidR="00CC1B6C" w:rsidRDefault="00CC1B6C" w:rsidP="00AF2415">
            <w:pPr>
              <w:snapToGrid w:val="0"/>
              <w:spacing w:line="20" w:lineRule="atLeast"/>
              <w:rPr>
                <w:rFonts w:ascii="Arial Narrow" w:hAnsi="Arial Narrow"/>
                <w:sz w:val="20"/>
                <w:lang w:eastAsia="en-AU"/>
              </w:rPr>
            </w:pPr>
            <w:r>
              <w:rPr>
                <w:rFonts w:ascii="Arial Narrow" w:hAnsi="Arial Narrow"/>
                <w:sz w:val="20"/>
                <w:lang w:eastAsia="en-AU"/>
              </w:rPr>
              <w:t>Patient must have compensated liver disease,</w:t>
            </w:r>
          </w:p>
          <w:p w:rsidR="00CC1B6C" w:rsidRDefault="00CC1B6C" w:rsidP="00AF2415">
            <w:pPr>
              <w:snapToGrid w:val="0"/>
              <w:spacing w:line="20" w:lineRule="atLeast"/>
              <w:rPr>
                <w:rFonts w:ascii="Arial Narrow" w:hAnsi="Arial Narrow"/>
                <w:sz w:val="20"/>
                <w:lang w:eastAsia="en-AU"/>
              </w:rPr>
            </w:pPr>
            <w:r>
              <w:rPr>
                <w:rFonts w:ascii="Arial Narrow" w:hAnsi="Arial Narrow"/>
                <w:sz w:val="20"/>
                <w:lang w:eastAsia="en-AU"/>
              </w:rPr>
              <w:t>The treatment must be limited to a maximum duration of 24 weeks,</w:t>
            </w:r>
          </w:p>
          <w:p w:rsidR="00CC1B6C" w:rsidRPr="00731E48" w:rsidRDefault="00CC1B6C" w:rsidP="00AF2415">
            <w:pPr>
              <w:snapToGrid w:val="0"/>
              <w:spacing w:line="20" w:lineRule="atLeast"/>
              <w:rPr>
                <w:rFonts w:ascii="Arial Narrow" w:hAnsi="Arial Narrow"/>
                <w:sz w:val="20"/>
                <w:lang w:eastAsia="en-AU"/>
              </w:rPr>
            </w:pPr>
            <w:r>
              <w:rPr>
                <w:rFonts w:ascii="Arial Narrow" w:hAnsi="Arial Narrow"/>
                <w:sz w:val="20"/>
                <w:lang w:eastAsia="en-AU"/>
              </w:rPr>
              <w:t xml:space="preserve">The treatment must cease if the </w:t>
            </w:r>
            <w:r w:rsidRPr="00731E48">
              <w:rPr>
                <w:rFonts w:ascii="Arial Narrow" w:hAnsi="Arial Narrow"/>
                <w:sz w:val="20"/>
                <w:lang w:eastAsia="en-AU"/>
              </w:rPr>
              <w:t>results of an HCV RNA quantitative assay at Week 8 show that the plasma HCV RNA is greater than 1000IU/mL,</w:t>
            </w:r>
          </w:p>
          <w:p w:rsidR="00CC1B6C" w:rsidRPr="00731E48" w:rsidRDefault="00CC1B6C" w:rsidP="00AF2415">
            <w:pPr>
              <w:snapToGrid w:val="0"/>
              <w:spacing w:line="20" w:lineRule="atLeast"/>
              <w:rPr>
                <w:rFonts w:ascii="Arial Narrow" w:hAnsi="Arial Narrow"/>
                <w:sz w:val="20"/>
                <w:lang w:eastAsia="en-AU"/>
              </w:rPr>
            </w:pPr>
            <w:r w:rsidRPr="00731E48">
              <w:rPr>
                <w:rFonts w:ascii="Arial Narrow" w:hAnsi="Arial Narrow"/>
                <w:sz w:val="20"/>
                <w:lang w:eastAsia="en-AU"/>
              </w:rPr>
              <w:t xml:space="preserve">The treatment must be given with </w:t>
            </w:r>
            <w:r w:rsidR="00B23C2C">
              <w:rPr>
                <w:rFonts w:ascii="Arial Narrow" w:hAnsi="Arial Narrow"/>
                <w:sz w:val="20"/>
                <w:lang w:eastAsia="en-AU"/>
              </w:rPr>
              <w:t>da</w:t>
            </w:r>
            <w:r>
              <w:rPr>
                <w:rFonts w:ascii="Arial Narrow" w:hAnsi="Arial Narrow"/>
                <w:sz w:val="20"/>
                <w:lang w:eastAsia="en-AU"/>
              </w:rPr>
              <w:t>clatasvir</w:t>
            </w:r>
          </w:p>
        </w:tc>
      </w:tr>
      <w:tr w:rsidR="00CC1B6C" w:rsidRPr="00731E48" w:rsidTr="00CC1B6C">
        <w:tblPrEx>
          <w:tblLook w:val="04A0" w:firstRow="1" w:lastRow="0" w:firstColumn="1" w:lastColumn="0" w:noHBand="0" w:noVBand="1"/>
        </w:tblPrEx>
        <w:trPr>
          <w:trHeight w:val="20"/>
        </w:trPr>
        <w:tc>
          <w:tcPr>
            <w:tcW w:w="957" w:type="pct"/>
            <w:tcBorders>
              <w:top w:val="single" w:sz="4" w:space="0" w:color="auto"/>
              <w:left w:val="single" w:sz="4" w:space="0" w:color="auto"/>
              <w:bottom w:val="single" w:sz="4" w:space="0" w:color="auto"/>
              <w:right w:val="single" w:sz="4" w:space="0" w:color="auto"/>
            </w:tcBorders>
            <w:hideMark/>
          </w:tcPr>
          <w:p w:rsidR="00CC1B6C" w:rsidRPr="00731E48" w:rsidRDefault="00CC1B6C" w:rsidP="00AF2415">
            <w:pPr>
              <w:snapToGrid w:val="0"/>
              <w:spacing w:line="20" w:lineRule="atLeast"/>
              <w:rPr>
                <w:sz w:val="20"/>
                <w:lang w:eastAsia="en-AU"/>
              </w:rPr>
            </w:pPr>
            <w:r w:rsidRPr="00731E48">
              <w:rPr>
                <w:rFonts w:ascii="Arial Narrow" w:hAnsi="Arial Narrow"/>
                <w:sz w:val="20"/>
                <w:lang w:eastAsia="en-AU"/>
              </w:rPr>
              <w:t>Population criteria</w:t>
            </w:r>
          </w:p>
        </w:tc>
        <w:tc>
          <w:tcPr>
            <w:tcW w:w="4043" w:type="pct"/>
            <w:gridSpan w:val="6"/>
            <w:tcBorders>
              <w:top w:val="single" w:sz="4" w:space="0" w:color="auto"/>
              <w:left w:val="single" w:sz="4" w:space="0" w:color="auto"/>
              <w:bottom w:val="single" w:sz="4" w:space="0" w:color="auto"/>
              <w:right w:val="single" w:sz="4" w:space="0" w:color="auto"/>
            </w:tcBorders>
          </w:tcPr>
          <w:p w:rsidR="00CC1B6C" w:rsidRPr="00731E48" w:rsidRDefault="00CC1B6C" w:rsidP="00AF2415">
            <w:pPr>
              <w:adjustRightInd w:val="0"/>
              <w:spacing w:line="20" w:lineRule="atLeast"/>
              <w:rPr>
                <w:rFonts w:ascii="Arial Narrow" w:hAnsi="Arial Narrow"/>
                <w:color w:val="000000"/>
                <w:sz w:val="20"/>
                <w:lang w:eastAsia="en-AU"/>
              </w:rPr>
            </w:pPr>
            <w:r>
              <w:rPr>
                <w:rFonts w:ascii="Arial Narrow" w:hAnsi="Arial Narrow"/>
                <w:color w:val="000000"/>
                <w:sz w:val="20"/>
                <w:lang w:eastAsia="en-AU"/>
              </w:rPr>
              <w:t>Patient must be 18 years or older</w:t>
            </w:r>
          </w:p>
        </w:tc>
      </w:tr>
    </w:tbl>
    <w:p w:rsidR="00687229" w:rsidRDefault="00687229" w:rsidP="00687229">
      <w:pPr>
        <w:pStyle w:val="PBACHeading1"/>
        <w:numPr>
          <w:ilvl w:val="0"/>
          <w:numId w:val="0"/>
        </w:numPr>
        <w:ind w:left="720" w:hanging="720"/>
      </w:pPr>
    </w:p>
    <w:p w:rsidR="00D81195" w:rsidRDefault="00D81195" w:rsidP="00BA53D4">
      <w:pPr>
        <w:pStyle w:val="ListParagraph"/>
        <w:widowControl/>
        <w:numPr>
          <w:ilvl w:val="1"/>
          <w:numId w:val="1"/>
        </w:numPr>
        <w:rPr>
          <w:szCs w:val="22"/>
        </w:rPr>
      </w:pPr>
      <w:r w:rsidRPr="00D81195">
        <w:rPr>
          <w:szCs w:val="22"/>
        </w:rPr>
        <w:t>The proposed listing for daclatasvir when administered i</w:t>
      </w:r>
      <w:r w:rsidR="00774FE5">
        <w:rPr>
          <w:szCs w:val="22"/>
        </w:rPr>
        <w:t>n combination with asunaprevir wa</w:t>
      </w:r>
      <w:r w:rsidRPr="00D81195">
        <w:rPr>
          <w:szCs w:val="22"/>
        </w:rPr>
        <w:t>s:</w:t>
      </w:r>
    </w:p>
    <w:tbl>
      <w:tblPr>
        <w:tblW w:w="4584" w:type="pct"/>
        <w:tblInd w:w="756" w:type="dxa"/>
        <w:tblCellMar>
          <w:left w:w="28" w:type="dxa"/>
          <w:right w:w="28" w:type="dxa"/>
        </w:tblCellMar>
        <w:tblLook w:val="0000" w:firstRow="0" w:lastRow="0" w:firstColumn="0" w:lastColumn="0" w:noHBand="0" w:noVBand="0"/>
      </w:tblPr>
      <w:tblGrid>
        <w:gridCol w:w="1638"/>
        <w:gridCol w:w="1076"/>
        <w:gridCol w:w="603"/>
        <w:gridCol w:w="904"/>
        <w:gridCol w:w="1812"/>
        <w:gridCol w:w="934"/>
        <w:gridCol w:w="1359"/>
      </w:tblGrid>
      <w:tr w:rsidR="00D81195" w:rsidRPr="00A939CD" w:rsidTr="00D81195">
        <w:trPr>
          <w:cantSplit/>
          <w:trHeight w:val="471"/>
        </w:trPr>
        <w:tc>
          <w:tcPr>
            <w:tcW w:w="1630" w:type="pct"/>
            <w:gridSpan w:val="2"/>
            <w:tcBorders>
              <w:bottom w:val="single" w:sz="4" w:space="0" w:color="auto"/>
            </w:tcBorders>
          </w:tcPr>
          <w:p w:rsidR="00D81195" w:rsidRDefault="00D81195" w:rsidP="00AC3B09">
            <w:pPr>
              <w:keepNext/>
              <w:rPr>
                <w:sz w:val="20"/>
              </w:rPr>
            </w:pPr>
            <w:r>
              <w:rPr>
                <w:sz w:val="20"/>
              </w:rPr>
              <w:lastRenderedPageBreak/>
              <w:t>Name, Restriction,</w:t>
            </w:r>
          </w:p>
          <w:p w:rsidR="00D81195" w:rsidRDefault="00D81195" w:rsidP="00AC3B09">
            <w:pPr>
              <w:keepNext/>
              <w:rPr>
                <w:sz w:val="20"/>
              </w:rPr>
            </w:pPr>
            <w:r>
              <w:rPr>
                <w:sz w:val="20"/>
              </w:rPr>
              <w:t>Manner of administration and form</w:t>
            </w:r>
          </w:p>
        </w:tc>
        <w:tc>
          <w:tcPr>
            <w:tcW w:w="362" w:type="pct"/>
            <w:tcBorders>
              <w:bottom w:val="single" w:sz="4" w:space="0" w:color="auto"/>
            </w:tcBorders>
          </w:tcPr>
          <w:p w:rsidR="00D81195" w:rsidRDefault="00D81195" w:rsidP="00AC3B09">
            <w:pPr>
              <w:keepNext/>
              <w:jc w:val="center"/>
              <w:rPr>
                <w:sz w:val="20"/>
              </w:rPr>
            </w:pPr>
            <w:r>
              <w:rPr>
                <w:sz w:val="20"/>
              </w:rPr>
              <w:t>Max.</w:t>
            </w:r>
          </w:p>
          <w:p w:rsidR="00D81195" w:rsidRDefault="00D81195" w:rsidP="00AC3B09">
            <w:pPr>
              <w:keepNext/>
              <w:jc w:val="center"/>
              <w:rPr>
                <w:sz w:val="20"/>
              </w:rPr>
            </w:pPr>
            <w:r>
              <w:rPr>
                <w:sz w:val="20"/>
              </w:rPr>
              <w:t>Qty</w:t>
            </w:r>
          </w:p>
        </w:tc>
        <w:tc>
          <w:tcPr>
            <w:tcW w:w="543" w:type="pct"/>
            <w:tcBorders>
              <w:bottom w:val="single" w:sz="4" w:space="0" w:color="auto"/>
            </w:tcBorders>
          </w:tcPr>
          <w:p w:rsidR="00D81195" w:rsidRDefault="00D81195" w:rsidP="00AC3B09">
            <w:pPr>
              <w:keepNext/>
              <w:jc w:val="center"/>
              <w:rPr>
                <w:sz w:val="20"/>
              </w:rPr>
            </w:pPr>
            <w:r>
              <w:rPr>
                <w:sz w:val="20"/>
              </w:rPr>
              <w:t>№.of</w:t>
            </w:r>
          </w:p>
          <w:p w:rsidR="00D81195" w:rsidRDefault="00D81195" w:rsidP="00AC3B09">
            <w:pPr>
              <w:keepNext/>
              <w:jc w:val="center"/>
              <w:rPr>
                <w:sz w:val="20"/>
              </w:rPr>
            </w:pPr>
            <w:r>
              <w:rPr>
                <w:sz w:val="20"/>
              </w:rPr>
              <w:t>Rpts</w:t>
            </w:r>
          </w:p>
        </w:tc>
        <w:tc>
          <w:tcPr>
            <w:tcW w:w="1088" w:type="pct"/>
            <w:tcBorders>
              <w:bottom w:val="single" w:sz="4" w:space="0" w:color="auto"/>
            </w:tcBorders>
          </w:tcPr>
          <w:p w:rsidR="00D81195" w:rsidRPr="00A63426" w:rsidRDefault="00D81195" w:rsidP="00AC3B09">
            <w:pPr>
              <w:keepNext/>
              <w:jc w:val="center"/>
              <w:rPr>
                <w:sz w:val="20"/>
                <w:vertAlign w:val="superscript"/>
              </w:rPr>
            </w:pPr>
            <w:r>
              <w:rPr>
                <w:sz w:val="20"/>
              </w:rPr>
              <w:t>Dispensed Price for Max. Qty</w:t>
            </w:r>
          </w:p>
        </w:tc>
        <w:tc>
          <w:tcPr>
            <w:tcW w:w="1377" w:type="pct"/>
            <w:gridSpan w:val="2"/>
            <w:tcBorders>
              <w:bottom w:val="single" w:sz="4" w:space="0" w:color="auto"/>
            </w:tcBorders>
          </w:tcPr>
          <w:p w:rsidR="00D81195" w:rsidRDefault="00D81195" w:rsidP="00AC3B09">
            <w:pPr>
              <w:keepNext/>
              <w:jc w:val="center"/>
              <w:rPr>
                <w:sz w:val="20"/>
                <w:lang w:val="fr-FR"/>
              </w:rPr>
            </w:pPr>
            <w:r>
              <w:rPr>
                <w:sz w:val="20"/>
              </w:rPr>
              <w:t>Proprietary Name and Manufacturer</w:t>
            </w:r>
          </w:p>
        </w:tc>
      </w:tr>
      <w:tr w:rsidR="00D81195" w:rsidRPr="00A939CD" w:rsidTr="00D81195">
        <w:trPr>
          <w:cantSplit/>
          <w:trHeight w:val="577"/>
        </w:trPr>
        <w:tc>
          <w:tcPr>
            <w:tcW w:w="1630" w:type="pct"/>
            <w:gridSpan w:val="2"/>
          </w:tcPr>
          <w:p w:rsidR="00D81195" w:rsidRDefault="00D81195" w:rsidP="00AC3B09">
            <w:pPr>
              <w:keepNext/>
              <w:rPr>
                <w:sz w:val="20"/>
              </w:rPr>
            </w:pPr>
            <w:r>
              <w:rPr>
                <w:smallCaps/>
                <w:sz w:val="20"/>
              </w:rPr>
              <w:t>Daclatasvir</w:t>
            </w:r>
          </w:p>
          <w:p w:rsidR="00D81195" w:rsidRDefault="00D81195" w:rsidP="00AC3B09">
            <w:pPr>
              <w:keepNext/>
              <w:rPr>
                <w:sz w:val="20"/>
              </w:rPr>
            </w:pPr>
            <w:r>
              <w:rPr>
                <w:sz w:val="20"/>
              </w:rPr>
              <w:t>Tablet 60mg, 28</w:t>
            </w:r>
          </w:p>
        </w:tc>
        <w:tc>
          <w:tcPr>
            <w:tcW w:w="362" w:type="pct"/>
          </w:tcPr>
          <w:p w:rsidR="00D81195" w:rsidRDefault="00D81195" w:rsidP="00AC3B09">
            <w:pPr>
              <w:keepNext/>
              <w:jc w:val="center"/>
              <w:rPr>
                <w:sz w:val="20"/>
              </w:rPr>
            </w:pPr>
          </w:p>
          <w:p w:rsidR="00D81195" w:rsidRDefault="00D81195" w:rsidP="00AC3B09">
            <w:pPr>
              <w:keepNext/>
              <w:jc w:val="center"/>
              <w:rPr>
                <w:sz w:val="20"/>
              </w:rPr>
            </w:pPr>
            <w:r>
              <w:rPr>
                <w:sz w:val="20"/>
              </w:rPr>
              <w:t>3</w:t>
            </w:r>
          </w:p>
        </w:tc>
        <w:tc>
          <w:tcPr>
            <w:tcW w:w="543" w:type="pct"/>
          </w:tcPr>
          <w:p w:rsidR="00D81195" w:rsidRDefault="00D81195" w:rsidP="00AC3B09">
            <w:pPr>
              <w:keepNext/>
              <w:jc w:val="center"/>
              <w:rPr>
                <w:sz w:val="20"/>
              </w:rPr>
            </w:pPr>
          </w:p>
          <w:p w:rsidR="00D81195" w:rsidRDefault="00D81195" w:rsidP="00AC3B09">
            <w:pPr>
              <w:keepNext/>
              <w:jc w:val="center"/>
              <w:rPr>
                <w:sz w:val="20"/>
              </w:rPr>
            </w:pPr>
            <w:r>
              <w:rPr>
                <w:sz w:val="20"/>
              </w:rPr>
              <w:t>1</w:t>
            </w:r>
          </w:p>
        </w:tc>
        <w:tc>
          <w:tcPr>
            <w:tcW w:w="1088" w:type="pct"/>
          </w:tcPr>
          <w:p w:rsidR="00D81195" w:rsidRDefault="00D81195" w:rsidP="00AC3B09">
            <w:pPr>
              <w:keepNext/>
              <w:jc w:val="center"/>
              <w:rPr>
                <w:sz w:val="20"/>
              </w:rPr>
            </w:pPr>
          </w:p>
          <w:p w:rsidR="00D81195" w:rsidRDefault="00D81195" w:rsidP="00AC3B09">
            <w:pPr>
              <w:keepNext/>
              <w:jc w:val="center"/>
              <w:rPr>
                <w:sz w:val="20"/>
              </w:rPr>
            </w:pPr>
            <w:r w:rsidRPr="00A63426">
              <w:rPr>
                <w:sz w:val="20"/>
              </w:rPr>
              <w:t>$</w:t>
            </w:r>
            <w:r w:rsidR="00A54692">
              <w:rPr>
                <w:noProof/>
                <w:color w:val="000000"/>
                <w:sz w:val="20"/>
                <w:highlight w:val="black"/>
              </w:rPr>
              <w:t>''''''''''''''''''''''</w:t>
            </w:r>
          </w:p>
        </w:tc>
        <w:tc>
          <w:tcPr>
            <w:tcW w:w="561" w:type="pct"/>
          </w:tcPr>
          <w:p w:rsidR="00D81195" w:rsidRDefault="00D81195" w:rsidP="00AC3B09">
            <w:pPr>
              <w:keepNext/>
              <w:jc w:val="center"/>
              <w:rPr>
                <w:sz w:val="20"/>
              </w:rPr>
            </w:pPr>
            <w:r>
              <w:rPr>
                <w:sz w:val="20"/>
              </w:rPr>
              <w:t>Daklinza</w:t>
            </w:r>
          </w:p>
        </w:tc>
        <w:tc>
          <w:tcPr>
            <w:tcW w:w="816" w:type="pct"/>
          </w:tcPr>
          <w:p w:rsidR="00D81195" w:rsidRDefault="00D81195" w:rsidP="00AC3B09">
            <w:pPr>
              <w:keepNext/>
              <w:jc w:val="center"/>
              <w:rPr>
                <w:sz w:val="20"/>
              </w:rPr>
            </w:pPr>
            <w:r>
              <w:rPr>
                <w:sz w:val="20"/>
              </w:rPr>
              <w:t>Bristol-Myers Squibb</w:t>
            </w:r>
          </w:p>
        </w:tc>
      </w:tr>
      <w:tr w:rsidR="00D81195" w:rsidRPr="00731E48" w:rsidTr="00D81195">
        <w:tblPrEx>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D81195" w:rsidRPr="00731E48" w:rsidRDefault="00D81195" w:rsidP="006C1ABD">
            <w:pPr>
              <w:keepNext/>
              <w:keepLines/>
              <w:snapToGrid w:val="0"/>
              <w:spacing w:line="20" w:lineRule="atLeast"/>
              <w:rPr>
                <w:sz w:val="20"/>
                <w:lang w:eastAsia="en-AU"/>
              </w:rPr>
            </w:pPr>
            <w:r w:rsidRPr="00731E48">
              <w:rPr>
                <w:rFonts w:ascii="Arial Narrow" w:hAnsi="Arial Narrow"/>
                <w:b/>
                <w:bCs/>
                <w:sz w:val="20"/>
                <w:lang w:eastAsia="en-AU"/>
              </w:rPr>
              <w:t>Treatment phase:</w:t>
            </w:r>
          </w:p>
        </w:tc>
      </w:tr>
      <w:tr w:rsidR="00D81195" w:rsidRPr="00731E48" w:rsidTr="00D81195">
        <w:tblPrEx>
          <w:tblLook w:val="04A0" w:firstRow="1" w:lastRow="0" w:firstColumn="1" w:lastColumn="0" w:noHBand="0" w:noVBand="1"/>
        </w:tblPrEx>
        <w:trPr>
          <w:trHeight w:val="20"/>
        </w:trPr>
        <w:tc>
          <w:tcPr>
            <w:tcW w:w="984" w:type="pct"/>
            <w:tcBorders>
              <w:top w:val="single" w:sz="4" w:space="0" w:color="auto"/>
              <w:left w:val="single" w:sz="4" w:space="0" w:color="auto"/>
              <w:bottom w:val="single" w:sz="4" w:space="0" w:color="auto"/>
              <w:right w:val="single" w:sz="4" w:space="0" w:color="auto"/>
            </w:tcBorders>
            <w:hideMark/>
          </w:tcPr>
          <w:p w:rsidR="00D81195" w:rsidRPr="00731E48" w:rsidRDefault="00D81195" w:rsidP="006C1ABD">
            <w:pPr>
              <w:keepNext/>
              <w:keepLines/>
              <w:snapToGrid w:val="0"/>
              <w:spacing w:line="20" w:lineRule="atLeast"/>
              <w:rPr>
                <w:sz w:val="20"/>
                <w:lang w:eastAsia="en-AU"/>
              </w:rPr>
            </w:pPr>
            <w:r w:rsidRPr="00731E48">
              <w:rPr>
                <w:rFonts w:ascii="Arial Narrow" w:hAnsi="Arial Narrow"/>
                <w:sz w:val="20"/>
                <w:lang w:eastAsia="en-AU"/>
              </w:rPr>
              <w:t>Condition</w:t>
            </w:r>
          </w:p>
        </w:tc>
        <w:tc>
          <w:tcPr>
            <w:tcW w:w="4016" w:type="pct"/>
            <w:gridSpan w:val="6"/>
            <w:tcBorders>
              <w:top w:val="single" w:sz="4" w:space="0" w:color="auto"/>
              <w:left w:val="single" w:sz="4" w:space="0" w:color="auto"/>
              <w:bottom w:val="single" w:sz="4" w:space="0" w:color="auto"/>
              <w:right w:val="single" w:sz="4" w:space="0" w:color="auto"/>
            </w:tcBorders>
          </w:tcPr>
          <w:p w:rsidR="00D81195" w:rsidRPr="00731E48" w:rsidRDefault="00D81195" w:rsidP="006C1ABD">
            <w:pPr>
              <w:keepNext/>
              <w:keepLines/>
              <w:snapToGrid w:val="0"/>
              <w:spacing w:line="20" w:lineRule="atLeast"/>
              <w:rPr>
                <w:rFonts w:ascii="Arial Narrow" w:hAnsi="Arial Narrow"/>
                <w:sz w:val="20"/>
                <w:lang w:eastAsia="en-AU"/>
              </w:rPr>
            </w:pPr>
            <w:r w:rsidRPr="00731E48">
              <w:rPr>
                <w:rFonts w:ascii="Arial Narrow" w:hAnsi="Arial Narrow"/>
                <w:sz w:val="20"/>
                <w:lang w:eastAsia="en-AU"/>
              </w:rPr>
              <w:t>Chronic hepatitis C infection</w:t>
            </w:r>
          </w:p>
        </w:tc>
      </w:tr>
      <w:tr w:rsidR="00D81195" w:rsidRPr="00731E48" w:rsidTr="00D81195">
        <w:tblPrEx>
          <w:tblLook w:val="04A0" w:firstRow="1" w:lastRow="0" w:firstColumn="1" w:lastColumn="0" w:noHBand="0" w:noVBand="1"/>
        </w:tblPrEx>
        <w:trPr>
          <w:trHeight w:val="20"/>
        </w:trPr>
        <w:tc>
          <w:tcPr>
            <w:tcW w:w="984" w:type="pct"/>
            <w:tcBorders>
              <w:top w:val="single" w:sz="4" w:space="0" w:color="auto"/>
              <w:left w:val="single" w:sz="4" w:space="0" w:color="auto"/>
              <w:bottom w:val="single" w:sz="4" w:space="0" w:color="auto"/>
              <w:right w:val="single" w:sz="4" w:space="0" w:color="auto"/>
            </w:tcBorders>
            <w:hideMark/>
          </w:tcPr>
          <w:p w:rsidR="00D81195" w:rsidRPr="00731E48" w:rsidRDefault="00D81195" w:rsidP="006C1ABD">
            <w:pPr>
              <w:keepNext/>
              <w:keepLines/>
              <w:snapToGrid w:val="0"/>
              <w:spacing w:line="20" w:lineRule="atLeast"/>
              <w:rPr>
                <w:sz w:val="20"/>
                <w:lang w:eastAsia="en-AU"/>
              </w:rPr>
            </w:pPr>
            <w:r w:rsidRPr="00731E48">
              <w:rPr>
                <w:rFonts w:ascii="Arial Narrow" w:hAnsi="Arial Narrow"/>
                <w:sz w:val="20"/>
                <w:lang w:eastAsia="en-AU"/>
              </w:rPr>
              <w:t>Restriction</w:t>
            </w:r>
          </w:p>
        </w:tc>
        <w:tc>
          <w:tcPr>
            <w:tcW w:w="4016" w:type="pct"/>
            <w:gridSpan w:val="6"/>
            <w:tcBorders>
              <w:top w:val="single" w:sz="4" w:space="0" w:color="auto"/>
              <w:left w:val="single" w:sz="4" w:space="0" w:color="auto"/>
              <w:bottom w:val="single" w:sz="4" w:space="0" w:color="auto"/>
              <w:right w:val="single" w:sz="4" w:space="0" w:color="auto"/>
            </w:tcBorders>
          </w:tcPr>
          <w:p w:rsidR="00D81195" w:rsidRDefault="00D81195" w:rsidP="006C1ABD">
            <w:pPr>
              <w:keepNext/>
              <w:keepLines/>
              <w:snapToGrid w:val="0"/>
              <w:spacing w:line="20" w:lineRule="atLeast"/>
              <w:rPr>
                <w:rFonts w:ascii="Arial Narrow" w:hAnsi="Arial Narrow"/>
                <w:sz w:val="20"/>
                <w:lang w:eastAsia="en-AU"/>
              </w:rPr>
            </w:pPr>
            <w:r w:rsidRPr="00731E48">
              <w:rPr>
                <w:rFonts w:ascii="Arial Narrow" w:hAnsi="Arial Narrow"/>
                <w:sz w:val="20"/>
                <w:lang w:eastAsia="en-AU"/>
              </w:rPr>
              <w:t>Section 85 Au</w:t>
            </w:r>
            <w:r>
              <w:rPr>
                <w:rFonts w:ascii="Arial Narrow" w:hAnsi="Arial Narrow"/>
                <w:sz w:val="20"/>
                <w:lang w:eastAsia="en-AU"/>
              </w:rPr>
              <w:t>thority required (STREAMLINED)</w:t>
            </w:r>
          </w:p>
          <w:p w:rsidR="00D81195" w:rsidRPr="00731E48" w:rsidRDefault="00D81195" w:rsidP="006C1ABD">
            <w:pPr>
              <w:keepNext/>
              <w:keepLines/>
              <w:snapToGrid w:val="0"/>
              <w:spacing w:line="20" w:lineRule="atLeast"/>
              <w:rPr>
                <w:rFonts w:ascii="Arial Narrow" w:hAnsi="Arial Narrow"/>
                <w:sz w:val="20"/>
                <w:lang w:eastAsia="en-AU"/>
              </w:rPr>
            </w:pPr>
            <w:r>
              <w:rPr>
                <w:rFonts w:ascii="Arial Narrow" w:hAnsi="Arial Narrow"/>
                <w:sz w:val="20"/>
                <w:lang w:eastAsia="en-AU"/>
              </w:rPr>
              <w:t>Chronic hepatitis C infection</w:t>
            </w:r>
          </w:p>
        </w:tc>
      </w:tr>
      <w:tr w:rsidR="00D81195" w:rsidRPr="00731E48" w:rsidTr="00D81195">
        <w:tblPrEx>
          <w:tblLook w:val="04A0" w:firstRow="1" w:lastRow="0" w:firstColumn="1" w:lastColumn="0" w:noHBand="0" w:noVBand="1"/>
        </w:tblPrEx>
        <w:trPr>
          <w:trHeight w:val="20"/>
        </w:trPr>
        <w:tc>
          <w:tcPr>
            <w:tcW w:w="984" w:type="pct"/>
            <w:tcBorders>
              <w:top w:val="single" w:sz="4" w:space="0" w:color="auto"/>
              <w:left w:val="single" w:sz="4" w:space="0" w:color="auto"/>
              <w:bottom w:val="single" w:sz="4" w:space="0" w:color="auto"/>
              <w:right w:val="single" w:sz="4" w:space="0" w:color="auto"/>
            </w:tcBorders>
            <w:hideMark/>
          </w:tcPr>
          <w:p w:rsidR="00D81195" w:rsidRPr="00731E48" w:rsidRDefault="00D81195" w:rsidP="006C1ABD">
            <w:pPr>
              <w:keepNext/>
              <w:keepLines/>
              <w:snapToGrid w:val="0"/>
              <w:spacing w:line="20" w:lineRule="atLeast"/>
              <w:rPr>
                <w:sz w:val="20"/>
                <w:lang w:eastAsia="en-AU"/>
              </w:rPr>
            </w:pPr>
            <w:r w:rsidRPr="00731E48">
              <w:rPr>
                <w:rFonts w:ascii="Arial Narrow" w:hAnsi="Arial Narrow"/>
                <w:sz w:val="20"/>
                <w:lang w:eastAsia="en-AU"/>
              </w:rPr>
              <w:t>Treatment criteria</w:t>
            </w:r>
          </w:p>
        </w:tc>
        <w:tc>
          <w:tcPr>
            <w:tcW w:w="4016" w:type="pct"/>
            <w:gridSpan w:val="6"/>
            <w:tcBorders>
              <w:top w:val="single" w:sz="4" w:space="0" w:color="auto"/>
              <w:left w:val="single" w:sz="4" w:space="0" w:color="auto"/>
              <w:bottom w:val="single" w:sz="4" w:space="0" w:color="auto"/>
              <w:right w:val="single" w:sz="4" w:space="0" w:color="auto"/>
            </w:tcBorders>
          </w:tcPr>
          <w:p w:rsidR="00D81195" w:rsidRPr="00731E48" w:rsidRDefault="00D81195" w:rsidP="006C1ABD">
            <w:pPr>
              <w:keepNext/>
              <w:keepLines/>
              <w:snapToGrid w:val="0"/>
              <w:spacing w:line="20" w:lineRule="atLeast"/>
              <w:rPr>
                <w:rFonts w:ascii="Arial Narrow" w:hAnsi="Arial Narrow"/>
                <w:sz w:val="20"/>
                <w:lang w:eastAsia="en-AU"/>
              </w:rPr>
            </w:pPr>
            <w:r>
              <w:rPr>
                <w:rFonts w:ascii="Arial Narrow" w:hAnsi="Arial Narrow"/>
                <w:sz w:val="20"/>
                <w:lang w:eastAsia="en-AU"/>
              </w:rPr>
              <w:t>Evidence of chronic hepatitis C infection (repeatedly anti-HCV positive and HCV RNA positive) must be documented in the patient’s medical records.</w:t>
            </w:r>
          </w:p>
        </w:tc>
      </w:tr>
      <w:tr w:rsidR="00D81195" w:rsidRPr="00731E48" w:rsidTr="00D81195">
        <w:tblPrEx>
          <w:tblLook w:val="04A0" w:firstRow="1" w:lastRow="0" w:firstColumn="1" w:lastColumn="0" w:noHBand="0" w:noVBand="1"/>
        </w:tblPrEx>
        <w:trPr>
          <w:trHeight w:val="20"/>
        </w:trPr>
        <w:tc>
          <w:tcPr>
            <w:tcW w:w="984" w:type="pct"/>
            <w:tcBorders>
              <w:top w:val="single" w:sz="4" w:space="0" w:color="auto"/>
              <w:left w:val="single" w:sz="4" w:space="0" w:color="auto"/>
              <w:bottom w:val="single" w:sz="4" w:space="0" w:color="auto"/>
              <w:right w:val="single" w:sz="4" w:space="0" w:color="auto"/>
            </w:tcBorders>
            <w:hideMark/>
          </w:tcPr>
          <w:p w:rsidR="00D81195" w:rsidRPr="00731E48" w:rsidRDefault="00D81195" w:rsidP="006C1ABD">
            <w:pPr>
              <w:keepNext/>
              <w:keepLines/>
              <w:snapToGrid w:val="0"/>
              <w:spacing w:line="20" w:lineRule="atLeast"/>
              <w:rPr>
                <w:sz w:val="20"/>
                <w:lang w:eastAsia="en-AU"/>
              </w:rPr>
            </w:pPr>
            <w:r w:rsidRPr="00731E48">
              <w:rPr>
                <w:rFonts w:ascii="Arial Narrow" w:hAnsi="Arial Narrow"/>
                <w:sz w:val="20"/>
                <w:lang w:eastAsia="en-AU"/>
              </w:rPr>
              <w:t>Clinical criteria</w:t>
            </w:r>
          </w:p>
        </w:tc>
        <w:tc>
          <w:tcPr>
            <w:tcW w:w="4016" w:type="pct"/>
            <w:gridSpan w:val="6"/>
            <w:tcBorders>
              <w:top w:val="single" w:sz="4" w:space="0" w:color="auto"/>
              <w:left w:val="single" w:sz="4" w:space="0" w:color="auto"/>
              <w:bottom w:val="single" w:sz="4" w:space="0" w:color="auto"/>
              <w:right w:val="single" w:sz="4" w:space="0" w:color="auto"/>
            </w:tcBorders>
          </w:tcPr>
          <w:p w:rsidR="00D81195" w:rsidRDefault="00D81195" w:rsidP="006C1ABD">
            <w:pPr>
              <w:keepNext/>
              <w:keepLines/>
              <w:snapToGrid w:val="0"/>
              <w:spacing w:line="20" w:lineRule="atLeast"/>
              <w:rPr>
                <w:rFonts w:ascii="Arial Narrow" w:hAnsi="Arial Narrow"/>
                <w:sz w:val="20"/>
                <w:lang w:eastAsia="en-AU"/>
              </w:rPr>
            </w:pPr>
            <w:r>
              <w:rPr>
                <w:rFonts w:ascii="Arial Narrow" w:hAnsi="Arial Narrow"/>
                <w:sz w:val="20"/>
                <w:lang w:eastAsia="en-AU"/>
              </w:rPr>
              <w:t>Patient must have compensated liver disease,</w:t>
            </w:r>
          </w:p>
          <w:p w:rsidR="00D81195" w:rsidRDefault="00D81195" w:rsidP="006C1ABD">
            <w:pPr>
              <w:keepNext/>
              <w:keepLines/>
              <w:snapToGrid w:val="0"/>
              <w:spacing w:line="20" w:lineRule="atLeast"/>
              <w:rPr>
                <w:rFonts w:ascii="Arial Narrow" w:hAnsi="Arial Narrow"/>
                <w:sz w:val="20"/>
                <w:lang w:eastAsia="en-AU"/>
              </w:rPr>
            </w:pPr>
            <w:r>
              <w:rPr>
                <w:rFonts w:ascii="Arial Narrow" w:hAnsi="Arial Narrow"/>
                <w:sz w:val="20"/>
                <w:lang w:eastAsia="en-AU"/>
              </w:rPr>
              <w:t>The treatment must be limited to a maximum duration of 24 weeks,</w:t>
            </w:r>
          </w:p>
          <w:p w:rsidR="00D81195" w:rsidRPr="00731E48" w:rsidRDefault="00D81195" w:rsidP="006C1ABD">
            <w:pPr>
              <w:keepNext/>
              <w:keepLines/>
              <w:snapToGrid w:val="0"/>
              <w:spacing w:line="20" w:lineRule="atLeast"/>
              <w:rPr>
                <w:rFonts w:ascii="Arial Narrow" w:hAnsi="Arial Narrow"/>
                <w:sz w:val="20"/>
                <w:lang w:eastAsia="en-AU"/>
              </w:rPr>
            </w:pPr>
            <w:r>
              <w:rPr>
                <w:rFonts w:ascii="Arial Narrow" w:hAnsi="Arial Narrow"/>
                <w:sz w:val="20"/>
                <w:lang w:eastAsia="en-AU"/>
              </w:rPr>
              <w:t xml:space="preserve">The treatment must cease if the </w:t>
            </w:r>
            <w:r w:rsidRPr="00731E48">
              <w:rPr>
                <w:rFonts w:ascii="Arial Narrow" w:hAnsi="Arial Narrow"/>
                <w:sz w:val="20"/>
                <w:lang w:eastAsia="en-AU"/>
              </w:rPr>
              <w:t>results of an HCV RNA quantitative assay at Week 8 show that the plasma HCV RNA is greater than 1000IU/mL,</w:t>
            </w:r>
          </w:p>
          <w:p w:rsidR="00D81195" w:rsidRPr="00731E48" w:rsidRDefault="00D81195" w:rsidP="006C1ABD">
            <w:pPr>
              <w:keepNext/>
              <w:keepLines/>
              <w:snapToGrid w:val="0"/>
              <w:spacing w:line="20" w:lineRule="atLeast"/>
              <w:rPr>
                <w:rFonts w:ascii="Arial Narrow" w:hAnsi="Arial Narrow"/>
                <w:sz w:val="20"/>
                <w:lang w:eastAsia="en-AU"/>
              </w:rPr>
            </w:pPr>
            <w:r w:rsidRPr="00731E48">
              <w:rPr>
                <w:rFonts w:ascii="Arial Narrow" w:hAnsi="Arial Narrow"/>
                <w:sz w:val="20"/>
                <w:lang w:eastAsia="en-AU"/>
              </w:rPr>
              <w:t>The treatment must be given with asunaprevir (genotype 1b only) or sofosbuvir</w:t>
            </w:r>
          </w:p>
        </w:tc>
      </w:tr>
      <w:tr w:rsidR="00D81195" w:rsidRPr="00731E48" w:rsidTr="00D81195">
        <w:tblPrEx>
          <w:tblLook w:val="04A0" w:firstRow="1" w:lastRow="0" w:firstColumn="1" w:lastColumn="0" w:noHBand="0" w:noVBand="1"/>
        </w:tblPrEx>
        <w:trPr>
          <w:trHeight w:val="20"/>
        </w:trPr>
        <w:tc>
          <w:tcPr>
            <w:tcW w:w="984" w:type="pct"/>
            <w:tcBorders>
              <w:top w:val="single" w:sz="4" w:space="0" w:color="auto"/>
              <w:left w:val="single" w:sz="4" w:space="0" w:color="auto"/>
              <w:bottom w:val="single" w:sz="4" w:space="0" w:color="auto"/>
              <w:right w:val="single" w:sz="4" w:space="0" w:color="auto"/>
            </w:tcBorders>
            <w:hideMark/>
          </w:tcPr>
          <w:p w:rsidR="00D81195" w:rsidRPr="00731E48" w:rsidRDefault="00D81195" w:rsidP="006C1ABD">
            <w:pPr>
              <w:keepNext/>
              <w:keepLines/>
              <w:snapToGrid w:val="0"/>
              <w:spacing w:line="20" w:lineRule="atLeast"/>
              <w:rPr>
                <w:sz w:val="20"/>
                <w:lang w:eastAsia="en-AU"/>
              </w:rPr>
            </w:pPr>
            <w:r w:rsidRPr="00731E48">
              <w:rPr>
                <w:rFonts w:ascii="Arial Narrow" w:hAnsi="Arial Narrow"/>
                <w:sz w:val="20"/>
                <w:lang w:eastAsia="en-AU"/>
              </w:rPr>
              <w:t>Population criteria</w:t>
            </w:r>
          </w:p>
        </w:tc>
        <w:tc>
          <w:tcPr>
            <w:tcW w:w="4016" w:type="pct"/>
            <w:gridSpan w:val="6"/>
            <w:tcBorders>
              <w:top w:val="single" w:sz="4" w:space="0" w:color="auto"/>
              <w:left w:val="single" w:sz="4" w:space="0" w:color="auto"/>
              <w:bottom w:val="single" w:sz="4" w:space="0" w:color="auto"/>
              <w:right w:val="single" w:sz="4" w:space="0" w:color="auto"/>
            </w:tcBorders>
          </w:tcPr>
          <w:p w:rsidR="00D81195" w:rsidRPr="00731E48" w:rsidRDefault="00D81195" w:rsidP="006C1ABD">
            <w:pPr>
              <w:keepNext/>
              <w:keepLines/>
              <w:adjustRightInd w:val="0"/>
              <w:spacing w:line="20" w:lineRule="atLeast"/>
              <w:rPr>
                <w:rFonts w:ascii="Arial Narrow" w:hAnsi="Arial Narrow"/>
                <w:color w:val="000000"/>
                <w:sz w:val="20"/>
                <w:lang w:eastAsia="en-AU"/>
              </w:rPr>
            </w:pPr>
            <w:r>
              <w:rPr>
                <w:rFonts w:ascii="Arial Narrow" w:hAnsi="Arial Narrow"/>
                <w:color w:val="000000"/>
                <w:sz w:val="20"/>
                <w:lang w:eastAsia="en-AU"/>
              </w:rPr>
              <w:t>Patient must be 18 years or older</w:t>
            </w:r>
          </w:p>
        </w:tc>
      </w:tr>
    </w:tbl>
    <w:p w:rsidR="00A04930" w:rsidRPr="00BD7483" w:rsidRDefault="00A04930" w:rsidP="00BD7483">
      <w:pPr>
        <w:widowControl/>
        <w:rPr>
          <w:szCs w:val="22"/>
        </w:rPr>
      </w:pPr>
    </w:p>
    <w:p w:rsidR="00A04930" w:rsidRDefault="00A04930" w:rsidP="00A04930">
      <w:pPr>
        <w:pStyle w:val="ListParagraph"/>
        <w:widowControl/>
        <w:rPr>
          <w:szCs w:val="22"/>
        </w:rPr>
      </w:pPr>
    </w:p>
    <w:p w:rsidR="00774FE5" w:rsidRDefault="00774FE5" w:rsidP="001967EC">
      <w:pPr>
        <w:pStyle w:val="ListParagraph"/>
        <w:widowControl/>
        <w:numPr>
          <w:ilvl w:val="1"/>
          <w:numId w:val="1"/>
        </w:numPr>
        <w:rPr>
          <w:bCs/>
          <w:szCs w:val="22"/>
        </w:rPr>
      </w:pPr>
      <w:r w:rsidRPr="008E32A0">
        <w:rPr>
          <w:bCs/>
          <w:szCs w:val="22"/>
        </w:rPr>
        <w:t xml:space="preserve">The submission sought a Section 85 Authority Required (STREAMLINED) listing for both daclatasvir and asunaprevir. The current listings for the protease inhibitors are under the Section 100 Highly Specialised Drug Program. </w:t>
      </w:r>
    </w:p>
    <w:p w:rsidR="008E32A0" w:rsidRPr="008E32A0" w:rsidRDefault="008E32A0" w:rsidP="008E32A0">
      <w:pPr>
        <w:widowControl/>
        <w:rPr>
          <w:bCs/>
          <w:szCs w:val="22"/>
        </w:rPr>
      </w:pPr>
    </w:p>
    <w:p w:rsidR="008E32A0" w:rsidRDefault="00774FE5" w:rsidP="001967EC">
      <w:pPr>
        <w:pStyle w:val="ListParagraph"/>
        <w:widowControl/>
        <w:numPr>
          <w:ilvl w:val="1"/>
          <w:numId w:val="1"/>
        </w:numPr>
        <w:rPr>
          <w:bCs/>
          <w:szCs w:val="22"/>
        </w:rPr>
      </w:pPr>
      <w:r w:rsidRPr="008E32A0">
        <w:rPr>
          <w:bCs/>
          <w:szCs w:val="22"/>
        </w:rPr>
        <w:t>There was no mention in the proposed restriction of concomitant administration with peg</w:t>
      </w:r>
      <w:r w:rsidR="00314259" w:rsidRPr="008E32A0">
        <w:rPr>
          <w:bCs/>
          <w:szCs w:val="22"/>
        </w:rPr>
        <w:t>interferon and/or ribavirin</w:t>
      </w:r>
      <w:r w:rsidRPr="008E32A0">
        <w:rPr>
          <w:bCs/>
          <w:szCs w:val="22"/>
        </w:rPr>
        <w:t xml:space="preserve">. The draft PI for both daclatasvir and asunaprevir includes a recommended regimen of DCV+ASV+PR in patients with genotype 1 or 4 </w:t>
      </w:r>
      <w:r w:rsidR="00787EBE">
        <w:t>Hepatitis C Virus (HCV)</w:t>
      </w:r>
      <w:r w:rsidRPr="008E32A0">
        <w:rPr>
          <w:bCs/>
          <w:szCs w:val="22"/>
        </w:rPr>
        <w:t xml:space="preserve">. </w:t>
      </w:r>
    </w:p>
    <w:p w:rsidR="008E32A0" w:rsidRPr="008E32A0" w:rsidRDefault="008E32A0" w:rsidP="008E32A0">
      <w:pPr>
        <w:widowControl/>
        <w:rPr>
          <w:bCs/>
          <w:szCs w:val="22"/>
        </w:rPr>
      </w:pPr>
    </w:p>
    <w:p w:rsidR="004C019E" w:rsidRPr="008E32A0" w:rsidRDefault="00774FE5" w:rsidP="001967EC">
      <w:pPr>
        <w:pStyle w:val="ListParagraph"/>
        <w:widowControl/>
        <w:numPr>
          <w:ilvl w:val="1"/>
          <w:numId w:val="1"/>
        </w:numPr>
        <w:rPr>
          <w:bCs/>
          <w:szCs w:val="22"/>
        </w:rPr>
      </w:pPr>
      <w:r w:rsidRPr="008E32A0">
        <w:rPr>
          <w:bCs/>
          <w:szCs w:val="22"/>
        </w:rPr>
        <w:t xml:space="preserve">The requested listing did not preclude re-treating patients who had previously failed treatment with a </w:t>
      </w:r>
      <w:r w:rsidR="00314259" w:rsidRPr="008E32A0">
        <w:rPr>
          <w:bCs/>
          <w:szCs w:val="22"/>
        </w:rPr>
        <w:t>DAA</w:t>
      </w:r>
      <w:r w:rsidRPr="008E32A0">
        <w:rPr>
          <w:bCs/>
          <w:szCs w:val="22"/>
        </w:rPr>
        <w:t xml:space="preserve"> based treatment regimen. The evidence presented in the submission was for patients who had failed previous treatment with PR</w:t>
      </w:r>
      <w:r w:rsidR="00BD7483" w:rsidRPr="008E32A0">
        <w:rPr>
          <w:bCs/>
          <w:szCs w:val="22"/>
        </w:rPr>
        <w:t xml:space="preserve"> and not patients who have previously failed treatment with protease inhibitors or other DAAs</w:t>
      </w:r>
      <w:r w:rsidRPr="008E32A0">
        <w:rPr>
          <w:bCs/>
          <w:szCs w:val="22"/>
        </w:rPr>
        <w:t xml:space="preserve">. </w:t>
      </w:r>
    </w:p>
    <w:p w:rsidR="00760EA5" w:rsidRPr="00F23F79" w:rsidRDefault="00760EA5" w:rsidP="00F23F79">
      <w:pPr>
        <w:widowControl/>
        <w:rPr>
          <w:szCs w:val="22"/>
        </w:rPr>
      </w:pPr>
    </w:p>
    <w:p w:rsidR="00F02B39" w:rsidRDefault="00F02B39" w:rsidP="001967EC">
      <w:pPr>
        <w:pStyle w:val="ListParagraph"/>
        <w:widowControl/>
        <w:numPr>
          <w:ilvl w:val="1"/>
          <w:numId w:val="1"/>
        </w:numPr>
        <w:rPr>
          <w:bCs/>
          <w:szCs w:val="22"/>
        </w:rPr>
      </w:pPr>
      <w:r w:rsidRPr="00667E91">
        <w:rPr>
          <w:bCs/>
          <w:szCs w:val="22"/>
        </w:rPr>
        <w:t>The PBAC recalled the discussion at the Stakeholder meeting (</w:t>
      </w:r>
      <w:r w:rsidRPr="00DF7455">
        <w:rPr>
          <w:bCs/>
          <w:szCs w:val="22"/>
        </w:rPr>
        <w:t>New oral antivirals for the Treatment of Hepatitis C</w:t>
      </w:r>
      <w:r>
        <w:rPr>
          <w:bCs/>
          <w:szCs w:val="22"/>
        </w:rPr>
        <w:t xml:space="preserve">, </w:t>
      </w:r>
      <w:r w:rsidRPr="00667E91">
        <w:rPr>
          <w:bCs/>
          <w:szCs w:val="22"/>
        </w:rPr>
        <w:t>February 2014) about the setting patients should be treated in. The PBAC considered that it was appropriate that the new all oral treatment</w:t>
      </w:r>
      <w:r>
        <w:rPr>
          <w:bCs/>
          <w:szCs w:val="22"/>
        </w:rPr>
        <w:t xml:space="preserve"> regimens </w:t>
      </w:r>
      <w:r w:rsidRPr="00667E91">
        <w:rPr>
          <w:bCs/>
          <w:szCs w:val="22"/>
        </w:rPr>
        <w:t>be listed in the General Schedule, to facilitated the longer term objectives for access to treatment, increase treatment rates and outcomes with a view to treat al</w:t>
      </w:r>
      <w:r>
        <w:rPr>
          <w:bCs/>
          <w:szCs w:val="22"/>
        </w:rPr>
        <w:t xml:space="preserve">l patients with </w:t>
      </w:r>
      <w:r w:rsidR="00F230F2">
        <w:rPr>
          <w:bCs/>
          <w:szCs w:val="22"/>
        </w:rPr>
        <w:t>chronic Hepatitis C (</w:t>
      </w:r>
      <w:r>
        <w:rPr>
          <w:bCs/>
          <w:szCs w:val="22"/>
        </w:rPr>
        <w:t>CHC</w:t>
      </w:r>
      <w:r w:rsidR="00F230F2">
        <w:rPr>
          <w:bCs/>
          <w:szCs w:val="22"/>
        </w:rPr>
        <w:t>)</w:t>
      </w:r>
      <w:r>
        <w:rPr>
          <w:bCs/>
          <w:szCs w:val="22"/>
        </w:rPr>
        <w:t xml:space="preserve"> over time.</w:t>
      </w:r>
    </w:p>
    <w:p w:rsidR="00270697" w:rsidRPr="00617E00" w:rsidRDefault="00270697" w:rsidP="00617E00">
      <w:pPr>
        <w:widowControl/>
        <w:rPr>
          <w:szCs w:val="22"/>
        </w:rPr>
      </w:pPr>
    </w:p>
    <w:p w:rsidR="002106DF" w:rsidRDefault="00760EA5" w:rsidP="00DB55F0">
      <w:pPr>
        <w:pStyle w:val="ListParagraph"/>
        <w:widowControl/>
        <w:numPr>
          <w:ilvl w:val="1"/>
          <w:numId w:val="1"/>
        </w:numPr>
        <w:rPr>
          <w:szCs w:val="22"/>
        </w:rPr>
      </w:pPr>
      <w:r w:rsidRPr="000D14A3">
        <w:rPr>
          <w:szCs w:val="22"/>
        </w:rPr>
        <w:t xml:space="preserve">Listing </w:t>
      </w:r>
      <w:r w:rsidR="00D353ED">
        <w:rPr>
          <w:szCs w:val="22"/>
        </w:rPr>
        <w:t>wa</w:t>
      </w:r>
      <w:r>
        <w:rPr>
          <w:szCs w:val="22"/>
        </w:rPr>
        <w:t xml:space="preserve">s sought on a cost effectiveness basis </w:t>
      </w:r>
      <w:r w:rsidR="00D353ED">
        <w:rPr>
          <w:szCs w:val="22"/>
        </w:rPr>
        <w:t xml:space="preserve">for DCV+ASV </w:t>
      </w:r>
      <w:r w:rsidR="00423DE4">
        <w:rPr>
          <w:szCs w:val="22"/>
        </w:rPr>
        <w:t>24</w:t>
      </w:r>
      <w:r>
        <w:rPr>
          <w:szCs w:val="22"/>
        </w:rPr>
        <w:t xml:space="preserve"> weeks compared to </w:t>
      </w:r>
      <w:r w:rsidR="00D353ED" w:rsidRPr="00D91EF5">
        <w:rPr>
          <w:szCs w:val="22"/>
        </w:rPr>
        <w:t>a mixture of no treatment and active treatment</w:t>
      </w:r>
      <w:r w:rsidR="00D353ED">
        <w:rPr>
          <w:szCs w:val="22"/>
        </w:rPr>
        <w:t>.</w:t>
      </w:r>
    </w:p>
    <w:p w:rsidR="008E32A0" w:rsidRDefault="008E32A0" w:rsidP="008E32A0">
      <w:pPr>
        <w:pStyle w:val="PBACHeading1"/>
        <w:numPr>
          <w:ilvl w:val="0"/>
          <w:numId w:val="0"/>
        </w:numPr>
        <w:ind w:left="720" w:hanging="720"/>
      </w:pPr>
    </w:p>
    <w:p w:rsidR="008E32A0" w:rsidRPr="00B8373F" w:rsidRDefault="008E32A0" w:rsidP="008E32A0">
      <w:pPr>
        <w:pStyle w:val="PBACHeading1"/>
        <w:numPr>
          <w:ilvl w:val="0"/>
          <w:numId w:val="0"/>
        </w:numPr>
        <w:ind w:left="720"/>
        <w:rPr>
          <w:b w:val="0"/>
        </w:rPr>
      </w:pPr>
      <w:r w:rsidRPr="00B8373F">
        <w:rPr>
          <w:b w:val="0"/>
          <w:i/>
        </w:rPr>
        <w:t>For more detail on PBAC’s view, see section 7 “PBAC outcome”</w:t>
      </w:r>
    </w:p>
    <w:p w:rsidR="00760EA5" w:rsidRDefault="00760EA5" w:rsidP="00760EA5">
      <w:pPr>
        <w:widowControl/>
        <w:rPr>
          <w:szCs w:val="22"/>
        </w:rPr>
      </w:pPr>
    </w:p>
    <w:p w:rsidR="00760EA5" w:rsidRPr="00407F2D" w:rsidRDefault="00760EA5" w:rsidP="006C1ABD">
      <w:pPr>
        <w:pStyle w:val="PBACHeading1"/>
        <w:keepNext/>
        <w:keepLines/>
      </w:pPr>
      <w:bookmarkStart w:id="3" w:name="_Toc409610877"/>
      <w:r w:rsidRPr="00407F2D">
        <w:lastRenderedPageBreak/>
        <w:t>Background</w:t>
      </w:r>
      <w:bookmarkEnd w:id="3"/>
    </w:p>
    <w:p w:rsidR="00760EA5" w:rsidRPr="00882085" w:rsidRDefault="00760EA5" w:rsidP="006C1ABD">
      <w:pPr>
        <w:keepNext/>
        <w:keepLines/>
        <w:rPr>
          <w:szCs w:val="22"/>
        </w:rPr>
      </w:pPr>
    </w:p>
    <w:p w:rsidR="00E1479E" w:rsidRPr="007A7B7C" w:rsidRDefault="003D4016" w:rsidP="006C1ABD">
      <w:pPr>
        <w:pStyle w:val="ListParagraph"/>
        <w:keepNext/>
        <w:keepLines/>
        <w:widowControl/>
        <w:numPr>
          <w:ilvl w:val="1"/>
          <w:numId w:val="1"/>
        </w:numPr>
      </w:pPr>
      <w:r w:rsidRPr="00AF5BF5">
        <w:rPr>
          <w:b/>
        </w:rPr>
        <w:t xml:space="preserve">TGA status at time of </w:t>
      </w:r>
      <w:r w:rsidR="00783DA6">
        <w:rPr>
          <w:b/>
        </w:rPr>
        <w:t>PBAC consideration</w:t>
      </w:r>
      <w:r w:rsidRPr="007A7B7C">
        <w:t xml:space="preserve">: </w:t>
      </w:r>
      <w:r w:rsidR="00E1479E" w:rsidRPr="007A7B7C">
        <w:t xml:space="preserve">The submission occurred under </w:t>
      </w:r>
      <w:r w:rsidR="008E5078" w:rsidRPr="007A7B7C">
        <w:t>the</w:t>
      </w:r>
      <w:r w:rsidR="00E1479E" w:rsidRPr="007A7B7C">
        <w:t xml:space="preserve"> TGA/PBAC Parallel Process. </w:t>
      </w:r>
      <w:r w:rsidR="00AF5BF5" w:rsidRPr="007A7B7C">
        <w:t>The clinical evaluation report for b</w:t>
      </w:r>
      <w:r w:rsidR="00E1479E" w:rsidRPr="007A7B7C">
        <w:t xml:space="preserve">oth daclatasvir and asunaprevir were </w:t>
      </w:r>
      <w:r w:rsidR="00AF5BF5" w:rsidRPr="007A7B7C">
        <w:t>provided on 30 January 2015.</w:t>
      </w:r>
      <w:r w:rsidR="00E1479E" w:rsidRPr="007A7B7C">
        <w:t xml:space="preserve"> </w:t>
      </w:r>
      <w:r w:rsidR="003D349D" w:rsidRPr="007A7B7C">
        <w:t>T</w:t>
      </w:r>
      <w:r w:rsidR="00E1479E" w:rsidRPr="007A7B7C">
        <w:t>he TGA delegate’s overview</w:t>
      </w:r>
      <w:r w:rsidR="007A7B7C">
        <w:t xml:space="preserve"> was provided </w:t>
      </w:r>
      <w:r w:rsidR="00F23F79">
        <w:t xml:space="preserve">on </w:t>
      </w:r>
      <w:r w:rsidR="00F64331" w:rsidRPr="007A7B7C">
        <w:t>3rd</w:t>
      </w:r>
      <w:r w:rsidR="00F64331">
        <w:t xml:space="preserve"> </w:t>
      </w:r>
      <w:r w:rsidR="00F64331" w:rsidRPr="007A7B7C">
        <w:t>March</w:t>
      </w:r>
      <w:r w:rsidR="00E1479E" w:rsidRPr="007A7B7C">
        <w:t xml:space="preserve"> 2015, and the drugs would be considered at the ACPM meeting to be held on 15</w:t>
      </w:r>
      <w:r w:rsidR="00E1479E" w:rsidRPr="007A7B7C">
        <w:rPr>
          <w:vertAlign w:val="superscript"/>
        </w:rPr>
        <w:t>th</w:t>
      </w:r>
      <w:r w:rsidR="00E1479E" w:rsidRPr="007A7B7C">
        <w:t xml:space="preserve"> May 2015.</w:t>
      </w:r>
    </w:p>
    <w:p w:rsidR="00E1479E" w:rsidRPr="00882085" w:rsidRDefault="00E1479E" w:rsidP="00E1479E">
      <w:pPr>
        <w:pStyle w:val="ListParagraph"/>
        <w:rPr>
          <w:szCs w:val="22"/>
        </w:rPr>
      </w:pPr>
    </w:p>
    <w:p w:rsidR="00E1479E" w:rsidRPr="00F63892" w:rsidRDefault="00617E00" w:rsidP="00953782">
      <w:pPr>
        <w:pStyle w:val="ListParagraph"/>
        <w:widowControl/>
        <w:numPr>
          <w:ilvl w:val="1"/>
          <w:numId w:val="1"/>
        </w:numPr>
        <w:spacing w:before="240"/>
        <w:rPr>
          <w:szCs w:val="22"/>
        </w:rPr>
      </w:pPr>
      <w:r>
        <w:rPr>
          <w:szCs w:val="22"/>
        </w:rPr>
        <w:t>A</w:t>
      </w:r>
      <w:r w:rsidR="0048705C">
        <w:rPr>
          <w:szCs w:val="22"/>
        </w:rPr>
        <w:t xml:space="preserve">sunaprevir </w:t>
      </w:r>
      <w:r w:rsidR="00012B0B">
        <w:rPr>
          <w:szCs w:val="22"/>
        </w:rPr>
        <w:t>(in combination with daclatasvir</w:t>
      </w:r>
      <w:r w:rsidR="00953782">
        <w:rPr>
          <w:szCs w:val="22"/>
        </w:rPr>
        <w:t>)</w:t>
      </w:r>
      <w:r w:rsidR="00012B0B">
        <w:rPr>
          <w:szCs w:val="22"/>
        </w:rPr>
        <w:t xml:space="preserve"> </w:t>
      </w:r>
      <w:r w:rsidR="0048705C">
        <w:rPr>
          <w:szCs w:val="22"/>
        </w:rPr>
        <w:t xml:space="preserve">had not </w:t>
      </w:r>
      <w:r w:rsidR="00E1479E" w:rsidRPr="00F63892">
        <w:rPr>
          <w:szCs w:val="22"/>
        </w:rPr>
        <w:t xml:space="preserve">previously </w:t>
      </w:r>
      <w:r w:rsidR="0048705C">
        <w:rPr>
          <w:szCs w:val="22"/>
        </w:rPr>
        <w:t xml:space="preserve">been </w:t>
      </w:r>
      <w:r w:rsidR="00E1479E" w:rsidRPr="00F63892">
        <w:rPr>
          <w:szCs w:val="22"/>
        </w:rPr>
        <w:t>considered by the PBAC.</w:t>
      </w:r>
      <w:r w:rsidR="00E1479E">
        <w:rPr>
          <w:szCs w:val="22"/>
        </w:rPr>
        <w:t xml:space="preserve"> </w:t>
      </w:r>
      <w:r>
        <w:rPr>
          <w:szCs w:val="22"/>
        </w:rPr>
        <w:t>Daclatas</w:t>
      </w:r>
      <w:r w:rsidR="00012B0B">
        <w:rPr>
          <w:szCs w:val="22"/>
        </w:rPr>
        <w:t>vi</w:t>
      </w:r>
      <w:r>
        <w:rPr>
          <w:szCs w:val="22"/>
        </w:rPr>
        <w:t>r</w:t>
      </w:r>
      <w:r w:rsidR="00012B0B">
        <w:rPr>
          <w:szCs w:val="22"/>
        </w:rPr>
        <w:t xml:space="preserve"> (in combination with sofosbuvir</w:t>
      </w:r>
      <w:r w:rsidR="00CE01F6">
        <w:rPr>
          <w:szCs w:val="22"/>
        </w:rPr>
        <w:t>)</w:t>
      </w:r>
      <w:r>
        <w:rPr>
          <w:szCs w:val="22"/>
        </w:rPr>
        <w:t xml:space="preserve"> was considered at the same meeting by the PBAC as a separate item. </w:t>
      </w:r>
    </w:p>
    <w:p w:rsidR="00760EA5" w:rsidRDefault="00760EA5" w:rsidP="00760EA5"/>
    <w:p w:rsidR="006C1ABD" w:rsidRPr="00882085" w:rsidRDefault="006C1ABD" w:rsidP="00760EA5"/>
    <w:p w:rsidR="00760EA5" w:rsidRPr="00361358" w:rsidRDefault="00760EA5" w:rsidP="00361358">
      <w:pPr>
        <w:pStyle w:val="PBACHeading1"/>
      </w:pPr>
      <w:bookmarkStart w:id="4" w:name="_Toc409610878"/>
      <w:r w:rsidRPr="00407F2D">
        <w:t>Clinical place for the proposed therapy</w:t>
      </w:r>
      <w:bookmarkEnd w:id="4"/>
    </w:p>
    <w:p w:rsidR="00760EA5" w:rsidRPr="002C2775" w:rsidRDefault="00760EA5" w:rsidP="00760EA5">
      <w:pPr>
        <w:widowControl/>
        <w:rPr>
          <w:szCs w:val="22"/>
        </w:rPr>
      </w:pPr>
    </w:p>
    <w:p w:rsidR="00E1479E" w:rsidRDefault="00E1479E" w:rsidP="00BA53D4">
      <w:pPr>
        <w:pStyle w:val="ListParagraph"/>
        <w:widowControl/>
        <w:numPr>
          <w:ilvl w:val="1"/>
          <w:numId w:val="1"/>
        </w:numPr>
        <w:rPr>
          <w:szCs w:val="22"/>
        </w:rPr>
      </w:pPr>
      <w:r>
        <w:rPr>
          <w:szCs w:val="22"/>
        </w:rPr>
        <w:t xml:space="preserve">The proposed treatment regimen </w:t>
      </w:r>
      <w:r w:rsidR="008E5078">
        <w:rPr>
          <w:szCs w:val="22"/>
        </w:rPr>
        <w:t>for</w:t>
      </w:r>
      <w:r>
        <w:rPr>
          <w:szCs w:val="22"/>
        </w:rPr>
        <w:t xml:space="preserve"> DCV+ASV is an all oral, interferon</w:t>
      </w:r>
      <w:r w:rsidR="00EA289A">
        <w:rPr>
          <w:szCs w:val="22"/>
        </w:rPr>
        <w:t>-</w:t>
      </w:r>
      <w:r>
        <w:rPr>
          <w:szCs w:val="22"/>
        </w:rPr>
        <w:t xml:space="preserve">free and ribavirin free option for HCV genotype 1b patients irrespective of their previous treatment history. Daclatasvir </w:t>
      </w:r>
      <w:r w:rsidRPr="00D610EE">
        <w:rPr>
          <w:szCs w:val="22"/>
        </w:rPr>
        <w:t>is a</w:t>
      </w:r>
      <w:r>
        <w:rPr>
          <w:szCs w:val="22"/>
        </w:rPr>
        <w:t>n oral DAA and a</w:t>
      </w:r>
      <w:r w:rsidRPr="00D610EE">
        <w:rPr>
          <w:szCs w:val="22"/>
        </w:rPr>
        <w:t xml:space="preserve"> pan-genotypic inhibitor of NS5A.</w:t>
      </w:r>
      <w:r>
        <w:rPr>
          <w:szCs w:val="22"/>
        </w:rPr>
        <w:t xml:space="preserve"> Asunaprevir is also an oral DAA</w:t>
      </w:r>
      <w:r w:rsidR="008E5078">
        <w:rPr>
          <w:szCs w:val="22"/>
        </w:rPr>
        <w:t>,</w:t>
      </w:r>
      <w:r>
        <w:rPr>
          <w:szCs w:val="22"/>
        </w:rPr>
        <w:t xml:space="preserve"> </w:t>
      </w:r>
      <w:r w:rsidRPr="007747E7">
        <w:rPr>
          <w:szCs w:val="22"/>
        </w:rPr>
        <w:t>an inhibitor of the HCV NS3/4A serine protease complex. The NS3/4A complex is responsible for processing the HCV polyprotein to yield mature viral proteins required for replication.</w:t>
      </w:r>
      <w:r>
        <w:rPr>
          <w:szCs w:val="22"/>
        </w:rPr>
        <w:t xml:space="preserve"> </w:t>
      </w:r>
      <w:r w:rsidRPr="007747E7">
        <w:rPr>
          <w:szCs w:val="22"/>
        </w:rPr>
        <w:t xml:space="preserve">The recommended dose regimen for both </w:t>
      </w:r>
      <w:r w:rsidR="003C6603">
        <w:rPr>
          <w:szCs w:val="22"/>
        </w:rPr>
        <w:t>treatment-naïve</w:t>
      </w:r>
      <w:r w:rsidRPr="007747E7">
        <w:rPr>
          <w:szCs w:val="22"/>
        </w:rPr>
        <w:t xml:space="preserve"> and </w:t>
      </w:r>
      <w:r w:rsidR="003C6603">
        <w:rPr>
          <w:szCs w:val="22"/>
        </w:rPr>
        <w:t>treatment-experienced</w:t>
      </w:r>
      <w:r w:rsidRPr="007747E7">
        <w:rPr>
          <w:szCs w:val="22"/>
        </w:rPr>
        <w:t xml:space="preserve"> patients with genotype 1b HCV infection </w:t>
      </w:r>
      <w:r>
        <w:rPr>
          <w:szCs w:val="22"/>
        </w:rPr>
        <w:t>was</w:t>
      </w:r>
      <w:r w:rsidRPr="007747E7">
        <w:rPr>
          <w:szCs w:val="22"/>
        </w:rPr>
        <w:t xml:space="preserve"> daclatasvir 60mg once daily in combination with asunaprevir 100mg twice daily for 24 weeks.</w:t>
      </w:r>
    </w:p>
    <w:p w:rsidR="00E1479E" w:rsidRPr="0078749F" w:rsidRDefault="00E1479E" w:rsidP="00E1479E">
      <w:pPr>
        <w:pStyle w:val="ListParagraph"/>
        <w:rPr>
          <w:szCs w:val="22"/>
        </w:rPr>
      </w:pPr>
    </w:p>
    <w:p w:rsidR="00E1479E" w:rsidRPr="00890111" w:rsidRDefault="00E1479E" w:rsidP="00BA53D4">
      <w:pPr>
        <w:pStyle w:val="ListParagraph"/>
        <w:widowControl/>
        <w:numPr>
          <w:ilvl w:val="1"/>
          <w:numId w:val="1"/>
        </w:numPr>
        <w:rPr>
          <w:szCs w:val="22"/>
        </w:rPr>
      </w:pPr>
      <w:r w:rsidRPr="00890111">
        <w:rPr>
          <w:szCs w:val="22"/>
        </w:rPr>
        <w:t xml:space="preserve">The proposed dose regimen was consistent with the draft PIs for each drug. It was also consistent with the dose regimens used in the clinical studies (Study 7026 and Study 7028) presented </w:t>
      </w:r>
      <w:r w:rsidRPr="00437C1A">
        <w:rPr>
          <w:szCs w:val="22"/>
        </w:rPr>
        <w:t>in Section B</w:t>
      </w:r>
      <w:r w:rsidR="00437C1A" w:rsidRPr="00437C1A">
        <w:rPr>
          <w:szCs w:val="22"/>
        </w:rPr>
        <w:t xml:space="preserve"> of</w:t>
      </w:r>
      <w:r w:rsidR="00437C1A">
        <w:rPr>
          <w:szCs w:val="22"/>
        </w:rPr>
        <w:t xml:space="preserve"> the submission</w:t>
      </w:r>
      <w:r w:rsidRPr="00890111">
        <w:rPr>
          <w:szCs w:val="22"/>
        </w:rPr>
        <w:t xml:space="preserve"> in support of the listing and in the economic evaluation.</w:t>
      </w:r>
    </w:p>
    <w:p w:rsidR="004C019E" w:rsidRPr="00882085" w:rsidRDefault="004C019E" w:rsidP="00760EA5">
      <w:pPr>
        <w:pStyle w:val="Header"/>
        <w:rPr>
          <w:szCs w:val="22"/>
        </w:rPr>
      </w:pPr>
    </w:p>
    <w:p w:rsidR="00760EA5" w:rsidRPr="00407F2D" w:rsidRDefault="00760EA5" w:rsidP="00BA53D4">
      <w:pPr>
        <w:pStyle w:val="Header"/>
        <w:widowControl/>
        <w:numPr>
          <w:ilvl w:val="0"/>
          <w:numId w:val="1"/>
        </w:numPr>
        <w:tabs>
          <w:tab w:val="clear" w:pos="4513"/>
          <w:tab w:val="clear" w:pos="9026"/>
        </w:tabs>
        <w:rPr>
          <w:b/>
          <w:szCs w:val="22"/>
        </w:rPr>
      </w:pPr>
      <w:r w:rsidRPr="00407F2D">
        <w:rPr>
          <w:b/>
          <w:szCs w:val="22"/>
        </w:rPr>
        <w:t>Comparator</w:t>
      </w:r>
    </w:p>
    <w:p w:rsidR="00760EA5" w:rsidRPr="00882085" w:rsidRDefault="00760EA5" w:rsidP="00760EA5"/>
    <w:p w:rsidR="00437C1A" w:rsidRDefault="00E1479E" w:rsidP="00BA53D4">
      <w:pPr>
        <w:pStyle w:val="ListParagraph"/>
        <w:widowControl/>
        <w:numPr>
          <w:ilvl w:val="1"/>
          <w:numId w:val="1"/>
        </w:numPr>
        <w:rPr>
          <w:szCs w:val="22"/>
        </w:rPr>
      </w:pPr>
      <w:r w:rsidRPr="00C27AD2">
        <w:t xml:space="preserve">The submission nominated a protease inhibitor plus PR as the main comparator for DCV+ASV in HCV genotype 1b patients. The comparator </w:t>
      </w:r>
      <w:r w:rsidR="006A3A8E" w:rsidRPr="00C27AD2">
        <w:t>may</w:t>
      </w:r>
      <w:r w:rsidRPr="00C27AD2">
        <w:t xml:space="preserve"> be appropriate for those patients who are currently seeking active treatments. However, the PBAC considered that the appropriate comparator was no treatment in view of the broader context of ‘warehoused’ infected individuals whose treatment preference would be interferon-free therapies (</w:t>
      </w:r>
      <w:r w:rsidRPr="00C27AD2">
        <w:rPr>
          <w:szCs w:val="22"/>
        </w:rPr>
        <w:t xml:space="preserve">Paragraph 7.5, 5.17 Sofosbuvir, PSD – July 2014 PBAC meeting). Therefore </w:t>
      </w:r>
      <w:r w:rsidR="00BF47DA" w:rsidRPr="00C27AD2">
        <w:rPr>
          <w:szCs w:val="22"/>
        </w:rPr>
        <w:t xml:space="preserve">‘no treatment’ was presented as </w:t>
      </w:r>
      <w:r w:rsidR="00787EBE">
        <w:rPr>
          <w:szCs w:val="22"/>
        </w:rPr>
        <w:t>a</w:t>
      </w:r>
      <w:r w:rsidR="00BF47DA" w:rsidRPr="00C27AD2">
        <w:rPr>
          <w:szCs w:val="22"/>
        </w:rPr>
        <w:t xml:space="preserve"> comparator in </w:t>
      </w:r>
      <w:r w:rsidRPr="00C27AD2">
        <w:rPr>
          <w:szCs w:val="22"/>
        </w:rPr>
        <w:t>the Commentary</w:t>
      </w:r>
      <w:r w:rsidR="00BF47DA" w:rsidRPr="00C27AD2">
        <w:rPr>
          <w:szCs w:val="22"/>
        </w:rPr>
        <w:t>.</w:t>
      </w:r>
    </w:p>
    <w:p w:rsidR="00C27AD2" w:rsidRPr="00C27AD2" w:rsidRDefault="00C27AD2" w:rsidP="00C27AD2">
      <w:pPr>
        <w:pStyle w:val="PBACHeading1"/>
        <w:numPr>
          <w:ilvl w:val="0"/>
          <w:numId w:val="0"/>
        </w:numPr>
        <w:ind w:left="720" w:hanging="720"/>
      </w:pPr>
    </w:p>
    <w:p w:rsidR="00760EA5" w:rsidRPr="00DB55F0" w:rsidRDefault="00437C1A" w:rsidP="00760EA5">
      <w:pPr>
        <w:pStyle w:val="ListParagraph"/>
        <w:widowControl/>
        <w:numPr>
          <w:ilvl w:val="1"/>
          <w:numId w:val="5"/>
        </w:numPr>
        <w:rPr>
          <w:szCs w:val="22"/>
        </w:rPr>
      </w:pPr>
      <w:r w:rsidRPr="00C27AD2">
        <w:rPr>
          <w:szCs w:val="22"/>
        </w:rPr>
        <w:t xml:space="preserve">The </w:t>
      </w:r>
      <w:r w:rsidR="00C27AD2" w:rsidRPr="00C27AD2">
        <w:rPr>
          <w:szCs w:val="22"/>
        </w:rPr>
        <w:t xml:space="preserve">Pre-Sub-Committee Response </w:t>
      </w:r>
      <w:r w:rsidR="00C27AD2">
        <w:rPr>
          <w:szCs w:val="22"/>
        </w:rPr>
        <w:t xml:space="preserve">(PSCR, </w:t>
      </w:r>
      <w:r w:rsidRPr="00C27AD2">
        <w:rPr>
          <w:szCs w:val="22"/>
        </w:rPr>
        <w:t>p</w:t>
      </w:r>
      <w:r w:rsidR="00E1479E" w:rsidRPr="00C27AD2">
        <w:rPr>
          <w:szCs w:val="22"/>
        </w:rPr>
        <w:t xml:space="preserve"> </w:t>
      </w:r>
      <w:r w:rsidRPr="00C27AD2">
        <w:rPr>
          <w:szCs w:val="22"/>
        </w:rPr>
        <w:t xml:space="preserve">2) </w:t>
      </w:r>
      <w:r w:rsidR="0048705C">
        <w:rPr>
          <w:szCs w:val="22"/>
        </w:rPr>
        <w:t>accepted</w:t>
      </w:r>
      <w:r w:rsidRPr="00C27AD2">
        <w:rPr>
          <w:szCs w:val="22"/>
        </w:rPr>
        <w:t xml:space="preserve"> that the “product” most likely to be replaced is currently “no treatment” due to the warehousing of patients.</w:t>
      </w:r>
      <w:r w:rsidR="0072794A" w:rsidRPr="00C27AD2">
        <w:rPr>
          <w:szCs w:val="22"/>
        </w:rPr>
        <w:t xml:space="preserve"> The ESC noted that in the context of the growing preference for IFN-free therapy, the most relevant was comparator was no treatment</w:t>
      </w:r>
      <w:r w:rsidR="00DB6C78" w:rsidRPr="00C27AD2">
        <w:rPr>
          <w:szCs w:val="22"/>
        </w:rPr>
        <w:t>.</w:t>
      </w:r>
    </w:p>
    <w:p w:rsidR="00AA4467" w:rsidRPr="00DF5D2B" w:rsidRDefault="00AA4467" w:rsidP="00760EA5">
      <w:pPr>
        <w:rPr>
          <w:szCs w:val="22"/>
        </w:rPr>
      </w:pPr>
    </w:p>
    <w:p w:rsidR="00F15376" w:rsidRDefault="00F15376">
      <w:pPr>
        <w:widowControl/>
        <w:jc w:val="left"/>
        <w:rPr>
          <w:b/>
          <w:szCs w:val="22"/>
        </w:rPr>
      </w:pPr>
      <w:bookmarkStart w:id="5" w:name="_Toc409610879"/>
      <w:r>
        <w:br w:type="page"/>
      </w:r>
    </w:p>
    <w:p w:rsidR="00760EA5" w:rsidRDefault="00760EA5" w:rsidP="00760EA5">
      <w:pPr>
        <w:pStyle w:val="PBACHeading1"/>
      </w:pPr>
      <w:r>
        <w:lastRenderedPageBreak/>
        <w:t>C</w:t>
      </w:r>
      <w:r w:rsidRPr="00407F2D">
        <w:t>onsideration of the evidence</w:t>
      </w:r>
      <w:bookmarkEnd w:id="5"/>
    </w:p>
    <w:p w:rsidR="002106DF" w:rsidRDefault="002106DF" w:rsidP="002106DF">
      <w:pPr>
        <w:rPr>
          <w:b/>
          <w:i/>
          <w:szCs w:val="22"/>
        </w:rPr>
      </w:pPr>
    </w:p>
    <w:p w:rsidR="002106DF" w:rsidRPr="0078618A" w:rsidRDefault="002106DF" w:rsidP="0078618A">
      <w:pPr>
        <w:pStyle w:val="Heading2"/>
      </w:pPr>
      <w:r w:rsidRPr="0078618A">
        <w:t>Sponsor hearing</w:t>
      </w:r>
    </w:p>
    <w:p w:rsidR="002106DF" w:rsidRPr="00882085" w:rsidRDefault="002106DF" w:rsidP="002106DF">
      <w:pPr>
        <w:ind w:left="709"/>
        <w:rPr>
          <w:b/>
          <w:szCs w:val="22"/>
        </w:rPr>
      </w:pPr>
    </w:p>
    <w:p w:rsidR="002106DF" w:rsidRDefault="006408E0" w:rsidP="006408E0">
      <w:pPr>
        <w:pStyle w:val="ListParagraph"/>
        <w:widowControl/>
        <w:numPr>
          <w:ilvl w:val="1"/>
          <w:numId w:val="5"/>
        </w:numPr>
        <w:rPr>
          <w:szCs w:val="22"/>
        </w:rPr>
      </w:pPr>
      <w:r w:rsidRPr="006408E0">
        <w:rPr>
          <w:szCs w:val="22"/>
        </w:rPr>
        <w:t>The sponsor requested a hearing for this item.  The sponsor reiterated key points from the submission and the pre-PBAC response. The PBAC considered that the hearing was not informative as it did not add substantively to the evidence presented in the submission</w:t>
      </w:r>
      <w:r w:rsidR="00787EBE">
        <w:rPr>
          <w:szCs w:val="22"/>
        </w:rPr>
        <w:t xml:space="preserve">. </w:t>
      </w:r>
    </w:p>
    <w:p w:rsidR="00787EBE" w:rsidRPr="00787EBE" w:rsidRDefault="00787EBE" w:rsidP="00787EBE">
      <w:pPr>
        <w:pStyle w:val="PBACHeading1"/>
        <w:numPr>
          <w:ilvl w:val="0"/>
          <w:numId w:val="0"/>
        </w:numPr>
        <w:ind w:left="720" w:hanging="720"/>
      </w:pPr>
    </w:p>
    <w:p w:rsidR="002106DF" w:rsidRPr="00813606" w:rsidRDefault="002106DF" w:rsidP="0078618A">
      <w:pPr>
        <w:pStyle w:val="Heading2"/>
      </w:pPr>
      <w:r w:rsidRPr="00813606">
        <w:t>Consumer comments</w:t>
      </w:r>
    </w:p>
    <w:p w:rsidR="002106DF" w:rsidRDefault="002106DF" w:rsidP="002106DF">
      <w:pPr>
        <w:pStyle w:val="ListParagraph"/>
        <w:ind w:left="709"/>
        <w:rPr>
          <w:szCs w:val="22"/>
        </w:rPr>
      </w:pPr>
    </w:p>
    <w:p w:rsidR="001B04CE" w:rsidRDefault="001B04CE" w:rsidP="001B04CE">
      <w:pPr>
        <w:pStyle w:val="ListParagraph"/>
        <w:widowControl/>
        <w:numPr>
          <w:ilvl w:val="1"/>
          <w:numId w:val="1"/>
        </w:numPr>
        <w:rPr>
          <w:szCs w:val="22"/>
        </w:rPr>
      </w:pPr>
      <w:r w:rsidRPr="008C3416">
        <w:rPr>
          <w:szCs w:val="22"/>
        </w:rPr>
        <w:t>The PBAC noted and welcomed the input from individuals (</w:t>
      </w:r>
      <w:r>
        <w:rPr>
          <w:szCs w:val="22"/>
        </w:rPr>
        <w:t>172</w:t>
      </w:r>
      <w:r w:rsidRPr="008C3416">
        <w:rPr>
          <w:szCs w:val="22"/>
        </w:rPr>
        <w:t>), health care professionals (</w:t>
      </w:r>
      <w:r>
        <w:rPr>
          <w:szCs w:val="22"/>
        </w:rPr>
        <w:t>16</w:t>
      </w:r>
      <w:r w:rsidRPr="008C3416">
        <w:rPr>
          <w:szCs w:val="22"/>
        </w:rPr>
        <w:t>) and organisations (</w:t>
      </w:r>
      <w:r>
        <w:rPr>
          <w:szCs w:val="22"/>
        </w:rPr>
        <w:t>18</w:t>
      </w:r>
      <w:r w:rsidRPr="008C3416">
        <w:rPr>
          <w:szCs w:val="22"/>
        </w:rPr>
        <w:t>) via the Consumer Comments facility on the PBS website.</w:t>
      </w:r>
      <w:r>
        <w:rPr>
          <w:szCs w:val="22"/>
        </w:rPr>
        <w:t xml:space="preserve"> </w:t>
      </w:r>
      <w:r w:rsidRPr="008C3416">
        <w:rPr>
          <w:szCs w:val="22"/>
        </w:rPr>
        <w:t xml:space="preserve">The PBAC noted the correspondence from </w:t>
      </w:r>
      <w:r>
        <w:rPr>
          <w:szCs w:val="22"/>
        </w:rPr>
        <w:t>the Gastroenterological Society of Australia (</w:t>
      </w:r>
      <w:r w:rsidRPr="008C3416">
        <w:rPr>
          <w:szCs w:val="22"/>
        </w:rPr>
        <w:t>GESA</w:t>
      </w:r>
      <w:r>
        <w:rPr>
          <w:szCs w:val="22"/>
        </w:rPr>
        <w:t>)</w:t>
      </w:r>
      <w:r w:rsidRPr="008C3416">
        <w:rPr>
          <w:szCs w:val="22"/>
        </w:rPr>
        <w:t xml:space="preserve"> on use of D</w:t>
      </w:r>
      <w:r>
        <w:rPr>
          <w:szCs w:val="22"/>
        </w:rPr>
        <w:t>A</w:t>
      </w:r>
      <w:r w:rsidRPr="008C3416">
        <w:rPr>
          <w:szCs w:val="22"/>
        </w:rPr>
        <w:t>As in the treatment of patients with liver cirrhosis and severe portal hypertension, decompensated liver disease, or patients post liver transplant. The large number of comments highlighted the benefit of the availability of a curative treatment that should be made available for all infected individual</w:t>
      </w:r>
      <w:r>
        <w:rPr>
          <w:szCs w:val="22"/>
        </w:rPr>
        <w:t>s and</w:t>
      </w:r>
      <w:r w:rsidRPr="008C3416">
        <w:rPr>
          <w:szCs w:val="22"/>
        </w:rPr>
        <w:t xml:space="preserve"> the improved quality of life as well as the side effects associated with the current treatments</w:t>
      </w:r>
      <w:r>
        <w:rPr>
          <w:szCs w:val="22"/>
        </w:rPr>
        <w:t xml:space="preserve"> that would be </w:t>
      </w:r>
      <w:r w:rsidRPr="00A77EDF">
        <w:rPr>
          <w:szCs w:val="22"/>
        </w:rPr>
        <w:t>avoided</w:t>
      </w:r>
      <w:r w:rsidRPr="008C3416">
        <w:rPr>
          <w:szCs w:val="22"/>
        </w:rPr>
        <w:t xml:space="preserve">. The PBAC noted the patient preference for treatments with shorter durations, such </w:t>
      </w:r>
      <w:r>
        <w:rPr>
          <w:szCs w:val="22"/>
        </w:rPr>
        <w:t xml:space="preserve">as </w:t>
      </w:r>
      <w:r w:rsidRPr="008C3416">
        <w:rPr>
          <w:szCs w:val="22"/>
        </w:rPr>
        <w:t xml:space="preserve">12 weeks compared to 24 weeks.  </w:t>
      </w:r>
    </w:p>
    <w:p w:rsidR="001B04CE" w:rsidRDefault="001B04CE" w:rsidP="001B04CE">
      <w:pPr>
        <w:pStyle w:val="PBACHeading1"/>
        <w:numPr>
          <w:ilvl w:val="0"/>
          <w:numId w:val="0"/>
        </w:numPr>
        <w:ind w:left="720" w:hanging="720"/>
      </w:pPr>
    </w:p>
    <w:p w:rsidR="001B04CE" w:rsidRDefault="001B04CE" w:rsidP="001B04CE">
      <w:pPr>
        <w:pStyle w:val="ListParagraph"/>
        <w:widowControl/>
        <w:numPr>
          <w:ilvl w:val="1"/>
          <w:numId w:val="1"/>
        </w:numPr>
      </w:pPr>
      <w:r>
        <w:t xml:space="preserve">Representatives of the PBAC met </w:t>
      </w:r>
      <w:r w:rsidR="00787EBE">
        <w:t xml:space="preserve">with </w:t>
      </w:r>
      <w:r>
        <w:t>Hepatitis Australia, Hepatitis NSW, the Australian Injecting and the Illicit Drug User’s League prior to the PBAC meeting, and reported the following key points to the PBAC in relation to the agenda items fo</w:t>
      </w:r>
      <w:r w:rsidR="00787EBE">
        <w:t>r the treatment of Hepatitis C:</w:t>
      </w:r>
    </w:p>
    <w:p w:rsidR="001B04CE" w:rsidRDefault="001B04CE" w:rsidP="001B04CE">
      <w:pPr>
        <w:pStyle w:val="ListParagraph"/>
        <w:widowControl/>
        <w:numPr>
          <w:ilvl w:val="1"/>
          <w:numId w:val="21"/>
        </w:numPr>
      </w:pPr>
      <w:r>
        <w:t xml:space="preserve">The high burden of disease associated with </w:t>
      </w:r>
      <w:r w:rsidR="00787EBE">
        <w:t>HCV</w:t>
      </w:r>
      <w:r>
        <w:t xml:space="preserve"> infection was noted, and the urgent need for new treatments acknowledged.  The significant adverse reactions associated with interferon-based therapies effectively eliminate these regimens as an option for some patients.</w:t>
      </w:r>
    </w:p>
    <w:p w:rsidR="001B04CE" w:rsidRDefault="001B04CE" w:rsidP="001B04CE">
      <w:pPr>
        <w:pStyle w:val="ListParagraph"/>
        <w:widowControl/>
        <w:numPr>
          <w:ilvl w:val="1"/>
          <w:numId w:val="21"/>
        </w:numPr>
        <w:spacing w:before="240"/>
      </w:pPr>
      <w:r>
        <w:t xml:space="preserve">Concern about not having any treatment (the so-called “warehousing” practice adopted by clinicians), lack of access to transient elastography (including </w:t>
      </w:r>
      <w:r w:rsidRPr="00F37D60">
        <w:t>FibroScan</w:t>
      </w:r>
      <w:r w:rsidRPr="00F37D60">
        <w:rPr>
          <w:vertAlign w:val="superscript"/>
        </w:rPr>
        <w:t>®</w:t>
      </w:r>
      <w:r>
        <w:t xml:space="preserve">) and the lack of adequate follow-up for patients that are “warehoused” (i.e. where the patient is monitored but treatment is delayed).  A complex referral system does not work for many groups of Hepatitis C patients – for example, it was quoted in the meeting that in the ACT only 28 patients have had access to treatment in the previous 12 months. </w:t>
      </w:r>
    </w:p>
    <w:p w:rsidR="001B04CE" w:rsidRDefault="001B04CE" w:rsidP="001B04CE">
      <w:pPr>
        <w:pStyle w:val="ListParagraph"/>
        <w:widowControl/>
        <w:numPr>
          <w:ilvl w:val="1"/>
          <w:numId w:val="21"/>
        </w:numPr>
      </w:pPr>
      <w:r>
        <w:t xml:space="preserve">Community expectation with regard to the new drugs for Hepatitis C is high, and there is a high level of anticipation with patients keenly aware that these drugs are available in markets outside Australia.  It was noted that these expectations were in place for a significant time before the sponsors chose to make reimbursement submissions to the PBAC.  </w:t>
      </w:r>
    </w:p>
    <w:p w:rsidR="001B04CE" w:rsidRDefault="001B04CE" w:rsidP="001B04CE">
      <w:pPr>
        <w:pStyle w:val="ListParagraph"/>
        <w:widowControl/>
        <w:numPr>
          <w:ilvl w:val="1"/>
          <w:numId w:val="21"/>
        </w:numPr>
      </w:pPr>
      <w:r>
        <w:t xml:space="preserve">Co-ordinated treatment of HCV, particularly moving towards the control (and potentially elimination) of the virus, would require health-system-wide approaches that are outside the remit of the PBAC.  </w:t>
      </w:r>
    </w:p>
    <w:p w:rsidR="001B04CE" w:rsidRDefault="001B04CE" w:rsidP="001B04CE">
      <w:pPr>
        <w:pStyle w:val="ListParagraph"/>
        <w:widowControl/>
        <w:numPr>
          <w:ilvl w:val="1"/>
          <w:numId w:val="21"/>
        </w:numPr>
      </w:pPr>
      <w:r>
        <w:t xml:space="preserve">As the PBAC can recommend the circumstances under which PBS subsidy may be granted, elements such as whether to limit prescribing to specialists would be considered in potentially widening access.  The PBAC particularly noted the advice of </w:t>
      </w:r>
      <w:r>
        <w:lastRenderedPageBreak/>
        <w:t xml:space="preserve">consumer groups that a PBS listing that limited access based on disease severity would not be supported.  A listing that allowed broad access was favoured.  </w:t>
      </w:r>
    </w:p>
    <w:p w:rsidR="001B04CE" w:rsidRDefault="001B04CE" w:rsidP="001B04CE">
      <w:pPr>
        <w:pStyle w:val="ListParagraph"/>
        <w:widowControl/>
        <w:numPr>
          <w:ilvl w:val="1"/>
          <w:numId w:val="21"/>
        </w:numPr>
      </w:pPr>
      <w:r>
        <w:t>It was also noted that representatives felt that these drugs should be assessed for their capacity for providing a cure within a 12 week period, not as longer term treatment strategies.</w:t>
      </w:r>
    </w:p>
    <w:p w:rsidR="001B04CE" w:rsidRDefault="001B04CE" w:rsidP="001B04CE">
      <w:pPr>
        <w:widowControl/>
      </w:pPr>
    </w:p>
    <w:p w:rsidR="00E667D6" w:rsidRPr="001B04CE" w:rsidRDefault="001B04CE" w:rsidP="001B04CE">
      <w:pPr>
        <w:pStyle w:val="ListParagraph"/>
        <w:widowControl/>
        <w:numPr>
          <w:ilvl w:val="1"/>
          <w:numId w:val="1"/>
        </w:numPr>
        <w:rPr>
          <w:szCs w:val="22"/>
        </w:rPr>
      </w:pPr>
      <w:r>
        <w:t>The PBAC noted and welcomed this input.</w:t>
      </w:r>
    </w:p>
    <w:p w:rsidR="006408E0" w:rsidRPr="006408E0" w:rsidRDefault="006408E0" w:rsidP="006408E0">
      <w:pPr>
        <w:pStyle w:val="PBACHeading1"/>
        <w:numPr>
          <w:ilvl w:val="0"/>
          <w:numId w:val="0"/>
        </w:numPr>
        <w:ind w:left="720" w:hanging="720"/>
      </w:pPr>
    </w:p>
    <w:p w:rsidR="002106DF" w:rsidRPr="00B8373F" w:rsidRDefault="002106DF" w:rsidP="002106DF">
      <w:pPr>
        <w:pStyle w:val="PBACHeading1"/>
        <w:numPr>
          <w:ilvl w:val="0"/>
          <w:numId w:val="0"/>
        </w:numPr>
        <w:ind w:left="720"/>
        <w:rPr>
          <w:b w:val="0"/>
        </w:rPr>
      </w:pPr>
      <w:r w:rsidRPr="00B8373F">
        <w:rPr>
          <w:b w:val="0"/>
          <w:i/>
        </w:rPr>
        <w:t>For more detail on PBAC’s view, see section 7 “PBAC outcome”</w:t>
      </w:r>
    </w:p>
    <w:p w:rsidR="00760EA5" w:rsidRPr="00882085" w:rsidRDefault="00760EA5" w:rsidP="00760EA5"/>
    <w:p w:rsidR="00760EA5" w:rsidRPr="00813606" w:rsidRDefault="00760EA5" w:rsidP="0078618A">
      <w:pPr>
        <w:pStyle w:val="Heading2"/>
      </w:pPr>
      <w:bookmarkStart w:id="6" w:name="_Toc409610880"/>
      <w:r w:rsidRPr="00813606">
        <w:t xml:space="preserve">Clinical </w:t>
      </w:r>
      <w:r w:rsidR="00512EBA" w:rsidRPr="00813606">
        <w:t>studies</w:t>
      </w:r>
      <w:bookmarkEnd w:id="6"/>
    </w:p>
    <w:p w:rsidR="00760EA5" w:rsidRPr="00882085" w:rsidRDefault="00760EA5" w:rsidP="00760EA5">
      <w:pPr>
        <w:rPr>
          <w:szCs w:val="22"/>
        </w:rPr>
      </w:pPr>
    </w:p>
    <w:p w:rsidR="004C34EB" w:rsidRPr="004C34EB" w:rsidRDefault="006A3A8E" w:rsidP="00BA53D4">
      <w:pPr>
        <w:pStyle w:val="ListParagraph"/>
        <w:widowControl/>
        <w:numPr>
          <w:ilvl w:val="1"/>
          <w:numId w:val="1"/>
        </w:numPr>
        <w:rPr>
          <w:szCs w:val="22"/>
        </w:rPr>
      </w:pPr>
      <w:r>
        <w:t>The submission wa</w:t>
      </w:r>
      <w:r w:rsidR="001E2F87" w:rsidRPr="001E2F87">
        <w:t>s based on one open-label single-arm stu</w:t>
      </w:r>
      <w:r w:rsidR="009541AE">
        <w:t xml:space="preserve">dy (Study 7026) and one study that had </w:t>
      </w:r>
      <w:r w:rsidR="001E2F87" w:rsidRPr="001E2F87">
        <w:t xml:space="preserve">both a randomised, double-blind, placebo-controlled component assessing safety outcomes and an open-label non-comparative component (Study 7028). </w:t>
      </w:r>
    </w:p>
    <w:p w:rsidR="004C34EB" w:rsidRPr="004C34EB" w:rsidRDefault="004C34EB" w:rsidP="004C34EB">
      <w:pPr>
        <w:pStyle w:val="ListParagraph"/>
        <w:widowControl/>
        <w:rPr>
          <w:szCs w:val="22"/>
        </w:rPr>
      </w:pPr>
    </w:p>
    <w:p w:rsidR="00E1479E" w:rsidRPr="005156AC" w:rsidRDefault="00E1479E" w:rsidP="00BA53D4">
      <w:pPr>
        <w:pStyle w:val="ListParagraph"/>
        <w:widowControl/>
        <w:numPr>
          <w:ilvl w:val="1"/>
          <w:numId w:val="1"/>
        </w:numPr>
        <w:rPr>
          <w:szCs w:val="22"/>
        </w:rPr>
      </w:pPr>
      <w:r w:rsidRPr="001E2F87">
        <w:t xml:space="preserve">In Study 7028, the subgroup of </w:t>
      </w:r>
      <w:r w:rsidR="003C6603">
        <w:t>treatment-naïve</w:t>
      </w:r>
      <w:r w:rsidRPr="001E2F87">
        <w:t xml:space="preserve"> patients were randomly assigned to receive either DCV+ASV for 24 weeks or placebo for 12 weeks followed by 24 weeks of DCV+ASV, with blinding of treatment assignment until Week 12; the remaining patients </w:t>
      </w:r>
      <w:r>
        <w:t>(</w:t>
      </w:r>
      <w:r w:rsidR="003C6603">
        <w:t>treatment-experienced</w:t>
      </w:r>
      <w:r>
        <w:t xml:space="preserve"> or intolerant/ineligible to peginterferon) </w:t>
      </w:r>
      <w:r w:rsidRPr="001E2F87">
        <w:t xml:space="preserve">entered directly into the open-label </w:t>
      </w:r>
      <w:r>
        <w:t xml:space="preserve">non-comparative </w:t>
      </w:r>
      <w:r w:rsidRPr="001E2F87">
        <w:t xml:space="preserve">component of the study. </w:t>
      </w:r>
      <w:r w:rsidRPr="005156AC">
        <w:t xml:space="preserve">For the assessment of comparative effectiveness, Study 7028 was essentially a single-arm study. Although comparative safety data were reported in the clinical study report (CSR), these data were not reported in the submission. </w:t>
      </w:r>
    </w:p>
    <w:p w:rsidR="004C34EB" w:rsidRPr="004C34EB" w:rsidRDefault="004C34EB" w:rsidP="004C34EB">
      <w:pPr>
        <w:pStyle w:val="ListParagraph"/>
        <w:widowControl/>
        <w:rPr>
          <w:szCs w:val="22"/>
        </w:rPr>
      </w:pPr>
    </w:p>
    <w:p w:rsidR="00760EA5" w:rsidRPr="001E2F87" w:rsidRDefault="001E2F87" w:rsidP="00BA53D4">
      <w:pPr>
        <w:pStyle w:val="ListParagraph"/>
        <w:widowControl/>
        <w:numPr>
          <w:ilvl w:val="1"/>
          <w:numId w:val="1"/>
        </w:numPr>
        <w:rPr>
          <w:szCs w:val="22"/>
        </w:rPr>
      </w:pPr>
      <w:r w:rsidRPr="00F83D12">
        <w:t xml:space="preserve">Study 7026 was an open-label single arm study in Japanese patients with HCV genotype 1b infection. The study included 222 patients: </w:t>
      </w:r>
      <w:r w:rsidR="009C45B8">
        <w:t>87</w:t>
      </w:r>
      <w:r w:rsidR="009C45B8" w:rsidRPr="00F83D12">
        <w:t xml:space="preserve"> </w:t>
      </w:r>
      <w:r w:rsidRPr="00F83D12">
        <w:t xml:space="preserve">non-responders (null or partial responders) to prior therapy with PR, and </w:t>
      </w:r>
      <w:r w:rsidR="009C45B8">
        <w:t>135</w:t>
      </w:r>
      <w:r w:rsidR="009C45B8" w:rsidRPr="00F83D12">
        <w:t xml:space="preserve"> </w:t>
      </w:r>
      <w:r w:rsidRPr="00F83D12">
        <w:t xml:space="preserve">patients who were either intolerant </w:t>
      </w:r>
      <w:bookmarkStart w:id="7" w:name="_GoBack"/>
      <w:bookmarkEnd w:id="7"/>
      <w:r w:rsidRPr="00F83D12">
        <w:t>to</w:t>
      </w:r>
      <w:r w:rsidR="00E1479E">
        <w:t>,</w:t>
      </w:r>
      <w:r w:rsidRPr="00F83D12">
        <w:t xml:space="preserve"> or ineligible for</w:t>
      </w:r>
      <w:r w:rsidR="00E1479E">
        <w:t>,</w:t>
      </w:r>
      <w:r w:rsidRPr="00F83D12">
        <w:t xml:space="preserve"> peginterferon therapy. All patients were assigned to receive DCV+ASV for 24 weeks.</w:t>
      </w:r>
      <w:r w:rsidRPr="001E2F87">
        <w:rPr>
          <w:i/>
        </w:rPr>
        <w:t xml:space="preserve"> </w:t>
      </w:r>
    </w:p>
    <w:p w:rsidR="00760EA5" w:rsidRDefault="00760EA5" w:rsidP="00760EA5">
      <w:pPr>
        <w:widowControl/>
        <w:rPr>
          <w:szCs w:val="22"/>
        </w:rPr>
      </w:pPr>
    </w:p>
    <w:p w:rsidR="00760EA5" w:rsidRPr="00B50DB8" w:rsidRDefault="00760EA5" w:rsidP="00BA53D4">
      <w:pPr>
        <w:pStyle w:val="ListParagraph"/>
        <w:widowControl/>
        <w:numPr>
          <w:ilvl w:val="1"/>
          <w:numId w:val="1"/>
        </w:numPr>
        <w:rPr>
          <w:szCs w:val="22"/>
        </w:rPr>
      </w:pPr>
      <w:r w:rsidRPr="00B50DB8">
        <w:rPr>
          <w:szCs w:val="22"/>
        </w:rPr>
        <w:t xml:space="preserve">Details of the </w:t>
      </w:r>
      <w:r>
        <w:rPr>
          <w:szCs w:val="22"/>
        </w:rPr>
        <w:t>stud</w:t>
      </w:r>
      <w:r w:rsidR="001E2F87">
        <w:rPr>
          <w:szCs w:val="22"/>
        </w:rPr>
        <w:t>ies</w:t>
      </w:r>
      <w:r w:rsidR="006A3A8E">
        <w:rPr>
          <w:szCs w:val="22"/>
        </w:rPr>
        <w:t xml:space="preserve"> presented in the submission a</w:t>
      </w:r>
      <w:r w:rsidR="00E1479E">
        <w:rPr>
          <w:szCs w:val="22"/>
        </w:rPr>
        <w:t xml:space="preserve">re provided in </w:t>
      </w:r>
      <w:r w:rsidR="00DB3E46">
        <w:rPr>
          <w:szCs w:val="22"/>
        </w:rPr>
        <w:t>the table below</w:t>
      </w:r>
      <w:r w:rsidRPr="00B50DB8">
        <w:rPr>
          <w:szCs w:val="22"/>
        </w:rPr>
        <w:t xml:space="preserve">.  </w:t>
      </w:r>
    </w:p>
    <w:p w:rsidR="004C019E" w:rsidRDefault="004C019E">
      <w:pPr>
        <w:widowControl/>
        <w:jc w:val="left"/>
        <w:rPr>
          <w:rStyle w:val="CommentReference"/>
        </w:rPr>
      </w:pPr>
    </w:p>
    <w:p w:rsidR="00760EA5" w:rsidRPr="00D63214" w:rsidRDefault="00D131D8" w:rsidP="006C1ABD">
      <w:pPr>
        <w:keepNext/>
        <w:keepLines/>
        <w:ind w:firstLine="720"/>
        <w:rPr>
          <w:rStyle w:val="CommentReference"/>
        </w:rPr>
      </w:pPr>
      <w:r w:rsidRPr="00D63214">
        <w:rPr>
          <w:rStyle w:val="CommentReference"/>
        </w:rPr>
        <w:lastRenderedPageBreak/>
        <w:t>Studies</w:t>
      </w:r>
      <w:r w:rsidR="00760EA5" w:rsidRPr="00D63214">
        <w:rPr>
          <w:rStyle w:val="CommentReference"/>
        </w:rPr>
        <w:t xml:space="preserve"> and associated reports presented in the submission</w:t>
      </w:r>
    </w:p>
    <w:tbl>
      <w:tblPr>
        <w:tblW w:w="4647" w:type="pct"/>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linical trials and associated reports presented in the submission"/>
      </w:tblPr>
      <w:tblGrid>
        <w:gridCol w:w="1502"/>
        <w:gridCol w:w="3564"/>
        <w:gridCol w:w="3375"/>
      </w:tblGrid>
      <w:tr w:rsidR="00760EA5" w:rsidRPr="004E2ADC" w:rsidTr="000570F8">
        <w:tc>
          <w:tcPr>
            <w:tcW w:w="890" w:type="pct"/>
          </w:tcPr>
          <w:p w:rsidR="00760EA5" w:rsidRPr="004E2ADC" w:rsidRDefault="002F473A" w:rsidP="006C1ABD">
            <w:pPr>
              <w:keepNext/>
              <w:keepLines/>
              <w:jc w:val="left"/>
              <w:rPr>
                <w:rFonts w:ascii="Arial Narrow" w:hAnsi="Arial Narrow"/>
                <w:b/>
                <w:sz w:val="20"/>
              </w:rPr>
            </w:pPr>
            <w:r>
              <w:rPr>
                <w:rFonts w:ascii="Arial Narrow" w:hAnsi="Arial Narrow"/>
                <w:b/>
                <w:sz w:val="20"/>
              </w:rPr>
              <w:t>Study</w:t>
            </w:r>
            <w:r w:rsidR="00760EA5" w:rsidRPr="004E2ADC">
              <w:rPr>
                <w:rFonts w:ascii="Arial Narrow" w:hAnsi="Arial Narrow"/>
                <w:b/>
                <w:sz w:val="20"/>
              </w:rPr>
              <w:t xml:space="preserve"> ID</w:t>
            </w:r>
          </w:p>
        </w:tc>
        <w:tc>
          <w:tcPr>
            <w:tcW w:w="2111" w:type="pct"/>
          </w:tcPr>
          <w:p w:rsidR="00760EA5" w:rsidRPr="004E2ADC" w:rsidRDefault="00760EA5" w:rsidP="006C1ABD">
            <w:pPr>
              <w:keepNext/>
              <w:keepLines/>
              <w:jc w:val="center"/>
              <w:rPr>
                <w:rFonts w:ascii="Arial Narrow" w:hAnsi="Arial Narrow"/>
                <w:b/>
                <w:sz w:val="20"/>
              </w:rPr>
            </w:pPr>
            <w:r w:rsidRPr="004E2ADC">
              <w:rPr>
                <w:rFonts w:ascii="Arial Narrow" w:hAnsi="Arial Narrow"/>
                <w:b/>
                <w:sz w:val="20"/>
              </w:rPr>
              <w:t>Protocol title/ Publication title</w:t>
            </w:r>
          </w:p>
        </w:tc>
        <w:tc>
          <w:tcPr>
            <w:tcW w:w="1999" w:type="pct"/>
          </w:tcPr>
          <w:p w:rsidR="00760EA5" w:rsidRPr="004E2ADC" w:rsidRDefault="00760EA5" w:rsidP="006C1ABD">
            <w:pPr>
              <w:keepNext/>
              <w:keepLines/>
              <w:jc w:val="center"/>
              <w:rPr>
                <w:rFonts w:ascii="Arial Narrow" w:hAnsi="Arial Narrow"/>
                <w:b/>
                <w:sz w:val="20"/>
              </w:rPr>
            </w:pPr>
            <w:r w:rsidRPr="004E2ADC">
              <w:rPr>
                <w:rFonts w:ascii="Arial Narrow" w:hAnsi="Arial Narrow"/>
                <w:b/>
                <w:sz w:val="20"/>
              </w:rPr>
              <w:t>Publication citation</w:t>
            </w:r>
          </w:p>
        </w:tc>
      </w:tr>
      <w:tr w:rsidR="00760EA5" w:rsidRPr="004E2ADC" w:rsidTr="000570F8">
        <w:tc>
          <w:tcPr>
            <w:tcW w:w="5000" w:type="pct"/>
            <w:gridSpan w:val="3"/>
            <w:tcBorders>
              <w:bottom w:val="single" w:sz="4" w:space="0" w:color="auto"/>
            </w:tcBorders>
          </w:tcPr>
          <w:p w:rsidR="00760EA5" w:rsidRPr="004E2ADC" w:rsidRDefault="00760EA5" w:rsidP="006C1ABD">
            <w:pPr>
              <w:keepNext/>
              <w:keepLines/>
              <w:jc w:val="left"/>
              <w:rPr>
                <w:rFonts w:ascii="Arial Narrow" w:hAnsi="Arial Narrow"/>
                <w:b/>
                <w:sz w:val="20"/>
              </w:rPr>
            </w:pPr>
            <w:r>
              <w:rPr>
                <w:rFonts w:ascii="Arial Narrow" w:hAnsi="Arial Narrow"/>
                <w:b/>
                <w:sz w:val="20"/>
              </w:rPr>
              <w:t>DCV+ASV</w:t>
            </w:r>
          </w:p>
        </w:tc>
      </w:tr>
      <w:tr w:rsidR="00760EA5" w:rsidRPr="004E2ADC" w:rsidTr="000570F8">
        <w:tc>
          <w:tcPr>
            <w:tcW w:w="890" w:type="pct"/>
            <w:tcBorders>
              <w:bottom w:val="nil"/>
            </w:tcBorders>
          </w:tcPr>
          <w:p w:rsidR="00760EA5" w:rsidRPr="004E2ADC" w:rsidRDefault="00760EA5" w:rsidP="006C1ABD">
            <w:pPr>
              <w:keepNext/>
              <w:keepLines/>
              <w:jc w:val="left"/>
              <w:rPr>
                <w:rFonts w:ascii="Arial Narrow" w:hAnsi="Arial Narrow"/>
                <w:sz w:val="20"/>
              </w:rPr>
            </w:pPr>
            <w:r>
              <w:rPr>
                <w:rFonts w:ascii="Arial Narrow" w:hAnsi="Arial Narrow"/>
                <w:sz w:val="20"/>
              </w:rPr>
              <w:t>Study 7026</w:t>
            </w:r>
          </w:p>
        </w:tc>
        <w:tc>
          <w:tcPr>
            <w:tcW w:w="2111" w:type="pct"/>
            <w:tcBorders>
              <w:bottom w:val="nil"/>
            </w:tcBorders>
          </w:tcPr>
          <w:p w:rsidR="00760EA5" w:rsidRPr="00015014" w:rsidRDefault="00760EA5" w:rsidP="006C1ABD">
            <w:pPr>
              <w:pStyle w:val="TableText1"/>
              <w:keepNext/>
              <w:keepLines/>
              <w:rPr>
                <w:rFonts w:ascii="Arial Narrow" w:hAnsi="Arial Narrow" w:cs="Arial"/>
                <w:snapToGrid w:val="0"/>
                <w:color w:val="auto"/>
                <w:szCs w:val="20"/>
              </w:rPr>
            </w:pPr>
            <w:r>
              <w:rPr>
                <w:rFonts w:ascii="Arial Narrow" w:hAnsi="Arial Narrow" w:cs="Arial"/>
                <w:snapToGrid w:val="0"/>
                <w:color w:val="auto"/>
                <w:szCs w:val="20"/>
              </w:rPr>
              <w:t>Final c</w:t>
            </w:r>
            <w:r w:rsidRPr="00015014">
              <w:rPr>
                <w:rFonts w:ascii="Arial Narrow" w:hAnsi="Arial Narrow" w:cs="Arial"/>
                <w:snapToGrid w:val="0"/>
                <w:color w:val="auto"/>
                <w:szCs w:val="20"/>
              </w:rPr>
              <w:t xml:space="preserve">linical </w:t>
            </w:r>
            <w:r>
              <w:rPr>
                <w:rFonts w:ascii="Arial Narrow" w:hAnsi="Arial Narrow" w:cs="Arial"/>
                <w:snapToGrid w:val="0"/>
                <w:color w:val="auto"/>
                <w:szCs w:val="20"/>
              </w:rPr>
              <w:t>study r</w:t>
            </w:r>
            <w:r w:rsidRPr="00015014">
              <w:rPr>
                <w:rFonts w:ascii="Arial Narrow" w:hAnsi="Arial Narrow" w:cs="Arial"/>
                <w:snapToGrid w:val="0"/>
                <w:color w:val="auto"/>
                <w:szCs w:val="20"/>
              </w:rPr>
              <w:t>eport for Stud</w:t>
            </w:r>
            <w:r>
              <w:rPr>
                <w:rFonts w:ascii="Arial Narrow" w:hAnsi="Arial Narrow" w:cs="Arial"/>
                <w:snapToGrid w:val="0"/>
                <w:color w:val="auto"/>
                <w:szCs w:val="20"/>
              </w:rPr>
              <w:t>y AI447026: A phase 3 Japanese s</w:t>
            </w:r>
            <w:r w:rsidRPr="00015014">
              <w:rPr>
                <w:rFonts w:ascii="Arial Narrow" w:hAnsi="Arial Narrow" w:cs="Arial"/>
                <w:snapToGrid w:val="0"/>
                <w:color w:val="auto"/>
                <w:szCs w:val="20"/>
              </w:rPr>
              <w:t>tudy o</w:t>
            </w:r>
            <w:r>
              <w:rPr>
                <w:rFonts w:ascii="Arial Narrow" w:hAnsi="Arial Narrow" w:cs="Arial"/>
                <w:snapToGrid w:val="0"/>
                <w:color w:val="auto"/>
                <w:szCs w:val="20"/>
              </w:rPr>
              <w:t>f BMS-790052 Plus BMS-650032 combination t</w:t>
            </w:r>
            <w:r w:rsidRPr="00015014">
              <w:rPr>
                <w:rFonts w:ascii="Arial Narrow" w:hAnsi="Arial Narrow" w:cs="Arial"/>
                <w:snapToGrid w:val="0"/>
                <w:color w:val="auto"/>
                <w:szCs w:val="20"/>
              </w:rPr>
              <w:t xml:space="preserve">herapy in </w:t>
            </w:r>
            <w:r>
              <w:rPr>
                <w:rFonts w:ascii="Arial Narrow" w:hAnsi="Arial Narrow" w:cs="Arial"/>
                <w:snapToGrid w:val="0"/>
                <w:color w:val="auto"/>
                <w:szCs w:val="20"/>
              </w:rPr>
              <w:t>chronic hepatitis C genotype 1b Infected subjects who are non-response to i</w:t>
            </w:r>
            <w:r w:rsidRPr="00015014">
              <w:rPr>
                <w:rFonts w:ascii="Arial Narrow" w:hAnsi="Arial Narrow" w:cs="Arial"/>
                <w:snapToGrid w:val="0"/>
                <w:color w:val="auto"/>
                <w:szCs w:val="20"/>
              </w:rPr>
              <w:t xml:space="preserve">nterferon plus </w:t>
            </w:r>
            <w:r>
              <w:rPr>
                <w:rFonts w:ascii="Arial Narrow" w:hAnsi="Arial Narrow" w:cs="Arial"/>
                <w:snapToGrid w:val="0"/>
                <w:color w:val="auto"/>
                <w:szCs w:val="20"/>
              </w:rPr>
              <w:t>r</w:t>
            </w:r>
            <w:r w:rsidRPr="00015014">
              <w:rPr>
                <w:rFonts w:ascii="Arial Narrow" w:hAnsi="Arial Narrow" w:cs="Arial"/>
                <w:snapToGrid w:val="0"/>
                <w:color w:val="auto"/>
                <w:szCs w:val="20"/>
              </w:rPr>
              <w:t xml:space="preserve">ibavirin and </w:t>
            </w:r>
            <w:r>
              <w:rPr>
                <w:rFonts w:ascii="Arial Narrow" w:hAnsi="Arial Narrow" w:cs="Arial"/>
                <w:snapToGrid w:val="0"/>
                <w:color w:val="auto"/>
                <w:szCs w:val="20"/>
              </w:rPr>
              <w:t>i</w:t>
            </w:r>
            <w:r w:rsidRPr="00015014">
              <w:rPr>
                <w:rFonts w:ascii="Arial Narrow" w:hAnsi="Arial Narrow" w:cs="Arial"/>
                <w:snapToGrid w:val="0"/>
                <w:color w:val="auto"/>
                <w:szCs w:val="20"/>
              </w:rPr>
              <w:t>nterferon-</w:t>
            </w:r>
            <w:r>
              <w:rPr>
                <w:rFonts w:ascii="Arial Narrow" w:hAnsi="Arial Narrow" w:cs="Arial"/>
                <w:snapToGrid w:val="0"/>
                <w:color w:val="auto"/>
                <w:szCs w:val="20"/>
              </w:rPr>
              <w:t>based therapy i</w:t>
            </w:r>
            <w:r w:rsidRPr="00015014">
              <w:rPr>
                <w:rFonts w:ascii="Arial Narrow" w:hAnsi="Arial Narrow" w:cs="Arial"/>
                <w:snapToGrid w:val="0"/>
                <w:color w:val="auto"/>
                <w:szCs w:val="20"/>
              </w:rPr>
              <w:t xml:space="preserve">neligible </w:t>
            </w:r>
            <w:r>
              <w:rPr>
                <w:rFonts w:ascii="Arial Narrow" w:hAnsi="Arial Narrow" w:cs="Arial"/>
                <w:snapToGrid w:val="0"/>
                <w:color w:val="auto"/>
                <w:szCs w:val="20"/>
              </w:rPr>
              <w:t>n</w:t>
            </w:r>
            <w:r w:rsidRPr="00015014">
              <w:rPr>
                <w:rFonts w:ascii="Arial Narrow" w:hAnsi="Arial Narrow" w:cs="Arial"/>
                <w:snapToGrid w:val="0"/>
                <w:color w:val="auto"/>
                <w:szCs w:val="20"/>
              </w:rPr>
              <w:t>aive/</w:t>
            </w:r>
            <w:r>
              <w:rPr>
                <w:rFonts w:ascii="Arial Narrow" w:hAnsi="Arial Narrow" w:cs="Arial"/>
                <w:snapToGrid w:val="0"/>
                <w:color w:val="auto"/>
                <w:szCs w:val="20"/>
              </w:rPr>
              <w:t>i</w:t>
            </w:r>
            <w:r w:rsidRPr="00015014">
              <w:rPr>
                <w:rFonts w:ascii="Arial Narrow" w:hAnsi="Arial Narrow" w:cs="Arial"/>
                <w:snapToGrid w:val="0"/>
                <w:color w:val="auto"/>
                <w:szCs w:val="20"/>
              </w:rPr>
              <w:t>ntolerant</w:t>
            </w:r>
          </w:p>
        </w:tc>
        <w:tc>
          <w:tcPr>
            <w:tcW w:w="1999" w:type="pct"/>
            <w:tcBorders>
              <w:bottom w:val="nil"/>
            </w:tcBorders>
          </w:tcPr>
          <w:p w:rsidR="00760EA5" w:rsidRPr="004E2ADC" w:rsidRDefault="00760EA5" w:rsidP="006C1ABD">
            <w:pPr>
              <w:keepNext/>
              <w:keepLines/>
              <w:jc w:val="left"/>
              <w:rPr>
                <w:rFonts w:ascii="Arial Narrow" w:hAnsi="Arial Narrow"/>
                <w:sz w:val="20"/>
              </w:rPr>
            </w:pPr>
            <w:r>
              <w:rPr>
                <w:rFonts w:ascii="Arial Narrow" w:hAnsi="Arial Narrow"/>
                <w:sz w:val="20"/>
              </w:rPr>
              <w:t>August 2013</w:t>
            </w:r>
          </w:p>
          <w:p w:rsidR="00760EA5" w:rsidRPr="004E2ADC" w:rsidRDefault="00760EA5" w:rsidP="006C1ABD">
            <w:pPr>
              <w:keepNext/>
              <w:keepLines/>
              <w:jc w:val="left"/>
              <w:rPr>
                <w:rFonts w:ascii="Arial Narrow" w:hAnsi="Arial Narrow"/>
                <w:b/>
                <w:sz w:val="20"/>
              </w:rPr>
            </w:pPr>
          </w:p>
        </w:tc>
      </w:tr>
      <w:tr w:rsidR="00760EA5" w:rsidRPr="004E2ADC" w:rsidTr="000570F8">
        <w:tc>
          <w:tcPr>
            <w:tcW w:w="890" w:type="pct"/>
            <w:tcBorders>
              <w:top w:val="nil"/>
            </w:tcBorders>
          </w:tcPr>
          <w:p w:rsidR="00760EA5" w:rsidRDefault="00760EA5" w:rsidP="006C1ABD">
            <w:pPr>
              <w:keepNext/>
              <w:keepLines/>
              <w:jc w:val="left"/>
              <w:rPr>
                <w:rFonts w:ascii="Arial Narrow" w:hAnsi="Arial Narrow"/>
                <w:sz w:val="20"/>
              </w:rPr>
            </w:pPr>
          </w:p>
        </w:tc>
        <w:tc>
          <w:tcPr>
            <w:tcW w:w="2111" w:type="pct"/>
            <w:tcBorders>
              <w:top w:val="nil"/>
            </w:tcBorders>
          </w:tcPr>
          <w:p w:rsidR="00760EA5" w:rsidRPr="00015014" w:rsidRDefault="00760EA5" w:rsidP="006C1ABD">
            <w:pPr>
              <w:pStyle w:val="TableText1"/>
              <w:keepNext/>
              <w:keepLines/>
              <w:rPr>
                <w:rFonts w:ascii="Arial Narrow" w:hAnsi="Arial Narrow" w:cs="Arial"/>
                <w:snapToGrid w:val="0"/>
                <w:color w:val="auto"/>
                <w:szCs w:val="20"/>
              </w:rPr>
            </w:pPr>
            <w:r w:rsidRPr="00015014">
              <w:rPr>
                <w:rFonts w:ascii="Arial Narrow" w:hAnsi="Arial Narrow" w:cs="Arial"/>
                <w:snapToGrid w:val="0"/>
                <w:color w:val="auto"/>
                <w:szCs w:val="20"/>
              </w:rPr>
              <w:t xml:space="preserve">Kumada, H. </w:t>
            </w:r>
            <w:r w:rsidRPr="00015014">
              <w:rPr>
                <w:rFonts w:ascii="Arial Narrow" w:hAnsi="Arial Narrow" w:cs="Arial"/>
                <w:i/>
                <w:snapToGrid w:val="0"/>
                <w:color w:val="auto"/>
                <w:szCs w:val="20"/>
              </w:rPr>
              <w:t>et al</w:t>
            </w:r>
            <w:r>
              <w:rPr>
                <w:rFonts w:ascii="Arial Narrow" w:hAnsi="Arial Narrow" w:cs="Arial"/>
                <w:snapToGrid w:val="0"/>
                <w:color w:val="auto"/>
                <w:szCs w:val="20"/>
              </w:rPr>
              <w:t xml:space="preserve">., </w:t>
            </w:r>
            <w:r w:rsidRPr="00015014">
              <w:rPr>
                <w:rFonts w:ascii="Arial Narrow" w:hAnsi="Arial Narrow" w:cs="Arial"/>
                <w:snapToGrid w:val="0"/>
                <w:color w:val="auto"/>
                <w:szCs w:val="20"/>
              </w:rPr>
              <w:t xml:space="preserve">Daclatasvir plus asunaprevir for chronic HCV genotype 1b infection: </w:t>
            </w:r>
          </w:p>
        </w:tc>
        <w:tc>
          <w:tcPr>
            <w:tcW w:w="1999" w:type="pct"/>
            <w:tcBorders>
              <w:top w:val="nil"/>
            </w:tcBorders>
          </w:tcPr>
          <w:p w:rsidR="00760EA5" w:rsidRPr="00407CC3" w:rsidRDefault="00760EA5" w:rsidP="006C1ABD">
            <w:pPr>
              <w:keepNext/>
              <w:keepLines/>
              <w:jc w:val="left"/>
              <w:rPr>
                <w:rFonts w:ascii="Arial Narrow" w:hAnsi="Arial Narrow"/>
                <w:sz w:val="20"/>
              </w:rPr>
            </w:pPr>
            <w:r w:rsidRPr="00407CC3">
              <w:rPr>
                <w:rFonts w:ascii="Arial Narrow" w:hAnsi="Arial Narrow"/>
                <w:i/>
                <w:snapToGrid/>
                <w:sz w:val="20"/>
              </w:rPr>
              <w:t>Hepatology</w:t>
            </w:r>
            <w:r w:rsidRPr="00407CC3">
              <w:rPr>
                <w:rFonts w:ascii="Arial Narrow" w:hAnsi="Arial Narrow"/>
                <w:snapToGrid/>
                <w:sz w:val="20"/>
              </w:rPr>
              <w:t xml:space="preserve"> 2014; 59 (6): 2083-2091.</w:t>
            </w:r>
          </w:p>
        </w:tc>
      </w:tr>
      <w:tr w:rsidR="00760EA5" w:rsidRPr="004E2ADC" w:rsidTr="000570F8">
        <w:tc>
          <w:tcPr>
            <w:tcW w:w="890" w:type="pct"/>
          </w:tcPr>
          <w:p w:rsidR="00760EA5" w:rsidRPr="004E2ADC" w:rsidRDefault="00760EA5" w:rsidP="006C1ABD">
            <w:pPr>
              <w:keepNext/>
              <w:keepLines/>
              <w:jc w:val="left"/>
              <w:rPr>
                <w:rFonts w:ascii="Arial Narrow" w:hAnsi="Arial Narrow"/>
                <w:sz w:val="20"/>
              </w:rPr>
            </w:pPr>
            <w:r>
              <w:rPr>
                <w:rFonts w:ascii="Arial Narrow" w:hAnsi="Arial Narrow"/>
                <w:sz w:val="20"/>
              </w:rPr>
              <w:t>Study 7028</w:t>
            </w:r>
          </w:p>
        </w:tc>
        <w:tc>
          <w:tcPr>
            <w:tcW w:w="2111" w:type="pct"/>
          </w:tcPr>
          <w:p w:rsidR="00760EA5" w:rsidRPr="004E2ADC" w:rsidRDefault="00760EA5" w:rsidP="006C1ABD">
            <w:pPr>
              <w:keepNext/>
              <w:keepLines/>
              <w:jc w:val="left"/>
              <w:rPr>
                <w:rFonts w:ascii="Arial Narrow" w:hAnsi="Arial Narrow"/>
                <w:b/>
                <w:sz w:val="20"/>
              </w:rPr>
            </w:pPr>
            <w:r w:rsidRPr="00015014">
              <w:rPr>
                <w:rFonts w:ascii="Arial Narrow" w:hAnsi="Arial Narrow"/>
                <w:sz w:val="20"/>
              </w:rPr>
              <w:t xml:space="preserve">Final Clinical Study Report for Study AI447028: A </w:t>
            </w:r>
            <w:r>
              <w:rPr>
                <w:rFonts w:ascii="Arial Narrow" w:hAnsi="Arial Narrow"/>
                <w:sz w:val="20"/>
              </w:rPr>
              <w:t>p</w:t>
            </w:r>
            <w:r w:rsidRPr="00015014">
              <w:rPr>
                <w:rFonts w:ascii="Arial Narrow" w:hAnsi="Arial Narrow"/>
                <w:sz w:val="20"/>
              </w:rPr>
              <w:t xml:space="preserve">hase 3 </w:t>
            </w:r>
            <w:r>
              <w:rPr>
                <w:rFonts w:ascii="Arial Narrow" w:hAnsi="Arial Narrow"/>
                <w:sz w:val="20"/>
              </w:rPr>
              <w:t>s</w:t>
            </w:r>
            <w:r w:rsidRPr="00015014">
              <w:rPr>
                <w:rFonts w:ascii="Arial Narrow" w:hAnsi="Arial Narrow"/>
                <w:sz w:val="20"/>
              </w:rPr>
              <w:t xml:space="preserve">tudy with </w:t>
            </w:r>
            <w:r>
              <w:rPr>
                <w:rFonts w:ascii="Arial Narrow" w:hAnsi="Arial Narrow"/>
                <w:sz w:val="20"/>
              </w:rPr>
              <w:t>asunaprevir and d</w:t>
            </w:r>
            <w:r w:rsidRPr="00015014">
              <w:rPr>
                <w:rFonts w:ascii="Arial Narrow" w:hAnsi="Arial Narrow"/>
                <w:sz w:val="20"/>
              </w:rPr>
              <w:t xml:space="preserve">aclatasvir (DUAL) for </w:t>
            </w:r>
            <w:r>
              <w:rPr>
                <w:rFonts w:ascii="Arial Narrow" w:hAnsi="Arial Narrow"/>
                <w:sz w:val="20"/>
              </w:rPr>
              <w:t>n</w:t>
            </w:r>
            <w:r w:rsidRPr="00015014">
              <w:rPr>
                <w:rFonts w:ascii="Arial Narrow" w:hAnsi="Arial Narrow"/>
                <w:sz w:val="20"/>
              </w:rPr>
              <w:t>ull</w:t>
            </w:r>
            <w:r>
              <w:rPr>
                <w:rFonts w:ascii="Arial Narrow" w:hAnsi="Arial Narrow"/>
                <w:sz w:val="20"/>
              </w:rPr>
              <w:t xml:space="preserve"> or partial responders to p</w:t>
            </w:r>
            <w:r w:rsidRPr="00015014">
              <w:rPr>
                <w:rFonts w:ascii="Arial Narrow" w:hAnsi="Arial Narrow"/>
                <w:sz w:val="20"/>
              </w:rPr>
              <w:t xml:space="preserve">eg-interferon </w:t>
            </w:r>
            <w:r>
              <w:rPr>
                <w:rFonts w:ascii="Arial Narrow" w:hAnsi="Arial Narrow"/>
                <w:sz w:val="20"/>
              </w:rPr>
              <w:t>alfa and ribavirin (P/R), intolerant or i</w:t>
            </w:r>
            <w:r w:rsidRPr="00015014">
              <w:rPr>
                <w:rFonts w:ascii="Arial Narrow" w:hAnsi="Arial Narrow"/>
                <w:sz w:val="20"/>
              </w:rPr>
              <w:t xml:space="preserve">neligible to P/R </w:t>
            </w:r>
            <w:r>
              <w:rPr>
                <w:rFonts w:ascii="Arial Narrow" w:hAnsi="Arial Narrow"/>
                <w:sz w:val="20"/>
              </w:rPr>
              <w:t xml:space="preserve">subjects and </w:t>
            </w:r>
            <w:r w:rsidR="00922990">
              <w:rPr>
                <w:rFonts w:ascii="Arial Narrow" w:hAnsi="Arial Narrow"/>
                <w:sz w:val="20"/>
              </w:rPr>
              <w:t>treatment-n</w:t>
            </w:r>
            <w:r>
              <w:rPr>
                <w:rFonts w:ascii="Arial Narrow" w:hAnsi="Arial Narrow"/>
                <w:sz w:val="20"/>
              </w:rPr>
              <w:t>aive subjects with chronic hepatitis C g</w:t>
            </w:r>
            <w:r w:rsidRPr="00015014">
              <w:rPr>
                <w:rFonts w:ascii="Arial Narrow" w:hAnsi="Arial Narrow"/>
                <w:sz w:val="20"/>
              </w:rPr>
              <w:t xml:space="preserve">enotype 1b </w:t>
            </w:r>
            <w:r>
              <w:rPr>
                <w:rFonts w:ascii="Arial Narrow" w:hAnsi="Arial Narrow"/>
                <w:sz w:val="20"/>
              </w:rPr>
              <w:t>i</w:t>
            </w:r>
            <w:r w:rsidRPr="00015014">
              <w:rPr>
                <w:rFonts w:ascii="Arial Narrow" w:hAnsi="Arial Narrow"/>
                <w:sz w:val="20"/>
              </w:rPr>
              <w:t>nfection</w:t>
            </w:r>
          </w:p>
        </w:tc>
        <w:tc>
          <w:tcPr>
            <w:tcW w:w="1999" w:type="pct"/>
          </w:tcPr>
          <w:p w:rsidR="00760EA5" w:rsidRPr="004E2ADC" w:rsidRDefault="00760EA5" w:rsidP="006C1ABD">
            <w:pPr>
              <w:keepNext/>
              <w:keepLines/>
              <w:jc w:val="left"/>
              <w:rPr>
                <w:rFonts w:ascii="Arial Narrow" w:hAnsi="Arial Narrow"/>
                <w:sz w:val="20"/>
              </w:rPr>
            </w:pPr>
            <w:r>
              <w:rPr>
                <w:rFonts w:ascii="Arial Narrow" w:hAnsi="Arial Narrow"/>
                <w:sz w:val="20"/>
              </w:rPr>
              <w:t>February 2014</w:t>
            </w:r>
          </w:p>
          <w:p w:rsidR="00760EA5" w:rsidRPr="004E2ADC" w:rsidRDefault="00760EA5" w:rsidP="006C1ABD">
            <w:pPr>
              <w:keepNext/>
              <w:keepLines/>
              <w:jc w:val="left"/>
              <w:rPr>
                <w:rFonts w:ascii="Arial Narrow" w:hAnsi="Arial Narrow"/>
                <w:b/>
                <w:sz w:val="20"/>
              </w:rPr>
            </w:pPr>
          </w:p>
        </w:tc>
      </w:tr>
    </w:tbl>
    <w:p w:rsidR="00760EA5" w:rsidRPr="00862502" w:rsidRDefault="00760EA5" w:rsidP="006C1ABD">
      <w:pPr>
        <w:pStyle w:val="TableFooter"/>
        <w:keepNext/>
        <w:keepLines/>
        <w:ind w:firstLine="720"/>
        <w:rPr>
          <w:szCs w:val="22"/>
        </w:rPr>
      </w:pPr>
      <w:r w:rsidRPr="00437C1A">
        <w:t>Source: Table 23, p71 of the submission</w:t>
      </w:r>
    </w:p>
    <w:p w:rsidR="00760EA5" w:rsidRPr="008F120A" w:rsidRDefault="00760EA5" w:rsidP="00760EA5">
      <w:pPr>
        <w:widowControl/>
        <w:rPr>
          <w:szCs w:val="22"/>
        </w:rPr>
      </w:pPr>
    </w:p>
    <w:p w:rsidR="00760EA5" w:rsidRDefault="00760EA5" w:rsidP="00BA53D4">
      <w:pPr>
        <w:pStyle w:val="ListParagraph"/>
        <w:widowControl/>
        <w:numPr>
          <w:ilvl w:val="1"/>
          <w:numId w:val="1"/>
        </w:numPr>
        <w:rPr>
          <w:szCs w:val="22"/>
        </w:rPr>
      </w:pPr>
      <w:r w:rsidRPr="00B50DB8">
        <w:rPr>
          <w:szCs w:val="22"/>
        </w:rPr>
        <w:t xml:space="preserve">The key features of the </w:t>
      </w:r>
      <w:r>
        <w:rPr>
          <w:szCs w:val="22"/>
        </w:rPr>
        <w:t>non-comparative stud</w:t>
      </w:r>
      <w:r w:rsidR="004C34EB">
        <w:rPr>
          <w:szCs w:val="22"/>
        </w:rPr>
        <w:t>ies</w:t>
      </w:r>
      <w:r w:rsidR="006A3A8E">
        <w:rPr>
          <w:szCs w:val="22"/>
        </w:rPr>
        <w:t xml:space="preserve"> a</w:t>
      </w:r>
      <w:r w:rsidRPr="00B50DB8">
        <w:rPr>
          <w:szCs w:val="22"/>
        </w:rPr>
        <w:t xml:space="preserve">re summarised </w:t>
      </w:r>
      <w:r w:rsidR="006C1ABD">
        <w:rPr>
          <w:szCs w:val="22"/>
        </w:rPr>
        <w:t>below</w:t>
      </w:r>
      <w:r w:rsidR="00E1479E">
        <w:rPr>
          <w:szCs w:val="22"/>
        </w:rPr>
        <w:t>.</w:t>
      </w:r>
    </w:p>
    <w:p w:rsidR="00760EA5" w:rsidRDefault="00760EA5" w:rsidP="00760EA5">
      <w:pPr>
        <w:widowControl/>
        <w:rPr>
          <w:szCs w:val="22"/>
        </w:rPr>
      </w:pPr>
    </w:p>
    <w:p w:rsidR="00760EA5" w:rsidRPr="00D63214" w:rsidRDefault="00760EA5" w:rsidP="00760EA5">
      <w:pPr>
        <w:ind w:firstLine="720"/>
        <w:rPr>
          <w:rStyle w:val="CommentReference"/>
        </w:rPr>
      </w:pPr>
      <w:r w:rsidRPr="00D63214">
        <w:rPr>
          <w:rStyle w:val="CommentReference"/>
        </w:rPr>
        <w:t>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non-comparative studies)"/>
      </w:tblPr>
      <w:tblGrid>
        <w:gridCol w:w="1133"/>
        <w:gridCol w:w="711"/>
        <w:gridCol w:w="1843"/>
        <w:gridCol w:w="991"/>
        <w:gridCol w:w="1417"/>
        <w:gridCol w:w="1133"/>
        <w:gridCol w:w="1117"/>
      </w:tblGrid>
      <w:tr w:rsidR="00760EA5" w:rsidRPr="007A7B7C" w:rsidTr="000570F8">
        <w:tc>
          <w:tcPr>
            <w:tcW w:w="679" w:type="pct"/>
            <w:shd w:val="clear" w:color="auto" w:fill="auto"/>
            <w:vAlign w:val="center"/>
          </w:tcPr>
          <w:p w:rsidR="00760EA5" w:rsidRPr="007A7B7C" w:rsidRDefault="007F61EE" w:rsidP="000570F8">
            <w:pPr>
              <w:jc w:val="left"/>
              <w:rPr>
                <w:rFonts w:ascii="Arial Narrow" w:hAnsi="Arial Narrow"/>
                <w:b/>
                <w:sz w:val="20"/>
                <w:lang w:val="en-US"/>
              </w:rPr>
            </w:pPr>
            <w:r w:rsidRPr="007A7B7C">
              <w:rPr>
                <w:rFonts w:ascii="Arial Narrow" w:hAnsi="Arial Narrow"/>
                <w:b/>
                <w:sz w:val="20"/>
                <w:lang w:val="en-US"/>
              </w:rPr>
              <w:t>Study</w:t>
            </w:r>
          </w:p>
        </w:tc>
        <w:tc>
          <w:tcPr>
            <w:tcW w:w="426" w:type="pct"/>
            <w:shd w:val="clear" w:color="auto" w:fill="auto"/>
            <w:vAlign w:val="center"/>
          </w:tcPr>
          <w:p w:rsidR="00760EA5" w:rsidRPr="007A7B7C" w:rsidRDefault="00760EA5" w:rsidP="000570F8">
            <w:pPr>
              <w:jc w:val="center"/>
              <w:rPr>
                <w:rFonts w:ascii="Arial Narrow" w:hAnsi="Arial Narrow"/>
                <w:b/>
                <w:sz w:val="20"/>
                <w:lang w:val="en-US"/>
              </w:rPr>
            </w:pPr>
            <w:r w:rsidRPr="007A7B7C">
              <w:rPr>
                <w:rFonts w:ascii="Arial Narrow" w:hAnsi="Arial Narrow"/>
                <w:b/>
                <w:sz w:val="20"/>
                <w:lang w:val="en-US"/>
              </w:rPr>
              <w:t>N</w:t>
            </w:r>
          </w:p>
        </w:tc>
        <w:tc>
          <w:tcPr>
            <w:tcW w:w="1104" w:type="pct"/>
            <w:shd w:val="clear" w:color="auto" w:fill="auto"/>
            <w:vAlign w:val="center"/>
          </w:tcPr>
          <w:p w:rsidR="00760EA5" w:rsidRPr="007A7B7C" w:rsidRDefault="00760EA5" w:rsidP="000570F8">
            <w:pPr>
              <w:jc w:val="center"/>
              <w:rPr>
                <w:rFonts w:ascii="Arial Narrow" w:hAnsi="Arial Narrow"/>
                <w:b/>
                <w:sz w:val="20"/>
                <w:lang w:val="en-US"/>
              </w:rPr>
            </w:pPr>
            <w:r w:rsidRPr="007A7B7C">
              <w:rPr>
                <w:rFonts w:ascii="Arial Narrow" w:hAnsi="Arial Narrow"/>
                <w:b/>
                <w:sz w:val="20"/>
                <w:lang w:val="en-US"/>
              </w:rPr>
              <w:t>Design/ duration</w:t>
            </w:r>
          </w:p>
        </w:tc>
        <w:tc>
          <w:tcPr>
            <w:tcW w:w="594" w:type="pct"/>
            <w:shd w:val="clear" w:color="auto" w:fill="auto"/>
            <w:vAlign w:val="center"/>
          </w:tcPr>
          <w:p w:rsidR="00760EA5" w:rsidRPr="007A7B7C" w:rsidRDefault="00760EA5" w:rsidP="000570F8">
            <w:pPr>
              <w:jc w:val="center"/>
              <w:rPr>
                <w:rFonts w:ascii="Arial Narrow" w:hAnsi="Arial Narrow"/>
                <w:b/>
                <w:sz w:val="20"/>
                <w:lang w:val="en-US"/>
              </w:rPr>
            </w:pPr>
            <w:r w:rsidRPr="007A7B7C">
              <w:rPr>
                <w:rFonts w:ascii="Arial Narrow" w:hAnsi="Arial Narrow"/>
                <w:b/>
                <w:sz w:val="20"/>
                <w:lang w:val="en-US"/>
              </w:rPr>
              <w:t>Risk of bias</w:t>
            </w:r>
          </w:p>
        </w:tc>
        <w:tc>
          <w:tcPr>
            <w:tcW w:w="849" w:type="pct"/>
            <w:shd w:val="clear" w:color="auto" w:fill="auto"/>
            <w:vAlign w:val="center"/>
          </w:tcPr>
          <w:p w:rsidR="00760EA5" w:rsidRPr="007A7B7C" w:rsidRDefault="00760EA5" w:rsidP="000570F8">
            <w:pPr>
              <w:jc w:val="center"/>
              <w:rPr>
                <w:rFonts w:ascii="Arial Narrow" w:hAnsi="Arial Narrow"/>
                <w:b/>
                <w:sz w:val="20"/>
                <w:lang w:val="en-US"/>
              </w:rPr>
            </w:pPr>
            <w:r w:rsidRPr="007A7B7C">
              <w:rPr>
                <w:rFonts w:ascii="Arial Narrow" w:hAnsi="Arial Narrow"/>
                <w:b/>
                <w:sz w:val="20"/>
                <w:lang w:val="en-US"/>
              </w:rPr>
              <w:t>Patient population</w:t>
            </w:r>
          </w:p>
        </w:tc>
        <w:tc>
          <w:tcPr>
            <w:tcW w:w="679" w:type="pct"/>
            <w:shd w:val="clear" w:color="auto" w:fill="auto"/>
            <w:vAlign w:val="center"/>
          </w:tcPr>
          <w:p w:rsidR="00760EA5" w:rsidRPr="007A7B7C" w:rsidRDefault="00760EA5" w:rsidP="000570F8">
            <w:pPr>
              <w:jc w:val="center"/>
              <w:rPr>
                <w:rFonts w:ascii="Arial Narrow" w:hAnsi="Arial Narrow"/>
                <w:b/>
                <w:sz w:val="20"/>
                <w:lang w:val="en-US"/>
              </w:rPr>
            </w:pPr>
            <w:r w:rsidRPr="007A7B7C">
              <w:rPr>
                <w:rFonts w:ascii="Arial Narrow" w:hAnsi="Arial Narrow"/>
                <w:b/>
                <w:sz w:val="20"/>
                <w:lang w:val="en-US"/>
              </w:rPr>
              <w:t>Outcome</w:t>
            </w:r>
          </w:p>
        </w:tc>
        <w:tc>
          <w:tcPr>
            <w:tcW w:w="669" w:type="pct"/>
            <w:shd w:val="clear" w:color="auto" w:fill="auto"/>
            <w:vAlign w:val="center"/>
          </w:tcPr>
          <w:p w:rsidR="00760EA5" w:rsidRPr="007A7B7C" w:rsidRDefault="00760EA5" w:rsidP="000570F8">
            <w:pPr>
              <w:jc w:val="center"/>
              <w:rPr>
                <w:rFonts w:ascii="Arial Narrow" w:hAnsi="Arial Narrow"/>
                <w:b/>
                <w:sz w:val="20"/>
                <w:lang w:val="en-US"/>
              </w:rPr>
            </w:pPr>
            <w:r w:rsidRPr="007A7B7C">
              <w:rPr>
                <w:rFonts w:ascii="Arial Narrow" w:hAnsi="Arial Narrow"/>
                <w:b/>
                <w:sz w:val="20"/>
                <w:lang w:val="en-US"/>
              </w:rPr>
              <w:t>Use in modelled evaluation</w:t>
            </w:r>
          </w:p>
        </w:tc>
      </w:tr>
      <w:tr w:rsidR="00760EA5" w:rsidRPr="007A7B7C" w:rsidTr="000570F8">
        <w:tc>
          <w:tcPr>
            <w:tcW w:w="5000" w:type="pct"/>
            <w:gridSpan w:val="7"/>
            <w:shd w:val="clear" w:color="auto" w:fill="auto"/>
            <w:vAlign w:val="center"/>
          </w:tcPr>
          <w:p w:rsidR="00760EA5" w:rsidRPr="007A7B7C" w:rsidRDefault="00760EA5" w:rsidP="004C34EB">
            <w:pPr>
              <w:jc w:val="left"/>
              <w:rPr>
                <w:rFonts w:ascii="Arial Narrow" w:hAnsi="Arial Narrow"/>
                <w:b/>
                <w:sz w:val="20"/>
                <w:lang w:val="en-US"/>
              </w:rPr>
            </w:pPr>
            <w:r w:rsidRPr="007A7B7C">
              <w:rPr>
                <w:rFonts w:ascii="Arial Narrow" w:hAnsi="Arial Narrow"/>
                <w:b/>
                <w:sz w:val="20"/>
                <w:lang w:val="en-US"/>
              </w:rPr>
              <w:t>Non-comparative stud</w:t>
            </w:r>
            <w:r w:rsidR="004C34EB" w:rsidRPr="007A7B7C">
              <w:rPr>
                <w:rFonts w:ascii="Arial Narrow" w:hAnsi="Arial Narrow"/>
                <w:b/>
                <w:sz w:val="20"/>
                <w:lang w:val="en-US"/>
              </w:rPr>
              <w:t>ies</w:t>
            </w:r>
            <w:r w:rsidRPr="007A7B7C">
              <w:rPr>
                <w:rFonts w:ascii="Arial Narrow" w:hAnsi="Arial Narrow"/>
                <w:b/>
                <w:sz w:val="20"/>
                <w:lang w:val="en-US"/>
              </w:rPr>
              <w:t xml:space="preserve"> </w:t>
            </w:r>
          </w:p>
        </w:tc>
      </w:tr>
      <w:tr w:rsidR="00760EA5" w:rsidRPr="007A7B7C" w:rsidTr="000570F8">
        <w:tc>
          <w:tcPr>
            <w:tcW w:w="679" w:type="pct"/>
            <w:shd w:val="clear" w:color="auto" w:fill="auto"/>
            <w:vAlign w:val="center"/>
          </w:tcPr>
          <w:p w:rsidR="00760EA5" w:rsidRPr="007A7B7C" w:rsidRDefault="00760EA5" w:rsidP="004C34EB">
            <w:pPr>
              <w:jc w:val="left"/>
              <w:rPr>
                <w:rFonts w:ascii="Arial Narrow" w:hAnsi="Arial Narrow"/>
                <w:sz w:val="20"/>
                <w:lang w:val="en-US"/>
              </w:rPr>
            </w:pPr>
            <w:r w:rsidRPr="007A7B7C">
              <w:rPr>
                <w:rFonts w:ascii="Arial Narrow" w:hAnsi="Arial Narrow"/>
                <w:sz w:val="20"/>
                <w:lang w:val="en-US"/>
              </w:rPr>
              <w:t xml:space="preserve">Study </w:t>
            </w:r>
            <w:r w:rsidR="004C34EB" w:rsidRPr="007A7B7C">
              <w:rPr>
                <w:rFonts w:ascii="Arial Narrow" w:hAnsi="Arial Narrow"/>
                <w:sz w:val="20"/>
                <w:lang w:val="en-US"/>
              </w:rPr>
              <w:t>7026</w:t>
            </w:r>
          </w:p>
        </w:tc>
        <w:tc>
          <w:tcPr>
            <w:tcW w:w="426" w:type="pct"/>
            <w:shd w:val="clear" w:color="auto" w:fill="auto"/>
            <w:vAlign w:val="center"/>
          </w:tcPr>
          <w:p w:rsidR="00760EA5" w:rsidRPr="007A7B7C" w:rsidRDefault="004C34EB" w:rsidP="000570F8">
            <w:pPr>
              <w:jc w:val="center"/>
              <w:rPr>
                <w:rFonts w:ascii="Arial Narrow" w:hAnsi="Arial Narrow"/>
                <w:sz w:val="20"/>
                <w:lang w:val="en-US"/>
              </w:rPr>
            </w:pPr>
            <w:r w:rsidRPr="007A7B7C">
              <w:rPr>
                <w:rFonts w:ascii="Arial Narrow" w:hAnsi="Arial Narrow"/>
                <w:sz w:val="20"/>
                <w:lang w:val="en-US"/>
              </w:rPr>
              <w:t>222</w:t>
            </w:r>
          </w:p>
        </w:tc>
        <w:tc>
          <w:tcPr>
            <w:tcW w:w="1104" w:type="pct"/>
            <w:shd w:val="clear" w:color="auto" w:fill="auto"/>
            <w:vAlign w:val="center"/>
          </w:tcPr>
          <w:p w:rsidR="00760EA5" w:rsidRPr="007A7B7C" w:rsidRDefault="004C34EB" w:rsidP="000570F8">
            <w:pPr>
              <w:jc w:val="center"/>
              <w:rPr>
                <w:rFonts w:ascii="Arial Narrow" w:hAnsi="Arial Narrow"/>
                <w:sz w:val="20"/>
                <w:lang w:val="en-US"/>
              </w:rPr>
            </w:pPr>
            <w:r w:rsidRPr="007A7B7C">
              <w:rPr>
                <w:rFonts w:ascii="Arial Narrow" w:hAnsi="Arial Narrow"/>
                <w:sz w:val="20"/>
                <w:lang w:val="en-US"/>
              </w:rPr>
              <w:t>Single arm</w:t>
            </w:r>
            <w:r w:rsidR="00760EA5" w:rsidRPr="007A7B7C">
              <w:rPr>
                <w:rFonts w:ascii="Arial Narrow" w:hAnsi="Arial Narrow"/>
                <w:sz w:val="20"/>
                <w:lang w:val="en-US"/>
              </w:rPr>
              <w:t>, OL</w:t>
            </w:r>
          </w:p>
          <w:p w:rsidR="00760EA5" w:rsidRPr="007A7B7C" w:rsidRDefault="004C34EB" w:rsidP="004C34EB">
            <w:pPr>
              <w:jc w:val="center"/>
              <w:rPr>
                <w:rFonts w:ascii="Arial Narrow" w:hAnsi="Arial Narrow"/>
                <w:sz w:val="20"/>
                <w:lang w:val="en-US"/>
              </w:rPr>
            </w:pPr>
            <w:r w:rsidRPr="007A7B7C">
              <w:rPr>
                <w:rFonts w:ascii="Arial Narrow" w:hAnsi="Arial Narrow"/>
                <w:sz w:val="20"/>
                <w:lang w:val="en-US"/>
              </w:rPr>
              <w:t>24 weeks after last dose</w:t>
            </w:r>
          </w:p>
        </w:tc>
        <w:tc>
          <w:tcPr>
            <w:tcW w:w="594" w:type="pct"/>
            <w:shd w:val="clear" w:color="auto" w:fill="auto"/>
            <w:vAlign w:val="center"/>
          </w:tcPr>
          <w:p w:rsidR="00760EA5" w:rsidRPr="007A7B7C" w:rsidRDefault="00760EA5" w:rsidP="000570F8">
            <w:pPr>
              <w:jc w:val="center"/>
              <w:rPr>
                <w:rFonts w:ascii="Arial Narrow" w:hAnsi="Arial Narrow"/>
                <w:sz w:val="20"/>
                <w:lang w:val="en-US"/>
              </w:rPr>
            </w:pPr>
            <w:r w:rsidRPr="007A7B7C">
              <w:rPr>
                <w:rFonts w:ascii="Arial Narrow" w:hAnsi="Arial Narrow"/>
                <w:sz w:val="20"/>
                <w:lang w:val="en-US"/>
              </w:rPr>
              <w:t>Medium*</w:t>
            </w:r>
          </w:p>
        </w:tc>
        <w:tc>
          <w:tcPr>
            <w:tcW w:w="849" w:type="pct"/>
            <w:shd w:val="clear" w:color="auto" w:fill="auto"/>
            <w:vAlign w:val="center"/>
          </w:tcPr>
          <w:p w:rsidR="00760EA5" w:rsidRPr="007A7B7C" w:rsidRDefault="00760EA5" w:rsidP="00E900FE">
            <w:pPr>
              <w:jc w:val="center"/>
              <w:rPr>
                <w:rFonts w:ascii="Arial Narrow" w:hAnsi="Arial Narrow"/>
                <w:sz w:val="20"/>
                <w:lang w:val="en-US"/>
              </w:rPr>
            </w:pPr>
            <w:r w:rsidRPr="007A7B7C">
              <w:rPr>
                <w:rFonts w:ascii="Arial Narrow" w:hAnsi="Arial Narrow"/>
                <w:sz w:val="20"/>
                <w:lang w:val="en-US"/>
              </w:rPr>
              <w:t>GT 1</w:t>
            </w:r>
            <w:r w:rsidR="004C34EB" w:rsidRPr="007A7B7C">
              <w:rPr>
                <w:rFonts w:ascii="Arial Narrow" w:hAnsi="Arial Narrow"/>
                <w:sz w:val="20"/>
                <w:lang w:val="en-US"/>
              </w:rPr>
              <w:t>b</w:t>
            </w:r>
            <w:r w:rsidRPr="007A7B7C">
              <w:rPr>
                <w:rFonts w:ascii="Arial Narrow" w:hAnsi="Arial Narrow"/>
                <w:sz w:val="20"/>
                <w:lang w:val="en-US"/>
              </w:rPr>
              <w:t xml:space="preserve"> </w:t>
            </w:r>
            <w:r w:rsidR="00E900FE" w:rsidRPr="007A7B7C">
              <w:rPr>
                <w:rFonts w:ascii="Arial Narrow" w:hAnsi="Arial Narrow"/>
                <w:sz w:val="20"/>
                <w:lang w:val="en-US"/>
              </w:rPr>
              <w:t xml:space="preserve">IFN-ineligible/intolerant </w:t>
            </w:r>
            <w:r w:rsidRPr="007A7B7C">
              <w:rPr>
                <w:rFonts w:ascii="Arial Narrow" w:hAnsi="Arial Narrow"/>
                <w:sz w:val="20"/>
                <w:lang w:val="en-US"/>
              </w:rPr>
              <w:t xml:space="preserve">and </w:t>
            </w:r>
            <w:r w:rsidR="00922990" w:rsidRPr="007A7B7C">
              <w:rPr>
                <w:rFonts w:ascii="Arial Narrow" w:hAnsi="Arial Narrow"/>
                <w:sz w:val="20"/>
                <w:lang w:val="en-US"/>
              </w:rPr>
              <w:t>treatment-experienced</w:t>
            </w:r>
            <w:r w:rsidRPr="007A7B7C">
              <w:rPr>
                <w:rFonts w:ascii="Arial Narrow" w:hAnsi="Arial Narrow"/>
                <w:sz w:val="20"/>
                <w:lang w:val="en-US"/>
              </w:rPr>
              <w:t>**</w:t>
            </w:r>
          </w:p>
        </w:tc>
        <w:tc>
          <w:tcPr>
            <w:tcW w:w="679" w:type="pct"/>
            <w:shd w:val="clear" w:color="auto" w:fill="auto"/>
            <w:vAlign w:val="center"/>
          </w:tcPr>
          <w:p w:rsidR="00760EA5" w:rsidRPr="007A7B7C" w:rsidRDefault="00760EA5" w:rsidP="000570F8">
            <w:pPr>
              <w:jc w:val="center"/>
              <w:rPr>
                <w:rFonts w:ascii="Arial Narrow" w:hAnsi="Arial Narrow"/>
                <w:sz w:val="20"/>
                <w:lang w:val="en-US"/>
              </w:rPr>
            </w:pPr>
            <w:r w:rsidRPr="007A7B7C">
              <w:rPr>
                <w:rFonts w:ascii="Arial Narrow" w:hAnsi="Arial Narrow"/>
                <w:sz w:val="20"/>
                <w:lang w:val="en-US"/>
              </w:rPr>
              <w:t>SVR</w:t>
            </w:r>
          </w:p>
        </w:tc>
        <w:tc>
          <w:tcPr>
            <w:tcW w:w="669" w:type="pct"/>
            <w:shd w:val="clear" w:color="auto" w:fill="auto"/>
            <w:vAlign w:val="center"/>
          </w:tcPr>
          <w:p w:rsidR="00760EA5" w:rsidRPr="007A7B7C" w:rsidRDefault="00760EA5" w:rsidP="000570F8">
            <w:pPr>
              <w:jc w:val="center"/>
              <w:rPr>
                <w:rFonts w:ascii="Arial Narrow" w:hAnsi="Arial Narrow"/>
                <w:sz w:val="20"/>
                <w:vertAlign w:val="superscript"/>
                <w:lang w:val="en-US"/>
              </w:rPr>
            </w:pPr>
            <w:r w:rsidRPr="007A7B7C">
              <w:rPr>
                <w:rFonts w:ascii="Arial Narrow" w:hAnsi="Arial Narrow"/>
                <w:sz w:val="20"/>
                <w:lang w:val="en-US"/>
              </w:rPr>
              <w:t>Used</w:t>
            </w:r>
            <w:r w:rsidR="00A24C94" w:rsidRPr="007A7B7C">
              <w:rPr>
                <w:rFonts w:ascii="Arial Narrow" w:hAnsi="Arial Narrow"/>
                <w:sz w:val="20"/>
                <w:vertAlign w:val="superscript"/>
                <w:lang w:val="en-US"/>
              </w:rPr>
              <w:t>#</w:t>
            </w:r>
          </w:p>
        </w:tc>
      </w:tr>
      <w:tr w:rsidR="004C34EB" w:rsidRPr="007A7B7C" w:rsidTr="000570F8">
        <w:tc>
          <w:tcPr>
            <w:tcW w:w="679" w:type="pct"/>
            <w:shd w:val="clear" w:color="auto" w:fill="auto"/>
            <w:vAlign w:val="center"/>
          </w:tcPr>
          <w:p w:rsidR="004C34EB" w:rsidRPr="007A7B7C" w:rsidRDefault="004C34EB" w:rsidP="000570F8">
            <w:pPr>
              <w:jc w:val="left"/>
              <w:rPr>
                <w:rFonts w:ascii="Arial Narrow" w:hAnsi="Arial Narrow"/>
                <w:sz w:val="20"/>
                <w:lang w:val="en-US"/>
              </w:rPr>
            </w:pPr>
            <w:r w:rsidRPr="007A7B7C">
              <w:rPr>
                <w:rFonts w:ascii="Arial Narrow" w:hAnsi="Arial Narrow"/>
                <w:sz w:val="20"/>
                <w:lang w:val="en-US"/>
              </w:rPr>
              <w:t>Study 7028</w:t>
            </w:r>
          </w:p>
        </w:tc>
        <w:tc>
          <w:tcPr>
            <w:tcW w:w="426" w:type="pct"/>
            <w:shd w:val="clear" w:color="auto" w:fill="auto"/>
            <w:vAlign w:val="center"/>
          </w:tcPr>
          <w:p w:rsidR="004C34EB" w:rsidRPr="007A7B7C" w:rsidRDefault="003962DB" w:rsidP="000570F8">
            <w:pPr>
              <w:jc w:val="center"/>
              <w:rPr>
                <w:rFonts w:ascii="Arial Narrow" w:hAnsi="Arial Narrow"/>
                <w:sz w:val="20"/>
                <w:lang w:val="en-US"/>
              </w:rPr>
            </w:pPr>
            <w:r w:rsidRPr="007A7B7C">
              <w:rPr>
                <w:rFonts w:ascii="Arial Narrow" w:hAnsi="Arial Narrow"/>
                <w:sz w:val="20"/>
                <w:lang w:val="en-US"/>
              </w:rPr>
              <w:t>747</w:t>
            </w:r>
          </w:p>
        </w:tc>
        <w:tc>
          <w:tcPr>
            <w:tcW w:w="1104" w:type="pct"/>
            <w:shd w:val="clear" w:color="auto" w:fill="auto"/>
            <w:vAlign w:val="center"/>
          </w:tcPr>
          <w:p w:rsidR="004C34EB" w:rsidRPr="007A7B7C" w:rsidRDefault="003962DB" w:rsidP="000570F8">
            <w:pPr>
              <w:jc w:val="center"/>
              <w:rPr>
                <w:rFonts w:ascii="Arial Narrow" w:hAnsi="Arial Narrow"/>
                <w:sz w:val="20"/>
                <w:lang w:val="en-US"/>
              </w:rPr>
            </w:pPr>
            <w:r w:rsidRPr="007A7B7C">
              <w:rPr>
                <w:rFonts w:ascii="Arial Narrow" w:hAnsi="Arial Narrow"/>
                <w:sz w:val="20"/>
                <w:lang w:val="en-US"/>
              </w:rPr>
              <w:t>Single arm of R, OL</w:t>
            </w:r>
          </w:p>
          <w:p w:rsidR="003962DB" w:rsidRPr="007A7B7C" w:rsidRDefault="003962DB" w:rsidP="000570F8">
            <w:pPr>
              <w:jc w:val="center"/>
              <w:rPr>
                <w:rFonts w:ascii="Arial Narrow" w:hAnsi="Arial Narrow"/>
                <w:sz w:val="20"/>
                <w:lang w:val="en-US"/>
              </w:rPr>
            </w:pPr>
            <w:r w:rsidRPr="007A7B7C">
              <w:rPr>
                <w:rFonts w:ascii="Arial Narrow" w:hAnsi="Arial Narrow"/>
                <w:sz w:val="20"/>
                <w:lang w:val="en-US"/>
              </w:rPr>
              <w:t>24 weeks after last dose</w:t>
            </w:r>
          </w:p>
        </w:tc>
        <w:tc>
          <w:tcPr>
            <w:tcW w:w="594" w:type="pct"/>
            <w:shd w:val="clear" w:color="auto" w:fill="auto"/>
            <w:vAlign w:val="center"/>
          </w:tcPr>
          <w:p w:rsidR="004C34EB" w:rsidRPr="007A7B7C" w:rsidRDefault="003962DB" w:rsidP="003962DB">
            <w:pPr>
              <w:jc w:val="center"/>
              <w:rPr>
                <w:rFonts w:ascii="Arial Narrow" w:hAnsi="Arial Narrow"/>
                <w:sz w:val="20"/>
                <w:lang w:val="en-US"/>
              </w:rPr>
            </w:pPr>
            <w:r w:rsidRPr="007A7B7C">
              <w:rPr>
                <w:rFonts w:ascii="Arial Narrow" w:hAnsi="Arial Narrow"/>
                <w:sz w:val="20"/>
                <w:lang w:val="en-US"/>
              </w:rPr>
              <w:t>Medium*^</w:t>
            </w:r>
          </w:p>
        </w:tc>
        <w:tc>
          <w:tcPr>
            <w:tcW w:w="849" w:type="pct"/>
            <w:shd w:val="clear" w:color="auto" w:fill="auto"/>
            <w:vAlign w:val="center"/>
          </w:tcPr>
          <w:p w:rsidR="004C34EB" w:rsidRPr="007A7B7C" w:rsidRDefault="003962DB" w:rsidP="000570F8">
            <w:pPr>
              <w:jc w:val="center"/>
              <w:rPr>
                <w:rFonts w:ascii="Arial Narrow" w:hAnsi="Arial Narrow"/>
                <w:sz w:val="20"/>
                <w:lang w:val="en-US"/>
              </w:rPr>
            </w:pPr>
            <w:r w:rsidRPr="007A7B7C">
              <w:rPr>
                <w:rFonts w:ascii="Arial Narrow" w:hAnsi="Arial Narrow"/>
                <w:sz w:val="20"/>
                <w:lang w:val="en-US"/>
              </w:rPr>
              <w:t xml:space="preserve">GT 1b </w:t>
            </w:r>
            <w:r w:rsidR="00922990" w:rsidRPr="007A7B7C">
              <w:rPr>
                <w:rFonts w:ascii="Arial Narrow" w:hAnsi="Arial Narrow"/>
                <w:sz w:val="20"/>
                <w:lang w:val="en-US"/>
              </w:rPr>
              <w:t>treatment-n</w:t>
            </w:r>
            <w:r w:rsidRPr="007A7B7C">
              <w:rPr>
                <w:rFonts w:ascii="Arial Narrow" w:hAnsi="Arial Narrow"/>
                <w:sz w:val="20"/>
                <w:lang w:val="en-US"/>
              </w:rPr>
              <w:t>aïve</w:t>
            </w:r>
            <w:r w:rsidR="00E900FE" w:rsidRPr="007A7B7C">
              <w:rPr>
                <w:rFonts w:ascii="Arial Narrow" w:hAnsi="Arial Narrow"/>
                <w:sz w:val="20"/>
                <w:lang w:val="en-US"/>
              </w:rPr>
              <w:t>, IFN-ineligible/intolerant</w:t>
            </w:r>
            <w:r w:rsidRPr="007A7B7C">
              <w:rPr>
                <w:rFonts w:ascii="Arial Narrow" w:hAnsi="Arial Narrow"/>
                <w:sz w:val="20"/>
                <w:lang w:val="en-US"/>
              </w:rPr>
              <w:t xml:space="preserve"> and </w:t>
            </w:r>
            <w:r w:rsidR="00922990" w:rsidRPr="007A7B7C">
              <w:rPr>
                <w:rFonts w:ascii="Arial Narrow" w:hAnsi="Arial Narrow"/>
                <w:sz w:val="20"/>
                <w:lang w:val="en-US"/>
              </w:rPr>
              <w:t>treatment-experienced</w:t>
            </w:r>
            <w:r w:rsidRPr="007A7B7C">
              <w:rPr>
                <w:rFonts w:ascii="Arial Narrow" w:hAnsi="Arial Narrow"/>
                <w:sz w:val="20"/>
                <w:lang w:val="en-US"/>
              </w:rPr>
              <w:t>**</w:t>
            </w:r>
          </w:p>
        </w:tc>
        <w:tc>
          <w:tcPr>
            <w:tcW w:w="679" w:type="pct"/>
            <w:shd w:val="clear" w:color="auto" w:fill="auto"/>
            <w:vAlign w:val="center"/>
          </w:tcPr>
          <w:p w:rsidR="004C34EB" w:rsidRPr="007A7B7C" w:rsidRDefault="003962DB" w:rsidP="000570F8">
            <w:pPr>
              <w:jc w:val="center"/>
              <w:rPr>
                <w:rFonts w:ascii="Arial Narrow" w:hAnsi="Arial Narrow"/>
                <w:sz w:val="20"/>
                <w:lang w:val="en-US"/>
              </w:rPr>
            </w:pPr>
            <w:r w:rsidRPr="007A7B7C">
              <w:rPr>
                <w:rFonts w:ascii="Arial Narrow" w:hAnsi="Arial Narrow"/>
                <w:sz w:val="20"/>
                <w:lang w:val="en-US"/>
              </w:rPr>
              <w:t>SVR</w:t>
            </w:r>
          </w:p>
        </w:tc>
        <w:tc>
          <w:tcPr>
            <w:tcW w:w="669" w:type="pct"/>
            <w:shd w:val="clear" w:color="auto" w:fill="auto"/>
            <w:vAlign w:val="center"/>
          </w:tcPr>
          <w:p w:rsidR="004C34EB" w:rsidRPr="007A7B7C" w:rsidRDefault="003962DB" w:rsidP="000570F8">
            <w:pPr>
              <w:jc w:val="center"/>
              <w:rPr>
                <w:rFonts w:ascii="Arial Narrow" w:hAnsi="Arial Narrow"/>
                <w:sz w:val="20"/>
              </w:rPr>
            </w:pPr>
            <w:r w:rsidRPr="007A7B7C">
              <w:rPr>
                <w:rFonts w:ascii="Arial Narrow" w:hAnsi="Arial Narrow"/>
                <w:sz w:val="20"/>
                <w:lang w:val="en-US"/>
              </w:rPr>
              <w:t>Used</w:t>
            </w:r>
          </w:p>
        </w:tc>
      </w:tr>
    </w:tbl>
    <w:p w:rsidR="00E1479E" w:rsidRPr="007A7B7C" w:rsidRDefault="00E1479E" w:rsidP="00E1479E">
      <w:pPr>
        <w:pStyle w:val="TableFooter"/>
        <w:ind w:firstLine="720"/>
      </w:pPr>
      <w:r w:rsidRPr="007A7B7C">
        <w:t>DCV+ASV=daclatasvir and asunaprevir; OL=open label; R=randomised; GT = genotype; SVR = sustained virologic response</w:t>
      </w:r>
    </w:p>
    <w:p w:rsidR="00E1479E" w:rsidRPr="007A7B7C" w:rsidRDefault="00E1479E" w:rsidP="00E1479E">
      <w:pPr>
        <w:pStyle w:val="TableFooter"/>
        <w:ind w:left="720"/>
      </w:pPr>
      <w:r w:rsidRPr="007A7B7C">
        <w:t>*Given the relevant comparator is no treatment, the risk of bias with an objective outcome, such as SVR, is low. However, there may be a high risk of bias with the subjective safety outcomes due to the open label design.</w:t>
      </w:r>
    </w:p>
    <w:p w:rsidR="00E1479E" w:rsidRPr="007A7B7C" w:rsidRDefault="00E1479E" w:rsidP="00E1479E">
      <w:pPr>
        <w:pStyle w:val="TableFooter"/>
        <w:ind w:left="720"/>
      </w:pPr>
      <w:r w:rsidRPr="007A7B7C">
        <w:t xml:space="preserve">** </w:t>
      </w:r>
      <w:r w:rsidR="003C6603" w:rsidRPr="007A7B7C">
        <w:t>Treatment-experienced</w:t>
      </w:r>
      <w:r w:rsidRPr="007A7B7C">
        <w:t xml:space="preserve"> patients are those who have failed treatment with PR.</w:t>
      </w:r>
    </w:p>
    <w:p w:rsidR="00E1479E" w:rsidRPr="007A7B7C" w:rsidRDefault="00E1479E" w:rsidP="00E1479E">
      <w:pPr>
        <w:pStyle w:val="TableFooter"/>
        <w:ind w:left="720"/>
      </w:pPr>
      <w:r w:rsidRPr="007A7B7C">
        <w:t xml:space="preserve">^ Although comparative safety data are available from the CSR of Study 7028 (the submission does not present any), the relevance to the proposed treatment regimen is low, given that the </w:t>
      </w:r>
      <w:r w:rsidR="009541AE" w:rsidRPr="007A7B7C">
        <w:t>patients only received placebo for 12 weeks</w:t>
      </w:r>
      <w:r w:rsidRPr="007A7B7C">
        <w:t>.</w:t>
      </w:r>
    </w:p>
    <w:p w:rsidR="00E1479E" w:rsidRPr="007A7B7C" w:rsidRDefault="00E1479E" w:rsidP="00E1479E">
      <w:pPr>
        <w:pStyle w:val="TableFooter"/>
        <w:ind w:left="720"/>
      </w:pPr>
      <w:r w:rsidRPr="007A7B7C">
        <w:rPr>
          <w:vertAlign w:val="superscript"/>
        </w:rPr>
        <w:t>#</w:t>
      </w:r>
      <w:r w:rsidRPr="007A7B7C">
        <w:t xml:space="preserve"> Data from Study 7026 are only used in sensitivity analyses</w:t>
      </w:r>
      <w:r w:rsidR="001570C4" w:rsidRPr="007A7B7C">
        <w:t xml:space="preserve"> performed during the ev</w:t>
      </w:r>
      <w:r w:rsidR="00BC20AD" w:rsidRPr="007A7B7C">
        <w:t>a</w:t>
      </w:r>
      <w:r w:rsidR="001570C4" w:rsidRPr="007A7B7C">
        <w:t>luation</w:t>
      </w:r>
      <w:r w:rsidRPr="007A7B7C">
        <w:t xml:space="preserve">, as </w:t>
      </w:r>
      <w:r w:rsidR="003C6603" w:rsidRPr="007A7B7C">
        <w:t>treatment-naïve</w:t>
      </w:r>
      <w:r w:rsidRPr="007A7B7C">
        <w:t xml:space="preserve"> patients (the base case modelled population) were not included in this study. </w:t>
      </w:r>
    </w:p>
    <w:p w:rsidR="00E1479E" w:rsidRPr="007A7B7C" w:rsidRDefault="00E1479E" w:rsidP="00E1479E">
      <w:pPr>
        <w:pStyle w:val="TableFooter"/>
        <w:ind w:firstLine="720"/>
      </w:pPr>
      <w:r w:rsidRPr="007A7B7C">
        <w:t>Source: compiled during the evaluation</w:t>
      </w:r>
    </w:p>
    <w:p w:rsidR="00EC1641" w:rsidRDefault="00EC1641" w:rsidP="0078618A">
      <w:pPr>
        <w:pStyle w:val="Heading2"/>
      </w:pPr>
      <w:bookmarkStart w:id="8" w:name="_Toc409610881"/>
    </w:p>
    <w:p w:rsidR="00760EA5" w:rsidRPr="00813606" w:rsidRDefault="00760EA5" w:rsidP="0078618A">
      <w:pPr>
        <w:pStyle w:val="Heading2"/>
      </w:pPr>
      <w:r w:rsidRPr="00813606">
        <w:t>Comparative effectiveness</w:t>
      </w:r>
      <w:bookmarkEnd w:id="8"/>
    </w:p>
    <w:p w:rsidR="00760EA5" w:rsidRDefault="00760EA5" w:rsidP="00760EA5">
      <w:pPr>
        <w:pStyle w:val="ListParagraph"/>
        <w:widowControl/>
        <w:rPr>
          <w:szCs w:val="22"/>
        </w:rPr>
      </w:pPr>
    </w:p>
    <w:p w:rsidR="00E1479E" w:rsidRDefault="00E1479E" w:rsidP="00BA53D4">
      <w:pPr>
        <w:pStyle w:val="ListParagraph"/>
        <w:widowControl/>
        <w:numPr>
          <w:ilvl w:val="1"/>
          <w:numId w:val="1"/>
        </w:numPr>
        <w:rPr>
          <w:szCs w:val="22"/>
        </w:rPr>
      </w:pPr>
      <w:r w:rsidRPr="001B3E62">
        <w:rPr>
          <w:szCs w:val="22"/>
        </w:rPr>
        <w:t xml:space="preserve">The </w:t>
      </w:r>
      <w:r>
        <w:rPr>
          <w:szCs w:val="22"/>
        </w:rPr>
        <w:t xml:space="preserve">SVR rates </w:t>
      </w:r>
      <w:r w:rsidR="0048705C">
        <w:rPr>
          <w:szCs w:val="22"/>
        </w:rPr>
        <w:t>seen</w:t>
      </w:r>
      <w:r w:rsidR="006A3A8E">
        <w:rPr>
          <w:szCs w:val="22"/>
        </w:rPr>
        <w:t xml:space="preserve"> in studies 7026 and 7028 a</w:t>
      </w:r>
      <w:r>
        <w:rPr>
          <w:szCs w:val="22"/>
        </w:rPr>
        <w:t>re prese</w:t>
      </w:r>
      <w:r w:rsidR="00E576A2">
        <w:rPr>
          <w:szCs w:val="22"/>
        </w:rPr>
        <w:t xml:space="preserve">nted </w:t>
      </w:r>
      <w:r w:rsidR="006C1ABD">
        <w:rPr>
          <w:szCs w:val="22"/>
        </w:rPr>
        <w:t>below</w:t>
      </w:r>
      <w:r>
        <w:rPr>
          <w:szCs w:val="22"/>
        </w:rPr>
        <w:t xml:space="preserve">. </w:t>
      </w:r>
    </w:p>
    <w:p w:rsidR="00760EA5" w:rsidRDefault="00760EA5" w:rsidP="00760EA5">
      <w:pPr>
        <w:widowControl/>
        <w:rPr>
          <w:szCs w:val="22"/>
        </w:rPr>
      </w:pPr>
    </w:p>
    <w:p w:rsidR="00760EA5" w:rsidRPr="00D63214" w:rsidRDefault="00E1479E" w:rsidP="006C1ABD">
      <w:pPr>
        <w:keepNext/>
        <w:keepLines/>
        <w:ind w:left="709" w:firstLine="11"/>
        <w:rPr>
          <w:rStyle w:val="CommentReference"/>
        </w:rPr>
      </w:pPr>
      <w:r>
        <w:rPr>
          <w:rStyle w:val="CommentReference"/>
        </w:rPr>
        <w:lastRenderedPageBreak/>
        <w:t>Sustained virologic response rate</w:t>
      </w:r>
      <w:r w:rsidRPr="001F7361">
        <w:rPr>
          <w:rStyle w:val="CommentReference"/>
        </w:rPr>
        <w:t xml:space="preserve"> </w:t>
      </w:r>
      <w:r>
        <w:rPr>
          <w:rStyle w:val="CommentReference"/>
        </w:rPr>
        <w:t>following treatment with DCV+ASV for 24 weeks in Studies 7026 and 7028</w:t>
      </w:r>
    </w:p>
    <w:tbl>
      <w:tblPr>
        <w:tblW w:w="4576" w:type="pct"/>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omparative effectiveness results from studies 7026 and 7028 "/>
      </w:tblPr>
      <w:tblGrid>
        <w:gridCol w:w="1326"/>
        <w:gridCol w:w="1076"/>
        <w:gridCol w:w="2470"/>
        <w:gridCol w:w="1076"/>
        <w:gridCol w:w="2364"/>
      </w:tblGrid>
      <w:tr w:rsidR="00B779E8" w:rsidRPr="007A7B7C" w:rsidTr="005E16F8">
        <w:trPr>
          <w:cantSplit/>
        </w:trPr>
        <w:tc>
          <w:tcPr>
            <w:tcW w:w="798" w:type="pct"/>
            <w:vMerge w:val="restart"/>
            <w:vAlign w:val="center"/>
          </w:tcPr>
          <w:p w:rsidR="00B779E8" w:rsidRPr="007A7B7C" w:rsidRDefault="00B779E8" w:rsidP="006C1ABD">
            <w:pPr>
              <w:keepNext/>
              <w:keepLines/>
              <w:jc w:val="left"/>
              <w:rPr>
                <w:rFonts w:ascii="Arial Narrow" w:hAnsi="Arial Narrow"/>
                <w:b/>
                <w:sz w:val="20"/>
              </w:rPr>
            </w:pPr>
            <w:r w:rsidRPr="007A7B7C">
              <w:rPr>
                <w:rFonts w:ascii="Arial Narrow" w:hAnsi="Arial Narrow"/>
                <w:b/>
                <w:sz w:val="20"/>
              </w:rPr>
              <w:t>Population</w:t>
            </w:r>
          </w:p>
        </w:tc>
        <w:tc>
          <w:tcPr>
            <w:tcW w:w="2133" w:type="pct"/>
            <w:gridSpan w:val="2"/>
            <w:vAlign w:val="center"/>
          </w:tcPr>
          <w:p w:rsidR="00B779E8" w:rsidRPr="007A7B7C" w:rsidRDefault="00B779E8" w:rsidP="006C1ABD">
            <w:pPr>
              <w:keepNext/>
              <w:keepLines/>
              <w:jc w:val="center"/>
              <w:rPr>
                <w:rFonts w:ascii="Arial Narrow" w:hAnsi="Arial Narrow"/>
                <w:b/>
                <w:sz w:val="20"/>
              </w:rPr>
            </w:pPr>
            <w:r w:rsidRPr="007A7B7C">
              <w:rPr>
                <w:rFonts w:ascii="Arial Narrow" w:hAnsi="Arial Narrow"/>
                <w:b/>
                <w:sz w:val="20"/>
              </w:rPr>
              <w:t>SVR12 (TND)</w:t>
            </w:r>
            <w:r w:rsidRPr="007A7B7C">
              <w:rPr>
                <w:rFonts w:ascii="Arial Narrow" w:hAnsi="Arial Narrow"/>
                <w:b/>
                <w:sz w:val="20"/>
                <w:vertAlign w:val="superscript"/>
              </w:rPr>
              <w:t>a</w:t>
            </w:r>
          </w:p>
        </w:tc>
        <w:tc>
          <w:tcPr>
            <w:tcW w:w="2069" w:type="pct"/>
            <w:gridSpan w:val="2"/>
            <w:tcBorders>
              <w:bottom w:val="single" w:sz="4" w:space="0" w:color="auto"/>
            </w:tcBorders>
          </w:tcPr>
          <w:p w:rsidR="00B779E8" w:rsidRPr="007A7B7C" w:rsidRDefault="00B779E8" w:rsidP="006C1ABD">
            <w:pPr>
              <w:keepNext/>
              <w:keepLines/>
              <w:jc w:val="center"/>
              <w:rPr>
                <w:rFonts w:ascii="Arial Narrow" w:hAnsi="Arial Narrow"/>
                <w:b/>
                <w:sz w:val="20"/>
                <w:vertAlign w:val="superscript"/>
              </w:rPr>
            </w:pPr>
            <w:r w:rsidRPr="007A7B7C">
              <w:rPr>
                <w:rFonts w:ascii="Arial Narrow" w:hAnsi="Arial Narrow"/>
                <w:b/>
                <w:sz w:val="20"/>
              </w:rPr>
              <w:t>SVR24 (TND)</w:t>
            </w:r>
            <w:r w:rsidRPr="007A7B7C">
              <w:rPr>
                <w:rFonts w:ascii="Arial Narrow" w:hAnsi="Arial Narrow"/>
                <w:b/>
                <w:sz w:val="20"/>
                <w:vertAlign w:val="superscript"/>
              </w:rPr>
              <w:t>a</w:t>
            </w:r>
          </w:p>
        </w:tc>
      </w:tr>
      <w:tr w:rsidR="00B779E8" w:rsidRPr="007A7B7C" w:rsidTr="005E16F8">
        <w:trPr>
          <w:cantSplit/>
        </w:trPr>
        <w:tc>
          <w:tcPr>
            <w:tcW w:w="798" w:type="pct"/>
            <w:vMerge/>
            <w:vAlign w:val="center"/>
          </w:tcPr>
          <w:p w:rsidR="00B779E8" w:rsidRPr="007A7B7C" w:rsidRDefault="00B779E8" w:rsidP="006C1ABD">
            <w:pPr>
              <w:keepNext/>
              <w:keepLines/>
              <w:jc w:val="left"/>
              <w:rPr>
                <w:rFonts w:ascii="Arial Narrow" w:hAnsi="Arial Narrow"/>
                <w:b/>
                <w:sz w:val="20"/>
              </w:rPr>
            </w:pPr>
          </w:p>
        </w:tc>
        <w:tc>
          <w:tcPr>
            <w:tcW w:w="647" w:type="pct"/>
            <w:vAlign w:val="center"/>
          </w:tcPr>
          <w:p w:rsidR="00B779E8" w:rsidRPr="007A7B7C" w:rsidRDefault="00B779E8" w:rsidP="006C1ABD">
            <w:pPr>
              <w:keepNext/>
              <w:keepLines/>
              <w:jc w:val="center"/>
              <w:rPr>
                <w:rFonts w:ascii="Arial Narrow" w:hAnsi="Arial Narrow"/>
                <w:b/>
                <w:sz w:val="20"/>
              </w:rPr>
            </w:pPr>
            <w:r w:rsidRPr="007A7B7C">
              <w:rPr>
                <w:rFonts w:ascii="Arial Narrow" w:hAnsi="Arial Narrow"/>
                <w:b/>
                <w:sz w:val="20"/>
              </w:rPr>
              <w:t>n/N</w:t>
            </w:r>
          </w:p>
        </w:tc>
        <w:tc>
          <w:tcPr>
            <w:tcW w:w="1486" w:type="pct"/>
            <w:tcBorders>
              <w:bottom w:val="single" w:sz="4" w:space="0" w:color="auto"/>
            </w:tcBorders>
            <w:vAlign w:val="center"/>
          </w:tcPr>
          <w:p w:rsidR="00B779E8" w:rsidRPr="007A7B7C" w:rsidRDefault="00B779E8" w:rsidP="006C1ABD">
            <w:pPr>
              <w:keepNext/>
              <w:keepLines/>
              <w:jc w:val="center"/>
              <w:rPr>
                <w:rFonts w:ascii="Arial Narrow" w:hAnsi="Arial Narrow"/>
                <w:b/>
                <w:sz w:val="20"/>
              </w:rPr>
            </w:pPr>
            <w:r w:rsidRPr="007A7B7C">
              <w:rPr>
                <w:rFonts w:ascii="Arial Narrow" w:hAnsi="Arial Narrow"/>
                <w:b/>
                <w:sz w:val="20"/>
              </w:rPr>
              <w:t>% (95%CI)</w:t>
            </w:r>
          </w:p>
        </w:tc>
        <w:tc>
          <w:tcPr>
            <w:tcW w:w="647" w:type="pct"/>
            <w:tcBorders>
              <w:bottom w:val="single" w:sz="4" w:space="0" w:color="auto"/>
            </w:tcBorders>
            <w:vAlign w:val="center"/>
          </w:tcPr>
          <w:p w:rsidR="00B779E8" w:rsidRPr="007A7B7C" w:rsidRDefault="00B779E8" w:rsidP="006C1ABD">
            <w:pPr>
              <w:keepNext/>
              <w:keepLines/>
              <w:jc w:val="center"/>
              <w:rPr>
                <w:rFonts w:ascii="Arial Narrow" w:hAnsi="Arial Narrow"/>
                <w:b/>
                <w:sz w:val="20"/>
              </w:rPr>
            </w:pPr>
            <w:r w:rsidRPr="007A7B7C">
              <w:rPr>
                <w:rFonts w:ascii="Arial Narrow" w:hAnsi="Arial Narrow"/>
                <w:b/>
                <w:sz w:val="20"/>
              </w:rPr>
              <w:t>n/N</w:t>
            </w:r>
          </w:p>
        </w:tc>
        <w:tc>
          <w:tcPr>
            <w:tcW w:w="1422" w:type="pct"/>
            <w:tcBorders>
              <w:bottom w:val="single" w:sz="4" w:space="0" w:color="auto"/>
            </w:tcBorders>
            <w:vAlign w:val="center"/>
          </w:tcPr>
          <w:p w:rsidR="00B779E8" w:rsidRPr="007A7B7C" w:rsidRDefault="00B779E8" w:rsidP="006C1ABD">
            <w:pPr>
              <w:keepNext/>
              <w:keepLines/>
              <w:jc w:val="center"/>
              <w:rPr>
                <w:rFonts w:ascii="Arial Narrow" w:hAnsi="Arial Narrow"/>
                <w:b/>
                <w:sz w:val="20"/>
              </w:rPr>
            </w:pPr>
            <w:r w:rsidRPr="007A7B7C">
              <w:rPr>
                <w:rFonts w:ascii="Arial Narrow" w:hAnsi="Arial Narrow"/>
                <w:b/>
                <w:sz w:val="20"/>
              </w:rPr>
              <w:t>% (95%CI)</w:t>
            </w:r>
          </w:p>
        </w:tc>
      </w:tr>
      <w:tr w:rsidR="00B779E8" w:rsidRPr="007A7B7C" w:rsidTr="00B779E8">
        <w:trPr>
          <w:cantSplit/>
        </w:trPr>
        <w:tc>
          <w:tcPr>
            <w:tcW w:w="5000" w:type="pct"/>
            <w:gridSpan w:val="5"/>
            <w:vAlign w:val="center"/>
          </w:tcPr>
          <w:p w:rsidR="00B779E8" w:rsidRPr="007A7B7C" w:rsidRDefault="00922990" w:rsidP="006C1ABD">
            <w:pPr>
              <w:keepNext/>
              <w:keepLines/>
              <w:jc w:val="left"/>
              <w:rPr>
                <w:rFonts w:ascii="Arial Narrow" w:hAnsi="Arial Narrow"/>
                <w:b/>
                <w:sz w:val="20"/>
              </w:rPr>
            </w:pPr>
            <w:r w:rsidRPr="007A7B7C">
              <w:rPr>
                <w:rFonts w:ascii="Arial Narrow" w:hAnsi="Arial Narrow"/>
                <w:b/>
                <w:sz w:val="20"/>
              </w:rPr>
              <w:t>Treatment-n</w:t>
            </w:r>
            <w:r w:rsidR="00B779E8" w:rsidRPr="007A7B7C">
              <w:rPr>
                <w:rFonts w:ascii="Arial Narrow" w:hAnsi="Arial Narrow"/>
                <w:b/>
                <w:sz w:val="20"/>
              </w:rPr>
              <w:t>aive</w:t>
            </w:r>
          </w:p>
        </w:tc>
      </w:tr>
      <w:tr w:rsidR="00B779E8" w:rsidRPr="007A7B7C" w:rsidTr="005E16F8">
        <w:trPr>
          <w:cantSplit/>
        </w:trPr>
        <w:tc>
          <w:tcPr>
            <w:tcW w:w="798" w:type="pct"/>
            <w:vAlign w:val="center"/>
          </w:tcPr>
          <w:p w:rsidR="00B779E8" w:rsidRPr="007A7B7C" w:rsidRDefault="00B779E8" w:rsidP="006C1ABD">
            <w:pPr>
              <w:keepNext/>
              <w:keepLines/>
              <w:ind w:left="142"/>
              <w:jc w:val="left"/>
              <w:rPr>
                <w:rFonts w:ascii="Arial Narrow" w:hAnsi="Arial Narrow"/>
                <w:sz w:val="20"/>
              </w:rPr>
            </w:pPr>
            <w:r w:rsidRPr="007A7B7C">
              <w:rPr>
                <w:rFonts w:ascii="Arial Narrow" w:hAnsi="Arial Narrow"/>
                <w:sz w:val="20"/>
              </w:rPr>
              <w:t>Study 7028</w:t>
            </w:r>
          </w:p>
        </w:tc>
        <w:tc>
          <w:tcPr>
            <w:tcW w:w="647" w:type="pct"/>
            <w:vAlign w:val="center"/>
          </w:tcPr>
          <w:p w:rsidR="00B779E8" w:rsidRPr="007A7B7C" w:rsidRDefault="00B779E8" w:rsidP="006C1ABD">
            <w:pPr>
              <w:keepNext/>
              <w:keepLines/>
              <w:jc w:val="center"/>
              <w:rPr>
                <w:rFonts w:ascii="Arial Narrow" w:hAnsi="Arial Narrow"/>
                <w:sz w:val="20"/>
              </w:rPr>
            </w:pPr>
            <w:r w:rsidRPr="007A7B7C">
              <w:rPr>
                <w:rFonts w:ascii="Arial Narrow" w:hAnsi="Arial Narrow"/>
                <w:sz w:val="20"/>
              </w:rPr>
              <w:t>180/203</w:t>
            </w:r>
          </w:p>
        </w:tc>
        <w:tc>
          <w:tcPr>
            <w:tcW w:w="1486" w:type="pct"/>
            <w:vAlign w:val="center"/>
          </w:tcPr>
          <w:p w:rsidR="00B779E8" w:rsidRPr="007A7B7C" w:rsidRDefault="00B779E8" w:rsidP="006C1ABD">
            <w:pPr>
              <w:keepNext/>
              <w:keepLines/>
              <w:ind w:left="113"/>
              <w:jc w:val="center"/>
              <w:rPr>
                <w:rFonts w:ascii="Arial Narrow" w:hAnsi="Arial Narrow"/>
                <w:sz w:val="20"/>
              </w:rPr>
            </w:pPr>
            <w:r w:rsidRPr="007A7B7C">
              <w:rPr>
                <w:rFonts w:ascii="Arial Narrow" w:hAnsi="Arial Narrow"/>
                <w:sz w:val="20"/>
              </w:rPr>
              <w:t>88.7%</w:t>
            </w:r>
          </w:p>
          <w:p w:rsidR="00B779E8" w:rsidRPr="007A7B7C" w:rsidRDefault="00B779E8" w:rsidP="006C1ABD">
            <w:pPr>
              <w:keepNext/>
              <w:keepLines/>
              <w:ind w:left="113"/>
              <w:jc w:val="center"/>
              <w:rPr>
                <w:rFonts w:ascii="Arial Narrow" w:hAnsi="Arial Narrow"/>
                <w:sz w:val="20"/>
              </w:rPr>
            </w:pPr>
            <w:r w:rsidRPr="007A7B7C">
              <w:rPr>
                <w:rFonts w:ascii="Arial Narrow" w:hAnsi="Arial Narrow"/>
                <w:sz w:val="20"/>
              </w:rPr>
              <w:t>(83.5%, 92.7%)</w:t>
            </w:r>
          </w:p>
        </w:tc>
        <w:tc>
          <w:tcPr>
            <w:tcW w:w="647" w:type="pct"/>
            <w:vAlign w:val="center"/>
          </w:tcPr>
          <w:p w:rsidR="00B779E8" w:rsidRPr="007A7B7C" w:rsidRDefault="00B779E8" w:rsidP="006C1ABD">
            <w:pPr>
              <w:keepNext/>
              <w:keepLines/>
              <w:jc w:val="center"/>
              <w:rPr>
                <w:rFonts w:ascii="Arial Narrow" w:hAnsi="Arial Narrow"/>
                <w:sz w:val="20"/>
                <w:vertAlign w:val="superscript"/>
              </w:rPr>
            </w:pPr>
            <w:r w:rsidRPr="007A7B7C">
              <w:rPr>
                <w:rFonts w:ascii="Arial Narrow" w:hAnsi="Arial Narrow"/>
                <w:sz w:val="20"/>
                <w:vertAlign w:val="superscript"/>
              </w:rPr>
              <w:t>-</w:t>
            </w:r>
          </w:p>
        </w:tc>
        <w:tc>
          <w:tcPr>
            <w:tcW w:w="1422" w:type="pct"/>
            <w:vAlign w:val="center"/>
          </w:tcPr>
          <w:p w:rsidR="00B779E8" w:rsidRPr="007A7B7C" w:rsidRDefault="00B779E8" w:rsidP="006C1ABD">
            <w:pPr>
              <w:keepNext/>
              <w:keepLines/>
              <w:jc w:val="center"/>
              <w:rPr>
                <w:rFonts w:ascii="Arial Narrow" w:hAnsi="Arial Narrow"/>
                <w:sz w:val="20"/>
              </w:rPr>
            </w:pPr>
            <w:r w:rsidRPr="007A7B7C">
              <w:rPr>
                <w:rFonts w:ascii="Arial Narrow" w:hAnsi="Arial Narrow"/>
                <w:sz w:val="20"/>
              </w:rPr>
              <w:t>-</w:t>
            </w:r>
          </w:p>
        </w:tc>
      </w:tr>
      <w:tr w:rsidR="00B779E8" w:rsidRPr="007A7B7C" w:rsidTr="00B779E8">
        <w:trPr>
          <w:cantSplit/>
        </w:trPr>
        <w:tc>
          <w:tcPr>
            <w:tcW w:w="5000" w:type="pct"/>
            <w:gridSpan w:val="5"/>
            <w:vAlign w:val="center"/>
          </w:tcPr>
          <w:p w:rsidR="00B779E8" w:rsidRPr="007A7B7C" w:rsidRDefault="00B779E8" w:rsidP="006C1ABD">
            <w:pPr>
              <w:keepNext/>
              <w:keepLines/>
              <w:jc w:val="left"/>
              <w:rPr>
                <w:rFonts w:ascii="Arial Narrow" w:hAnsi="Arial Narrow"/>
                <w:sz w:val="20"/>
              </w:rPr>
            </w:pPr>
            <w:r w:rsidRPr="007A7B7C">
              <w:rPr>
                <w:rFonts w:ascii="Arial Narrow" w:hAnsi="Arial Narrow"/>
                <w:b/>
                <w:sz w:val="20"/>
              </w:rPr>
              <w:t>IFN ineligible/intolerant</w:t>
            </w:r>
          </w:p>
        </w:tc>
      </w:tr>
      <w:tr w:rsidR="00B779E8" w:rsidRPr="007A7B7C" w:rsidTr="005E16F8">
        <w:trPr>
          <w:cantSplit/>
        </w:trPr>
        <w:tc>
          <w:tcPr>
            <w:tcW w:w="798" w:type="pct"/>
            <w:vAlign w:val="center"/>
          </w:tcPr>
          <w:p w:rsidR="00B779E8" w:rsidRPr="007A7B7C" w:rsidRDefault="00B779E8" w:rsidP="006C1ABD">
            <w:pPr>
              <w:keepNext/>
              <w:keepLines/>
              <w:ind w:left="142"/>
              <w:jc w:val="left"/>
              <w:rPr>
                <w:rFonts w:ascii="Arial Narrow" w:hAnsi="Arial Narrow"/>
                <w:sz w:val="20"/>
              </w:rPr>
            </w:pPr>
            <w:r w:rsidRPr="007A7B7C">
              <w:rPr>
                <w:rFonts w:ascii="Arial Narrow" w:hAnsi="Arial Narrow"/>
                <w:sz w:val="20"/>
              </w:rPr>
              <w:t>Study 7026</w:t>
            </w:r>
          </w:p>
        </w:tc>
        <w:tc>
          <w:tcPr>
            <w:tcW w:w="647" w:type="pct"/>
            <w:vAlign w:val="center"/>
          </w:tcPr>
          <w:p w:rsidR="00B779E8" w:rsidRPr="007A7B7C" w:rsidRDefault="00B779E8" w:rsidP="006C1ABD">
            <w:pPr>
              <w:keepNext/>
              <w:keepLines/>
              <w:jc w:val="center"/>
              <w:rPr>
                <w:rFonts w:ascii="Arial Narrow" w:hAnsi="Arial Narrow"/>
                <w:sz w:val="20"/>
              </w:rPr>
            </w:pPr>
            <w:r w:rsidRPr="007A7B7C">
              <w:rPr>
                <w:rFonts w:ascii="Arial Narrow" w:hAnsi="Arial Narrow"/>
                <w:sz w:val="20"/>
              </w:rPr>
              <w:t>119/135</w:t>
            </w:r>
          </w:p>
        </w:tc>
        <w:tc>
          <w:tcPr>
            <w:tcW w:w="1486" w:type="pct"/>
            <w:tcBorders>
              <w:bottom w:val="single" w:sz="4" w:space="0" w:color="auto"/>
            </w:tcBorders>
            <w:vAlign w:val="center"/>
          </w:tcPr>
          <w:p w:rsidR="00B779E8" w:rsidRPr="007A7B7C" w:rsidRDefault="00B779E8" w:rsidP="006C1ABD">
            <w:pPr>
              <w:keepNext/>
              <w:keepLines/>
              <w:ind w:left="113"/>
              <w:jc w:val="center"/>
              <w:rPr>
                <w:rFonts w:ascii="Arial Narrow" w:hAnsi="Arial Narrow"/>
                <w:sz w:val="20"/>
              </w:rPr>
            </w:pPr>
            <w:r w:rsidRPr="007A7B7C">
              <w:rPr>
                <w:rFonts w:ascii="Arial Narrow" w:hAnsi="Arial Narrow"/>
                <w:sz w:val="20"/>
              </w:rPr>
              <w:t>88.1%</w:t>
            </w:r>
          </w:p>
          <w:p w:rsidR="00B779E8" w:rsidRPr="007A7B7C" w:rsidRDefault="00B779E8" w:rsidP="006C1ABD">
            <w:pPr>
              <w:keepNext/>
              <w:keepLines/>
              <w:ind w:left="113"/>
              <w:jc w:val="center"/>
              <w:rPr>
                <w:rFonts w:ascii="Arial Narrow" w:hAnsi="Arial Narrow"/>
                <w:sz w:val="20"/>
              </w:rPr>
            </w:pPr>
            <w:r w:rsidRPr="007A7B7C">
              <w:rPr>
                <w:rFonts w:ascii="Arial Narrow" w:hAnsi="Arial Narrow"/>
                <w:sz w:val="20"/>
              </w:rPr>
              <w:t xml:space="preserve"> (81.5%, 93.1%)</w:t>
            </w:r>
          </w:p>
        </w:tc>
        <w:tc>
          <w:tcPr>
            <w:tcW w:w="647" w:type="pct"/>
            <w:tcBorders>
              <w:bottom w:val="single" w:sz="4" w:space="0" w:color="auto"/>
            </w:tcBorders>
            <w:vAlign w:val="center"/>
          </w:tcPr>
          <w:p w:rsidR="00B779E8" w:rsidRPr="007A7B7C" w:rsidRDefault="00B779E8" w:rsidP="006C1ABD">
            <w:pPr>
              <w:keepNext/>
              <w:keepLines/>
              <w:jc w:val="center"/>
              <w:rPr>
                <w:rFonts w:ascii="Arial Narrow" w:hAnsi="Arial Narrow"/>
                <w:sz w:val="20"/>
              </w:rPr>
            </w:pPr>
            <w:r w:rsidRPr="007A7B7C">
              <w:rPr>
                <w:rFonts w:ascii="Arial Narrow" w:hAnsi="Arial Narrow"/>
                <w:sz w:val="20"/>
              </w:rPr>
              <w:t>118/135</w:t>
            </w:r>
          </w:p>
        </w:tc>
        <w:tc>
          <w:tcPr>
            <w:tcW w:w="1422" w:type="pct"/>
            <w:tcBorders>
              <w:bottom w:val="single" w:sz="4" w:space="0" w:color="auto"/>
            </w:tcBorders>
            <w:vAlign w:val="center"/>
          </w:tcPr>
          <w:p w:rsidR="00B779E8" w:rsidRPr="007A7B7C" w:rsidRDefault="00B779E8" w:rsidP="006C1ABD">
            <w:pPr>
              <w:keepNext/>
              <w:keepLines/>
              <w:jc w:val="center"/>
              <w:rPr>
                <w:rFonts w:ascii="Arial Narrow" w:hAnsi="Arial Narrow"/>
                <w:sz w:val="20"/>
              </w:rPr>
            </w:pPr>
            <w:r w:rsidRPr="007A7B7C">
              <w:rPr>
                <w:rFonts w:ascii="Arial Narrow" w:hAnsi="Arial Narrow"/>
                <w:sz w:val="20"/>
              </w:rPr>
              <w:t>87.4%</w:t>
            </w:r>
          </w:p>
          <w:p w:rsidR="00B779E8" w:rsidRPr="007A7B7C" w:rsidRDefault="00B779E8" w:rsidP="006C1ABD">
            <w:pPr>
              <w:keepNext/>
              <w:keepLines/>
              <w:jc w:val="center"/>
              <w:rPr>
                <w:rFonts w:ascii="Arial Narrow" w:hAnsi="Arial Narrow"/>
                <w:sz w:val="20"/>
              </w:rPr>
            </w:pPr>
            <w:r w:rsidRPr="007A7B7C">
              <w:rPr>
                <w:rFonts w:ascii="Arial Narrow" w:hAnsi="Arial Narrow"/>
                <w:sz w:val="20"/>
              </w:rPr>
              <w:t>(80.6%, 92.5%)</w:t>
            </w:r>
          </w:p>
        </w:tc>
      </w:tr>
      <w:tr w:rsidR="00B779E8" w:rsidRPr="007A7B7C" w:rsidTr="005E16F8">
        <w:trPr>
          <w:cantSplit/>
        </w:trPr>
        <w:tc>
          <w:tcPr>
            <w:tcW w:w="798" w:type="pct"/>
            <w:vAlign w:val="center"/>
          </w:tcPr>
          <w:p w:rsidR="00B779E8" w:rsidRPr="007A7B7C" w:rsidRDefault="00B779E8" w:rsidP="006C1ABD">
            <w:pPr>
              <w:keepNext/>
              <w:keepLines/>
              <w:ind w:left="142"/>
              <w:jc w:val="left"/>
              <w:rPr>
                <w:rFonts w:ascii="Arial Narrow" w:hAnsi="Arial Narrow"/>
                <w:sz w:val="20"/>
              </w:rPr>
            </w:pPr>
            <w:r w:rsidRPr="007A7B7C">
              <w:rPr>
                <w:rFonts w:ascii="Arial Narrow" w:hAnsi="Arial Narrow"/>
                <w:sz w:val="20"/>
              </w:rPr>
              <w:t>Study 7028</w:t>
            </w:r>
          </w:p>
        </w:tc>
        <w:tc>
          <w:tcPr>
            <w:tcW w:w="647" w:type="pct"/>
            <w:vAlign w:val="center"/>
          </w:tcPr>
          <w:p w:rsidR="00B779E8" w:rsidRPr="007A7B7C" w:rsidRDefault="00B779E8" w:rsidP="006C1ABD">
            <w:pPr>
              <w:keepNext/>
              <w:keepLines/>
              <w:jc w:val="center"/>
              <w:rPr>
                <w:rFonts w:ascii="Arial Narrow" w:hAnsi="Arial Narrow"/>
                <w:sz w:val="20"/>
              </w:rPr>
            </w:pPr>
            <w:r w:rsidRPr="007A7B7C">
              <w:rPr>
                <w:rFonts w:ascii="Arial Narrow" w:hAnsi="Arial Narrow"/>
                <w:sz w:val="20"/>
              </w:rPr>
              <w:t>185/235</w:t>
            </w:r>
          </w:p>
        </w:tc>
        <w:tc>
          <w:tcPr>
            <w:tcW w:w="1486" w:type="pct"/>
            <w:vAlign w:val="center"/>
          </w:tcPr>
          <w:p w:rsidR="00B779E8" w:rsidRPr="007A7B7C" w:rsidRDefault="00B779E8" w:rsidP="006C1ABD">
            <w:pPr>
              <w:keepNext/>
              <w:keepLines/>
              <w:ind w:left="113"/>
              <w:jc w:val="center"/>
              <w:rPr>
                <w:rFonts w:ascii="Arial Narrow" w:hAnsi="Arial Narrow"/>
                <w:sz w:val="20"/>
              </w:rPr>
            </w:pPr>
            <w:r w:rsidRPr="007A7B7C">
              <w:rPr>
                <w:rFonts w:ascii="Arial Narrow" w:hAnsi="Arial Narrow"/>
                <w:sz w:val="20"/>
              </w:rPr>
              <w:t>78.7%</w:t>
            </w:r>
          </w:p>
          <w:p w:rsidR="00B779E8" w:rsidRPr="007A7B7C" w:rsidRDefault="00B779E8" w:rsidP="006C1ABD">
            <w:pPr>
              <w:keepNext/>
              <w:keepLines/>
              <w:ind w:left="113"/>
              <w:jc w:val="center"/>
              <w:rPr>
                <w:rFonts w:ascii="Arial Narrow" w:hAnsi="Arial Narrow"/>
                <w:sz w:val="20"/>
              </w:rPr>
            </w:pPr>
            <w:r w:rsidRPr="007A7B7C">
              <w:rPr>
                <w:rFonts w:ascii="Arial Narrow" w:hAnsi="Arial Narrow"/>
                <w:sz w:val="20"/>
              </w:rPr>
              <w:t>(72.9%, 83.8%)</w:t>
            </w:r>
          </w:p>
        </w:tc>
        <w:tc>
          <w:tcPr>
            <w:tcW w:w="647" w:type="pct"/>
            <w:vAlign w:val="center"/>
          </w:tcPr>
          <w:p w:rsidR="00B779E8" w:rsidRPr="007A7B7C" w:rsidRDefault="00B779E8" w:rsidP="006C1ABD">
            <w:pPr>
              <w:keepNext/>
              <w:keepLines/>
              <w:jc w:val="center"/>
              <w:rPr>
                <w:rFonts w:ascii="Arial Narrow" w:hAnsi="Arial Narrow"/>
                <w:sz w:val="20"/>
                <w:vertAlign w:val="superscript"/>
              </w:rPr>
            </w:pPr>
            <w:r w:rsidRPr="007A7B7C">
              <w:rPr>
                <w:rFonts w:ascii="Arial Narrow" w:hAnsi="Arial Narrow"/>
                <w:sz w:val="20"/>
                <w:vertAlign w:val="superscript"/>
              </w:rPr>
              <w:t>-</w:t>
            </w:r>
          </w:p>
        </w:tc>
        <w:tc>
          <w:tcPr>
            <w:tcW w:w="1422" w:type="pct"/>
            <w:vAlign w:val="center"/>
          </w:tcPr>
          <w:p w:rsidR="00B779E8" w:rsidRPr="007A7B7C" w:rsidRDefault="00B779E8" w:rsidP="006C1ABD">
            <w:pPr>
              <w:keepNext/>
              <w:keepLines/>
              <w:jc w:val="center"/>
              <w:rPr>
                <w:rFonts w:ascii="Arial Narrow" w:hAnsi="Arial Narrow"/>
                <w:sz w:val="20"/>
              </w:rPr>
            </w:pPr>
            <w:r w:rsidRPr="007A7B7C">
              <w:rPr>
                <w:rFonts w:ascii="Arial Narrow" w:hAnsi="Arial Narrow"/>
                <w:sz w:val="20"/>
              </w:rPr>
              <w:t>-</w:t>
            </w:r>
          </w:p>
        </w:tc>
      </w:tr>
      <w:tr w:rsidR="00B779E8" w:rsidRPr="007A7B7C" w:rsidTr="00B779E8">
        <w:trPr>
          <w:cantSplit/>
        </w:trPr>
        <w:tc>
          <w:tcPr>
            <w:tcW w:w="5000" w:type="pct"/>
            <w:gridSpan w:val="5"/>
            <w:vAlign w:val="center"/>
          </w:tcPr>
          <w:p w:rsidR="00B779E8" w:rsidRPr="007A7B7C" w:rsidRDefault="00B779E8" w:rsidP="006C1ABD">
            <w:pPr>
              <w:keepNext/>
              <w:keepLines/>
              <w:jc w:val="left"/>
              <w:rPr>
                <w:rFonts w:ascii="Arial Narrow" w:hAnsi="Arial Narrow"/>
                <w:sz w:val="20"/>
              </w:rPr>
            </w:pPr>
            <w:r w:rsidRPr="007A7B7C">
              <w:rPr>
                <w:rFonts w:ascii="Arial Narrow" w:hAnsi="Arial Narrow"/>
                <w:b/>
                <w:sz w:val="20"/>
              </w:rPr>
              <w:t xml:space="preserve">Null or partial responders </w:t>
            </w:r>
          </w:p>
        </w:tc>
      </w:tr>
      <w:tr w:rsidR="00B779E8" w:rsidRPr="007A7B7C" w:rsidTr="005E16F8">
        <w:trPr>
          <w:cantSplit/>
        </w:trPr>
        <w:tc>
          <w:tcPr>
            <w:tcW w:w="798" w:type="pct"/>
            <w:vAlign w:val="center"/>
          </w:tcPr>
          <w:p w:rsidR="00B779E8" w:rsidRPr="007A7B7C" w:rsidRDefault="00B779E8" w:rsidP="006C1ABD">
            <w:pPr>
              <w:keepNext/>
              <w:keepLines/>
              <w:ind w:left="142"/>
              <w:jc w:val="left"/>
              <w:rPr>
                <w:rFonts w:ascii="Arial Narrow" w:hAnsi="Arial Narrow"/>
                <w:sz w:val="20"/>
              </w:rPr>
            </w:pPr>
            <w:r w:rsidRPr="007A7B7C">
              <w:rPr>
                <w:rFonts w:ascii="Arial Narrow" w:hAnsi="Arial Narrow"/>
                <w:sz w:val="20"/>
              </w:rPr>
              <w:t>Study 7026</w:t>
            </w:r>
          </w:p>
        </w:tc>
        <w:tc>
          <w:tcPr>
            <w:tcW w:w="647" w:type="pct"/>
            <w:vAlign w:val="center"/>
          </w:tcPr>
          <w:p w:rsidR="00B779E8" w:rsidRPr="007A7B7C" w:rsidRDefault="00B779E8" w:rsidP="006C1ABD">
            <w:pPr>
              <w:keepNext/>
              <w:keepLines/>
              <w:jc w:val="center"/>
              <w:rPr>
                <w:rFonts w:ascii="Arial Narrow" w:hAnsi="Arial Narrow"/>
                <w:sz w:val="20"/>
              </w:rPr>
            </w:pPr>
            <w:r w:rsidRPr="007A7B7C">
              <w:rPr>
                <w:rFonts w:ascii="Arial Narrow" w:hAnsi="Arial Narrow"/>
                <w:sz w:val="20"/>
              </w:rPr>
              <w:t>70/87</w:t>
            </w:r>
          </w:p>
        </w:tc>
        <w:tc>
          <w:tcPr>
            <w:tcW w:w="1486" w:type="pct"/>
            <w:vAlign w:val="center"/>
          </w:tcPr>
          <w:p w:rsidR="00B779E8" w:rsidRPr="007A7B7C" w:rsidRDefault="00B779E8" w:rsidP="006C1ABD">
            <w:pPr>
              <w:keepNext/>
              <w:keepLines/>
              <w:ind w:left="113"/>
              <w:jc w:val="center"/>
              <w:rPr>
                <w:rFonts w:ascii="Arial Narrow" w:hAnsi="Arial Narrow"/>
                <w:sz w:val="20"/>
              </w:rPr>
            </w:pPr>
            <w:r w:rsidRPr="007A7B7C">
              <w:rPr>
                <w:rFonts w:ascii="Arial Narrow" w:hAnsi="Arial Narrow"/>
                <w:sz w:val="20"/>
              </w:rPr>
              <w:t>80.5%</w:t>
            </w:r>
          </w:p>
          <w:p w:rsidR="00B779E8" w:rsidRPr="007A7B7C" w:rsidRDefault="00B779E8" w:rsidP="006C1ABD">
            <w:pPr>
              <w:keepNext/>
              <w:keepLines/>
              <w:ind w:left="113"/>
              <w:jc w:val="center"/>
              <w:rPr>
                <w:rFonts w:ascii="Arial Narrow" w:hAnsi="Arial Narrow"/>
                <w:sz w:val="20"/>
              </w:rPr>
            </w:pPr>
            <w:r w:rsidRPr="007A7B7C">
              <w:rPr>
                <w:rFonts w:ascii="Arial Narrow" w:hAnsi="Arial Narrow"/>
                <w:sz w:val="20"/>
              </w:rPr>
              <w:t xml:space="preserve"> (70.6%, 88.2%)</w:t>
            </w:r>
          </w:p>
        </w:tc>
        <w:tc>
          <w:tcPr>
            <w:tcW w:w="647" w:type="pct"/>
            <w:vAlign w:val="center"/>
          </w:tcPr>
          <w:p w:rsidR="00B779E8" w:rsidRPr="007A7B7C" w:rsidRDefault="00B779E8" w:rsidP="006C1ABD">
            <w:pPr>
              <w:keepNext/>
              <w:keepLines/>
              <w:jc w:val="center"/>
              <w:rPr>
                <w:rFonts w:ascii="Arial Narrow" w:hAnsi="Arial Narrow"/>
                <w:sz w:val="20"/>
              </w:rPr>
            </w:pPr>
            <w:r w:rsidRPr="007A7B7C">
              <w:rPr>
                <w:rFonts w:ascii="Arial Narrow" w:hAnsi="Arial Narrow"/>
                <w:sz w:val="20"/>
              </w:rPr>
              <w:t>70/87</w:t>
            </w:r>
          </w:p>
        </w:tc>
        <w:tc>
          <w:tcPr>
            <w:tcW w:w="1422" w:type="pct"/>
            <w:vAlign w:val="center"/>
          </w:tcPr>
          <w:p w:rsidR="00B779E8" w:rsidRPr="007A7B7C" w:rsidRDefault="00B779E8" w:rsidP="006C1ABD">
            <w:pPr>
              <w:keepNext/>
              <w:keepLines/>
              <w:ind w:left="113"/>
              <w:jc w:val="center"/>
              <w:rPr>
                <w:rFonts w:ascii="Arial Narrow" w:hAnsi="Arial Narrow"/>
                <w:sz w:val="20"/>
              </w:rPr>
            </w:pPr>
            <w:r w:rsidRPr="007A7B7C">
              <w:rPr>
                <w:rFonts w:ascii="Arial Narrow" w:hAnsi="Arial Narrow"/>
                <w:sz w:val="20"/>
              </w:rPr>
              <w:t>80.5%</w:t>
            </w:r>
          </w:p>
          <w:p w:rsidR="00B779E8" w:rsidRPr="007A7B7C" w:rsidRDefault="00B779E8" w:rsidP="006C1ABD">
            <w:pPr>
              <w:keepNext/>
              <w:keepLines/>
              <w:jc w:val="center"/>
              <w:rPr>
                <w:rFonts w:ascii="Arial Narrow" w:hAnsi="Arial Narrow"/>
                <w:sz w:val="20"/>
              </w:rPr>
            </w:pPr>
            <w:r w:rsidRPr="007A7B7C">
              <w:rPr>
                <w:rFonts w:ascii="Arial Narrow" w:hAnsi="Arial Narrow"/>
                <w:sz w:val="20"/>
              </w:rPr>
              <w:t>(70.6%, 88.2%)</w:t>
            </w:r>
          </w:p>
        </w:tc>
      </w:tr>
      <w:tr w:rsidR="00B779E8" w:rsidRPr="007A7B7C" w:rsidTr="005E16F8">
        <w:trPr>
          <w:cantSplit/>
        </w:trPr>
        <w:tc>
          <w:tcPr>
            <w:tcW w:w="798" w:type="pct"/>
            <w:vAlign w:val="center"/>
          </w:tcPr>
          <w:p w:rsidR="00B779E8" w:rsidRPr="007A7B7C" w:rsidRDefault="00B779E8" w:rsidP="006C1ABD">
            <w:pPr>
              <w:keepNext/>
              <w:keepLines/>
              <w:ind w:left="142"/>
              <w:jc w:val="left"/>
              <w:rPr>
                <w:rFonts w:ascii="Arial Narrow" w:hAnsi="Arial Narrow"/>
                <w:sz w:val="20"/>
              </w:rPr>
            </w:pPr>
            <w:r w:rsidRPr="007A7B7C">
              <w:rPr>
                <w:rFonts w:ascii="Arial Narrow" w:hAnsi="Arial Narrow"/>
                <w:sz w:val="20"/>
              </w:rPr>
              <w:t>Study 7028</w:t>
            </w:r>
          </w:p>
        </w:tc>
        <w:tc>
          <w:tcPr>
            <w:tcW w:w="647" w:type="pct"/>
            <w:vAlign w:val="center"/>
          </w:tcPr>
          <w:p w:rsidR="00B779E8" w:rsidRPr="007A7B7C" w:rsidRDefault="00B779E8" w:rsidP="006C1ABD">
            <w:pPr>
              <w:keepNext/>
              <w:keepLines/>
              <w:jc w:val="center"/>
              <w:rPr>
                <w:rFonts w:ascii="Arial Narrow" w:hAnsi="Arial Narrow"/>
                <w:sz w:val="20"/>
              </w:rPr>
            </w:pPr>
            <w:r w:rsidRPr="007A7B7C">
              <w:rPr>
                <w:rFonts w:ascii="Arial Narrow" w:hAnsi="Arial Narrow"/>
                <w:sz w:val="20"/>
              </w:rPr>
              <w:t>166/205</w:t>
            </w:r>
          </w:p>
        </w:tc>
        <w:tc>
          <w:tcPr>
            <w:tcW w:w="1486" w:type="pct"/>
            <w:tcBorders>
              <w:bottom w:val="single" w:sz="4" w:space="0" w:color="auto"/>
            </w:tcBorders>
            <w:vAlign w:val="center"/>
          </w:tcPr>
          <w:p w:rsidR="00B779E8" w:rsidRPr="007A7B7C" w:rsidRDefault="00B779E8" w:rsidP="006C1ABD">
            <w:pPr>
              <w:keepNext/>
              <w:keepLines/>
              <w:ind w:left="113"/>
              <w:jc w:val="center"/>
              <w:rPr>
                <w:rFonts w:ascii="Arial Narrow" w:hAnsi="Arial Narrow"/>
                <w:sz w:val="20"/>
              </w:rPr>
            </w:pPr>
            <w:r w:rsidRPr="007A7B7C">
              <w:rPr>
                <w:rFonts w:ascii="Arial Narrow" w:hAnsi="Arial Narrow"/>
                <w:sz w:val="20"/>
              </w:rPr>
              <w:t>81.0%</w:t>
            </w:r>
          </w:p>
          <w:p w:rsidR="00B779E8" w:rsidRPr="007A7B7C" w:rsidRDefault="00B779E8" w:rsidP="006C1ABD">
            <w:pPr>
              <w:keepNext/>
              <w:keepLines/>
              <w:ind w:left="113"/>
              <w:jc w:val="center"/>
              <w:rPr>
                <w:rFonts w:ascii="Arial Narrow" w:hAnsi="Arial Narrow"/>
                <w:sz w:val="20"/>
              </w:rPr>
            </w:pPr>
            <w:r w:rsidRPr="007A7B7C">
              <w:rPr>
                <w:rFonts w:ascii="Arial Narrow" w:hAnsi="Arial Narrow"/>
                <w:sz w:val="20"/>
              </w:rPr>
              <w:t>(74.9%, 86.1%)</w:t>
            </w:r>
          </w:p>
        </w:tc>
        <w:tc>
          <w:tcPr>
            <w:tcW w:w="647" w:type="pct"/>
            <w:tcBorders>
              <w:bottom w:val="single" w:sz="4" w:space="0" w:color="auto"/>
            </w:tcBorders>
            <w:vAlign w:val="center"/>
          </w:tcPr>
          <w:p w:rsidR="00B779E8" w:rsidRPr="007A7B7C" w:rsidRDefault="00B779E8" w:rsidP="006C1ABD">
            <w:pPr>
              <w:keepNext/>
              <w:keepLines/>
              <w:jc w:val="center"/>
              <w:rPr>
                <w:rFonts w:ascii="Arial Narrow" w:hAnsi="Arial Narrow"/>
                <w:sz w:val="20"/>
                <w:vertAlign w:val="superscript"/>
              </w:rPr>
            </w:pPr>
            <w:r w:rsidRPr="007A7B7C">
              <w:rPr>
                <w:rFonts w:ascii="Arial Narrow" w:hAnsi="Arial Narrow"/>
                <w:sz w:val="20"/>
                <w:vertAlign w:val="superscript"/>
              </w:rPr>
              <w:t>-</w:t>
            </w:r>
          </w:p>
        </w:tc>
        <w:tc>
          <w:tcPr>
            <w:tcW w:w="1422" w:type="pct"/>
            <w:tcBorders>
              <w:bottom w:val="single" w:sz="4" w:space="0" w:color="auto"/>
            </w:tcBorders>
            <w:vAlign w:val="center"/>
          </w:tcPr>
          <w:p w:rsidR="00B779E8" w:rsidRPr="007A7B7C" w:rsidRDefault="00B779E8" w:rsidP="006C1ABD">
            <w:pPr>
              <w:keepNext/>
              <w:keepLines/>
              <w:jc w:val="center"/>
              <w:rPr>
                <w:rFonts w:ascii="Arial Narrow" w:hAnsi="Arial Narrow"/>
                <w:sz w:val="20"/>
              </w:rPr>
            </w:pPr>
            <w:r w:rsidRPr="007A7B7C">
              <w:rPr>
                <w:rFonts w:ascii="Arial Narrow" w:hAnsi="Arial Narrow"/>
                <w:sz w:val="20"/>
              </w:rPr>
              <w:t>-</w:t>
            </w:r>
          </w:p>
        </w:tc>
      </w:tr>
      <w:tr w:rsidR="00B779E8" w:rsidRPr="007A7B7C" w:rsidTr="00B779E8">
        <w:trPr>
          <w:cantSplit/>
        </w:trPr>
        <w:tc>
          <w:tcPr>
            <w:tcW w:w="5000" w:type="pct"/>
            <w:gridSpan w:val="5"/>
            <w:vAlign w:val="center"/>
          </w:tcPr>
          <w:p w:rsidR="00B779E8" w:rsidRPr="007A7B7C" w:rsidRDefault="00B779E8" w:rsidP="006C1ABD">
            <w:pPr>
              <w:keepNext/>
              <w:keepLines/>
              <w:jc w:val="left"/>
              <w:rPr>
                <w:rFonts w:ascii="Arial Narrow" w:hAnsi="Arial Narrow"/>
                <w:sz w:val="20"/>
              </w:rPr>
            </w:pPr>
            <w:r w:rsidRPr="007A7B7C">
              <w:rPr>
                <w:rFonts w:ascii="Arial Narrow" w:hAnsi="Arial Narrow"/>
                <w:b/>
                <w:sz w:val="20"/>
              </w:rPr>
              <w:t>Total population</w:t>
            </w:r>
          </w:p>
        </w:tc>
      </w:tr>
      <w:tr w:rsidR="00B779E8" w:rsidRPr="007A7B7C" w:rsidTr="005E16F8">
        <w:trPr>
          <w:cantSplit/>
        </w:trPr>
        <w:tc>
          <w:tcPr>
            <w:tcW w:w="798" w:type="pct"/>
            <w:vAlign w:val="center"/>
          </w:tcPr>
          <w:p w:rsidR="00B779E8" w:rsidRPr="007A7B7C" w:rsidRDefault="00B779E8" w:rsidP="006C1ABD">
            <w:pPr>
              <w:keepNext/>
              <w:keepLines/>
              <w:ind w:left="142"/>
              <w:jc w:val="left"/>
              <w:rPr>
                <w:rFonts w:ascii="Arial Narrow" w:hAnsi="Arial Narrow"/>
                <w:sz w:val="20"/>
              </w:rPr>
            </w:pPr>
            <w:r w:rsidRPr="007A7B7C">
              <w:rPr>
                <w:rFonts w:ascii="Arial Narrow" w:hAnsi="Arial Narrow"/>
                <w:sz w:val="20"/>
              </w:rPr>
              <w:t>Study 7026</w:t>
            </w:r>
          </w:p>
        </w:tc>
        <w:tc>
          <w:tcPr>
            <w:tcW w:w="647" w:type="pct"/>
            <w:vAlign w:val="center"/>
          </w:tcPr>
          <w:p w:rsidR="00B779E8" w:rsidRPr="007A7B7C" w:rsidRDefault="00B779E8" w:rsidP="006C1ABD">
            <w:pPr>
              <w:keepNext/>
              <w:keepLines/>
              <w:jc w:val="center"/>
              <w:rPr>
                <w:rFonts w:ascii="Arial Narrow" w:hAnsi="Arial Narrow"/>
                <w:sz w:val="20"/>
              </w:rPr>
            </w:pPr>
            <w:r w:rsidRPr="007A7B7C">
              <w:rPr>
                <w:rFonts w:ascii="Arial Narrow" w:hAnsi="Arial Narrow"/>
                <w:sz w:val="20"/>
              </w:rPr>
              <w:t>189/222</w:t>
            </w:r>
          </w:p>
        </w:tc>
        <w:tc>
          <w:tcPr>
            <w:tcW w:w="1486" w:type="pct"/>
            <w:tcBorders>
              <w:bottom w:val="single" w:sz="4" w:space="0" w:color="auto"/>
            </w:tcBorders>
            <w:vAlign w:val="center"/>
          </w:tcPr>
          <w:p w:rsidR="00B779E8" w:rsidRPr="007A7B7C" w:rsidRDefault="00B779E8" w:rsidP="006C1ABD">
            <w:pPr>
              <w:keepNext/>
              <w:keepLines/>
              <w:ind w:left="113"/>
              <w:jc w:val="center"/>
              <w:rPr>
                <w:rFonts w:ascii="Arial Narrow" w:hAnsi="Arial Narrow"/>
                <w:sz w:val="20"/>
              </w:rPr>
            </w:pPr>
            <w:r w:rsidRPr="007A7B7C">
              <w:rPr>
                <w:rFonts w:ascii="Arial Narrow" w:hAnsi="Arial Narrow"/>
                <w:sz w:val="20"/>
              </w:rPr>
              <w:t>85.1%</w:t>
            </w:r>
          </w:p>
          <w:p w:rsidR="00B779E8" w:rsidRPr="007A7B7C" w:rsidRDefault="00B779E8" w:rsidP="006C1ABD">
            <w:pPr>
              <w:keepNext/>
              <w:keepLines/>
              <w:ind w:left="113"/>
              <w:jc w:val="center"/>
              <w:rPr>
                <w:rFonts w:ascii="Arial Narrow" w:hAnsi="Arial Narrow"/>
                <w:sz w:val="20"/>
              </w:rPr>
            </w:pPr>
            <w:r w:rsidRPr="007A7B7C">
              <w:rPr>
                <w:rFonts w:ascii="Arial Narrow" w:hAnsi="Arial Narrow"/>
                <w:sz w:val="20"/>
              </w:rPr>
              <w:t>(79.8%, 89.5%)</w:t>
            </w:r>
          </w:p>
        </w:tc>
        <w:tc>
          <w:tcPr>
            <w:tcW w:w="647" w:type="pct"/>
            <w:tcBorders>
              <w:bottom w:val="single" w:sz="4" w:space="0" w:color="auto"/>
            </w:tcBorders>
            <w:vAlign w:val="center"/>
          </w:tcPr>
          <w:p w:rsidR="00B779E8" w:rsidRPr="007A7B7C" w:rsidRDefault="00B779E8" w:rsidP="006C1ABD">
            <w:pPr>
              <w:keepNext/>
              <w:keepLines/>
              <w:jc w:val="center"/>
              <w:rPr>
                <w:rFonts w:ascii="Arial Narrow" w:hAnsi="Arial Narrow"/>
                <w:sz w:val="20"/>
              </w:rPr>
            </w:pPr>
            <w:r w:rsidRPr="007A7B7C">
              <w:rPr>
                <w:rFonts w:ascii="Arial Narrow" w:hAnsi="Arial Narrow"/>
                <w:sz w:val="20"/>
              </w:rPr>
              <w:t>188/222</w:t>
            </w:r>
          </w:p>
        </w:tc>
        <w:tc>
          <w:tcPr>
            <w:tcW w:w="1422" w:type="pct"/>
            <w:tcBorders>
              <w:bottom w:val="single" w:sz="4" w:space="0" w:color="auto"/>
            </w:tcBorders>
            <w:vAlign w:val="center"/>
          </w:tcPr>
          <w:p w:rsidR="00B779E8" w:rsidRPr="007A7B7C" w:rsidRDefault="00B779E8" w:rsidP="006C1ABD">
            <w:pPr>
              <w:keepNext/>
              <w:keepLines/>
              <w:jc w:val="center"/>
              <w:rPr>
                <w:rFonts w:ascii="Arial Narrow" w:hAnsi="Arial Narrow"/>
                <w:sz w:val="20"/>
              </w:rPr>
            </w:pPr>
            <w:r w:rsidRPr="007A7B7C">
              <w:rPr>
                <w:rFonts w:ascii="Arial Narrow" w:hAnsi="Arial Narrow"/>
                <w:sz w:val="20"/>
              </w:rPr>
              <w:t>84.7%</w:t>
            </w:r>
          </w:p>
          <w:p w:rsidR="00B779E8" w:rsidRPr="007A7B7C" w:rsidRDefault="00B779E8" w:rsidP="006C1ABD">
            <w:pPr>
              <w:keepNext/>
              <w:keepLines/>
              <w:jc w:val="center"/>
              <w:rPr>
                <w:rFonts w:ascii="Arial Narrow" w:hAnsi="Arial Narrow"/>
                <w:sz w:val="20"/>
              </w:rPr>
            </w:pPr>
            <w:r w:rsidRPr="007A7B7C">
              <w:rPr>
                <w:rFonts w:ascii="Arial Narrow" w:hAnsi="Arial Narrow"/>
                <w:sz w:val="20"/>
              </w:rPr>
              <w:t>(79.3%, 89.2%)</w:t>
            </w:r>
          </w:p>
        </w:tc>
      </w:tr>
      <w:tr w:rsidR="00B779E8" w:rsidRPr="007A7B7C" w:rsidTr="005E16F8">
        <w:trPr>
          <w:cantSplit/>
        </w:trPr>
        <w:tc>
          <w:tcPr>
            <w:tcW w:w="798" w:type="pct"/>
            <w:vAlign w:val="center"/>
          </w:tcPr>
          <w:p w:rsidR="00B779E8" w:rsidRPr="007A7B7C" w:rsidRDefault="00B779E8" w:rsidP="006C1ABD">
            <w:pPr>
              <w:keepNext/>
              <w:keepLines/>
              <w:ind w:left="142"/>
              <w:jc w:val="left"/>
              <w:rPr>
                <w:rFonts w:ascii="Arial Narrow" w:hAnsi="Arial Narrow"/>
                <w:sz w:val="20"/>
              </w:rPr>
            </w:pPr>
            <w:r w:rsidRPr="007A7B7C">
              <w:rPr>
                <w:rFonts w:ascii="Arial Narrow" w:hAnsi="Arial Narrow"/>
                <w:sz w:val="20"/>
              </w:rPr>
              <w:t>Study 7028</w:t>
            </w:r>
          </w:p>
        </w:tc>
        <w:tc>
          <w:tcPr>
            <w:tcW w:w="647" w:type="pct"/>
            <w:vAlign w:val="center"/>
          </w:tcPr>
          <w:p w:rsidR="00B779E8" w:rsidRPr="007A7B7C" w:rsidRDefault="00B779E8" w:rsidP="006C1ABD">
            <w:pPr>
              <w:keepNext/>
              <w:keepLines/>
              <w:jc w:val="center"/>
              <w:rPr>
                <w:rFonts w:ascii="Arial Narrow" w:hAnsi="Arial Narrow"/>
                <w:sz w:val="20"/>
              </w:rPr>
            </w:pPr>
            <w:r w:rsidRPr="007A7B7C">
              <w:rPr>
                <w:rFonts w:ascii="Arial Narrow" w:hAnsi="Arial Narrow"/>
                <w:sz w:val="20"/>
              </w:rPr>
              <w:t>531/643</w:t>
            </w:r>
          </w:p>
        </w:tc>
        <w:tc>
          <w:tcPr>
            <w:tcW w:w="1486" w:type="pct"/>
            <w:tcBorders>
              <w:bottom w:val="single" w:sz="4" w:space="0" w:color="auto"/>
            </w:tcBorders>
            <w:vAlign w:val="center"/>
          </w:tcPr>
          <w:p w:rsidR="00B779E8" w:rsidRPr="007A7B7C" w:rsidRDefault="00B779E8" w:rsidP="006C1ABD">
            <w:pPr>
              <w:keepNext/>
              <w:keepLines/>
              <w:ind w:left="113"/>
              <w:jc w:val="center"/>
              <w:rPr>
                <w:rFonts w:ascii="Arial Narrow" w:hAnsi="Arial Narrow"/>
                <w:sz w:val="20"/>
              </w:rPr>
            </w:pPr>
            <w:r w:rsidRPr="007A7B7C">
              <w:rPr>
                <w:rFonts w:ascii="Arial Narrow" w:hAnsi="Arial Narrow"/>
                <w:sz w:val="20"/>
              </w:rPr>
              <w:t>82.6%</w:t>
            </w:r>
          </w:p>
          <w:p w:rsidR="00B779E8" w:rsidRPr="007A7B7C" w:rsidRDefault="00B779E8" w:rsidP="006C1ABD">
            <w:pPr>
              <w:keepNext/>
              <w:keepLines/>
              <w:ind w:left="113"/>
              <w:jc w:val="center"/>
              <w:rPr>
                <w:rFonts w:ascii="Arial Narrow" w:hAnsi="Arial Narrow"/>
                <w:sz w:val="20"/>
              </w:rPr>
            </w:pPr>
            <w:r w:rsidRPr="007A7B7C">
              <w:rPr>
                <w:rFonts w:ascii="Arial Narrow" w:hAnsi="Arial Narrow"/>
                <w:sz w:val="20"/>
              </w:rPr>
              <w:t>(79.4%, 85.4%)</w:t>
            </w:r>
          </w:p>
        </w:tc>
        <w:tc>
          <w:tcPr>
            <w:tcW w:w="647" w:type="pct"/>
            <w:tcBorders>
              <w:bottom w:val="single" w:sz="4" w:space="0" w:color="auto"/>
            </w:tcBorders>
            <w:vAlign w:val="center"/>
          </w:tcPr>
          <w:p w:rsidR="00B779E8" w:rsidRPr="007A7B7C" w:rsidRDefault="00B779E8" w:rsidP="006C1ABD">
            <w:pPr>
              <w:keepNext/>
              <w:keepLines/>
              <w:jc w:val="center"/>
              <w:rPr>
                <w:rFonts w:ascii="Arial Narrow" w:hAnsi="Arial Narrow"/>
                <w:sz w:val="20"/>
                <w:vertAlign w:val="superscript"/>
              </w:rPr>
            </w:pPr>
            <w:r w:rsidRPr="007A7B7C">
              <w:rPr>
                <w:rFonts w:ascii="Arial Narrow" w:hAnsi="Arial Narrow"/>
                <w:sz w:val="20"/>
                <w:vertAlign w:val="superscript"/>
              </w:rPr>
              <w:t>-</w:t>
            </w:r>
          </w:p>
        </w:tc>
        <w:tc>
          <w:tcPr>
            <w:tcW w:w="1422" w:type="pct"/>
            <w:tcBorders>
              <w:bottom w:val="single" w:sz="4" w:space="0" w:color="auto"/>
            </w:tcBorders>
            <w:vAlign w:val="center"/>
          </w:tcPr>
          <w:p w:rsidR="00B779E8" w:rsidRPr="007A7B7C" w:rsidRDefault="00B779E8" w:rsidP="006C1ABD">
            <w:pPr>
              <w:keepNext/>
              <w:keepLines/>
              <w:jc w:val="center"/>
              <w:rPr>
                <w:rFonts w:ascii="Arial Narrow" w:hAnsi="Arial Narrow"/>
                <w:sz w:val="20"/>
              </w:rPr>
            </w:pPr>
            <w:r w:rsidRPr="007A7B7C">
              <w:rPr>
                <w:rFonts w:ascii="Arial Narrow" w:hAnsi="Arial Narrow"/>
                <w:sz w:val="20"/>
              </w:rPr>
              <w:t>-</w:t>
            </w:r>
          </w:p>
        </w:tc>
      </w:tr>
    </w:tbl>
    <w:p w:rsidR="00D86DB3" w:rsidRPr="00D86DB3" w:rsidRDefault="00D86DB3" w:rsidP="006C1ABD">
      <w:pPr>
        <w:pStyle w:val="TableFooter"/>
        <w:keepNext/>
        <w:keepLines/>
        <w:ind w:left="720"/>
      </w:pPr>
      <w:r w:rsidRPr="00D86DB3">
        <w:t>CI = confidence interval; SVR = sustained virologic response; TD = target detected; TND = target not detected; IFN = interferon</w:t>
      </w:r>
      <w:r>
        <w:t>.</w:t>
      </w:r>
    </w:p>
    <w:p w:rsidR="00D86DB3" w:rsidRPr="00437C1A" w:rsidRDefault="00D86DB3" w:rsidP="006C1ABD">
      <w:pPr>
        <w:pStyle w:val="TableFooter"/>
        <w:keepNext/>
        <w:keepLines/>
        <w:ind w:left="720"/>
      </w:pPr>
      <w:r w:rsidRPr="00437C1A">
        <w:rPr>
          <w:vertAlign w:val="superscript"/>
        </w:rPr>
        <w:t>a</w:t>
      </w:r>
      <w:r w:rsidRPr="00437C1A">
        <w:t xml:space="preserve"> SVR defined as undetectable HCV RNA</w:t>
      </w:r>
    </w:p>
    <w:p w:rsidR="00D86DB3" w:rsidRPr="00437C1A" w:rsidRDefault="00D86DB3" w:rsidP="006C1ABD">
      <w:pPr>
        <w:pStyle w:val="TableFooter"/>
        <w:keepNext/>
        <w:keepLines/>
        <w:ind w:left="720"/>
      </w:pPr>
      <w:r w:rsidRPr="00437C1A">
        <w:t>Source: Table 39, p113 and Table 40, p115 of the submission.</w:t>
      </w:r>
    </w:p>
    <w:p w:rsidR="00B779E8" w:rsidRPr="00437C1A" w:rsidRDefault="00B779E8" w:rsidP="006C1ABD">
      <w:pPr>
        <w:keepNext/>
        <w:keepLines/>
        <w:rPr>
          <w:rStyle w:val="CommentReference"/>
          <w:rFonts w:ascii="Arial" w:hAnsi="Arial"/>
          <w:b w:val="0"/>
          <w:sz w:val="22"/>
          <w:szCs w:val="22"/>
        </w:rPr>
      </w:pPr>
    </w:p>
    <w:p w:rsidR="00E1479E" w:rsidRPr="00437C1A" w:rsidRDefault="00E1479E" w:rsidP="00BA53D4">
      <w:pPr>
        <w:pStyle w:val="ListParagraph"/>
        <w:widowControl/>
        <w:numPr>
          <w:ilvl w:val="1"/>
          <w:numId w:val="1"/>
        </w:numPr>
        <w:rPr>
          <w:szCs w:val="22"/>
        </w:rPr>
      </w:pPr>
      <w:r w:rsidRPr="00437C1A">
        <w:rPr>
          <w:color w:val="000000" w:themeColor="text1"/>
          <w:szCs w:val="22"/>
        </w:rPr>
        <w:t>SVR</w:t>
      </w:r>
      <w:r w:rsidR="0064627B" w:rsidRPr="00437C1A">
        <w:rPr>
          <w:color w:val="000000" w:themeColor="text1"/>
          <w:szCs w:val="22"/>
        </w:rPr>
        <w:t>12</w:t>
      </w:r>
      <w:r w:rsidRPr="00437C1A">
        <w:rPr>
          <w:color w:val="000000" w:themeColor="text1"/>
          <w:szCs w:val="22"/>
        </w:rPr>
        <w:t xml:space="preserve"> rates with 24 weeks of DCV+ASV treatment varied from </w:t>
      </w:r>
      <w:r w:rsidR="0064627B" w:rsidRPr="00437C1A">
        <w:rPr>
          <w:color w:val="000000" w:themeColor="text1"/>
          <w:szCs w:val="22"/>
        </w:rPr>
        <w:t>80</w:t>
      </w:r>
      <w:r w:rsidRPr="00437C1A">
        <w:rPr>
          <w:color w:val="000000" w:themeColor="text1"/>
          <w:szCs w:val="22"/>
        </w:rPr>
        <w:t xml:space="preserve">% to </w:t>
      </w:r>
      <w:r w:rsidR="0064627B" w:rsidRPr="00437C1A">
        <w:rPr>
          <w:color w:val="000000" w:themeColor="text1"/>
          <w:szCs w:val="22"/>
        </w:rPr>
        <w:t>89</w:t>
      </w:r>
      <w:r w:rsidRPr="00437C1A">
        <w:rPr>
          <w:color w:val="000000" w:themeColor="text1"/>
          <w:szCs w:val="22"/>
        </w:rPr>
        <w:t xml:space="preserve">% across the patient subgroups. The evidence suggested that the effectiveness of this combination therapy was similar in both cirrhotic and non-cirrhotic patients. </w:t>
      </w:r>
    </w:p>
    <w:p w:rsidR="00760EA5" w:rsidRPr="00437C1A" w:rsidRDefault="00760EA5" w:rsidP="00760EA5">
      <w:pPr>
        <w:pStyle w:val="ListParagraph"/>
        <w:widowControl/>
        <w:rPr>
          <w:szCs w:val="22"/>
        </w:rPr>
      </w:pPr>
    </w:p>
    <w:p w:rsidR="001347DF" w:rsidRPr="005156AC" w:rsidRDefault="001347DF" w:rsidP="00DD478D">
      <w:pPr>
        <w:pStyle w:val="ListParagraph"/>
        <w:widowControl/>
        <w:numPr>
          <w:ilvl w:val="1"/>
          <w:numId w:val="1"/>
        </w:numPr>
        <w:rPr>
          <w:szCs w:val="22"/>
        </w:rPr>
      </w:pPr>
      <w:r w:rsidRPr="00437C1A">
        <w:rPr>
          <w:szCs w:val="22"/>
        </w:rPr>
        <w:t xml:space="preserve">The submission presented a “qualitative indirect comparison” of DCV+ASV and </w:t>
      </w:r>
      <w:r w:rsidR="00DD478D" w:rsidRPr="00DD478D">
        <w:rPr>
          <w:szCs w:val="22"/>
        </w:rPr>
        <w:t xml:space="preserve">telaprevir </w:t>
      </w:r>
      <w:r w:rsidR="00DD478D">
        <w:rPr>
          <w:szCs w:val="22"/>
        </w:rPr>
        <w:t xml:space="preserve">with </w:t>
      </w:r>
      <w:r w:rsidR="00DD478D" w:rsidRPr="00940060">
        <w:t>peginterferon and ribavirin</w:t>
      </w:r>
      <w:r w:rsidR="00DD478D" w:rsidRPr="00437C1A">
        <w:rPr>
          <w:szCs w:val="22"/>
        </w:rPr>
        <w:t xml:space="preserve"> </w:t>
      </w:r>
      <w:r w:rsidR="00DD478D">
        <w:rPr>
          <w:szCs w:val="22"/>
        </w:rPr>
        <w:t>(</w:t>
      </w:r>
      <w:r w:rsidRPr="00437C1A">
        <w:rPr>
          <w:szCs w:val="22"/>
        </w:rPr>
        <w:t>TVR+PR</w:t>
      </w:r>
      <w:r w:rsidR="00DD478D">
        <w:rPr>
          <w:szCs w:val="22"/>
        </w:rPr>
        <w:t>)</w:t>
      </w:r>
      <w:r w:rsidRPr="00437C1A">
        <w:rPr>
          <w:szCs w:val="22"/>
        </w:rPr>
        <w:t xml:space="preserve">. The submission did not present any statistical comparison of these regimens. The SVR rates presented for TVR+PR in the submission were biased </w:t>
      </w:r>
      <w:r w:rsidR="00EC1641">
        <w:rPr>
          <w:szCs w:val="22"/>
        </w:rPr>
        <w:t xml:space="preserve">if the results were reported for genotype 1 patients, as </w:t>
      </w:r>
      <w:r w:rsidRPr="00437C1A">
        <w:rPr>
          <w:szCs w:val="22"/>
        </w:rPr>
        <w:t>they included HCV genotype1a</w:t>
      </w:r>
      <w:r w:rsidRPr="005156AC">
        <w:rPr>
          <w:szCs w:val="22"/>
        </w:rPr>
        <w:t xml:space="preserve"> patients. </w:t>
      </w:r>
      <w:r w:rsidR="00EC1641">
        <w:rPr>
          <w:szCs w:val="22"/>
        </w:rPr>
        <w:t xml:space="preserve">In the table below for TVR+PR, data from the ADVANCE </w:t>
      </w:r>
      <w:r w:rsidR="007456B6">
        <w:rPr>
          <w:szCs w:val="22"/>
        </w:rPr>
        <w:t>was</w:t>
      </w:r>
      <w:r w:rsidR="00EC1641">
        <w:rPr>
          <w:szCs w:val="22"/>
        </w:rPr>
        <w:t xml:space="preserve"> presented for </w:t>
      </w:r>
      <w:r w:rsidR="00EC1641" w:rsidRPr="00940060">
        <w:t>genotype 1b patients</w:t>
      </w:r>
      <w:r w:rsidR="00EC1641">
        <w:t xml:space="preserve"> </w:t>
      </w:r>
      <w:r w:rsidR="007456B6">
        <w:t>while</w:t>
      </w:r>
      <w:r w:rsidR="00EC1641">
        <w:t xml:space="preserve"> data from </w:t>
      </w:r>
      <w:r w:rsidR="00EC1641" w:rsidRPr="00940060">
        <w:t>Sitole et al (2013) include</w:t>
      </w:r>
      <w:r w:rsidR="007456B6">
        <w:t>d</w:t>
      </w:r>
      <w:r w:rsidR="00EC1641" w:rsidRPr="00940060">
        <w:t xml:space="preserve"> both genotype 1a and 1b treatment-experienced patients</w:t>
      </w:r>
      <w:r w:rsidR="007456B6">
        <w:t xml:space="preserve">. </w:t>
      </w:r>
      <w:r w:rsidR="00EC1641">
        <w:rPr>
          <w:szCs w:val="22"/>
        </w:rPr>
        <w:t xml:space="preserve"> </w:t>
      </w:r>
      <w:r w:rsidRPr="005156AC">
        <w:rPr>
          <w:szCs w:val="22"/>
        </w:rPr>
        <w:t xml:space="preserve">Genotype 1a patients have lower SVR rates than genotype 1b patients, so the comparison between genotype 1b patients receiving DCV+ASV and a mixed genotype 1 population receiving TVR+PR would have favoured DCV+ASV. </w:t>
      </w:r>
      <w:r w:rsidR="007456B6">
        <w:rPr>
          <w:szCs w:val="22"/>
        </w:rPr>
        <w:t xml:space="preserve"> </w:t>
      </w:r>
      <w:r w:rsidRPr="005156AC">
        <w:rPr>
          <w:szCs w:val="22"/>
        </w:rPr>
        <w:t>Despite this, a large absolute difference in SVR24 was apparent in prior non-responders, favouring DCV+ASV over TVR+PR, in an unadjusted indirect comparison p</w:t>
      </w:r>
      <w:r w:rsidR="006C1ABD">
        <w:rPr>
          <w:szCs w:val="22"/>
        </w:rPr>
        <w:t>erformed during the evaluation.</w:t>
      </w:r>
    </w:p>
    <w:p w:rsidR="00962590" w:rsidRPr="005156AC" w:rsidRDefault="00962590" w:rsidP="00962590">
      <w:pPr>
        <w:pStyle w:val="ListParagraph"/>
        <w:rPr>
          <w:szCs w:val="22"/>
        </w:rPr>
      </w:pPr>
    </w:p>
    <w:p w:rsidR="006C1ABD" w:rsidRPr="006C1ABD" w:rsidRDefault="00D5050B" w:rsidP="00BA53D4">
      <w:pPr>
        <w:pStyle w:val="ListParagraph"/>
        <w:widowControl/>
        <w:numPr>
          <w:ilvl w:val="1"/>
          <w:numId w:val="1"/>
        </w:numPr>
        <w:rPr>
          <w:szCs w:val="22"/>
        </w:rPr>
      </w:pPr>
      <w:r w:rsidRPr="005156AC">
        <w:rPr>
          <w:szCs w:val="22"/>
        </w:rPr>
        <w:t xml:space="preserve">Unadjusted indirect comparisons of DCV+ASV with both TVR+PR and </w:t>
      </w:r>
      <w:r w:rsidR="00CE01F6">
        <w:rPr>
          <w:szCs w:val="22"/>
        </w:rPr>
        <w:t>daclatasvir with sofosbuvir (</w:t>
      </w:r>
      <w:r w:rsidRPr="005156AC">
        <w:rPr>
          <w:szCs w:val="22"/>
        </w:rPr>
        <w:t>DCV+SOF</w:t>
      </w:r>
      <w:r w:rsidR="00CE01F6">
        <w:rPr>
          <w:szCs w:val="22"/>
        </w:rPr>
        <w:t>)</w:t>
      </w:r>
      <w:r w:rsidRPr="005156AC">
        <w:rPr>
          <w:szCs w:val="22"/>
        </w:rPr>
        <w:t xml:space="preserve"> for HCV genotype 1b patients were </w:t>
      </w:r>
      <w:r w:rsidR="006C1ABD">
        <w:rPr>
          <w:szCs w:val="22"/>
        </w:rPr>
        <w:t xml:space="preserve">performed during the evaluation. </w:t>
      </w:r>
      <w:r w:rsidRPr="005156AC">
        <w:rPr>
          <w:szCs w:val="22"/>
        </w:rPr>
        <w:t xml:space="preserve">Adjustment could not be undertaken due to the lack of a control arm/common reference in the studies. </w:t>
      </w:r>
      <w:r w:rsidRPr="005156AC">
        <w:t xml:space="preserve">The </w:t>
      </w:r>
      <w:r w:rsidR="0048705C">
        <w:t>comparison</w:t>
      </w:r>
      <w:r w:rsidRPr="005156AC">
        <w:t xml:space="preserve">, although highly uncertain due to exchangeability concerns, suggested that DCV+ASV may be less effective than DCV+SOF and did not appear to confer any safety benefits. </w:t>
      </w:r>
    </w:p>
    <w:p w:rsidR="006C1ABD" w:rsidRDefault="006C1ABD" w:rsidP="006C1ABD">
      <w:pPr>
        <w:pStyle w:val="ListParagraph"/>
      </w:pPr>
    </w:p>
    <w:p w:rsidR="00D5050B" w:rsidRPr="005156AC" w:rsidRDefault="00D5050B" w:rsidP="006C1ABD">
      <w:pPr>
        <w:pStyle w:val="ListParagraph"/>
        <w:widowControl/>
        <w:rPr>
          <w:szCs w:val="22"/>
        </w:rPr>
      </w:pPr>
      <w:r w:rsidRPr="005156AC">
        <w:lastRenderedPageBreak/>
        <w:t>T</w:t>
      </w:r>
      <w:r w:rsidRPr="005156AC">
        <w:rPr>
          <w:szCs w:val="22"/>
        </w:rPr>
        <w:t xml:space="preserve">he sample sizes for the subgroups of genotype 1b patients in Study 4040 were very small, especially for </w:t>
      </w:r>
      <w:r w:rsidR="003C6603" w:rsidRPr="005156AC">
        <w:rPr>
          <w:szCs w:val="22"/>
        </w:rPr>
        <w:t>treatment-experienced</w:t>
      </w:r>
      <w:r w:rsidRPr="005156AC">
        <w:rPr>
          <w:szCs w:val="22"/>
        </w:rPr>
        <w:t xml:space="preserve"> patients. </w:t>
      </w:r>
    </w:p>
    <w:p w:rsidR="00351B6E" w:rsidRPr="005156AC" w:rsidRDefault="00351B6E" w:rsidP="00351B6E">
      <w:pPr>
        <w:pStyle w:val="ListParagraph"/>
        <w:widowControl/>
        <w:rPr>
          <w:szCs w:val="22"/>
        </w:rPr>
      </w:pPr>
    </w:p>
    <w:p w:rsidR="00351B6E" w:rsidRPr="00940060" w:rsidRDefault="00351B6E" w:rsidP="00351B6E">
      <w:pPr>
        <w:ind w:left="709"/>
        <w:rPr>
          <w:rStyle w:val="CommentReference"/>
        </w:rPr>
      </w:pPr>
      <w:r w:rsidRPr="00940060">
        <w:rPr>
          <w:rStyle w:val="CommentReference"/>
        </w:rPr>
        <w:t xml:space="preserve">Indirect comparison of </w:t>
      </w:r>
      <w:r w:rsidR="004A6CA8" w:rsidRPr="004A6CA8">
        <w:rPr>
          <w:rStyle w:val="CommentReference"/>
        </w:rPr>
        <w:t xml:space="preserve">SVR rates for DCV+ASV </w:t>
      </w:r>
      <w:r w:rsidRPr="00940060">
        <w:rPr>
          <w:rStyle w:val="CommentReference"/>
        </w:rPr>
        <w:t>and comparator treatment regimes in genotype 1b/1 patients</w:t>
      </w:r>
    </w:p>
    <w:tbl>
      <w:tblPr>
        <w:tblW w:w="458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60"/>
        <w:gridCol w:w="1844"/>
        <w:gridCol w:w="1701"/>
        <w:gridCol w:w="1660"/>
        <w:gridCol w:w="1558"/>
      </w:tblGrid>
      <w:tr w:rsidR="00351B6E" w:rsidRPr="007A7B7C" w:rsidTr="00351B6E">
        <w:tc>
          <w:tcPr>
            <w:tcW w:w="937" w:type="pct"/>
            <w:vAlign w:val="center"/>
          </w:tcPr>
          <w:p w:rsidR="00351B6E" w:rsidRPr="007A7B7C" w:rsidRDefault="00351B6E" w:rsidP="004E50C1">
            <w:pPr>
              <w:jc w:val="left"/>
              <w:rPr>
                <w:rFonts w:ascii="Arial Narrow" w:hAnsi="Arial Narrow"/>
                <w:b/>
                <w:sz w:val="20"/>
              </w:rPr>
            </w:pPr>
            <w:r w:rsidRPr="007A7B7C">
              <w:rPr>
                <w:rFonts w:ascii="Arial Narrow" w:hAnsi="Arial Narrow"/>
                <w:b/>
                <w:sz w:val="20"/>
              </w:rPr>
              <w:t>Comparison</w:t>
            </w:r>
          </w:p>
        </w:tc>
        <w:tc>
          <w:tcPr>
            <w:tcW w:w="1108" w:type="pct"/>
            <w:vAlign w:val="center"/>
          </w:tcPr>
          <w:p w:rsidR="00351B6E" w:rsidRPr="007A7B7C" w:rsidRDefault="00351B6E" w:rsidP="004E50C1">
            <w:pPr>
              <w:jc w:val="center"/>
              <w:rPr>
                <w:rFonts w:ascii="Arial Narrow" w:hAnsi="Arial Narrow"/>
                <w:b/>
                <w:sz w:val="20"/>
                <w:vertAlign w:val="superscript"/>
                <w:lang w:val="fr-FR"/>
              </w:rPr>
            </w:pPr>
            <w:r w:rsidRPr="007A7B7C">
              <w:rPr>
                <w:rFonts w:ascii="Arial Narrow" w:hAnsi="Arial Narrow"/>
                <w:b/>
                <w:sz w:val="20"/>
                <w:lang w:val="fr-FR"/>
              </w:rPr>
              <w:t>DCV+ASV</w:t>
            </w:r>
          </w:p>
          <w:p w:rsidR="00351B6E" w:rsidRPr="007A7B7C" w:rsidRDefault="00351B6E" w:rsidP="004E50C1">
            <w:pPr>
              <w:jc w:val="center"/>
              <w:rPr>
                <w:rFonts w:ascii="Arial Narrow" w:hAnsi="Arial Narrow"/>
                <w:b/>
                <w:sz w:val="20"/>
                <w:lang w:val="fr-FR"/>
              </w:rPr>
            </w:pPr>
            <w:r w:rsidRPr="007A7B7C">
              <w:rPr>
                <w:rFonts w:ascii="Arial Narrow" w:hAnsi="Arial Narrow"/>
                <w:b/>
                <w:sz w:val="20"/>
                <w:lang w:val="fr-FR"/>
              </w:rPr>
              <w:t>n/N</w:t>
            </w:r>
          </w:p>
          <w:p w:rsidR="00351B6E" w:rsidRPr="007A7B7C" w:rsidRDefault="00351B6E" w:rsidP="004E50C1">
            <w:pPr>
              <w:jc w:val="center"/>
              <w:rPr>
                <w:rFonts w:ascii="Arial Narrow" w:hAnsi="Arial Narrow"/>
                <w:sz w:val="20"/>
                <w:lang w:val="fr-FR"/>
              </w:rPr>
            </w:pPr>
            <w:r w:rsidRPr="007A7B7C">
              <w:rPr>
                <w:rFonts w:ascii="Arial Narrow" w:hAnsi="Arial Narrow"/>
                <w:b/>
                <w:sz w:val="20"/>
                <w:lang w:val="fr-FR"/>
              </w:rPr>
              <w:t>% (95%CI)</w:t>
            </w:r>
          </w:p>
        </w:tc>
        <w:tc>
          <w:tcPr>
            <w:tcW w:w="1022" w:type="pct"/>
            <w:vAlign w:val="center"/>
          </w:tcPr>
          <w:p w:rsidR="00351B6E" w:rsidRPr="007A7B7C" w:rsidRDefault="00351B6E" w:rsidP="004E50C1">
            <w:pPr>
              <w:jc w:val="center"/>
              <w:rPr>
                <w:rFonts w:ascii="Arial Narrow" w:hAnsi="Arial Narrow"/>
                <w:b/>
                <w:sz w:val="20"/>
              </w:rPr>
            </w:pPr>
            <w:r w:rsidRPr="007A7B7C">
              <w:rPr>
                <w:rFonts w:ascii="Arial Narrow" w:hAnsi="Arial Narrow"/>
                <w:b/>
                <w:sz w:val="20"/>
              </w:rPr>
              <w:t>Comparator</w:t>
            </w:r>
          </w:p>
          <w:p w:rsidR="00351B6E" w:rsidRPr="007A7B7C" w:rsidRDefault="00351B6E" w:rsidP="004E50C1">
            <w:pPr>
              <w:jc w:val="center"/>
              <w:rPr>
                <w:rFonts w:ascii="Arial Narrow" w:hAnsi="Arial Narrow"/>
                <w:b/>
                <w:sz w:val="20"/>
              </w:rPr>
            </w:pPr>
            <w:r w:rsidRPr="007A7B7C">
              <w:rPr>
                <w:rFonts w:ascii="Arial Narrow" w:hAnsi="Arial Narrow"/>
                <w:b/>
                <w:sz w:val="20"/>
              </w:rPr>
              <w:t>n/N</w:t>
            </w:r>
          </w:p>
          <w:p w:rsidR="00351B6E" w:rsidRPr="007A7B7C" w:rsidRDefault="00351B6E" w:rsidP="004E50C1">
            <w:pPr>
              <w:jc w:val="center"/>
              <w:rPr>
                <w:rFonts w:ascii="Arial Narrow" w:hAnsi="Arial Narrow"/>
                <w:b/>
                <w:sz w:val="20"/>
              </w:rPr>
            </w:pPr>
            <w:r w:rsidRPr="007A7B7C">
              <w:rPr>
                <w:rFonts w:ascii="Arial Narrow" w:hAnsi="Arial Narrow"/>
                <w:b/>
                <w:sz w:val="20"/>
              </w:rPr>
              <w:t>% (95%CI)</w:t>
            </w:r>
          </w:p>
        </w:tc>
        <w:tc>
          <w:tcPr>
            <w:tcW w:w="997" w:type="pct"/>
            <w:vAlign w:val="center"/>
          </w:tcPr>
          <w:p w:rsidR="00351B6E" w:rsidRPr="007A7B7C" w:rsidRDefault="00351B6E" w:rsidP="004E50C1">
            <w:pPr>
              <w:jc w:val="center"/>
              <w:rPr>
                <w:rFonts w:ascii="Arial Narrow" w:hAnsi="Arial Narrow"/>
                <w:b/>
                <w:sz w:val="20"/>
              </w:rPr>
            </w:pPr>
            <w:r w:rsidRPr="007A7B7C">
              <w:rPr>
                <w:rFonts w:ascii="Arial Narrow" w:hAnsi="Arial Narrow"/>
                <w:b/>
                <w:sz w:val="20"/>
              </w:rPr>
              <w:t>Absolute difference</w:t>
            </w:r>
          </w:p>
          <w:p w:rsidR="00351B6E" w:rsidRPr="007A7B7C" w:rsidRDefault="00351B6E" w:rsidP="004E50C1">
            <w:pPr>
              <w:jc w:val="center"/>
              <w:rPr>
                <w:rFonts w:ascii="Arial Narrow" w:hAnsi="Arial Narrow"/>
                <w:sz w:val="20"/>
              </w:rPr>
            </w:pPr>
            <w:r w:rsidRPr="007A7B7C">
              <w:rPr>
                <w:rFonts w:ascii="Arial Narrow" w:hAnsi="Arial Narrow"/>
                <w:b/>
                <w:sz w:val="20"/>
              </w:rPr>
              <w:t>(95% CI)</w:t>
            </w:r>
          </w:p>
        </w:tc>
        <w:tc>
          <w:tcPr>
            <w:tcW w:w="936" w:type="pct"/>
            <w:vAlign w:val="center"/>
          </w:tcPr>
          <w:p w:rsidR="00351B6E" w:rsidRPr="007A7B7C" w:rsidRDefault="00351B6E" w:rsidP="004E50C1">
            <w:pPr>
              <w:jc w:val="center"/>
              <w:rPr>
                <w:rFonts w:ascii="Arial Narrow" w:hAnsi="Arial Narrow"/>
                <w:b/>
                <w:sz w:val="20"/>
              </w:rPr>
            </w:pPr>
            <w:r w:rsidRPr="007A7B7C">
              <w:rPr>
                <w:rFonts w:ascii="Arial Narrow" w:hAnsi="Arial Narrow"/>
                <w:b/>
                <w:sz w:val="20"/>
              </w:rPr>
              <w:t>Relative difference</w:t>
            </w:r>
          </w:p>
          <w:p w:rsidR="00351B6E" w:rsidRPr="007A7B7C" w:rsidRDefault="00351B6E" w:rsidP="004E50C1">
            <w:pPr>
              <w:jc w:val="center"/>
              <w:rPr>
                <w:rFonts w:ascii="Arial Narrow" w:hAnsi="Arial Narrow"/>
                <w:b/>
                <w:sz w:val="20"/>
              </w:rPr>
            </w:pPr>
            <w:r w:rsidRPr="007A7B7C">
              <w:rPr>
                <w:rFonts w:ascii="Arial Narrow" w:hAnsi="Arial Narrow"/>
                <w:b/>
                <w:sz w:val="20"/>
              </w:rPr>
              <w:t>(95%CI)</w:t>
            </w:r>
          </w:p>
        </w:tc>
      </w:tr>
      <w:tr w:rsidR="00351B6E" w:rsidRPr="007A7B7C" w:rsidTr="00351B6E">
        <w:tc>
          <w:tcPr>
            <w:tcW w:w="5000" w:type="pct"/>
            <w:gridSpan w:val="5"/>
            <w:vAlign w:val="center"/>
          </w:tcPr>
          <w:p w:rsidR="00351B6E" w:rsidRPr="007A7B7C" w:rsidRDefault="00351B6E" w:rsidP="004E50C1">
            <w:pPr>
              <w:jc w:val="left"/>
              <w:rPr>
                <w:rFonts w:ascii="Arial Narrow" w:hAnsi="Arial Narrow"/>
                <w:sz w:val="20"/>
                <w:lang w:val="fr-FR"/>
              </w:rPr>
            </w:pPr>
            <w:r w:rsidRPr="007A7B7C">
              <w:rPr>
                <w:rFonts w:ascii="Arial Narrow" w:hAnsi="Arial Narrow"/>
                <w:b/>
                <w:sz w:val="20"/>
                <w:lang w:val="fr-FR"/>
              </w:rPr>
              <w:t>DCV+ASV vs TVR+PR</w:t>
            </w:r>
          </w:p>
        </w:tc>
      </w:tr>
      <w:tr w:rsidR="00351B6E" w:rsidRPr="007A7B7C" w:rsidTr="009C45B8">
        <w:tc>
          <w:tcPr>
            <w:tcW w:w="937" w:type="pct"/>
            <w:vAlign w:val="center"/>
          </w:tcPr>
          <w:p w:rsidR="00351B6E" w:rsidRPr="007A7B7C" w:rsidRDefault="00922990" w:rsidP="004E50C1">
            <w:pPr>
              <w:ind w:left="142"/>
              <w:jc w:val="left"/>
              <w:rPr>
                <w:rFonts w:ascii="Arial Narrow" w:hAnsi="Arial Narrow"/>
                <w:sz w:val="20"/>
              </w:rPr>
            </w:pPr>
            <w:r w:rsidRPr="007A7B7C">
              <w:rPr>
                <w:rFonts w:ascii="Arial Narrow" w:hAnsi="Arial Narrow"/>
                <w:sz w:val="20"/>
              </w:rPr>
              <w:t>Treatment-n</w:t>
            </w:r>
            <w:r w:rsidR="00351B6E" w:rsidRPr="007A7B7C">
              <w:rPr>
                <w:rFonts w:ascii="Arial Narrow" w:hAnsi="Arial Narrow"/>
                <w:sz w:val="20"/>
              </w:rPr>
              <w:t>aive</w:t>
            </w:r>
          </w:p>
        </w:tc>
        <w:tc>
          <w:tcPr>
            <w:tcW w:w="1108" w:type="pct"/>
            <w:vAlign w:val="center"/>
          </w:tcPr>
          <w:p w:rsidR="00351B6E" w:rsidRPr="007A7B7C" w:rsidRDefault="00351B6E" w:rsidP="004E50C1">
            <w:pPr>
              <w:jc w:val="center"/>
              <w:rPr>
                <w:rFonts w:ascii="Arial Narrow" w:hAnsi="Arial Narrow"/>
                <w:sz w:val="20"/>
                <w:vertAlign w:val="superscript"/>
              </w:rPr>
            </w:pPr>
            <w:r w:rsidRPr="007A7B7C">
              <w:rPr>
                <w:rFonts w:ascii="Arial Narrow" w:hAnsi="Arial Narrow"/>
                <w:sz w:val="20"/>
              </w:rPr>
              <w:t>180/203</w:t>
            </w:r>
            <w:r w:rsidRPr="007A7B7C">
              <w:rPr>
                <w:rFonts w:ascii="Arial Narrow" w:hAnsi="Arial Narrow"/>
                <w:sz w:val="20"/>
                <w:vertAlign w:val="superscript"/>
              </w:rPr>
              <w:t>a</w:t>
            </w:r>
          </w:p>
          <w:p w:rsidR="00351B6E" w:rsidRPr="007A7B7C" w:rsidRDefault="00351B6E" w:rsidP="004E50C1">
            <w:pPr>
              <w:jc w:val="center"/>
              <w:rPr>
                <w:rFonts w:ascii="Arial Narrow" w:hAnsi="Arial Narrow"/>
                <w:sz w:val="20"/>
              </w:rPr>
            </w:pPr>
            <w:r w:rsidRPr="007A7B7C">
              <w:rPr>
                <w:rFonts w:ascii="Arial Narrow" w:hAnsi="Arial Narrow"/>
                <w:sz w:val="20"/>
              </w:rPr>
              <w:t>88.7% (83.5%, 92.7%)</w:t>
            </w:r>
          </w:p>
        </w:tc>
        <w:tc>
          <w:tcPr>
            <w:tcW w:w="1022" w:type="pct"/>
            <w:vAlign w:val="center"/>
          </w:tcPr>
          <w:p w:rsidR="00351B6E" w:rsidRPr="00A54692" w:rsidRDefault="00A54692" w:rsidP="004E50C1">
            <w:pPr>
              <w:jc w:val="center"/>
              <w:rPr>
                <w:rFonts w:ascii="Arial Narrow" w:hAnsi="Arial Narrow"/>
                <w:sz w:val="20"/>
                <w:highlight w:val="black"/>
                <w:vertAlign w:val="superscript"/>
              </w:rPr>
            </w:pPr>
            <w:r>
              <w:rPr>
                <w:rFonts w:ascii="Arial Narrow" w:hAnsi="Arial Narrow"/>
                <w:noProof/>
                <w:color w:val="000000"/>
                <w:sz w:val="20"/>
                <w:highlight w:val="black"/>
              </w:rPr>
              <w:t>''''''''''''''''''''''''</w:t>
            </w:r>
          </w:p>
          <w:p w:rsidR="00351B6E" w:rsidRPr="00A54692" w:rsidRDefault="00A54692" w:rsidP="004E50C1">
            <w:pPr>
              <w:jc w:val="center"/>
              <w:rPr>
                <w:rFonts w:ascii="Arial Narrow" w:hAnsi="Arial Narrow"/>
                <w:sz w:val="20"/>
                <w:highlight w:val="black"/>
                <w:vertAlign w:val="superscript"/>
              </w:rPr>
            </w:pPr>
            <w:r>
              <w:rPr>
                <w:rFonts w:ascii="Arial Narrow" w:hAnsi="Arial Narrow"/>
                <w:noProof/>
                <w:color w:val="000000"/>
                <w:sz w:val="20"/>
                <w:highlight w:val="black"/>
              </w:rPr>
              <w:t>''''''''''''''' '''''''''''''''''' '''''''''''''''''''</w:t>
            </w:r>
          </w:p>
        </w:tc>
        <w:tc>
          <w:tcPr>
            <w:tcW w:w="997" w:type="pct"/>
            <w:vAlign w:val="center"/>
          </w:tcPr>
          <w:p w:rsidR="00351B6E" w:rsidRPr="00A54692" w:rsidRDefault="00A54692" w:rsidP="004E50C1">
            <w:pPr>
              <w:jc w:val="center"/>
              <w:rPr>
                <w:rFonts w:ascii="Arial Narrow" w:hAnsi="Arial Narrow"/>
                <w:sz w:val="20"/>
                <w:highlight w:val="black"/>
              </w:rPr>
            </w:pPr>
            <w:r>
              <w:rPr>
                <w:rFonts w:ascii="Arial Narrow" w:hAnsi="Arial Narrow"/>
                <w:noProof/>
                <w:color w:val="000000"/>
                <w:sz w:val="20"/>
                <w:highlight w:val="black"/>
              </w:rPr>
              <w:t>'''''''''''''</w:t>
            </w:r>
          </w:p>
          <w:p w:rsidR="00351B6E" w:rsidRPr="00A54692" w:rsidRDefault="00A54692" w:rsidP="004E50C1">
            <w:pPr>
              <w:jc w:val="center"/>
              <w:rPr>
                <w:rFonts w:ascii="Arial Narrow" w:hAnsi="Arial Narrow"/>
                <w:sz w:val="20"/>
                <w:highlight w:val="black"/>
              </w:rPr>
            </w:pPr>
            <w:r>
              <w:rPr>
                <w:rFonts w:ascii="Arial Narrow" w:hAnsi="Arial Narrow"/>
                <w:noProof/>
                <w:color w:val="000000"/>
                <w:sz w:val="20"/>
                <w:highlight w:val="black"/>
              </w:rPr>
              <w:t>''''''''''''''''' '''''''''''''''''''</w:t>
            </w:r>
          </w:p>
        </w:tc>
        <w:tc>
          <w:tcPr>
            <w:tcW w:w="936" w:type="pct"/>
            <w:vAlign w:val="center"/>
          </w:tcPr>
          <w:p w:rsidR="00351B6E" w:rsidRPr="00A54692" w:rsidRDefault="00A54692" w:rsidP="004E50C1">
            <w:pPr>
              <w:jc w:val="center"/>
              <w:rPr>
                <w:rFonts w:ascii="Arial Narrow" w:hAnsi="Arial Narrow"/>
                <w:sz w:val="20"/>
                <w:highlight w:val="black"/>
              </w:rPr>
            </w:pPr>
            <w:r>
              <w:rPr>
                <w:rFonts w:ascii="Arial Narrow" w:hAnsi="Arial Narrow"/>
                <w:noProof/>
                <w:color w:val="000000"/>
                <w:sz w:val="20"/>
                <w:highlight w:val="black"/>
              </w:rPr>
              <w:t>''''''''''''</w:t>
            </w:r>
          </w:p>
          <w:p w:rsidR="00351B6E" w:rsidRPr="00A54692" w:rsidRDefault="00A54692" w:rsidP="004E50C1">
            <w:pPr>
              <w:jc w:val="center"/>
              <w:rPr>
                <w:rFonts w:ascii="Arial Narrow" w:hAnsi="Arial Narrow"/>
                <w:sz w:val="20"/>
                <w:highlight w:val="black"/>
              </w:rPr>
            </w:pPr>
            <w:r>
              <w:rPr>
                <w:rFonts w:ascii="Arial Narrow" w:hAnsi="Arial Narrow"/>
                <w:noProof/>
                <w:color w:val="000000"/>
                <w:sz w:val="20"/>
                <w:highlight w:val="black"/>
              </w:rPr>
              <w:t>''''''''''''''' '''''''''''</w:t>
            </w:r>
          </w:p>
        </w:tc>
      </w:tr>
      <w:tr w:rsidR="00351B6E" w:rsidRPr="007A7B7C" w:rsidTr="009C45B8">
        <w:tc>
          <w:tcPr>
            <w:tcW w:w="937" w:type="pct"/>
            <w:vAlign w:val="center"/>
          </w:tcPr>
          <w:p w:rsidR="00351B6E" w:rsidRPr="007A7B7C" w:rsidRDefault="00351B6E" w:rsidP="004E50C1">
            <w:pPr>
              <w:ind w:left="142"/>
              <w:jc w:val="left"/>
              <w:rPr>
                <w:rFonts w:ascii="Arial Narrow" w:hAnsi="Arial Narrow"/>
                <w:sz w:val="20"/>
              </w:rPr>
            </w:pPr>
            <w:r w:rsidRPr="007A7B7C">
              <w:rPr>
                <w:rFonts w:ascii="Arial Narrow" w:hAnsi="Arial Narrow"/>
                <w:sz w:val="20"/>
              </w:rPr>
              <w:t>Prior non-responders</w:t>
            </w:r>
          </w:p>
        </w:tc>
        <w:tc>
          <w:tcPr>
            <w:tcW w:w="1108" w:type="pct"/>
            <w:vAlign w:val="center"/>
          </w:tcPr>
          <w:p w:rsidR="00351B6E" w:rsidRPr="007A7B7C" w:rsidRDefault="00351B6E" w:rsidP="004E50C1">
            <w:pPr>
              <w:jc w:val="center"/>
              <w:rPr>
                <w:rFonts w:ascii="Arial Narrow" w:hAnsi="Arial Narrow"/>
                <w:sz w:val="20"/>
                <w:vertAlign w:val="superscript"/>
              </w:rPr>
            </w:pPr>
            <w:r w:rsidRPr="007A7B7C">
              <w:rPr>
                <w:rFonts w:ascii="Arial Narrow" w:hAnsi="Arial Narrow"/>
                <w:sz w:val="20"/>
              </w:rPr>
              <w:t>70/87</w:t>
            </w:r>
            <w:r w:rsidRPr="007A7B7C">
              <w:rPr>
                <w:rFonts w:ascii="Arial Narrow" w:hAnsi="Arial Narrow"/>
                <w:sz w:val="20"/>
                <w:vertAlign w:val="superscript"/>
              </w:rPr>
              <w:t>c</w:t>
            </w:r>
          </w:p>
          <w:p w:rsidR="00351B6E" w:rsidRPr="007A7B7C" w:rsidRDefault="00351B6E" w:rsidP="004E50C1">
            <w:pPr>
              <w:jc w:val="center"/>
              <w:rPr>
                <w:rFonts w:ascii="Arial Narrow" w:hAnsi="Arial Narrow"/>
                <w:sz w:val="20"/>
              </w:rPr>
            </w:pPr>
            <w:r w:rsidRPr="007A7B7C">
              <w:rPr>
                <w:rFonts w:ascii="Arial Narrow" w:hAnsi="Arial Narrow"/>
                <w:sz w:val="20"/>
              </w:rPr>
              <w:t>80.5% (70.6%, 88.2%)</w:t>
            </w:r>
          </w:p>
        </w:tc>
        <w:tc>
          <w:tcPr>
            <w:tcW w:w="1022" w:type="pct"/>
            <w:vAlign w:val="center"/>
          </w:tcPr>
          <w:p w:rsidR="00351B6E" w:rsidRPr="00A54692" w:rsidRDefault="00A54692" w:rsidP="004E50C1">
            <w:pPr>
              <w:jc w:val="center"/>
              <w:rPr>
                <w:rFonts w:ascii="Arial Narrow" w:hAnsi="Arial Narrow"/>
                <w:sz w:val="20"/>
                <w:highlight w:val="black"/>
                <w:vertAlign w:val="superscript"/>
              </w:rPr>
            </w:pPr>
            <w:r>
              <w:rPr>
                <w:rFonts w:ascii="Arial Narrow" w:hAnsi="Arial Narrow"/>
                <w:noProof/>
                <w:color w:val="000000"/>
                <w:sz w:val="20"/>
                <w:highlight w:val="black"/>
              </w:rPr>
              <w:t>'''''''''''''''''''''</w:t>
            </w:r>
          </w:p>
          <w:p w:rsidR="00351B6E" w:rsidRPr="00A54692" w:rsidRDefault="00A54692" w:rsidP="004E50C1">
            <w:pPr>
              <w:jc w:val="center"/>
              <w:rPr>
                <w:rFonts w:ascii="Arial Narrow" w:hAnsi="Arial Narrow"/>
                <w:sz w:val="20"/>
                <w:highlight w:val="black"/>
              </w:rPr>
            </w:pPr>
            <w:r>
              <w:rPr>
                <w:rFonts w:ascii="Arial Narrow" w:hAnsi="Arial Narrow"/>
                <w:noProof/>
                <w:color w:val="000000"/>
                <w:sz w:val="20"/>
                <w:highlight w:val="black"/>
              </w:rPr>
              <w:t>'''''''''''''''' '''''''''''''''''' ''''''''''''''''''</w:t>
            </w:r>
          </w:p>
        </w:tc>
        <w:tc>
          <w:tcPr>
            <w:tcW w:w="997" w:type="pct"/>
            <w:vAlign w:val="center"/>
          </w:tcPr>
          <w:p w:rsidR="00351B6E" w:rsidRPr="00A54692" w:rsidRDefault="00A54692" w:rsidP="004E50C1">
            <w:pPr>
              <w:jc w:val="center"/>
              <w:rPr>
                <w:rFonts w:ascii="Arial Narrow" w:hAnsi="Arial Narrow"/>
                <w:sz w:val="20"/>
                <w:highlight w:val="black"/>
              </w:rPr>
            </w:pPr>
            <w:r>
              <w:rPr>
                <w:rFonts w:ascii="Arial Narrow" w:hAnsi="Arial Narrow"/>
                <w:noProof/>
                <w:color w:val="000000"/>
                <w:sz w:val="20"/>
                <w:highlight w:val="black"/>
              </w:rPr>
              <w:t>'''''''''''''''</w:t>
            </w:r>
          </w:p>
          <w:p w:rsidR="00351B6E" w:rsidRPr="00A54692" w:rsidRDefault="00A54692" w:rsidP="004E50C1">
            <w:pPr>
              <w:jc w:val="center"/>
              <w:rPr>
                <w:rFonts w:ascii="Arial Narrow" w:hAnsi="Arial Narrow"/>
                <w:sz w:val="20"/>
                <w:highlight w:val="black"/>
              </w:rPr>
            </w:pPr>
            <w:r>
              <w:rPr>
                <w:rFonts w:ascii="Arial Narrow" w:hAnsi="Arial Narrow"/>
                <w:noProof/>
                <w:color w:val="000000"/>
                <w:sz w:val="20"/>
                <w:highlight w:val="black"/>
              </w:rPr>
              <w:t>''''''''''''''''' ''''''''''''''''</w:t>
            </w:r>
          </w:p>
        </w:tc>
        <w:tc>
          <w:tcPr>
            <w:tcW w:w="936" w:type="pct"/>
            <w:vAlign w:val="center"/>
          </w:tcPr>
          <w:p w:rsidR="00351B6E" w:rsidRPr="00A54692" w:rsidRDefault="00A54692" w:rsidP="004E50C1">
            <w:pPr>
              <w:jc w:val="center"/>
              <w:rPr>
                <w:rFonts w:ascii="Arial Narrow" w:hAnsi="Arial Narrow"/>
                <w:sz w:val="20"/>
                <w:highlight w:val="black"/>
              </w:rPr>
            </w:pPr>
            <w:r>
              <w:rPr>
                <w:rFonts w:ascii="Arial Narrow" w:hAnsi="Arial Narrow"/>
                <w:noProof/>
                <w:color w:val="000000"/>
                <w:sz w:val="20"/>
                <w:highlight w:val="black"/>
              </w:rPr>
              <w:t>''''''''''</w:t>
            </w:r>
          </w:p>
          <w:p w:rsidR="00351B6E" w:rsidRPr="00A54692" w:rsidRDefault="00A54692" w:rsidP="004E50C1">
            <w:pPr>
              <w:jc w:val="center"/>
              <w:rPr>
                <w:rFonts w:ascii="Arial Narrow" w:hAnsi="Arial Narrow"/>
                <w:sz w:val="20"/>
                <w:highlight w:val="black"/>
              </w:rPr>
            </w:pPr>
            <w:r>
              <w:rPr>
                <w:rFonts w:ascii="Arial Narrow" w:hAnsi="Arial Narrow"/>
                <w:noProof/>
                <w:color w:val="000000"/>
                <w:sz w:val="20"/>
                <w:highlight w:val="black"/>
              </w:rPr>
              <w:t>'''''''''''''' ''''''''''''</w:t>
            </w:r>
          </w:p>
        </w:tc>
      </w:tr>
      <w:tr w:rsidR="00351B6E" w:rsidRPr="007A7B7C" w:rsidTr="00351B6E">
        <w:tc>
          <w:tcPr>
            <w:tcW w:w="5000" w:type="pct"/>
            <w:gridSpan w:val="5"/>
            <w:vAlign w:val="center"/>
          </w:tcPr>
          <w:p w:rsidR="00351B6E" w:rsidRPr="00A54692" w:rsidRDefault="00A54692" w:rsidP="004E50C1">
            <w:pPr>
              <w:jc w:val="left"/>
              <w:rPr>
                <w:rFonts w:ascii="Arial Narrow" w:hAnsi="Arial Narrow"/>
                <w:sz w:val="20"/>
                <w:highlight w:val="black"/>
              </w:rPr>
            </w:pPr>
            <w:r>
              <w:rPr>
                <w:rFonts w:ascii="Arial Narrow" w:hAnsi="Arial Narrow"/>
                <w:b/>
                <w:noProof/>
                <w:color w:val="000000"/>
                <w:sz w:val="20"/>
                <w:highlight w:val="black"/>
              </w:rPr>
              <w:t>'''''''''''''''''''''' ''''' ''''''''''''''''''''''</w:t>
            </w:r>
          </w:p>
        </w:tc>
      </w:tr>
      <w:tr w:rsidR="00351B6E" w:rsidRPr="007A7B7C" w:rsidTr="00351B6E">
        <w:tc>
          <w:tcPr>
            <w:tcW w:w="937" w:type="pct"/>
            <w:vAlign w:val="center"/>
          </w:tcPr>
          <w:p w:rsidR="00351B6E" w:rsidRPr="007A7B7C" w:rsidRDefault="00922990" w:rsidP="004E50C1">
            <w:pPr>
              <w:ind w:left="142"/>
              <w:jc w:val="left"/>
              <w:rPr>
                <w:rFonts w:ascii="Arial Narrow" w:hAnsi="Arial Narrow"/>
                <w:sz w:val="20"/>
              </w:rPr>
            </w:pPr>
            <w:r w:rsidRPr="007A7B7C">
              <w:rPr>
                <w:rFonts w:ascii="Arial Narrow" w:hAnsi="Arial Narrow"/>
                <w:sz w:val="20"/>
              </w:rPr>
              <w:t>Treatment-n</w:t>
            </w:r>
            <w:r w:rsidR="00351B6E" w:rsidRPr="007A7B7C">
              <w:rPr>
                <w:rFonts w:ascii="Arial Narrow" w:hAnsi="Arial Narrow"/>
                <w:sz w:val="20"/>
              </w:rPr>
              <w:t>aïve</w:t>
            </w:r>
          </w:p>
          <w:p w:rsidR="00351B6E" w:rsidRPr="007A7B7C" w:rsidRDefault="00351B6E" w:rsidP="004E50C1">
            <w:pPr>
              <w:ind w:left="142"/>
              <w:jc w:val="left"/>
              <w:rPr>
                <w:rFonts w:ascii="Arial Narrow" w:hAnsi="Arial Narrow"/>
                <w:sz w:val="20"/>
              </w:rPr>
            </w:pPr>
            <w:r w:rsidRPr="007A7B7C">
              <w:rPr>
                <w:rFonts w:ascii="Arial Narrow" w:hAnsi="Arial Narrow"/>
                <w:sz w:val="20"/>
              </w:rPr>
              <w:t>(non-cirrhotic)</w:t>
            </w:r>
          </w:p>
        </w:tc>
        <w:tc>
          <w:tcPr>
            <w:tcW w:w="1108" w:type="pct"/>
            <w:vAlign w:val="center"/>
          </w:tcPr>
          <w:p w:rsidR="00351B6E" w:rsidRPr="00A54692" w:rsidRDefault="00A54692" w:rsidP="004E50C1">
            <w:pPr>
              <w:jc w:val="center"/>
              <w:rPr>
                <w:rFonts w:ascii="Arial Narrow" w:hAnsi="Arial Narrow"/>
                <w:sz w:val="20"/>
                <w:highlight w:val="black"/>
                <w:vertAlign w:val="superscript"/>
              </w:rPr>
            </w:pPr>
            <w:r>
              <w:rPr>
                <w:rFonts w:ascii="Arial Narrow" w:hAnsi="Arial Narrow"/>
                <w:noProof/>
                <w:color w:val="000000"/>
                <w:sz w:val="20"/>
                <w:highlight w:val="black"/>
              </w:rPr>
              <w:t>''''''''''''''''''''</w:t>
            </w:r>
          </w:p>
          <w:p w:rsidR="00351B6E" w:rsidRPr="00A54692" w:rsidRDefault="00A54692" w:rsidP="004E50C1">
            <w:pPr>
              <w:jc w:val="center"/>
              <w:rPr>
                <w:rFonts w:ascii="Arial Narrow" w:hAnsi="Arial Narrow"/>
                <w:sz w:val="20"/>
                <w:highlight w:val="black"/>
                <w:vertAlign w:val="superscript"/>
              </w:rPr>
            </w:pPr>
            <w:r>
              <w:rPr>
                <w:rFonts w:ascii="Arial Narrow" w:hAnsi="Arial Narrow"/>
                <w:noProof/>
                <w:color w:val="000000"/>
                <w:sz w:val="20"/>
                <w:highlight w:val="black"/>
              </w:rPr>
              <w:t>''''''''''''''' '''''''''''''''''' ''''''''''''''''</w:t>
            </w:r>
          </w:p>
        </w:tc>
        <w:tc>
          <w:tcPr>
            <w:tcW w:w="1022" w:type="pct"/>
            <w:vAlign w:val="center"/>
          </w:tcPr>
          <w:p w:rsidR="00351B6E" w:rsidRPr="00A54692" w:rsidRDefault="00A54692" w:rsidP="004E50C1">
            <w:pPr>
              <w:jc w:val="center"/>
              <w:rPr>
                <w:rFonts w:ascii="Arial Narrow" w:hAnsi="Arial Narrow"/>
                <w:sz w:val="20"/>
                <w:highlight w:val="black"/>
                <w:vertAlign w:val="superscript"/>
              </w:rPr>
            </w:pPr>
            <w:r>
              <w:rPr>
                <w:rFonts w:ascii="Arial Narrow" w:hAnsi="Arial Narrow"/>
                <w:noProof/>
                <w:color w:val="000000"/>
                <w:sz w:val="20"/>
                <w:highlight w:val="black"/>
              </w:rPr>
              <w:t>'''''''''''''''</w:t>
            </w:r>
          </w:p>
          <w:p w:rsidR="00351B6E" w:rsidRPr="00A54692" w:rsidRDefault="00A54692" w:rsidP="004E50C1">
            <w:pPr>
              <w:jc w:val="center"/>
              <w:rPr>
                <w:rFonts w:ascii="Arial Narrow" w:hAnsi="Arial Narrow"/>
                <w:sz w:val="20"/>
                <w:highlight w:val="black"/>
              </w:rPr>
            </w:pPr>
            <w:r>
              <w:rPr>
                <w:rFonts w:ascii="Arial Narrow" w:hAnsi="Arial Narrow"/>
                <w:noProof/>
                <w:color w:val="000000"/>
                <w:sz w:val="20"/>
                <w:highlight w:val="black"/>
              </w:rPr>
              <w:t>''''''''''''''' '''''''''''''''' ''''''''''''''</w:t>
            </w:r>
          </w:p>
        </w:tc>
        <w:tc>
          <w:tcPr>
            <w:tcW w:w="997" w:type="pct"/>
            <w:vAlign w:val="center"/>
          </w:tcPr>
          <w:p w:rsidR="00351B6E" w:rsidRPr="00A54692" w:rsidRDefault="00A54692" w:rsidP="004E50C1">
            <w:pPr>
              <w:jc w:val="center"/>
              <w:rPr>
                <w:rFonts w:ascii="Arial Narrow" w:hAnsi="Arial Narrow"/>
                <w:sz w:val="20"/>
                <w:highlight w:val="black"/>
              </w:rPr>
            </w:pPr>
            <w:r>
              <w:rPr>
                <w:rFonts w:ascii="Arial Narrow" w:hAnsi="Arial Narrow"/>
                <w:noProof/>
                <w:color w:val="000000"/>
                <w:sz w:val="20"/>
                <w:highlight w:val="black"/>
              </w:rPr>
              <w:t>''''''''''''''''</w:t>
            </w:r>
          </w:p>
          <w:p w:rsidR="00351B6E" w:rsidRPr="00A54692" w:rsidRDefault="00A54692" w:rsidP="004E50C1">
            <w:pPr>
              <w:jc w:val="center"/>
              <w:rPr>
                <w:rFonts w:ascii="Arial Narrow" w:hAnsi="Arial Narrow"/>
                <w:sz w:val="20"/>
                <w:highlight w:val="black"/>
              </w:rPr>
            </w:pPr>
            <w:r>
              <w:rPr>
                <w:rFonts w:ascii="Arial Narrow" w:hAnsi="Arial Narrow"/>
                <w:noProof/>
                <w:color w:val="000000"/>
                <w:sz w:val="20"/>
                <w:highlight w:val="black"/>
              </w:rPr>
              <w:t>''''''''''''''''''' ''''''''''''''</w:t>
            </w:r>
          </w:p>
        </w:tc>
        <w:tc>
          <w:tcPr>
            <w:tcW w:w="936" w:type="pct"/>
            <w:vAlign w:val="center"/>
          </w:tcPr>
          <w:p w:rsidR="00351B6E" w:rsidRPr="00A54692" w:rsidRDefault="00A54692" w:rsidP="004E50C1">
            <w:pPr>
              <w:jc w:val="center"/>
              <w:rPr>
                <w:rFonts w:ascii="Arial Narrow" w:hAnsi="Arial Narrow"/>
                <w:sz w:val="20"/>
                <w:highlight w:val="black"/>
              </w:rPr>
            </w:pPr>
            <w:r>
              <w:rPr>
                <w:rFonts w:ascii="Arial Narrow" w:hAnsi="Arial Narrow"/>
                <w:noProof/>
                <w:color w:val="000000"/>
                <w:sz w:val="20"/>
                <w:highlight w:val="black"/>
              </w:rPr>
              <w:t>'''''''''''</w:t>
            </w:r>
          </w:p>
          <w:p w:rsidR="00351B6E" w:rsidRPr="00A54692" w:rsidRDefault="00A54692" w:rsidP="004E50C1">
            <w:pPr>
              <w:jc w:val="center"/>
              <w:rPr>
                <w:rFonts w:ascii="Arial Narrow" w:hAnsi="Arial Narrow"/>
                <w:sz w:val="20"/>
                <w:highlight w:val="black"/>
              </w:rPr>
            </w:pPr>
            <w:r>
              <w:rPr>
                <w:rFonts w:ascii="Arial Narrow" w:hAnsi="Arial Narrow"/>
                <w:noProof/>
                <w:color w:val="000000"/>
                <w:sz w:val="20"/>
                <w:highlight w:val="black"/>
              </w:rPr>
              <w:t>'''''''''''' ''''''''''''</w:t>
            </w:r>
          </w:p>
        </w:tc>
      </w:tr>
      <w:tr w:rsidR="00351B6E" w:rsidRPr="007A7B7C" w:rsidTr="00351B6E">
        <w:tc>
          <w:tcPr>
            <w:tcW w:w="937" w:type="pct"/>
            <w:vAlign w:val="center"/>
          </w:tcPr>
          <w:p w:rsidR="00351B6E" w:rsidRPr="007A7B7C" w:rsidRDefault="00351B6E" w:rsidP="004E50C1">
            <w:pPr>
              <w:ind w:left="142"/>
              <w:jc w:val="left"/>
              <w:rPr>
                <w:rFonts w:ascii="Arial Narrow" w:hAnsi="Arial Narrow"/>
                <w:sz w:val="20"/>
              </w:rPr>
            </w:pPr>
            <w:r w:rsidRPr="007A7B7C">
              <w:rPr>
                <w:rFonts w:ascii="Arial Narrow" w:hAnsi="Arial Narrow"/>
                <w:sz w:val="20"/>
              </w:rPr>
              <w:t>Prior non-responders</w:t>
            </w:r>
          </w:p>
          <w:p w:rsidR="00351B6E" w:rsidRPr="007A7B7C" w:rsidRDefault="00351B6E" w:rsidP="004E50C1">
            <w:pPr>
              <w:ind w:left="142"/>
              <w:jc w:val="left"/>
              <w:rPr>
                <w:rFonts w:ascii="Arial Narrow" w:hAnsi="Arial Narrow"/>
                <w:sz w:val="20"/>
              </w:rPr>
            </w:pPr>
            <w:r w:rsidRPr="007A7B7C">
              <w:rPr>
                <w:rFonts w:ascii="Arial Narrow" w:hAnsi="Arial Narrow"/>
                <w:sz w:val="20"/>
              </w:rPr>
              <w:t>(non-cirrhotic)</w:t>
            </w:r>
          </w:p>
        </w:tc>
        <w:tc>
          <w:tcPr>
            <w:tcW w:w="1108" w:type="pct"/>
            <w:vAlign w:val="center"/>
          </w:tcPr>
          <w:p w:rsidR="00351B6E" w:rsidRPr="00A54692" w:rsidRDefault="00A54692" w:rsidP="004E50C1">
            <w:pPr>
              <w:jc w:val="center"/>
              <w:rPr>
                <w:rFonts w:ascii="Arial Narrow" w:hAnsi="Arial Narrow"/>
                <w:sz w:val="20"/>
                <w:highlight w:val="black"/>
                <w:vertAlign w:val="superscript"/>
              </w:rPr>
            </w:pPr>
            <w:r>
              <w:rPr>
                <w:rFonts w:ascii="Arial Narrow" w:hAnsi="Arial Narrow"/>
                <w:noProof/>
                <w:color w:val="000000"/>
                <w:sz w:val="20"/>
                <w:highlight w:val="black"/>
              </w:rPr>
              <w:t>''''''''''''''''''''''</w:t>
            </w:r>
          </w:p>
          <w:p w:rsidR="00351B6E" w:rsidRPr="00A54692" w:rsidRDefault="00A54692" w:rsidP="004E50C1">
            <w:pPr>
              <w:jc w:val="center"/>
              <w:rPr>
                <w:rFonts w:ascii="Arial Narrow" w:hAnsi="Arial Narrow"/>
                <w:sz w:val="20"/>
                <w:highlight w:val="black"/>
              </w:rPr>
            </w:pPr>
            <w:r>
              <w:rPr>
                <w:rFonts w:ascii="Arial Narrow" w:hAnsi="Arial Narrow"/>
                <w:noProof/>
                <w:color w:val="000000"/>
                <w:sz w:val="20"/>
                <w:highlight w:val="black"/>
              </w:rPr>
              <w:t>'''''''''''''''' '''''''''''''''''''' ''''''''''''''''</w:t>
            </w:r>
          </w:p>
        </w:tc>
        <w:tc>
          <w:tcPr>
            <w:tcW w:w="1022" w:type="pct"/>
            <w:vAlign w:val="center"/>
          </w:tcPr>
          <w:p w:rsidR="00351B6E" w:rsidRPr="00A54692" w:rsidRDefault="00A54692" w:rsidP="004E50C1">
            <w:pPr>
              <w:jc w:val="center"/>
              <w:rPr>
                <w:rFonts w:ascii="Arial Narrow" w:hAnsi="Arial Narrow"/>
                <w:sz w:val="20"/>
                <w:highlight w:val="black"/>
              </w:rPr>
            </w:pPr>
            <w:r>
              <w:rPr>
                <w:rFonts w:ascii="Arial Narrow" w:hAnsi="Arial Narrow"/>
                <w:noProof/>
                <w:color w:val="000000"/>
                <w:sz w:val="20"/>
                <w:highlight w:val="black"/>
              </w:rPr>
              <w:t xml:space="preserve">''''''''' </w:t>
            </w:r>
          </w:p>
          <w:p w:rsidR="00351B6E" w:rsidRPr="00A54692" w:rsidRDefault="00A54692" w:rsidP="004E50C1">
            <w:pPr>
              <w:jc w:val="center"/>
              <w:rPr>
                <w:rFonts w:ascii="Arial Narrow" w:hAnsi="Arial Narrow"/>
                <w:sz w:val="20"/>
                <w:highlight w:val="black"/>
              </w:rPr>
            </w:pPr>
            <w:r>
              <w:rPr>
                <w:rFonts w:ascii="Arial Narrow" w:hAnsi="Arial Narrow"/>
                <w:noProof/>
                <w:color w:val="000000"/>
                <w:sz w:val="20"/>
                <w:highlight w:val="black"/>
              </w:rPr>
              <w:t>''''''''''''''' '''''''''''''''''' ''''''''''''''</w:t>
            </w:r>
          </w:p>
        </w:tc>
        <w:tc>
          <w:tcPr>
            <w:tcW w:w="997" w:type="pct"/>
            <w:vAlign w:val="center"/>
          </w:tcPr>
          <w:p w:rsidR="00351B6E" w:rsidRPr="00A54692" w:rsidRDefault="00A54692" w:rsidP="004E50C1">
            <w:pPr>
              <w:jc w:val="center"/>
              <w:rPr>
                <w:rFonts w:ascii="Arial Narrow" w:hAnsi="Arial Narrow"/>
                <w:sz w:val="20"/>
                <w:highlight w:val="black"/>
              </w:rPr>
            </w:pPr>
            <w:r>
              <w:rPr>
                <w:rFonts w:ascii="Arial Narrow" w:hAnsi="Arial Narrow"/>
                <w:noProof/>
                <w:color w:val="000000"/>
                <w:sz w:val="20"/>
                <w:highlight w:val="black"/>
              </w:rPr>
              <w:t>''''''''''''''''''</w:t>
            </w:r>
          </w:p>
          <w:p w:rsidR="00351B6E" w:rsidRPr="00A54692" w:rsidRDefault="00A54692" w:rsidP="004E50C1">
            <w:pPr>
              <w:jc w:val="center"/>
              <w:rPr>
                <w:rFonts w:ascii="Arial Narrow" w:hAnsi="Arial Narrow"/>
                <w:sz w:val="20"/>
                <w:highlight w:val="black"/>
              </w:rPr>
            </w:pPr>
            <w:r>
              <w:rPr>
                <w:rFonts w:ascii="Arial Narrow" w:hAnsi="Arial Narrow"/>
                <w:noProof/>
                <w:color w:val="000000"/>
                <w:sz w:val="20"/>
                <w:highlight w:val="black"/>
              </w:rPr>
              <w:t>''''''''''''''''''''''' ''''''''''''''''''''</w:t>
            </w:r>
          </w:p>
        </w:tc>
        <w:tc>
          <w:tcPr>
            <w:tcW w:w="936" w:type="pct"/>
            <w:vAlign w:val="center"/>
          </w:tcPr>
          <w:p w:rsidR="00351B6E" w:rsidRPr="00A54692" w:rsidRDefault="00A54692" w:rsidP="004E50C1">
            <w:pPr>
              <w:jc w:val="center"/>
              <w:rPr>
                <w:rFonts w:ascii="Arial Narrow" w:hAnsi="Arial Narrow"/>
                <w:sz w:val="20"/>
                <w:highlight w:val="black"/>
              </w:rPr>
            </w:pPr>
            <w:r>
              <w:rPr>
                <w:rFonts w:ascii="Arial Narrow" w:hAnsi="Arial Narrow"/>
                <w:noProof/>
                <w:color w:val="000000"/>
                <w:sz w:val="20"/>
                <w:highlight w:val="black"/>
              </w:rPr>
              <w:t>''''''''''''</w:t>
            </w:r>
          </w:p>
          <w:p w:rsidR="00351B6E" w:rsidRPr="00A54692" w:rsidRDefault="00A54692" w:rsidP="004E50C1">
            <w:pPr>
              <w:jc w:val="center"/>
              <w:rPr>
                <w:rFonts w:ascii="Arial Narrow" w:hAnsi="Arial Narrow"/>
                <w:sz w:val="20"/>
                <w:highlight w:val="black"/>
              </w:rPr>
            </w:pPr>
            <w:r>
              <w:rPr>
                <w:rFonts w:ascii="Arial Narrow" w:hAnsi="Arial Narrow"/>
                <w:noProof/>
                <w:color w:val="000000"/>
                <w:sz w:val="20"/>
                <w:highlight w:val="black"/>
              </w:rPr>
              <w:t>''''''''''''''' ''''''''''''</w:t>
            </w:r>
          </w:p>
        </w:tc>
      </w:tr>
    </w:tbl>
    <w:p w:rsidR="00351B6E" w:rsidRPr="00940060" w:rsidRDefault="00351B6E" w:rsidP="00351B6E">
      <w:pPr>
        <w:pStyle w:val="TableFooter"/>
        <w:ind w:left="709"/>
      </w:pPr>
      <w:r w:rsidRPr="00940060">
        <w:t>CI = confidence interval; DCV = daclatasvir, PR = peginterferon and ribavirin; SOF = sofosbuvir; TVR = telaprevir</w:t>
      </w:r>
    </w:p>
    <w:p w:rsidR="00351B6E" w:rsidRPr="00940060" w:rsidRDefault="00351B6E" w:rsidP="00351B6E">
      <w:pPr>
        <w:pStyle w:val="TableFooter"/>
        <w:ind w:left="709"/>
      </w:pPr>
      <w:r w:rsidRPr="00940060">
        <w:rPr>
          <w:vertAlign w:val="superscript"/>
        </w:rPr>
        <w:t>a</w:t>
      </w:r>
      <w:r w:rsidRPr="00940060">
        <w:t xml:space="preserve"> SVR12 (</w:t>
      </w:r>
      <w:r w:rsidR="006A3A8E">
        <w:t xml:space="preserve">target not detected, </w:t>
      </w:r>
      <w:r w:rsidRPr="00940060">
        <w:t>TND) Study 7028</w:t>
      </w:r>
      <w:r w:rsidR="006A3A8E">
        <w:t>, proportion of patients with c</w:t>
      </w:r>
      <w:r w:rsidRPr="00940060">
        <w:t>i</w:t>
      </w:r>
      <w:r w:rsidR="006A3A8E">
        <w:t>r</w:t>
      </w:r>
      <w:r w:rsidRPr="00940060">
        <w:t>rhosis 16%</w:t>
      </w:r>
    </w:p>
    <w:p w:rsidR="00351B6E" w:rsidRPr="00940060" w:rsidRDefault="00351B6E" w:rsidP="00351B6E">
      <w:pPr>
        <w:pStyle w:val="TableFooter"/>
        <w:ind w:left="709"/>
      </w:pPr>
      <w:r w:rsidRPr="00940060">
        <w:rPr>
          <w:vertAlign w:val="superscript"/>
        </w:rPr>
        <w:t>b</w:t>
      </w:r>
      <w:r w:rsidRPr="00940060">
        <w:t xml:space="preserve"> ADVANCE trial, SVR24 (TND) genotype 1b patients, Telaprevir PI. Proportion of </w:t>
      </w:r>
      <w:r w:rsidR="0032657D" w:rsidRPr="00940060">
        <w:t xml:space="preserve">genotype 1 </w:t>
      </w:r>
      <w:r w:rsidRPr="00940060">
        <w:t>patients with cirrhosis 6%.</w:t>
      </w:r>
    </w:p>
    <w:p w:rsidR="00351B6E" w:rsidRPr="00940060" w:rsidRDefault="00351B6E" w:rsidP="00351B6E">
      <w:pPr>
        <w:pStyle w:val="TableFooter"/>
        <w:ind w:left="709"/>
      </w:pPr>
      <w:r w:rsidRPr="00940060">
        <w:rPr>
          <w:vertAlign w:val="superscript"/>
        </w:rPr>
        <w:t>c</w:t>
      </w:r>
      <w:r w:rsidR="0032657D" w:rsidRPr="00940060">
        <w:t xml:space="preserve"> SVR24 (</w:t>
      </w:r>
      <w:r w:rsidRPr="00940060">
        <w:t>TND), Study 7026, proportion of patients with cirrhosis 13%. Study 7028 not included as 31% of patients had cirrhosis.</w:t>
      </w:r>
    </w:p>
    <w:p w:rsidR="00351B6E" w:rsidRPr="00940060" w:rsidRDefault="00351B6E" w:rsidP="00351B6E">
      <w:pPr>
        <w:pStyle w:val="TableFooter"/>
        <w:ind w:left="709"/>
      </w:pPr>
      <w:r w:rsidRPr="00940060">
        <w:rPr>
          <w:vertAlign w:val="superscript"/>
        </w:rPr>
        <w:t>d</w:t>
      </w:r>
      <w:r w:rsidRPr="00940060">
        <w:t xml:space="preserve"> </w:t>
      </w:r>
      <w:r w:rsidR="001347DF">
        <w:t xml:space="preserve">SVR24 (TND), </w:t>
      </w:r>
      <w:r w:rsidRPr="00940060">
        <w:t>Sitole et al (2013)</w:t>
      </w:r>
      <w:r w:rsidR="00CE01F6">
        <w:t>,a publication of meta-analysis</w:t>
      </w:r>
      <w:r w:rsidR="007D0A07">
        <w:t xml:space="preserve"> </w:t>
      </w:r>
      <w:r w:rsidR="007D0A07" w:rsidRPr="00B539E4">
        <w:rPr>
          <w:noProof/>
        </w:rPr>
        <w:t>of data from phase II and III trials</w:t>
      </w:r>
      <w:r w:rsidR="007D0A07">
        <w:t>.</w:t>
      </w:r>
      <w:r w:rsidR="00CE01F6">
        <w:t xml:space="preserve"> Pool results from three </w:t>
      </w:r>
      <w:r w:rsidR="007D0A07">
        <w:t>trials,</w:t>
      </w:r>
      <w:r w:rsidRPr="00940060">
        <w:t xml:space="preserve"> includes both genotype 1a and 1b </w:t>
      </w:r>
      <w:r w:rsidR="00922990" w:rsidRPr="00940060">
        <w:t>treatment-experienced</w:t>
      </w:r>
      <w:r w:rsidRPr="00940060">
        <w:t xml:space="preserve"> patients, ~6% with cirrhosis.</w:t>
      </w:r>
    </w:p>
    <w:p w:rsidR="00351B6E" w:rsidRPr="00940060" w:rsidRDefault="00351B6E" w:rsidP="00351B6E">
      <w:pPr>
        <w:pStyle w:val="TableFooter"/>
        <w:ind w:left="709"/>
      </w:pPr>
      <w:r w:rsidRPr="00940060">
        <w:rPr>
          <w:vertAlign w:val="superscript"/>
        </w:rPr>
        <w:t>e</w:t>
      </w:r>
      <w:r w:rsidRPr="00940060">
        <w:t xml:space="preserve"> SVR12 (</w:t>
      </w:r>
      <w:r w:rsidR="006A3A8E">
        <w:t>target detected (T</w:t>
      </w:r>
      <w:r w:rsidRPr="00940060">
        <w:t>D</w:t>
      </w:r>
      <w:r w:rsidR="006A3A8E">
        <w:t>)</w:t>
      </w:r>
      <w:r w:rsidRPr="00940060">
        <w:t xml:space="preserve"> or TND), </w:t>
      </w:r>
      <w:r w:rsidR="00922990" w:rsidRPr="00940060">
        <w:t>treatment-n</w:t>
      </w:r>
      <w:r w:rsidRPr="00940060">
        <w:t>aïve from Study 7026; prior non-</w:t>
      </w:r>
      <w:r w:rsidR="006A3A8E">
        <w:t>responders are pooled data Studies</w:t>
      </w:r>
      <w:r w:rsidRPr="00940060">
        <w:t xml:space="preserve"> 7026 and 7028</w:t>
      </w:r>
    </w:p>
    <w:p w:rsidR="00351B6E" w:rsidRPr="00940060" w:rsidRDefault="00351B6E" w:rsidP="00351B6E">
      <w:pPr>
        <w:pStyle w:val="TableFooter"/>
        <w:ind w:left="709"/>
      </w:pPr>
      <w:r w:rsidRPr="00940060">
        <w:rPr>
          <w:vertAlign w:val="superscript"/>
        </w:rPr>
        <w:t>f</w:t>
      </w:r>
      <w:r w:rsidRPr="00940060">
        <w:t xml:space="preserve"> SVR12 (TD or TND) Genotype 1b </w:t>
      </w:r>
      <w:r w:rsidRPr="00DD201F">
        <w:t>patients, Table 7.3.5-1, p91 of Study 4040 CSR</w:t>
      </w:r>
    </w:p>
    <w:p w:rsidR="00351B6E" w:rsidRPr="007A7B7C" w:rsidRDefault="00351B6E" w:rsidP="00351B6E">
      <w:pPr>
        <w:pStyle w:val="TableFooter"/>
        <w:ind w:left="709"/>
      </w:pPr>
      <w:r w:rsidRPr="007A7B7C">
        <w:t>Source: Compiled during the evaluation</w:t>
      </w:r>
    </w:p>
    <w:p w:rsidR="00995347" w:rsidRPr="00995347" w:rsidRDefault="00995347" w:rsidP="00995347">
      <w:pPr>
        <w:pStyle w:val="ListParagraph"/>
        <w:rPr>
          <w:szCs w:val="22"/>
        </w:rPr>
      </w:pPr>
    </w:p>
    <w:p w:rsidR="00995347" w:rsidRDefault="0091739F" w:rsidP="00BA53D4">
      <w:pPr>
        <w:pStyle w:val="ListParagraph"/>
        <w:widowControl/>
        <w:numPr>
          <w:ilvl w:val="1"/>
          <w:numId w:val="1"/>
        </w:numPr>
        <w:rPr>
          <w:szCs w:val="22"/>
        </w:rPr>
      </w:pPr>
      <w:r w:rsidRPr="005156AC">
        <w:rPr>
          <w:szCs w:val="22"/>
        </w:rPr>
        <w:t xml:space="preserve">The European Medicines Agency (EMA) assessment report for daclatasvir stated that, in Study 7026, where daclatasvir was used in combination with asunaprevir, </w:t>
      </w:r>
      <w:r w:rsidR="00C770DF" w:rsidRPr="005156AC">
        <w:rPr>
          <w:szCs w:val="22"/>
        </w:rPr>
        <w:t xml:space="preserve">the presence of </w:t>
      </w:r>
      <w:r w:rsidRPr="005156AC">
        <w:rPr>
          <w:szCs w:val="22"/>
        </w:rPr>
        <w:t xml:space="preserve">baseline </w:t>
      </w:r>
      <w:r w:rsidR="00062ACC" w:rsidRPr="005156AC">
        <w:rPr>
          <w:szCs w:val="22"/>
        </w:rPr>
        <w:t xml:space="preserve">NS5A Y93H viral </w:t>
      </w:r>
      <w:r w:rsidRPr="005156AC">
        <w:rPr>
          <w:szCs w:val="22"/>
        </w:rPr>
        <w:t>polymorphism appeared to be associated with reduced susceptibility to daclatasvir and increased virological failure. This may have impacted on the applicability of study results to the proposed Australian PBS population. This was not an issue when daclatasvir was given in combination with sofosbuvir due to the potency of this combination and the barrier to resistance provided by sofosbuvir</w:t>
      </w:r>
      <w:r w:rsidR="00595553" w:rsidRPr="005156AC">
        <w:rPr>
          <w:szCs w:val="22"/>
        </w:rPr>
        <w:t>.</w:t>
      </w:r>
      <w:r w:rsidR="003B3887" w:rsidRPr="003B3887">
        <w:rPr>
          <w:i/>
          <w:szCs w:val="22"/>
        </w:rPr>
        <w:t xml:space="preserve"> </w:t>
      </w:r>
      <w:r w:rsidR="003B3887" w:rsidRPr="007A7B7C">
        <w:rPr>
          <w:szCs w:val="22"/>
        </w:rPr>
        <w:t xml:space="preserve">The ESC noted the sponsor’s response in the </w:t>
      </w:r>
      <w:r w:rsidR="008C18CE" w:rsidRPr="007A7B7C">
        <w:rPr>
          <w:szCs w:val="22"/>
        </w:rPr>
        <w:t>PSCR (</w:t>
      </w:r>
      <w:r w:rsidR="00DD201F" w:rsidRPr="007A7B7C">
        <w:rPr>
          <w:szCs w:val="22"/>
        </w:rPr>
        <w:t>p</w:t>
      </w:r>
      <w:r w:rsidR="006E163E" w:rsidRPr="007A7B7C">
        <w:rPr>
          <w:szCs w:val="22"/>
        </w:rPr>
        <w:t xml:space="preserve">2) </w:t>
      </w:r>
      <w:r w:rsidR="003B3887" w:rsidRPr="007A7B7C">
        <w:rPr>
          <w:szCs w:val="22"/>
        </w:rPr>
        <w:t>that 8 of 94 Australian GT1b patients carried the Y93H polymorphism which is consistent with the prevalence in the trial setting, and therefore the impact on observed effectiveness is likely to be small.</w:t>
      </w:r>
    </w:p>
    <w:p w:rsidR="00B8373F" w:rsidRDefault="00B8373F" w:rsidP="00B8373F">
      <w:pPr>
        <w:pStyle w:val="PBACHeading1"/>
        <w:numPr>
          <w:ilvl w:val="0"/>
          <w:numId w:val="0"/>
        </w:numPr>
        <w:ind w:left="720" w:hanging="720"/>
      </w:pPr>
    </w:p>
    <w:p w:rsidR="00B8373F" w:rsidRPr="005156AC" w:rsidRDefault="00B8373F" w:rsidP="00BA53D4">
      <w:pPr>
        <w:pStyle w:val="ListParagraph"/>
        <w:widowControl/>
        <w:numPr>
          <w:ilvl w:val="1"/>
          <w:numId w:val="1"/>
        </w:numPr>
        <w:rPr>
          <w:szCs w:val="22"/>
        </w:rPr>
      </w:pPr>
      <w:r>
        <w:rPr>
          <w:szCs w:val="22"/>
        </w:rPr>
        <w:t xml:space="preserve">The PBAC considered the submission for </w:t>
      </w:r>
      <w:r w:rsidR="006C1ABD">
        <w:rPr>
          <w:szCs w:val="22"/>
        </w:rPr>
        <w:t>ledipasvir</w:t>
      </w:r>
      <w:r>
        <w:rPr>
          <w:szCs w:val="22"/>
        </w:rPr>
        <w:t xml:space="preserve"> and </w:t>
      </w:r>
      <w:r w:rsidR="006C1ABD">
        <w:rPr>
          <w:szCs w:val="22"/>
        </w:rPr>
        <w:t>sofosbuvir</w:t>
      </w:r>
      <w:r>
        <w:rPr>
          <w:szCs w:val="22"/>
        </w:rPr>
        <w:t xml:space="preserve"> (LDV/SOF) </w:t>
      </w:r>
      <w:r w:rsidR="009B70CA">
        <w:rPr>
          <w:szCs w:val="22"/>
        </w:rPr>
        <w:t xml:space="preserve">for the treatment of HCV Genotype 1 </w:t>
      </w:r>
      <w:r>
        <w:rPr>
          <w:szCs w:val="22"/>
        </w:rPr>
        <w:t>at the same meeting. The PBAC noted the</w:t>
      </w:r>
      <w:r w:rsidR="009B70CA">
        <w:rPr>
          <w:szCs w:val="22"/>
        </w:rPr>
        <w:t xml:space="preserve"> SVR reported in the</w:t>
      </w:r>
      <w:r>
        <w:rPr>
          <w:szCs w:val="22"/>
        </w:rPr>
        <w:t xml:space="preserve"> publication of </w:t>
      </w:r>
      <w:r w:rsidRPr="009E1F79">
        <w:rPr>
          <w:szCs w:val="22"/>
        </w:rPr>
        <w:t>Kowdley et al, 2014</w:t>
      </w:r>
      <w:r>
        <w:rPr>
          <w:szCs w:val="22"/>
        </w:rPr>
        <w:t>.</w:t>
      </w:r>
    </w:p>
    <w:p w:rsidR="00760EA5" w:rsidRDefault="00760EA5" w:rsidP="00760EA5">
      <w:pPr>
        <w:pStyle w:val="ListParagraph"/>
        <w:rPr>
          <w:szCs w:val="22"/>
        </w:rPr>
      </w:pPr>
    </w:p>
    <w:p w:rsidR="00760EA5" w:rsidRPr="00813606" w:rsidRDefault="00760EA5" w:rsidP="0078618A">
      <w:pPr>
        <w:pStyle w:val="Heading2"/>
      </w:pPr>
      <w:bookmarkStart w:id="9" w:name="_Toc409610882"/>
      <w:r w:rsidRPr="00813606">
        <w:t>Comparative harms</w:t>
      </w:r>
      <w:bookmarkEnd w:id="9"/>
    </w:p>
    <w:p w:rsidR="00760EA5" w:rsidRPr="00882085" w:rsidRDefault="00760EA5" w:rsidP="00760EA5">
      <w:pPr>
        <w:ind w:left="720" w:hanging="720"/>
        <w:rPr>
          <w:szCs w:val="22"/>
        </w:rPr>
      </w:pPr>
    </w:p>
    <w:p w:rsidR="00760EA5" w:rsidRPr="00B119AC" w:rsidRDefault="00760EA5" w:rsidP="00BA53D4">
      <w:pPr>
        <w:pStyle w:val="ListParagraph"/>
        <w:widowControl/>
        <w:numPr>
          <w:ilvl w:val="1"/>
          <w:numId w:val="1"/>
        </w:numPr>
        <w:rPr>
          <w:szCs w:val="22"/>
        </w:rPr>
      </w:pPr>
      <w:r w:rsidRPr="00B119AC">
        <w:t>The safety data from Stud</w:t>
      </w:r>
      <w:r w:rsidR="00682980">
        <w:t>ies 7026 and 7028</w:t>
      </w:r>
      <w:r w:rsidR="006A3A8E">
        <w:t xml:space="preserve"> a</w:t>
      </w:r>
      <w:r w:rsidRPr="00B119AC">
        <w:t xml:space="preserve">re presented </w:t>
      </w:r>
      <w:r w:rsidR="006C1ABD">
        <w:t>below</w:t>
      </w:r>
      <w:r w:rsidRPr="00B119AC">
        <w:t>.</w:t>
      </w:r>
    </w:p>
    <w:p w:rsidR="00AA4467" w:rsidRDefault="00AA4467">
      <w:pPr>
        <w:widowControl/>
        <w:jc w:val="left"/>
        <w:rPr>
          <w:rStyle w:val="CommentReference"/>
        </w:rPr>
      </w:pPr>
      <w:r>
        <w:rPr>
          <w:rStyle w:val="CommentReference"/>
        </w:rPr>
        <w:br w:type="page"/>
      </w:r>
    </w:p>
    <w:p w:rsidR="00760EA5" w:rsidRPr="00D63214" w:rsidRDefault="00760EA5" w:rsidP="00760EA5">
      <w:pPr>
        <w:pStyle w:val="ListParagraph"/>
        <w:widowControl/>
        <w:rPr>
          <w:rStyle w:val="CommentReference"/>
        </w:rPr>
      </w:pPr>
      <w:r w:rsidRPr="00D63214">
        <w:rPr>
          <w:rStyle w:val="CommentReference"/>
        </w:rPr>
        <w:lastRenderedPageBreak/>
        <w:t xml:space="preserve">Summary of key </w:t>
      </w:r>
      <w:r w:rsidR="0045277F">
        <w:rPr>
          <w:rStyle w:val="CommentReference"/>
        </w:rPr>
        <w:t xml:space="preserve">on-treatment </w:t>
      </w:r>
      <w:r w:rsidRPr="00D63214">
        <w:rPr>
          <w:rStyle w:val="CommentReference"/>
        </w:rPr>
        <w:t>adverse events in Stud</w:t>
      </w:r>
      <w:r w:rsidR="00682980" w:rsidRPr="00D63214">
        <w:rPr>
          <w:rStyle w:val="CommentReference"/>
        </w:rPr>
        <w:t>ies 7026 and 7028</w:t>
      </w:r>
    </w:p>
    <w:tbl>
      <w:tblPr>
        <w:tblW w:w="4572" w:type="pct"/>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omparative harms - adverse events in studies 7026 and 7028"/>
      </w:tblPr>
      <w:tblGrid>
        <w:gridCol w:w="1702"/>
        <w:gridCol w:w="1561"/>
        <w:gridCol w:w="1714"/>
        <w:gridCol w:w="1664"/>
        <w:gridCol w:w="1664"/>
      </w:tblGrid>
      <w:tr w:rsidR="00682980" w:rsidRPr="004E2ADC" w:rsidTr="001E7610">
        <w:tc>
          <w:tcPr>
            <w:tcW w:w="1024" w:type="pct"/>
            <w:vAlign w:val="center"/>
          </w:tcPr>
          <w:p w:rsidR="00682980" w:rsidRPr="004E2ADC" w:rsidRDefault="00682980" w:rsidP="0036503C">
            <w:pPr>
              <w:tabs>
                <w:tab w:val="left" w:pos="150"/>
              </w:tabs>
              <w:jc w:val="left"/>
              <w:rPr>
                <w:rFonts w:ascii="Arial Narrow" w:hAnsi="Arial Narrow"/>
                <w:sz w:val="20"/>
              </w:rPr>
            </w:pPr>
          </w:p>
        </w:tc>
        <w:tc>
          <w:tcPr>
            <w:tcW w:w="940" w:type="pct"/>
          </w:tcPr>
          <w:p w:rsidR="00682980" w:rsidRDefault="00682980" w:rsidP="0036503C">
            <w:pPr>
              <w:jc w:val="center"/>
              <w:rPr>
                <w:rFonts w:ascii="Arial Narrow" w:hAnsi="Arial Narrow"/>
                <w:b/>
                <w:sz w:val="20"/>
              </w:rPr>
            </w:pPr>
            <w:r>
              <w:rPr>
                <w:rFonts w:ascii="Arial Narrow" w:hAnsi="Arial Narrow"/>
                <w:b/>
                <w:sz w:val="20"/>
              </w:rPr>
              <w:t>Study 7026</w:t>
            </w:r>
          </w:p>
          <w:p w:rsidR="00682980" w:rsidRPr="004E2ADC" w:rsidRDefault="00682980" w:rsidP="0036503C">
            <w:pPr>
              <w:jc w:val="center"/>
              <w:rPr>
                <w:rFonts w:ascii="Arial Narrow" w:hAnsi="Arial Narrow"/>
                <w:b/>
                <w:sz w:val="20"/>
              </w:rPr>
            </w:pPr>
            <w:r w:rsidRPr="004E2ADC">
              <w:rPr>
                <w:rFonts w:ascii="Arial Narrow" w:hAnsi="Arial Narrow"/>
                <w:b/>
                <w:sz w:val="20"/>
              </w:rPr>
              <w:t>n with even/N (%)</w:t>
            </w:r>
          </w:p>
        </w:tc>
        <w:tc>
          <w:tcPr>
            <w:tcW w:w="3036" w:type="pct"/>
            <w:gridSpan w:val="3"/>
            <w:vAlign w:val="center"/>
          </w:tcPr>
          <w:p w:rsidR="00682980" w:rsidRPr="004E2ADC" w:rsidRDefault="00682980" w:rsidP="0036503C">
            <w:pPr>
              <w:jc w:val="center"/>
              <w:rPr>
                <w:rFonts w:ascii="Arial Narrow" w:hAnsi="Arial Narrow"/>
                <w:b/>
                <w:sz w:val="20"/>
              </w:rPr>
            </w:pPr>
            <w:r>
              <w:rPr>
                <w:rFonts w:ascii="Arial Narrow" w:hAnsi="Arial Narrow"/>
                <w:b/>
                <w:sz w:val="20"/>
              </w:rPr>
              <w:t>Study 7028</w:t>
            </w:r>
          </w:p>
          <w:p w:rsidR="00682980" w:rsidRDefault="00682980" w:rsidP="0036503C">
            <w:pPr>
              <w:jc w:val="center"/>
              <w:rPr>
                <w:rFonts w:ascii="Arial Narrow" w:hAnsi="Arial Narrow"/>
                <w:b/>
                <w:sz w:val="20"/>
              </w:rPr>
            </w:pPr>
            <w:r w:rsidRPr="004E2ADC">
              <w:rPr>
                <w:rFonts w:ascii="Arial Narrow" w:hAnsi="Arial Narrow"/>
                <w:b/>
                <w:sz w:val="20"/>
              </w:rPr>
              <w:t>n with event/N (%)</w:t>
            </w:r>
          </w:p>
        </w:tc>
      </w:tr>
      <w:tr w:rsidR="00327427" w:rsidRPr="002A6A48" w:rsidTr="003F7EBD">
        <w:tc>
          <w:tcPr>
            <w:tcW w:w="1024" w:type="pct"/>
            <w:vMerge w:val="restart"/>
            <w:vAlign w:val="center"/>
          </w:tcPr>
          <w:p w:rsidR="00682980" w:rsidRPr="002A6A48" w:rsidRDefault="00682980" w:rsidP="003F7EBD">
            <w:pPr>
              <w:tabs>
                <w:tab w:val="left" w:pos="150"/>
              </w:tabs>
              <w:jc w:val="left"/>
              <w:rPr>
                <w:rFonts w:ascii="Arial Narrow" w:hAnsi="Arial Narrow"/>
                <w:b/>
                <w:sz w:val="20"/>
              </w:rPr>
            </w:pPr>
            <w:r>
              <w:rPr>
                <w:rFonts w:ascii="Arial Narrow" w:hAnsi="Arial Narrow"/>
                <w:b/>
                <w:sz w:val="20"/>
              </w:rPr>
              <w:t>Grading of AE</w:t>
            </w:r>
          </w:p>
        </w:tc>
        <w:tc>
          <w:tcPr>
            <w:tcW w:w="940" w:type="pct"/>
            <w:vMerge w:val="restart"/>
            <w:vAlign w:val="center"/>
          </w:tcPr>
          <w:p w:rsidR="00682980" w:rsidRPr="00EE1712" w:rsidRDefault="00682980" w:rsidP="003F7EBD">
            <w:pPr>
              <w:jc w:val="center"/>
              <w:rPr>
                <w:rFonts w:ascii="Arial Narrow" w:hAnsi="Arial Narrow"/>
                <w:b/>
                <w:sz w:val="20"/>
              </w:rPr>
            </w:pPr>
            <w:r w:rsidRPr="00EE1712">
              <w:rPr>
                <w:rFonts w:ascii="Arial Narrow" w:hAnsi="Arial Narrow"/>
                <w:b/>
                <w:sz w:val="20"/>
              </w:rPr>
              <w:t>Total population</w:t>
            </w:r>
          </w:p>
        </w:tc>
        <w:tc>
          <w:tcPr>
            <w:tcW w:w="1032" w:type="pct"/>
            <w:vMerge w:val="restart"/>
            <w:vAlign w:val="center"/>
          </w:tcPr>
          <w:p w:rsidR="00682980" w:rsidRPr="00EE1712" w:rsidRDefault="00C10B0E" w:rsidP="003F7EBD">
            <w:pPr>
              <w:jc w:val="center"/>
              <w:rPr>
                <w:rFonts w:ascii="Arial Narrow" w:hAnsi="Arial Narrow"/>
                <w:b/>
                <w:sz w:val="20"/>
              </w:rPr>
            </w:pPr>
            <w:r>
              <w:rPr>
                <w:rFonts w:ascii="Arial Narrow" w:hAnsi="Arial Narrow"/>
                <w:b/>
                <w:sz w:val="20"/>
              </w:rPr>
              <w:t>All patients receiving DCV+ASV</w:t>
            </w:r>
          </w:p>
        </w:tc>
        <w:tc>
          <w:tcPr>
            <w:tcW w:w="2004" w:type="pct"/>
            <w:gridSpan w:val="2"/>
            <w:vAlign w:val="center"/>
          </w:tcPr>
          <w:p w:rsidR="00682980" w:rsidRPr="00EE1712" w:rsidRDefault="00922990" w:rsidP="003F7EBD">
            <w:pPr>
              <w:jc w:val="center"/>
              <w:rPr>
                <w:rFonts w:ascii="Arial Narrow" w:hAnsi="Arial Narrow"/>
                <w:b/>
                <w:sz w:val="20"/>
                <w:vertAlign w:val="superscript"/>
              </w:rPr>
            </w:pPr>
            <w:r>
              <w:rPr>
                <w:rFonts w:ascii="Arial Narrow" w:hAnsi="Arial Narrow"/>
                <w:b/>
                <w:sz w:val="20"/>
              </w:rPr>
              <w:t>Treatment-n</w:t>
            </w:r>
            <w:r w:rsidR="00682980" w:rsidRPr="00EE1712">
              <w:rPr>
                <w:rFonts w:ascii="Arial Narrow" w:hAnsi="Arial Narrow"/>
                <w:b/>
                <w:sz w:val="20"/>
              </w:rPr>
              <w:t>aive</w:t>
            </w:r>
            <w:r w:rsidR="00682980">
              <w:rPr>
                <w:rFonts w:ascii="Arial Narrow" w:hAnsi="Arial Narrow"/>
                <w:b/>
                <w:sz w:val="20"/>
                <w:vertAlign w:val="superscript"/>
              </w:rPr>
              <w:t>a</w:t>
            </w:r>
          </w:p>
        </w:tc>
      </w:tr>
      <w:tr w:rsidR="00682980" w:rsidRPr="002A6A48" w:rsidTr="003F7EBD">
        <w:tc>
          <w:tcPr>
            <w:tcW w:w="1024" w:type="pct"/>
            <w:vMerge/>
            <w:vAlign w:val="center"/>
          </w:tcPr>
          <w:p w:rsidR="00682980" w:rsidRPr="002A6A48" w:rsidRDefault="00682980" w:rsidP="003F7EBD">
            <w:pPr>
              <w:tabs>
                <w:tab w:val="left" w:pos="150"/>
              </w:tabs>
              <w:jc w:val="left"/>
              <w:rPr>
                <w:rFonts w:ascii="Arial Narrow" w:hAnsi="Arial Narrow"/>
                <w:b/>
                <w:sz w:val="20"/>
              </w:rPr>
            </w:pPr>
          </w:p>
        </w:tc>
        <w:tc>
          <w:tcPr>
            <w:tcW w:w="940" w:type="pct"/>
            <w:vMerge/>
            <w:vAlign w:val="center"/>
          </w:tcPr>
          <w:p w:rsidR="00682980" w:rsidRPr="00EE1712" w:rsidRDefault="00682980" w:rsidP="003F7EBD">
            <w:pPr>
              <w:jc w:val="center"/>
              <w:rPr>
                <w:rFonts w:ascii="Arial Narrow" w:hAnsi="Arial Narrow"/>
                <w:b/>
                <w:sz w:val="20"/>
              </w:rPr>
            </w:pPr>
          </w:p>
        </w:tc>
        <w:tc>
          <w:tcPr>
            <w:tcW w:w="1032" w:type="pct"/>
            <w:vMerge/>
            <w:vAlign w:val="center"/>
          </w:tcPr>
          <w:p w:rsidR="00682980" w:rsidRPr="00EE1712" w:rsidRDefault="00682980" w:rsidP="003F7EBD">
            <w:pPr>
              <w:jc w:val="center"/>
              <w:rPr>
                <w:rFonts w:ascii="Arial Narrow" w:hAnsi="Arial Narrow"/>
                <w:b/>
                <w:sz w:val="20"/>
              </w:rPr>
            </w:pPr>
          </w:p>
        </w:tc>
        <w:tc>
          <w:tcPr>
            <w:tcW w:w="1002" w:type="pct"/>
            <w:vAlign w:val="center"/>
          </w:tcPr>
          <w:p w:rsidR="00682980" w:rsidRPr="00EE1712" w:rsidRDefault="00682980" w:rsidP="003F7EBD">
            <w:pPr>
              <w:jc w:val="center"/>
              <w:rPr>
                <w:rFonts w:ascii="Arial Narrow" w:hAnsi="Arial Narrow"/>
                <w:b/>
                <w:sz w:val="20"/>
              </w:rPr>
            </w:pPr>
            <w:r w:rsidRPr="00EE1712">
              <w:rPr>
                <w:rFonts w:ascii="Arial Narrow" w:hAnsi="Arial Narrow"/>
                <w:b/>
                <w:sz w:val="20"/>
              </w:rPr>
              <w:t>DCV+ASV 12 weeks</w:t>
            </w:r>
          </w:p>
        </w:tc>
        <w:tc>
          <w:tcPr>
            <w:tcW w:w="1002" w:type="pct"/>
            <w:vAlign w:val="center"/>
          </w:tcPr>
          <w:p w:rsidR="00682980" w:rsidRPr="00EE1712" w:rsidRDefault="00682980" w:rsidP="003F7EBD">
            <w:pPr>
              <w:jc w:val="center"/>
              <w:rPr>
                <w:rFonts w:ascii="Arial Narrow" w:hAnsi="Arial Narrow"/>
                <w:b/>
                <w:sz w:val="20"/>
              </w:rPr>
            </w:pPr>
            <w:r w:rsidRPr="00EE1712">
              <w:rPr>
                <w:rFonts w:ascii="Arial Narrow" w:hAnsi="Arial Narrow"/>
                <w:b/>
                <w:sz w:val="20"/>
              </w:rPr>
              <w:t>Placebo 12 weeks</w:t>
            </w:r>
          </w:p>
        </w:tc>
      </w:tr>
      <w:tr w:rsidR="00682980" w:rsidRPr="004E2ADC" w:rsidTr="003F7EBD">
        <w:trPr>
          <w:trHeight w:val="306"/>
        </w:trPr>
        <w:tc>
          <w:tcPr>
            <w:tcW w:w="1024" w:type="pct"/>
            <w:vAlign w:val="center"/>
          </w:tcPr>
          <w:p w:rsidR="00682980" w:rsidRPr="004E2ADC" w:rsidRDefault="00682980" w:rsidP="003F7EBD">
            <w:pPr>
              <w:tabs>
                <w:tab w:val="left" w:pos="150"/>
              </w:tabs>
              <w:jc w:val="left"/>
              <w:rPr>
                <w:rFonts w:ascii="Arial Narrow" w:hAnsi="Arial Narrow"/>
                <w:sz w:val="20"/>
              </w:rPr>
            </w:pPr>
            <w:r>
              <w:rPr>
                <w:rFonts w:ascii="Arial Narrow" w:hAnsi="Arial Narrow"/>
                <w:sz w:val="20"/>
              </w:rPr>
              <w:t>On-treatment AE</w:t>
            </w:r>
          </w:p>
        </w:tc>
        <w:tc>
          <w:tcPr>
            <w:tcW w:w="940" w:type="pct"/>
            <w:vAlign w:val="center"/>
          </w:tcPr>
          <w:p w:rsidR="00682980" w:rsidRDefault="00682980" w:rsidP="003F7EBD">
            <w:pPr>
              <w:jc w:val="center"/>
              <w:rPr>
                <w:rFonts w:ascii="Arial Narrow" w:hAnsi="Arial Narrow"/>
                <w:sz w:val="20"/>
              </w:rPr>
            </w:pPr>
            <w:r>
              <w:rPr>
                <w:rFonts w:ascii="Arial Narrow" w:hAnsi="Arial Narrow"/>
                <w:sz w:val="20"/>
              </w:rPr>
              <w:t>192/222 (86.5%)</w:t>
            </w:r>
          </w:p>
        </w:tc>
        <w:tc>
          <w:tcPr>
            <w:tcW w:w="1032" w:type="pct"/>
            <w:vAlign w:val="center"/>
          </w:tcPr>
          <w:p w:rsidR="00682980" w:rsidRPr="004E2ADC" w:rsidRDefault="00682980" w:rsidP="003F7EBD">
            <w:pPr>
              <w:jc w:val="center"/>
              <w:rPr>
                <w:rFonts w:ascii="Arial Narrow" w:hAnsi="Arial Narrow"/>
                <w:sz w:val="20"/>
              </w:rPr>
            </w:pPr>
            <w:r>
              <w:rPr>
                <w:rFonts w:ascii="Arial Narrow" w:hAnsi="Arial Narrow"/>
                <w:sz w:val="20"/>
              </w:rPr>
              <w:t>547/645 (84.8%)</w:t>
            </w:r>
          </w:p>
        </w:tc>
        <w:tc>
          <w:tcPr>
            <w:tcW w:w="1002" w:type="pct"/>
            <w:vAlign w:val="center"/>
          </w:tcPr>
          <w:p w:rsidR="00682980" w:rsidRDefault="00682980" w:rsidP="003F7EBD">
            <w:pPr>
              <w:jc w:val="center"/>
              <w:rPr>
                <w:rFonts w:ascii="Arial Narrow" w:hAnsi="Arial Narrow"/>
                <w:sz w:val="20"/>
              </w:rPr>
            </w:pPr>
            <w:r>
              <w:rPr>
                <w:rFonts w:ascii="Arial Narrow" w:hAnsi="Arial Narrow"/>
                <w:sz w:val="20"/>
              </w:rPr>
              <w:t>164/205 (80.0%)</w:t>
            </w:r>
          </w:p>
        </w:tc>
        <w:tc>
          <w:tcPr>
            <w:tcW w:w="1002" w:type="pct"/>
            <w:vAlign w:val="center"/>
          </w:tcPr>
          <w:p w:rsidR="00682980" w:rsidRDefault="00682980" w:rsidP="003F7EBD">
            <w:pPr>
              <w:jc w:val="center"/>
              <w:rPr>
                <w:rFonts w:ascii="Arial Narrow" w:hAnsi="Arial Narrow"/>
                <w:sz w:val="20"/>
              </w:rPr>
            </w:pPr>
            <w:r>
              <w:rPr>
                <w:rFonts w:ascii="Arial Narrow" w:hAnsi="Arial Narrow"/>
                <w:sz w:val="20"/>
              </w:rPr>
              <w:t>74/102 (72.5%)</w:t>
            </w:r>
          </w:p>
        </w:tc>
      </w:tr>
      <w:tr w:rsidR="00682980" w:rsidRPr="004E2ADC" w:rsidTr="003F7EBD">
        <w:trPr>
          <w:trHeight w:val="303"/>
        </w:trPr>
        <w:tc>
          <w:tcPr>
            <w:tcW w:w="1024" w:type="pct"/>
            <w:vAlign w:val="center"/>
          </w:tcPr>
          <w:p w:rsidR="00682980" w:rsidRDefault="00682980" w:rsidP="003F7EBD">
            <w:pPr>
              <w:tabs>
                <w:tab w:val="left" w:pos="150"/>
              </w:tabs>
              <w:jc w:val="left"/>
              <w:rPr>
                <w:rFonts w:ascii="Arial Narrow" w:hAnsi="Arial Narrow"/>
                <w:sz w:val="20"/>
              </w:rPr>
            </w:pPr>
            <w:r>
              <w:rPr>
                <w:rFonts w:ascii="Arial Narrow" w:hAnsi="Arial Narrow"/>
                <w:sz w:val="20"/>
              </w:rPr>
              <w:t>Treatment related AEs</w:t>
            </w:r>
          </w:p>
        </w:tc>
        <w:tc>
          <w:tcPr>
            <w:tcW w:w="940" w:type="pct"/>
            <w:vAlign w:val="center"/>
          </w:tcPr>
          <w:p w:rsidR="00682980" w:rsidRDefault="00682980" w:rsidP="003F7EBD">
            <w:pPr>
              <w:jc w:val="center"/>
              <w:rPr>
                <w:rFonts w:ascii="Arial Narrow" w:hAnsi="Arial Narrow"/>
                <w:sz w:val="20"/>
              </w:rPr>
            </w:pPr>
            <w:r>
              <w:rPr>
                <w:rFonts w:ascii="Arial Narrow" w:hAnsi="Arial Narrow"/>
                <w:sz w:val="20"/>
              </w:rPr>
              <w:t>127/222 (57.6%)</w:t>
            </w:r>
          </w:p>
        </w:tc>
        <w:tc>
          <w:tcPr>
            <w:tcW w:w="1032" w:type="pct"/>
            <w:vAlign w:val="center"/>
          </w:tcPr>
          <w:p w:rsidR="00682980" w:rsidRDefault="00682980" w:rsidP="003F7EBD">
            <w:pPr>
              <w:jc w:val="center"/>
              <w:rPr>
                <w:rFonts w:ascii="Arial Narrow" w:hAnsi="Arial Narrow"/>
                <w:sz w:val="20"/>
              </w:rPr>
            </w:pPr>
            <w:r>
              <w:rPr>
                <w:rFonts w:ascii="Arial Narrow" w:hAnsi="Arial Narrow"/>
                <w:sz w:val="20"/>
              </w:rPr>
              <w:t>342/645 (53.0%)</w:t>
            </w:r>
          </w:p>
        </w:tc>
        <w:tc>
          <w:tcPr>
            <w:tcW w:w="1002" w:type="pct"/>
            <w:vAlign w:val="center"/>
          </w:tcPr>
          <w:p w:rsidR="00682980" w:rsidRDefault="00682980" w:rsidP="003F7EBD">
            <w:pPr>
              <w:jc w:val="center"/>
              <w:rPr>
                <w:rFonts w:ascii="Arial Narrow" w:hAnsi="Arial Narrow"/>
                <w:sz w:val="20"/>
              </w:rPr>
            </w:pPr>
            <w:r>
              <w:rPr>
                <w:rFonts w:ascii="Arial Narrow" w:hAnsi="Arial Narrow"/>
                <w:sz w:val="20"/>
              </w:rPr>
              <w:t>-</w:t>
            </w:r>
          </w:p>
        </w:tc>
        <w:tc>
          <w:tcPr>
            <w:tcW w:w="1002" w:type="pct"/>
            <w:vAlign w:val="center"/>
          </w:tcPr>
          <w:p w:rsidR="00682980" w:rsidRDefault="00682980" w:rsidP="003F7EBD">
            <w:pPr>
              <w:jc w:val="center"/>
              <w:rPr>
                <w:rFonts w:ascii="Arial Narrow" w:hAnsi="Arial Narrow"/>
                <w:sz w:val="20"/>
              </w:rPr>
            </w:pPr>
            <w:r>
              <w:rPr>
                <w:rFonts w:ascii="Arial Narrow" w:hAnsi="Arial Narrow"/>
                <w:sz w:val="20"/>
              </w:rPr>
              <w:t>-</w:t>
            </w:r>
          </w:p>
        </w:tc>
      </w:tr>
      <w:tr w:rsidR="00682980" w:rsidRPr="004E2ADC" w:rsidTr="003F7EBD">
        <w:trPr>
          <w:trHeight w:val="303"/>
        </w:trPr>
        <w:tc>
          <w:tcPr>
            <w:tcW w:w="1024" w:type="pct"/>
            <w:vAlign w:val="center"/>
          </w:tcPr>
          <w:p w:rsidR="00682980" w:rsidRDefault="00682980" w:rsidP="003F7EBD">
            <w:pPr>
              <w:tabs>
                <w:tab w:val="left" w:pos="150"/>
              </w:tabs>
              <w:jc w:val="left"/>
              <w:rPr>
                <w:rFonts w:ascii="Arial Narrow" w:hAnsi="Arial Narrow"/>
                <w:sz w:val="20"/>
              </w:rPr>
            </w:pPr>
            <w:r>
              <w:rPr>
                <w:rFonts w:ascii="Arial Narrow" w:hAnsi="Arial Narrow"/>
                <w:sz w:val="20"/>
              </w:rPr>
              <w:t>Serious AEs</w:t>
            </w:r>
            <w:r>
              <w:rPr>
                <w:rFonts w:ascii="Arial Narrow" w:hAnsi="Arial Narrow"/>
                <w:sz w:val="20"/>
                <w:vertAlign w:val="superscript"/>
              </w:rPr>
              <w:t>b</w:t>
            </w:r>
          </w:p>
        </w:tc>
        <w:tc>
          <w:tcPr>
            <w:tcW w:w="940" w:type="pct"/>
            <w:vAlign w:val="center"/>
          </w:tcPr>
          <w:p w:rsidR="00682980" w:rsidRDefault="00682980" w:rsidP="003F7EBD">
            <w:pPr>
              <w:jc w:val="center"/>
              <w:rPr>
                <w:rFonts w:ascii="Arial Narrow" w:hAnsi="Arial Narrow"/>
                <w:sz w:val="20"/>
              </w:rPr>
            </w:pPr>
            <w:r>
              <w:rPr>
                <w:rFonts w:ascii="Arial Narrow" w:hAnsi="Arial Narrow"/>
                <w:sz w:val="20"/>
              </w:rPr>
              <w:t>13/ 222 (5.9%)</w:t>
            </w:r>
          </w:p>
        </w:tc>
        <w:tc>
          <w:tcPr>
            <w:tcW w:w="1032" w:type="pct"/>
            <w:vAlign w:val="center"/>
          </w:tcPr>
          <w:p w:rsidR="00682980" w:rsidRDefault="00682980" w:rsidP="003F7EBD">
            <w:pPr>
              <w:jc w:val="center"/>
              <w:rPr>
                <w:rFonts w:ascii="Arial Narrow" w:hAnsi="Arial Narrow"/>
                <w:sz w:val="20"/>
              </w:rPr>
            </w:pPr>
            <w:r>
              <w:rPr>
                <w:rFonts w:ascii="Arial Narrow" w:hAnsi="Arial Narrow"/>
                <w:sz w:val="20"/>
              </w:rPr>
              <w:t>39/643 (6.1%)</w:t>
            </w:r>
          </w:p>
        </w:tc>
        <w:tc>
          <w:tcPr>
            <w:tcW w:w="1002" w:type="pct"/>
            <w:vAlign w:val="center"/>
          </w:tcPr>
          <w:p w:rsidR="00682980" w:rsidRDefault="00682980" w:rsidP="003F7EBD">
            <w:pPr>
              <w:jc w:val="center"/>
              <w:rPr>
                <w:rFonts w:ascii="Arial Narrow" w:hAnsi="Arial Narrow"/>
                <w:sz w:val="20"/>
              </w:rPr>
            </w:pPr>
            <w:r>
              <w:rPr>
                <w:rFonts w:ascii="Arial Narrow" w:hAnsi="Arial Narrow"/>
                <w:sz w:val="20"/>
              </w:rPr>
              <w:t>7/205 (3.4%)</w:t>
            </w:r>
          </w:p>
        </w:tc>
        <w:tc>
          <w:tcPr>
            <w:tcW w:w="1002" w:type="pct"/>
            <w:vAlign w:val="center"/>
          </w:tcPr>
          <w:p w:rsidR="00682980" w:rsidRDefault="00682980" w:rsidP="003F7EBD">
            <w:pPr>
              <w:jc w:val="center"/>
              <w:rPr>
                <w:rFonts w:ascii="Arial Narrow" w:hAnsi="Arial Narrow"/>
                <w:sz w:val="20"/>
              </w:rPr>
            </w:pPr>
            <w:r>
              <w:rPr>
                <w:rFonts w:ascii="Arial Narrow" w:hAnsi="Arial Narrow"/>
                <w:sz w:val="20"/>
              </w:rPr>
              <w:t>1/102 (1.0%)</w:t>
            </w:r>
          </w:p>
        </w:tc>
      </w:tr>
      <w:tr w:rsidR="00682980" w:rsidRPr="004E2ADC" w:rsidTr="003F7EBD">
        <w:trPr>
          <w:trHeight w:val="303"/>
        </w:trPr>
        <w:tc>
          <w:tcPr>
            <w:tcW w:w="1024" w:type="pct"/>
            <w:vAlign w:val="center"/>
          </w:tcPr>
          <w:p w:rsidR="00682980" w:rsidRDefault="00682980" w:rsidP="003F7EBD">
            <w:pPr>
              <w:tabs>
                <w:tab w:val="left" w:pos="150"/>
              </w:tabs>
              <w:jc w:val="left"/>
              <w:rPr>
                <w:rFonts w:ascii="Arial Narrow" w:hAnsi="Arial Narrow"/>
                <w:sz w:val="20"/>
              </w:rPr>
            </w:pPr>
            <w:r>
              <w:rPr>
                <w:rFonts w:ascii="Arial Narrow" w:hAnsi="Arial Narrow"/>
                <w:sz w:val="20"/>
              </w:rPr>
              <w:t>Grade 3/4 AEs</w:t>
            </w:r>
          </w:p>
        </w:tc>
        <w:tc>
          <w:tcPr>
            <w:tcW w:w="940" w:type="pct"/>
            <w:vAlign w:val="center"/>
          </w:tcPr>
          <w:p w:rsidR="00682980" w:rsidRDefault="00682980" w:rsidP="003F7EBD">
            <w:pPr>
              <w:jc w:val="center"/>
              <w:rPr>
                <w:rFonts w:ascii="Arial Narrow" w:hAnsi="Arial Narrow"/>
                <w:sz w:val="20"/>
              </w:rPr>
            </w:pPr>
            <w:r>
              <w:rPr>
                <w:rFonts w:ascii="Arial Narrow" w:hAnsi="Arial Narrow"/>
                <w:sz w:val="20"/>
              </w:rPr>
              <w:t>37/222 (16.7%)</w:t>
            </w:r>
          </w:p>
        </w:tc>
        <w:tc>
          <w:tcPr>
            <w:tcW w:w="1032" w:type="pct"/>
            <w:vAlign w:val="center"/>
          </w:tcPr>
          <w:p w:rsidR="00682980" w:rsidRDefault="00682980" w:rsidP="003F7EBD">
            <w:pPr>
              <w:jc w:val="center"/>
              <w:rPr>
                <w:rFonts w:ascii="Arial Narrow" w:hAnsi="Arial Narrow"/>
                <w:sz w:val="20"/>
              </w:rPr>
            </w:pPr>
            <w:r>
              <w:rPr>
                <w:rFonts w:ascii="Arial Narrow" w:hAnsi="Arial Narrow"/>
                <w:sz w:val="20"/>
              </w:rPr>
              <w:t>50/643 (7.8%</w:t>
            </w:r>
            <w:r w:rsidR="008357D0">
              <w:rPr>
                <w:rFonts w:ascii="Arial Narrow" w:hAnsi="Arial Narrow"/>
                <w:sz w:val="20"/>
              </w:rPr>
              <w:t>)</w:t>
            </w:r>
          </w:p>
        </w:tc>
        <w:tc>
          <w:tcPr>
            <w:tcW w:w="1002" w:type="pct"/>
            <w:vAlign w:val="center"/>
          </w:tcPr>
          <w:p w:rsidR="00682980" w:rsidRDefault="00682980" w:rsidP="003F7EBD">
            <w:pPr>
              <w:jc w:val="center"/>
              <w:rPr>
                <w:rFonts w:ascii="Arial Narrow" w:hAnsi="Arial Narrow"/>
                <w:sz w:val="20"/>
              </w:rPr>
            </w:pPr>
            <w:r>
              <w:rPr>
                <w:rFonts w:ascii="Arial Narrow" w:hAnsi="Arial Narrow"/>
                <w:sz w:val="20"/>
              </w:rPr>
              <w:t>9/205 (4.4%)</w:t>
            </w:r>
          </w:p>
        </w:tc>
        <w:tc>
          <w:tcPr>
            <w:tcW w:w="1002" w:type="pct"/>
            <w:vAlign w:val="center"/>
          </w:tcPr>
          <w:p w:rsidR="00682980" w:rsidRDefault="00682980" w:rsidP="003F7EBD">
            <w:pPr>
              <w:jc w:val="center"/>
              <w:rPr>
                <w:rFonts w:ascii="Arial Narrow" w:hAnsi="Arial Narrow"/>
                <w:sz w:val="20"/>
              </w:rPr>
            </w:pPr>
            <w:r w:rsidRPr="00955717">
              <w:rPr>
                <w:rFonts w:ascii="Arial Narrow" w:hAnsi="Arial Narrow"/>
                <w:sz w:val="20"/>
              </w:rPr>
              <w:t>3</w:t>
            </w:r>
            <w:r>
              <w:rPr>
                <w:rFonts w:ascii="Arial Narrow" w:hAnsi="Arial Narrow"/>
                <w:sz w:val="20"/>
              </w:rPr>
              <w:t>/102 (2.9%)</w:t>
            </w:r>
          </w:p>
        </w:tc>
      </w:tr>
      <w:tr w:rsidR="00682980" w:rsidRPr="004E2ADC" w:rsidTr="003F7EBD">
        <w:trPr>
          <w:trHeight w:val="303"/>
        </w:trPr>
        <w:tc>
          <w:tcPr>
            <w:tcW w:w="1024" w:type="pct"/>
            <w:vAlign w:val="center"/>
          </w:tcPr>
          <w:p w:rsidR="00682980" w:rsidRDefault="00682980" w:rsidP="003F7EBD">
            <w:pPr>
              <w:tabs>
                <w:tab w:val="left" w:pos="150"/>
              </w:tabs>
              <w:jc w:val="left"/>
              <w:rPr>
                <w:rFonts w:ascii="Arial Narrow" w:hAnsi="Arial Narrow"/>
                <w:sz w:val="20"/>
              </w:rPr>
            </w:pPr>
            <w:r w:rsidRPr="004E2ADC">
              <w:rPr>
                <w:rFonts w:ascii="Arial Narrow" w:hAnsi="Arial Narrow"/>
                <w:sz w:val="20"/>
              </w:rPr>
              <w:t>Number discontinued</w:t>
            </w:r>
          </w:p>
        </w:tc>
        <w:tc>
          <w:tcPr>
            <w:tcW w:w="940" w:type="pct"/>
            <w:vAlign w:val="center"/>
          </w:tcPr>
          <w:p w:rsidR="00682980" w:rsidRDefault="00682980" w:rsidP="003F7EBD">
            <w:pPr>
              <w:jc w:val="center"/>
              <w:rPr>
                <w:rFonts w:ascii="Arial Narrow" w:hAnsi="Arial Narrow"/>
                <w:sz w:val="20"/>
              </w:rPr>
            </w:pPr>
            <w:r>
              <w:rPr>
                <w:rFonts w:ascii="Arial Narrow" w:hAnsi="Arial Narrow"/>
                <w:sz w:val="20"/>
              </w:rPr>
              <w:t>11/222 (5.0%)</w:t>
            </w:r>
          </w:p>
        </w:tc>
        <w:tc>
          <w:tcPr>
            <w:tcW w:w="1032" w:type="pct"/>
            <w:vAlign w:val="center"/>
          </w:tcPr>
          <w:p w:rsidR="00682980" w:rsidRDefault="00682980" w:rsidP="003F7EBD">
            <w:pPr>
              <w:jc w:val="center"/>
              <w:rPr>
                <w:rFonts w:ascii="Arial Narrow" w:hAnsi="Arial Narrow"/>
                <w:sz w:val="20"/>
              </w:rPr>
            </w:pPr>
            <w:r>
              <w:rPr>
                <w:rFonts w:ascii="Arial Narrow" w:hAnsi="Arial Narrow"/>
                <w:sz w:val="20"/>
              </w:rPr>
              <w:t>10/643 (1.6%)</w:t>
            </w:r>
          </w:p>
        </w:tc>
        <w:tc>
          <w:tcPr>
            <w:tcW w:w="1002" w:type="pct"/>
            <w:vAlign w:val="center"/>
          </w:tcPr>
          <w:p w:rsidR="00682980" w:rsidRDefault="00682980" w:rsidP="003F7EBD">
            <w:pPr>
              <w:jc w:val="center"/>
              <w:rPr>
                <w:rFonts w:ascii="Arial Narrow" w:hAnsi="Arial Narrow"/>
                <w:sz w:val="20"/>
              </w:rPr>
            </w:pPr>
            <w:r>
              <w:rPr>
                <w:rFonts w:ascii="Arial Narrow" w:hAnsi="Arial Narrow"/>
                <w:sz w:val="20"/>
              </w:rPr>
              <w:t>3/205 (1.5%)</w:t>
            </w:r>
          </w:p>
        </w:tc>
        <w:tc>
          <w:tcPr>
            <w:tcW w:w="1002" w:type="pct"/>
            <w:vAlign w:val="center"/>
          </w:tcPr>
          <w:p w:rsidR="00682980" w:rsidRDefault="00682980" w:rsidP="003F7EBD">
            <w:pPr>
              <w:jc w:val="center"/>
              <w:rPr>
                <w:rFonts w:ascii="Arial Narrow" w:hAnsi="Arial Narrow"/>
                <w:sz w:val="20"/>
              </w:rPr>
            </w:pPr>
            <w:r>
              <w:rPr>
                <w:rFonts w:ascii="Arial Narrow" w:hAnsi="Arial Narrow"/>
                <w:sz w:val="20"/>
              </w:rPr>
              <w:t>0</w:t>
            </w:r>
          </w:p>
        </w:tc>
      </w:tr>
      <w:tr w:rsidR="00682980" w:rsidRPr="004E2ADC" w:rsidTr="003F7EBD">
        <w:trPr>
          <w:trHeight w:val="303"/>
        </w:trPr>
        <w:tc>
          <w:tcPr>
            <w:tcW w:w="1024" w:type="pct"/>
            <w:vAlign w:val="center"/>
          </w:tcPr>
          <w:p w:rsidR="00682980" w:rsidRDefault="00682980" w:rsidP="003F7EBD">
            <w:pPr>
              <w:tabs>
                <w:tab w:val="left" w:pos="150"/>
              </w:tabs>
              <w:jc w:val="left"/>
              <w:rPr>
                <w:rFonts w:ascii="Arial Narrow" w:hAnsi="Arial Narrow"/>
                <w:sz w:val="20"/>
              </w:rPr>
            </w:pPr>
            <w:r w:rsidRPr="004E2ADC">
              <w:rPr>
                <w:rFonts w:ascii="Arial Narrow" w:hAnsi="Arial Narrow"/>
                <w:sz w:val="20"/>
              </w:rPr>
              <w:t>Number died</w:t>
            </w:r>
          </w:p>
        </w:tc>
        <w:tc>
          <w:tcPr>
            <w:tcW w:w="940" w:type="pct"/>
            <w:vAlign w:val="center"/>
          </w:tcPr>
          <w:p w:rsidR="00682980" w:rsidRDefault="00682980" w:rsidP="003F7EBD">
            <w:pPr>
              <w:jc w:val="center"/>
              <w:rPr>
                <w:rFonts w:ascii="Arial Narrow" w:hAnsi="Arial Narrow"/>
                <w:sz w:val="20"/>
              </w:rPr>
            </w:pPr>
            <w:r>
              <w:rPr>
                <w:rFonts w:ascii="Arial Narrow" w:hAnsi="Arial Narrow"/>
                <w:sz w:val="20"/>
              </w:rPr>
              <w:t>0</w:t>
            </w:r>
          </w:p>
        </w:tc>
        <w:tc>
          <w:tcPr>
            <w:tcW w:w="1032" w:type="pct"/>
            <w:vAlign w:val="center"/>
          </w:tcPr>
          <w:p w:rsidR="00682980" w:rsidRDefault="00682980" w:rsidP="003F7EBD">
            <w:pPr>
              <w:jc w:val="center"/>
              <w:rPr>
                <w:rFonts w:ascii="Arial Narrow" w:hAnsi="Arial Narrow"/>
                <w:sz w:val="20"/>
              </w:rPr>
            </w:pPr>
            <w:r>
              <w:rPr>
                <w:rFonts w:ascii="Arial Narrow" w:hAnsi="Arial Narrow"/>
                <w:sz w:val="20"/>
              </w:rPr>
              <w:t>0</w:t>
            </w:r>
          </w:p>
        </w:tc>
        <w:tc>
          <w:tcPr>
            <w:tcW w:w="1002" w:type="pct"/>
            <w:vAlign w:val="center"/>
          </w:tcPr>
          <w:p w:rsidR="00682980" w:rsidRDefault="00682980" w:rsidP="003F7EBD">
            <w:pPr>
              <w:jc w:val="center"/>
              <w:rPr>
                <w:rFonts w:ascii="Arial Narrow" w:hAnsi="Arial Narrow"/>
                <w:sz w:val="20"/>
              </w:rPr>
            </w:pPr>
            <w:r>
              <w:rPr>
                <w:rFonts w:ascii="Arial Narrow" w:hAnsi="Arial Narrow"/>
                <w:sz w:val="20"/>
              </w:rPr>
              <w:t>0</w:t>
            </w:r>
          </w:p>
        </w:tc>
        <w:tc>
          <w:tcPr>
            <w:tcW w:w="1002" w:type="pct"/>
            <w:vAlign w:val="center"/>
          </w:tcPr>
          <w:p w:rsidR="00682980" w:rsidRDefault="00682980" w:rsidP="003F7EBD">
            <w:pPr>
              <w:jc w:val="center"/>
              <w:rPr>
                <w:rFonts w:ascii="Arial Narrow" w:hAnsi="Arial Narrow"/>
                <w:sz w:val="20"/>
              </w:rPr>
            </w:pPr>
            <w:r>
              <w:rPr>
                <w:rFonts w:ascii="Arial Narrow" w:hAnsi="Arial Narrow"/>
                <w:sz w:val="20"/>
              </w:rPr>
              <w:t>0</w:t>
            </w:r>
          </w:p>
        </w:tc>
      </w:tr>
    </w:tbl>
    <w:p w:rsidR="00327427" w:rsidRPr="00605BA4" w:rsidRDefault="00327427" w:rsidP="00327427">
      <w:pPr>
        <w:pStyle w:val="TableFooter"/>
        <w:ind w:left="720"/>
      </w:pPr>
      <w:r w:rsidRPr="00605BA4">
        <w:t xml:space="preserve">AE = adverse event; ASV = asunaprevir; DCV = daclatasvir </w:t>
      </w:r>
    </w:p>
    <w:p w:rsidR="00327427" w:rsidRPr="00605BA4" w:rsidRDefault="00327427" w:rsidP="00327427">
      <w:pPr>
        <w:pStyle w:val="TableFooter"/>
        <w:ind w:left="720"/>
      </w:pPr>
      <w:r w:rsidRPr="00605BA4">
        <w:rPr>
          <w:vertAlign w:val="superscript"/>
        </w:rPr>
        <w:t>a</w:t>
      </w:r>
      <w:r w:rsidRPr="00605BA4">
        <w:t xml:space="preserve"> AEs occurring during initial 12 week randomised phase of Study 7028</w:t>
      </w:r>
    </w:p>
    <w:p w:rsidR="00327427" w:rsidRPr="00605BA4" w:rsidRDefault="00327427" w:rsidP="00327427">
      <w:pPr>
        <w:pStyle w:val="TableFooter"/>
        <w:ind w:left="720"/>
      </w:pPr>
      <w:r w:rsidRPr="00605BA4">
        <w:rPr>
          <w:vertAlign w:val="superscript"/>
        </w:rPr>
        <w:t>b</w:t>
      </w:r>
      <w:r w:rsidRPr="00605BA4">
        <w:t xml:space="preserve"> Defined as any untoward medical occurrence that at any dose resulted in death, was life-threatening, required inpatient hospitalisation or prolongation of existing hospitalisation, resulted in persistent or significant disability/incapacity, was a congenital anomaly/birth defect, or was an important medical event.</w:t>
      </w:r>
      <w:r w:rsidR="00A95B85">
        <w:t xml:space="preserve"> </w:t>
      </w:r>
      <w:r w:rsidR="00A95B85" w:rsidRPr="00A95B85">
        <w:t>On-treatment SAEs, which may not be related to treatments.</w:t>
      </w:r>
    </w:p>
    <w:p w:rsidR="00682980" w:rsidRPr="00605BA4" w:rsidRDefault="00327427" w:rsidP="00327427">
      <w:pPr>
        <w:pStyle w:val="TableFooter"/>
        <w:ind w:left="720"/>
      </w:pPr>
      <w:r w:rsidRPr="00605BA4">
        <w:t>Sourc</w:t>
      </w:r>
      <w:r w:rsidRPr="00437C1A">
        <w:t>e: Table 44 p123, Table 45, p 124, Table 46, p125 of the submission; p91, Study 7026 CSR; Appendix 6.5D p8282, Appendix 6.5C.1, p8269, Appendix 6.5N1, p8630, Table S.6.4A-1, p641 Study 7028 CSR</w:t>
      </w:r>
    </w:p>
    <w:p w:rsidR="00682980" w:rsidRPr="00D63214" w:rsidRDefault="00682980" w:rsidP="00760EA5">
      <w:pPr>
        <w:pStyle w:val="ListParagraph"/>
        <w:widowControl/>
        <w:rPr>
          <w:rStyle w:val="CommentReference"/>
        </w:rPr>
      </w:pPr>
    </w:p>
    <w:p w:rsidR="00760EA5" w:rsidRDefault="00760EA5" w:rsidP="00760EA5">
      <w:pPr>
        <w:pStyle w:val="ListParagraph"/>
        <w:ind w:left="0"/>
        <w:rPr>
          <w:szCs w:val="22"/>
        </w:rPr>
      </w:pPr>
    </w:p>
    <w:p w:rsidR="00760EA5" w:rsidRPr="00813606" w:rsidRDefault="00760EA5" w:rsidP="0078618A">
      <w:pPr>
        <w:pStyle w:val="Heading2"/>
      </w:pPr>
      <w:bookmarkStart w:id="10" w:name="_Toc409610883"/>
      <w:r w:rsidRPr="00813606">
        <w:t>Benefits/harms</w:t>
      </w:r>
      <w:bookmarkEnd w:id="10"/>
    </w:p>
    <w:p w:rsidR="00760EA5" w:rsidRPr="007F1017" w:rsidRDefault="00760EA5" w:rsidP="00760EA5">
      <w:pPr>
        <w:pStyle w:val="ListParagraph"/>
        <w:ind w:left="0"/>
        <w:rPr>
          <w:szCs w:val="22"/>
        </w:rPr>
      </w:pPr>
    </w:p>
    <w:p w:rsidR="00760EA5" w:rsidRPr="00B50DB8" w:rsidRDefault="00760EA5" w:rsidP="00BA53D4">
      <w:pPr>
        <w:pStyle w:val="ListParagraph"/>
        <w:widowControl/>
        <w:numPr>
          <w:ilvl w:val="1"/>
          <w:numId w:val="1"/>
        </w:numPr>
        <w:rPr>
          <w:szCs w:val="22"/>
        </w:rPr>
      </w:pPr>
      <w:r w:rsidRPr="00B50DB8">
        <w:rPr>
          <w:szCs w:val="22"/>
        </w:rPr>
        <w:t xml:space="preserve">A summary of the comparative benefits and harms for </w:t>
      </w:r>
      <w:r>
        <w:rPr>
          <w:szCs w:val="22"/>
        </w:rPr>
        <w:t>DCV+</w:t>
      </w:r>
      <w:r w:rsidR="00830B34">
        <w:rPr>
          <w:szCs w:val="22"/>
        </w:rPr>
        <w:t>ASV</w:t>
      </w:r>
      <w:r>
        <w:rPr>
          <w:szCs w:val="22"/>
        </w:rPr>
        <w:t xml:space="preserve"> </w:t>
      </w:r>
      <w:r w:rsidR="006A3A8E">
        <w:rPr>
          <w:szCs w:val="22"/>
        </w:rPr>
        <w:t>i</w:t>
      </w:r>
      <w:r w:rsidRPr="00B50DB8">
        <w:rPr>
          <w:szCs w:val="22"/>
        </w:rPr>
        <w:t xml:space="preserve">s presented </w:t>
      </w:r>
      <w:r w:rsidR="006C1ABD">
        <w:rPr>
          <w:szCs w:val="22"/>
        </w:rPr>
        <w:t>below</w:t>
      </w:r>
      <w:r w:rsidRPr="00B50DB8">
        <w:rPr>
          <w:szCs w:val="22"/>
        </w:rPr>
        <w:t xml:space="preserve"> </w:t>
      </w:r>
    </w:p>
    <w:p w:rsidR="00760EA5" w:rsidRPr="00D63214" w:rsidRDefault="00760EA5" w:rsidP="00760EA5">
      <w:pPr>
        <w:keepNext/>
        <w:ind w:firstLine="720"/>
        <w:rPr>
          <w:rStyle w:val="CommentReference"/>
        </w:rPr>
      </w:pPr>
    </w:p>
    <w:p w:rsidR="00DB3E46" w:rsidRDefault="00DB3E46">
      <w:pPr>
        <w:widowControl/>
        <w:jc w:val="left"/>
        <w:rPr>
          <w:rStyle w:val="CommentReference"/>
        </w:rPr>
      </w:pPr>
      <w:r>
        <w:rPr>
          <w:rStyle w:val="CommentReference"/>
        </w:rPr>
        <w:br w:type="page"/>
      </w:r>
    </w:p>
    <w:p w:rsidR="00D0269D" w:rsidRDefault="00D0269D" w:rsidP="00D0269D">
      <w:pPr>
        <w:keepNext/>
        <w:ind w:firstLine="720"/>
        <w:rPr>
          <w:rStyle w:val="CommentReference"/>
        </w:rPr>
      </w:pPr>
      <w:r w:rsidRPr="00A578DC">
        <w:rPr>
          <w:rStyle w:val="CommentReference"/>
        </w:rPr>
        <w:lastRenderedPageBreak/>
        <w:t xml:space="preserve">Summary of comparative benefits and harms for </w:t>
      </w:r>
      <w:r>
        <w:rPr>
          <w:rStyle w:val="CommentReference"/>
        </w:rPr>
        <w:t>DCV+ASV</w:t>
      </w:r>
      <w:r w:rsidRPr="00A578DC">
        <w:rPr>
          <w:rStyle w:val="CommentReference"/>
        </w:rPr>
        <w:t xml:space="preserve"> </w:t>
      </w:r>
      <w:r>
        <w:rPr>
          <w:rStyle w:val="CommentReference"/>
        </w:rPr>
        <w:t>relative to</w:t>
      </w:r>
      <w:r w:rsidRPr="00A578DC">
        <w:rPr>
          <w:rStyle w:val="CommentReference"/>
        </w:rPr>
        <w:t xml:space="preserve"> </w:t>
      </w:r>
      <w:r>
        <w:rPr>
          <w:rStyle w:val="CommentReference"/>
        </w:rPr>
        <w:t>no treatment</w:t>
      </w:r>
    </w:p>
    <w:tbl>
      <w:tblPr>
        <w:tblStyle w:val="TableGrid"/>
        <w:tblW w:w="0" w:type="auto"/>
        <w:tblInd w:w="817" w:type="dxa"/>
        <w:tblLook w:val="04A0" w:firstRow="1" w:lastRow="0" w:firstColumn="1" w:lastColumn="0" w:noHBand="0" w:noVBand="1"/>
        <w:tblCaption w:val="Comparative benefits and harms"/>
      </w:tblPr>
      <w:tblGrid>
        <w:gridCol w:w="1195"/>
        <w:gridCol w:w="2022"/>
        <w:gridCol w:w="2953"/>
        <w:gridCol w:w="2255"/>
      </w:tblGrid>
      <w:tr w:rsidR="00D0269D" w:rsidRPr="00C64BE7" w:rsidTr="007C6791">
        <w:tc>
          <w:tcPr>
            <w:tcW w:w="1195" w:type="dxa"/>
          </w:tcPr>
          <w:p w:rsidR="00D0269D" w:rsidRPr="00C64BE7" w:rsidRDefault="00D0269D" w:rsidP="007C6791">
            <w:pPr>
              <w:keepNext/>
              <w:keepLines/>
              <w:widowControl/>
              <w:rPr>
                <w:rFonts w:ascii="Arial Narrow" w:hAnsi="Arial Narrow"/>
                <w:b/>
                <w:snapToGrid/>
                <w:sz w:val="20"/>
                <w:lang w:eastAsia="en-AU"/>
              </w:rPr>
            </w:pPr>
            <w:r w:rsidRPr="00C64BE7">
              <w:rPr>
                <w:rFonts w:ascii="Arial Narrow" w:hAnsi="Arial Narrow"/>
                <w:b/>
                <w:snapToGrid/>
                <w:sz w:val="20"/>
                <w:lang w:eastAsia="en-AU"/>
              </w:rPr>
              <w:t>Patient group</w:t>
            </w:r>
          </w:p>
        </w:tc>
        <w:tc>
          <w:tcPr>
            <w:tcW w:w="2022" w:type="dxa"/>
          </w:tcPr>
          <w:p w:rsidR="00D0269D" w:rsidRPr="00C64BE7" w:rsidRDefault="00D0269D" w:rsidP="007C6791">
            <w:pPr>
              <w:keepNext/>
              <w:keepLines/>
              <w:widowControl/>
              <w:rPr>
                <w:rFonts w:ascii="Arial Narrow" w:hAnsi="Arial Narrow"/>
                <w:b/>
                <w:snapToGrid/>
                <w:sz w:val="20"/>
                <w:lang w:eastAsia="en-AU"/>
              </w:rPr>
            </w:pPr>
            <w:r w:rsidRPr="00C64BE7">
              <w:rPr>
                <w:rFonts w:ascii="Arial Narrow" w:hAnsi="Arial Narrow"/>
                <w:b/>
                <w:snapToGrid/>
                <w:sz w:val="20"/>
                <w:lang w:eastAsia="en-AU"/>
              </w:rPr>
              <w:t>Comparison</w:t>
            </w:r>
          </w:p>
        </w:tc>
        <w:tc>
          <w:tcPr>
            <w:tcW w:w="2953" w:type="dxa"/>
          </w:tcPr>
          <w:p w:rsidR="00D0269D" w:rsidRPr="00C64BE7" w:rsidRDefault="00D0269D" w:rsidP="007C6791">
            <w:pPr>
              <w:keepNext/>
              <w:keepLines/>
              <w:widowControl/>
              <w:rPr>
                <w:rFonts w:ascii="Arial Narrow" w:hAnsi="Arial Narrow"/>
                <w:b/>
                <w:snapToGrid/>
                <w:sz w:val="20"/>
                <w:lang w:eastAsia="en-AU"/>
              </w:rPr>
            </w:pPr>
            <w:r w:rsidRPr="00C64BE7">
              <w:rPr>
                <w:rFonts w:ascii="Arial Narrow" w:hAnsi="Arial Narrow"/>
                <w:b/>
                <w:snapToGrid/>
                <w:sz w:val="20"/>
                <w:lang w:eastAsia="en-AU"/>
              </w:rPr>
              <w:t>Benefits</w:t>
            </w:r>
            <w:r w:rsidR="008A3D90">
              <w:rPr>
                <w:rFonts w:ascii="Arial Narrow" w:hAnsi="Arial Narrow"/>
                <w:b/>
                <w:snapToGrid/>
                <w:sz w:val="20"/>
                <w:lang w:eastAsia="en-AU"/>
              </w:rPr>
              <w:t xml:space="preserve"> (SVR12)</w:t>
            </w:r>
            <w:r w:rsidRPr="00C64BE7">
              <w:rPr>
                <w:rFonts w:ascii="Arial Narrow" w:hAnsi="Arial Narrow"/>
                <w:b/>
                <w:snapToGrid/>
                <w:sz w:val="20"/>
                <w:lang w:eastAsia="en-AU"/>
              </w:rPr>
              <w:t>*</w:t>
            </w:r>
          </w:p>
        </w:tc>
        <w:tc>
          <w:tcPr>
            <w:tcW w:w="2255" w:type="dxa"/>
          </w:tcPr>
          <w:p w:rsidR="00D0269D" w:rsidRPr="00C64BE7" w:rsidRDefault="00D0269D" w:rsidP="007C6791">
            <w:pPr>
              <w:keepNext/>
              <w:keepLines/>
              <w:widowControl/>
              <w:rPr>
                <w:rFonts w:ascii="Arial Narrow" w:hAnsi="Arial Narrow"/>
                <w:b/>
                <w:snapToGrid/>
                <w:sz w:val="20"/>
                <w:lang w:eastAsia="en-AU"/>
              </w:rPr>
            </w:pPr>
            <w:r w:rsidRPr="00C64BE7">
              <w:rPr>
                <w:rFonts w:ascii="Arial Narrow" w:hAnsi="Arial Narrow"/>
                <w:b/>
                <w:snapToGrid/>
                <w:sz w:val="20"/>
                <w:lang w:eastAsia="en-AU"/>
              </w:rPr>
              <w:t>Harm</w:t>
            </w:r>
            <w:r w:rsidR="0045277F">
              <w:rPr>
                <w:rFonts w:ascii="Arial Narrow" w:hAnsi="Arial Narrow"/>
                <w:b/>
                <w:snapToGrid/>
                <w:sz w:val="20"/>
                <w:lang w:eastAsia="en-AU"/>
              </w:rPr>
              <w:t>**</w:t>
            </w:r>
          </w:p>
        </w:tc>
      </w:tr>
      <w:tr w:rsidR="00D0269D" w:rsidRPr="003B7F94" w:rsidTr="007C6791">
        <w:trPr>
          <w:trHeight w:val="1147"/>
        </w:trPr>
        <w:tc>
          <w:tcPr>
            <w:tcW w:w="1195" w:type="dxa"/>
          </w:tcPr>
          <w:p w:rsidR="00D0269D" w:rsidRPr="003B7F94" w:rsidRDefault="00D0269D" w:rsidP="007C6791">
            <w:pPr>
              <w:keepNext/>
              <w:keepLines/>
              <w:widowControl/>
              <w:rPr>
                <w:rFonts w:ascii="Arial Narrow" w:hAnsi="Arial Narrow"/>
                <w:b/>
                <w:snapToGrid/>
                <w:sz w:val="20"/>
                <w:lang w:eastAsia="en-AU"/>
              </w:rPr>
            </w:pPr>
            <w:r w:rsidRPr="003B7F94">
              <w:rPr>
                <w:rFonts w:ascii="Arial Narrow" w:hAnsi="Arial Narrow"/>
                <w:b/>
                <w:snapToGrid/>
                <w:sz w:val="20"/>
                <w:lang w:eastAsia="en-AU"/>
              </w:rPr>
              <w:t>Genotype 1</w:t>
            </w:r>
            <w:r>
              <w:rPr>
                <w:rFonts w:ascii="Arial Narrow" w:hAnsi="Arial Narrow"/>
                <w:b/>
                <w:snapToGrid/>
                <w:sz w:val="20"/>
                <w:lang w:eastAsia="en-AU"/>
              </w:rPr>
              <w:t>b</w:t>
            </w:r>
          </w:p>
        </w:tc>
        <w:tc>
          <w:tcPr>
            <w:tcW w:w="2022" w:type="dxa"/>
          </w:tcPr>
          <w:p w:rsidR="00D0269D" w:rsidRPr="005156AC" w:rsidRDefault="00D0269D" w:rsidP="007C6791">
            <w:pPr>
              <w:keepNext/>
              <w:keepLines/>
              <w:widowControl/>
              <w:jc w:val="left"/>
              <w:rPr>
                <w:rFonts w:ascii="Arial Narrow" w:hAnsi="Arial Narrow"/>
                <w:snapToGrid/>
                <w:sz w:val="20"/>
                <w:lang w:eastAsia="en-AU"/>
              </w:rPr>
            </w:pPr>
            <w:r w:rsidRPr="005156AC">
              <w:rPr>
                <w:rFonts w:ascii="Arial Narrow" w:hAnsi="Arial Narrow"/>
                <w:sz w:val="20"/>
              </w:rPr>
              <w:t>for every 100 patients treated with DCV24+ASV24 in comparison to no treatment</w:t>
            </w:r>
          </w:p>
        </w:tc>
        <w:tc>
          <w:tcPr>
            <w:tcW w:w="2953" w:type="dxa"/>
          </w:tcPr>
          <w:p w:rsidR="00D0269D" w:rsidRPr="005156AC" w:rsidRDefault="00D0269D" w:rsidP="00955717">
            <w:pPr>
              <w:keepNext/>
              <w:keepLines/>
              <w:widowControl/>
              <w:numPr>
                <w:ilvl w:val="0"/>
                <w:numId w:val="4"/>
              </w:numPr>
              <w:ind w:left="218" w:hanging="142"/>
              <w:contextualSpacing/>
              <w:jc w:val="left"/>
              <w:rPr>
                <w:rFonts w:ascii="Arial Narrow" w:hAnsi="Arial Narrow"/>
                <w:snapToGrid/>
                <w:sz w:val="20"/>
                <w:lang w:eastAsia="en-AU"/>
              </w:rPr>
            </w:pPr>
            <w:r w:rsidRPr="00617E00">
              <w:rPr>
                <w:rFonts w:ascii="Arial Narrow" w:hAnsi="Arial Narrow"/>
                <w:snapToGrid/>
                <w:sz w:val="20"/>
                <w:lang w:eastAsia="en-AU"/>
              </w:rPr>
              <w:t>Approximately 82-85 additional</w:t>
            </w:r>
            <w:r w:rsidRPr="005156AC">
              <w:rPr>
                <w:rFonts w:ascii="Arial Narrow" w:hAnsi="Arial Narrow"/>
                <w:snapToGrid/>
                <w:sz w:val="20"/>
                <w:lang w:eastAsia="en-AU"/>
              </w:rPr>
              <w:t xml:space="preserve"> patients would be expected to achieve an SVR </w:t>
            </w:r>
          </w:p>
        </w:tc>
        <w:tc>
          <w:tcPr>
            <w:tcW w:w="2255" w:type="dxa"/>
          </w:tcPr>
          <w:p w:rsidR="00D0269D" w:rsidRPr="005156AC" w:rsidRDefault="00D0269D" w:rsidP="00BA53D4">
            <w:pPr>
              <w:keepNext/>
              <w:keepLines/>
              <w:widowControl/>
              <w:numPr>
                <w:ilvl w:val="0"/>
                <w:numId w:val="4"/>
              </w:numPr>
              <w:ind w:left="218" w:hanging="142"/>
              <w:contextualSpacing/>
              <w:jc w:val="left"/>
              <w:rPr>
                <w:rFonts w:ascii="Arial Narrow" w:hAnsi="Arial Narrow"/>
                <w:snapToGrid/>
                <w:sz w:val="20"/>
                <w:lang w:eastAsia="en-AU"/>
              </w:rPr>
            </w:pPr>
            <w:r w:rsidRPr="005156AC">
              <w:rPr>
                <w:rFonts w:ascii="Arial Narrow" w:hAnsi="Arial Narrow"/>
                <w:snapToGrid/>
                <w:sz w:val="20"/>
                <w:lang w:eastAsia="en-AU"/>
              </w:rPr>
              <w:t>Approximately 6 additional patients would experience a serious AE</w:t>
            </w:r>
          </w:p>
          <w:p w:rsidR="00D0269D" w:rsidRPr="005156AC" w:rsidRDefault="00D0269D" w:rsidP="00BA53D4">
            <w:pPr>
              <w:keepNext/>
              <w:keepLines/>
              <w:widowControl/>
              <w:numPr>
                <w:ilvl w:val="0"/>
                <w:numId w:val="4"/>
              </w:numPr>
              <w:ind w:left="218" w:hanging="142"/>
              <w:contextualSpacing/>
              <w:jc w:val="left"/>
              <w:rPr>
                <w:rFonts w:ascii="Arial Narrow" w:hAnsi="Arial Narrow"/>
                <w:snapToGrid/>
                <w:sz w:val="20"/>
                <w:lang w:eastAsia="en-AU"/>
              </w:rPr>
            </w:pPr>
            <w:r w:rsidRPr="005156AC">
              <w:rPr>
                <w:rFonts w:ascii="Arial Narrow" w:hAnsi="Arial Narrow"/>
                <w:snapToGrid/>
                <w:sz w:val="20"/>
                <w:lang w:eastAsia="en-AU"/>
              </w:rPr>
              <w:t>Approximately 8-17additional patients would experience a Grade ¾ AE</w:t>
            </w:r>
          </w:p>
          <w:p w:rsidR="00D0269D" w:rsidRPr="005156AC" w:rsidRDefault="00D0269D" w:rsidP="00BA53D4">
            <w:pPr>
              <w:keepNext/>
              <w:keepLines/>
              <w:widowControl/>
              <w:numPr>
                <w:ilvl w:val="0"/>
                <w:numId w:val="4"/>
              </w:numPr>
              <w:ind w:left="218" w:hanging="142"/>
              <w:contextualSpacing/>
              <w:jc w:val="left"/>
              <w:rPr>
                <w:rFonts w:ascii="Arial Narrow" w:hAnsi="Arial Narrow"/>
                <w:snapToGrid/>
                <w:sz w:val="20"/>
                <w:lang w:eastAsia="en-AU"/>
              </w:rPr>
            </w:pPr>
            <w:r w:rsidRPr="005156AC">
              <w:rPr>
                <w:rFonts w:ascii="Arial Narrow" w:hAnsi="Arial Narrow"/>
                <w:snapToGrid/>
                <w:sz w:val="20"/>
                <w:lang w:eastAsia="en-AU"/>
              </w:rPr>
              <w:t>Approximately 2-5 additional patients would discontinue treatment due to AE</w:t>
            </w:r>
          </w:p>
        </w:tc>
      </w:tr>
      <w:tr w:rsidR="007456B6" w:rsidRPr="003B7F94" w:rsidTr="007456B6">
        <w:trPr>
          <w:trHeight w:val="281"/>
        </w:trPr>
        <w:tc>
          <w:tcPr>
            <w:tcW w:w="8425" w:type="dxa"/>
            <w:gridSpan w:val="4"/>
          </w:tcPr>
          <w:p w:rsidR="007456B6" w:rsidRDefault="007456B6" w:rsidP="007456B6">
            <w:pPr>
              <w:widowControl/>
              <w:contextualSpacing/>
              <w:jc w:val="left"/>
              <w:rPr>
                <w:rFonts w:ascii="Arial Narrow" w:hAnsi="Arial Narrow"/>
                <w:sz w:val="20"/>
                <w:lang w:eastAsia="en-AU"/>
              </w:rPr>
            </w:pPr>
            <w:r>
              <w:rPr>
                <w:rFonts w:ascii="Arial Narrow" w:hAnsi="Arial Narrow"/>
                <w:b/>
                <w:sz w:val="20"/>
                <w:lang w:eastAsia="en-AU"/>
              </w:rPr>
              <w:t xml:space="preserve">For the largest group seeking treatment: </w:t>
            </w:r>
            <w:r w:rsidRPr="00A350C1">
              <w:rPr>
                <w:rFonts w:ascii="Arial Narrow" w:hAnsi="Arial Narrow"/>
                <w:b/>
                <w:sz w:val="20"/>
                <w:lang w:eastAsia="en-AU"/>
              </w:rPr>
              <w:t>Genotype 1</w:t>
            </w:r>
            <w:r>
              <w:rPr>
                <w:rFonts w:ascii="Arial Narrow" w:hAnsi="Arial Narrow"/>
                <w:b/>
                <w:sz w:val="20"/>
                <w:lang w:eastAsia="en-AU"/>
              </w:rPr>
              <w:t>b</w:t>
            </w:r>
            <w:r w:rsidRPr="00A350C1">
              <w:rPr>
                <w:rFonts w:ascii="Arial Narrow" w:hAnsi="Arial Narrow"/>
                <w:b/>
                <w:sz w:val="20"/>
                <w:lang w:eastAsia="en-AU"/>
              </w:rPr>
              <w:t xml:space="preserve">, treatment naïve, </w:t>
            </w:r>
            <w:r>
              <w:rPr>
                <w:rFonts w:ascii="Arial Narrow" w:hAnsi="Arial Narrow"/>
                <w:b/>
                <w:sz w:val="20"/>
                <w:lang w:eastAsia="en-AU"/>
              </w:rPr>
              <w:t>non-cirrhotic patients</w:t>
            </w:r>
          </w:p>
        </w:tc>
      </w:tr>
      <w:tr w:rsidR="009869DD" w:rsidRPr="003B7F94" w:rsidTr="007C6791">
        <w:trPr>
          <w:trHeight w:val="1147"/>
        </w:trPr>
        <w:tc>
          <w:tcPr>
            <w:tcW w:w="1195" w:type="dxa"/>
          </w:tcPr>
          <w:p w:rsidR="009869DD" w:rsidRPr="003B7F94" w:rsidRDefault="009869DD" w:rsidP="007C6791">
            <w:pPr>
              <w:keepNext/>
              <w:keepLines/>
              <w:widowControl/>
              <w:rPr>
                <w:rFonts w:ascii="Arial Narrow" w:hAnsi="Arial Narrow"/>
                <w:b/>
                <w:snapToGrid/>
                <w:sz w:val="20"/>
                <w:lang w:eastAsia="en-AU"/>
              </w:rPr>
            </w:pPr>
          </w:p>
        </w:tc>
        <w:tc>
          <w:tcPr>
            <w:tcW w:w="2022" w:type="dxa"/>
          </w:tcPr>
          <w:p w:rsidR="009869DD" w:rsidRPr="00515D1D" w:rsidRDefault="009869DD" w:rsidP="009869DD">
            <w:pPr>
              <w:rPr>
                <w:rFonts w:ascii="Arial Narrow" w:hAnsi="Arial Narrow"/>
                <w:sz w:val="20"/>
                <w:lang w:eastAsia="en-AU"/>
              </w:rPr>
            </w:pPr>
            <w:r w:rsidRPr="00A350C1">
              <w:rPr>
                <w:rFonts w:ascii="Arial Narrow" w:hAnsi="Arial Narrow"/>
                <w:sz w:val="20"/>
                <w:lang w:eastAsia="en-AU"/>
              </w:rPr>
              <w:t xml:space="preserve">for every 100 patients treated with </w:t>
            </w:r>
            <w:r>
              <w:rPr>
                <w:rFonts w:ascii="Arial Narrow" w:hAnsi="Arial Narrow"/>
                <w:sz w:val="20"/>
                <w:lang w:eastAsia="en-AU"/>
              </w:rPr>
              <w:t>DCV+ASV for 24 weeks</w:t>
            </w:r>
            <w:r w:rsidRPr="00A350C1">
              <w:rPr>
                <w:rFonts w:ascii="Arial Narrow" w:hAnsi="Arial Narrow"/>
                <w:sz w:val="20"/>
                <w:lang w:eastAsia="en-AU"/>
              </w:rPr>
              <w:t xml:space="preserve"> in comparison to </w:t>
            </w:r>
            <w:r w:rsidR="006C1ABD">
              <w:rPr>
                <w:rFonts w:ascii="Arial Narrow" w:hAnsi="Arial Narrow"/>
                <w:sz w:val="20"/>
                <w:lang w:eastAsia="en-AU"/>
              </w:rPr>
              <w:t>ledipasvir</w:t>
            </w:r>
            <w:r w:rsidR="00CE5339" w:rsidRPr="00CE5339">
              <w:rPr>
                <w:rFonts w:ascii="Arial Narrow" w:hAnsi="Arial Narrow"/>
                <w:sz w:val="20"/>
                <w:lang w:eastAsia="en-AU"/>
              </w:rPr>
              <w:t xml:space="preserve"> and </w:t>
            </w:r>
            <w:r w:rsidR="006C1ABD">
              <w:rPr>
                <w:rFonts w:ascii="Arial Narrow" w:hAnsi="Arial Narrow"/>
                <w:sz w:val="20"/>
                <w:lang w:eastAsia="en-AU"/>
              </w:rPr>
              <w:t>sofosbuvir</w:t>
            </w:r>
            <w:r w:rsidR="00CE5339" w:rsidRPr="00CE5339">
              <w:rPr>
                <w:rFonts w:ascii="Arial Narrow" w:hAnsi="Arial Narrow"/>
                <w:sz w:val="20"/>
                <w:lang w:eastAsia="en-AU"/>
              </w:rPr>
              <w:t xml:space="preserve"> </w:t>
            </w:r>
            <w:r>
              <w:rPr>
                <w:rFonts w:ascii="Arial Narrow" w:hAnsi="Arial Narrow"/>
                <w:sz w:val="20"/>
                <w:lang w:eastAsia="en-AU"/>
              </w:rPr>
              <w:t>for 8 weeks (based on Kowdley et al, 2014)</w:t>
            </w:r>
          </w:p>
          <w:p w:rsidR="009869DD" w:rsidRPr="005156AC" w:rsidRDefault="009869DD" w:rsidP="007C6791">
            <w:pPr>
              <w:keepNext/>
              <w:keepLines/>
              <w:widowControl/>
              <w:jc w:val="left"/>
              <w:rPr>
                <w:rFonts w:ascii="Arial Narrow" w:hAnsi="Arial Narrow"/>
                <w:sz w:val="20"/>
              </w:rPr>
            </w:pPr>
          </w:p>
        </w:tc>
        <w:tc>
          <w:tcPr>
            <w:tcW w:w="2953" w:type="dxa"/>
          </w:tcPr>
          <w:p w:rsidR="009869DD" w:rsidRDefault="009869DD" w:rsidP="009869DD">
            <w:pPr>
              <w:widowControl/>
              <w:numPr>
                <w:ilvl w:val="0"/>
                <w:numId w:val="4"/>
              </w:numPr>
              <w:ind w:left="218" w:hanging="142"/>
              <w:contextualSpacing/>
              <w:jc w:val="left"/>
              <w:rPr>
                <w:rFonts w:ascii="Arial Narrow" w:hAnsi="Arial Narrow"/>
                <w:sz w:val="20"/>
              </w:rPr>
            </w:pPr>
            <w:r w:rsidRPr="00A350C1">
              <w:rPr>
                <w:rFonts w:ascii="Arial Narrow" w:hAnsi="Arial Narrow"/>
                <w:sz w:val="20"/>
                <w:lang w:eastAsia="en-AU"/>
              </w:rPr>
              <w:t xml:space="preserve">Approximately </w:t>
            </w:r>
            <w:r>
              <w:rPr>
                <w:rFonts w:ascii="Arial Narrow" w:hAnsi="Arial Narrow"/>
                <w:sz w:val="20"/>
                <w:lang w:eastAsia="en-AU"/>
              </w:rPr>
              <w:t xml:space="preserve">11 </w:t>
            </w:r>
            <w:r w:rsidRPr="003776AF">
              <w:rPr>
                <w:rFonts w:ascii="Arial Narrow" w:hAnsi="Arial Narrow"/>
                <w:b/>
                <w:sz w:val="20"/>
                <w:u w:val="single"/>
                <w:lang w:eastAsia="en-AU"/>
              </w:rPr>
              <w:t>fewer</w:t>
            </w:r>
            <w:r w:rsidRPr="00A350C1">
              <w:rPr>
                <w:rFonts w:ascii="Arial Narrow" w:hAnsi="Arial Narrow"/>
                <w:sz w:val="20"/>
                <w:lang w:eastAsia="en-AU"/>
              </w:rPr>
              <w:t xml:space="preserve"> patients would be expected to achieve an SVR;</w:t>
            </w:r>
          </w:p>
          <w:p w:rsidR="009869DD" w:rsidRPr="005156AC" w:rsidRDefault="009869DD" w:rsidP="009869DD">
            <w:pPr>
              <w:keepNext/>
              <w:keepLines/>
              <w:widowControl/>
              <w:contextualSpacing/>
              <w:jc w:val="left"/>
              <w:rPr>
                <w:rFonts w:ascii="Arial Narrow" w:hAnsi="Arial Narrow"/>
                <w:snapToGrid/>
                <w:sz w:val="20"/>
                <w:lang w:eastAsia="en-AU"/>
              </w:rPr>
            </w:pPr>
          </w:p>
        </w:tc>
        <w:tc>
          <w:tcPr>
            <w:tcW w:w="2255" w:type="dxa"/>
          </w:tcPr>
          <w:p w:rsidR="009869DD" w:rsidRPr="005239AB" w:rsidRDefault="009869DD" w:rsidP="009869DD">
            <w:pPr>
              <w:widowControl/>
              <w:numPr>
                <w:ilvl w:val="0"/>
                <w:numId w:val="4"/>
              </w:numPr>
              <w:ind w:left="218" w:hanging="142"/>
              <w:contextualSpacing/>
              <w:jc w:val="left"/>
              <w:rPr>
                <w:rFonts w:ascii="Arial Narrow" w:hAnsi="Arial Narrow"/>
                <w:sz w:val="20"/>
              </w:rPr>
            </w:pPr>
            <w:r>
              <w:rPr>
                <w:rFonts w:ascii="Arial Narrow" w:hAnsi="Arial Narrow"/>
                <w:sz w:val="20"/>
                <w:lang w:eastAsia="en-AU"/>
              </w:rPr>
              <w:t xml:space="preserve">Approximately 4 </w:t>
            </w:r>
            <w:r w:rsidRPr="00492AC8">
              <w:rPr>
                <w:rFonts w:ascii="Arial Narrow" w:hAnsi="Arial Narrow"/>
                <w:b/>
                <w:sz w:val="20"/>
                <w:u w:val="single"/>
                <w:lang w:eastAsia="en-AU"/>
              </w:rPr>
              <w:t>more</w:t>
            </w:r>
            <w:r>
              <w:rPr>
                <w:rFonts w:ascii="Arial Narrow" w:hAnsi="Arial Narrow"/>
                <w:sz w:val="20"/>
                <w:lang w:eastAsia="en-AU"/>
              </w:rPr>
              <w:t xml:space="preserve"> patients would have a serious adverse event</w:t>
            </w:r>
          </w:p>
          <w:p w:rsidR="009869DD" w:rsidRPr="005156AC" w:rsidRDefault="009869DD" w:rsidP="009869DD">
            <w:pPr>
              <w:keepNext/>
              <w:keepLines/>
              <w:widowControl/>
              <w:ind w:left="76"/>
              <w:contextualSpacing/>
              <w:jc w:val="left"/>
              <w:rPr>
                <w:rFonts w:ascii="Arial Narrow" w:hAnsi="Arial Narrow"/>
                <w:snapToGrid/>
                <w:sz w:val="20"/>
                <w:lang w:eastAsia="en-AU"/>
              </w:rPr>
            </w:pPr>
          </w:p>
        </w:tc>
      </w:tr>
      <w:tr w:rsidR="00111EC8" w:rsidRPr="003B7F94" w:rsidTr="007C6791">
        <w:trPr>
          <w:trHeight w:val="1147"/>
        </w:trPr>
        <w:tc>
          <w:tcPr>
            <w:tcW w:w="1195" w:type="dxa"/>
          </w:tcPr>
          <w:p w:rsidR="00111EC8" w:rsidRPr="003B7F94" w:rsidRDefault="00111EC8" w:rsidP="007C6791">
            <w:pPr>
              <w:keepNext/>
              <w:keepLines/>
              <w:widowControl/>
              <w:rPr>
                <w:rFonts w:ascii="Arial Narrow" w:hAnsi="Arial Narrow"/>
                <w:b/>
                <w:snapToGrid/>
                <w:sz w:val="20"/>
                <w:lang w:eastAsia="en-AU"/>
              </w:rPr>
            </w:pPr>
          </w:p>
        </w:tc>
        <w:tc>
          <w:tcPr>
            <w:tcW w:w="2022" w:type="dxa"/>
          </w:tcPr>
          <w:p w:rsidR="00111EC8" w:rsidRDefault="00111EC8" w:rsidP="00264360">
            <w:pPr>
              <w:rPr>
                <w:rFonts w:ascii="Arial Narrow" w:hAnsi="Arial Narrow"/>
                <w:b/>
                <w:sz w:val="20"/>
                <w:lang w:eastAsia="en-AU"/>
              </w:rPr>
            </w:pPr>
            <w:r w:rsidRPr="00A350C1">
              <w:rPr>
                <w:rFonts w:ascii="Arial Narrow" w:hAnsi="Arial Narrow"/>
                <w:sz w:val="20"/>
                <w:lang w:eastAsia="en-AU"/>
              </w:rPr>
              <w:t xml:space="preserve">for every 100 patients treated with </w:t>
            </w:r>
            <w:r>
              <w:rPr>
                <w:rFonts w:ascii="Arial Narrow" w:hAnsi="Arial Narrow"/>
                <w:sz w:val="20"/>
                <w:lang w:eastAsia="en-AU"/>
              </w:rPr>
              <w:t>DCV+ASV for 24 weeks</w:t>
            </w:r>
            <w:r w:rsidRPr="00A350C1">
              <w:rPr>
                <w:rFonts w:ascii="Arial Narrow" w:hAnsi="Arial Narrow"/>
                <w:sz w:val="20"/>
                <w:lang w:eastAsia="en-AU"/>
              </w:rPr>
              <w:t xml:space="preserve"> in comparison to </w:t>
            </w:r>
            <w:r w:rsidR="00264360">
              <w:rPr>
                <w:rFonts w:ascii="Arial Narrow" w:hAnsi="Arial Narrow"/>
                <w:sz w:val="20"/>
                <w:lang w:eastAsia="en-AU"/>
              </w:rPr>
              <w:t>DCV</w:t>
            </w:r>
            <w:r w:rsidR="00CE5339">
              <w:rPr>
                <w:rFonts w:ascii="Arial Narrow" w:hAnsi="Arial Narrow"/>
                <w:sz w:val="20"/>
                <w:lang w:eastAsia="en-AU"/>
              </w:rPr>
              <w:t xml:space="preserve">+SOF. </w:t>
            </w:r>
          </w:p>
        </w:tc>
        <w:tc>
          <w:tcPr>
            <w:tcW w:w="2953" w:type="dxa"/>
          </w:tcPr>
          <w:p w:rsidR="00F45FE5" w:rsidRDefault="00F45FE5" w:rsidP="00F45FE5">
            <w:pPr>
              <w:widowControl/>
              <w:numPr>
                <w:ilvl w:val="0"/>
                <w:numId w:val="4"/>
              </w:numPr>
              <w:ind w:left="218" w:hanging="142"/>
              <w:contextualSpacing/>
              <w:jc w:val="left"/>
              <w:rPr>
                <w:rFonts w:ascii="Arial Narrow" w:hAnsi="Arial Narrow"/>
                <w:sz w:val="20"/>
              </w:rPr>
            </w:pPr>
            <w:r w:rsidRPr="00A350C1">
              <w:rPr>
                <w:rFonts w:ascii="Arial Narrow" w:hAnsi="Arial Narrow"/>
                <w:sz w:val="20"/>
                <w:lang w:eastAsia="en-AU"/>
              </w:rPr>
              <w:t xml:space="preserve">Approximately </w:t>
            </w:r>
            <w:r>
              <w:rPr>
                <w:rFonts w:ascii="Arial Narrow" w:hAnsi="Arial Narrow"/>
                <w:sz w:val="20"/>
                <w:lang w:eastAsia="en-AU"/>
              </w:rPr>
              <w:t xml:space="preserve">11 </w:t>
            </w:r>
            <w:r w:rsidRPr="003776AF">
              <w:rPr>
                <w:rFonts w:ascii="Arial Narrow" w:hAnsi="Arial Narrow"/>
                <w:b/>
                <w:sz w:val="20"/>
                <w:u w:val="single"/>
                <w:lang w:eastAsia="en-AU"/>
              </w:rPr>
              <w:t>fewer</w:t>
            </w:r>
            <w:r w:rsidRPr="00A350C1">
              <w:rPr>
                <w:rFonts w:ascii="Arial Narrow" w:hAnsi="Arial Narrow"/>
                <w:sz w:val="20"/>
                <w:lang w:eastAsia="en-AU"/>
              </w:rPr>
              <w:t xml:space="preserve"> patients would be expected to achieve an SVR;</w:t>
            </w:r>
          </w:p>
          <w:p w:rsidR="00111EC8" w:rsidRPr="00A350C1" w:rsidRDefault="00111EC8" w:rsidP="00F45FE5">
            <w:pPr>
              <w:widowControl/>
              <w:ind w:left="76"/>
              <w:contextualSpacing/>
              <w:jc w:val="left"/>
              <w:rPr>
                <w:rFonts w:ascii="Arial Narrow" w:hAnsi="Arial Narrow"/>
                <w:sz w:val="20"/>
                <w:lang w:eastAsia="en-AU"/>
              </w:rPr>
            </w:pPr>
          </w:p>
        </w:tc>
        <w:tc>
          <w:tcPr>
            <w:tcW w:w="2255" w:type="dxa"/>
          </w:tcPr>
          <w:p w:rsidR="00F45FE5" w:rsidRPr="005239AB" w:rsidRDefault="00F45FE5" w:rsidP="00F45FE5">
            <w:pPr>
              <w:widowControl/>
              <w:numPr>
                <w:ilvl w:val="0"/>
                <w:numId w:val="4"/>
              </w:numPr>
              <w:ind w:left="218" w:hanging="142"/>
              <w:contextualSpacing/>
              <w:jc w:val="left"/>
              <w:rPr>
                <w:rFonts w:ascii="Arial Narrow" w:hAnsi="Arial Narrow"/>
                <w:sz w:val="20"/>
              </w:rPr>
            </w:pPr>
            <w:r>
              <w:rPr>
                <w:rFonts w:ascii="Arial Narrow" w:hAnsi="Arial Narrow"/>
                <w:sz w:val="20"/>
                <w:lang w:eastAsia="en-AU"/>
              </w:rPr>
              <w:t>Approximately 1 less</w:t>
            </w:r>
            <w:r>
              <w:rPr>
                <w:rFonts w:ascii="Arial Narrow" w:hAnsi="Arial Narrow"/>
                <w:b/>
                <w:sz w:val="20"/>
                <w:u w:val="single"/>
                <w:lang w:eastAsia="en-AU"/>
              </w:rPr>
              <w:t xml:space="preserve"> </w:t>
            </w:r>
            <w:r>
              <w:rPr>
                <w:rFonts w:ascii="Arial Narrow" w:hAnsi="Arial Narrow"/>
                <w:sz w:val="20"/>
                <w:lang w:eastAsia="en-AU"/>
              </w:rPr>
              <w:t>patient would have a serious adverse event</w:t>
            </w:r>
          </w:p>
          <w:p w:rsidR="00111EC8" w:rsidRDefault="00111EC8" w:rsidP="00F45FE5">
            <w:pPr>
              <w:widowControl/>
              <w:ind w:left="76"/>
              <w:contextualSpacing/>
              <w:jc w:val="left"/>
              <w:rPr>
                <w:rFonts w:ascii="Arial Narrow" w:hAnsi="Arial Narrow"/>
                <w:sz w:val="20"/>
                <w:lang w:eastAsia="en-AU"/>
              </w:rPr>
            </w:pPr>
          </w:p>
        </w:tc>
      </w:tr>
    </w:tbl>
    <w:p w:rsidR="00D0269D" w:rsidRPr="005156AC" w:rsidRDefault="00D0269D" w:rsidP="00D0269D">
      <w:pPr>
        <w:pStyle w:val="TableFooter"/>
        <w:ind w:left="720"/>
      </w:pPr>
      <w:r w:rsidRPr="005156AC">
        <w:t>* SVR = sustained virologic response, defined as undetectable HCV RNA at Week 12 after completion of treatment</w:t>
      </w:r>
    </w:p>
    <w:p w:rsidR="0045277F" w:rsidRPr="005156AC" w:rsidRDefault="0045277F" w:rsidP="00D0269D">
      <w:pPr>
        <w:pStyle w:val="TableFooter"/>
        <w:ind w:left="720"/>
      </w:pPr>
      <w:r w:rsidRPr="005156AC">
        <w:t>** Based on on-treatment adverse events</w:t>
      </w:r>
    </w:p>
    <w:p w:rsidR="00D0269D" w:rsidRPr="005156AC" w:rsidRDefault="00D0269D" w:rsidP="00D0269D">
      <w:pPr>
        <w:pStyle w:val="TableFooter"/>
        <w:ind w:firstLine="720"/>
      </w:pPr>
      <w:r w:rsidRPr="005156AC">
        <w:t>DCV = daclatasvir; ASV = asunaprevir; AE = adverse event</w:t>
      </w:r>
    </w:p>
    <w:p w:rsidR="00D0269D" w:rsidRPr="005156AC" w:rsidRDefault="00D0269D" w:rsidP="00D0269D">
      <w:pPr>
        <w:pStyle w:val="TableFooter"/>
        <w:ind w:firstLine="720"/>
      </w:pPr>
      <w:r w:rsidRPr="005156AC">
        <w:t>Source: Compiled during the evaluation.</w:t>
      </w:r>
    </w:p>
    <w:p w:rsidR="00DA43A1" w:rsidRPr="00882085" w:rsidRDefault="00DA43A1" w:rsidP="00760EA5"/>
    <w:p w:rsidR="00760EA5" w:rsidRPr="00813606" w:rsidRDefault="00760EA5" w:rsidP="0078618A">
      <w:pPr>
        <w:pStyle w:val="Heading2"/>
      </w:pPr>
      <w:bookmarkStart w:id="11" w:name="_Toc409610884"/>
      <w:r w:rsidRPr="00813606">
        <w:t>Clinical claim</w:t>
      </w:r>
      <w:bookmarkEnd w:id="11"/>
    </w:p>
    <w:p w:rsidR="00760EA5" w:rsidRPr="00882085" w:rsidRDefault="00760EA5" w:rsidP="00760EA5">
      <w:pPr>
        <w:ind w:left="720" w:hanging="720"/>
        <w:rPr>
          <w:szCs w:val="22"/>
        </w:rPr>
      </w:pPr>
    </w:p>
    <w:p w:rsidR="00C73A00" w:rsidRPr="008126BF" w:rsidRDefault="00C73A00" w:rsidP="00BA53D4">
      <w:pPr>
        <w:pStyle w:val="ListParagraph"/>
        <w:widowControl/>
        <w:numPr>
          <w:ilvl w:val="1"/>
          <w:numId w:val="1"/>
        </w:numPr>
      </w:pPr>
      <w:r w:rsidRPr="008126BF">
        <w:t xml:space="preserve">The submission described DCV+ASV as superior in terms of both comparative effectiveness and comparative safety over TVR+PR in patients with genotype 1b HCV.  This claim was not adequately supported in terms of the relative effectiveness of DCV+ASV compared to TVR+PR in </w:t>
      </w:r>
      <w:r w:rsidR="003C6603" w:rsidRPr="008126BF">
        <w:t>treatment-naïve</w:t>
      </w:r>
      <w:r w:rsidRPr="008126BF">
        <w:t xml:space="preserve"> patients. The claim of superiority in terms of comparative safety </w:t>
      </w:r>
      <w:r w:rsidR="00E366F8" w:rsidRPr="008126BF">
        <w:t>is probably reasonable given the consid</w:t>
      </w:r>
      <w:r w:rsidR="00AA6CA8" w:rsidRPr="008126BF">
        <w:t>erable adverse events associated with PR therapy</w:t>
      </w:r>
      <w:r w:rsidRPr="008126BF">
        <w:t>.</w:t>
      </w:r>
    </w:p>
    <w:p w:rsidR="00760EA5" w:rsidRPr="008126BF" w:rsidRDefault="00760EA5" w:rsidP="00760EA5">
      <w:pPr>
        <w:pStyle w:val="ListParagraph"/>
        <w:widowControl/>
      </w:pPr>
    </w:p>
    <w:p w:rsidR="00C73A00" w:rsidRPr="008126BF" w:rsidRDefault="005D07DE" w:rsidP="00BA53D4">
      <w:pPr>
        <w:pStyle w:val="ListParagraph"/>
        <w:widowControl/>
        <w:numPr>
          <w:ilvl w:val="1"/>
          <w:numId w:val="1"/>
        </w:numPr>
        <w:rPr>
          <w:szCs w:val="22"/>
        </w:rPr>
      </w:pPr>
      <w:r w:rsidRPr="008126BF">
        <w:t>With regard to the comparator considered appropriate by the PBAC, DCV+ASV was superior to ‘no treatment’ in terms of therapeutic effectiveness and inferior in terms of safety in both treatment-naïve and treatment-experienced patients with HCV genotype 1b</w:t>
      </w:r>
      <w:r w:rsidR="00C73A00" w:rsidRPr="008126BF">
        <w:t>.</w:t>
      </w:r>
    </w:p>
    <w:p w:rsidR="00C73A00" w:rsidRPr="008126BF" w:rsidRDefault="00C73A00" w:rsidP="00C73A00">
      <w:pPr>
        <w:pStyle w:val="ListParagraph"/>
        <w:widowControl/>
        <w:rPr>
          <w:szCs w:val="22"/>
        </w:rPr>
      </w:pPr>
    </w:p>
    <w:p w:rsidR="00C73A00" w:rsidRDefault="00C73A00" w:rsidP="00BA53D4">
      <w:pPr>
        <w:pStyle w:val="ListParagraph"/>
        <w:widowControl/>
        <w:numPr>
          <w:ilvl w:val="1"/>
          <w:numId w:val="1"/>
        </w:numPr>
        <w:rPr>
          <w:szCs w:val="22"/>
        </w:rPr>
      </w:pPr>
      <w:r w:rsidRPr="008126BF">
        <w:rPr>
          <w:szCs w:val="22"/>
        </w:rPr>
        <w:t>The data indicated that DCV+ASV might be less effective and no safer than DCV+SOF, although there were concerns regarding the exchangeability of the study populations used in the unadjusted indirect comparison. DCV+SOF may also have advantages over DCV+ASV in patients with the baseline polymorphism that predicts increased virological failure.</w:t>
      </w:r>
    </w:p>
    <w:p w:rsidR="009869DD" w:rsidRPr="009869DD" w:rsidRDefault="009869DD" w:rsidP="009869DD">
      <w:pPr>
        <w:pStyle w:val="ListParagraph"/>
        <w:rPr>
          <w:szCs w:val="22"/>
        </w:rPr>
      </w:pPr>
    </w:p>
    <w:p w:rsidR="009869DD" w:rsidRDefault="009869DD" w:rsidP="009869DD">
      <w:pPr>
        <w:pStyle w:val="ListParagraph"/>
        <w:widowControl/>
        <w:numPr>
          <w:ilvl w:val="1"/>
          <w:numId w:val="1"/>
        </w:numPr>
        <w:rPr>
          <w:szCs w:val="22"/>
        </w:rPr>
      </w:pPr>
      <w:r w:rsidRPr="009869DD">
        <w:rPr>
          <w:szCs w:val="22"/>
        </w:rPr>
        <w:lastRenderedPageBreak/>
        <w:t xml:space="preserve">The PBAC considered that the claim of superior comparative effectiveness and inferior comparative safety to no treatment was reasonable for GT1b naïve/experienced cirrhotic/non-cirrhotic patients. </w:t>
      </w:r>
    </w:p>
    <w:p w:rsidR="009869DD" w:rsidRPr="009869DD" w:rsidRDefault="009869DD" w:rsidP="009E1F79">
      <w:pPr>
        <w:pStyle w:val="PBACHeading1"/>
        <w:numPr>
          <w:ilvl w:val="0"/>
          <w:numId w:val="0"/>
        </w:numPr>
      </w:pPr>
    </w:p>
    <w:p w:rsidR="009869DD" w:rsidRDefault="009869DD" w:rsidP="009E1F79">
      <w:pPr>
        <w:pStyle w:val="ListParagraph"/>
        <w:widowControl/>
        <w:numPr>
          <w:ilvl w:val="1"/>
          <w:numId w:val="1"/>
        </w:numPr>
        <w:rPr>
          <w:szCs w:val="22"/>
        </w:rPr>
      </w:pPr>
      <w:r w:rsidRPr="009869DD">
        <w:rPr>
          <w:szCs w:val="22"/>
        </w:rPr>
        <w:t>The PBAC considered that non-inferiority between DCV24+ASV24 and LDV/SOF</w:t>
      </w:r>
      <w:r w:rsidR="009E1F79">
        <w:rPr>
          <w:szCs w:val="22"/>
        </w:rPr>
        <w:t xml:space="preserve"> and</w:t>
      </w:r>
      <w:r w:rsidR="009E1F79" w:rsidRPr="009E1F79">
        <w:rPr>
          <w:szCs w:val="22"/>
        </w:rPr>
        <w:t xml:space="preserve"> </w:t>
      </w:r>
      <w:r w:rsidR="009E1F79" w:rsidRPr="009869DD">
        <w:rPr>
          <w:szCs w:val="22"/>
        </w:rPr>
        <w:t>between DCV24+ASV24</w:t>
      </w:r>
      <w:r w:rsidR="00264360">
        <w:rPr>
          <w:szCs w:val="22"/>
        </w:rPr>
        <w:t xml:space="preserve"> and DCV</w:t>
      </w:r>
      <w:r w:rsidR="009E1F79">
        <w:rPr>
          <w:szCs w:val="22"/>
        </w:rPr>
        <w:t>+</w:t>
      </w:r>
      <w:r w:rsidR="00264360">
        <w:rPr>
          <w:szCs w:val="22"/>
        </w:rPr>
        <w:t>SOF</w:t>
      </w:r>
      <w:r w:rsidR="004B1C4A">
        <w:rPr>
          <w:szCs w:val="22"/>
        </w:rPr>
        <w:t xml:space="preserve"> in</w:t>
      </w:r>
      <w:r w:rsidRPr="009869DD">
        <w:rPr>
          <w:szCs w:val="22"/>
        </w:rPr>
        <w:t xml:space="preserve"> Genotype 1b patients could not be supported with the data available to the Committee.  </w:t>
      </w:r>
    </w:p>
    <w:p w:rsidR="002106DF" w:rsidRPr="002106DF" w:rsidRDefault="002106DF" w:rsidP="002106DF">
      <w:pPr>
        <w:pStyle w:val="ListParagraph"/>
        <w:rPr>
          <w:szCs w:val="22"/>
        </w:rPr>
      </w:pPr>
    </w:p>
    <w:p w:rsidR="002106DF" w:rsidRPr="008126BF" w:rsidRDefault="002106DF" w:rsidP="002106DF">
      <w:pPr>
        <w:pStyle w:val="ListParagraph"/>
        <w:widowControl/>
        <w:rPr>
          <w:szCs w:val="22"/>
        </w:rPr>
      </w:pPr>
      <w:r w:rsidRPr="009869DD">
        <w:rPr>
          <w:i/>
          <w:szCs w:val="22"/>
        </w:rPr>
        <w:t>For more detail on PBAC’s view, see section 7 “PBAC outcome”</w:t>
      </w:r>
    </w:p>
    <w:p w:rsidR="00760EA5" w:rsidRPr="00E74C92" w:rsidRDefault="00760EA5" w:rsidP="00760EA5">
      <w:pPr>
        <w:pStyle w:val="ListParagraph"/>
        <w:rPr>
          <w:i/>
          <w:szCs w:val="22"/>
        </w:rPr>
      </w:pPr>
    </w:p>
    <w:p w:rsidR="00760EA5" w:rsidRPr="00813606" w:rsidRDefault="00760EA5" w:rsidP="0078618A">
      <w:pPr>
        <w:pStyle w:val="Heading2"/>
      </w:pPr>
      <w:bookmarkStart w:id="12" w:name="_Toc409610885"/>
      <w:r w:rsidRPr="00813606">
        <w:t>Economic analysis</w:t>
      </w:r>
      <w:bookmarkEnd w:id="12"/>
      <w:r w:rsidRPr="00813606">
        <w:t xml:space="preserve"> </w:t>
      </w:r>
    </w:p>
    <w:p w:rsidR="00760EA5" w:rsidRPr="00882085" w:rsidRDefault="00760EA5" w:rsidP="00011BBD">
      <w:pPr>
        <w:keepNext/>
        <w:keepLines/>
        <w:ind w:left="720" w:hanging="720"/>
        <w:rPr>
          <w:szCs w:val="22"/>
        </w:rPr>
      </w:pPr>
    </w:p>
    <w:p w:rsidR="001570C4" w:rsidRPr="007A7B7C" w:rsidRDefault="001570C4" w:rsidP="00011BBD">
      <w:pPr>
        <w:pStyle w:val="ListParagraph"/>
        <w:keepNext/>
        <w:keepLines/>
        <w:widowControl/>
        <w:numPr>
          <w:ilvl w:val="1"/>
          <w:numId w:val="1"/>
        </w:numPr>
        <w:rPr>
          <w:szCs w:val="22"/>
        </w:rPr>
      </w:pPr>
      <w:r w:rsidRPr="001570C4">
        <w:t xml:space="preserve">The economic model of DCV+ASV compared with no treatment, or active HCV treatment, was the same as that used to assess DCV+SOF, except that the population in the model was only for HCV genotype 1b. The summary of model structure and rationale is presented </w:t>
      </w:r>
      <w:r w:rsidRPr="007A7B7C">
        <w:t xml:space="preserve">in </w:t>
      </w:r>
      <w:r w:rsidR="00F60A45" w:rsidRPr="007A7B7C">
        <w:t xml:space="preserve">PBAC </w:t>
      </w:r>
      <w:r w:rsidR="004337D9" w:rsidRPr="007A7B7C">
        <w:t xml:space="preserve">documents of </w:t>
      </w:r>
      <w:r w:rsidR="00F60A45" w:rsidRPr="007A7B7C">
        <w:t xml:space="preserve">the DCV submission </w:t>
      </w:r>
      <w:r w:rsidR="004337D9" w:rsidRPr="007A7B7C">
        <w:t>(item 5.06)</w:t>
      </w:r>
      <w:r w:rsidRPr="007A7B7C">
        <w:t>.</w:t>
      </w:r>
    </w:p>
    <w:p w:rsidR="001570C4" w:rsidRPr="001570C4" w:rsidRDefault="001570C4" w:rsidP="001570C4">
      <w:pPr>
        <w:widowControl/>
        <w:rPr>
          <w:szCs w:val="22"/>
        </w:rPr>
      </w:pPr>
    </w:p>
    <w:p w:rsidR="001570C4" w:rsidRPr="001570C4" w:rsidRDefault="001570C4" w:rsidP="00BA53D4">
      <w:pPr>
        <w:pStyle w:val="ListParagraph"/>
        <w:widowControl/>
        <w:numPr>
          <w:ilvl w:val="1"/>
          <w:numId w:val="1"/>
        </w:numPr>
        <w:rPr>
          <w:szCs w:val="22"/>
        </w:rPr>
      </w:pPr>
      <w:r w:rsidRPr="001570C4">
        <w:t xml:space="preserve">A summary of the key drivers of the model is presented </w:t>
      </w:r>
      <w:r w:rsidR="00011BBD">
        <w:t>below</w:t>
      </w:r>
      <w:r w:rsidRPr="001570C4">
        <w:t xml:space="preserve">. </w:t>
      </w:r>
    </w:p>
    <w:p w:rsidR="001570C4" w:rsidRPr="001570C4" w:rsidRDefault="001570C4" w:rsidP="001570C4">
      <w:pPr>
        <w:widowControl/>
        <w:rPr>
          <w:szCs w:val="22"/>
        </w:rPr>
      </w:pPr>
    </w:p>
    <w:p w:rsidR="001570C4" w:rsidRPr="001570C4" w:rsidRDefault="001570C4" w:rsidP="00067F12">
      <w:pPr>
        <w:keepNext/>
        <w:ind w:firstLine="720"/>
        <w:rPr>
          <w:rStyle w:val="CommentReference"/>
        </w:rPr>
      </w:pPr>
      <w:r w:rsidRPr="001570C4">
        <w:rPr>
          <w:rStyle w:val="CommentReference"/>
        </w:rPr>
        <w:t>Key drivers of the DCV+ASV model</w:t>
      </w:r>
    </w:p>
    <w:tbl>
      <w:tblPr>
        <w:tblW w:w="468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drivers of the economic model"/>
      </w:tblPr>
      <w:tblGrid>
        <w:gridCol w:w="2694"/>
        <w:gridCol w:w="3403"/>
        <w:gridCol w:w="2407"/>
      </w:tblGrid>
      <w:tr w:rsidR="001570C4" w:rsidRPr="005156AC" w:rsidTr="001570C4">
        <w:trPr>
          <w:tblHeader/>
        </w:trPr>
        <w:tc>
          <w:tcPr>
            <w:tcW w:w="1584" w:type="pct"/>
            <w:shd w:val="clear" w:color="auto" w:fill="auto"/>
            <w:vAlign w:val="center"/>
          </w:tcPr>
          <w:p w:rsidR="001570C4" w:rsidRPr="005156AC" w:rsidRDefault="001570C4" w:rsidP="001570C4">
            <w:pPr>
              <w:jc w:val="left"/>
              <w:rPr>
                <w:rFonts w:ascii="Arial Narrow" w:hAnsi="Arial Narrow"/>
                <w:b/>
                <w:sz w:val="20"/>
                <w:lang w:val="en-US"/>
              </w:rPr>
            </w:pPr>
            <w:r w:rsidRPr="005156AC">
              <w:rPr>
                <w:rFonts w:ascii="Arial Narrow" w:hAnsi="Arial Narrow"/>
                <w:b/>
                <w:sz w:val="20"/>
                <w:lang w:val="en-US"/>
              </w:rPr>
              <w:t>Description</w:t>
            </w:r>
          </w:p>
        </w:tc>
        <w:tc>
          <w:tcPr>
            <w:tcW w:w="2001" w:type="pct"/>
            <w:shd w:val="clear" w:color="auto" w:fill="auto"/>
            <w:vAlign w:val="center"/>
          </w:tcPr>
          <w:p w:rsidR="001570C4" w:rsidRPr="005156AC" w:rsidRDefault="001570C4" w:rsidP="001570C4">
            <w:pPr>
              <w:jc w:val="center"/>
              <w:rPr>
                <w:rFonts w:ascii="Arial Narrow" w:hAnsi="Arial Narrow"/>
                <w:b/>
                <w:sz w:val="20"/>
                <w:lang w:val="en-US"/>
              </w:rPr>
            </w:pPr>
            <w:r w:rsidRPr="005156AC">
              <w:rPr>
                <w:rFonts w:ascii="Arial Narrow" w:hAnsi="Arial Narrow"/>
                <w:b/>
                <w:sz w:val="20"/>
                <w:lang w:val="en-US"/>
              </w:rPr>
              <w:t>Method/Value</w:t>
            </w:r>
          </w:p>
        </w:tc>
        <w:tc>
          <w:tcPr>
            <w:tcW w:w="1415" w:type="pct"/>
            <w:shd w:val="clear" w:color="auto" w:fill="auto"/>
            <w:vAlign w:val="center"/>
          </w:tcPr>
          <w:p w:rsidR="001570C4" w:rsidRPr="005156AC" w:rsidRDefault="001570C4" w:rsidP="001570C4">
            <w:pPr>
              <w:jc w:val="center"/>
              <w:rPr>
                <w:rFonts w:ascii="Arial Narrow" w:hAnsi="Arial Narrow"/>
                <w:b/>
                <w:sz w:val="20"/>
                <w:lang w:val="en-US"/>
              </w:rPr>
            </w:pPr>
            <w:r w:rsidRPr="005156AC">
              <w:rPr>
                <w:rFonts w:ascii="Arial Narrow" w:hAnsi="Arial Narrow"/>
                <w:b/>
                <w:sz w:val="20"/>
                <w:lang w:val="en-US"/>
              </w:rPr>
              <w:t>Impact</w:t>
            </w:r>
          </w:p>
        </w:tc>
      </w:tr>
      <w:tr w:rsidR="001570C4" w:rsidRPr="005156AC" w:rsidTr="001570C4">
        <w:tc>
          <w:tcPr>
            <w:tcW w:w="1584" w:type="pct"/>
            <w:shd w:val="clear" w:color="auto" w:fill="auto"/>
            <w:vAlign w:val="center"/>
          </w:tcPr>
          <w:p w:rsidR="001570C4" w:rsidRPr="005156AC" w:rsidRDefault="001570C4" w:rsidP="001570C4">
            <w:pPr>
              <w:jc w:val="left"/>
              <w:rPr>
                <w:rFonts w:ascii="Arial Narrow" w:hAnsi="Arial Narrow"/>
                <w:sz w:val="20"/>
                <w:lang w:val="en-US"/>
              </w:rPr>
            </w:pPr>
            <w:r w:rsidRPr="005156AC">
              <w:rPr>
                <w:rFonts w:ascii="Arial Narrow" w:hAnsi="Arial Narrow"/>
                <w:sz w:val="20"/>
                <w:lang w:val="en-US"/>
              </w:rPr>
              <w:t>Utility increment due to patients achieving SVR</w:t>
            </w:r>
          </w:p>
        </w:tc>
        <w:tc>
          <w:tcPr>
            <w:tcW w:w="2001" w:type="pct"/>
            <w:shd w:val="clear" w:color="auto" w:fill="auto"/>
            <w:vAlign w:val="center"/>
          </w:tcPr>
          <w:p w:rsidR="001570C4" w:rsidRPr="005156AC" w:rsidRDefault="001570C4" w:rsidP="001570C4">
            <w:pPr>
              <w:jc w:val="left"/>
              <w:rPr>
                <w:rFonts w:ascii="Arial Narrow" w:hAnsi="Arial Narrow"/>
                <w:sz w:val="20"/>
                <w:lang w:val="en-US"/>
              </w:rPr>
            </w:pPr>
            <w:r w:rsidRPr="005156AC">
              <w:rPr>
                <w:rFonts w:ascii="Arial Narrow" w:hAnsi="Arial Narrow"/>
                <w:sz w:val="20"/>
                <w:lang w:val="en-US"/>
              </w:rPr>
              <w:t>0.05. Although this was used in some other HCV models, the PBAC considered this as a source of uncertainty when the listing of telaprevir was considered (Telaprevir PSD, November 2011 PBAC meeting)</w:t>
            </w:r>
          </w:p>
        </w:tc>
        <w:tc>
          <w:tcPr>
            <w:tcW w:w="1415" w:type="pct"/>
            <w:shd w:val="clear" w:color="auto" w:fill="auto"/>
            <w:vAlign w:val="center"/>
          </w:tcPr>
          <w:p w:rsidR="001570C4" w:rsidRPr="005156AC" w:rsidRDefault="001570C4" w:rsidP="001570C4">
            <w:pPr>
              <w:jc w:val="center"/>
              <w:rPr>
                <w:rFonts w:ascii="Arial Narrow" w:hAnsi="Arial Narrow"/>
                <w:sz w:val="20"/>
                <w:lang w:val="en-US"/>
              </w:rPr>
            </w:pPr>
            <w:r w:rsidRPr="005156AC">
              <w:rPr>
                <w:rFonts w:ascii="Arial Narrow" w:hAnsi="Arial Narrow"/>
                <w:sz w:val="20"/>
                <w:lang w:val="en-US"/>
              </w:rPr>
              <w:t>High, favours DCV+ASV</w:t>
            </w:r>
          </w:p>
        </w:tc>
      </w:tr>
      <w:tr w:rsidR="001570C4" w:rsidRPr="005156AC" w:rsidTr="001570C4">
        <w:tc>
          <w:tcPr>
            <w:tcW w:w="1584" w:type="pct"/>
            <w:shd w:val="clear" w:color="auto" w:fill="auto"/>
            <w:vAlign w:val="center"/>
          </w:tcPr>
          <w:p w:rsidR="001570C4" w:rsidRPr="005156AC" w:rsidRDefault="001570C4" w:rsidP="001570C4">
            <w:pPr>
              <w:jc w:val="left"/>
              <w:rPr>
                <w:rFonts w:ascii="Arial Narrow" w:hAnsi="Arial Narrow"/>
                <w:sz w:val="20"/>
                <w:lang w:val="en-US"/>
              </w:rPr>
            </w:pPr>
            <w:r w:rsidRPr="005156AC">
              <w:rPr>
                <w:rFonts w:ascii="Arial Narrow" w:hAnsi="Arial Narrow"/>
                <w:sz w:val="20"/>
                <w:lang w:val="en-US"/>
              </w:rPr>
              <w:t>Time horizon</w:t>
            </w:r>
          </w:p>
        </w:tc>
        <w:tc>
          <w:tcPr>
            <w:tcW w:w="2001" w:type="pct"/>
            <w:shd w:val="clear" w:color="auto" w:fill="auto"/>
            <w:vAlign w:val="center"/>
          </w:tcPr>
          <w:p w:rsidR="001570C4" w:rsidRPr="005156AC" w:rsidRDefault="001570C4" w:rsidP="001570C4">
            <w:pPr>
              <w:jc w:val="left"/>
              <w:rPr>
                <w:rFonts w:ascii="Arial Narrow" w:hAnsi="Arial Narrow"/>
                <w:sz w:val="20"/>
                <w:lang w:val="en-US"/>
              </w:rPr>
            </w:pPr>
            <w:r w:rsidRPr="005156AC">
              <w:rPr>
                <w:rFonts w:ascii="Arial Narrow" w:hAnsi="Arial Narrow"/>
                <w:sz w:val="20"/>
                <w:lang w:val="en-US"/>
              </w:rPr>
              <w:t>49 years. This was longer than the PBAC recommendation (a 30 year time horizon) for HCV economic models in other HCV submissions (7.10, Item 5.17, PSD, July 2014 PBAC meeting).</w:t>
            </w:r>
          </w:p>
        </w:tc>
        <w:tc>
          <w:tcPr>
            <w:tcW w:w="1415" w:type="pct"/>
            <w:shd w:val="clear" w:color="auto" w:fill="auto"/>
            <w:vAlign w:val="center"/>
          </w:tcPr>
          <w:p w:rsidR="001570C4" w:rsidRPr="005156AC" w:rsidRDefault="001570C4" w:rsidP="001570C4">
            <w:pPr>
              <w:jc w:val="center"/>
              <w:rPr>
                <w:rFonts w:ascii="Arial Narrow" w:hAnsi="Arial Narrow"/>
                <w:sz w:val="20"/>
                <w:lang w:val="en-US"/>
              </w:rPr>
            </w:pPr>
            <w:r w:rsidRPr="005156AC">
              <w:rPr>
                <w:rFonts w:ascii="Arial Narrow" w:hAnsi="Arial Narrow"/>
                <w:sz w:val="20"/>
                <w:lang w:val="en-US"/>
              </w:rPr>
              <w:t>Moderate, favours DCV+ASV</w:t>
            </w:r>
          </w:p>
        </w:tc>
      </w:tr>
      <w:tr w:rsidR="001570C4" w:rsidRPr="005156AC" w:rsidTr="001570C4">
        <w:tc>
          <w:tcPr>
            <w:tcW w:w="1584" w:type="pct"/>
            <w:shd w:val="clear" w:color="auto" w:fill="auto"/>
            <w:vAlign w:val="center"/>
          </w:tcPr>
          <w:p w:rsidR="001570C4" w:rsidRPr="005156AC" w:rsidRDefault="001570C4" w:rsidP="001570C4">
            <w:pPr>
              <w:jc w:val="left"/>
              <w:rPr>
                <w:rFonts w:ascii="Arial Narrow" w:hAnsi="Arial Narrow"/>
                <w:sz w:val="20"/>
                <w:lang w:val="en-US"/>
              </w:rPr>
            </w:pPr>
            <w:r w:rsidRPr="005156AC">
              <w:rPr>
                <w:rFonts w:ascii="Arial Narrow" w:hAnsi="Arial Narrow"/>
                <w:sz w:val="20"/>
                <w:lang w:val="en-US"/>
              </w:rPr>
              <w:t>Transition probabilities</w:t>
            </w:r>
          </w:p>
        </w:tc>
        <w:tc>
          <w:tcPr>
            <w:tcW w:w="2001" w:type="pct"/>
            <w:shd w:val="clear" w:color="auto" w:fill="auto"/>
            <w:vAlign w:val="center"/>
          </w:tcPr>
          <w:p w:rsidR="001570C4" w:rsidRPr="005156AC" w:rsidRDefault="001570C4" w:rsidP="001570C4">
            <w:pPr>
              <w:jc w:val="left"/>
              <w:rPr>
                <w:rFonts w:ascii="Arial Narrow" w:hAnsi="Arial Narrow"/>
                <w:sz w:val="20"/>
                <w:lang w:val="en-US"/>
              </w:rPr>
            </w:pPr>
            <w:r w:rsidRPr="005156AC">
              <w:rPr>
                <w:rFonts w:ascii="Arial Narrow" w:hAnsi="Arial Narrow"/>
                <w:sz w:val="20"/>
                <w:lang w:val="en-US"/>
              </w:rPr>
              <w:t>The model applied the transition probabilities used in the BCG report (2012).</w:t>
            </w:r>
            <w:r w:rsidRPr="005156AC">
              <w:t xml:space="preserve"> </w:t>
            </w:r>
            <w:r w:rsidRPr="005156AC">
              <w:rPr>
                <w:rFonts w:ascii="Arial Narrow" w:hAnsi="Arial Narrow"/>
                <w:sz w:val="20"/>
                <w:lang w:val="en-US"/>
              </w:rPr>
              <w:t>Many transition probabilities used in the BCG model were derived from older longitudinal studies and were likely to be overestimates (Telaprevir PSD, March 2012 PBAC meeting).</w:t>
            </w:r>
          </w:p>
        </w:tc>
        <w:tc>
          <w:tcPr>
            <w:tcW w:w="1415" w:type="pct"/>
            <w:shd w:val="clear" w:color="auto" w:fill="auto"/>
            <w:vAlign w:val="center"/>
          </w:tcPr>
          <w:p w:rsidR="001570C4" w:rsidRPr="005156AC" w:rsidRDefault="001570C4" w:rsidP="001570C4">
            <w:pPr>
              <w:jc w:val="center"/>
              <w:rPr>
                <w:rFonts w:ascii="Arial Narrow" w:hAnsi="Arial Narrow"/>
                <w:sz w:val="20"/>
                <w:lang w:val="en-US"/>
              </w:rPr>
            </w:pPr>
            <w:r w:rsidRPr="005156AC">
              <w:rPr>
                <w:rFonts w:ascii="Arial Narrow" w:hAnsi="Arial Narrow"/>
                <w:sz w:val="20"/>
                <w:lang w:val="en-US"/>
              </w:rPr>
              <w:t>Moderate, favours DCV+ASV</w:t>
            </w:r>
          </w:p>
        </w:tc>
      </w:tr>
      <w:tr w:rsidR="001570C4" w:rsidRPr="005156AC" w:rsidTr="001570C4">
        <w:tc>
          <w:tcPr>
            <w:tcW w:w="1584" w:type="pct"/>
            <w:shd w:val="clear" w:color="auto" w:fill="auto"/>
            <w:vAlign w:val="center"/>
          </w:tcPr>
          <w:p w:rsidR="001570C4" w:rsidRPr="005156AC" w:rsidRDefault="001570C4" w:rsidP="001570C4">
            <w:pPr>
              <w:jc w:val="left"/>
              <w:rPr>
                <w:rFonts w:ascii="Arial Narrow" w:hAnsi="Arial Narrow"/>
                <w:sz w:val="20"/>
                <w:lang w:val="en-US"/>
              </w:rPr>
            </w:pPr>
            <w:r w:rsidRPr="005156AC">
              <w:rPr>
                <w:rFonts w:ascii="Arial Narrow" w:hAnsi="Arial Narrow"/>
                <w:sz w:val="20"/>
                <w:lang w:val="en-US"/>
              </w:rPr>
              <w:t>SVR rate associated with DCV+ASV</w:t>
            </w:r>
          </w:p>
        </w:tc>
        <w:tc>
          <w:tcPr>
            <w:tcW w:w="2001" w:type="pct"/>
            <w:shd w:val="clear" w:color="auto" w:fill="auto"/>
            <w:vAlign w:val="center"/>
          </w:tcPr>
          <w:p w:rsidR="001570C4" w:rsidRPr="005156AC" w:rsidRDefault="001570C4" w:rsidP="001570C4">
            <w:pPr>
              <w:jc w:val="left"/>
              <w:rPr>
                <w:rFonts w:ascii="Arial Narrow" w:hAnsi="Arial Narrow"/>
                <w:sz w:val="20"/>
                <w:lang w:val="en-US"/>
              </w:rPr>
            </w:pPr>
            <w:r w:rsidRPr="005156AC">
              <w:rPr>
                <w:rFonts w:ascii="Arial Narrow" w:hAnsi="Arial Narrow"/>
                <w:sz w:val="20"/>
                <w:lang w:val="en-US"/>
              </w:rPr>
              <w:t>Concerns remained regarding the applicability of these results to the proposed population.</w:t>
            </w:r>
          </w:p>
        </w:tc>
        <w:tc>
          <w:tcPr>
            <w:tcW w:w="1415" w:type="pct"/>
            <w:shd w:val="clear" w:color="auto" w:fill="auto"/>
            <w:vAlign w:val="center"/>
          </w:tcPr>
          <w:p w:rsidR="001570C4" w:rsidRPr="005156AC" w:rsidRDefault="001570C4" w:rsidP="001570C4">
            <w:pPr>
              <w:jc w:val="center"/>
              <w:rPr>
                <w:rFonts w:ascii="Arial Narrow" w:hAnsi="Arial Narrow"/>
                <w:sz w:val="20"/>
                <w:lang w:val="en-US"/>
              </w:rPr>
            </w:pPr>
            <w:r w:rsidRPr="005156AC">
              <w:rPr>
                <w:rFonts w:ascii="Arial Narrow" w:hAnsi="Arial Narrow"/>
                <w:sz w:val="20"/>
                <w:lang w:val="en-US"/>
              </w:rPr>
              <w:t>unclear</w:t>
            </w:r>
          </w:p>
        </w:tc>
      </w:tr>
    </w:tbl>
    <w:p w:rsidR="001570C4" w:rsidRPr="005156AC" w:rsidRDefault="001570C4" w:rsidP="001570C4">
      <w:pPr>
        <w:pStyle w:val="TableFooter"/>
        <w:ind w:left="709"/>
      </w:pPr>
      <w:r w:rsidRPr="005156AC">
        <w:t>ASV = asunaprevir; BCG = Boston Consulting Group; DCV = daclatasvir; HCV = hepatitis C virus; SVR = sustained virologic rate; PSD = public summary document.</w:t>
      </w:r>
    </w:p>
    <w:p w:rsidR="001570C4" w:rsidRPr="005156AC" w:rsidRDefault="001570C4" w:rsidP="001570C4">
      <w:pPr>
        <w:pStyle w:val="TableFooter"/>
        <w:ind w:left="709"/>
      </w:pPr>
      <w:r w:rsidRPr="005156AC">
        <w:t>Source: compiled during the evaluation</w:t>
      </w:r>
    </w:p>
    <w:p w:rsidR="001570C4" w:rsidRPr="001570C4" w:rsidRDefault="001570C4" w:rsidP="001570C4">
      <w:pPr>
        <w:widowControl/>
        <w:rPr>
          <w:szCs w:val="22"/>
        </w:rPr>
      </w:pPr>
    </w:p>
    <w:p w:rsidR="001570C4" w:rsidRPr="007A7B7C" w:rsidRDefault="001570C4" w:rsidP="00BA53D4">
      <w:pPr>
        <w:pStyle w:val="ListParagraph"/>
        <w:widowControl/>
        <w:numPr>
          <w:ilvl w:val="1"/>
          <w:numId w:val="5"/>
        </w:numPr>
        <w:rPr>
          <w:szCs w:val="22"/>
        </w:rPr>
      </w:pPr>
      <w:r w:rsidRPr="001570C4">
        <w:rPr>
          <w:szCs w:val="22"/>
        </w:rPr>
        <w:t xml:space="preserve">The submission presented an economic model of DCV+ASV compared with a mixture of active treatment and no treatment (67% of patients were assumed to be treated with TVR12+PR24/48 for genotype 1b, and the remaining 33% receiving no treatment). </w:t>
      </w:r>
      <w:r w:rsidRPr="005156AC">
        <w:rPr>
          <w:szCs w:val="22"/>
        </w:rPr>
        <w:t xml:space="preserve">The </w:t>
      </w:r>
      <w:r w:rsidR="00F01FBE" w:rsidRPr="005156AC">
        <w:rPr>
          <w:szCs w:val="22"/>
        </w:rPr>
        <w:t>Commentary</w:t>
      </w:r>
      <w:r w:rsidRPr="005156AC">
        <w:rPr>
          <w:szCs w:val="22"/>
        </w:rPr>
        <w:t xml:space="preserve"> presented separate cost-effectiveness analyses of DCV+ASV versus no treatment and versus TVR+PR.</w:t>
      </w:r>
      <w:r w:rsidR="003B3887" w:rsidRPr="003B3887">
        <w:rPr>
          <w:i/>
          <w:szCs w:val="22"/>
        </w:rPr>
        <w:t xml:space="preserve"> </w:t>
      </w:r>
      <w:r w:rsidR="0048705C" w:rsidRPr="00617E00">
        <w:rPr>
          <w:szCs w:val="22"/>
        </w:rPr>
        <w:t>As noted above, t</w:t>
      </w:r>
      <w:r w:rsidR="003B3887" w:rsidRPr="00617E00">
        <w:rPr>
          <w:szCs w:val="22"/>
        </w:rPr>
        <w:t>he ESC</w:t>
      </w:r>
      <w:r w:rsidR="003B3887" w:rsidRPr="007A7B7C">
        <w:rPr>
          <w:szCs w:val="22"/>
        </w:rPr>
        <w:t xml:space="preserve"> noted that in the context of the growing preference for IFN-free therapy, the most relevant was comparator was no treatment</w:t>
      </w:r>
      <w:r w:rsidR="007A7B7C">
        <w:rPr>
          <w:szCs w:val="22"/>
        </w:rPr>
        <w:t>.</w:t>
      </w:r>
    </w:p>
    <w:p w:rsidR="001570C4" w:rsidRPr="001570C4" w:rsidRDefault="001570C4" w:rsidP="001570C4">
      <w:pPr>
        <w:pStyle w:val="ListParagraph"/>
        <w:widowControl/>
        <w:rPr>
          <w:szCs w:val="22"/>
        </w:rPr>
      </w:pPr>
    </w:p>
    <w:p w:rsidR="001570C4" w:rsidRPr="00011BBD" w:rsidRDefault="001570C4" w:rsidP="00BA53D4">
      <w:pPr>
        <w:pStyle w:val="ListParagraph"/>
        <w:widowControl/>
        <w:numPr>
          <w:ilvl w:val="1"/>
          <w:numId w:val="1"/>
        </w:numPr>
        <w:rPr>
          <w:szCs w:val="22"/>
        </w:rPr>
      </w:pPr>
      <w:r w:rsidRPr="001570C4">
        <w:lastRenderedPageBreak/>
        <w:t>The results of the ec</w:t>
      </w:r>
      <w:r w:rsidR="00863270">
        <w:t>onomic evaluation for treatment-</w:t>
      </w:r>
      <w:r w:rsidRPr="001570C4">
        <w:t xml:space="preserve">naïve HCV genotype 1b patients are summarised </w:t>
      </w:r>
      <w:r w:rsidR="00011BBD">
        <w:t>below</w:t>
      </w:r>
      <w:r w:rsidRPr="001570C4">
        <w:t>.</w:t>
      </w:r>
    </w:p>
    <w:p w:rsidR="00011BBD" w:rsidRPr="001570C4" w:rsidRDefault="00011BBD" w:rsidP="00011BBD">
      <w:pPr>
        <w:pStyle w:val="ListParagraph"/>
        <w:widowControl/>
        <w:rPr>
          <w:szCs w:val="22"/>
        </w:rPr>
      </w:pPr>
    </w:p>
    <w:p w:rsidR="001570C4" w:rsidRPr="00067F12" w:rsidRDefault="001570C4" w:rsidP="00011BBD">
      <w:pPr>
        <w:keepNext/>
        <w:keepLines/>
        <w:ind w:firstLine="720"/>
        <w:rPr>
          <w:rStyle w:val="CommentReference"/>
        </w:rPr>
      </w:pPr>
      <w:r w:rsidRPr="00067F12">
        <w:rPr>
          <w:rStyle w:val="CommentReference"/>
        </w:rPr>
        <w:t>Results of the DCV+ASV economic evaluation (versus no treatment)</w:t>
      </w:r>
    </w:p>
    <w:tbl>
      <w:tblPr>
        <w:tblW w:w="464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of the economic evaluation"/>
      </w:tblPr>
      <w:tblGrid>
        <w:gridCol w:w="1985"/>
        <w:gridCol w:w="2270"/>
        <w:gridCol w:w="2125"/>
        <w:gridCol w:w="2052"/>
      </w:tblGrid>
      <w:tr w:rsidR="001570C4" w:rsidRPr="005156AC" w:rsidTr="001570C4">
        <w:tc>
          <w:tcPr>
            <w:tcW w:w="1177" w:type="pct"/>
            <w:shd w:val="clear" w:color="auto" w:fill="D9D9D9" w:themeFill="background1" w:themeFillShade="D9"/>
          </w:tcPr>
          <w:p w:rsidR="001570C4" w:rsidRPr="005156AC" w:rsidRDefault="001570C4" w:rsidP="00011BBD">
            <w:pPr>
              <w:keepNext/>
              <w:keepLines/>
              <w:rPr>
                <w:rFonts w:ascii="Arial Narrow" w:hAnsi="Arial Narrow"/>
                <w:b/>
                <w:sz w:val="20"/>
              </w:rPr>
            </w:pPr>
          </w:p>
        </w:tc>
        <w:tc>
          <w:tcPr>
            <w:tcW w:w="1346" w:type="pct"/>
            <w:shd w:val="clear" w:color="auto" w:fill="D9D9D9" w:themeFill="background1" w:themeFillShade="D9"/>
          </w:tcPr>
          <w:p w:rsidR="001570C4" w:rsidRPr="005156AC" w:rsidRDefault="001570C4" w:rsidP="00011BBD">
            <w:pPr>
              <w:keepNext/>
              <w:keepLines/>
              <w:jc w:val="center"/>
              <w:rPr>
                <w:rFonts w:ascii="Arial Narrow" w:hAnsi="Arial Narrow"/>
                <w:b/>
                <w:sz w:val="20"/>
              </w:rPr>
            </w:pPr>
            <w:r w:rsidRPr="005156AC">
              <w:rPr>
                <w:rFonts w:ascii="Arial Narrow" w:hAnsi="Arial Narrow"/>
                <w:b/>
                <w:sz w:val="20"/>
              </w:rPr>
              <w:t>DCV24 + ASV24</w:t>
            </w:r>
          </w:p>
        </w:tc>
        <w:tc>
          <w:tcPr>
            <w:tcW w:w="1260" w:type="pct"/>
            <w:shd w:val="clear" w:color="auto" w:fill="D9D9D9" w:themeFill="background1" w:themeFillShade="D9"/>
          </w:tcPr>
          <w:p w:rsidR="001570C4" w:rsidRPr="005156AC" w:rsidRDefault="001570C4" w:rsidP="00011BBD">
            <w:pPr>
              <w:keepNext/>
              <w:keepLines/>
              <w:jc w:val="center"/>
              <w:rPr>
                <w:rFonts w:ascii="Arial Narrow" w:hAnsi="Arial Narrow"/>
                <w:b/>
                <w:sz w:val="20"/>
              </w:rPr>
            </w:pPr>
            <w:r w:rsidRPr="005156AC">
              <w:rPr>
                <w:rFonts w:ascii="Arial Narrow" w:hAnsi="Arial Narrow"/>
                <w:b/>
                <w:sz w:val="20"/>
              </w:rPr>
              <w:t>No treatment</w:t>
            </w:r>
          </w:p>
        </w:tc>
        <w:tc>
          <w:tcPr>
            <w:tcW w:w="1217" w:type="pct"/>
            <w:shd w:val="clear" w:color="auto" w:fill="D9D9D9" w:themeFill="background1" w:themeFillShade="D9"/>
          </w:tcPr>
          <w:p w:rsidR="001570C4" w:rsidRPr="005156AC" w:rsidRDefault="001570C4" w:rsidP="00011BBD">
            <w:pPr>
              <w:keepNext/>
              <w:keepLines/>
              <w:jc w:val="center"/>
              <w:rPr>
                <w:rFonts w:ascii="Arial Narrow" w:hAnsi="Arial Narrow"/>
                <w:b/>
                <w:sz w:val="20"/>
              </w:rPr>
            </w:pPr>
            <w:r w:rsidRPr="005156AC">
              <w:rPr>
                <w:rFonts w:ascii="Arial Narrow" w:hAnsi="Arial Narrow"/>
                <w:b/>
                <w:sz w:val="20"/>
              </w:rPr>
              <w:t>Increment</w:t>
            </w:r>
          </w:p>
        </w:tc>
      </w:tr>
      <w:tr w:rsidR="001570C4" w:rsidRPr="005156AC" w:rsidTr="001570C4">
        <w:tc>
          <w:tcPr>
            <w:tcW w:w="1177" w:type="pct"/>
          </w:tcPr>
          <w:p w:rsidR="001570C4" w:rsidRPr="005156AC" w:rsidRDefault="001570C4" w:rsidP="00011BBD">
            <w:pPr>
              <w:keepNext/>
              <w:keepLines/>
              <w:rPr>
                <w:rFonts w:ascii="Arial Narrow" w:hAnsi="Arial Narrow"/>
                <w:sz w:val="20"/>
              </w:rPr>
            </w:pPr>
            <w:r w:rsidRPr="005156AC">
              <w:rPr>
                <w:rFonts w:ascii="Arial Narrow" w:hAnsi="Arial Narrow"/>
                <w:sz w:val="20"/>
              </w:rPr>
              <w:t>Costs</w:t>
            </w:r>
          </w:p>
        </w:tc>
        <w:tc>
          <w:tcPr>
            <w:tcW w:w="1346" w:type="pct"/>
          </w:tcPr>
          <w:p w:rsidR="001570C4" w:rsidRPr="00134905" w:rsidRDefault="001570C4" w:rsidP="00011BBD">
            <w:pPr>
              <w:keepNext/>
              <w:keepLines/>
              <w:jc w:val="right"/>
              <w:rPr>
                <w:rFonts w:ascii="Arial Narrow" w:hAnsi="Arial Narrow"/>
                <w:sz w:val="20"/>
              </w:rPr>
            </w:pPr>
            <w:r w:rsidRPr="00134905">
              <w:rPr>
                <w:rFonts w:ascii="Arial Narrow" w:hAnsi="Arial Narrow"/>
                <w:sz w:val="20"/>
              </w:rPr>
              <w:t>$</w:t>
            </w:r>
            <w:r w:rsidR="00A54692">
              <w:rPr>
                <w:rFonts w:ascii="Arial Narrow" w:hAnsi="Arial Narrow"/>
                <w:noProof/>
                <w:color w:val="000000"/>
                <w:sz w:val="20"/>
                <w:highlight w:val="black"/>
              </w:rPr>
              <w:t>''''''''''''''''</w:t>
            </w:r>
          </w:p>
        </w:tc>
        <w:tc>
          <w:tcPr>
            <w:tcW w:w="1260" w:type="pct"/>
          </w:tcPr>
          <w:p w:rsidR="001570C4" w:rsidRPr="00A54692" w:rsidRDefault="00A54692" w:rsidP="00011BBD">
            <w:pPr>
              <w:keepNext/>
              <w:keepLines/>
              <w:jc w:val="right"/>
              <w:rPr>
                <w:rFonts w:ascii="Arial Narrow" w:hAnsi="Arial Narrow"/>
                <w:sz w:val="20"/>
                <w:highlight w:val="black"/>
              </w:rPr>
            </w:pPr>
            <w:r>
              <w:rPr>
                <w:rFonts w:ascii="Arial Narrow" w:hAnsi="Arial Narrow"/>
                <w:noProof/>
                <w:color w:val="000000"/>
                <w:sz w:val="20"/>
                <w:highlight w:val="black"/>
              </w:rPr>
              <w:t>'''''''''''''''''''</w:t>
            </w:r>
          </w:p>
        </w:tc>
        <w:tc>
          <w:tcPr>
            <w:tcW w:w="1217" w:type="pct"/>
          </w:tcPr>
          <w:p w:rsidR="001570C4" w:rsidRPr="00134905" w:rsidRDefault="001570C4" w:rsidP="00011BBD">
            <w:pPr>
              <w:keepNext/>
              <w:keepLines/>
              <w:jc w:val="right"/>
              <w:rPr>
                <w:rFonts w:ascii="Arial Narrow" w:hAnsi="Arial Narrow"/>
                <w:sz w:val="20"/>
              </w:rPr>
            </w:pPr>
            <w:r w:rsidRPr="00134905">
              <w:rPr>
                <w:rFonts w:ascii="Arial Narrow" w:hAnsi="Arial Narrow"/>
                <w:sz w:val="20"/>
              </w:rPr>
              <w:t>$</w:t>
            </w:r>
            <w:r w:rsidR="00A54692">
              <w:rPr>
                <w:rFonts w:ascii="Arial Narrow" w:hAnsi="Arial Narrow"/>
                <w:noProof/>
                <w:color w:val="000000"/>
                <w:sz w:val="20"/>
                <w:highlight w:val="black"/>
              </w:rPr>
              <w:t>'''''''''''''''''</w:t>
            </w:r>
          </w:p>
        </w:tc>
      </w:tr>
      <w:tr w:rsidR="001570C4" w:rsidRPr="005156AC" w:rsidTr="001570C4">
        <w:tc>
          <w:tcPr>
            <w:tcW w:w="1177" w:type="pct"/>
          </w:tcPr>
          <w:p w:rsidR="001570C4" w:rsidRPr="005156AC" w:rsidRDefault="001570C4" w:rsidP="00011BBD">
            <w:pPr>
              <w:keepNext/>
              <w:keepLines/>
              <w:rPr>
                <w:rFonts w:ascii="Arial Narrow" w:hAnsi="Arial Narrow"/>
                <w:sz w:val="20"/>
              </w:rPr>
            </w:pPr>
            <w:r w:rsidRPr="005156AC">
              <w:rPr>
                <w:rFonts w:ascii="Arial Narrow" w:hAnsi="Arial Narrow"/>
                <w:sz w:val="20"/>
              </w:rPr>
              <w:t>QALYs</w:t>
            </w:r>
            <w:r w:rsidRPr="005156AC">
              <w:rPr>
                <w:rFonts w:ascii="Arial Narrow" w:hAnsi="Arial Narrow"/>
                <w:sz w:val="20"/>
                <w:vertAlign w:val="superscript"/>
              </w:rPr>
              <w:t>a</w:t>
            </w:r>
          </w:p>
        </w:tc>
        <w:tc>
          <w:tcPr>
            <w:tcW w:w="1346" w:type="pct"/>
            <w:vAlign w:val="bottom"/>
          </w:tcPr>
          <w:p w:rsidR="001570C4" w:rsidRPr="00134905" w:rsidRDefault="001570C4" w:rsidP="00011BBD">
            <w:pPr>
              <w:keepNext/>
              <w:keepLines/>
              <w:jc w:val="center"/>
              <w:rPr>
                <w:rFonts w:ascii="Arial Narrow" w:hAnsi="Arial Narrow"/>
                <w:sz w:val="20"/>
              </w:rPr>
            </w:pPr>
            <w:r w:rsidRPr="00134905">
              <w:rPr>
                <w:rFonts w:ascii="Arial Narrow" w:hAnsi="Arial Narrow"/>
                <w:sz w:val="20"/>
              </w:rPr>
              <w:t>11.524</w:t>
            </w:r>
          </w:p>
        </w:tc>
        <w:tc>
          <w:tcPr>
            <w:tcW w:w="1260" w:type="pct"/>
            <w:vAlign w:val="bottom"/>
          </w:tcPr>
          <w:p w:rsidR="001570C4" w:rsidRPr="00134905" w:rsidRDefault="001570C4" w:rsidP="00011BBD">
            <w:pPr>
              <w:keepNext/>
              <w:keepLines/>
              <w:jc w:val="center"/>
              <w:rPr>
                <w:rFonts w:ascii="Arial Narrow" w:hAnsi="Arial Narrow"/>
                <w:sz w:val="20"/>
              </w:rPr>
            </w:pPr>
            <w:r w:rsidRPr="00134905">
              <w:rPr>
                <w:rFonts w:ascii="Arial Narrow" w:hAnsi="Arial Narrow"/>
                <w:sz w:val="20"/>
              </w:rPr>
              <w:t>9.883</w:t>
            </w:r>
          </w:p>
        </w:tc>
        <w:tc>
          <w:tcPr>
            <w:tcW w:w="1217" w:type="pct"/>
            <w:vAlign w:val="bottom"/>
          </w:tcPr>
          <w:p w:rsidR="001570C4" w:rsidRPr="00134905" w:rsidRDefault="001570C4" w:rsidP="00011BBD">
            <w:pPr>
              <w:keepNext/>
              <w:keepLines/>
              <w:jc w:val="center"/>
              <w:rPr>
                <w:rFonts w:ascii="Arial Narrow" w:hAnsi="Arial Narrow"/>
                <w:sz w:val="20"/>
              </w:rPr>
            </w:pPr>
            <w:r w:rsidRPr="00134905">
              <w:rPr>
                <w:rFonts w:ascii="Arial Narrow" w:hAnsi="Arial Narrow"/>
                <w:sz w:val="20"/>
              </w:rPr>
              <w:t>1.641</w:t>
            </w:r>
          </w:p>
        </w:tc>
      </w:tr>
      <w:tr w:rsidR="001570C4" w:rsidRPr="005156AC" w:rsidTr="001570C4">
        <w:tc>
          <w:tcPr>
            <w:tcW w:w="3783" w:type="pct"/>
            <w:gridSpan w:val="3"/>
            <w:tcBorders>
              <w:bottom w:val="single" w:sz="4" w:space="0" w:color="auto"/>
            </w:tcBorders>
          </w:tcPr>
          <w:p w:rsidR="001570C4" w:rsidRPr="00134905" w:rsidRDefault="001570C4" w:rsidP="00011BBD">
            <w:pPr>
              <w:keepNext/>
              <w:keepLines/>
              <w:rPr>
                <w:rFonts w:ascii="Arial Narrow" w:hAnsi="Arial Narrow"/>
                <w:b/>
                <w:sz w:val="20"/>
              </w:rPr>
            </w:pPr>
            <w:r w:rsidRPr="00134905">
              <w:rPr>
                <w:rFonts w:ascii="Arial Narrow" w:hAnsi="Arial Narrow"/>
                <w:b/>
                <w:sz w:val="20"/>
              </w:rPr>
              <w:t>Incremental cost/extra QALY gained</w:t>
            </w:r>
          </w:p>
        </w:tc>
        <w:tc>
          <w:tcPr>
            <w:tcW w:w="1217" w:type="pct"/>
            <w:tcBorders>
              <w:bottom w:val="single" w:sz="4" w:space="0" w:color="auto"/>
            </w:tcBorders>
          </w:tcPr>
          <w:p w:rsidR="001570C4" w:rsidRPr="00134905" w:rsidRDefault="001570C4" w:rsidP="00011BBD">
            <w:pPr>
              <w:keepNext/>
              <w:keepLines/>
              <w:jc w:val="right"/>
              <w:rPr>
                <w:rFonts w:ascii="Arial Narrow" w:hAnsi="Arial Narrow"/>
                <w:b/>
                <w:sz w:val="20"/>
              </w:rPr>
            </w:pPr>
            <w:r w:rsidRPr="00134905">
              <w:rPr>
                <w:rFonts w:ascii="Arial Narrow" w:hAnsi="Arial Narrow"/>
                <w:b/>
                <w:sz w:val="20"/>
              </w:rPr>
              <w:t>$</w:t>
            </w:r>
            <w:r w:rsidR="00A54692">
              <w:rPr>
                <w:rFonts w:ascii="Arial Narrow" w:hAnsi="Arial Narrow"/>
                <w:b/>
                <w:noProof/>
                <w:color w:val="000000"/>
                <w:sz w:val="20"/>
                <w:highlight w:val="black"/>
              </w:rPr>
              <w:t>'''''''''''''</w:t>
            </w:r>
          </w:p>
        </w:tc>
      </w:tr>
      <w:tr w:rsidR="001570C4" w:rsidRPr="005156AC" w:rsidTr="001570C4">
        <w:tc>
          <w:tcPr>
            <w:tcW w:w="1177" w:type="pct"/>
            <w:shd w:val="clear" w:color="auto" w:fill="D9D9D9" w:themeFill="background1" w:themeFillShade="D9"/>
          </w:tcPr>
          <w:p w:rsidR="001570C4" w:rsidRPr="005156AC" w:rsidRDefault="001570C4" w:rsidP="00011BBD">
            <w:pPr>
              <w:keepNext/>
              <w:keepLines/>
              <w:rPr>
                <w:rFonts w:ascii="Arial Narrow" w:hAnsi="Arial Narrow"/>
                <w:b/>
                <w:sz w:val="20"/>
              </w:rPr>
            </w:pPr>
          </w:p>
        </w:tc>
        <w:tc>
          <w:tcPr>
            <w:tcW w:w="1346" w:type="pct"/>
            <w:shd w:val="clear" w:color="auto" w:fill="D9D9D9" w:themeFill="background1" w:themeFillShade="D9"/>
          </w:tcPr>
          <w:p w:rsidR="001570C4" w:rsidRPr="00134905" w:rsidRDefault="001570C4" w:rsidP="00011BBD">
            <w:pPr>
              <w:keepNext/>
              <w:keepLines/>
              <w:jc w:val="center"/>
              <w:rPr>
                <w:rFonts w:ascii="Arial Narrow" w:hAnsi="Arial Narrow"/>
                <w:b/>
                <w:sz w:val="20"/>
              </w:rPr>
            </w:pPr>
            <w:r w:rsidRPr="00134905">
              <w:rPr>
                <w:rFonts w:ascii="Arial Narrow" w:hAnsi="Arial Narrow"/>
                <w:b/>
                <w:sz w:val="20"/>
              </w:rPr>
              <w:t>DCV24 + ASV24</w:t>
            </w:r>
          </w:p>
        </w:tc>
        <w:tc>
          <w:tcPr>
            <w:tcW w:w="1260" w:type="pct"/>
            <w:shd w:val="clear" w:color="auto" w:fill="D9D9D9" w:themeFill="background1" w:themeFillShade="D9"/>
          </w:tcPr>
          <w:p w:rsidR="001570C4" w:rsidRPr="00134905" w:rsidRDefault="001570C4" w:rsidP="00011BBD">
            <w:pPr>
              <w:keepNext/>
              <w:keepLines/>
              <w:jc w:val="center"/>
              <w:rPr>
                <w:rFonts w:ascii="Arial Narrow" w:hAnsi="Arial Narrow"/>
                <w:b/>
                <w:sz w:val="20"/>
              </w:rPr>
            </w:pPr>
            <w:r w:rsidRPr="00134905">
              <w:rPr>
                <w:rFonts w:ascii="Arial Narrow" w:hAnsi="Arial Narrow"/>
                <w:b/>
                <w:sz w:val="20"/>
              </w:rPr>
              <w:t>TVR12+PR24/48</w:t>
            </w:r>
            <w:r w:rsidR="005E0D40" w:rsidRPr="00134905">
              <w:rPr>
                <w:rFonts w:ascii="Arial Narrow" w:hAnsi="Arial Narrow"/>
                <w:b/>
                <w:sz w:val="20"/>
                <w:vertAlign w:val="superscript"/>
              </w:rPr>
              <w:t>b</w:t>
            </w:r>
          </w:p>
        </w:tc>
        <w:tc>
          <w:tcPr>
            <w:tcW w:w="1217" w:type="pct"/>
            <w:shd w:val="clear" w:color="auto" w:fill="D9D9D9" w:themeFill="background1" w:themeFillShade="D9"/>
          </w:tcPr>
          <w:p w:rsidR="001570C4" w:rsidRPr="00134905" w:rsidRDefault="001570C4" w:rsidP="00011BBD">
            <w:pPr>
              <w:keepNext/>
              <w:keepLines/>
              <w:jc w:val="center"/>
              <w:rPr>
                <w:rFonts w:ascii="Arial Narrow" w:hAnsi="Arial Narrow"/>
                <w:b/>
                <w:sz w:val="20"/>
              </w:rPr>
            </w:pPr>
            <w:r w:rsidRPr="00134905">
              <w:rPr>
                <w:rFonts w:ascii="Arial Narrow" w:hAnsi="Arial Narrow"/>
                <w:b/>
                <w:sz w:val="20"/>
              </w:rPr>
              <w:t>Increment</w:t>
            </w:r>
          </w:p>
        </w:tc>
      </w:tr>
      <w:tr w:rsidR="001570C4" w:rsidRPr="005156AC" w:rsidTr="001570C4">
        <w:tc>
          <w:tcPr>
            <w:tcW w:w="1177" w:type="pct"/>
          </w:tcPr>
          <w:p w:rsidR="001570C4" w:rsidRPr="005156AC" w:rsidRDefault="001570C4" w:rsidP="00011BBD">
            <w:pPr>
              <w:keepNext/>
              <w:keepLines/>
              <w:rPr>
                <w:rFonts w:ascii="Arial Narrow" w:hAnsi="Arial Narrow"/>
                <w:sz w:val="20"/>
              </w:rPr>
            </w:pPr>
            <w:r w:rsidRPr="005156AC">
              <w:rPr>
                <w:rFonts w:ascii="Arial Narrow" w:hAnsi="Arial Narrow"/>
                <w:sz w:val="20"/>
              </w:rPr>
              <w:t>Costs</w:t>
            </w:r>
          </w:p>
        </w:tc>
        <w:tc>
          <w:tcPr>
            <w:tcW w:w="1346" w:type="pct"/>
          </w:tcPr>
          <w:p w:rsidR="001570C4" w:rsidRPr="00134905" w:rsidRDefault="001570C4" w:rsidP="00011BBD">
            <w:pPr>
              <w:keepNext/>
              <w:keepLines/>
              <w:jc w:val="right"/>
              <w:rPr>
                <w:rFonts w:ascii="Arial Narrow" w:hAnsi="Arial Narrow"/>
                <w:sz w:val="20"/>
              </w:rPr>
            </w:pPr>
            <w:r w:rsidRPr="00134905">
              <w:rPr>
                <w:rFonts w:ascii="Arial Narrow" w:hAnsi="Arial Narrow"/>
                <w:sz w:val="20"/>
              </w:rPr>
              <w:t>$</w:t>
            </w:r>
            <w:r w:rsidR="00A54692">
              <w:rPr>
                <w:rFonts w:ascii="Arial Narrow" w:hAnsi="Arial Narrow"/>
                <w:noProof/>
                <w:color w:val="000000"/>
                <w:sz w:val="20"/>
                <w:highlight w:val="black"/>
              </w:rPr>
              <w:t>''''''''''''''''''</w:t>
            </w:r>
          </w:p>
        </w:tc>
        <w:tc>
          <w:tcPr>
            <w:tcW w:w="1260" w:type="pct"/>
            <w:vAlign w:val="bottom"/>
          </w:tcPr>
          <w:p w:rsidR="001570C4" w:rsidRPr="00A54692" w:rsidRDefault="00A54692" w:rsidP="00011BBD">
            <w:pPr>
              <w:keepNext/>
              <w:keepLines/>
              <w:jc w:val="right"/>
              <w:rPr>
                <w:rFonts w:ascii="Arial Narrow" w:hAnsi="Arial Narrow"/>
                <w:sz w:val="20"/>
                <w:highlight w:val="black"/>
              </w:rPr>
            </w:pPr>
            <w:r>
              <w:rPr>
                <w:rFonts w:ascii="Arial Narrow" w:hAnsi="Arial Narrow"/>
                <w:noProof/>
                <w:color w:val="000000"/>
                <w:sz w:val="20"/>
                <w:highlight w:val="black"/>
              </w:rPr>
              <w:t>'''''''''''''''''''</w:t>
            </w:r>
          </w:p>
        </w:tc>
        <w:tc>
          <w:tcPr>
            <w:tcW w:w="1217" w:type="pct"/>
            <w:vAlign w:val="bottom"/>
          </w:tcPr>
          <w:p w:rsidR="001570C4" w:rsidRPr="00134905" w:rsidRDefault="001570C4" w:rsidP="00011BBD">
            <w:pPr>
              <w:keepNext/>
              <w:keepLines/>
              <w:jc w:val="right"/>
              <w:rPr>
                <w:rFonts w:ascii="Arial Narrow" w:hAnsi="Arial Narrow"/>
                <w:sz w:val="20"/>
              </w:rPr>
            </w:pPr>
            <w:r w:rsidRPr="00134905">
              <w:rPr>
                <w:rFonts w:ascii="Arial Narrow" w:hAnsi="Arial Narrow"/>
                <w:color w:val="000000"/>
                <w:sz w:val="20"/>
              </w:rPr>
              <w:t>$</w:t>
            </w:r>
            <w:r w:rsidR="00A54692">
              <w:rPr>
                <w:rFonts w:ascii="Arial Narrow" w:hAnsi="Arial Narrow"/>
                <w:noProof/>
                <w:color w:val="000000"/>
                <w:sz w:val="20"/>
                <w:highlight w:val="black"/>
              </w:rPr>
              <w:t>'''''''''</w:t>
            </w:r>
          </w:p>
        </w:tc>
      </w:tr>
      <w:tr w:rsidR="001570C4" w:rsidRPr="005156AC" w:rsidTr="001570C4">
        <w:tc>
          <w:tcPr>
            <w:tcW w:w="1177" w:type="pct"/>
          </w:tcPr>
          <w:p w:rsidR="001570C4" w:rsidRPr="005156AC" w:rsidRDefault="001570C4" w:rsidP="00011BBD">
            <w:pPr>
              <w:keepNext/>
              <w:keepLines/>
              <w:rPr>
                <w:rFonts w:ascii="Arial Narrow" w:hAnsi="Arial Narrow"/>
                <w:sz w:val="20"/>
              </w:rPr>
            </w:pPr>
            <w:r w:rsidRPr="005156AC">
              <w:rPr>
                <w:rFonts w:ascii="Arial Narrow" w:hAnsi="Arial Narrow"/>
                <w:sz w:val="20"/>
              </w:rPr>
              <w:t>QALYs</w:t>
            </w:r>
            <w:r w:rsidRPr="005156AC">
              <w:rPr>
                <w:rFonts w:ascii="Arial Narrow" w:hAnsi="Arial Narrow"/>
                <w:sz w:val="20"/>
                <w:vertAlign w:val="superscript"/>
              </w:rPr>
              <w:t>a</w:t>
            </w:r>
          </w:p>
        </w:tc>
        <w:tc>
          <w:tcPr>
            <w:tcW w:w="1346" w:type="pct"/>
            <w:vAlign w:val="bottom"/>
          </w:tcPr>
          <w:p w:rsidR="001570C4" w:rsidRPr="00134905" w:rsidRDefault="001570C4" w:rsidP="00011BBD">
            <w:pPr>
              <w:keepNext/>
              <w:keepLines/>
              <w:jc w:val="center"/>
              <w:rPr>
                <w:rFonts w:ascii="Arial Narrow" w:hAnsi="Arial Narrow"/>
                <w:sz w:val="20"/>
              </w:rPr>
            </w:pPr>
            <w:r w:rsidRPr="00134905">
              <w:rPr>
                <w:rFonts w:ascii="Arial Narrow" w:hAnsi="Arial Narrow"/>
                <w:sz w:val="20"/>
              </w:rPr>
              <w:t>11.524</w:t>
            </w:r>
          </w:p>
        </w:tc>
        <w:tc>
          <w:tcPr>
            <w:tcW w:w="1260" w:type="pct"/>
            <w:vAlign w:val="bottom"/>
          </w:tcPr>
          <w:p w:rsidR="001570C4" w:rsidRPr="00134905" w:rsidRDefault="001570C4" w:rsidP="00011BBD">
            <w:pPr>
              <w:keepNext/>
              <w:keepLines/>
              <w:jc w:val="center"/>
              <w:rPr>
                <w:rFonts w:ascii="Arial Narrow" w:hAnsi="Arial Narrow"/>
                <w:sz w:val="20"/>
              </w:rPr>
            </w:pPr>
            <w:r w:rsidRPr="00134905">
              <w:rPr>
                <w:rFonts w:ascii="Arial Narrow" w:hAnsi="Arial Narrow"/>
                <w:color w:val="000000"/>
                <w:sz w:val="20"/>
              </w:rPr>
              <w:t>11.434</w:t>
            </w:r>
          </w:p>
        </w:tc>
        <w:tc>
          <w:tcPr>
            <w:tcW w:w="1217" w:type="pct"/>
            <w:vAlign w:val="bottom"/>
          </w:tcPr>
          <w:p w:rsidR="001570C4" w:rsidRPr="00134905" w:rsidRDefault="001570C4" w:rsidP="00011BBD">
            <w:pPr>
              <w:keepNext/>
              <w:keepLines/>
              <w:jc w:val="center"/>
              <w:rPr>
                <w:rFonts w:ascii="Arial Narrow" w:hAnsi="Arial Narrow"/>
                <w:sz w:val="20"/>
              </w:rPr>
            </w:pPr>
            <w:r w:rsidRPr="00134905">
              <w:rPr>
                <w:rFonts w:ascii="Arial Narrow" w:hAnsi="Arial Narrow"/>
                <w:color w:val="000000"/>
                <w:sz w:val="20"/>
              </w:rPr>
              <w:t>0.090</w:t>
            </w:r>
          </w:p>
        </w:tc>
      </w:tr>
      <w:tr w:rsidR="001570C4" w:rsidRPr="005156AC" w:rsidTr="001570C4">
        <w:tc>
          <w:tcPr>
            <w:tcW w:w="3783" w:type="pct"/>
            <w:gridSpan w:val="3"/>
          </w:tcPr>
          <w:p w:rsidR="001570C4" w:rsidRPr="00134905" w:rsidRDefault="001570C4" w:rsidP="00011BBD">
            <w:pPr>
              <w:keepNext/>
              <w:keepLines/>
              <w:rPr>
                <w:rFonts w:ascii="Arial Narrow" w:hAnsi="Arial Narrow"/>
                <w:b/>
                <w:sz w:val="20"/>
              </w:rPr>
            </w:pPr>
            <w:r w:rsidRPr="00134905">
              <w:rPr>
                <w:rFonts w:ascii="Arial Narrow" w:hAnsi="Arial Narrow"/>
                <w:b/>
                <w:sz w:val="20"/>
              </w:rPr>
              <w:t>Incremental cost/extra QALY gained</w:t>
            </w:r>
          </w:p>
        </w:tc>
        <w:tc>
          <w:tcPr>
            <w:tcW w:w="1217" w:type="pct"/>
          </w:tcPr>
          <w:p w:rsidR="001570C4" w:rsidRPr="00134905" w:rsidRDefault="001570C4" w:rsidP="00011BBD">
            <w:pPr>
              <w:keepNext/>
              <w:keepLines/>
              <w:jc w:val="right"/>
              <w:rPr>
                <w:rFonts w:ascii="Arial Narrow" w:hAnsi="Arial Narrow"/>
                <w:b/>
                <w:sz w:val="20"/>
              </w:rPr>
            </w:pPr>
            <w:r w:rsidRPr="00134905">
              <w:rPr>
                <w:rFonts w:ascii="Arial Narrow" w:hAnsi="Arial Narrow"/>
                <w:b/>
                <w:sz w:val="20"/>
              </w:rPr>
              <w:t>$</w:t>
            </w:r>
            <w:r w:rsidR="00A54692">
              <w:rPr>
                <w:rFonts w:ascii="Arial Narrow" w:hAnsi="Arial Narrow"/>
                <w:b/>
                <w:noProof/>
                <w:color w:val="000000"/>
                <w:sz w:val="20"/>
                <w:highlight w:val="black"/>
              </w:rPr>
              <w:t>''''''''''</w:t>
            </w:r>
          </w:p>
        </w:tc>
      </w:tr>
    </w:tbl>
    <w:p w:rsidR="001570C4" w:rsidRPr="001570C4" w:rsidRDefault="001570C4" w:rsidP="00011BBD">
      <w:pPr>
        <w:pStyle w:val="TableFooter"/>
        <w:keepNext/>
        <w:keepLines/>
        <w:ind w:left="709"/>
      </w:pPr>
      <w:r w:rsidRPr="001570C4">
        <w:t>ASV = asunaprevir; DCV = daclatasvir; HCV = hepatitis C virus; PR = peginterferon and ribavirin; QALY = quality-adjusted life year; TVR = telaprevir</w:t>
      </w:r>
    </w:p>
    <w:p w:rsidR="001570C4" w:rsidRDefault="001570C4" w:rsidP="00011BBD">
      <w:pPr>
        <w:pStyle w:val="TableFooter"/>
        <w:keepNext/>
        <w:keepLines/>
        <w:ind w:left="709"/>
        <w:rPr>
          <w:i/>
          <w:snapToGrid/>
          <w:lang w:eastAsia="en-AU"/>
        </w:rPr>
      </w:pPr>
      <w:r w:rsidRPr="001570C4">
        <w:rPr>
          <w:i/>
          <w:snapToGrid/>
          <w:vertAlign w:val="superscript"/>
          <w:lang w:eastAsia="en-AU"/>
        </w:rPr>
        <w:t>a</w:t>
      </w:r>
      <w:r w:rsidRPr="001570C4">
        <w:rPr>
          <w:i/>
          <w:snapToGrid/>
          <w:lang w:eastAsia="en-AU"/>
        </w:rPr>
        <w:t xml:space="preserve"> Using a utility value of 0.60 for the F4(SVR) health state.</w:t>
      </w:r>
    </w:p>
    <w:p w:rsidR="005E0D40" w:rsidRPr="001570C4" w:rsidRDefault="004B3454" w:rsidP="00011BBD">
      <w:pPr>
        <w:pStyle w:val="TableFooter"/>
        <w:keepNext/>
        <w:keepLines/>
        <w:ind w:left="709"/>
        <w:rPr>
          <w:i/>
          <w:snapToGrid/>
          <w:lang w:eastAsia="en-AU"/>
        </w:rPr>
      </w:pPr>
      <w:r w:rsidRPr="004B3454">
        <w:rPr>
          <w:i/>
          <w:snapToGrid/>
          <w:vertAlign w:val="superscript"/>
          <w:lang w:eastAsia="en-AU"/>
        </w:rPr>
        <w:t>b</w:t>
      </w:r>
      <w:r w:rsidRPr="004B3454">
        <w:rPr>
          <w:i/>
          <w:snapToGrid/>
          <w:lang w:eastAsia="en-AU"/>
        </w:rPr>
        <w:t xml:space="preserve"> Assuming an SVR rate of 83.8% </w:t>
      </w:r>
      <w:r>
        <w:rPr>
          <w:i/>
          <w:snapToGrid/>
          <w:lang w:eastAsia="en-AU"/>
        </w:rPr>
        <w:t xml:space="preserve">(SVR rate in genotype 1b patients in ADVANCE trial) for </w:t>
      </w:r>
      <w:r w:rsidRPr="004B3454">
        <w:rPr>
          <w:i/>
          <w:snapToGrid/>
          <w:lang w:eastAsia="en-AU"/>
        </w:rPr>
        <w:t xml:space="preserve">patients </w:t>
      </w:r>
      <w:r>
        <w:rPr>
          <w:i/>
          <w:snapToGrid/>
          <w:lang w:eastAsia="en-AU"/>
        </w:rPr>
        <w:t>treated with</w:t>
      </w:r>
      <w:r w:rsidRPr="004B3454">
        <w:rPr>
          <w:i/>
          <w:snapToGrid/>
          <w:lang w:eastAsia="en-AU"/>
        </w:rPr>
        <w:t xml:space="preserve"> TVR+PR</w:t>
      </w:r>
    </w:p>
    <w:p w:rsidR="001570C4" w:rsidRPr="001570C4" w:rsidRDefault="001570C4" w:rsidP="001570C4">
      <w:pPr>
        <w:pStyle w:val="TableFooter"/>
        <w:ind w:left="709"/>
      </w:pPr>
      <w:r w:rsidRPr="001570C4">
        <w:t xml:space="preserve">Source: </w:t>
      </w:r>
      <w:r w:rsidRPr="001570C4">
        <w:rPr>
          <w:snapToGrid/>
          <w:lang w:eastAsia="en-AU"/>
        </w:rPr>
        <w:t>Compiled during the evaluation from “DCV Economic Evaluation.xlsx” workbook</w:t>
      </w:r>
      <w:r w:rsidRPr="001570C4">
        <w:t xml:space="preserve"> </w:t>
      </w:r>
    </w:p>
    <w:p w:rsidR="001570C4" w:rsidRPr="001570C4" w:rsidRDefault="001570C4" w:rsidP="001570C4">
      <w:pPr>
        <w:widowControl/>
        <w:rPr>
          <w:szCs w:val="22"/>
        </w:rPr>
      </w:pPr>
    </w:p>
    <w:p w:rsidR="001570C4" w:rsidRPr="005156AC" w:rsidRDefault="001570C4" w:rsidP="00BA53D4">
      <w:pPr>
        <w:pStyle w:val="ListParagraph"/>
        <w:widowControl/>
        <w:numPr>
          <w:ilvl w:val="1"/>
          <w:numId w:val="1"/>
        </w:numPr>
      </w:pPr>
      <w:r w:rsidRPr="005156AC">
        <w:t xml:space="preserve">The </w:t>
      </w:r>
      <w:r w:rsidR="003E4FE7">
        <w:t>concerns</w:t>
      </w:r>
      <w:r w:rsidRPr="005156AC">
        <w:t xml:space="preserve"> with regard to the economic evaluation of DCV+ASV included:</w:t>
      </w:r>
    </w:p>
    <w:p w:rsidR="001570C4" w:rsidRPr="005156AC" w:rsidRDefault="001570C4" w:rsidP="00BA53D4">
      <w:pPr>
        <w:pStyle w:val="ListParagraph"/>
        <w:widowControl/>
        <w:numPr>
          <w:ilvl w:val="0"/>
          <w:numId w:val="6"/>
        </w:numPr>
        <w:ind w:left="1276"/>
      </w:pPr>
      <w:r w:rsidRPr="005156AC">
        <w:t>The applicability of the SVR results from the DCV+ASV clinical studies to the Australian setting;</w:t>
      </w:r>
    </w:p>
    <w:p w:rsidR="003E4FE7" w:rsidRDefault="001570C4" w:rsidP="003E4FE7">
      <w:pPr>
        <w:pStyle w:val="ListParagraph"/>
        <w:widowControl/>
        <w:numPr>
          <w:ilvl w:val="0"/>
          <w:numId w:val="6"/>
        </w:numPr>
        <w:ind w:left="1276"/>
      </w:pPr>
      <w:r w:rsidRPr="005156AC">
        <w:t xml:space="preserve">The </w:t>
      </w:r>
      <w:r w:rsidRPr="00E61B0E">
        <w:t>exchangeability of the populations between the DCV+ASV and TVR+PR studies</w:t>
      </w:r>
      <w:r w:rsidR="00E61B0E">
        <w:t>;</w:t>
      </w:r>
    </w:p>
    <w:p w:rsidR="00F20B69" w:rsidRDefault="003E4FE7" w:rsidP="00F20B69">
      <w:pPr>
        <w:pStyle w:val="ListParagraph"/>
        <w:widowControl/>
        <w:numPr>
          <w:ilvl w:val="0"/>
          <w:numId w:val="6"/>
        </w:numPr>
        <w:ind w:left="1276"/>
      </w:pPr>
      <w:r w:rsidRPr="003F5BE5">
        <w:t>The time horizon of the model was longer than the PBAC had advised for other HCV models (49 years vs 30 years);</w:t>
      </w:r>
      <w:r w:rsidR="00F20B69" w:rsidRPr="00F20B69">
        <w:t xml:space="preserve"> </w:t>
      </w:r>
    </w:p>
    <w:p w:rsidR="00F20B69" w:rsidRDefault="00F20B69" w:rsidP="00F20B69">
      <w:pPr>
        <w:pStyle w:val="ListParagraph"/>
        <w:widowControl/>
        <w:numPr>
          <w:ilvl w:val="0"/>
          <w:numId w:val="6"/>
        </w:numPr>
        <w:ind w:left="1276"/>
      </w:pPr>
      <w:r w:rsidRPr="003F5BE5">
        <w:t xml:space="preserve">Transition probabilities between early health states of HCV infection (eg from mild to moderate HCV and from moderate HCV to compensated cirrhosis) were </w:t>
      </w:r>
      <w:r>
        <w:t>taken</w:t>
      </w:r>
      <w:r w:rsidRPr="003F5BE5">
        <w:t xml:space="preserve"> from old</w:t>
      </w:r>
      <w:r>
        <w:t>er</w:t>
      </w:r>
      <w:r w:rsidRPr="003F5BE5">
        <w:t xml:space="preserve"> studies and likely to be overestimated The transition probabilities in the</w:t>
      </w:r>
      <w:r>
        <w:t xml:space="preserve"> National Institute of Health and Care Excellence </w:t>
      </w:r>
      <w:r w:rsidRPr="005156AC">
        <w:t>(NICE</w:t>
      </w:r>
      <w:r>
        <w:t xml:space="preserve">) </w:t>
      </w:r>
      <w:r w:rsidRPr="00464929">
        <w:t>Health Technology Assessment report</w:t>
      </w:r>
      <w:r w:rsidRPr="005156AC">
        <w:t xml:space="preserve"> model </w:t>
      </w:r>
      <w:r>
        <w:t xml:space="preserve">of assessing HCV medicines </w:t>
      </w:r>
      <w:r w:rsidRPr="003F5BE5">
        <w:t>were used in sensitivity analyses to address this issue; and</w:t>
      </w:r>
    </w:p>
    <w:p w:rsidR="00F20B69" w:rsidRDefault="00F20B69" w:rsidP="00F20B69">
      <w:pPr>
        <w:pStyle w:val="ListParagraph"/>
        <w:widowControl/>
        <w:numPr>
          <w:ilvl w:val="0"/>
          <w:numId w:val="6"/>
        </w:numPr>
        <w:ind w:left="1276"/>
      </w:pPr>
      <w:r w:rsidRPr="003F5BE5">
        <w:t xml:space="preserve">Utility increment as a consequence of having an </w:t>
      </w:r>
      <w:r w:rsidRPr="00632F5B">
        <w:t>SVR was assumed to be 0.05 in the submission.</w:t>
      </w:r>
      <w:r>
        <w:t xml:space="preserve"> The assumption</w:t>
      </w:r>
      <w:r w:rsidRPr="00632F5B">
        <w:t xml:space="preserve"> that patients in viral positive health states have a lower quality of life than those who achieve sustained virological response</w:t>
      </w:r>
      <w:r>
        <w:t xml:space="preserve"> was explored in sensitivity analysis. Assumptions included no utility gain from achieving an SVR (see table below) and 0.041 as presented in the NICE report (PSCR).</w:t>
      </w:r>
    </w:p>
    <w:p w:rsidR="001570C4" w:rsidRPr="001570C4" w:rsidRDefault="001570C4" w:rsidP="001570C4">
      <w:pPr>
        <w:widowControl/>
        <w:rPr>
          <w:szCs w:val="22"/>
        </w:rPr>
      </w:pPr>
    </w:p>
    <w:p w:rsidR="001570C4" w:rsidRPr="005156AC" w:rsidRDefault="001570C4" w:rsidP="00A36BB6">
      <w:pPr>
        <w:pStyle w:val="ListParagraph"/>
        <w:widowControl/>
        <w:numPr>
          <w:ilvl w:val="1"/>
          <w:numId w:val="1"/>
        </w:numPr>
        <w:rPr>
          <w:szCs w:val="22"/>
        </w:rPr>
      </w:pPr>
      <w:r w:rsidRPr="005156AC">
        <w:t>During the evaluation additional sensitivity analyses were conducted.  The results indicated that the model was most sensitive to the utility increment associated with achievement of SVR. Assuming no utility benefit due to SVR increased the ICER by 50%. Time horizon and transition probabilities had moderate impacts on the ICER. The use of 95% CIs of the SVR rate for treatment-naïve patients [83.5%, 92.7%</w:t>
      </w:r>
      <w:r w:rsidR="00863270" w:rsidRPr="005156AC">
        <w:t>] or the SVR rate for treatment-</w:t>
      </w:r>
      <w:r w:rsidRPr="005156AC">
        <w:t>experienced patients reported for DCV+ASV in Study 7026 (80.5%) had limited effect on the ICER. When the model was respecified to include a time horizon of 30 years, transition probabilities sourced from the</w:t>
      </w:r>
      <w:r w:rsidR="00F451F5">
        <w:t xml:space="preserve"> National Institute of Health and Care </w:t>
      </w:r>
      <w:r w:rsidR="00EB27FC">
        <w:t xml:space="preserve">Excellence </w:t>
      </w:r>
      <w:r w:rsidR="00EB27FC" w:rsidRPr="005156AC">
        <w:t>(</w:t>
      </w:r>
      <w:r w:rsidRPr="005156AC">
        <w:t>NICE</w:t>
      </w:r>
      <w:r w:rsidR="00EB27FC">
        <w:t xml:space="preserve">) </w:t>
      </w:r>
      <w:r w:rsidR="00F8265E" w:rsidRPr="00464929">
        <w:t>Health Technology Assessment report</w:t>
      </w:r>
      <w:r w:rsidR="00F8265E" w:rsidRPr="005156AC">
        <w:t xml:space="preserve"> </w:t>
      </w:r>
      <w:r w:rsidR="00EB27FC" w:rsidRPr="005156AC">
        <w:t>model</w:t>
      </w:r>
      <w:r w:rsidRPr="005156AC">
        <w:t xml:space="preserve"> </w:t>
      </w:r>
      <w:r w:rsidR="00F451F5">
        <w:t xml:space="preserve">of assessing HCV medicines </w:t>
      </w:r>
      <w:r w:rsidRPr="005156AC">
        <w:t xml:space="preserve">and no utility gain due to achieving an SVR, the ICER for genotype 1b patients tripled; increasing from a base case of </w:t>
      </w:r>
      <w:r w:rsidR="00A36BB6" w:rsidRPr="00A36BB6">
        <w:t>$15,000/QALY - $45,000/QALY</w:t>
      </w:r>
      <w:r w:rsidR="00A36BB6">
        <w:t xml:space="preserve"> </w:t>
      </w:r>
      <w:r w:rsidRPr="005156AC">
        <w:t xml:space="preserve">to </w:t>
      </w:r>
      <w:r w:rsidR="00A36BB6" w:rsidRPr="00A36BB6">
        <w:t>$45,000/QALY – $75,000/QALY</w:t>
      </w:r>
      <w:r w:rsidRPr="005156AC">
        <w:t>.</w:t>
      </w:r>
    </w:p>
    <w:p w:rsidR="001570C4" w:rsidRPr="005156AC" w:rsidRDefault="001570C4" w:rsidP="001570C4">
      <w:pPr>
        <w:pStyle w:val="ListParagraph"/>
        <w:rPr>
          <w:szCs w:val="22"/>
        </w:rPr>
      </w:pPr>
    </w:p>
    <w:p w:rsidR="001570C4" w:rsidRPr="001570C4" w:rsidRDefault="001570C4" w:rsidP="00011BBD">
      <w:pPr>
        <w:keepNext/>
        <w:keepLines/>
        <w:ind w:left="709"/>
        <w:rPr>
          <w:rFonts w:ascii="Arial Narrow" w:hAnsi="Arial Narrow"/>
          <w:b/>
          <w:sz w:val="20"/>
          <w:szCs w:val="16"/>
        </w:rPr>
      </w:pPr>
      <w:r w:rsidRPr="001570C4">
        <w:rPr>
          <w:rFonts w:ascii="Arial Narrow" w:hAnsi="Arial Narrow"/>
          <w:b/>
          <w:sz w:val="20"/>
          <w:szCs w:val="16"/>
        </w:rPr>
        <w:lastRenderedPageBreak/>
        <w:t>Results of sensitivity analyses performed during the evaluation (DCV+ASV versus no treatment) for genotype 1b patients</w:t>
      </w:r>
    </w:p>
    <w:tbl>
      <w:tblPr>
        <w:tblW w:w="468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ensitivity analysis"/>
      </w:tblPr>
      <w:tblGrid>
        <w:gridCol w:w="1880"/>
        <w:gridCol w:w="3223"/>
        <w:gridCol w:w="1231"/>
        <w:gridCol w:w="1231"/>
        <w:gridCol w:w="939"/>
      </w:tblGrid>
      <w:tr w:rsidR="001570C4" w:rsidRPr="005156AC" w:rsidTr="001570C4">
        <w:tc>
          <w:tcPr>
            <w:tcW w:w="1105"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rPr>
                <w:rFonts w:ascii="Arial Narrow" w:hAnsi="Arial Narrow"/>
                <w:b/>
                <w:sz w:val="20"/>
              </w:rPr>
            </w:pPr>
            <w:r w:rsidRPr="005156AC">
              <w:rPr>
                <w:rFonts w:ascii="Arial Narrow" w:hAnsi="Arial Narrow"/>
                <w:b/>
                <w:sz w:val="20"/>
              </w:rPr>
              <w:t>Variables</w:t>
            </w:r>
          </w:p>
        </w:tc>
        <w:tc>
          <w:tcPr>
            <w:tcW w:w="1895"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center"/>
              <w:rPr>
                <w:rFonts w:ascii="Arial Narrow" w:hAnsi="Arial Narrow"/>
                <w:b/>
                <w:sz w:val="20"/>
              </w:rPr>
            </w:pPr>
            <w:r w:rsidRPr="005156AC">
              <w:rPr>
                <w:rFonts w:ascii="Arial Narrow" w:hAnsi="Arial Narrow"/>
                <w:b/>
                <w:sz w:val="20"/>
              </w:rPr>
              <w:t>Assumptions</w:t>
            </w:r>
          </w:p>
        </w:tc>
        <w:tc>
          <w:tcPr>
            <w:tcW w:w="724" w:type="pct"/>
            <w:tcBorders>
              <w:top w:val="single" w:sz="4" w:space="0" w:color="auto"/>
              <w:left w:val="single" w:sz="4" w:space="0" w:color="auto"/>
              <w:bottom w:val="single" w:sz="4" w:space="0" w:color="auto"/>
              <w:right w:val="single" w:sz="4" w:space="0" w:color="auto"/>
            </w:tcBorders>
            <w:vAlign w:val="center"/>
          </w:tcPr>
          <w:p w:rsidR="001570C4" w:rsidRPr="005156AC" w:rsidRDefault="001570C4" w:rsidP="00011BBD">
            <w:pPr>
              <w:keepNext/>
              <w:keepLines/>
              <w:jc w:val="center"/>
              <w:rPr>
                <w:rFonts w:ascii="Arial Narrow" w:hAnsi="Arial Narrow"/>
                <w:b/>
                <w:sz w:val="20"/>
              </w:rPr>
            </w:pPr>
            <w:r w:rsidRPr="005156AC">
              <w:rPr>
                <w:rFonts w:ascii="Arial Narrow" w:hAnsi="Arial Narrow"/>
                <w:b/>
                <w:sz w:val="20"/>
              </w:rPr>
              <w:t>Incremental costs</w:t>
            </w:r>
          </w:p>
        </w:tc>
        <w:tc>
          <w:tcPr>
            <w:tcW w:w="724" w:type="pct"/>
            <w:tcBorders>
              <w:top w:val="single" w:sz="4" w:space="0" w:color="auto"/>
              <w:left w:val="single" w:sz="4" w:space="0" w:color="auto"/>
              <w:bottom w:val="single" w:sz="4" w:space="0" w:color="auto"/>
              <w:right w:val="single" w:sz="4" w:space="0" w:color="auto"/>
            </w:tcBorders>
            <w:vAlign w:val="center"/>
          </w:tcPr>
          <w:p w:rsidR="001570C4" w:rsidRPr="005156AC" w:rsidRDefault="001570C4" w:rsidP="00011BBD">
            <w:pPr>
              <w:keepNext/>
              <w:keepLines/>
              <w:jc w:val="center"/>
              <w:rPr>
                <w:rFonts w:ascii="Arial Narrow" w:hAnsi="Arial Narrow"/>
                <w:b/>
                <w:sz w:val="20"/>
                <w:lang w:eastAsia="zh-CN"/>
              </w:rPr>
            </w:pPr>
            <w:r w:rsidRPr="005156AC">
              <w:rPr>
                <w:rFonts w:ascii="Arial Narrow" w:hAnsi="Arial Narrow"/>
                <w:b/>
                <w:sz w:val="20"/>
              </w:rPr>
              <w:t xml:space="preserve">Incremental </w:t>
            </w:r>
            <w:r w:rsidRPr="005156AC">
              <w:rPr>
                <w:rFonts w:ascii="Arial Narrow" w:hAnsi="Arial Narrow" w:hint="eastAsia"/>
                <w:b/>
                <w:sz w:val="20"/>
                <w:lang w:eastAsia="zh-CN"/>
              </w:rPr>
              <w:t>QALYs</w:t>
            </w:r>
          </w:p>
        </w:tc>
        <w:tc>
          <w:tcPr>
            <w:tcW w:w="553" w:type="pct"/>
            <w:tcBorders>
              <w:top w:val="single" w:sz="4" w:space="0" w:color="auto"/>
              <w:left w:val="single" w:sz="4" w:space="0" w:color="auto"/>
              <w:bottom w:val="single" w:sz="4" w:space="0" w:color="auto"/>
              <w:right w:val="single" w:sz="4" w:space="0" w:color="auto"/>
            </w:tcBorders>
            <w:vAlign w:val="center"/>
          </w:tcPr>
          <w:p w:rsidR="001570C4" w:rsidRPr="005156AC" w:rsidRDefault="001570C4" w:rsidP="00011BBD">
            <w:pPr>
              <w:keepNext/>
              <w:keepLines/>
              <w:jc w:val="center"/>
              <w:rPr>
                <w:rFonts w:ascii="Arial Narrow" w:hAnsi="Arial Narrow"/>
                <w:b/>
                <w:sz w:val="20"/>
              </w:rPr>
            </w:pPr>
            <w:r w:rsidRPr="005156AC">
              <w:rPr>
                <w:rFonts w:ascii="Arial Narrow" w:hAnsi="Arial Narrow"/>
                <w:b/>
                <w:sz w:val="20"/>
              </w:rPr>
              <w:t>ICERs</w:t>
            </w:r>
          </w:p>
        </w:tc>
      </w:tr>
      <w:tr w:rsidR="001570C4" w:rsidRPr="005156AC" w:rsidTr="001570C4">
        <w:tc>
          <w:tcPr>
            <w:tcW w:w="3000" w:type="pct"/>
            <w:gridSpan w:val="2"/>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rPr>
                <w:rFonts w:ascii="Arial Narrow" w:hAnsi="Arial Narrow"/>
                <w:sz w:val="20"/>
              </w:rPr>
            </w:pPr>
            <w:r w:rsidRPr="005156AC">
              <w:rPr>
                <w:rFonts w:ascii="Arial Narrow" w:hAnsi="Arial Narrow"/>
                <w:sz w:val="20"/>
              </w:rPr>
              <w:t xml:space="preserve">Base case </w:t>
            </w:r>
          </w:p>
        </w:tc>
        <w:tc>
          <w:tcPr>
            <w:tcW w:w="724"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right"/>
              <w:rPr>
                <w:rFonts w:ascii="Arial Narrow" w:hAnsi="Arial Narrow"/>
                <w:color w:val="000000"/>
                <w:sz w:val="20"/>
              </w:rPr>
            </w:pPr>
            <w:r w:rsidRPr="005156AC">
              <w:rPr>
                <w:rFonts w:ascii="Arial Narrow" w:hAnsi="Arial Narrow"/>
                <w:color w:val="000000"/>
                <w:sz w:val="20"/>
              </w:rPr>
              <w:t>$</w:t>
            </w:r>
            <w:r w:rsidR="00A54692">
              <w:rPr>
                <w:rFonts w:ascii="Arial Narrow" w:hAnsi="Arial Narrow"/>
                <w:noProof/>
                <w:color w:val="000000"/>
                <w:sz w:val="20"/>
                <w:highlight w:val="black"/>
              </w:rPr>
              <w:t>'''''''''''''''''</w:t>
            </w:r>
          </w:p>
        </w:tc>
        <w:tc>
          <w:tcPr>
            <w:tcW w:w="724"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center"/>
              <w:rPr>
                <w:rFonts w:ascii="Arial Narrow" w:hAnsi="Arial Narrow"/>
                <w:color w:val="000000"/>
                <w:sz w:val="20"/>
              </w:rPr>
            </w:pPr>
            <w:r w:rsidRPr="005156AC">
              <w:rPr>
                <w:rFonts w:ascii="Arial Narrow" w:hAnsi="Arial Narrow"/>
                <w:color w:val="000000"/>
                <w:sz w:val="20"/>
              </w:rPr>
              <w:t>1.641</w:t>
            </w:r>
          </w:p>
        </w:tc>
        <w:tc>
          <w:tcPr>
            <w:tcW w:w="553"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right"/>
              <w:rPr>
                <w:rFonts w:ascii="Arial Narrow" w:hAnsi="Arial Narrow"/>
                <w:color w:val="000000"/>
                <w:sz w:val="20"/>
              </w:rPr>
            </w:pPr>
            <w:r w:rsidRPr="005156AC">
              <w:rPr>
                <w:rFonts w:ascii="Arial Narrow" w:hAnsi="Arial Narrow"/>
                <w:color w:val="000000"/>
                <w:sz w:val="20"/>
              </w:rPr>
              <w:t>$</w:t>
            </w:r>
            <w:r w:rsidR="00A54692">
              <w:rPr>
                <w:rFonts w:ascii="Arial Narrow" w:hAnsi="Arial Narrow"/>
                <w:noProof/>
                <w:color w:val="000000"/>
                <w:sz w:val="20"/>
                <w:highlight w:val="black"/>
              </w:rPr>
              <w:t>''''''''''''''''</w:t>
            </w:r>
          </w:p>
        </w:tc>
      </w:tr>
      <w:tr w:rsidR="001570C4" w:rsidRPr="005156AC" w:rsidTr="001570C4">
        <w:tc>
          <w:tcPr>
            <w:tcW w:w="5000" w:type="pct"/>
            <w:gridSpan w:val="5"/>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rPr>
                <w:rFonts w:ascii="Arial Narrow" w:hAnsi="Arial Narrow"/>
                <w:color w:val="000000"/>
                <w:sz w:val="20"/>
              </w:rPr>
            </w:pPr>
            <w:r w:rsidRPr="005156AC">
              <w:rPr>
                <w:rFonts w:ascii="Arial Narrow" w:hAnsi="Arial Narrow"/>
                <w:color w:val="000000"/>
                <w:sz w:val="20"/>
              </w:rPr>
              <w:t>Univariate analyses</w:t>
            </w:r>
          </w:p>
        </w:tc>
      </w:tr>
      <w:tr w:rsidR="001570C4" w:rsidRPr="005156AC" w:rsidTr="001570C4">
        <w:tc>
          <w:tcPr>
            <w:tcW w:w="1105" w:type="pct"/>
            <w:vMerge w:val="restart"/>
            <w:tcBorders>
              <w:top w:val="single" w:sz="4" w:space="0" w:color="auto"/>
              <w:left w:val="single" w:sz="4" w:space="0" w:color="auto"/>
              <w:right w:val="single" w:sz="4" w:space="0" w:color="auto"/>
            </w:tcBorders>
          </w:tcPr>
          <w:p w:rsidR="001570C4" w:rsidRPr="005156AC" w:rsidRDefault="001570C4" w:rsidP="00011BBD">
            <w:pPr>
              <w:keepNext/>
              <w:keepLines/>
              <w:jc w:val="left"/>
              <w:rPr>
                <w:rFonts w:ascii="Arial Narrow" w:hAnsi="Arial Narrow"/>
                <w:sz w:val="20"/>
              </w:rPr>
            </w:pPr>
            <w:r w:rsidRPr="005156AC">
              <w:rPr>
                <w:rFonts w:ascii="Arial Narrow" w:hAnsi="Arial Narrow"/>
                <w:sz w:val="20"/>
              </w:rPr>
              <w:t>SVR rate associated with DCV+ASV (base case: 88.7%)</w:t>
            </w:r>
          </w:p>
        </w:tc>
        <w:tc>
          <w:tcPr>
            <w:tcW w:w="1895" w:type="pct"/>
            <w:tcBorders>
              <w:top w:val="single" w:sz="4" w:space="0" w:color="auto"/>
              <w:left w:val="single" w:sz="4" w:space="0" w:color="auto"/>
              <w:bottom w:val="single" w:sz="4" w:space="0" w:color="auto"/>
              <w:right w:val="single" w:sz="4" w:space="0" w:color="auto"/>
            </w:tcBorders>
            <w:vAlign w:val="center"/>
          </w:tcPr>
          <w:p w:rsidR="001570C4" w:rsidRPr="005156AC" w:rsidRDefault="001570C4" w:rsidP="00011BBD">
            <w:pPr>
              <w:keepNext/>
              <w:keepLines/>
              <w:rPr>
                <w:rFonts w:ascii="Arial Narrow" w:hAnsi="Arial Narrow"/>
                <w:sz w:val="20"/>
              </w:rPr>
            </w:pPr>
            <w:r w:rsidRPr="005156AC">
              <w:rPr>
                <w:rFonts w:ascii="Arial Narrow" w:hAnsi="Arial Narrow"/>
                <w:sz w:val="20"/>
              </w:rPr>
              <w:t>Upper limit of the 95% CI (92.7%)</w:t>
            </w:r>
          </w:p>
        </w:tc>
        <w:tc>
          <w:tcPr>
            <w:tcW w:w="724"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right"/>
              <w:rPr>
                <w:rFonts w:ascii="Arial Narrow" w:hAnsi="Arial Narrow"/>
                <w:color w:val="000000"/>
                <w:sz w:val="20"/>
              </w:rPr>
            </w:pPr>
            <w:r w:rsidRPr="005156AC">
              <w:rPr>
                <w:rFonts w:ascii="Arial Narrow" w:hAnsi="Arial Narrow"/>
                <w:color w:val="000000"/>
                <w:sz w:val="20"/>
              </w:rPr>
              <w:t>$</w:t>
            </w:r>
            <w:r w:rsidR="00A54692">
              <w:rPr>
                <w:rFonts w:ascii="Arial Narrow" w:hAnsi="Arial Narrow"/>
                <w:noProof/>
                <w:color w:val="000000"/>
                <w:sz w:val="20"/>
                <w:highlight w:val="black"/>
              </w:rPr>
              <w:t>'''''''''''''''</w:t>
            </w:r>
          </w:p>
        </w:tc>
        <w:tc>
          <w:tcPr>
            <w:tcW w:w="724"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center"/>
              <w:rPr>
                <w:rFonts w:ascii="Arial Narrow" w:hAnsi="Arial Narrow"/>
                <w:color w:val="000000"/>
                <w:sz w:val="20"/>
              </w:rPr>
            </w:pPr>
            <w:r w:rsidRPr="005156AC">
              <w:rPr>
                <w:rFonts w:ascii="Arial Narrow" w:hAnsi="Arial Narrow"/>
                <w:color w:val="000000"/>
                <w:sz w:val="20"/>
              </w:rPr>
              <w:t>1.715</w:t>
            </w:r>
          </w:p>
        </w:tc>
        <w:tc>
          <w:tcPr>
            <w:tcW w:w="553"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right"/>
              <w:rPr>
                <w:rFonts w:ascii="Arial Narrow" w:hAnsi="Arial Narrow"/>
                <w:color w:val="000000"/>
                <w:sz w:val="20"/>
              </w:rPr>
            </w:pPr>
            <w:r w:rsidRPr="005156AC">
              <w:rPr>
                <w:rFonts w:ascii="Arial Narrow" w:hAnsi="Arial Narrow"/>
                <w:color w:val="000000"/>
                <w:sz w:val="20"/>
              </w:rPr>
              <w:t>$</w:t>
            </w:r>
            <w:r w:rsidR="00A54692">
              <w:rPr>
                <w:rFonts w:ascii="Arial Narrow" w:hAnsi="Arial Narrow"/>
                <w:noProof/>
                <w:color w:val="000000"/>
                <w:sz w:val="20"/>
                <w:highlight w:val="black"/>
              </w:rPr>
              <w:t>''''''''''''''''</w:t>
            </w:r>
          </w:p>
        </w:tc>
      </w:tr>
      <w:tr w:rsidR="001570C4" w:rsidRPr="005156AC" w:rsidTr="001570C4">
        <w:tc>
          <w:tcPr>
            <w:tcW w:w="1105" w:type="pct"/>
            <w:vMerge/>
            <w:tcBorders>
              <w:left w:val="single" w:sz="4" w:space="0" w:color="auto"/>
              <w:right w:val="single" w:sz="4" w:space="0" w:color="auto"/>
            </w:tcBorders>
          </w:tcPr>
          <w:p w:rsidR="001570C4" w:rsidRPr="005156AC" w:rsidRDefault="001570C4" w:rsidP="00011BBD">
            <w:pPr>
              <w:keepNext/>
              <w:keepLines/>
              <w:jc w:val="left"/>
              <w:rPr>
                <w:rFonts w:ascii="Arial Narrow" w:hAnsi="Arial Narrow"/>
                <w:sz w:val="20"/>
              </w:rPr>
            </w:pPr>
          </w:p>
        </w:tc>
        <w:tc>
          <w:tcPr>
            <w:tcW w:w="1895" w:type="pct"/>
            <w:tcBorders>
              <w:top w:val="single" w:sz="4" w:space="0" w:color="auto"/>
              <w:left w:val="single" w:sz="4" w:space="0" w:color="auto"/>
              <w:bottom w:val="single" w:sz="4" w:space="0" w:color="auto"/>
              <w:right w:val="single" w:sz="4" w:space="0" w:color="auto"/>
            </w:tcBorders>
            <w:vAlign w:val="center"/>
          </w:tcPr>
          <w:p w:rsidR="001570C4" w:rsidRPr="005156AC" w:rsidRDefault="001570C4" w:rsidP="00011BBD">
            <w:pPr>
              <w:keepNext/>
              <w:keepLines/>
              <w:rPr>
                <w:rFonts w:ascii="Arial Narrow" w:hAnsi="Arial Narrow"/>
                <w:sz w:val="20"/>
              </w:rPr>
            </w:pPr>
            <w:r w:rsidRPr="005156AC">
              <w:rPr>
                <w:rFonts w:ascii="Arial Narrow" w:hAnsi="Arial Narrow"/>
                <w:sz w:val="20"/>
              </w:rPr>
              <w:t>Lower limit of the 95% CI (83.5%)</w:t>
            </w:r>
          </w:p>
        </w:tc>
        <w:tc>
          <w:tcPr>
            <w:tcW w:w="724"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right"/>
              <w:rPr>
                <w:rFonts w:ascii="Arial Narrow" w:hAnsi="Arial Narrow"/>
                <w:color w:val="000000"/>
                <w:sz w:val="20"/>
              </w:rPr>
            </w:pPr>
            <w:r w:rsidRPr="005156AC">
              <w:rPr>
                <w:rFonts w:ascii="Arial Narrow" w:hAnsi="Arial Narrow"/>
                <w:color w:val="000000"/>
                <w:sz w:val="20"/>
              </w:rPr>
              <w:t>$</w:t>
            </w:r>
            <w:r w:rsidR="00A54692">
              <w:rPr>
                <w:rFonts w:ascii="Arial Narrow" w:hAnsi="Arial Narrow"/>
                <w:noProof/>
                <w:color w:val="000000"/>
                <w:sz w:val="20"/>
                <w:highlight w:val="black"/>
              </w:rPr>
              <w:t>'''''''''''''''''</w:t>
            </w:r>
          </w:p>
        </w:tc>
        <w:tc>
          <w:tcPr>
            <w:tcW w:w="724"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center"/>
              <w:rPr>
                <w:rFonts w:ascii="Arial Narrow" w:hAnsi="Arial Narrow"/>
                <w:color w:val="000000"/>
                <w:sz w:val="20"/>
              </w:rPr>
            </w:pPr>
            <w:r w:rsidRPr="005156AC">
              <w:rPr>
                <w:rFonts w:ascii="Arial Narrow" w:hAnsi="Arial Narrow"/>
                <w:color w:val="000000"/>
                <w:sz w:val="20"/>
              </w:rPr>
              <w:t>1.545</w:t>
            </w:r>
          </w:p>
        </w:tc>
        <w:tc>
          <w:tcPr>
            <w:tcW w:w="553"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right"/>
              <w:rPr>
                <w:rFonts w:ascii="Arial Narrow" w:hAnsi="Arial Narrow"/>
                <w:color w:val="000000"/>
                <w:sz w:val="20"/>
              </w:rPr>
            </w:pPr>
            <w:r w:rsidRPr="005156AC">
              <w:rPr>
                <w:rFonts w:ascii="Arial Narrow" w:hAnsi="Arial Narrow"/>
                <w:color w:val="000000"/>
                <w:sz w:val="20"/>
              </w:rPr>
              <w:t>$</w:t>
            </w:r>
            <w:r w:rsidR="00A54692">
              <w:rPr>
                <w:rFonts w:ascii="Arial Narrow" w:hAnsi="Arial Narrow"/>
                <w:noProof/>
                <w:color w:val="000000"/>
                <w:sz w:val="20"/>
                <w:highlight w:val="black"/>
              </w:rPr>
              <w:t>'''''''''''''''</w:t>
            </w:r>
          </w:p>
        </w:tc>
      </w:tr>
      <w:tr w:rsidR="001570C4" w:rsidRPr="005156AC" w:rsidTr="001570C4">
        <w:tc>
          <w:tcPr>
            <w:tcW w:w="1105" w:type="pct"/>
            <w:vMerge w:val="restart"/>
            <w:tcBorders>
              <w:left w:val="single" w:sz="4" w:space="0" w:color="auto"/>
              <w:right w:val="single" w:sz="4" w:space="0" w:color="auto"/>
            </w:tcBorders>
          </w:tcPr>
          <w:p w:rsidR="001570C4" w:rsidRPr="005156AC" w:rsidRDefault="001570C4" w:rsidP="00011BBD">
            <w:pPr>
              <w:keepNext/>
              <w:keepLines/>
              <w:jc w:val="left"/>
              <w:rPr>
                <w:rFonts w:ascii="Arial Narrow" w:hAnsi="Arial Narrow"/>
                <w:sz w:val="20"/>
              </w:rPr>
            </w:pPr>
            <w:r w:rsidRPr="005156AC">
              <w:rPr>
                <w:rFonts w:ascii="Arial Narrow" w:hAnsi="Arial Narrow"/>
                <w:sz w:val="20"/>
              </w:rPr>
              <w:t>Treatment-experienced patient in the model (base case: not included)</w:t>
            </w:r>
          </w:p>
        </w:tc>
        <w:tc>
          <w:tcPr>
            <w:tcW w:w="1895" w:type="pct"/>
            <w:tcBorders>
              <w:top w:val="single" w:sz="4" w:space="0" w:color="auto"/>
              <w:left w:val="single" w:sz="4" w:space="0" w:color="auto"/>
              <w:bottom w:val="single" w:sz="4" w:space="0" w:color="auto"/>
              <w:right w:val="single" w:sz="4" w:space="0" w:color="auto"/>
            </w:tcBorders>
            <w:vAlign w:val="center"/>
          </w:tcPr>
          <w:p w:rsidR="001570C4" w:rsidRPr="005156AC" w:rsidRDefault="001570C4" w:rsidP="00011BBD">
            <w:pPr>
              <w:keepNext/>
              <w:keepLines/>
              <w:rPr>
                <w:rFonts w:ascii="Arial Narrow" w:hAnsi="Arial Narrow"/>
                <w:sz w:val="20"/>
              </w:rPr>
            </w:pPr>
            <w:r w:rsidRPr="005156AC">
              <w:rPr>
                <w:rFonts w:ascii="Arial Narrow" w:hAnsi="Arial Narrow"/>
                <w:sz w:val="20"/>
              </w:rPr>
              <w:t>SVR rate of 80.5% (as reported in treatment-experienced patients in Studies 7026 and 7028)</w:t>
            </w:r>
          </w:p>
        </w:tc>
        <w:tc>
          <w:tcPr>
            <w:tcW w:w="724"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right"/>
              <w:rPr>
                <w:rFonts w:ascii="Arial Narrow" w:hAnsi="Arial Narrow"/>
                <w:color w:val="000000"/>
                <w:sz w:val="20"/>
              </w:rPr>
            </w:pPr>
            <w:r w:rsidRPr="005156AC">
              <w:rPr>
                <w:rFonts w:ascii="Arial Narrow" w:hAnsi="Arial Narrow"/>
                <w:color w:val="000000"/>
                <w:sz w:val="20"/>
              </w:rPr>
              <w:t>$</w:t>
            </w:r>
            <w:r w:rsidR="00A54692">
              <w:rPr>
                <w:rFonts w:ascii="Arial Narrow" w:hAnsi="Arial Narrow"/>
                <w:noProof/>
                <w:color w:val="000000"/>
                <w:sz w:val="20"/>
                <w:highlight w:val="black"/>
              </w:rPr>
              <w:t>'''''''''''''''''</w:t>
            </w:r>
          </w:p>
        </w:tc>
        <w:tc>
          <w:tcPr>
            <w:tcW w:w="724"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center"/>
              <w:rPr>
                <w:rFonts w:ascii="Arial Narrow" w:hAnsi="Arial Narrow"/>
                <w:color w:val="000000"/>
                <w:sz w:val="20"/>
              </w:rPr>
            </w:pPr>
            <w:r w:rsidRPr="005156AC">
              <w:rPr>
                <w:rFonts w:ascii="Arial Narrow" w:hAnsi="Arial Narrow"/>
                <w:color w:val="000000"/>
                <w:sz w:val="20"/>
              </w:rPr>
              <w:t>1.490</w:t>
            </w:r>
          </w:p>
        </w:tc>
        <w:tc>
          <w:tcPr>
            <w:tcW w:w="553"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right"/>
              <w:rPr>
                <w:rFonts w:ascii="Arial Narrow" w:hAnsi="Arial Narrow"/>
                <w:color w:val="000000"/>
                <w:sz w:val="20"/>
              </w:rPr>
            </w:pPr>
            <w:r w:rsidRPr="005156AC">
              <w:rPr>
                <w:rFonts w:ascii="Arial Narrow" w:hAnsi="Arial Narrow"/>
                <w:color w:val="000000"/>
                <w:sz w:val="20"/>
              </w:rPr>
              <w:t>$</w:t>
            </w:r>
            <w:r w:rsidR="00A54692">
              <w:rPr>
                <w:rFonts w:ascii="Arial Narrow" w:hAnsi="Arial Narrow"/>
                <w:noProof/>
                <w:color w:val="000000"/>
                <w:sz w:val="20"/>
                <w:highlight w:val="black"/>
              </w:rPr>
              <w:t>''''''''''''''''</w:t>
            </w:r>
          </w:p>
        </w:tc>
      </w:tr>
      <w:tr w:rsidR="001570C4" w:rsidRPr="005156AC" w:rsidTr="001570C4">
        <w:tc>
          <w:tcPr>
            <w:tcW w:w="1105" w:type="pct"/>
            <w:vMerge/>
            <w:tcBorders>
              <w:left w:val="single" w:sz="4" w:space="0" w:color="auto"/>
              <w:right w:val="single" w:sz="4" w:space="0" w:color="auto"/>
            </w:tcBorders>
          </w:tcPr>
          <w:p w:rsidR="001570C4" w:rsidRPr="005156AC" w:rsidRDefault="001570C4" w:rsidP="00011BBD">
            <w:pPr>
              <w:keepNext/>
              <w:keepLines/>
              <w:jc w:val="left"/>
              <w:rPr>
                <w:rFonts w:ascii="Arial Narrow" w:hAnsi="Arial Narrow"/>
                <w:sz w:val="20"/>
              </w:rPr>
            </w:pPr>
          </w:p>
        </w:tc>
        <w:tc>
          <w:tcPr>
            <w:tcW w:w="1895" w:type="pct"/>
            <w:tcBorders>
              <w:top w:val="single" w:sz="4" w:space="0" w:color="auto"/>
              <w:left w:val="single" w:sz="4" w:space="0" w:color="auto"/>
              <w:bottom w:val="single" w:sz="4" w:space="0" w:color="auto"/>
              <w:right w:val="single" w:sz="4" w:space="0" w:color="auto"/>
            </w:tcBorders>
            <w:vAlign w:val="center"/>
          </w:tcPr>
          <w:p w:rsidR="001570C4" w:rsidRPr="005156AC" w:rsidRDefault="001570C4" w:rsidP="00011BBD">
            <w:pPr>
              <w:keepNext/>
              <w:keepLines/>
              <w:rPr>
                <w:rFonts w:ascii="Arial Narrow" w:hAnsi="Arial Narrow"/>
                <w:sz w:val="20"/>
              </w:rPr>
            </w:pPr>
            <w:r w:rsidRPr="005156AC">
              <w:rPr>
                <w:rFonts w:ascii="Arial Narrow" w:hAnsi="Arial Narrow"/>
                <w:sz w:val="20"/>
              </w:rPr>
              <w:t>Upper limit of the 95% CI (88.2%)</w:t>
            </w:r>
          </w:p>
        </w:tc>
        <w:tc>
          <w:tcPr>
            <w:tcW w:w="724"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right"/>
              <w:rPr>
                <w:rFonts w:ascii="Arial Narrow" w:hAnsi="Arial Narrow"/>
                <w:color w:val="000000"/>
                <w:sz w:val="20"/>
              </w:rPr>
            </w:pPr>
            <w:r w:rsidRPr="005156AC">
              <w:rPr>
                <w:rFonts w:ascii="Arial Narrow" w:hAnsi="Arial Narrow"/>
                <w:color w:val="000000"/>
                <w:sz w:val="20"/>
              </w:rPr>
              <w:t>$</w:t>
            </w:r>
            <w:r w:rsidR="00A54692">
              <w:rPr>
                <w:rFonts w:ascii="Arial Narrow" w:hAnsi="Arial Narrow"/>
                <w:noProof/>
                <w:color w:val="000000"/>
                <w:sz w:val="20"/>
                <w:highlight w:val="black"/>
              </w:rPr>
              <w:t>''''''''''''''''''</w:t>
            </w:r>
          </w:p>
        </w:tc>
        <w:tc>
          <w:tcPr>
            <w:tcW w:w="724"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center"/>
              <w:rPr>
                <w:rFonts w:ascii="Arial Narrow" w:hAnsi="Arial Narrow"/>
                <w:color w:val="000000"/>
                <w:sz w:val="20"/>
              </w:rPr>
            </w:pPr>
            <w:r w:rsidRPr="005156AC">
              <w:rPr>
                <w:rFonts w:ascii="Arial Narrow" w:hAnsi="Arial Narrow"/>
                <w:color w:val="000000"/>
                <w:sz w:val="20"/>
              </w:rPr>
              <w:t>1.632</w:t>
            </w:r>
          </w:p>
        </w:tc>
        <w:tc>
          <w:tcPr>
            <w:tcW w:w="553"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right"/>
              <w:rPr>
                <w:rFonts w:ascii="Arial Narrow" w:hAnsi="Arial Narrow"/>
                <w:color w:val="000000"/>
                <w:sz w:val="20"/>
              </w:rPr>
            </w:pPr>
            <w:r w:rsidRPr="005156AC">
              <w:rPr>
                <w:rFonts w:ascii="Arial Narrow" w:hAnsi="Arial Narrow"/>
                <w:color w:val="000000"/>
                <w:sz w:val="20"/>
              </w:rPr>
              <w:t>$</w:t>
            </w:r>
            <w:r w:rsidR="00A54692">
              <w:rPr>
                <w:rFonts w:ascii="Arial Narrow" w:hAnsi="Arial Narrow"/>
                <w:noProof/>
                <w:color w:val="000000"/>
                <w:sz w:val="20"/>
                <w:highlight w:val="black"/>
              </w:rPr>
              <w:t>'''''''''''''''</w:t>
            </w:r>
          </w:p>
        </w:tc>
      </w:tr>
      <w:tr w:rsidR="001570C4" w:rsidRPr="005156AC" w:rsidTr="001570C4">
        <w:tc>
          <w:tcPr>
            <w:tcW w:w="1105" w:type="pct"/>
            <w:vMerge/>
            <w:tcBorders>
              <w:left w:val="single" w:sz="4" w:space="0" w:color="auto"/>
              <w:bottom w:val="single" w:sz="4" w:space="0" w:color="auto"/>
              <w:right w:val="single" w:sz="4" w:space="0" w:color="auto"/>
            </w:tcBorders>
          </w:tcPr>
          <w:p w:rsidR="001570C4" w:rsidRPr="005156AC" w:rsidRDefault="001570C4" w:rsidP="00011BBD">
            <w:pPr>
              <w:keepNext/>
              <w:keepLines/>
              <w:jc w:val="left"/>
              <w:rPr>
                <w:rFonts w:ascii="Arial Narrow" w:hAnsi="Arial Narrow"/>
                <w:sz w:val="20"/>
              </w:rPr>
            </w:pPr>
          </w:p>
        </w:tc>
        <w:tc>
          <w:tcPr>
            <w:tcW w:w="1895" w:type="pct"/>
            <w:tcBorders>
              <w:top w:val="single" w:sz="4" w:space="0" w:color="auto"/>
              <w:left w:val="single" w:sz="4" w:space="0" w:color="auto"/>
              <w:bottom w:val="single" w:sz="4" w:space="0" w:color="auto"/>
              <w:right w:val="single" w:sz="4" w:space="0" w:color="auto"/>
            </w:tcBorders>
            <w:vAlign w:val="center"/>
          </w:tcPr>
          <w:p w:rsidR="001570C4" w:rsidRPr="005156AC" w:rsidRDefault="001570C4" w:rsidP="00011BBD">
            <w:pPr>
              <w:keepNext/>
              <w:keepLines/>
              <w:rPr>
                <w:rFonts w:ascii="Arial Narrow" w:hAnsi="Arial Narrow"/>
                <w:sz w:val="20"/>
              </w:rPr>
            </w:pPr>
            <w:r w:rsidRPr="005156AC">
              <w:rPr>
                <w:rFonts w:ascii="Arial Narrow" w:hAnsi="Arial Narrow"/>
                <w:sz w:val="20"/>
              </w:rPr>
              <w:t>Lower limit of the 95% CI (70.6%)</w:t>
            </w:r>
          </w:p>
        </w:tc>
        <w:tc>
          <w:tcPr>
            <w:tcW w:w="724"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right"/>
              <w:rPr>
                <w:rFonts w:ascii="Arial Narrow" w:hAnsi="Arial Narrow"/>
                <w:color w:val="000000"/>
                <w:sz w:val="20"/>
              </w:rPr>
            </w:pPr>
            <w:r w:rsidRPr="005156AC">
              <w:rPr>
                <w:rFonts w:ascii="Arial Narrow" w:hAnsi="Arial Narrow"/>
                <w:color w:val="000000"/>
                <w:sz w:val="20"/>
              </w:rPr>
              <w:t>$</w:t>
            </w:r>
            <w:r w:rsidR="00A54692">
              <w:rPr>
                <w:rFonts w:ascii="Arial Narrow" w:hAnsi="Arial Narrow"/>
                <w:noProof/>
                <w:color w:val="000000"/>
                <w:sz w:val="20"/>
                <w:highlight w:val="black"/>
              </w:rPr>
              <w:t>'''''''''''''''</w:t>
            </w:r>
          </w:p>
        </w:tc>
        <w:tc>
          <w:tcPr>
            <w:tcW w:w="724"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center"/>
              <w:rPr>
                <w:rFonts w:ascii="Arial Narrow" w:hAnsi="Arial Narrow"/>
                <w:color w:val="000000"/>
                <w:sz w:val="20"/>
              </w:rPr>
            </w:pPr>
            <w:r w:rsidRPr="005156AC">
              <w:rPr>
                <w:rFonts w:ascii="Arial Narrow" w:hAnsi="Arial Narrow"/>
                <w:color w:val="000000"/>
                <w:sz w:val="20"/>
              </w:rPr>
              <w:t>1.306</w:t>
            </w:r>
          </w:p>
        </w:tc>
        <w:tc>
          <w:tcPr>
            <w:tcW w:w="553"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right"/>
              <w:rPr>
                <w:rFonts w:ascii="Arial Narrow" w:hAnsi="Arial Narrow"/>
                <w:color w:val="000000"/>
                <w:sz w:val="20"/>
              </w:rPr>
            </w:pPr>
            <w:r w:rsidRPr="005156AC">
              <w:rPr>
                <w:rFonts w:ascii="Arial Narrow" w:hAnsi="Arial Narrow"/>
                <w:color w:val="000000"/>
                <w:sz w:val="20"/>
              </w:rPr>
              <w:t>$</w:t>
            </w:r>
            <w:r w:rsidR="00A54692">
              <w:rPr>
                <w:rFonts w:ascii="Arial Narrow" w:hAnsi="Arial Narrow"/>
                <w:noProof/>
                <w:color w:val="000000"/>
                <w:sz w:val="20"/>
                <w:highlight w:val="black"/>
              </w:rPr>
              <w:t>''''''''''''''''</w:t>
            </w:r>
          </w:p>
        </w:tc>
      </w:tr>
      <w:tr w:rsidR="001570C4" w:rsidRPr="005156AC" w:rsidTr="001570C4">
        <w:tc>
          <w:tcPr>
            <w:tcW w:w="1105"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left"/>
              <w:rPr>
                <w:rFonts w:ascii="Arial Narrow" w:hAnsi="Arial Narrow"/>
                <w:sz w:val="20"/>
              </w:rPr>
            </w:pPr>
            <w:r w:rsidRPr="005156AC">
              <w:rPr>
                <w:rFonts w:ascii="Arial Narrow" w:hAnsi="Arial Narrow"/>
                <w:sz w:val="20"/>
              </w:rPr>
              <w:t>Time horizon (base case: 49 years)</w:t>
            </w:r>
          </w:p>
        </w:tc>
        <w:tc>
          <w:tcPr>
            <w:tcW w:w="1895" w:type="pct"/>
            <w:tcBorders>
              <w:top w:val="single" w:sz="4" w:space="0" w:color="auto"/>
              <w:left w:val="single" w:sz="4" w:space="0" w:color="auto"/>
              <w:bottom w:val="single" w:sz="4" w:space="0" w:color="auto"/>
              <w:right w:val="single" w:sz="4" w:space="0" w:color="auto"/>
            </w:tcBorders>
            <w:vAlign w:val="center"/>
          </w:tcPr>
          <w:p w:rsidR="001570C4" w:rsidRPr="005156AC" w:rsidRDefault="001570C4" w:rsidP="00011BBD">
            <w:pPr>
              <w:keepNext/>
              <w:keepLines/>
              <w:rPr>
                <w:rFonts w:ascii="Arial Narrow" w:hAnsi="Arial Narrow"/>
                <w:sz w:val="20"/>
              </w:rPr>
            </w:pPr>
            <w:r w:rsidRPr="005156AC">
              <w:rPr>
                <w:rFonts w:ascii="Arial Narrow" w:hAnsi="Arial Narrow"/>
                <w:sz w:val="20"/>
              </w:rPr>
              <w:t>30 years (PBAC recommendation)</w:t>
            </w:r>
          </w:p>
        </w:tc>
        <w:tc>
          <w:tcPr>
            <w:tcW w:w="724"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right"/>
              <w:rPr>
                <w:rFonts w:ascii="Arial Narrow" w:hAnsi="Arial Narrow"/>
                <w:color w:val="000000"/>
                <w:sz w:val="20"/>
              </w:rPr>
            </w:pPr>
            <w:r w:rsidRPr="005156AC">
              <w:rPr>
                <w:rFonts w:ascii="Arial Narrow" w:hAnsi="Arial Narrow"/>
                <w:color w:val="000000"/>
                <w:sz w:val="20"/>
              </w:rPr>
              <w:t>$</w:t>
            </w:r>
            <w:r w:rsidR="00A54692">
              <w:rPr>
                <w:rFonts w:ascii="Arial Narrow" w:hAnsi="Arial Narrow"/>
                <w:noProof/>
                <w:color w:val="000000"/>
                <w:sz w:val="20"/>
                <w:highlight w:val="black"/>
              </w:rPr>
              <w:t>''''''''''''''''</w:t>
            </w:r>
          </w:p>
        </w:tc>
        <w:tc>
          <w:tcPr>
            <w:tcW w:w="724"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center"/>
              <w:rPr>
                <w:rFonts w:ascii="Arial Narrow" w:hAnsi="Arial Narrow"/>
                <w:color w:val="000000"/>
                <w:sz w:val="20"/>
              </w:rPr>
            </w:pPr>
            <w:r w:rsidRPr="005156AC">
              <w:rPr>
                <w:rFonts w:ascii="Arial Narrow" w:hAnsi="Arial Narrow"/>
                <w:color w:val="000000"/>
                <w:sz w:val="20"/>
              </w:rPr>
              <w:t>1.430</w:t>
            </w:r>
          </w:p>
        </w:tc>
        <w:tc>
          <w:tcPr>
            <w:tcW w:w="553"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right"/>
              <w:rPr>
                <w:rFonts w:ascii="Arial Narrow" w:hAnsi="Arial Narrow"/>
                <w:color w:val="000000"/>
                <w:sz w:val="20"/>
              </w:rPr>
            </w:pPr>
            <w:r w:rsidRPr="005156AC">
              <w:rPr>
                <w:rFonts w:ascii="Arial Narrow" w:hAnsi="Arial Narrow"/>
                <w:color w:val="000000"/>
                <w:sz w:val="20"/>
              </w:rPr>
              <w:t>$</w:t>
            </w:r>
            <w:r w:rsidR="00A54692">
              <w:rPr>
                <w:rFonts w:ascii="Arial Narrow" w:hAnsi="Arial Narrow"/>
                <w:noProof/>
                <w:color w:val="000000"/>
                <w:sz w:val="20"/>
                <w:highlight w:val="black"/>
              </w:rPr>
              <w:t>'''''''''''''''''</w:t>
            </w:r>
          </w:p>
        </w:tc>
      </w:tr>
      <w:tr w:rsidR="001570C4" w:rsidRPr="005156AC" w:rsidTr="001570C4">
        <w:tc>
          <w:tcPr>
            <w:tcW w:w="1105" w:type="pct"/>
            <w:tcBorders>
              <w:top w:val="single" w:sz="4" w:space="0" w:color="auto"/>
              <w:left w:val="single" w:sz="4" w:space="0" w:color="auto"/>
              <w:right w:val="single" w:sz="4" w:space="0" w:color="auto"/>
            </w:tcBorders>
          </w:tcPr>
          <w:p w:rsidR="001570C4" w:rsidRPr="005156AC" w:rsidRDefault="001570C4" w:rsidP="00011BBD">
            <w:pPr>
              <w:keepNext/>
              <w:keepLines/>
              <w:jc w:val="left"/>
              <w:rPr>
                <w:rFonts w:ascii="Arial Narrow" w:hAnsi="Arial Narrow"/>
                <w:sz w:val="20"/>
              </w:rPr>
            </w:pPr>
            <w:r w:rsidRPr="005156AC">
              <w:rPr>
                <w:rFonts w:ascii="Arial Narrow" w:hAnsi="Arial Narrow"/>
                <w:sz w:val="20"/>
              </w:rPr>
              <w:t>Transition probabilities</w:t>
            </w:r>
          </w:p>
        </w:tc>
        <w:tc>
          <w:tcPr>
            <w:tcW w:w="1895" w:type="pct"/>
            <w:tcBorders>
              <w:top w:val="single" w:sz="4" w:space="0" w:color="auto"/>
              <w:left w:val="single" w:sz="4" w:space="0" w:color="auto"/>
              <w:bottom w:val="single" w:sz="4" w:space="0" w:color="auto"/>
              <w:right w:val="single" w:sz="4" w:space="0" w:color="auto"/>
            </w:tcBorders>
            <w:vAlign w:val="center"/>
          </w:tcPr>
          <w:p w:rsidR="001570C4" w:rsidRPr="005156AC" w:rsidRDefault="001570C4" w:rsidP="00011BBD">
            <w:pPr>
              <w:keepNext/>
              <w:keepLines/>
              <w:rPr>
                <w:rFonts w:ascii="Arial Narrow" w:hAnsi="Arial Narrow"/>
                <w:sz w:val="20"/>
              </w:rPr>
            </w:pPr>
            <w:r w:rsidRPr="005156AC">
              <w:rPr>
                <w:rFonts w:ascii="Arial Narrow" w:hAnsi="Arial Narrow"/>
                <w:sz w:val="20"/>
              </w:rPr>
              <w:t>Using inputs from the NICE model</w:t>
            </w:r>
            <w:r w:rsidRPr="005156AC">
              <w:rPr>
                <w:rFonts w:ascii="Arial Narrow" w:hAnsi="Arial Narrow"/>
                <w:sz w:val="20"/>
                <w:vertAlign w:val="superscript"/>
              </w:rPr>
              <w:t>a</w:t>
            </w:r>
          </w:p>
        </w:tc>
        <w:tc>
          <w:tcPr>
            <w:tcW w:w="724"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right"/>
              <w:rPr>
                <w:rFonts w:ascii="Arial Narrow" w:hAnsi="Arial Narrow"/>
                <w:color w:val="000000"/>
                <w:sz w:val="20"/>
              </w:rPr>
            </w:pPr>
            <w:r w:rsidRPr="005156AC">
              <w:rPr>
                <w:rFonts w:ascii="Arial Narrow" w:hAnsi="Arial Narrow"/>
                <w:color w:val="000000"/>
                <w:sz w:val="20"/>
              </w:rPr>
              <w:t>$</w:t>
            </w:r>
            <w:r w:rsidR="00A54692">
              <w:rPr>
                <w:rFonts w:ascii="Arial Narrow" w:hAnsi="Arial Narrow"/>
                <w:noProof/>
                <w:color w:val="000000"/>
                <w:sz w:val="20"/>
                <w:highlight w:val="black"/>
              </w:rPr>
              <w:t>'''''''''''''''''</w:t>
            </w:r>
          </w:p>
        </w:tc>
        <w:tc>
          <w:tcPr>
            <w:tcW w:w="724"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center"/>
              <w:rPr>
                <w:rFonts w:ascii="Arial Narrow" w:hAnsi="Arial Narrow"/>
                <w:color w:val="000000"/>
                <w:sz w:val="20"/>
              </w:rPr>
            </w:pPr>
            <w:r w:rsidRPr="005156AC">
              <w:rPr>
                <w:rFonts w:ascii="Arial Narrow" w:hAnsi="Arial Narrow"/>
                <w:color w:val="000000"/>
                <w:sz w:val="20"/>
              </w:rPr>
              <w:t>1.358</w:t>
            </w:r>
          </w:p>
        </w:tc>
        <w:tc>
          <w:tcPr>
            <w:tcW w:w="553"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right"/>
              <w:rPr>
                <w:rFonts w:ascii="Arial Narrow" w:hAnsi="Arial Narrow"/>
                <w:color w:val="000000"/>
                <w:sz w:val="20"/>
              </w:rPr>
            </w:pPr>
            <w:r w:rsidRPr="005156AC">
              <w:rPr>
                <w:rFonts w:ascii="Arial Narrow" w:hAnsi="Arial Narrow"/>
                <w:color w:val="000000"/>
                <w:sz w:val="20"/>
              </w:rPr>
              <w:t>$</w:t>
            </w:r>
            <w:r w:rsidR="00A54692">
              <w:rPr>
                <w:rFonts w:ascii="Arial Narrow" w:hAnsi="Arial Narrow"/>
                <w:noProof/>
                <w:color w:val="000000"/>
                <w:sz w:val="20"/>
                <w:highlight w:val="black"/>
              </w:rPr>
              <w:t>'''''''''''''''</w:t>
            </w:r>
          </w:p>
        </w:tc>
      </w:tr>
      <w:tr w:rsidR="001570C4" w:rsidRPr="005156AC" w:rsidTr="001570C4">
        <w:tc>
          <w:tcPr>
            <w:tcW w:w="1105" w:type="pct"/>
            <w:vMerge w:val="restart"/>
            <w:tcBorders>
              <w:top w:val="single" w:sz="4" w:space="0" w:color="auto"/>
              <w:left w:val="single" w:sz="4" w:space="0" w:color="auto"/>
              <w:right w:val="single" w:sz="4" w:space="0" w:color="auto"/>
            </w:tcBorders>
          </w:tcPr>
          <w:p w:rsidR="001570C4" w:rsidRPr="005156AC" w:rsidRDefault="001570C4" w:rsidP="00011BBD">
            <w:pPr>
              <w:keepNext/>
              <w:keepLines/>
              <w:jc w:val="left"/>
              <w:rPr>
                <w:rFonts w:ascii="Arial Narrow" w:hAnsi="Arial Narrow"/>
                <w:sz w:val="20"/>
              </w:rPr>
            </w:pPr>
            <w:r w:rsidRPr="005156AC">
              <w:rPr>
                <w:rFonts w:ascii="Arial Narrow" w:hAnsi="Arial Narrow"/>
                <w:sz w:val="20"/>
              </w:rPr>
              <w:t>Utilities (base case: sourced from Wright et al 2006)</w:t>
            </w:r>
          </w:p>
        </w:tc>
        <w:tc>
          <w:tcPr>
            <w:tcW w:w="1895" w:type="pct"/>
            <w:tcBorders>
              <w:top w:val="single" w:sz="4" w:space="0" w:color="auto"/>
              <w:left w:val="single" w:sz="4" w:space="0" w:color="auto"/>
              <w:bottom w:val="single" w:sz="4" w:space="0" w:color="auto"/>
              <w:right w:val="single" w:sz="4" w:space="0" w:color="auto"/>
            </w:tcBorders>
            <w:vAlign w:val="center"/>
          </w:tcPr>
          <w:p w:rsidR="001570C4" w:rsidRPr="005156AC" w:rsidRDefault="001570C4" w:rsidP="00011BBD">
            <w:pPr>
              <w:keepNext/>
              <w:keepLines/>
              <w:rPr>
                <w:rFonts w:ascii="Arial Narrow" w:hAnsi="Arial Narrow"/>
                <w:sz w:val="20"/>
              </w:rPr>
            </w:pPr>
            <w:r w:rsidRPr="005156AC">
              <w:rPr>
                <w:rFonts w:ascii="Arial Narrow" w:hAnsi="Arial Narrow"/>
                <w:sz w:val="20"/>
              </w:rPr>
              <w:t>Using Townsend utility values</w:t>
            </w:r>
          </w:p>
        </w:tc>
        <w:tc>
          <w:tcPr>
            <w:tcW w:w="724"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right"/>
              <w:rPr>
                <w:rFonts w:ascii="Arial Narrow" w:hAnsi="Arial Narrow"/>
                <w:color w:val="000000"/>
                <w:sz w:val="20"/>
              </w:rPr>
            </w:pPr>
            <w:r w:rsidRPr="005156AC">
              <w:rPr>
                <w:rFonts w:ascii="Arial Narrow" w:hAnsi="Arial Narrow"/>
                <w:color w:val="000000"/>
                <w:sz w:val="20"/>
              </w:rPr>
              <w:t>$</w:t>
            </w:r>
            <w:r w:rsidR="00A54692">
              <w:rPr>
                <w:rFonts w:ascii="Arial Narrow" w:hAnsi="Arial Narrow"/>
                <w:noProof/>
                <w:color w:val="000000"/>
                <w:sz w:val="20"/>
                <w:highlight w:val="black"/>
              </w:rPr>
              <w:t>'''''''''''''''</w:t>
            </w:r>
          </w:p>
        </w:tc>
        <w:tc>
          <w:tcPr>
            <w:tcW w:w="724"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center"/>
              <w:rPr>
                <w:rFonts w:ascii="Arial Narrow" w:hAnsi="Arial Narrow"/>
                <w:color w:val="000000"/>
                <w:sz w:val="20"/>
              </w:rPr>
            </w:pPr>
            <w:r w:rsidRPr="005156AC">
              <w:rPr>
                <w:rFonts w:ascii="Arial Narrow" w:hAnsi="Arial Narrow"/>
                <w:color w:val="000000"/>
                <w:sz w:val="20"/>
              </w:rPr>
              <w:t>1.145</w:t>
            </w:r>
          </w:p>
        </w:tc>
        <w:tc>
          <w:tcPr>
            <w:tcW w:w="553"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right"/>
              <w:rPr>
                <w:rFonts w:ascii="Arial Narrow" w:hAnsi="Arial Narrow"/>
                <w:color w:val="000000"/>
                <w:sz w:val="20"/>
              </w:rPr>
            </w:pPr>
            <w:r w:rsidRPr="005156AC">
              <w:rPr>
                <w:rFonts w:ascii="Arial Narrow" w:hAnsi="Arial Narrow"/>
                <w:color w:val="000000"/>
                <w:sz w:val="20"/>
              </w:rPr>
              <w:t>$</w:t>
            </w:r>
            <w:r w:rsidR="00A54692">
              <w:rPr>
                <w:rFonts w:ascii="Arial Narrow" w:hAnsi="Arial Narrow"/>
                <w:noProof/>
                <w:color w:val="000000"/>
                <w:sz w:val="20"/>
                <w:highlight w:val="black"/>
              </w:rPr>
              <w:t>''''''''''''''''</w:t>
            </w:r>
          </w:p>
        </w:tc>
      </w:tr>
      <w:tr w:rsidR="001570C4" w:rsidRPr="005156AC" w:rsidTr="001570C4">
        <w:tc>
          <w:tcPr>
            <w:tcW w:w="1105" w:type="pct"/>
            <w:vMerge/>
            <w:tcBorders>
              <w:top w:val="single" w:sz="4" w:space="0" w:color="auto"/>
              <w:left w:val="single" w:sz="4" w:space="0" w:color="auto"/>
              <w:right w:val="single" w:sz="4" w:space="0" w:color="auto"/>
            </w:tcBorders>
          </w:tcPr>
          <w:p w:rsidR="001570C4" w:rsidRPr="005156AC" w:rsidRDefault="001570C4" w:rsidP="00011BBD">
            <w:pPr>
              <w:keepNext/>
              <w:keepLines/>
              <w:jc w:val="left"/>
              <w:rPr>
                <w:rFonts w:ascii="Arial Narrow" w:hAnsi="Arial Narrow"/>
                <w:sz w:val="20"/>
              </w:rPr>
            </w:pPr>
          </w:p>
        </w:tc>
        <w:tc>
          <w:tcPr>
            <w:tcW w:w="1895" w:type="pct"/>
            <w:tcBorders>
              <w:top w:val="single" w:sz="4" w:space="0" w:color="auto"/>
              <w:left w:val="single" w:sz="4" w:space="0" w:color="auto"/>
              <w:bottom w:val="single" w:sz="4" w:space="0" w:color="auto"/>
              <w:right w:val="single" w:sz="4" w:space="0" w:color="auto"/>
            </w:tcBorders>
            <w:vAlign w:val="center"/>
          </w:tcPr>
          <w:p w:rsidR="001570C4" w:rsidRPr="005156AC" w:rsidRDefault="001570C4" w:rsidP="00011BBD">
            <w:pPr>
              <w:keepNext/>
              <w:keepLines/>
              <w:rPr>
                <w:rFonts w:ascii="Arial Narrow" w:hAnsi="Arial Narrow"/>
                <w:sz w:val="20"/>
              </w:rPr>
            </w:pPr>
            <w:r w:rsidRPr="005156AC">
              <w:rPr>
                <w:rFonts w:ascii="Arial Narrow" w:hAnsi="Arial Narrow"/>
                <w:sz w:val="20"/>
              </w:rPr>
              <w:t>Using Townsend utility values, but  assuming a 0.05 utility gain due to achieving SVR</w:t>
            </w:r>
          </w:p>
        </w:tc>
        <w:tc>
          <w:tcPr>
            <w:tcW w:w="724"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right"/>
              <w:rPr>
                <w:rFonts w:ascii="Arial Narrow" w:hAnsi="Arial Narrow"/>
                <w:color w:val="000000"/>
                <w:sz w:val="20"/>
              </w:rPr>
            </w:pPr>
            <w:r w:rsidRPr="005156AC">
              <w:rPr>
                <w:rFonts w:ascii="Arial Narrow" w:hAnsi="Arial Narrow"/>
                <w:color w:val="000000"/>
                <w:sz w:val="20"/>
              </w:rPr>
              <w:t>$</w:t>
            </w:r>
            <w:r w:rsidR="00A54692">
              <w:rPr>
                <w:rFonts w:ascii="Arial Narrow" w:hAnsi="Arial Narrow"/>
                <w:noProof/>
                <w:color w:val="000000"/>
                <w:sz w:val="20"/>
                <w:highlight w:val="black"/>
              </w:rPr>
              <w:t>''''''''''''''''</w:t>
            </w:r>
          </w:p>
        </w:tc>
        <w:tc>
          <w:tcPr>
            <w:tcW w:w="724"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center"/>
              <w:rPr>
                <w:rFonts w:ascii="Arial Narrow" w:hAnsi="Arial Narrow"/>
                <w:color w:val="000000"/>
                <w:sz w:val="20"/>
              </w:rPr>
            </w:pPr>
            <w:r w:rsidRPr="005156AC">
              <w:rPr>
                <w:rFonts w:ascii="Arial Narrow" w:hAnsi="Arial Narrow"/>
                <w:color w:val="000000"/>
                <w:sz w:val="20"/>
              </w:rPr>
              <w:t>1.518</w:t>
            </w:r>
          </w:p>
        </w:tc>
        <w:tc>
          <w:tcPr>
            <w:tcW w:w="553"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right"/>
              <w:rPr>
                <w:rFonts w:ascii="Arial Narrow" w:hAnsi="Arial Narrow"/>
                <w:color w:val="000000"/>
                <w:sz w:val="20"/>
              </w:rPr>
            </w:pPr>
            <w:r w:rsidRPr="005156AC">
              <w:rPr>
                <w:rFonts w:ascii="Arial Narrow" w:hAnsi="Arial Narrow"/>
                <w:color w:val="000000"/>
                <w:sz w:val="20"/>
              </w:rPr>
              <w:t>$</w:t>
            </w:r>
            <w:r w:rsidR="00A54692">
              <w:rPr>
                <w:rFonts w:ascii="Arial Narrow" w:hAnsi="Arial Narrow"/>
                <w:noProof/>
                <w:color w:val="000000"/>
                <w:sz w:val="20"/>
                <w:highlight w:val="black"/>
              </w:rPr>
              <w:t>'''''''''''''''</w:t>
            </w:r>
          </w:p>
        </w:tc>
      </w:tr>
      <w:tr w:rsidR="001570C4" w:rsidRPr="005156AC" w:rsidTr="001570C4">
        <w:tc>
          <w:tcPr>
            <w:tcW w:w="1105" w:type="pct"/>
            <w:vMerge/>
            <w:tcBorders>
              <w:left w:val="single" w:sz="4" w:space="0" w:color="auto"/>
              <w:right w:val="single" w:sz="4" w:space="0" w:color="auto"/>
            </w:tcBorders>
          </w:tcPr>
          <w:p w:rsidR="001570C4" w:rsidRPr="005156AC" w:rsidRDefault="001570C4" w:rsidP="00011BBD">
            <w:pPr>
              <w:keepNext/>
              <w:keepLines/>
              <w:jc w:val="left"/>
              <w:rPr>
                <w:rFonts w:ascii="Arial Narrow" w:hAnsi="Arial Narrow"/>
                <w:sz w:val="20"/>
              </w:rPr>
            </w:pPr>
          </w:p>
        </w:tc>
        <w:tc>
          <w:tcPr>
            <w:tcW w:w="1895" w:type="pct"/>
            <w:tcBorders>
              <w:top w:val="single" w:sz="4" w:space="0" w:color="auto"/>
              <w:left w:val="single" w:sz="4" w:space="0" w:color="auto"/>
              <w:bottom w:val="single" w:sz="4" w:space="0" w:color="auto"/>
              <w:right w:val="single" w:sz="4" w:space="0" w:color="auto"/>
            </w:tcBorders>
            <w:vAlign w:val="center"/>
          </w:tcPr>
          <w:p w:rsidR="001570C4" w:rsidRPr="005156AC" w:rsidRDefault="001570C4" w:rsidP="00011BBD">
            <w:pPr>
              <w:keepNext/>
              <w:keepLines/>
              <w:rPr>
                <w:rFonts w:ascii="Arial Narrow" w:hAnsi="Arial Narrow"/>
                <w:sz w:val="20"/>
              </w:rPr>
            </w:pPr>
            <w:r w:rsidRPr="005156AC">
              <w:rPr>
                <w:rFonts w:ascii="Arial Narrow" w:hAnsi="Arial Narrow"/>
                <w:sz w:val="20"/>
              </w:rPr>
              <w:t>Using Wright utility values, but assuming no utility increment due to achieving SVR</w:t>
            </w:r>
          </w:p>
        </w:tc>
        <w:tc>
          <w:tcPr>
            <w:tcW w:w="724"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right"/>
              <w:rPr>
                <w:rFonts w:ascii="Arial Narrow" w:hAnsi="Arial Narrow"/>
                <w:color w:val="000000"/>
                <w:sz w:val="20"/>
              </w:rPr>
            </w:pPr>
            <w:r w:rsidRPr="005156AC">
              <w:rPr>
                <w:rFonts w:ascii="Arial Narrow" w:hAnsi="Arial Narrow"/>
                <w:color w:val="000000"/>
                <w:sz w:val="20"/>
              </w:rPr>
              <w:t>$</w:t>
            </w:r>
            <w:r w:rsidR="00A54692">
              <w:rPr>
                <w:rFonts w:ascii="Arial Narrow" w:hAnsi="Arial Narrow"/>
                <w:noProof/>
                <w:color w:val="000000"/>
                <w:sz w:val="20"/>
                <w:highlight w:val="black"/>
              </w:rPr>
              <w:t>'''''''''''''''''</w:t>
            </w:r>
          </w:p>
        </w:tc>
        <w:tc>
          <w:tcPr>
            <w:tcW w:w="724"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center"/>
              <w:rPr>
                <w:rFonts w:ascii="Arial Narrow" w:hAnsi="Arial Narrow"/>
                <w:color w:val="000000"/>
                <w:sz w:val="20"/>
              </w:rPr>
            </w:pPr>
            <w:r w:rsidRPr="005156AC">
              <w:rPr>
                <w:rFonts w:ascii="Arial Narrow" w:hAnsi="Arial Narrow"/>
                <w:color w:val="000000"/>
                <w:sz w:val="20"/>
              </w:rPr>
              <w:t>1.026</w:t>
            </w:r>
          </w:p>
        </w:tc>
        <w:tc>
          <w:tcPr>
            <w:tcW w:w="553"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right"/>
              <w:rPr>
                <w:rFonts w:ascii="Arial Narrow" w:hAnsi="Arial Narrow"/>
                <w:color w:val="000000"/>
                <w:sz w:val="20"/>
              </w:rPr>
            </w:pPr>
            <w:r w:rsidRPr="005156AC">
              <w:rPr>
                <w:rFonts w:ascii="Arial Narrow" w:hAnsi="Arial Narrow"/>
                <w:color w:val="000000"/>
                <w:sz w:val="20"/>
              </w:rPr>
              <w:t>$</w:t>
            </w:r>
            <w:r w:rsidR="00A54692">
              <w:rPr>
                <w:rFonts w:ascii="Arial Narrow" w:hAnsi="Arial Narrow"/>
                <w:noProof/>
                <w:color w:val="000000"/>
                <w:sz w:val="20"/>
                <w:highlight w:val="black"/>
              </w:rPr>
              <w:t>'''''''''''''''</w:t>
            </w:r>
          </w:p>
        </w:tc>
      </w:tr>
      <w:tr w:rsidR="001570C4" w:rsidRPr="005156AC" w:rsidTr="001570C4">
        <w:tc>
          <w:tcPr>
            <w:tcW w:w="5000" w:type="pct"/>
            <w:gridSpan w:val="5"/>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rPr>
                <w:rFonts w:ascii="Arial Narrow" w:hAnsi="Arial Narrow"/>
                <w:color w:val="000000"/>
                <w:sz w:val="20"/>
              </w:rPr>
            </w:pPr>
            <w:r w:rsidRPr="005156AC">
              <w:rPr>
                <w:rFonts w:ascii="Arial Narrow" w:hAnsi="Arial Narrow"/>
                <w:color w:val="000000"/>
                <w:sz w:val="20"/>
              </w:rPr>
              <w:t>Multivariate analyses</w:t>
            </w:r>
          </w:p>
        </w:tc>
      </w:tr>
      <w:tr w:rsidR="001570C4" w:rsidRPr="005156AC" w:rsidTr="001570C4">
        <w:tc>
          <w:tcPr>
            <w:tcW w:w="1105" w:type="pct"/>
            <w:tcBorders>
              <w:left w:val="single" w:sz="4" w:space="0" w:color="auto"/>
              <w:right w:val="single" w:sz="4" w:space="0" w:color="auto"/>
            </w:tcBorders>
          </w:tcPr>
          <w:p w:rsidR="001570C4" w:rsidRPr="005156AC" w:rsidRDefault="001570C4" w:rsidP="00011BBD">
            <w:pPr>
              <w:keepNext/>
              <w:keepLines/>
              <w:jc w:val="left"/>
              <w:rPr>
                <w:rFonts w:ascii="Arial Narrow" w:hAnsi="Arial Narrow"/>
                <w:sz w:val="20"/>
              </w:rPr>
            </w:pPr>
            <w:r w:rsidRPr="005156AC">
              <w:rPr>
                <w:rFonts w:ascii="Arial Narrow" w:hAnsi="Arial Narrow"/>
                <w:sz w:val="20"/>
              </w:rPr>
              <w:t xml:space="preserve">Time horizon </w:t>
            </w:r>
          </w:p>
          <w:p w:rsidR="001570C4" w:rsidRPr="005156AC" w:rsidRDefault="001570C4" w:rsidP="00011BBD">
            <w:pPr>
              <w:keepNext/>
              <w:keepLines/>
              <w:jc w:val="left"/>
              <w:rPr>
                <w:rFonts w:ascii="Arial Narrow" w:hAnsi="Arial Narrow"/>
                <w:sz w:val="20"/>
              </w:rPr>
            </w:pPr>
            <w:r w:rsidRPr="005156AC">
              <w:rPr>
                <w:rFonts w:ascii="Arial Narrow" w:hAnsi="Arial Narrow"/>
                <w:sz w:val="20"/>
              </w:rPr>
              <w:t>+Transition probabilities</w:t>
            </w:r>
          </w:p>
        </w:tc>
        <w:tc>
          <w:tcPr>
            <w:tcW w:w="1895" w:type="pct"/>
            <w:tcBorders>
              <w:top w:val="single" w:sz="4" w:space="0" w:color="auto"/>
              <w:left w:val="single" w:sz="4" w:space="0" w:color="auto"/>
              <w:bottom w:val="single" w:sz="4" w:space="0" w:color="auto"/>
              <w:right w:val="single" w:sz="4" w:space="0" w:color="auto"/>
            </w:tcBorders>
            <w:vAlign w:val="center"/>
          </w:tcPr>
          <w:p w:rsidR="001570C4" w:rsidRPr="005156AC" w:rsidRDefault="001570C4" w:rsidP="00011BBD">
            <w:pPr>
              <w:keepNext/>
              <w:keepLines/>
              <w:rPr>
                <w:rFonts w:ascii="Arial Narrow" w:hAnsi="Arial Narrow"/>
                <w:sz w:val="20"/>
              </w:rPr>
            </w:pPr>
            <w:r w:rsidRPr="005156AC">
              <w:rPr>
                <w:rFonts w:ascii="Arial Narrow" w:hAnsi="Arial Narrow"/>
                <w:sz w:val="20"/>
              </w:rPr>
              <w:t xml:space="preserve">30 years </w:t>
            </w:r>
          </w:p>
          <w:p w:rsidR="001570C4" w:rsidRPr="005156AC" w:rsidRDefault="001570C4" w:rsidP="00011BBD">
            <w:pPr>
              <w:keepNext/>
              <w:keepLines/>
              <w:rPr>
                <w:rFonts w:ascii="Arial Narrow" w:hAnsi="Arial Narrow"/>
                <w:sz w:val="20"/>
              </w:rPr>
            </w:pPr>
            <w:r w:rsidRPr="005156AC">
              <w:rPr>
                <w:rFonts w:ascii="Arial Narrow" w:hAnsi="Arial Narrow"/>
                <w:sz w:val="20"/>
              </w:rPr>
              <w:t>Using inputs from the NICE model</w:t>
            </w:r>
            <w:r w:rsidRPr="005156AC">
              <w:rPr>
                <w:rFonts w:ascii="Arial Narrow" w:hAnsi="Arial Narrow"/>
                <w:sz w:val="20"/>
                <w:vertAlign w:val="superscript"/>
              </w:rPr>
              <w:t>a</w:t>
            </w:r>
          </w:p>
        </w:tc>
        <w:tc>
          <w:tcPr>
            <w:tcW w:w="724"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right"/>
              <w:rPr>
                <w:rFonts w:ascii="Arial Narrow" w:hAnsi="Arial Narrow"/>
                <w:color w:val="000000"/>
                <w:sz w:val="20"/>
              </w:rPr>
            </w:pPr>
            <w:r w:rsidRPr="005156AC">
              <w:rPr>
                <w:rFonts w:ascii="Arial Narrow" w:hAnsi="Arial Narrow"/>
                <w:color w:val="000000"/>
                <w:sz w:val="20"/>
              </w:rPr>
              <w:t>$</w:t>
            </w:r>
            <w:r w:rsidR="00A54692">
              <w:rPr>
                <w:rFonts w:ascii="Arial Narrow" w:hAnsi="Arial Narrow"/>
                <w:noProof/>
                <w:color w:val="000000"/>
                <w:sz w:val="20"/>
                <w:highlight w:val="black"/>
              </w:rPr>
              <w:t>''''''''''''''''</w:t>
            </w:r>
          </w:p>
        </w:tc>
        <w:tc>
          <w:tcPr>
            <w:tcW w:w="724"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center"/>
              <w:rPr>
                <w:rFonts w:ascii="Arial Narrow" w:hAnsi="Arial Narrow"/>
                <w:color w:val="000000"/>
                <w:sz w:val="20"/>
              </w:rPr>
            </w:pPr>
            <w:r w:rsidRPr="005156AC">
              <w:rPr>
                <w:rFonts w:ascii="Arial Narrow" w:hAnsi="Arial Narrow"/>
                <w:color w:val="000000"/>
                <w:sz w:val="20"/>
              </w:rPr>
              <w:t>1.193</w:t>
            </w:r>
          </w:p>
        </w:tc>
        <w:tc>
          <w:tcPr>
            <w:tcW w:w="553"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right"/>
              <w:rPr>
                <w:rFonts w:ascii="Arial Narrow" w:hAnsi="Arial Narrow"/>
                <w:color w:val="000000"/>
                <w:sz w:val="20"/>
              </w:rPr>
            </w:pPr>
            <w:r w:rsidRPr="005156AC">
              <w:rPr>
                <w:rFonts w:ascii="Arial Narrow" w:hAnsi="Arial Narrow"/>
                <w:color w:val="000000"/>
                <w:sz w:val="20"/>
              </w:rPr>
              <w:t>$</w:t>
            </w:r>
            <w:r w:rsidR="00A54692">
              <w:rPr>
                <w:rFonts w:ascii="Arial Narrow" w:hAnsi="Arial Narrow"/>
                <w:noProof/>
                <w:color w:val="000000"/>
                <w:sz w:val="20"/>
                <w:highlight w:val="black"/>
              </w:rPr>
              <w:t>''''''''''''''''''</w:t>
            </w:r>
          </w:p>
        </w:tc>
      </w:tr>
      <w:tr w:rsidR="001570C4" w:rsidRPr="005156AC" w:rsidTr="001570C4">
        <w:tc>
          <w:tcPr>
            <w:tcW w:w="1105" w:type="pct"/>
            <w:tcBorders>
              <w:left w:val="single" w:sz="4" w:space="0" w:color="auto"/>
              <w:right w:val="single" w:sz="4" w:space="0" w:color="auto"/>
            </w:tcBorders>
          </w:tcPr>
          <w:p w:rsidR="001570C4" w:rsidRPr="005156AC" w:rsidRDefault="001570C4" w:rsidP="00011BBD">
            <w:pPr>
              <w:keepNext/>
              <w:keepLines/>
              <w:jc w:val="left"/>
              <w:rPr>
                <w:rFonts w:ascii="Arial Narrow" w:hAnsi="Arial Narrow"/>
                <w:sz w:val="20"/>
              </w:rPr>
            </w:pPr>
            <w:r w:rsidRPr="005156AC">
              <w:rPr>
                <w:rFonts w:ascii="Arial Narrow" w:hAnsi="Arial Narrow"/>
                <w:sz w:val="20"/>
              </w:rPr>
              <w:t xml:space="preserve">Time horizon </w:t>
            </w:r>
          </w:p>
          <w:p w:rsidR="001570C4" w:rsidRPr="005156AC" w:rsidRDefault="001570C4" w:rsidP="00011BBD">
            <w:pPr>
              <w:keepNext/>
              <w:keepLines/>
              <w:jc w:val="left"/>
              <w:rPr>
                <w:rFonts w:ascii="Arial Narrow" w:hAnsi="Arial Narrow"/>
                <w:sz w:val="20"/>
              </w:rPr>
            </w:pPr>
            <w:r w:rsidRPr="005156AC">
              <w:rPr>
                <w:rFonts w:ascii="Arial Narrow" w:hAnsi="Arial Narrow"/>
                <w:sz w:val="20"/>
              </w:rPr>
              <w:t>+Transition probabilities</w:t>
            </w:r>
          </w:p>
          <w:p w:rsidR="001570C4" w:rsidRPr="005156AC" w:rsidRDefault="001570C4" w:rsidP="00011BBD">
            <w:pPr>
              <w:keepNext/>
              <w:keepLines/>
              <w:jc w:val="left"/>
              <w:rPr>
                <w:rFonts w:ascii="Arial Narrow" w:hAnsi="Arial Narrow"/>
                <w:sz w:val="20"/>
              </w:rPr>
            </w:pPr>
            <w:r w:rsidRPr="005156AC">
              <w:rPr>
                <w:rFonts w:ascii="Arial Narrow" w:hAnsi="Arial Narrow"/>
                <w:sz w:val="20"/>
              </w:rPr>
              <w:t>+Utilities</w:t>
            </w:r>
          </w:p>
        </w:tc>
        <w:tc>
          <w:tcPr>
            <w:tcW w:w="1895" w:type="pct"/>
            <w:tcBorders>
              <w:top w:val="single" w:sz="4" w:space="0" w:color="auto"/>
              <w:left w:val="single" w:sz="4" w:space="0" w:color="auto"/>
              <w:bottom w:val="single" w:sz="4" w:space="0" w:color="auto"/>
              <w:right w:val="single" w:sz="4" w:space="0" w:color="auto"/>
            </w:tcBorders>
            <w:vAlign w:val="center"/>
          </w:tcPr>
          <w:p w:rsidR="001570C4" w:rsidRPr="005156AC" w:rsidRDefault="001570C4" w:rsidP="00011BBD">
            <w:pPr>
              <w:keepNext/>
              <w:keepLines/>
              <w:rPr>
                <w:rFonts w:ascii="Arial Narrow" w:hAnsi="Arial Narrow"/>
                <w:sz w:val="20"/>
              </w:rPr>
            </w:pPr>
            <w:r w:rsidRPr="005156AC">
              <w:rPr>
                <w:rFonts w:ascii="Arial Narrow" w:hAnsi="Arial Narrow"/>
                <w:sz w:val="20"/>
              </w:rPr>
              <w:t xml:space="preserve">30 years </w:t>
            </w:r>
          </w:p>
          <w:p w:rsidR="001570C4" w:rsidRPr="005156AC" w:rsidRDefault="001570C4" w:rsidP="00011BBD">
            <w:pPr>
              <w:keepNext/>
              <w:keepLines/>
              <w:rPr>
                <w:rFonts w:ascii="Arial Narrow" w:hAnsi="Arial Narrow"/>
                <w:sz w:val="20"/>
              </w:rPr>
            </w:pPr>
            <w:r w:rsidRPr="005156AC">
              <w:rPr>
                <w:rFonts w:ascii="Arial Narrow" w:hAnsi="Arial Narrow"/>
                <w:sz w:val="20"/>
              </w:rPr>
              <w:t>Using inputs from the NICE model</w:t>
            </w:r>
            <w:r w:rsidRPr="005156AC">
              <w:rPr>
                <w:rFonts w:ascii="Arial Narrow" w:hAnsi="Arial Narrow"/>
                <w:sz w:val="20"/>
                <w:vertAlign w:val="superscript"/>
              </w:rPr>
              <w:t>a</w:t>
            </w:r>
          </w:p>
          <w:p w:rsidR="001570C4" w:rsidRPr="005156AC" w:rsidRDefault="001570C4" w:rsidP="00011BBD">
            <w:pPr>
              <w:keepNext/>
              <w:keepLines/>
              <w:rPr>
                <w:rFonts w:ascii="Arial Narrow" w:hAnsi="Arial Narrow"/>
                <w:sz w:val="20"/>
              </w:rPr>
            </w:pPr>
            <w:r w:rsidRPr="005156AC">
              <w:rPr>
                <w:rFonts w:ascii="Arial Narrow" w:hAnsi="Arial Narrow"/>
                <w:sz w:val="20"/>
              </w:rPr>
              <w:t>Using Townsend utility values</w:t>
            </w:r>
          </w:p>
        </w:tc>
        <w:tc>
          <w:tcPr>
            <w:tcW w:w="724"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right"/>
              <w:rPr>
                <w:rFonts w:ascii="Arial Narrow" w:hAnsi="Arial Narrow"/>
                <w:color w:val="000000"/>
                <w:sz w:val="20"/>
              </w:rPr>
            </w:pPr>
            <w:r w:rsidRPr="005156AC">
              <w:rPr>
                <w:rFonts w:ascii="Arial Narrow" w:hAnsi="Arial Narrow"/>
                <w:color w:val="000000"/>
                <w:sz w:val="20"/>
              </w:rPr>
              <w:t>$</w:t>
            </w:r>
            <w:r w:rsidR="00A54692">
              <w:rPr>
                <w:rFonts w:ascii="Arial Narrow" w:hAnsi="Arial Narrow"/>
                <w:noProof/>
                <w:color w:val="000000"/>
                <w:sz w:val="20"/>
                <w:highlight w:val="black"/>
              </w:rPr>
              <w:t>'''''''''''''''''</w:t>
            </w:r>
          </w:p>
        </w:tc>
        <w:tc>
          <w:tcPr>
            <w:tcW w:w="724"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center"/>
              <w:rPr>
                <w:rFonts w:ascii="Arial Narrow" w:hAnsi="Arial Narrow"/>
                <w:color w:val="000000"/>
                <w:sz w:val="20"/>
              </w:rPr>
            </w:pPr>
            <w:r w:rsidRPr="005156AC">
              <w:rPr>
                <w:rFonts w:ascii="Arial Narrow" w:hAnsi="Arial Narrow"/>
                <w:color w:val="000000"/>
                <w:sz w:val="20"/>
              </w:rPr>
              <w:t>0.758</w:t>
            </w:r>
          </w:p>
        </w:tc>
        <w:tc>
          <w:tcPr>
            <w:tcW w:w="553"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right"/>
              <w:rPr>
                <w:rFonts w:ascii="Arial Narrow" w:hAnsi="Arial Narrow"/>
                <w:color w:val="000000"/>
                <w:sz w:val="20"/>
              </w:rPr>
            </w:pPr>
            <w:r w:rsidRPr="005156AC">
              <w:rPr>
                <w:rFonts w:ascii="Arial Narrow" w:hAnsi="Arial Narrow"/>
                <w:color w:val="000000"/>
                <w:sz w:val="20"/>
              </w:rPr>
              <w:t>$</w:t>
            </w:r>
            <w:r w:rsidR="00A54692">
              <w:rPr>
                <w:rFonts w:ascii="Arial Narrow" w:hAnsi="Arial Narrow"/>
                <w:noProof/>
                <w:color w:val="000000"/>
                <w:sz w:val="20"/>
                <w:highlight w:val="black"/>
              </w:rPr>
              <w:t>''''''''''''''''</w:t>
            </w:r>
          </w:p>
        </w:tc>
      </w:tr>
      <w:tr w:rsidR="001570C4" w:rsidRPr="005156AC" w:rsidTr="001570C4">
        <w:tc>
          <w:tcPr>
            <w:tcW w:w="1105" w:type="pct"/>
            <w:tcBorders>
              <w:left w:val="single" w:sz="4" w:space="0" w:color="auto"/>
              <w:right w:val="single" w:sz="4" w:space="0" w:color="auto"/>
            </w:tcBorders>
          </w:tcPr>
          <w:p w:rsidR="001570C4" w:rsidRPr="005156AC" w:rsidRDefault="001570C4" w:rsidP="00011BBD">
            <w:pPr>
              <w:keepNext/>
              <w:keepLines/>
              <w:jc w:val="left"/>
              <w:rPr>
                <w:rFonts w:ascii="Arial Narrow" w:hAnsi="Arial Narrow"/>
                <w:sz w:val="20"/>
              </w:rPr>
            </w:pPr>
            <w:r w:rsidRPr="005156AC">
              <w:rPr>
                <w:rFonts w:ascii="Arial Narrow" w:hAnsi="Arial Narrow"/>
                <w:sz w:val="20"/>
              </w:rPr>
              <w:t xml:space="preserve">Time horizon </w:t>
            </w:r>
          </w:p>
          <w:p w:rsidR="001570C4" w:rsidRPr="005156AC" w:rsidRDefault="001570C4" w:rsidP="00011BBD">
            <w:pPr>
              <w:keepNext/>
              <w:keepLines/>
              <w:jc w:val="left"/>
              <w:rPr>
                <w:rFonts w:ascii="Arial Narrow" w:hAnsi="Arial Narrow"/>
                <w:sz w:val="20"/>
              </w:rPr>
            </w:pPr>
            <w:r w:rsidRPr="005156AC">
              <w:rPr>
                <w:rFonts w:ascii="Arial Narrow" w:hAnsi="Arial Narrow"/>
                <w:sz w:val="20"/>
              </w:rPr>
              <w:t>+Transition probabilities</w:t>
            </w:r>
          </w:p>
          <w:p w:rsidR="001570C4" w:rsidRPr="005156AC" w:rsidRDefault="001570C4" w:rsidP="00011BBD">
            <w:pPr>
              <w:keepNext/>
              <w:keepLines/>
              <w:jc w:val="left"/>
              <w:rPr>
                <w:rFonts w:ascii="Arial Narrow" w:hAnsi="Arial Narrow"/>
                <w:sz w:val="20"/>
              </w:rPr>
            </w:pPr>
            <w:r w:rsidRPr="005156AC">
              <w:rPr>
                <w:rFonts w:ascii="Arial Narrow" w:hAnsi="Arial Narrow"/>
                <w:sz w:val="20"/>
              </w:rPr>
              <w:t>+Utilities</w:t>
            </w:r>
          </w:p>
        </w:tc>
        <w:tc>
          <w:tcPr>
            <w:tcW w:w="1895" w:type="pct"/>
            <w:tcBorders>
              <w:top w:val="single" w:sz="4" w:space="0" w:color="auto"/>
              <w:left w:val="single" w:sz="4" w:space="0" w:color="auto"/>
              <w:bottom w:val="single" w:sz="4" w:space="0" w:color="auto"/>
              <w:right w:val="single" w:sz="4" w:space="0" w:color="auto"/>
            </w:tcBorders>
            <w:vAlign w:val="center"/>
          </w:tcPr>
          <w:p w:rsidR="001570C4" w:rsidRPr="005156AC" w:rsidRDefault="001570C4" w:rsidP="00011BBD">
            <w:pPr>
              <w:keepNext/>
              <w:keepLines/>
              <w:rPr>
                <w:rFonts w:ascii="Arial Narrow" w:hAnsi="Arial Narrow"/>
                <w:sz w:val="20"/>
              </w:rPr>
            </w:pPr>
            <w:r w:rsidRPr="005156AC">
              <w:rPr>
                <w:rFonts w:ascii="Arial Narrow" w:hAnsi="Arial Narrow"/>
                <w:sz w:val="20"/>
              </w:rPr>
              <w:t xml:space="preserve">30 years </w:t>
            </w:r>
          </w:p>
          <w:p w:rsidR="001570C4" w:rsidRPr="005156AC" w:rsidRDefault="001570C4" w:rsidP="00011BBD">
            <w:pPr>
              <w:keepNext/>
              <w:keepLines/>
              <w:rPr>
                <w:rFonts w:ascii="Arial Narrow" w:hAnsi="Arial Narrow"/>
                <w:sz w:val="20"/>
              </w:rPr>
            </w:pPr>
            <w:r w:rsidRPr="005156AC">
              <w:rPr>
                <w:rFonts w:ascii="Arial Narrow" w:hAnsi="Arial Narrow"/>
                <w:sz w:val="20"/>
              </w:rPr>
              <w:t>Using inputs from the NICE model</w:t>
            </w:r>
            <w:r w:rsidRPr="005156AC">
              <w:rPr>
                <w:rFonts w:ascii="Arial Narrow" w:hAnsi="Arial Narrow"/>
                <w:sz w:val="20"/>
                <w:vertAlign w:val="superscript"/>
              </w:rPr>
              <w:t>a</w:t>
            </w:r>
          </w:p>
          <w:p w:rsidR="001570C4" w:rsidRPr="005156AC" w:rsidRDefault="001570C4" w:rsidP="00011BBD">
            <w:pPr>
              <w:keepNext/>
              <w:keepLines/>
              <w:rPr>
                <w:rFonts w:ascii="Arial Narrow" w:hAnsi="Arial Narrow"/>
                <w:sz w:val="20"/>
              </w:rPr>
            </w:pPr>
            <w:r w:rsidRPr="005156AC">
              <w:rPr>
                <w:rFonts w:ascii="Arial Narrow" w:hAnsi="Arial Narrow"/>
                <w:sz w:val="20"/>
              </w:rPr>
              <w:t>Assuming no utilities increment due to SVR</w:t>
            </w:r>
          </w:p>
        </w:tc>
        <w:tc>
          <w:tcPr>
            <w:tcW w:w="724"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right"/>
              <w:rPr>
                <w:rFonts w:ascii="Arial Narrow" w:hAnsi="Arial Narrow"/>
                <w:color w:val="000000"/>
                <w:sz w:val="20"/>
              </w:rPr>
            </w:pPr>
            <w:r w:rsidRPr="005156AC">
              <w:rPr>
                <w:rFonts w:ascii="Arial Narrow" w:hAnsi="Arial Narrow"/>
                <w:color w:val="000000"/>
                <w:sz w:val="20"/>
              </w:rPr>
              <w:t>$</w:t>
            </w:r>
            <w:r w:rsidR="00A54692">
              <w:rPr>
                <w:rFonts w:ascii="Arial Narrow" w:hAnsi="Arial Narrow"/>
                <w:noProof/>
                <w:color w:val="000000"/>
                <w:sz w:val="20"/>
                <w:highlight w:val="black"/>
              </w:rPr>
              <w:t>'''''''''''''''''</w:t>
            </w:r>
          </w:p>
        </w:tc>
        <w:tc>
          <w:tcPr>
            <w:tcW w:w="724"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center"/>
              <w:rPr>
                <w:rFonts w:ascii="Arial Narrow" w:hAnsi="Arial Narrow"/>
                <w:color w:val="000000"/>
                <w:sz w:val="20"/>
              </w:rPr>
            </w:pPr>
            <w:r w:rsidRPr="005156AC">
              <w:rPr>
                <w:rFonts w:ascii="Arial Narrow" w:hAnsi="Arial Narrow"/>
                <w:color w:val="000000"/>
                <w:sz w:val="20"/>
              </w:rPr>
              <w:t>0.604</w:t>
            </w:r>
          </w:p>
        </w:tc>
        <w:tc>
          <w:tcPr>
            <w:tcW w:w="553" w:type="pct"/>
            <w:tcBorders>
              <w:top w:val="single" w:sz="4" w:space="0" w:color="auto"/>
              <w:left w:val="single" w:sz="4" w:space="0" w:color="auto"/>
              <w:bottom w:val="single" w:sz="4" w:space="0" w:color="auto"/>
              <w:right w:val="single" w:sz="4" w:space="0" w:color="auto"/>
            </w:tcBorders>
          </w:tcPr>
          <w:p w:rsidR="001570C4" w:rsidRPr="005156AC" w:rsidRDefault="001570C4" w:rsidP="00011BBD">
            <w:pPr>
              <w:keepNext/>
              <w:keepLines/>
              <w:jc w:val="right"/>
              <w:rPr>
                <w:rFonts w:ascii="Arial Narrow" w:hAnsi="Arial Narrow"/>
                <w:color w:val="000000"/>
                <w:sz w:val="20"/>
              </w:rPr>
            </w:pPr>
            <w:r w:rsidRPr="005156AC">
              <w:rPr>
                <w:rFonts w:ascii="Arial Narrow" w:hAnsi="Arial Narrow"/>
                <w:color w:val="000000"/>
                <w:sz w:val="20"/>
              </w:rPr>
              <w:t>$</w:t>
            </w:r>
            <w:r w:rsidR="00A54692">
              <w:rPr>
                <w:rFonts w:ascii="Arial Narrow" w:hAnsi="Arial Narrow"/>
                <w:noProof/>
                <w:color w:val="000000"/>
                <w:sz w:val="20"/>
                <w:highlight w:val="black"/>
              </w:rPr>
              <w:t>'''''''''''''''</w:t>
            </w:r>
          </w:p>
        </w:tc>
      </w:tr>
    </w:tbl>
    <w:p w:rsidR="001570C4" w:rsidRPr="005156AC" w:rsidRDefault="001570C4" w:rsidP="00011BBD">
      <w:pPr>
        <w:keepNext/>
        <w:keepLines/>
        <w:ind w:left="709"/>
        <w:rPr>
          <w:rFonts w:ascii="Arial Narrow" w:hAnsi="Arial Narrow"/>
          <w:sz w:val="18"/>
        </w:rPr>
      </w:pPr>
      <w:r w:rsidRPr="005156AC">
        <w:rPr>
          <w:rFonts w:ascii="Arial Narrow" w:hAnsi="Arial Narrow"/>
          <w:sz w:val="18"/>
        </w:rPr>
        <w:t>ASV = asunaprevir; CI = confidence interval; DCV = daclatasvir; ICER = incremental cost-effectiveness ratio; QALY = quality-adjusted life year; SVR = sustained virologic response</w:t>
      </w:r>
    </w:p>
    <w:p w:rsidR="001570C4" w:rsidRPr="005156AC" w:rsidRDefault="001570C4" w:rsidP="00011BBD">
      <w:pPr>
        <w:pStyle w:val="TableFooter"/>
        <w:keepNext/>
        <w:keepLines/>
        <w:ind w:leftChars="322" w:left="708"/>
      </w:pPr>
      <w:r w:rsidRPr="005156AC">
        <w:rPr>
          <w:vertAlign w:val="superscript"/>
        </w:rPr>
        <w:t>a</w:t>
      </w:r>
      <w:r w:rsidRPr="005156AC">
        <w:t xml:space="preserve"> Using the transition </w:t>
      </w:r>
      <w:r w:rsidRPr="002B50A8">
        <w:t xml:space="preserve">probabilities as presented in </w:t>
      </w:r>
      <w:r w:rsidR="002B50A8">
        <w:t xml:space="preserve">the commentary </w:t>
      </w:r>
      <w:r w:rsidRPr="005156AC">
        <w:t xml:space="preserve"> and combining the F0 health state with the F1 health state and the F2 health state with the F3 health state</w:t>
      </w:r>
    </w:p>
    <w:p w:rsidR="001570C4" w:rsidRDefault="001570C4" w:rsidP="00011BBD">
      <w:pPr>
        <w:keepNext/>
        <w:keepLines/>
        <w:ind w:left="709"/>
        <w:rPr>
          <w:rFonts w:ascii="Arial Narrow" w:hAnsi="Arial Narrow"/>
          <w:sz w:val="18"/>
        </w:rPr>
      </w:pPr>
      <w:r w:rsidRPr="005156AC">
        <w:rPr>
          <w:rFonts w:ascii="Arial Narrow" w:hAnsi="Arial Narrow"/>
          <w:sz w:val="18"/>
        </w:rPr>
        <w:t xml:space="preserve">Source: Sensitivity analyses conducted during the evaluation, using the corrected utility value of 0.60 for the F4(SVR) health state.  </w:t>
      </w:r>
    </w:p>
    <w:p w:rsidR="00DA43A1" w:rsidRPr="005156AC" w:rsidRDefault="00DA43A1" w:rsidP="001570C4">
      <w:pPr>
        <w:ind w:left="709"/>
        <w:rPr>
          <w:rFonts w:ascii="Arial Narrow" w:hAnsi="Arial Narrow"/>
          <w:sz w:val="18"/>
        </w:rPr>
      </w:pPr>
    </w:p>
    <w:p w:rsidR="00760EA5" w:rsidRPr="007A7B7C" w:rsidRDefault="002B50A8" w:rsidP="00DD1166">
      <w:pPr>
        <w:pStyle w:val="ListParagraph"/>
        <w:widowControl/>
        <w:numPr>
          <w:ilvl w:val="1"/>
          <w:numId w:val="1"/>
        </w:numPr>
        <w:rPr>
          <w:szCs w:val="22"/>
        </w:rPr>
      </w:pPr>
      <w:r w:rsidRPr="007A7B7C">
        <w:rPr>
          <w:szCs w:val="22"/>
        </w:rPr>
        <w:t xml:space="preserve">The ESC noted the sensitivity analysis presented in the PSCR </w:t>
      </w:r>
      <w:r w:rsidR="00E61B0E" w:rsidRPr="007A7B7C">
        <w:rPr>
          <w:szCs w:val="22"/>
        </w:rPr>
        <w:t>(p5, presented below)</w:t>
      </w:r>
      <w:r w:rsidR="00D545BA">
        <w:rPr>
          <w:szCs w:val="22"/>
        </w:rPr>
        <w:t>, resulti</w:t>
      </w:r>
      <w:r w:rsidR="001B04CE">
        <w:rPr>
          <w:szCs w:val="22"/>
        </w:rPr>
        <w:t xml:space="preserve">ng in an ICER of </w:t>
      </w:r>
      <w:r w:rsidR="00DD1166" w:rsidRPr="00DD1166">
        <w:rPr>
          <w:szCs w:val="22"/>
        </w:rPr>
        <w:t>$15,000/QALY - $45,000/QALY</w:t>
      </w:r>
      <w:r w:rsidR="001B04CE">
        <w:rPr>
          <w:szCs w:val="22"/>
        </w:rPr>
        <w:t xml:space="preserve">.  </w:t>
      </w:r>
      <w:r w:rsidR="00D545BA">
        <w:rPr>
          <w:szCs w:val="22"/>
        </w:rPr>
        <w:t>In</w:t>
      </w:r>
      <w:r w:rsidRPr="007A7B7C">
        <w:rPr>
          <w:szCs w:val="22"/>
        </w:rPr>
        <w:t xml:space="preserve"> addition, incorporating </w:t>
      </w:r>
      <w:r w:rsidR="00970688" w:rsidRPr="007A7B7C">
        <w:rPr>
          <w:szCs w:val="22"/>
        </w:rPr>
        <w:t>these assumptions</w:t>
      </w:r>
      <w:r w:rsidRPr="007A7B7C">
        <w:rPr>
          <w:szCs w:val="22"/>
        </w:rPr>
        <w:t xml:space="preserve"> </w:t>
      </w:r>
      <w:r w:rsidR="00D545BA">
        <w:rPr>
          <w:szCs w:val="22"/>
        </w:rPr>
        <w:t xml:space="preserve">addressed in the PSCR </w:t>
      </w:r>
      <w:r w:rsidR="00301E64">
        <w:rPr>
          <w:szCs w:val="22"/>
        </w:rPr>
        <w:t>as well as</w:t>
      </w:r>
      <w:r w:rsidRPr="007A7B7C">
        <w:rPr>
          <w:szCs w:val="22"/>
        </w:rPr>
        <w:t xml:space="preserve"> using transition probabilities in the NICE model</w:t>
      </w:r>
      <w:r w:rsidR="00E61B0E" w:rsidRPr="007A7B7C">
        <w:rPr>
          <w:szCs w:val="22"/>
        </w:rPr>
        <w:t xml:space="preserve">, the ICER </w:t>
      </w:r>
      <w:r w:rsidR="00E61B0E" w:rsidRPr="00D545BA">
        <w:rPr>
          <w:szCs w:val="22"/>
        </w:rPr>
        <w:t xml:space="preserve">was </w:t>
      </w:r>
      <w:r w:rsidR="00DD1166" w:rsidRPr="00DD1166">
        <w:rPr>
          <w:szCs w:val="22"/>
        </w:rPr>
        <w:t>$15,000/QALY - $45,000/QALY</w:t>
      </w:r>
      <w:r w:rsidR="00E61B0E" w:rsidRPr="007A7B7C">
        <w:rPr>
          <w:szCs w:val="22"/>
        </w:rPr>
        <w:t xml:space="preserve">. </w:t>
      </w:r>
    </w:p>
    <w:p w:rsidR="00970688" w:rsidRPr="007A7B7C" w:rsidRDefault="00970688" w:rsidP="0076222A">
      <w:pPr>
        <w:ind w:left="709"/>
      </w:pPr>
    </w:p>
    <w:p w:rsidR="00D06A08" w:rsidRDefault="00D06A08">
      <w:pPr>
        <w:widowControl/>
        <w:jc w:val="left"/>
        <w:rPr>
          <w:rFonts w:ascii="Arial Narrow" w:hAnsi="Arial Narrow"/>
          <w:b/>
          <w:i/>
          <w:sz w:val="20"/>
          <w:szCs w:val="16"/>
        </w:rPr>
      </w:pPr>
      <w:r>
        <w:rPr>
          <w:rFonts w:ascii="Arial Narrow" w:hAnsi="Arial Narrow"/>
          <w:b/>
          <w:i/>
          <w:sz w:val="20"/>
          <w:szCs w:val="16"/>
        </w:rPr>
        <w:br w:type="page"/>
      </w:r>
    </w:p>
    <w:p w:rsidR="00970688" w:rsidRPr="007A7B7C" w:rsidRDefault="00970688" w:rsidP="0076222A">
      <w:pPr>
        <w:ind w:left="709"/>
        <w:rPr>
          <w:rFonts w:ascii="Arial Narrow" w:hAnsi="Arial Narrow"/>
          <w:b/>
          <w:sz w:val="20"/>
        </w:rPr>
      </w:pPr>
      <w:r w:rsidRPr="007A7B7C">
        <w:rPr>
          <w:rFonts w:ascii="Arial Narrow" w:hAnsi="Arial Narrow"/>
          <w:b/>
          <w:sz w:val="20"/>
        </w:rPr>
        <w:lastRenderedPageBreak/>
        <w:t>Revisions to base case estimates for DCV + ASV vs. no treatment in a HCV GT1b population</w:t>
      </w:r>
      <w:r w:rsidR="0076222A" w:rsidRPr="007A7B7C">
        <w:rPr>
          <w:rFonts w:ascii="Arial Narrow" w:hAnsi="Arial Narrow"/>
          <w:b/>
          <w:sz w:val="20"/>
        </w:rPr>
        <w:t xml:space="preserve"> (PSCR)</w:t>
      </w:r>
    </w:p>
    <w:tbl>
      <w:tblPr>
        <w:tblW w:w="8363" w:type="dxa"/>
        <w:jc w:val="right"/>
        <w:tblLayout w:type="fixed"/>
        <w:tblCellMar>
          <w:left w:w="0" w:type="dxa"/>
          <w:right w:w="0" w:type="dxa"/>
        </w:tblCellMar>
        <w:tblLook w:val="01E0" w:firstRow="1" w:lastRow="1" w:firstColumn="1" w:lastColumn="1" w:noHBand="0" w:noVBand="0"/>
        <w:tblCaption w:val="Revised base case estimates"/>
      </w:tblPr>
      <w:tblGrid>
        <w:gridCol w:w="2268"/>
        <w:gridCol w:w="1418"/>
        <w:gridCol w:w="1417"/>
        <w:gridCol w:w="1559"/>
        <w:gridCol w:w="1701"/>
      </w:tblGrid>
      <w:tr w:rsidR="00D61D70" w:rsidRPr="007A7B7C" w:rsidTr="00D06A08">
        <w:trPr>
          <w:jc w:val="right"/>
        </w:trPr>
        <w:tc>
          <w:tcPr>
            <w:tcW w:w="2268" w:type="dxa"/>
            <w:tcBorders>
              <w:top w:val="single" w:sz="5" w:space="0" w:color="000000"/>
              <w:left w:val="single" w:sz="5" w:space="0" w:color="000000"/>
              <w:bottom w:val="single" w:sz="5" w:space="0" w:color="000000"/>
              <w:right w:val="single" w:sz="5" w:space="0" w:color="000000"/>
            </w:tcBorders>
          </w:tcPr>
          <w:p w:rsidR="00970688" w:rsidRPr="007A7B7C" w:rsidRDefault="00970688" w:rsidP="00F6414C">
            <w:pPr>
              <w:pStyle w:val="TableParagraph"/>
              <w:spacing w:before="38"/>
              <w:ind w:left="95" w:firstLine="7"/>
              <w:rPr>
                <w:rFonts w:ascii="Arial Narrow" w:eastAsia="Times New Roman" w:hAnsi="Arial Narrow" w:cs="Times New Roman"/>
                <w:sz w:val="20"/>
                <w:szCs w:val="20"/>
              </w:rPr>
            </w:pPr>
            <w:r w:rsidRPr="007A7B7C">
              <w:rPr>
                <w:rFonts w:ascii="Arial Narrow" w:eastAsia="Times New Roman" w:hAnsi="Arial Narrow" w:cs="Times New Roman"/>
                <w:b/>
                <w:bCs/>
                <w:sz w:val="20"/>
                <w:szCs w:val="20"/>
              </w:rPr>
              <w:t>V</w:t>
            </w:r>
            <w:r w:rsidRPr="007A7B7C">
              <w:rPr>
                <w:rFonts w:ascii="Arial Narrow" w:eastAsia="Times New Roman" w:hAnsi="Arial Narrow" w:cs="Times New Roman"/>
                <w:b/>
                <w:bCs/>
                <w:spacing w:val="1"/>
                <w:sz w:val="20"/>
                <w:szCs w:val="20"/>
              </w:rPr>
              <w:t>a</w:t>
            </w:r>
            <w:r w:rsidRPr="007A7B7C">
              <w:rPr>
                <w:rFonts w:ascii="Arial Narrow" w:eastAsia="Times New Roman" w:hAnsi="Arial Narrow" w:cs="Times New Roman"/>
                <w:b/>
                <w:bCs/>
                <w:sz w:val="20"/>
                <w:szCs w:val="20"/>
              </w:rPr>
              <w:t>ri</w:t>
            </w:r>
            <w:r w:rsidRPr="007A7B7C">
              <w:rPr>
                <w:rFonts w:ascii="Arial Narrow" w:eastAsia="Times New Roman" w:hAnsi="Arial Narrow" w:cs="Times New Roman"/>
                <w:b/>
                <w:bCs/>
                <w:spacing w:val="1"/>
                <w:sz w:val="20"/>
                <w:szCs w:val="20"/>
              </w:rPr>
              <w:t>a</w:t>
            </w:r>
            <w:r w:rsidRPr="007A7B7C">
              <w:rPr>
                <w:rFonts w:ascii="Arial Narrow" w:eastAsia="Times New Roman" w:hAnsi="Arial Narrow" w:cs="Times New Roman"/>
                <w:b/>
                <w:bCs/>
                <w:sz w:val="20"/>
                <w:szCs w:val="20"/>
              </w:rPr>
              <w:t>ble</w:t>
            </w:r>
            <w:r w:rsidRPr="007A7B7C">
              <w:rPr>
                <w:rFonts w:ascii="Arial Narrow" w:eastAsia="Times New Roman" w:hAnsi="Arial Narrow" w:cs="Times New Roman"/>
                <w:b/>
                <w:bCs/>
                <w:spacing w:val="-14"/>
                <w:sz w:val="20"/>
                <w:szCs w:val="20"/>
              </w:rPr>
              <w:t xml:space="preserve"> </w:t>
            </w:r>
            <w:r w:rsidRPr="007A7B7C">
              <w:rPr>
                <w:rFonts w:ascii="Arial Narrow" w:eastAsia="Times New Roman" w:hAnsi="Arial Narrow" w:cs="Times New Roman"/>
                <w:b/>
                <w:bCs/>
                <w:spacing w:val="1"/>
                <w:sz w:val="20"/>
                <w:szCs w:val="20"/>
              </w:rPr>
              <w:t>t</w:t>
            </w:r>
            <w:r w:rsidRPr="007A7B7C">
              <w:rPr>
                <w:rFonts w:ascii="Arial Narrow" w:eastAsia="Times New Roman" w:hAnsi="Arial Narrow" w:cs="Times New Roman"/>
                <w:b/>
                <w:bCs/>
                <w:sz w:val="20"/>
                <w:szCs w:val="20"/>
              </w:rPr>
              <w:t>ested</w:t>
            </w:r>
          </w:p>
        </w:tc>
        <w:tc>
          <w:tcPr>
            <w:tcW w:w="1418" w:type="dxa"/>
            <w:tcBorders>
              <w:top w:val="single" w:sz="5" w:space="0" w:color="000000"/>
              <w:left w:val="single" w:sz="5" w:space="0" w:color="000000"/>
              <w:bottom w:val="single" w:sz="5" w:space="0" w:color="000000"/>
              <w:right w:val="single" w:sz="5" w:space="0" w:color="000000"/>
            </w:tcBorders>
          </w:tcPr>
          <w:p w:rsidR="00970688" w:rsidRPr="007A7B7C" w:rsidRDefault="00970688" w:rsidP="00F6414C">
            <w:pPr>
              <w:pStyle w:val="TableParagraph"/>
              <w:spacing w:before="38"/>
              <w:ind w:left="95" w:firstLine="7"/>
              <w:jc w:val="center"/>
              <w:rPr>
                <w:rFonts w:ascii="Arial Narrow" w:eastAsia="Times New Roman" w:hAnsi="Arial Narrow" w:cs="Times New Roman"/>
                <w:sz w:val="20"/>
                <w:szCs w:val="20"/>
              </w:rPr>
            </w:pPr>
            <w:r w:rsidRPr="007A7B7C">
              <w:rPr>
                <w:rFonts w:ascii="Arial Narrow" w:eastAsia="Times New Roman" w:hAnsi="Arial Narrow" w:cs="Times New Roman"/>
                <w:b/>
                <w:bCs/>
                <w:sz w:val="20"/>
                <w:szCs w:val="20"/>
              </w:rPr>
              <w:t>V</w:t>
            </w:r>
            <w:r w:rsidRPr="007A7B7C">
              <w:rPr>
                <w:rFonts w:ascii="Arial Narrow" w:eastAsia="Times New Roman" w:hAnsi="Arial Narrow" w:cs="Times New Roman"/>
                <w:b/>
                <w:bCs/>
                <w:spacing w:val="1"/>
                <w:sz w:val="20"/>
                <w:szCs w:val="20"/>
              </w:rPr>
              <w:t>a</w:t>
            </w:r>
            <w:r w:rsidRPr="007A7B7C">
              <w:rPr>
                <w:rFonts w:ascii="Arial Narrow" w:eastAsia="Times New Roman" w:hAnsi="Arial Narrow" w:cs="Times New Roman"/>
                <w:b/>
                <w:bCs/>
                <w:sz w:val="20"/>
                <w:szCs w:val="20"/>
              </w:rPr>
              <w:t>lue</w:t>
            </w:r>
          </w:p>
        </w:tc>
        <w:tc>
          <w:tcPr>
            <w:tcW w:w="1417" w:type="dxa"/>
            <w:tcBorders>
              <w:top w:val="single" w:sz="5" w:space="0" w:color="000000"/>
              <w:left w:val="single" w:sz="5" w:space="0" w:color="000000"/>
              <w:bottom w:val="single" w:sz="5" w:space="0" w:color="000000"/>
              <w:right w:val="single" w:sz="5" w:space="0" w:color="000000"/>
            </w:tcBorders>
          </w:tcPr>
          <w:p w:rsidR="00D61D70" w:rsidRPr="007A7B7C" w:rsidRDefault="00970688" w:rsidP="00F6414C">
            <w:pPr>
              <w:pStyle w:val="TableParagraph"/>
              <w:spacing w:before="38"/>
              <w:ind w:left="94" w:firstLine="8"/>
              <w:jc w:val="center"/>
              <w:rPr>
                <w:rFonts w:ascii="Arial Narrow" w:eastAsia="Times New Roman" w:hAnsi="Arial Narrow" w:cs="Times New Roman"/>
                <w:b/>
                <w:bCs/>
                <w:spacing w:val="-15"/>
                <w:sz w:val="20"/>
                <w:szCs w:val="20"/>
              </w:rPr>
            </w:pPr>
            <w:r w:rsidRPr="007A7B7C">
              <w:rPr>
                <w:rFonts w:ascii="Arial Narrow" w:eastAsia="Times New Roman" w:hAnsi="Arial Narrow" w:cs="Times New Roman"/>
                <w:b/>
                <w:bCs/>
                <w:spacing w:val="-1"/>
                <w:sz w:val="20"/>
                <w:szCs w:val="20"/>
              </w:rPr>
              <w:t>I</w:t>
            </w:r>
            <w:r w:rsidRPr="007A7B7C">
              <w:rPr>
                <w:rFonts w:ascii="Arial Narrow" w:eastAsia="Times New Roman" w:hAnsi="Arial Narrow" w:cs="Times New Roman"/>
                <w:b/>
                <w:bCs/>
                <w:sz w:val="20"/>
                <w:szCs w:val="20"/>
              </w:rPr>
              <w:t>ncr</w:t>
            </w:r>
            <w:r w:rsidRPr="007A7B7C">
              <w:rPr>
                <w:rFonts w:ascii="Arial Narrow" w:eastAsia="Times New Roman" w:hAnsi="Arial Narrow" w:cs="Times New Roman"/>
                <w:b/>
                <w:bCs/>
                <w:spacing w:val="3"/>
                <w:sz w:val="20"/>
                <w:szCs w:val="20"/>
              </w:rPr>
              <w:t>e</w:t>
            </w:r>
            <w:r w:rsidRPr="007A7B7C">
              <w:rPr>
                <w:rFonts w:ascii="Arial Narrow" w:eastAsia="Times New Roman" w:hAnsi="Arial Narrow" w:cs="Times New Roman"/>
                <w:b/>
                <w:bCs/>
                <w:spacing w:val="-3"/>
                <w:sz w:val="20"/>
                <w:szCs w:val="20"/>
              </w:rPr>
              <w:t>m</w:t>
            </w:r>
            <w:r w:rsidRPr="007A7B7C">
              <w:rPr>
                <w:rFonts w:ascii="Arial Narrow" w:eastAsia="Times New Roman" w:hAnsi="Arial Narrow" w:cs="Times New Roman"/>
                <w:b/>
                <w:bCs/>
                <w:spacing w:val="2"/>
                <w:sz w:val="20"/>
                <w:szCs w:val="20"/>
              </w:rPr>
              <w:t>e</w:t>
            </w:r>
            <w:r w:rsidRPr="007A7B7C">
              <w:rPr>
                <w:rFonts w:ascii="Arial Narrow" w:eastAsia="Times New Roman" w:hAnsi="Arial Narrow" w:cs="Times New Roman"/>
                <w:b/>
                <w:bCs/>
                <w:sz w:val="20"/>
                <w:szCs w:val="20"/>
              </w:rPr>
              <w:t>nt</w:t>
            </w:r>
            <w:r w:rsidRPr="007A7B7C">
              <w:rPr>
                <w:rFonts w:ascii="Arial Narrow" w:eastAsia="Times New Roman" w:hAnsi="Arial Narrow" w:cs="Times New Roman"/>
                <w:b/>
                <w:bCs/>
                <w:spacing w:val="1"/>
                <w:sz w:val="20"/>
                <w:szCs w:val="20"/>
              </w:rPr>
              <w:t>a</w:t>
            </w:r>
            <w:r w:rsidRPr="007A7B7C">
              <w:rPr>
                <w:rFonts w:ascii="Arial Narrow" w:eastAsia="Times New Roman" w:hAnsi="Arial Narrow" w:cs="Times New Roman"/>
                <w:b/>
                <w:bCs/>
                <w:sz w:val="20"/>
                <w:szCs w:val="20"/>
              </w:rPr>
              <w:t>l</w:t>
            </w:r>
          </w:p>
          <w:p w:rsidR="00970688" w:rsidRPr="007A7B7C" w:rsidRDefault="00970688" w:rsidP="00F6414C">
            <w:pPr>
              <w:pStyle w:val="TableParagraph"/>
              <w:spacing w:before="38"/>
              <w:ind w:left="94" w:firstLine="8"/>
              <w:jc w:val="center"/>
              <w:rPr>
                <w:rFonts w:ascii="Arial Narrow" w:eastAsia="Times New Roman" w:hAnsi="Arial Narrow" w:cs="Times New Roman"/>
                <w:sz w:val="20"/>
                <w:szCs w:val="20"/>
              </w:rPr>
            </w:pPr>
            <w:r w:rsidRPr="007A7B7C">
              <w:rPr>
                <w:rFonts w:ascii="Arial Narrow" w:eastAsia="Times New Roman" w:hAnsi="Arial Narrow" w:cs="Times New Roman"/>
                <w:b/>
                <w:bCs/>
                <w:sz w:val="20"/>
                <w:szCs w:val="20"/>
              </w:rPr>
              <w:t>c</w:t>
            </w:r>
            <w:r w:rsidRPr="007A7B7C">
              <w:rPr>
                <w:rFonts w:ascii="Arial Narrow" w:eastAsia="Times New Roman" w:hAnsi="Arial Narrow" w:cs="Times New Roman"/>
                <w:b/>
                <w:bCs/>
                <w:spacing w:val="1"/>
                <w:sz w:val="20"/>
                <w:szCs w:val="20"/>
              </w:rPr>
              <w:t>o</w:t>
            </w:r>
            <w:r w:rsidRPr="007A7B7C">
              <w:rPr>
                <w:rFonts w:ascii="Arial Narrow" w:eastAsia="Times New Roman" w:hAnsi="Arial Narrow" w:cs="Times New Roman"/>
                <w:b/>
                <w:bCs/>
                <w:spacing w:val="-1"/>
                <w:sz w:val="20"/>
                <w:szCs w:val="20"/>
              </w:rPr>
              <w:t>s</w:t>
            </w:r>
            <w:r w:rsidRPr="007A7B7C">
              <w:rPr>
                <w:rFonts w:ascii="Arial Narrow" w:eastAsia="Times New Roman" w:hAnsi="Arial Narrow" w:cs="Times New Roman"/>
                <w:b/>
                <w:bCs/>
                <w:sz w:val="20"/>
                <w:szCs w:val="20"/>
              </w:rPr>
              <w:t>t</w:t>
            </w:r>
          </w:p>
        </w:tc>
        <w:tc>
          <w:tcPr>
            <w:tcW w:w="1559" w:type="dxa"/>
            <w:tcBorders>
              <w:top w:val="single" w:sz="5" w:space="0" w:color="000000"/>
              <w:left w:val="single" w:sz="5" w:space="0" w:color="000000"/>
              <w:bottom w:val="single" w:sz="5" w:space="0" w:color="000000"/>
              <w:right w:val="single" w:sz="5" w:space="0" w:color="000000"/>
            </w:tcBorders>
          </w:tcPr>
          <w:p w:rsidR="00970688" w:rsidRPr="007A7B7C" w:rsidRDefault="00970688" w:rsidP="00F6414C">
            <w:pPr>
              <w:pStyle w:val="TableParagraph"/>
              <w:spacing w:before="38"/>
              <w:ind w:left="95" w:right="47" w:firstLine="7"/>
              <w:rPr>
                <w:rFonts w:ascii="Arial Narrow" w:eastAsia="Times New Roman" w:hAnsi="Arial Narrow" w:cs="Times New Roman"/>
                <w:sz w:val="20"/>
                <w:szCs w:val="20"/>
              </w:rPr>
            </w:pPr>
            <w:r w:rsidRPr="007A7B7C">
              <w:rPr>
                <w:rFonts w:ascii="Arial Narrow" w:eastAsia="Times New Roman" w:hAnsi="Arial Narrow" w:cs="Times New Roman"/>
                <w:b/>
                <w:bCs/>
                <w:spacing w:val="-1"/>
                <w:w w:val="95"/>
                <w:sz w:val="20"/>
                <w:szCs w:val="20"/>
              </w:rPr>
              <w:t>I</w:t>
            </w:r>
            <w:r w:rsidRPr="007A7B7C">
              <w:rPr>
                <w:rFonts w:ascii="Arial Narrow" w:eastAsia="Times New Roman" w:hAnsi="Arial Narrow" w:cs="Times New Roman"/>
                <w:b/>
                <w:bCs/>
                <w:w w:val="95"/>
                <w:sz w:val="20"/>
                <w:szCs w:val="20"/>
              </w:rPr>
              <w:t>ncr</w:t>
            </w:r>
            <w:r w:rsidRPr="007A7B7C">
              <w:rPr>
                <w:rFonts w:ascii="Arial Narrow" w:eastAsia="Times New Roman" w:hAnsi="Arial Narrow" w:cs="Times New Roman"/>
                <w:b/>
                <w:bCs/>
                <w:spacing w:val="2"/>
                <w:w w:val="95"/>
                <w:sz w:val="20"/>
                <w:szCs w:val="20"/>
              </w:rPr>
              <w:t>e</w:t>
            </w:r>
            <w:r w:rsidRPr="007A7B7C">
              <w:rPr>
                <w:rFonts w:ascii="Arial Narrow" w:eastAsia="Times New Roman" w:hAnsi="Arial Narrow" w:cs="Times New Roman"/>
                <w:b/>
                <w:bCs/>
                <w:spacing w:val="-3"/>
                <w:w w:val="95"/>
                <w:sz w:val="20"/>
                <w:szCs w:val="20"/>
              </w:rPr>
              <w:t>m</w:t>
            </w:r>
            <w:r w:rsidRPr="007A7B7C">
              <w:rPr>
                <w:rFonts w:ascii="Arial Narrow" w:eastAsia="Times New Roman" w:hAnsi="Arial Narrow" w:cs="Times New Roman"/>
                <w:b/>
                <w:bCs/>
                <w:spacing w:val="1"/>
                <w:w w:val="95"/>
                <w:sz w:val="20"/>
                <w:szCs w:val="20"/>
              </w:rPr>
              <w:t>e</w:t>
            </w:r>
            <w:r w:rsidRPr="007A7B7C">
              <w:rPr>
                <w:rFonts w:ascii="Arial Narrow" w:eastAsia="Times New Roman" w:hAnsi="Arial Narrow" w:cs="Times New Roman"/>
                <w:b/>
                <w:bCs/>
                <w:w w:val="95"/>
                <w:sz w:val="20"/>
                <w:szCs w:val="20"/>
              </w:rPr>
              <w:t>ntal</w:t>
            </w:r>
            <w:r w:rsidRPr="007A7B7C">
              <w:rPr>
                <w:rFonts w:ascii="Arial Narrow" w:eastAsia="Times New Roman" w:hAnsi="Arial Narrow" w:cs="Times New Roman"/>
                <w:b/>
                <w:bCs/>
                <w:w w:val="99"/>
                <w:sz w:val="20"/>
                <w:szCs w:val="20"/>
              </w:rPr>
              <w:t xml:space="preserve"> </w:t>
            </w:r>
            <w:r w:rsidRPr="007A7B7C">
              <w:rPr>
                <w:rFonts w:ascii="Arial Narrow" w:eastAsia="Times New Roman" w:hAnsi="Arial Narrow" w:cs="Times New Roman"/>
                <w:b/>
                <w:bCs/>
                <w:spacing w:val="-2"/>
                <w:sz w:val="20"/>
                <w:szCs w:val="20"/>
              </w:rPr>
              <w:t>Q</w:t>
            </w:r>
            <w:r w:rsidRPr="007A7B7C">
              <w:rPr>
                <w:rFonts w:ascii="Arial Narrow" w:eastAsia="Times New Roman" w:hAnsi="Arial Narrow" w:cs="Times New Roman"/>
                <w:b/>
                <w:bCs/>
                <w:spacing w:val="2"/>
                <w:sz w:val="20"/>
                <w:szCs w:val="20"/>
              </w:rPr>
              <w:t>A</w:t>
            </w:r>
            <w:r w:rsidRPr="007A7B7C">
              <w:rPr>
                <w:rFonts w:ascii="Arial Narrow" w:eastAsia="Times New Roman" w:hAnsi="Arial Narrow" w:cs="Times New Roman"/>
                <w:b/>
                <w:bCs/>
                <w:spacing w:val="-1"/>
                <w:sz w:val="20"/>
                <w:szCs w:val="20"/>
              </w:rPr>
              <w:t>L</w:t>
            </w:r>
            <w:r w:rsidRPr="007A7B7C">
              <w:rPr>
                <w:rFonts w:ascii="Arial Narrow" w:eastAsia="Times New Roman" w:hAnsi="Arial Narrow" w:cs="Times New Roman"/>
                <w:b/>
                <w:bCs/>
                <w:sz w:val="20"/>
                <w:szCs w:val="20"/>
              </w:rPr>
              <w:t>Y</w:t>
            </w:r>
          </w:p>
        </w:tc>
        <w:tc>
          <w:tcPr>
            <w:tcW w:w="1701" w:type="dxa"/>
            <w:tcBorders>
              <w:top w:val="single" w:sz="5" w:space="0" w:color="000000"/>
              <w:left w:val="single" w:sz="5" w:space="0" w:color="000000"/>
              <w:bottom w:val="single" w:sz="5" w:space="0" w:color="000000"/>
              <w:right w:val="single" w:sz="5" w:space="0" w:color="000000"/>
            </w:tcBorders>
          </w:tcPr>
          <w:p w:rsidR="00970688" w:rsidRPr="007A7B7C" w:rsidRDefault="00970688" w:rsidP="00F6414C">
            <w:pPr>
              <w:pStyle w:val="TableParagraph"/>
              <w:spacing w:before="38"/>
              <w:ind w:left="95" w:right="4" w:firstLine="7"/>
              <w:jc w:val="center"/>
              <w:rPr>
                <w:rFonts w:ascii="Arial Narrow" w:eastAsia="Times New Roman" w:hAnsi="Arial Narrow" w:cs="Times New Roman"/>
                <w:sz w:val="20"/>
                <w:szCs w:val="20"/>
              </w:rPr>
            </w:pPr>
            <w:r w:rsidRPr="007A7B7C">
              <w:rPr>
                <w:rFonts w:ascii="Arial Narrow" w:eastAsia="Times New Roman" w:hAnsi="Arial Narrow" w:cs="Times New Roman"/>
                <w:b/>
                <w:bCs/>
                <w:spacing w:val="-1"/>
                <w:sz w:val="20"/>
                <w:szCs w:val="20"/>
              </w:rPr>
              <w:t>I</w:t>
            </w:r>
            <w:r w:rsidRPr="007A7B7C">
              <w:rPr>
                <w:rFonts w:ascii="Arial Narrow" w:eastAsia="Times New Roman" w:hAnsi="Arial Narrow" w:cs="Times New Roman"/>
                <w:b/>
                <w:bCs/>
                <w:sz w:val="20"/>
                <w:szCs w:val="20"/>
              </w:rPr>
              <w:t>C</w:t>
            </w:r>
            <w:r w:rsidRPr="007A7B7C">
              <w:rPr>
                <w:rFonts w:ascii="Arial Narrow" w:eastAsia="Times New Roman" w:hAnsi="Arial Narrow" w:cs="Times New Roman"/>
                <w:b/>
                <w:bCs/>
                <w:spacing w:val="-1"/>
                <w:sz w:val="20"/>
                <w:szCs w:val="20"/>
              </w:rPr>
              <w:t>E</w:t>
            </w:r>
            <w:r w:rsidRPr="007A7B7C">
              <w:rPr>
                <w:rFonts w:ascii="Arial Narrow" w:eastAsia="Times New Roman" w:hAnsi="Arial Narrow" w:cs="Times New Roman"/>
                <w:b/>
                <w:bCs/>
                <w:sz w:val="20"/>
                <w:szCs w:val="20"/>
              </w:rPr>
              <w:t>R</w:t>
            </w:r>
          </w:p>
        </w:tc>
      </w:tr>
      <w:tr w:rsidR="00D61D70" w:rsidRPr="007A7B7C" w:rsidTr="00D06A08">
        <w:trPr>
          <w:jc w:val="right"/>
        </w:trPr>
        <w:tc>
          <w:tcPr>
            <w:tcW w:w="2268" w:type="dxa"/>
            <w:tcBorders>
              <w:top w:val="single" w:sz="5" w:space="0" w:color="000000"/>
              <w:left w:val="single" w:sz="5" w:space="0" w:color="000000"/>
              <w:bottom w:val="single" w:sz="5" w:space="0" w:color="000000"/>
              <w:right w:val="single" w:sz="5" w:space="0" w:color="000000"/>
            </w:tcBorders>
            <w:shd w:val="clear" w:color="auto" w:fill="D9D9D9"/>
          </w:tcPr>
          <w:p w:rsidR="00970688" w:rsidRPr="007A7B7C" w:rsidRDefault="00970688" w:rsidP="00F6414C">
            <w:pPr>
              <w:pStyle w:val="TableParagraph"/>
              <w:spacing w:before="33"/>
              <w:ind w:left="95" w:firstLine="7"/>
              <w:rPr>
                <w:rFonts w:ascii="Arial Narrow" w:eastAsia="Times New Roman" w:hAnsi="Arial Narrow" w:cs="Times New Roman"/>
                <w:sz w:val="20"/>
                <w:szCs w:val="20"/>
              </w:rPr>
            </w:pPr>
            <w:r w:rsidRPr="007A7B7C">
              <w:rPr>
                <w:rFonts w:ascii="Arial Narrow" w:eastAsia="Times New Roman" w:hAnsi="Arial Narrow" w:cs="Times New Roman"/>
                <w:spacing w:val="2"/>
                <w:sz w:val="20"/>
                <w:szCs w:val="20"/>
              </w:rPr>
              <w:t>B</w:t>
            </w:r>
            <w:r w:rsidRPr="007A7B7C">
              <w:rPr>
                <w:rFonts w:ascii="Arial Narrow" w:eastAsia="Times New Roman" w:hAnsi="Arial Narrow" w:cs="Times New Roman"/>
                <w:sz w:val="20"/>
                <w:szCs w:val="20"/>
              </w:rPr>
              <w:t>ase</w:t>
            </w:r>
            <w:r w:rsidRPr="007A7B7C">
              <w:rPr>
                <w:rFonts w:ascii="Arial Narrow" w:eastAsia="Times New Roman" w:hAnsi="Arial Narrow" w:cs="Times New Roman"/>
                <w:spacing w:val="-5"/>
                <w:sz w:val="20"/>
                <w:szCs w:val="20"/>
              </w:rPr>
              <w:t xml:space="preserve"> </w:t>
            </w:r>
            <w:r w:rsidRPr="007A7B7C">
              <w:rPr>
                <w:rFonts w:ascii="Arial Narrow" w:eastAsia="Times New Roman" w:hAnsi="Arial Narrow" w:cs="Times New Roman"/>
                <w:sz w:val="20"/>
                <w:szCs w:val="20"/>
              </w:rPr>
              <w:t>ca</w:t>
            </w:r>
            <w:r w:rsidRPr="007A7B7C">
              <w:rPr>
                <w:rFonts w:ascii="Arial Narrow" w:eastAsia="Times New Roman" w:hAnsi="Arial Narrow" w:cs="Times New Roman"/>
                <w:spacing w:val="-1"/>
                <w:sz w:val="20"/>
                <w:szCs w:val="20"/>
              </w:rPr>
              <w:t>s</w:t>
            </w:r>
            <w:r w:rsidRPr="007A7B7C">
              <w:rPr>
                <w:rFonts w:ascii="Arial Narrow" w:eastAsia="Times New Roman" w:hAnsi="Arial Narrow" w:cs="Times New Roman"/>
                <w:sz w:val="20"/>
                <w:szCs w:val="20"/>
              </w:rPr>
              <w:t>e</w:t>
            </w:r>
            <w:r w:rsidR="000560BA" w:rsidRPr="007A7B7C">
              <w:rPr>
                <w:rFonts w:ascii="Arial Narrow" w:eastAsia="Times New Roman" w:hAnsi="Arial Narrow" w:cs="Times New Roman"/>
                <w:sz w:val="20"/>
                <w:szCs w:val="20"/>
              </w:rPr>
              <w:t xml:space="preserve"> (submission)</w:t>
            </w:r>
            <w:r w:rsidRPr="007A7B7C">
              <w:rPr>
                <w:rFonts w:ascii="Arial Narrow" w:eastAsia="Times New Roman" w:hAnsi="Arial Narrow" w:cs="Times New Roman"/>
                <w:spacing w:val="-4"/>
                <w:sz w:val="20"/>
                <w:szCs w:val="20"/>
              </w:rPr>
              <w:t xml:space="preserve"> </w:t>
            </w:r>
            <w:r w:rsidRPr="007A7B7C">
              <w:rPr>
                <w:rFonts w:ascii="Arial Narrow" w:eastAsia="Times New Roman" w:hAnsi="Arial Narrow" w:cs="Times New Roman"/>
                <w:spacing w:val="-2"/>
                <w:sz w:val="20"/>
                <w:szCs w:val="20"/>
              </w:rPr>
              <w:t>v</w:t>
            </w:r>
            <w:r w:rsidRPr="007A7B7C">
              <w:rPr>
                <w:rFonts w:ascii="Arial Narrow" w:eastAsia="Times New Roman" w:hAnsi="Arial Narrow" w:cs="Times New Roman"/>
                <w:spacing w:val="-1"/>
                <w:sz w:val="20"/>
                <w:szCs w:val="20"/>
              </w:rPr>
              <w:t>s</w:t>
            </w:r>
            <w:r w:rsidRPr="007A7B7C">
              <w:rPr>
                <w:rFonts w:ascii="Arial Narrow" w:eastAsia="Times New Roman" w:hAnsi="Arial Narrow" w:cs="Times New Roman"/>
                <w:sz w:val="20"/>
                <w:szCs w:val="20"/>
              </w:rPr>
              <w:t>.</w:t>
            </w:r>
            <w:r w:rsidRPr="007A7B7C">
              <w:rPr>
                <w:rFonts w:ascii="Arial Narrow" w:eastAsia="Times New Roman" w:hAnsi="Arial Narrow" w:cs="Times New Roman"/>
                <w:spacing w:val="-2"/>
                <w:sz w:val="20"/>
                <w:szCs w:val="20"/>
              </w:rPr>
              <w:t xml:space="preserve"> n</w:t>
            </w:r>
            <w:r w:rsidRPr="007A7B7C">
              <w:rPr>
                <w:rFonts w:ascii="Arial Narrow" w:eastAsia="Times New Roman" w:hAnsi="Arial Narrow" w:cs="Times New Roman"/>
                <w:sz w:val="20"/>
                <w:szCs w:val="20"/>
              </w:rPr>
              <w:t>o</w:t>
            </w:r>
            <w:r w:rsidRPr="007A7B7C">
              <w:rPr>
                <w:rFonts w:ascii="Arial Narrow" w:eastAsia="Times New Roman" w:hAnsi="Arial Narrow" w:cs="Times New Roman"/>
                <w:spacing w:val="-4"/>
                <w:sz w:val="20"/>
                <w:szCs w:val="20"/>
              </w:rPr>
              <w:t xml:space="preserve"> </w:t>
            </w:r>
            <w:r w:rsidRPr="007A7B7C">
              <w:rPr>
                <w:rFonts w:ascii="Arial Narrow" w:eastAsia="Times New Roman" w:hAnsi="Arial Narrow" w:cs="Times New Roman"/>
                <w:sz w:val="20"/>
                <w:szCs w:val="20"/>
              </w:rPr>
              <w:t>trea</w:t>
            </w:r>
            <w:r w:rsidRPr="007A7B7C">
              <w:rPr>
                <w:rFonts w:ascii="Arial Narrow" w:eastAsia="Times New Roman" w:hAnsi="Arial Narrow" w:cs="Times New Roman"/>
                <w:spacing w:val="2"/>
                <w:sz w:val="20"/>
                <w:szCs w:val="20"/>
              </w:rPr>
              <w:t>t</w:t>
            </w:r>
            <w:r w:rsidRPr="007A7B7C">
              <w:rPr>
                <w:rFonts w:ascii="Arial Narrow" w:eastAsia="Times New Roman" w:hAnsi="Arial Narrow" w:cs="Times New Roman"/>
                <w:spacing w:val="-5"/>
                <w:sz w:val="20"/>
                <w:szCs w:val="20"/>
              </w:rPr>
              <w:t>m</w:t>
            </w:r>
            <w:r w:rsidRPr="007A7B7C">
              <w:rPr>
                <w:rFonts w:ascii="Arial Narrow" w:eastAsia="Times New Roman" w:hAnsi="Arial Narrow" w:cs="Times New Roman"/>
                <w:spacing w:val="2"/>
                <w:sz w:val="20"/>
                <w:szCs w:val="20"/>
              </w:rPr>
              <w:t>e</w:t>
            </w:r>
            <w:r w:rsidRPr="007A7B7C">
              <w:rPr>
                <w:rFonts w:ascii="Arial Narrow" w:eastAsia="Times New Roman" w:hAnsi="Arial Narrow" w:cs="Times New Roman"/>
                <w:spacing w:val="-2"/>
                <w:sz w:val="20"/>
                <w:szCs w:val="20"/>
              </w:rPr>
              <w:t>n</w:t>
            </w:r>
            <w:r w:rsidRPr="007A7B7C">
              <w:rPr>
                <w:rFonts w:ascii="Arial Narrow" w:eastAsia="Times New Roman" w:hAnsi="Arial Narrow" w:cs="Times New Roman"/>
                <w:sz w:val="20"/>
                <w:szCs w:val="20"/>
              </w:rPr>
              <w:t>t</w:t>
            </w:r>
          </w:p>
        </w:tc>
        <w:tc>
          <w:tcPr>
            <w:tcW w:w="1418" w:type="dxa"/>
            <w:tcBorders>
              <w:top w:val="single" w:sz="5" w:space="0" w:color="000000"/>
              <w:left w:val="single" w:sz="5" w:space="0" w:color="000000"/>
              <w:bottom w:val="single" w:sz="5" w:space="0" w:color="000000"/>
              <w:right w:val="single" w:sz="5" w:space="0" w:color="000000"/>
            </w:tcBorders>
            <w:shd w:val="clear" w:color="auto" w:fill="D9D9D9"/>
          </w:tcPr>
          <w:p w:rsidR="00970688" w:rsidRPr="007A7B7C" w:rsidRDefault="00970688" w:rsidP="00F6414C">
            <w:pPr>
              <w:ind w:left="95" w:firstLine="7"/>
              <w:rPr>
                <w:rFonts w:ascii="Arial Narrow" w:hAnsi="Arial Narrow"/>
                <w:sz w:val="20"/>
              </w:rPr>
            </w:pPr>
          </w:p>
        </w:tc>
        <w:tc>
          <w:tcPr>
            <w:tcW w:w="1417" w:type="dxa"/>
            <w:tcBorders>
              <w:top w:val="single" w:sz="5" w:space="0" w:color="000000"/>
              <w:left w:val="single" w:sz="5" w:space="0" w:color="000000"/>
              <w:bottom w:val="single" w:sz="5" w:space="0" w:color="000000"/>
              <w:right w:val="single" w:sz="5" w:space="0" w:color="000000"/>
            </w:tcBorders>
            <w:shd w:val="clear" w:color="auto" w:fill="D9D9D9"/>
          </w:tcPr>
          <w:p w:rsidR="00970688" w:rsidRPr="007A7B7C" w:rsidRDefault="00970688" w:rsidP="00F6414C">
            <w:pPr>
              <w:pStyle w:val="TableParagraph"/>
              <w:spacing w:before="33"/>
              <w:ind w:left="94" w:firstLine="8"/>
              <w:jc w:val="center"/>
              <w:rPr>
                <w:rFonts w:ascii="Arial Narrow" w:eastAsia="Times New Roman" w:hAnsi="Arial Narrow" w:cs="Times New Roman"/>
                <w:sz w:val="20"/>
                <w:szCs w:val="20"/>
              </w:rPr>
            </w:pPr>
            <w:r w:rsidRPr="007A7B7C">
              <w:rPr>
                <w:rFonts w:ascii="Arial Narrow" w:eastAsia="Times New Roman" w:hAnsi="Arial Narrow" w:cs="Times New Roman"/>
                <w:spacing w:val="1"/>
                <w:sz w:val="20"/>
                <w:szCs w:val="20"/>
              </w:rPr>
              <w:t>$</w:t>
            </w:r>
            <w:r w:rsidR="00A54692">
              <w:rPr>
                <w:rFonts w:ascii="Arial Narrow" w:eastAsia="Times New Roman" w:hAnsi="Arial Narrow" w:cs="Times New Roman"/>
                <w:noProof/>
                <w:color w:val="000000"/>
                <w:spacing w:val="1"/>
                <w:sz w:val="20"/>
                <w:szCs w:val="20"/>
                <w:highlight w:val="black"/>
              </w:rPr>
              <w:t>''''''''''''''''</w:t>
            </w:r>
          </w:p>
        </w:tc>
        <w:tc>
          <w:tcPr>
            <w:tcW w:w="1559" w:type="dxa"/>
            <w:tcBorders>
              <w:top w:val="single" w:sz="5" w:space="0" w:color="000000"/>
              <w:left w:val="single" w:sz="5" w:space="0" w:color="000000"/>
              <w:bottom w:val="single" w:sz="5" w:space="0" w:color="000000"/>
              <w:right w:val="single" w:sz="5" w:space="0" w:color="000000"/>
            </w:tcBorders>
            <w:shd w:val="clear" w:color="auto" w:fill="D9D9D9"/>
          </w:tcPr>
          <w:p w:rsidR="00970688" w:rsidRPr="007A7B7C" w:rsidRDefault="00970688" w:rsidP="00F6414C">
            <w:pPr>
              <w:pStyle w:val="TableParagraph"/>
              <w:spacing w:before="33"/>
              <w:ind w:left="95" w:right="47" w:firstLine="7"/>
              <w:jc w:val="center"/>
              <w:rPr>
                <w:rFonts w:ascii="Arial Narrow" w:eastAsia="Times New Roman" w:hAnsi="Arial Narrow" w:cs="Times New Roman"/>
                <w:sz w:val="20"/>
                <w:szCs w:val="20"/>
              </w:rPr>
            </w:pPr>
            <w:r w:rsidRPr="007A7B7C">
              <w:rPr>
                <w:rFonts w:ascii="Arial Narrow" w:eastAsia="Times New Roman" w:hAnsi="Arial Narrow" w:cs="Times New Roman"/>
                <w:spacing w:val="1"/>
                <w:sz w:val="20"/>
                <w:szCs w:val="20"/>
              </w:rPr>
              <w:t>1</w:t>
            </w:r>
            <w:r w:rsidRPr="007A7B7C">
              <w:rPr>
                <w:rFonts w:ascii="Arial Narrow" w:eastAsia="Times New Roman" w:hAnsi="Arial Narrow" w:cs="Times New Roman"/>
                <w:sz w:val="20"/>
                <w:szCs w:val="20"/>
              </w:rPr>
              <w:t>.</w:t>
            </w:r>
            <w:r w:rsidRPr="007A7B7C">
              <w:rPr>
                <w:rFonts w:ascii="Arial Narrow" w:eastAsia="Times New Roman" w:hAnsi="Arial Narrow" w:cs="Times New Roman"/>
                <w:spacing w:val="1"/>
                <w:sz w:val="20"/>
                <w:szCs w:val="20"/>
              </w:rPr>
              <w:t>76</w:t>
            </w:r>
            <w:r w:rsidRPr="007A7B7C">
              <w:rPr>
                <w:rFonts w:ascii="Arial Narrow" w:eastAsia="Times New Roman" w:hAnsi="Arial Narrow" w:cs="Times New Roman"/>
                <w:spacing w:val="-2"/>
                <w:sz w:val="20"/>
                <w:szCs w:val="20"/>
              </w:rPr>
              <w:t>0</w:t>
            </w:r>
            <w:r w:rsidRPr="007A7B7C">
              <w:rPr>
                <w:rFonts w:ascii="Arial Narrow" w:eastAsia="Times New Roman" w:hAnsi="Arial Narrow" w:cs="Times New Roman"/>
                <w:sz w:val="20"/>
                <w:szCs w:val="20"/>
              </w:rPr>
              <w:t>6</w:t>
            </w:r>
          </w:p>
        </w:tc>
        <w:tc>
          <w:tcPr>
            <w:tcW w:w="1701" w:type="dxa"/>
            <w:tcBorders>
              <w:top w:val="single" w:sz="5" w:space="0" w:color="000000"/>
              <w:left w:val="single" w:sz="5" w:space="0" w:color="000000"/>
              <w:bottom w:val="single" w:sz="5" w:space="0" w:color="000000"/>
              <w:right w:val="single" w:sz="5" w:space="0" w:color="000000"/>
            </w:tcBorders>
            <w:shd w:val="clear" w:color="auto" w:fill="D9D9D9"/>
          </w:tcPr>
          <w:p w:rsidR="00970688" w:rsidRPr="007A7B7C" w:rsidRDefault="00970688" w:rsidP="00F6414C">
            <w:pPr>
              <w:pStyle w:val="TableParagraph"/>
              <w:spacing w:before="33"/>
              <w:ind w:left="95" w:right="4" w:firstLine="7"/>
              <w:jc w:val="center"/>
              <w:rPr>
                <w:rFonts w:ascii="Arial Narrow" w:eastAsia="Times New Roman" w:hAnsi="Arial Narrow" w:cs="Times New Roman"/>
                <w:sz w:val="20"/>
                <w:szCs w:val="20"/>
              </w:rPr>
            </w:pPr>
            <w:r w:rsidRPr="007A7B7C">
              <w:rPr>
                <w:rFonts w:ascii="Arial Narrow" w:eastAsia="Times New Roman" w:hAnsi="Arial Narrow" w:cs="Times New Roman"/>
                <w:spacing w:val="1"/>
                <w:sz w:val="20"/>
                <w:szCs w:val="20"/>
              </w:rPr>
              <w:t>$</w:t>
            </w:r>
            <w:r w:rsidR="00A54692">
              <w:rPr>
                <w:rFonts w:ascii="Arial Narrow" w:eastAsia="Times New Roman" w:hAnsi="Arial Narrow" w:cs="Times New Roman"/>
                <w:noProof/>
                <w:color w:val="000000"/>
                <w:spacing w:val="1"/>
                <w:sz w:val="20"/>
                <w:szCs w:val="20"/>
                <w:highlight w:val="black"/>
              </w:rPr>
              <w:t>''''''''''''''''</w:t>
            </w:r>
          </w:p>
        </w:tc>
      </w:tr>
      <w:tr w:rsidR="00D61D70" w:rsidRPr="007A7B7C" w:rsidTr="00D06A08">
        <w:trPr>
          <w:jc w:val="right"/>
        </w:trPr>
        <w:tc>
          <w:tcPr>
            <w:tcW w:w="2268" w:type="dxa"/>
            <w:tcBorders>
              <w:top w:val="single" w:sz="5" w:space="0" w:color="000000"/>
              <w:left w:val="single" w:sz="5" w:space="0" w:color="000000"/>
              <w:bottom w:val="single" w:sz="5" w:space="0" w:color="000000"/>
              <w:right w:val="single" w:sz="5" w:space="0" w:color="000000"/>
            </w:tcBorders>
          </w:tcPr>
          <w:p w:rsidR="00970688" w:rsidRPr="007A7B7C" w:rsidRDefault="00970688" w:rsidP="00F6414C">
            <w:pPr>
              <w:pStyle w:val="TableParagraph"/>
              <w:spacing w:before="39" w:line="228" w:lineRule="exact"/>
              <w:ind w:left="95" w:right="819" w:firstLine="7"/>
              <w:rPr>
                <w:rFonts w:ascii="Arial Narrow" w:eastAsia="Times New Roman" w:hAnsi="Arial Narrow" w:cs="Times New Roman"/>
                <w:sz w:val="20"/>
                <w:szCs w:val="20"/>
              </w:rPr>
            </w:pPr>
            <w:r w:rsidRPr="007A7B7C">
              <w:rPr>
                <w:rFonts w:ascii="Arial Narrow" w:eastAsia="Times New Roman" w:hAnsi="Arial Narrow" w:cs="Times New Roman"/>
                <w:spacing w:val="-1"/>
                <w:sz w:val="20"/>
                <w:szCs w:val="20"/>
              </w:rPr>
              <w:t>C</w:t>
            </w:r>
            <w:r w:rsidRPr="007A7B7C">
              <w:rPr>
                <w:rFonts w:ascii="Arial Narrow" w:eastAsia="Times New Roman" w:hAnsi="Arial Narrow" w:cs="Times New Roman"/>
                <w:spacing w:val="1"/>
                <w:sz w:val="20"/>
                <w:szCs w:val="20"/>
              </w:rPr>
              <w:t>o</w:t>
            </w:r>
            <w:r w:rsidRPr="007A7B7C">
              <w:rPr>
                <w:rFonts w:ascii="Arial Narrow" w:eastAsia="Times New Roman" w:hAnsi="Arial Narrow" w:cs="Times New Roman"/>
                <w:sz w:val="20"/>
                <w:szCs w:val="20"/>
              </w:rPr>
              <w:t>rrecti</w:t>
            </w:r>
            <w:r w:rsidRPr="007A7B7C">
              <w:rPr>
                <w:rFonts w:ascii="Arial Narrow" w:eastAsia="Times New Roman" w:hAnsi="Arial Narrow" w:cs="Times New Roman"/>
                <w:spacing w:val="-2"/>
                <w:sz w:val="20"/>
                <w:szCs w:val="20"/>
              </w:rPr>
              <w:t>n</w:t>
            </w:r>
            <w:r w:rsidRPr="007A7B7C">
              <w:rPr>
                <w:rFonts w:ascii="Arial Narrow" w:eastAsia="Times New Roman" w:hAnsi="Arial Narrow" w:cs="Times New Roman"/>
                <w:sz w:val="20"/>
                <w:szCs w:val="20"/>
              </w:rPr>
              <w:t>g</w:t>
            </w:r>
            <w:r w:rsidRPr="007A7B7C">
              <w:rPr>
                <w:rFonts w:ascii="Arial Narrow" w:eastAsia="Times New Roman" w:hAnsi="Arial Narrow" w:cs="Times New Roman"/>
                <w:spacing w:val="-6"/>
                <w:sz w:val="20"/>
                <w:szCs w:val="20"/>
              </w:rPr>
              <w:t xml:space="preserve"> </w:t>
            </w:r>
            <w:r w:rsidRPr="007A7B7C">
              <w:rPr>
                <w:rFonts w:ascii="Arial Narrow" w:eastAsia="Times New Roman" w:hAnsi="Arial Narrow" w:cs="Times New Roman"/>
                <w:spacing w:val="-2"/>
                <w:sz w:val="20"/>
                <w:szCs w:val="20"/>
              </w:rPr>
              <w:t>u</w:t>
            </w:r>
            <w:r w:rsidRPr="007A7B7C">
              <w:rPr>
                <w:rFonts w:ascii="Arial Narrow" w:eastAsia="Times New Roman" w:hAnsi="Arial Narrow" w:cs="Times New Roman"/>
                <w:sz w:val="20"/>
                <w:szCs w:val="20"/>
              </w:rPr>
              <w:t>ti</w:t>
            </w:r>
            <w:r w:rsidRPr="007A7B7C">
              <w:rPr>
                <w:rFonts w:ascii="Arial Narrow" w:eastAsia="Times New Roman" w:hAnsi="Arial Narrow" w:cs="Times New Roman"/>
                <w:spacing w:val="1"/>
                <w:sz w:val="20"/>
                <w:szCs w:val="20"/>
              </w:rPr>
              <w:t>l</w:t>
            </w:r>
            <w:r w:rsidRPr="007A7B7C">
              <w:rPr>
                <w:rFonts w:ascii="Arial Narrow" w:eastAsia="Times New Roman" w:hAnsi="Arial Narrow" w:cs="Times New Roman"/>
                <w:sz w:val="20"/>
                <w:szCs w:val="20"/>
              </w:rPr>
              <w:t>i</w:t>
            </w:r>
            <w:r w:rsidRPr="007A7B7C">
              <w:rPr>
                <w:rFonts w:ascii="Arial Narrow" w:eastAsia="Times New Roman" w:hAnsi="Arial Narrow" w:cs="Times New Roman"/>
                <w:spacing w:val="1"/>
                <w:sz w:val="20"/>
                <w:szCs w:val="20"/>
              </w:rPr>
              <w:t>t</w:t>
            </w:r>
            <w:r w:rsidRPr="007A7B7C">
              <w:rPr>
                <w:rFonts w:ascii="Arial Narrow" w:eastAsia="Times New Roman" w:hAnsi="Arial Narrow" w:cs="Times New Roman"/>
                <w:sz w:val="20"/>
                <w:szCs w:val="20"/>
              </w:rPr>
              <w:t>y</w:t>
            </w:r>
            <w:r w:rsidRPr="007A7B7C">
              <w:rPr>
                <w:rFonts w:ascii="Arial Narrow" w:eastAsia="Times New Roman" w:hAnsi="Arial Narrow" w:cs="Times New Roman"/>
                <w:spacing w:val="-8"/>
                <w:sz w:val="20"/>
                <w:szCs w:val="20"/>
              </w:rPr>
              <w:t xml:space="preserve"> </w:t>
            </w:r>
            <w:r w:rsidRPr="007A7B7C">
              <w:rPr>
                <w:rFonts w:ascii="Arial Narrow" w:eastAsia="Times New Roman" w:hAnsi="Arial Narrow" w:cs="Times New Roman"/>
                <w:spacing w:val="-2"/>
                <w:sz w:val="20"/>
                <w:szCs w:val="20"/>
              </w:rPr>
              <w:t>v</w:t>
            </w:r>
            <w:r w:rsidRPr="007A7B7C">
              <w:rPr>
                <w:rFonts w:ascii="Arial Narrow" w:eastAsia="Times New Roman" w:hAnsi="Arial Narrow" w:cs="Times New Roman"/>
                <w:sz w:val="20"/>
                <w:szCs w:val="20"/>
              </w:rPr>
              <w:t>a</w:t>
            </w:r>
            <w:r w:rsidRPr="007A7B7C">
              <w:rPr>
                <w:rFonts w:ascii="Arial Narrow" w:eastAsia="Times New Roman" w:hAnsi="Arial Narrow" w:cs="Times New Roman"/>
                <w:spacing w:val="2"/>
                <w:sz w:val="20"/>
                <w:szCs w:val="20"/>
              </w:rPr>
              <w:t>l</w:t>
            </w:r>
            <w:r w:rsidRPr="007A7B7C">
              <w:rPr>
                <w:rFonts w:ascii="Arial Narrow" w:eastAsia="Times New Roman" w:hAnsi="Arial Narrow" w:cs="Times New Roman"/>
                <w:spacing w:val="-2"/>
                <w:sz w:val="20"/>
                <w:szCs w:val="20"/>
              </w:rPr>
              <w:t>u</w:t>
            </w:r>
            <w:r w:rsidRPr="007A7B7C">
              <w:rPr>
                <w:rFonts w:ascii="Arial Narrow" w:eastAsia="Times New Roman" w:hAnsi="Arial Narrow" w:cs="Times New Roman"/>
                <w:sz w:val="20"/>
                <w:szCs w:val="20"/>
              </w:rPr>
              <w:t>e</w:t>
            </w:r>
            <w:r w:rsidRPr="007A7B7C">
              <w:rPr>
                <w:rFonts w:ascii="Arial Narrow" w:eastAsia="Times New Roman" w:hAnsi="Arial Narrow" w:cs="Times New Roman"/>
                <w:spacing w:val="-6"/>
                <w:sz w:val="20"/>
                <w:szCs w:val="20"/>
              </w:rPr>
              <w:t xml:space="preserve"> </w:t>
            </w:r>
            <w:r w:rsidRPr="007A7B7C">
              <w:rPr>
                <w:rFonts w:ascii="Arial Narrow" w:eastAsia="Times New Roman" w:hAnsi="Arial Narrow" w:cs="Times New Roman"/>
                <w:spacing w:val="-2"/>
                <w:sz w:val="20"/>
                <w:szCs w:val="20"/>
              </w:rPr>
              <w:t>f</w:t>
            </w:r>
            <w:r w:rsidRPr="007A7B7C">
              <w:rPr>
                <w:rFonts w:ascii="Arial Narrow" w:eastAsia="Times New Roman" w:hAnsi="Arial Narrow" w:cs="Times New Roman"/>
                <w:spacing w:val="1"/>
                <w:sz w:val="20"/>
                <w:szCs w:val="20"/>
              </w:rPr>
              <w:t>o</w:t>
            </w:r>
            <w:r w:rsidRPr="007A7B7C">
              <w:rPr>
                <w:rFonts w:ascii="Arial Narrow" w:eastAsia="Times New Roman" w:hAnsi="Arial Narrow" w:cs="Times New Roman"/>
                <w:sz w:val="20"/>
                <w:szCs w:val="20"/>
              </w:rPr>
              <w:t>r</w:t>
            </w:r>
            <w:r w:rsidRPr="007A7B7C">
              <w:rPr>
                <w:rFonts w:ascii="Arial Narrow" w:eastAsia="Times New Roman" w:hAnsi="Arial Narrow" w:cs="Times New Roman"/>
                <w:w w:val="99"/>
                <w:sz w:val="20"/>
                <w:szCs w:val="20"/>
              </w:rPr>
              <w:t xml:space="preserve"> </w:t>
            </w:r>
            <w:r w:rsidRPr="007A7B7C">
              <w:rPr>
                <w:rFonts w:ascii="Arial Narrow" w:eastAsia="Times New Roman" w:hAnsi="Arial Narrow" w:cs="Times New Roman"/>
                <w:sz w:val="20"/>
                <w:szCs w:val="20"/>
              </w:rPr>
              <w:t>F4(SV</w:t>
            </w:r>
            <w:r w:rsidRPr="007A7B7C">
              <w:rPr>
                <w:rFonts w:ascii="Arial Narrow" w:eastAsia="Times New Roman" w:hAnsi="Arial Narrow" w:cs="Times New Roman"/>
                <w:spacing w:val="-1"/>
                <w:sz w:val="20"/>
                <w:szCs w:val="20"/>
              </w:rPr>
              <w:t>R</w:t>
            </w:r>
            <w:r w:rsidRPr="007A7B7C">
              <w:rPr>
                <w:rFonts w:ascii="Arial Narrow" w:eastAsia="Times New Roman" w:hAnsi="Arial Narrow" w:cs="Times New Roman"/>
                <w:sz w:val="20"/>
                <w:szCs w:val="20"/>
              </w:rPr>
              <w:t>)</w:t>
            </w:r>
          </w:p>
        </w:tc>
        <w:tc>
          <w:tcPr>
            <w:tcW w:w="1418" w:type="dxa"/>
            <w:tcBorders>
              <w:top w:val="single" w:sz="5" w:space="0" w:color="000000"/>
              <w:left w:val="single" w:sz="5" w:space="0" w:color="000000"/>
              <w:bottom w:val="single" w:sz="5" w:space="0" w:color="000000"/>
              <w:right w:val="single" w:sz="5" w:space="0" w:color="000000"/>
            </w:tcBorders>
          </w:tcPr>
          <w:p w:rsidR="00970688" w:rsidRPr="007A7B7C" w:rsidRDefault="00970688" w:rsidP="00F6414C">
            <w:pPr>
              <w:pStyle w:val="TableParagraph"/>
              <w:spacing w:before="8" w:line="140" w:lineRule="exact"/>
              <w:ind w:left="95" w:firstLine="7"/>
              <w:rPr>
                <w:rFonts w:ascii="Arial Narrow" w:hAnsi="Arial Narrow"/>
                <w:sz w:val="20"/>
                <w:szCs w:val="20"/>
              </w:rPr>
            </w:pPr>
          </w:p>
          <w:p w:rsidR="00970688" w:rsidRPr="007A7B7C" w:rsidRDefault="00970688" w:rsidP="00F6414C">
            <w:pPr>
              <w:pStyle w:val="TableParagraph"/>
              <w:ind w:left="95" w:firstLine="7"/>
              <w:rPr>
                <w:rFonts w:ascii="Arial Narrow" w:eastAsia="Times New Roman" w:hAnsi="Arial Narrow" w:cs="Times New Roman"/>
                <w:sz w:val="20"/>
                <w:szCs w:val="20"/>
              </w:rPr>
            </w:pPr>
            <w:r w:rsidRPr="007A7B7C">
              <w:rPr>
                <w:rFonts w:ascii="Arial Narrow" w:eastAsia="Times New Roman" w:hAnsi="Arial Narrow" w:cs="Times New Roman"/>
                <w:spacing w:val="1"/>
                <w:sz w:val="20"/>
                <w:szCs w:val="20"/>
              </w:rPr>
              <w:t>0</w:t>
            </w:r>
            <w:r w:rsidRPr="007A7B7C">
              <w:rPr>
                <w:rFonts w:ascii="Arial Narrow" w:eastAsia="Times New Roman" w:hAnsi="Arial Narrow" w:cs="Times New Roman"/>
                <w:sz w:val="20"/>
                <w:szCs w:val="20"/>
              </w:rPr>
              <w:t>.</w:t>
            </w:r>
            <w:r w:rsidRPr="007A7B7C">
              <w:rPr>
                <w:rFonts w:ascii="Arial Narrow" w:eastAsia="Times New Roman" w:hAnsi="Arial Narrow" w:cs="Times New Roman"/>
                <w:spacing w:val="1"/>
                <w:sz w:val="20"/>
                <w:szCs w:val="20"/>
              </w:rPr>
              <w:t>7</w:t>
            </w:r>
            <w:r w:rsidRPr="007A7B7C">
              <w:rPr>
                <w:rFonts w:ascii="Arial Narrow" w:eastAsia="Times New Roman" w:hAnsi="Arial Narrow" w:cs="Times New Roman"/>
                <w:sz w:val="20"/>
                <w:szCs w:val="20"/>
              </w:rPr>
              <w:t>2</w:t>
            </w:r>
            <w:r w:rsidRPr="007A7B7C">
              <w:rPr>
                <w:rFonts w:ascii="Arial Narrow" w:eastAsia="Times New Roman" w:hAnsi="Arial Narrow" w:cs="Times New Roman"/>
                <w:spacing w:val="-4"/>
                <w:sz w:val="20"/>
                <w:szCs w:val="20"/>
              </w:rPr>
              <w:t xml:space="preserve"> </w:t>
            </w:r>
            <w:r w:rsidRPr="007A7B7C">
              <w:rPr>
                <w:rFonts w:ascii="Arial Narrow" w:eastAsia="Times New Roman" w:hAnsi="Arial Narrow" w:cs="Times New Roman"/>
                <w:sz w:val="20"/>
                <w:szCs w:val="20"/>
              </w:rPr>
              <w:t>to</w:t>
            </w:r>
            <w:r w:rsidRPr="007A7B7C">
              <w:rPr>
                <w:rFonts w:ascii="Arial Narrow" w:eastAsia="Times New Roman" w:hAnsi="Arial Narrow" w:cs="Times New Roman"/>
                <w:spacing w:val="-6"/>
                <w:sz w:val="20"/>
                <w:szCs w:val="20"/>
              </w:rPr>
              <w:t xml:space="preserve"> </w:t>
            </w:r>
            <w:r w:rsidRPr="007A7B7C">
              <w:rPr>
                <w:rFonts w:ascii="Arial Narrow" w:eastAsia="Times New Roman" w:hAnsi="Arial Narrow" w:cs="Times New Roman"/>
                <w:spacing w:val="1"/>
                <w:sz w:val="20"/>
                <w:szCs w:val="20"/>
              </w:rPr>
              <w:t>0</w:t>
            </w:r>
            <w:r w:rsidRPr="007A7B7C">
              <w:rPr>
                <w:rFonts w:ascii="Arial Narrow" w:eastAsia="Times New Roman" w:hAnsi="Arial Narrow" w:cs="Times New Roman"/>
                <w:sz w:val="20"/>
                <w:szCs w:val="20"/>
              </w:rPr>
              <w:t>.</w:t>
            </w:r>
            <w:r w:rsidRPr="007A7B7C">
              <w:rPr>
                <w:rFonts w:ascii="Arial Narrow" w:eastAsia="Times New Roman" w:hAnsi="Arial Narrow" w:cs="Times New Roman"/>
                <w:spacing w:val="-2"/>
                <w:sz w:val="20"/>
                <w:szCs w:val="20"/>
              </w:rPr>
              <w:t>6</w:t>
            </w:r>
            <w:r w:rsidRPr="007A7B7C">
              <w:rPr>
                <w:rFonts w:ascii="Arial Narrow" w:eastAsia="Times New Roman" w:hAnsi="Arial Narrow" w:cs="Times New Roman"/>
                <w:sz w:val="20"/>
                <w:szCs w:val="20"/>
              </w:rPr>
              <w:t>0</w:t>
            </w:r>
          </w:p>
        </w:tc>
        <w:tc>
          <w:tcPr>
            <w:tcW w:w="1417" w:type="dxa"/>
            <w:tcBorders>
              <w:top w:val="single" w:sz="5" w:space="0" w:color="000000"/>
              <w:left w:val="single" w:sz="5" w:space="0" w:color="000000"/>
              <w:bottom w:val="single" w:sz="5" w:space="0" w:color="000000"/>
              <w:right w:val="single" w:sz="5" w:space="0" w:color="000000"/>
            </w:tcBorders>
          </w:tcPr>
          <w:p w:rsidR="00970688" w:rsidRPr="007A7B7C" w:rsidRDefault="00970688" w:rsidP="00F6414C">
            <w:pPr>
              <w:pStyle w:val="TableParagraph"/>
              <w:spacing w:before="35"/>
              <w:ind w:left="94" w:firstLine="8"/>
              <w:jc w:val="center"/>
              <w:rPr>
                <w:rFonts w:ascii="Arial Narrow" w:eastAsia="Times New Roman" w:hAnsi="Arial Narrow" w:cs="Times New Roman"/>
                <w:sz w:val="20"/>
                <w:szCs w:val="20"/>
              </w:rPr>
            </w:pPr>
            <w:r w:rsidRPr="007A7B7C">
              <w:rPr>
                <w:rFonts w:ascii="Arial Narrow" w:eastAsia="Times New Roman" w:hAnsi="Arial Narrow" w:cs="Times New Roman"/>
                <w:spacing w:val="1"/>
                <w:sz w:val="20"/>
                <w:szCs w:val="20"/>
              </w:rPr>
              <w:t>$</w:t>
            </w:r>
            <w:r w:rsidR="00A54692">
              <w:rPr>
                <w:rFonts w:ascii="Arial Narrow" w:eastAsia="Times New Roman" w:hAnsi="Arial Narrow" w:cs="Times New Roman"/>
                <w:noProof/>
                <w:color w:val="000000"/>
                <w:spacing w:val="1"/>
                <w:sz w:val="20"/>
                <w:szCs w:val="20"/>
                <w:highlight w:val="black"/>
              </w:rPr>
              <w:t>'''''''''''''''''</w:t>
            </w:r>
          </w:p>
        </w:tc>
        <w:tc>
          <w:tcPr>
            <w:tcW w:w="1559" w:type="dxa"/>
            <w:tcBorders>
              <w:top w:val="single" w:sz="5" w:space="0" w:color="000000"/>
              <w:left w:val="single" w:sz="5" w:space="0" w:color="000000"/>
              <w:bottom w:val="single" w:sz="5" w:space="0" w:color="000000"/>
              <w:right w:val="single" w:sz="5" w:space="0" w:color="000000"/>
            </w:tcBorders>
          </w:tcPr>
          <w:p w:rsidR="00970688" w:rsidRPr="007A7B7C" w:rsidRDefault="00970688" w:rsidP="00F6414C">
            <w:pPr>
              <w:pStyle w:val="TableParagraph"/>
              <w:spacing w:before="35"/>
              <w:ind w:left="95" w:right="47" w:firstLine="7"/>
              <w:jc w:val="center"/>
              <w:rPr>
                <w:rFonts w:ascii="Arial Narrow" w:eastAsia="Times New Roman" w:hAnsi="Arial Narrow" w:cs="Times New Roman"/>
                <w:sz w:val="20"/>
                <w:szCs w:val="20"/>
              </w:rPr>
            </w:pPr>
            <w:r w:rsidRPr="007A7B7C">
              <w:rPr>
                <w:rFonts w:ascii="Arial Narrow" w:eastAsia="Times New Roman" w:hAnsi="Arial Narrow" w:cs="Times New Roman"/>
                <w:spacing w:val="1"/>
                <w:sz w:val="20"/>
                <w:szCs w:val="20"/>
              </w:rPr>
              <w:t>1</w:t>
            </w:r>
            <w:r w:rsidRPr="007A7B7C">
              <w:rPr>
                <w:rFonts w:ascii="Arial Narrow" w:eastAsia="Times New Roman" w:hAnsi="Arial Narrow" w:cs="Times New Roman"/>
                <w:sz w:val="20"/>
                <w:szCs w:val="20"/>
              </w:rPr>
              <w:t>.</w:t>
            </w:r>
            <w:r w:rsidRPr="007A7B7C">
              <w:rPr>
                <w:rFonts w:ascii="Arial Narrow" w:eastAsia="Times New Roman" w:hAnsi="Arial Narrow" w:cs="Times New Roman"/>
                <w:spacing w:val="1"/>
                <w:sz w:val="20"/>
                <w:szCs w:val="20"/>
              </w:rPr>
              <w:t>64</w:t>
            </w:r>
            <w:r w:rsidRPr="007A7B7C">
              <w:rPr>
                <w:rFonts w:ascii="Arial Narrow" w:eastAsia="Times New Roman" w:hAnsi="Arial Narrow" w:cs="Times New Roman"/>
                <w:spacing w:val="-2"/>
                <w:sz w:val="20"/>
                <w:szCs w:val="20"/>
              </w:rPr>
              <w:t>0</w:t>
            </w:r>
            <w:r w:rsidRPr="007A7B7C">
              <w:rPr>
                <w:rFonts w:ascii="Arial Narrow" w:eastAsia="Times New Roman" w:hAnsi="Arial Narrow" w:cs="Times New Roman"/>
                <w:sz w:val="20"/>
                <w:szCs w:val="20"/>
              </w:rPr>
              <w:t>8</w:t>
            </w:r>
          </w:p>
        </w:tc>
        <w:tc>
          <w:tcPr>
            <w:tcW w:w="1701" w:type="dxa"/>
            <w:tcBorders>
              <w:top w:val="single" w:sz="5" w:space="0" w:color="000000"/>
              <w:left w:val="single" w:sz="5" w:space="0" w:color="000000"/>
              <w:bottom w:val="single" w:sz="5" w:space="0" w:color="000000"/>
              <w:right w:val="single" w:sz="5" w:space="0" w:color="000000"/>
            </w:tcBorders>
          </w:tcPr>
          <w:p w:rsidR="00970688" w:rsidRPr="007A7B7C" w:rsidRDefault="00970688" w:rsidP="00F6414C">
            <w:pPr>
              <w:pStyle w:val="TableParagraph"/>
              <w:spacing w:before="35"/>
              <w:ind w:left="95" w:right="4" w:firstLine="7"/>
              <w:jc w:val="center"/>
              <w:rPr>
                <w:rFonts w:ascii="Arial Narrow" w:eastAsia="Times New Roman" w:hAnsi="Arial Narrow" w:cs="Times New Roman"/>
                <w:sz w:val="20"/>
                <w:szCs w:val="20"/>
              </w:rPr>
            </w:pPr>
            <w:r w:rsidRPr="007A7B7C">
              <w:rPr>
                <w:rFonts w:ascii="Arial Narrow" w:eastAsia="Times New Roman" w:hAnsi="Arial Narrow" w:cs="Times New Roman"/>
                <w:spacing w:val="1"/>
                <w:sz w:val="20"/>
                <w:szCs w:val="20"/>
              </w:rPr>
              <w:t>$</w:t>
            </w:r>
            <w:r w:rsidR="00A54692">
              <w:rPr>
                <w:rFonts w:ascii="Arial Narrow" w:eastAsia="Times New Roman" w:hAnsi="Arial Narrow" w:cs="Times New Roman"/>
                <w:noProof/>
                <w:color w:val="000000"/>
                <w:spacing w:val="1"/>
                <w:sz w:val="20"/>
                <w:szCs w:val="20"/>
                <w:highlight w:val="black"/>
              </w:rPr>
              <w:t>''''''''''''''''</w:t>
            </w:r>
          </w:p>
        </w:tc>
      </w:tr>
      <w:tr w:rsidR="00D61D70" w:rsidRPr="007A7B7C" w:rsidTr="00D06A08">
        <w:trPr>
          <w:jc w:val="right"/>
        </w:trPr>
        <w:tc>
          <w:tcPr>
            <w:tcW w:w="2268" w:type="dxa"/>
            <w:tcBorders>
              <w:top w:val="single" w:sz="5" w:space="0" w:color="000000"/>
              <w:left w:val="single" w:sz="5" w:space="0" w:color="000000"/>
              <w:bottom w:val="single" w:sz="5" w:space="0" w:color="000000"/>
              <w:right w:val="single" w:sz="5" w:space="0" w:color="000000"/>
            </w:tcBorders>
          </w:tcPr>
          <w:p w:rsidR="00970688" w:rsidRPr="007A7B7C" w:rsidRDefault="00970688" w:rsidP="00F6414C">
            <w:pPr>
              <w:pStyle w:val="TableParagraph"/>
              <w:spacing w:before="37" w:line="228" w:lineRule="exact"/>
              <w:ind w:left="95" w:right="534" w:firstLine="7"/>
              <w:rPr>
                <w:rFonts w:ascii="Arial Narrow" w:eastAsia="Times New Roman" w:hAnsi="Arial Narrow" w:cs="Times New Roman"/>
                <w:sz w:val="20"/>
                <w:szCs w:val="20"/>
              </w:rPr>
            </w:pPr>
            <w:r w:rsidRPr="007A7B7C">
              <w:rPr>
                <w:rFonts w:ascii="Arial Narrow" w:eastAsia="Times New Roman" w:hAnsi="Arial Narrow" w:cs="Times New Roman"/>
                <w:spacing w:val="-3"/>
                <w:sz w:val="20"/>
                <w:szCs w:val="20"/>
              </w:rPr>
              <w:t>A</w:t>
            </w:r>
            <w:r w:rsidRPr="007A7B7C">
              <w:rPr>
                <w:rFonts w:ascii="Arial Narrow" w:eastAsia="Times New Roman" w:hAnsi="Arial Narrow" w:cs="Times New Roman"/>
                <w:spacing w:val="1"/>
                <w:sz w:val="20"/>
                <w:szCs w:val="20"/>
              </w:rPr>
              <w:t>d</w:t>
            </w:r>
            <w:r w:rsidRPr="007A7B7C">
              <w:rPr>
                <w:rFonts w:ascii="Arial Narrow" w:eastAsia="Times New Roman" w:hAnsi="Arial Narrow" w:cs="Times New Roman"/>
                <w:spacing w:val="2"/>
                <w:sz w:val="20"/>
                <w:szCs w:val="20"/>
              </w:rPr>
              <w:t>j</w:t>
            </w:r>
            <w:r w:rsidRPr="007A7B7C">
              <w:rPr>
                <w:rFonts w:ascii="Arial Narrow" w:eastAsia="Times New Roman" w:hAnsi="Arial Narrow" w:cs="Times New Roman"/>
                <w:spacing w:val="-2"/>
                <w:sz w:val="20"/>
                <w:szCs w:val="20"/>
              </w:rPr>
              <w:t>u</w:t>
            </w:r>
            <w:r w:rsidRPr="007A7B7C">
              <w:rPr>
                <w:rFonts w:ascii="Arial Narrow" w:eastAsia="Times New Roman" w:hAnsi="Arial Narrow" w:cs="Times New Roman"/>
                <w:spacing w:val="-1"/>
                <w:sz w:val="20"/>
                <w:szCs w:val="20"/>
              </w:rPr>
              <w:t>s</w:t>
            </w:r>
            <w:r w:rsidRPr="007A7B7C">
              <w:rPr>
                <w:rFonts w:ascii="Arial Narrow" w:eastAsia="Times New Roman" w:hAnsi="Arial Narrow" w:cs="Times New Roman"/>
                <w:spacing w:val="2"/>
                <w:sz w:val="20"/>
                <w:szCs w:val="20"/>
              </w:rPr>
              <w:t>t</w:t>
            </w:r>
            <w:r w:rsidRPr="007A7B7C">
              <w:rPr>
                <w:rFonts w:ascii="Arial Narrow" w:eastAsia="Times New Roman" w:hAnsi="Arial Narrow" w:cs="Times New Roman"/>
                <w:spacing w:val="-2"/>
                <w:sz w:val="20"/>
                <w:szCs w:val="20"/>
              </w:rPr>
              <w:t>m</w:t>
            </w:r>
            <w:r w:rsidRPr="007A7B7C">
              <w:rPr>
                <w:rFonts w:ascii="Arial Narrow" w:eastAsia="Times New Roman" w:hAnsi="Arial Narrow" w:cs="Times New Roman"/>
                <w:spacing w:val="2"/>
                <w:sz w:val="20"/>
                <w:szCs w:val="20"/>
              </w:rPr>
              <w:t>e</w:t>
            </w:r>
            <w:r w:rsidRPr="007A7B7C">
              <w:rPr>
                <w:rFonts w:ascii="Arial Narrow" w:eastAsia="Times New Roman" w:hAnsi="Arial Narrow" w:cs="Times New Roman"/>
                <w:spacing w:val="-2"/>
                <w:sz w:val="20"/>
                <w:szCs w:val="20"/>
              </w:rPr>
              <w:t>n</w:t>
            </w:r>
            <w:r w:rsidRPr="007A7B7C">
              <w:rPr>
                <w:rFonts w:ascii="Arial Narrow" w:eastAsia="Times New Roman" w:hAnsi="Arial Narrow" w:cs="Times New Roman"/>
                <w:sz w:val="20"/>
                <w:szCs w:val="20"/>
              </w:rPr>
              <w:t>t</w:t>
            </w:r>
            <w:r w:rsidRPr="007A7B7C">
              <w:rPr>
                <w:rFonts w:ascii="Arial Narrow" w:eastAsia="Times New Roman" w:hAnsi="Arial Narrow" w:cs="Times New Roman"/>
                <w:spacing w:val="-13"/>
                <w:sz w:val="20"/>
                <w:szCs w:val="20"/>
              </w:rPr>
              <w:t xml:space="preserve"> </w:t>
            </w:r>
            <w:r w:rsidRPr="007A7B7C">
              <w:rPr>
                <w:rFonts w:ascii="Arial Narrow" w:eastAsia="Times New Roman" w:hAnsi="Arial Narrow" w:cs="Times New Roman"/>
                <w:spacing w:val="-2"/>
                <w:sz w:val="20"/>
                <w:szCs w:val="20"/>
              </w:rPr>
              <w:t>f</w:t>
            </w:r>
            <w:r w:rsidRPr="007A7B7C">
              <w:rPr>
                <w:rFonts w:ascii="Arial Narrow" w:eastAsia="Times New Roman" w:hAnsi="Arial Narrow" w:cs="Times New Roman"/>
                <w:spacing w:val="1"/>
                <w:sz w:val="20"/>
                <w:szCs w:val="20"/>
              </w:rPr>
              <w:t>o</w:t>
            </w:r>
            <w:r w:rsidRPr="007A7B7C">
              <w:rPr>
                <w:rFonts w:ascii="Arial Narrow" w:eastAsia="Times New Roman" w:hAnsi="Arial Narrow" w:cs="Times New Roman"/>
                <w:sz w:val="20"/>
                <w:szCs w:val="20"/>
              </w:rPr>
              <w:t>r</w:t>
            </w:r>
            <w:r w:rsidRPr="007A7B7C">
              <w:rPr>
                <w:rFonts w:ascii="Arial Narrow" w:eastAsia="Times New Roman" w:hAnsi="Arial Narrow" w:cs="Times New Roman"/>
                <w:spacing w:val="-11"/>
                <w:sz w:val="20"/>
                <w:szCs w:val="20"/>
              </w:rPr>
              <w:t xml:space="preserve"> </w:t>
            </w:r>
            <w:r w:rsidRPr="007A7B7C">
              <w:rPr>
                <w:rFonts w:ascii="Arial Narrow" w:eastAsia="Times New Roman" w:hAnsi="Arial Narrow" w:cs="Times New Roman"/>
                <w:spacing w:val="1"/>
                <w:sz w:val="20"/>
                <w:szCs w:val="20"/>
              </w:rPr>
              <w:t>po</w:t>
            </w:r>
            <w:r w:rsidRPr="007A7B7C">
              <w:rPr>
                <w:rFonts w:ascii="Arial Narrow" w:eastAsia="Times New Roman" w:hAnsi="Arial Narrow" w:cs="Times New Roman"/>
                <w:spacing w:val="2"/>
                <w:sz w:val="20"/>
                <w:szCs w:val="20"/>
              </w:rPr>
              <w:t>l</w:t>
            </w:r>
            <w:r w:rsidRPr="007A7B7C">
              <w:rPr>
                <w:rFonts w:ascii="Arial Narrow" w:eastAsia="Times New Roman" w:hAnsi="Arial Narrow" w:cs="Times New Roman"/>
                <w:spacing w:val="-2"/>
                <w:sz w:val="20"/>
                <w:szCs w:val="20"/>
              </w:rPr>
              <w:t>y</w:t>
            </w:r>
            <w:r w:rsidRPr="007A7B7C">
              <w:rPr>
                <w:rFonts w:ascii="Arial Narrow" w:eastAsia="Times New Roman" w:hAnsi="Arial Narrow" w:cs="Times New Roman"/>
                <w:spacing w:val="-5"/>
                <w:sz w:val="20"/>
                <w:szCs w:val="20"/>
              </w:rPr>
              <w:t>m</w:t>
            </w:r>
            <w:r w:rsidRPr="007A7B7C">
              <w:rPr>
                <w:rFonts w:ascii="Arial Narrow" w:eastAsia="Times New Roman" w:hAnsi="Arial Narrow" w:cs="Times New Roman"/>
                <w:spacing w:val="1"/>
                <w:sz w:val="20"/>
                <w:szCs w:val="20"/>
              </w:rPr>
              <w:t>o</w:t>
            </w:r>
            <w:r w:rsidRPr="007A7B7C">
              <w:rPr>
                <w:rFonts w:ascii="Arial Narrow" w:eastAsia="Times New Roman" w:hAnsi="Arial Narrow" w:cs="Times New Roman"/>
                <w:sz w:val="20"/>
                <w:szCs w:val="20"/>
              </w:rPr>
              <w:t>r</w:t>
            </w:r>
            <w:r w:rsidRPr="007A7B7C">
              <w:rPr>
                <w:rFonts w:ascii="Arial Narrow" w:eastAsia="Times New Roman" w:hAnsi="Arial Narrow" w:cs="Times New Roman"/>
                <w:spacing w:val="3"/>
                <w:sz w:val="20"/>
                <w:szCs w:val="20"/>
              </w:rPr>
              <w:t>p</w:t>
            </w:r>
            <w:r w:rsidRPr="007A7B7C">
              <w:rPr>
                <w:rFonts w:ascii="Arial Narrow" w:eastAsia="Times New Roman" w:hAnsi="Arial Narrow" w:cs="Times New Roman"/>
                <w:spacing w:val="-2"/>
                <w:sz w:val="20"/>
                <w:szCs w:val="20"/>
              </w:rPr>
              <w:t>h</w:t>
            </w:r>
            <w:r w:rsidRPr="007A7B7C">
              <w:rPr>
                <w:rFonts w:ascii="Arial Narrow" w:eastAsia="Times New Roman" w:hAnsi="Arial Narrow" w:cs="Times New Roman"/>
                <w:sz w:val="20"/>
                <w:szCs w:val="20"/>
              </w:rPr>
              <w:t>i</w:t>
            </w:r>
            <w:r w:rsidRPr="007A7B7C">
              <w:rPr>
                <w:rFonts w:ascii="Arial Narrow" w:eastAsia="Times New Roman" w:hAnsi="Arial Narrow" w:cs="Times New Roman"/>
                <w:spacing w:val="1"/>
                <w:sz w:val="20"/>
                <w:szCs w:val="20"/>
              </w:rPr>
              <w:t>s</w:t>
            </w:r>
            <w:r w:rsidRPr="007A7B7C">
              <w:rPr>
                <w:rFonts w:ascii="Arial Narrow" w:eastAsia="Times New Roman" w:hAnsi="Arial Narrow" w:cs="Times New Roman"/>
                <w:sz w:val="20"/>
                <w:szCs w:val="20"/>
              </w:rPr>
              <w:t>m</w:t>
            </w:r>
            <w:r w:rsidRPr="007A7B7C">
              <w:rPr>
                <w:rFonts w:ascii="Arial Narrow" w:eastAsia="Times New Roman" w:hAnsi="Arial Narrow" w:cs="Times New Roman"/>
                <w:w w:val="99"/>
                <w:sz w:val="20"/>
                <w:szCs w:val="20"/>
              </w:rPr>
              <w:t xml:space="preserve"> </w:t>
            </w:r>
            <w:r w:rsidRPr="007A7B7C">
              <w:rPr>
                <w:rFonts w:ascii="Arial Narrow" w:eastAsia="Times New Roman" w:hAnsi="Arial Narrow" w:cs="Times New Roman"/>
                <w:spacing w:val="1"/>
                <w:sz w:val="20"/>
                <w:szCs w:val="20"/>
              </w:rPr>
              <w:t>p</w:t>
            </w:r>
            <w:r w:rsidRPr="007A7B7C">
              <w:rPr>
                <w:rFonts w:ascii="Arial Narrow" w:eastAsia="Times New Roman" w:hAnsi="Arial Narrow" w:cs="Times New Roman"/>
                <w:sz w:val="20"/>
                <w:szCs w:val="20"/>
              </w:rPr>
              <w:t>re</w:t>
            </w:r>
            <w:r w:rsidRPr="007A7B7C">
              <w:rPr>
                <w:rFonts w:ascii="Arial Narrow" w:eastAsia="Times New Roman" w:hAnsi="Arial Narrow" w:cs="Times New Roman"/>
                <w:spacing w:val="-1"/>
                <w:sz w:val="20"/>
                <w:szCs w:val="20"/>
              </w:rPr>
              <w:t>v</w:t>
            </w:r>
            <w:r w:rsidRPr="007A7B7C">
              <w:rPr>
                <w:rFonts w:ascii="Arial Narrow" w:eastAsia="Times New Roman" w:hAnsi="Arial Narrow" w:cs="Times New Roman"/>
                <w:sz w:val="20"/>
                <w:szCs w:val="20"/>
              </w:rPr>
              <w:t>ale</w:t>
            </w:r>
            <w:r w:rsidRPr="007A7B7C">
              <w:rPr>
                <w:rFonts w:ascii="Arial Narrow" w:eastAsia="Times New Roman" w:hAnsi="Arial Narrow" w:cs="Times New Roman"/>
                <w:spacing w:val="-1"/>
                <w:sz w:val="20"/>
                <w:szCs w:val="20"/>
              </w:rPr>
              <w:t>n</w:t>
            </w:r>
            <w:r w:rsidRPr="007A7B7C">
              <w:rPr>
                <w:rFonts w:ascii="Arial Narrow" w:eastAsia="Times New Roman" w:hAnsi="Arial Narrow" w:cs="Times New Roman"/>
                <w:sz w:val="20"/>
                <w:szCs w:val="20"/>
              </w:rPr>
              <w:t>ce</w:t>
            </w:r>
            <w:r w:rsidRPr="007A7B7C">
              <w:rPr>
                <w:rFonts w:ascii="Arial Narrow" w:eastAsia="Times New Roman" w:hAnsi="Arial Narrow" w:cs="Times New Roman"/>
                <w:spacing w:val="-7"/>
                <w:sz w:val="20"/>
                <w:szCs w:val="20"/>
              </w:rPr>
              <w:t xml:space="preserve"> </w:t>
            </w:r>
            <w:r w:rsidRPr="007A7B7C">
              <w:rPr>
                <w:rFonts w:ascii="Arial Narrow" w:eastAsia="Times New Roman" w:hAnsi="Arial Narrow" w:cs="Times New Roman"/>
                <w:sz w:val="20"/>
                <w:szCs w:val="20"/>
              </w:rPr>
              <w:t>a</w:t>
            </w:r>
            <w:r w:rsidRPr="007A7B7C">
              <w:rPr>
                <w:rFonts w:ascii="Arial Narrow" w:eastAsia="Times New Roman" w:hAnsi="Arial Narrow" w:cs="Times New Roman"/>
                <w:spacing w:val="-1"/>
                <w:sz w:val="20"/>
                <w:szCs w:val="20"/>
              </w:rPr>
              <w:t>n</w:t>
            </w:r>
            <w:r w:rsidRPr="007A7B7C">
              <w:rPr>
                <w:rFonts w:ascii="Arial Narrow" w:eastAsia="Times New Roman" w:hAnsi="Arial Narrow" w:cs="Times New Roman"/>
                <w:sz w:val="20"/>
                <w:szCs w:val="20"/>
              </w:rPr>
              <w:t>d</w:t>
            </w:r>
            <w:r w:rsidRPr="007A7B7C">
              <w:rPr>
                <w:rFonts w:ascii="Arial Narrow" w:eastAsia="Times New Roman" w:hAnsi="Arial Narrow" w:cs="Times New Roman"/>
                <w:spacing w:val="-5"/>
                <w:sz w:val="20"/>
                <w:szCs w:val="20"/>
              </w:rPr>
              <w:t xml:space="preserve"> </w:t>
            </w:r>
            <w:r w:rsidRPr="007A7B7C">
              <w:rPr>
                <w:rFonts w:ascii="Arial Narrow" w:eastAsia="Times New Roman" w:hAnsi="Arial Narrow" w:cs="Times New Roman"/>
                <w:spacing w:val="1"/>
                <w:sz w:val="20"/>
                <w:szCs w:val="20"/>
              </w:rPr>
              <w:t>S</w:t>
            </w:r>
            <w:r w:rsidRPr="007A7B7C">
              <w:rPr>
                <w:rFonts w:ascii="Arial Narrow" w:eastAsia="Times New Roman" w:hAnsi="Arial Narrow" w:cs="Times New Roman"/>
                <w:spacing w:val="2"/>
                <w:sz w:val="20"/>
                <w:szCs w:val="20"/>
              </w:rPr>
              <w:t>V</w:t>
            </w:r>
            <w:r w:rsidRPr="007A7B7C">
              <w:rPr>
                <w:rFonts w:ascii="Arial Narrow" w:eastAsia="Times New Roman" w:hAnsi="Arial Narrow" w:cs="Times New Roman"/>
                <w:sz w:val="20"/>
                <w:szCs w:val="20"/>
              </w:rPr>
              <w:t>R</w:t>
            </w:r>
            <w:r w:rsidRPr="007A7B7C">
              <w:rPr>
                <w:rFonts w:ascii="Arial Narrow" w:eastAsia="Times New Roman" w:hAnsi="Arial Narrow" w:cs="Times New Roman"/>
                <w:spacing w:val="-7"/>
                <w:sz w:val="20"/>
                <w:szCs w:val="20"/>
              </w:rPr>
              <w:t xml:space="preserve"> </w:t>
            </w:r>
            <w:r w:rsidRPr="007A7B7C">
              <w:rPr>
                <w:rFonts w:ascii="Arial Narrow" w:eastAsia="Times New Roman" w:hAnsi="Arial Narrow" w:cs="Times New Roman"/>
                <w:sz w:val="20"/>
                <w:szCs w:val="20"/>
              </w:rPr>
              <w:t>rate</w:t>
            </w:r>
          </w:p>
        </w:tc>
        <w:tc>
          <w:tcPr>
            <w:tcW w:w="1418" w:type="dxa"/>
            <w:tcBorders>
              <w:top w:val="single" w:sz="5" w:space="0" w:color="000000"/>
              <w:left w:val="single" w:sz="5" w:space="0" w:color="000000"/>
              <w:bottom w:val="single" w:sz="5" w:space="0" w:color="000000"/>
              <w:right w:val="single" w:sz="5" w:space="0" w:color="000000"/>
            </w:tcBorders>
          </w:tcPr>
          <w:p w:rsidR="00970688" w:rsidRPr="007A7B7C" w:rsidRDefault="00970688" w:rsidP="00F6414C">
            <w:pPr>
              <w:pStyle w:val="TableParagraph"/>
              <w:spacing w:before="33"/>
              <w:ind w:left="95" w:firstLine="7"/>
              <w:jc w:val="center"/>
              <w:rPr>
                <w:rFonts w:ascii="Arial Narrow" w:eastAsia="Times New Roman" w:hAnsi="Arial Narrow" w:cs="Times New Roman"/>
                <w:sz w:val="20"/>
                <w:szCs w:val="20"/>
              </w:rPr>
            </w:pPr>
            <w:r w:rsidRPr="007A7B7C">
              <w:rPr>
                <w:rFonts w:ascii="Arial Narrow" w:eastAsia="Times New Roman" w:hAnsi="Arial Narrow" w:cs="Times New Roman"/>
                <w:spacing w:val="1"/>
                <w:sz w:val="20"/>
                <w:szCs w:val="20"/>
              </w:rPr>
              <w:t>8</w:t>
            </w:r>
            <w:r w:rsidRPr="007A7B7C">
              <w:rPr>
                <w:rFonts w:ascii="Arial Narrow" w:eastAsia="Times New Roman" w:hAnsi="Arial Narrow" w:cs="Times New Roman"/>
                <w:sz w:val="20"/>
                <w:szCs w:val="20"/>
              </w:rPr>
              <w:t>.</w:t>
            </w:r>
            <w:r w:rsidRPr="007A7B7C">
              <w:rPr>
                <w:rFonts w:ascii="Arial Narrow" w:eastAsia="Times New Roman" w:hAnsi="Arial Narrow" w:cs="Times New Roman"/>
                <w:spacing w:val="1"/>
                <w:sz w:val="20"/>
                <w:szCs w:val="20"/>
              </w:rPr>
              <w:t>5</w:t>
            </w:r>
            <w:r w:rsidRPr="007A7B7C">
              <w:rPr>
                <w:rFonts w:ascii="Arial Narrow" w:eastAsia="Times New Roman" w:hAnsi="Arial Narrow" w:cs="Times New Roman"/>
                <w:sz w:val="20"/>
                <w:szCs w:val="20"/>
              </w:rPr>
              <w:t>%</w:t>
            </w:r>
          </w:p>
          <w:p w:rsidR="00970688" w:rsidRPr="007A7B7C" w:rsidRDefault="00970688" w:rsidP="00F6414C">
            <w:pPr>
              <w:pStyle w:val="TableParagraph"/>
              <w:spacing w:before="39"/>
              <w:ind w:left="95" w:right="2" w:firstLine="7"/>
              <w:jc w:val="center"/>
              <w:rPr>
                <w:rFonts w:ascii="Arial Narrow" w:eastAsia="Times New Roman" w:hAnsi="Arial Narrow" w:cs="Times New Roman"/>
                <w:sz w:val="20"/>
                <w:szCs w:val="20"/>
              </w:rPr>
            </w:pPr>
            <w:r w:rsidRPr="007A7B7C">
              <w:rPr>
                <w:rFonts w:ascii="Arial Narrow" w:eastAsia="Times New Roman" w:hAnsi="Arial Narrow" w:cs="Times New Roman"/>
                <w:spacing w:val="1"/>
                <w:sz w:val="20"/>
                <w:szCs w:val="20"/>
              </w:rPr>
              <w:t>42</w:t>
            </w:r>
            <w:r w:rsidRPr="007A7B7C">
              <w:rPr>
                <w:rFonts w:ascii="Arial Narrow" w:eastAsia="Times New Roman" w:hAnsi="Arial Narrow" w:cs="Times New Roman"/>
                <w:sz w:val="20"/>
                <w:szCs w:val="20"/>
              </w:rPr>
              <w:t>%</w:t>
            </w:r>
            <w:r w:rsidRPr="007A7B7C">
              <w:rPr>
                <w:rFonts w:ascii="Arial Narrow" w:eastAsia="Times New Roman" w:hAnsi="Arial Narrow" w:cs="Times New Roman"/>
                <w:spacing w:val="-9"/>
                <w:sz w:val="20"/>
                <w:szCs w:val="20"/>
              </w:rPr>
              <w:t xml:space="preserve"> </w:t>
            </w:r>
            <w:r w:rsidRPr="007A7B7C">
              <w:rPr>
                <w:rFonts w:ascii="Arial Narrow" w:eastAsia="Times New Roman" w:hAnsi="Arial Narrow" w:cs="Times New Roman"/>
                <w:sz w:val="20"/>
                <w:szCs w:val="20"/>
              </w:rPr>
              <w:t>SVR</w:t>
            </w:r>
          </w:p>
        </w:tc>
        <w:tc>
          <w:tcPr>
            <w:tcW w:w="1417" w:type="dxa"/>
            <w:tcBorders>
              <w:top w:val="single" w:sz="5" w:space="0" w:color="000000"/>
              <w:left w:val="single" w:sz="5" w:space="0" w:color="000000"/>
              <w:bottom w:val="single" w:sz="5" w:space="0" w:color="000000"/>
              <w:right w:val="single" w:sz="5" w:space="0" w:color="000000"/>
            </w:tcBorders>
          </w:tcPr>
          <w:p w:rsidR="00970688" w:rsidRPr="007A7B7C" w:rsidRDefault="00970688" w:rsidP="00F6414C">
            <w:pPr>
              <w:pStyle w:val="TableParagraph"/>
              <w:spacing w:before="33"/>
              <w:ind w:left="94" w:firstLine="8"/>
              <w:jc w:val="center"/>
              <w:rPr>
                <w:rFonts w:ascii="Arial Narrow" w:eastAsia="Times New Roman" w:hAnsi="Arial Narrow" w:cs="Times New Roman"/>
                <w:sz w:val="20"/>
                <w:szCs w:val="20"/>
              </w:rPr>
            </w:pPr>
            <w:r w:rsidRPr="007A7B7C">
              <w:rPr>
                <w:rFonts w:ascii="Arial Narrow" w:eastAsia="Times New Roman" w:hAnsi="Arial Narrow" w:cs="Times New Roman"/>
                <w:spacing w:val="1"/>
                <w:sz w:val="20"/>
                <w:szCs w:val="20"/>
              </w:rPr>
              <w:t>$</w:t>
            </w:r>
            <w:r w:rsidR="00A54692">
              <w:rPr>
                <w:rFonts w:ascii="Arial Narrow" w:eastAsia="Times New Roman" w:hAnsi="Arial Narrow" w:cs="Times New Roman"/>
                <w:noProof/>
                <w:color w:val="000000"/>
                <w:spacing w:val="1"/>
                <w:sz w:val="20"/>
                <w:szCs w:val="20"/>
                <w:highlight w:val="black"/>
              </w:rPr>
              <w:t>'''''''''''''''''</w:t>
            </w:r>
          </w:p>
        </w:tc>
        <w:tc>
          <w:tcPr>
            <w:tcW w:w="1559" w:type="dxa"/>
            <w:tcBorders>
              <w:top w:val="single" w:sz="5" w:space="0" w:color="000000"/>
              <w:left w:val="single" w:sz="5" w:space="0" w:color="000000"/>
              <w:bottom w:val="single" w:sz="5" w:space="0" w:color="000000"/>
              <w:right w:val="single" w:sz="5" w:space="0" w:color="000000"/>
            </w:tcBorders>
          </w:tcPr>
          <w:p w:rsidR="00970688" w:rsidRPr="007A7B7C" w:rsidRDefault="00970688" w:rsidP="00F6414C">
            <w:pPr>
              <w:pStyle w:val="TableParagraph"/>
              <w:spacing w:before="33"/>
              <w:ind w:left="95" w:right="47" w:firstLine="7"/>
              <w:jc w:val="center"/>
              <w:rPr>
                <w:rFonts w:ascii="Arial Narrow" w:eastAsia="Times New Roman" w:hAnsi="Arial Narrow" w:cs="Times New Roman"/>
                <w:sz w:val="20"/>
                <w:szCs w:val="20"/>
              </w:rPr>
            </w:pPr>
            <w:r w:rsidRPr="007A7B7C">
              <w:rPr>
                <w:rFonts w:ascii="Arial Narrow" w:eastAsia="Times New Roman" w:hAnsi="Arial Narrow" w:cs="Times New Roman"/>
                <w:spacing w:val="1"/>
                <w:sz w:val="20"/>
                <w:szCs w:val="20"/>
              </w:rPr>
              <w:t>1</w:t>
            </w:r>
            <w:r w:rsidRPr="007A7B7C">
              <w:rPr>
                <w:rFonts w:ascii="Arial Narrow" w:eastAsia="Times New Roman" w:hAnsi="Arial Narrow" w:cs="Times New Roman"/>
                <w:sz w:val="20"/>
                <w:szCs w:val="20"/>
              </w:rPr>
              <w:t>.</w:t>
            </w:r>
            <w:r w:rsidRPr="007A7B7C">
              <w:rPr>
                <w:rFonts w:ascii="Arial Narrow" w:eastAsia="Times New Roman" w:hAnsi="Arial Narrow" w:cs="Times New Roman"/>
                <w:spacing w:val="1"/>
                <w:sz w:val="20"/>
                <w:szCs w:val="20"/>
              </w:rPr>
              <w:t>56</w:t>
            </w:r>
            <w:r w:rsidRPr="007A7B7C">
              <w:rPr>
                <w:rFonts w:ascii="Arial Narrow" w:eastAsia="Times New Roman" w:hAnsi="Arial Narrow" w:cs="Times New Roman"/>
                <w:spacing w:val="-2"/>
                <w:sz w:val="20"/>
                <w:szCs w:val="20"/>
              </w:rPr>
              <w:t>79</w:t>
            </w:r>
          </w:p>
        </w:tc>
        <w:tc>
          <w:tcPr>
            <w:tcW w:w="1701" w:type="dxa"/>
            <w:tcBorders>
              <w:top w:val="single" w:sz="5" w:space="0" w:color="000000"/>
              <w:left w:val="single" w:sz="5" w:space="0" w:color="000000"/>
              <w:bottom w:val="single" w:sz="5" w:space="0" w:color="000000"/>
              <w:right w:val="single" w:sz="5" w:space="0" w:color="000000"/>
            </w:tcBorders>
          </w:tcPr>
          <w:p w:rsidR="00970688" w:rsidRPr="007A7B7C" w:rsidRDefault="00970688" w:rsidP="00F6414C">
            <w:pPr>
              <w:pStyle w:val="TableParagraph"/>
              <w:spacing w:before="33"/>
              <w:ind w:left="95" w:right="4" w:firstLine="7"/>
              <w:jc w:val="center"/>
              <w:rPr>
                <w:rFonts w:ascii="Arial Narrow" w:eastAsia="Times New Roman" w:hAnsi="Arial Narrow" w:cs="Times New Roman"/>
                <w:sz w:val="20"/>
                <w:szCs w:val="20"/>
              </w:rPr>
            </w:pPr>
            <w:r w:rsidRPr="007A7B7C">
              <w:rPr>
                <w:rFonts w:ascii="Arial Narrow" w:eastAsia="Times New Roman" w:hAnsi="Arial Narrow" w:cs="Times New Roman"/>
                <w:spacing w:val="1"/>
                <w:sz w:val="20"/>
                <w:szCs w:val="20"/>
              </w:rPr>
              <w:t>$</w:t>
            </w:r>
            <w:r w:rsidR="00A54692">
              <w:rPr>
                <w:rFonts w:ascii="Arial Narrow" w:eastAsia="Times New Roman" w:hAnsi="Arial Narrow" w:cs="Times New Roman"/>
                <w:noProof/>
                <w:color w:val="000000"/>
                <w:spacing w:val="1"/>
                <w:sz w:val="20"/>
                <w:szCs w:val="20"/>
                <w:highlight w:val="black"/>
              </w:rPr>
              <w:t>''''''''''''''''''</w:t>
            </w:r>
          </w:p>
        </w:tc>
      </w:tr>
      <w:tr w:rsidR="00D61D70" w:rsidRPr="007A7B7C" w:rsidTr="00D06A08">
        <w:trPr>
          <w:jc w:val="right"/>
        </w:trPr>
        <w:tc>
          <w:tcPr>
            <w:tcW w:w="2268" w:type="dxa"/>
            <w:tcBorders>
              <w:top w:val="single" w:sz="5" w:space="0" w:color="000000"/>
              <w:left w:val="single" w:sz="5" w:space="0" w:color="000000"/>
              <w:bottom w:val="single" w:sz="5" w:space="0" w:color="000000"/>
              <w:right w:val="single" w:sz="5" w:space="0" w:color="000000"/>
            </w:tcBorders>
          </w:tcPr>
          <w:p w:rsidR="00970688" w:rsidRPr="007A7B7C" w:rsidRDefault="00970688" w:rsidP="00F6414C">
            <w:pPr>
              <w:pStyle w:val="TableParagraph"/>
              <w:spacing w:before="36" w:line="239" w:lineRule="auto"/>
              <w:ind w:left="95" w:right="262" w:firstLine="7"/>
              <w:rPr>
                <w:rFonts w:ascii="Arial Narrow" w:eastAsia="Times New Roman" w:hAnsi="Arial Narrow" w:cs="Times New Roman"/>
                <w:sz w:val="20"/>
                <w:szCs w:val="20"/>
              </w:rPr>
            </w:pPr>
            <w:r w:rsidRPr="007A7B7C">
              <w:rPr>
                <w:rFonts w:ascii="Arial Narrow" w:eastAsia="Times New Roman" w:hAnsi="Arial Narrow" w:cs="Times New Roman"/>
                <w:spacing w:val="-1"/>
                <w:sz w:val="20"/>
                <w:szCs w:val="20"/>
              </w:rPr>
              <w:t>R</w:t>
            </w:r>
            <w:r w:rsidRPr="007A7B7C">
              <w:rPr>
                <w:rFonts w:ascii="Arial Narrow" w:eastAsia="Times New Roman" w:hAnsi="Arial Narrow" w:cs="Times New Roman"/>
                <w:sz w:val="20"/>
                <w:szCs w:val="20"/>
              </w:rPr>
              <w:t>e</w:t>
            </w:r>
            <w:r w:rsidRPr="007A7B7C">
              <w:rPr>
                <w:rFonts w:ascii="Arial Narrow" w:eastAsia="Times New Roman" w:hAnsi="Arial Narrow" w:cs="Times New Roman"/>
                <w:spacing w:val="1"/>
                <w:sz w:val="20"/>
                <w:szCs w:val="20"/>
              </w:rPr>
              <w:t>d</w:t>
            </w:r>
            <w:r w:rsidRPr="007A7B7C">
              <w:rPr>
                <w:rFonts w:ascii="Arial Narrow" w:eastAsia="Times New Roman" w:hAnsi="Arial Narrow" w:cs="Times New Roman"/>
                <w:spacing w:val="-2"/>
                <w:sz w:val="20"/>
                <w:szCs w:val="20"/>
              </w:rPr>
              <w:t>u</w:t>
            </w:r>
            <w:r w:rsidRPr="007A7B7C">
              <w:rPr>
                <w:rFonts w:ascii="Arial Narrow" w:eastAsia="Times New Roman" w:hAnsi="Arial Narrow" w:cs="Times New Roman"/>
                <w:sz w:val="20"/>
                <w:szCs w:val="20"/>
              </w:rPr>
              <w:t>ced</w:t>
            </w:r>
            <w:r w:rsidRPr="007A7B7C">
              <w:rPr>
                <w:rFonts w:ascii="Arial Narrow" w:eastAsia="Times New Roman" w:hAnsi="Arial Narrow" w:cs="Times New Roman"/>
                <w:spacing w:val="-10"/>
                <w:sz w:val="20"/>
                <w:szCs w:val="20"/>
              </w:rPr>
              <w:t xml:space="preserve"> </w:t>
            </w:r>
            <w:r w:rsidRPr="007A7B7C">
              <w:rPr>
                <w:rFonts w:ascii="Arial Narrow" w:eastAsia="Times New Roman" w:hAnsi="Arial Narrow" w:cs="Times New Roman"/>
                <w:spacing w:val="-2"/>
                <w:sz w:val="20"/>
                <w:szCs w:val="20"/>
              </w:rPr>
              <w:t>u</w:t>
            </w:r>
            <w:r w:rsidRPr="007A7B7C">
              <w:rPr>
                <w:rFonts w:ascii="Arial Narrow" w:eastAsia="Times New Roman" w:hAnsi="Arial Narrow" w:cs="Times New Roman"/>
                <w:sz w:val="20"/>
                <w:szCs w:val="20"/>
              </w:rPr>
              <w:t>t</w:t>
            </w:r>
            <w:r w:rsidRPr="007A7B7C">
              <w:rPr>
                <w:rFonts w:ascii="Arial Narrow" w:eastAsia="Times New Roman" w:hAnsi="Arial Narrow" w:cs="Times New Roman"/>
                <w:spacing w:val="1"/>
                <w:sz w:val="20"/>
                <w:szCs w:val="20"/>
              </w:rPr>
              <w:t>i</w:t>
            </w:r>
            <w:r w:rsidRPr="007A7B7C">
              <w:rPr>
                <w:rFonts w:ascii="Arial Narrow" w:eastAsia="Times New Roman" w:hAnsi="Arial Narrow" w:cs="Times New Roman"/>
                <w:sz w:val="20"/>
                <w:szCs w:val="20"/>
              </w:rPr>
              <w:t>li</w:t>
            </w:r>
            <w:r w:rsidRPr="007A7B7C">
              <w:rPr>
                <w:rFonts w:ascii="Arial Narrow" w:eastAsia="Times New Roman" w:hAnsi="Arial Narrow" w:cs="Times New Roman"/>
                <w:spacing w:val="1"/>
                <w:sz w:val="20"/>
                <w:szCs w:val="20"/>
              </w:rPr>
              <w:t>t</w:t>
            </w:r>
            <w:r w:rsidRPr="007A7B7C">
              <w:rPr>
                <w:rFonts w:ascii="Arial Narrow" w:eastAsia="Times New Roman" w:hAnsi="Arial Narrow" w:cs="Times New Roman"/>
                <w:sz w:val="20"/>
                <w:szCs w:val="20"/>
              </w:rPr>
              <w:t>y</w:t>
            </w:r>
            <w:r w:rsidRPr="007A7B7C">
              <w:rPr>
                <w:rFonts w:ascii="Arial Narrow" w:eastAsia="Times New Roman" w:hAnsi="Arial Narrow" w:cs="Times New Roman"/>
                <w:spacing w:val="-10"/>
                <w:sz w:val="20"/>
                <w:szCs w:val="20"/>
              </w:rPr>
              <w:t xml:space="preserve"> </w:t>
            </w:r>
            <w:r w:rsidRPr="007A7B7C">
              <w:rPr>
                <w:rFonts w:ascii="Arial Narrow" w:eastAsia="Times New Roman" w:hAnsi="Arial Narrow" w:cs="Times New Roman"/>
                <w:sz w:val="20"/>
                <w:szCs w:val="20"/>
              </w:rPr>
              <w:t>i</w:t>
            </w:r>
            <w:r w:rsidRPr="007A7B7C">
              <w:rPr>
                <w:rFonts w:ascii="Arial Narrow" w:eastAsia="Times New Roman" w:hAnsi="Arial Narrow" w:cs="Times New Roman"/>
                <w:spacing w:val="-2"/>
                <w:sz w:val="20"/>
                <w:szCs w:val="20"/>
              </w:rPr>
              <w:t>n</w:t>
            </w:r>
            <w:r w:rsidRPr="007A7B7C">
              <w:rPr>
                <w:rFonts w:ascii="Arial Narrow" w:eastAsia="Times New Roman" w:hAnsi="Arial Narrow" w:cs="Times New Roman"/>
                <w:sz w:val="20"/>
                <w:szCs w:val="20"/>
              </w:rPr>
              <w:t>c</w:t>
            </w:r>
            <w:r w:rsidRPr="007A7B7C">
              <w:rPr>
                <w:rFonts w:ascii="Arial Narrow" w:eastAsia="Times New Roman" w:hAnsi="Arial Narrow" w:cs="Times New Roman"/>
                <w:spacing w:val="1"/>
                <w:sz w:val="20"/>
                <w:szCs w:val="20"/>
              </w:rPr>
              <w:t>r</w:t>
            </w:r>
            <w:r w:rsidRPr="007A7B7C">
              <w:rPr>
                <w:rFonts w:ascii="Arial Narrow" w:eastAsia="Times New Roman" w:hAnsi="Arial Narrow" w:cs="Times New Roman"/>
                <w:spacing w:val="2"/>
                <w:sz w:val="20"/>
                <w:szCs w:val="20"/>
              </w:rPr>
              <w:t>e</w:t>
            </w:r>
            <w:r w:rsidRPr="007A7B7C">
              <w:rPr>
                <w:rFonts w:ascii="Arial Narrow" w:eastAsia="Times New Roman" w:hAnsi="Arial Narrow" w:cs="Times New Roman"/>
                <w:spacing w:val="-2"/>
                <w:sz w:val="20"/>
                <w:szCs w:val="20"/>
              </w:rPr>
              <w:t>m</w:t>
            </w:r>
            <w:r w:rsidRPr="007A7B7C">
              <w:rPr>
                <w:rFonts w:ascii="Arial Narrow" w:eastAsia="Times New Roman" w:hAnsi="Arial Narrow" w:cs="Times New Roman"/>
                <w:sz w:val="20"/>
                <w:szCs w:val="20"/>
              </w:rPr>
              <w:t>e</w:t>
            </w:r>
            <w:r w:rsidRPr="007A7B7C">
              <w:rPr>
                <w:rFonts w:ascii="Arial Narrow" w:eastAsia="Times New Roman" w:hAnsi="Arial Narrow" w:cs="Times New Roman"/>
                <w:spacing w:val="1"/>
                <w:sz w:val="20"/>
                <w:szCs w:val="20"/>
              </w:rPr>
              <w:t>n</w:t>
            </w:r>
            <w:r w:rsidRPr="007A7B7C">
              <w:rPr>
                <w:rFonts w:ascii="Arial Narrow" w:eastAsia="Times New Roman" w:hAnsi="Arial Narrow" w:cs="Times New Roman"/>
                <w:sz w:val="20"/>
                <w:szCs w:val="20"/>
              </w:rPr>
              <w:t>t</w:t>
            </w:r>
            <w:r w:rsidRPr="007A7B7C">
              <w:rPr>
                <w:rFonts w:ascii="Arial Narrow" w:eastAsia="Times New Roman" w:hAnsi="Arial Narrow" w:cs="Times New Roman"/>
                <w:w w:val="99"/>
                <w:sz w:val="20"/>
                <w:szCs w:val="20"/>
              </w:rPr>
              <w:t xml:space="preserve"> </w:t>
            </w:r>
            <w:r w:rsidRPr="007A7B7C">
              <w:rPr>
                <w:rFonts w:ascii="Arial Narrow" w:eastAsia="Times New Roman" w:hAnsi="Arial Narrow" w:cs="Times New Roman"/>
                <w:sz w:val="20"/>
                <w:szCs w:val="20"/>
              </w:rPr>
              <w:t>as</w:t>
            </w:r>
            <w:r w:rsidRPr="007A7B7C">
              <w:rPr>
                <w:rFonts w:ascii="Arial Narrow" w:eastAsia="Times New Roman" w:hAnsi="Arial Narrow" w:cs="Times New Roman"/>
                <w:spacing w:val="-1"/>
                <w:sz w:val="20"/>
                <w:szCs w:val="20"/>
              </w:rPr>
              <w:t>s</w:t>
            </w:r>
            <w:r w:rsidRPr="007A7B7C">
              <w:rPr>
                <w:rFonts w:ascii="Arial Narrow" w:eastAsia="Times New Roman" w:hAnsi="Arial Narrow" w:cs="Times New Roman"/>
                <w:spacing w:val="1"/>
                <w:sz w:val="20"/>
                <w:szCs w:val="20"/>
              </w:rPr>
              <w:t>o</w:t>
            </w:r>
            <w:r w:rsidRPr="007A7B7C">
              <w:rPr>
                <w:rFonts w:ascii="Arial Narrow" w:eastAsia="Times New Roman" w:hAnsi="Arial Narrow" w:cs="Times New Roman"/>
                <w:sz w:val="20"/>
                <w:szCs w:val="20"/>
              </w:rPr>
              <w:t>ciated</w:t>
            </w:r>
            <w:r w:rsidRPr="007A7B7C">
              <w:rPr>
                <w:rFonts w:ascii="Arial Narrow" w:eastAsia="Times New Roman" w:hAnsi="Arial Narrow" w:cs="Times New Roman"/>
                <w:spacing w:val="-3"/>
                <w:sz w:val="20"/>
                <w:szCs w:val="20"/>
              </w:rPr>
              <w:t xml:space="preserve"> w</w:t>
            </w:r>
            <w:r w:rsidRPr="007A7B7C">
              <w:rPr>
                <w:rFonts w:ascii="Arial Narrow" w:eastAsia="Times New Roman" w:hAnsi="Arial Narrow" w:cs="Times New Roman"/>
                <w:sz w:val="20"/>
                <w:szCs w:val="20"/>
              </w:rPr>
              <w:t>ith</w:t>
            </w:r>
            <w:r w:rsidRPr="007A7B7C">
              <w:rPr>
                <w:rFonts w:ascii="Arial Narrow" w:eastAsia="Times New Roman" w:hAnsi="Arial Narrow" w:cs="Times New Roman"/>
                <w:spacing w:val="-4"/>
                <w:sz w:val="20"/>
                <w:szCs w:val="20"/>
              </w:rPr>
              <w:t xml:space="preserve"> </w:t>
            </w:r>
            <w:r w:rsidRPr="007A7B7C">
              <w:rPr>
                <w:rFonts w:ascii="Arial Narrow" w:eastAsia="Times New Roman" w:hAnsi="Arial Narrow" w:cs="Times New Roman"/>
                <w:sz w:val="20"/>
                <w:szCs w:val="20"/>
              </w:rPr>
              <w:t>SVR</w:t>
            </w:r>
            <w:r w:rsidRPr="007A7B7C">
              <w:rPr>
                <w:rFonts w:ascii="Arial Narrow" w:eastAsia="Times New Roman" w:hAnsi="Arial Narrow" w:cs="Times New Roman"/>
                <w:spacing w:val="-5"/>
                <w:sz w:val="20"/>
                <w:szCs w:val="20"/>
              </w:rPr>
              <w:t xml:space="preserve"> </w:t>
            </w:r>
            <w:r w:rsidRPr="007A7B7C">
              <w:rPr>
                <w:rFonts w:ascii="Arial Narrow" w:eastAsia="Times New Roman" w:hAnsi="Arial Narrow" w:cs="Times New Roman"/>
                <w:spacing w:val="2"/>
                <w:sz w:val="20"/>
                <w:szCs w:val="20"/>
              </w:rPr>
              <w:t>a</w:t>
            </w:r>
            <w:r w:rsidRPr="007A7B7C">
              <w:rPr>
                <w:rFonts w:ascii="Arial Narrow" w:eastAsia="Times New Roman" w:hAnsi="Arial Narrow" w:cs="Times New Roman"/>
                <w:sz w:val="20"/>
                <w:szCs w:val="20"/>
              </w:rPr>
              <w:t>s</w:t>
            </w:r>
            <w:r w:rsidRPr="007A7B7C">
              <w:rPr>
                <w:rFonts w:ascii="Arial Narrow" w:eastAsia="Times New Roman" w:hAnsi="Arial Narrow" w:cs="Times New Roman"/>
                <w:spacing w:val="-6"/>
                <w:sz w:val="20"/>
                <w:szCs w:val="20"/>
              </w:rPr>
              <w:t xml:space="preserve"> </w:t>
            </w:r>
            <w:r w:rsidRPr="007A7B7C">
              <w:rPr>
                <w:rFonts w:ascii="Arial Narrow" w:eastAsia="Times New Roman" w:hAnsi="Arial Narrow" w:cs="Times New Roman"/>
                <w:spacing w:val="1"/>
                <w:sz w:val="20"/>
                <w:szCs w:val="20"/>
              </w:rPr>
              <w:t>p</w:t>
            </w:r>
            <w:r w:rsidRPr="007A7B7C">
              <w:rPr>
                <w:rFonts w:ascii="Arial Narrow" w:eastAsia="Times New Roman" w:hAnsi="Arial Narrow" w:cs="Times New Roman"/>
                <w:sz w:val="20"/>
                <w:szCs w:val="20"/>
              </w:rPr>
              <w:t>er</w:t>
            </w:r>
            <w:r w:rsidRPr="007A7B7C">
              <w:rPr>
                <w:rFonts w:ascii="Arial Narrow" w:eastAsia="Times New Roman" w:hAnsi="Arial Narrow" w:cs="Times New Roman"/>
                <w:spacing w:val="-4"/>
                <w:sz w:val="20"/>
                <w:szCs w:val="20"/>
              </w:rPr>
              <w:t xml:space="preserve"> </w:t>
            </w:r>
            <w:r w:rsidRPr="007A7B7C">
              <w:rPr>
                <w:rFonts w:ascii="Arial Narrow" w:eastAsia="Times New Roman" w:hAnsi="Arial Narrow" w:cs="Times New Roman"/>
                <w:sz w:val="20"/>
                <w:szCs w:val="20"/>
              </w:rPr>
              <w:t>NI</w:t>
            </w:r>
            <w:r w:rsidRPr="007A7B7C">
              <w:rPr>
                <w:rFonts w:ascii="Arial Narrow" w:eastAsia="Times New Roman" w:hAnsi="Arial Narrow" w:cs="Times New Roman"/>
                <w:spacing w:val="-1"/>
                <w:sz w:val="20"/>
                <w:szCs w:val="20"/>
              </w:rPr>
              <w:t>C</w:t>
            </w:r>
            <w:r w:rsidRPr="007A7B7C">
              <w:rPr>
                <w:rFonts w:ascii="Arial Narrow" w:eastAsia="Times New Roman" w:hAnsi="Arial Narrow" w:cs="Times New Roman"/>
                <w:sz w:val="20"/>
                <w:szCs w:val="20"/>
              </w:rPr>
              <w:t>E</w:t>
            </w:r>
            <w:r w:rsidRPr="007A7B7C">
              <w:rPr>
                <w:rFonts w:ascii="Arial Narrow" w:eastAsia="Times New Roman" w:hAnsi="Arial Narrow" w:cs="Times New Roman"/>
                <w:w w:val="99"/>
                <w:sz w:val="20"/>
                <w:szCs w:val="20"/>
              </w:rPr>
              <w:t xml:space="preserve"> </w:t>
            </w:r>
            <w:r w:rsidRPr="007A7B7C">
              <w:rPr>
                <w:rFonts w:ascii="Arial Narrow" w:eastAsia="Times New Roman" w:hAnsi="Arial Narrow" w:cs="Times New Roman"/>
                <w:sz w:val="20"/>
                <w:szCs w:val="20"/>
              </w:rPr>
              <w:t>as</w:t>
            </w:r>
            <w:r w:rsidRPr="007A7B7C">
              <w:rPr>
                <w:rFonts w:ascii="Arial Narrow" w:eastAsia="Times New Roman" w:hAnsi="Arial Narrow" w:cs="Times New Roman"/>
                <w:spacing w:val="-1"/>
                <w:sz w:val="20"/>
                <w:szCs w:val="20"/>
              </w:rPr>
              <w:t>s</w:t>
            </w:r>
            <w:r w:rsidRPr="007A7B7C">
              <w:rPr>
                <w:rFonts w:ascii="Arial Narrow" w:eastAsia="Times New Roman" w:hAnsi="Arial Narrow" w:cs="Times New Roman"/>
                <w:sz w:val="20"/>
                <w:szCs w:val="20"/>
              </w:rPr>
              <w:t>e</w:t>
            </w:r>
            <w:r w:rsidRPr="007A7B7C">
              <w:rPr>
                <w:rFonts w:ascii="Arial Narrow" w:eastAsia="Times New Roman" w:hAnsi="Arial Narrow" w:cs="Times New Roman"/>
                <w:spacing w:val="1"/>
                <w:sz w:val="20"/>
                <w:szCs w:val="20"/>
              </w:rPr>
              <w:t>ss</w:t>
            </w:r>
            <w:r w:rsidRPr="007A7B7C">
              <w:rPr>
                <w:rFonts w:ascii="Arial Narrow" w:eastAsia="Times New Roman" w:hAnsi="Arial Narrow" w:cs="Times New Roman"/>
                <w:spacing w:val="-2"/>
                <w:sz w:val="20"/>
                <w:szCs w:val="20"/>
              </w:rPr>
              <w:t>m</w:t>
            </w:r>
            <w:r w:rsidRPr="007A7B7C">
              <w:rPr>
                <w:rFonts w:ascii="Arial Narrow" w:eastAsia="Times New Roman" w:hAnsi="Arial Narrow" w:cs="Times New Roman"/>
                <w:sz w:val="20"/>
                <w:szCs w:val="20"/>
              </w:rPr>
              <w:t>e</w:t>
            </w:r>
            <w:r w:rsidRPr="007A7B7C">
              <w:rPr>
                <w:rFonts w:ascii="Arial Narrow" w:eastAsia="Times New Roman" w:hAnsi="Arial Narrow" w:cs="Times New Roman"/>
                <w:spacing w:val="-1"/>
                <w:sz w:val="20"/>
                <w:szCs w:val="20"/>
              </w:rPr>
              <w:t>n</w:t>
            </w:r>
            <w:r w:rsidRPr="007A7B7C">
              <w:rPr>
                <w:rFonts w:ascii="Arial Narrow" w:eastAsia="Times New Roman" w:hAnsi="Arial Narrow" w:cs="Times New Roman"/>
                <w:sz w:val="20"/>
                <w:szCs w:val="20"/>
              </w:rPr>
              <w:t>t</w:t>
            </w:r>
          </w:p>
        </w:tc>
        <w:tc>
          <w:tcPr>
            <w:tcW w:w="1418" w:type="dxa"/>
            <w:tcBorders>
              <w:top w:val="single" w:sz="5" w:space="0" w:color="000000"/>
              <w:left w:val="single" w:sz="5" w:space="0" w:color="000000"/>
              <w:bottom w:val="single" w:sz="5" w:space="0" w:color="000000"/>
              <w:right w:val="single" w:sz="5" w:space="0" w:color="000000"/>
            </w:tcBorders>
          </w:tcPr>
          <w:p w:rsidR="00970688" w:rsidRPr="007A7B7C" w:rsidRDefault="00970688" w:rsidP="00F6414C">
            <w:pPr>
              <w:pStyle w:val="TableParagraph"/>
              <w:spacing w:before="35"/>
              <w:ind w:left="95" w:firstLine="7"/>
              <w:rPr>
                <w:rFonts w:ascii="Arial Narrow" w:eastAsia="Times New Roman" w:hAnsi="Arial Narrow" w:cs="Times New Roman"/>
                <w:sz w:val="20"/>
                <w:szCs w:val="20"/>
              </w:rPr>
            </w:pPr>
            <w:r w:rsidRPr="007A7B7C">
              <w:rPr>
                <w:rFonts w:ascii="Arial Narrow" w:eastAsia="Times New Roman" w:hAnsi="Arial Narrow" w:cs="Times New Roman"/>
                <w:spacing w:val="1"/>
                <w:sz w:val="20"/>
                <w:szCs w:val="20"/>
              </w:rPr>
              <w:t>0</w:t>
            </w:r>
            <w:r w:rsidRPr="007A7B7C">
              <w:rPr>
                <w:rFonts w:ascii="Arial Narrow" w:eastAsia="Times New Roman" w:hAnsi="Arial Narrow" w:cs="Times New Roman"/>
                <w:sz w:val="20"/>
                <w:szCs w:val="20"/>
              </w:rPr>
              <w:t>.</w:t>
            </w:r>
            <w:r w:rsidRPr="007A7B7C">
              <w:rPr>
                <w:rFonts w:ascii="Arial Narrow" w:eastAsia="Times New Roman" w:hAnsi="Arial Narrow" w:cs="Times New Roman"/>
                <w:spacing w:val="1"/>
                <w:sz w:val="20"/>
                <w:szCs w:val="20"/>
              </w:rPr>
              <w:t>0</w:t>
            </w:r>
            <w:r w:rsidRPr="007A7B7C">
              <w:rPr>
                <w:rFonts w:ascii="Arial Narrow" w:eastAsia="Times New Roman" w:hAnsi="Arial Narrow" w:cs="Times New Roman"/>
                <w:sz w:val="20"/>
                <w:szCs w:val="20"/>
              </w:rPr>
              <w:t>5</w:t>
            </w:r>
            <w:r w:rsidRPr="007A7B7C">
              <w:rPr>
                <w:rFonts w:ascii="Arial Narrow" w:eastAsia="Times New Roman" w:hAnsi="Arial Narrow" w:cs="Times New Roman"/>
                <w:spacing w:val="-4"/>
                <w:sz w:val="20"/>
                <w:szCs w:val="20"/>
              </w:rPr>
              <w:t xml:space="preserve"> </w:t>
            </w:r>
            <w:r w:rsidRPr="007A7B7C">
              <w:rPr>
                <w:rFonts w:ascii="Arial Narrow" w:eastAsia="Times New Roman" w:hAnsi="Arial Narrow" w:cs="Times New Roman"/>
                <w:sz w:val="20"/>
                <w:szCs w:val="20"/>
              </w:rPr>
              <w:t>to</w:t>
            </w:r>
            <w:r w:rsidRPr="007A7B7C">
              <w:rPr>
                <w:rFonts w:ascii="Arial Narrow" w:eastAsia="Times New Roman" w:hAnsi="Arial Narrow" w:cs="Times New Roman"/>
                <w:spacing w:val="-7"/>
                <w:sz w:val="20"/>
                <w:szCs w:val="20"/>
              </w:rPr>
              <w:t xml:space="preserve"> </w:t>
            </w:r>
            <w:r w:rsidRPr="007A7B7C">
              <w:rPr>
                <w:rFonts w:ascii="Arial Narrow" w:eastAsia="Times New Roman" w:hAnsi="Arial Narrow" w:cs="Times New Roman"/>
                <w:spacing w:val="1"/>
                <w:sz w:val="20"/>
                <w:szCs w:val="20"/>
              </w:rPr>
              <w:t>0</w:t>
            </w:r>
            <w:r w:rsidRPr="007A7B7C">
              <w:rPr>
                <w:rFonts w:ascii="Arial Narrow" w:eastAsia="Times New Roman" w:hAnsi="Arial Narrow" w:cs="Times New Roman"/>
                <w:sz w:val="20"/>
                <w:szCs w:val="20"/>
              </w:rPr>
              <w:t>.</w:t>
            </w:r>
            <w:r w:rsidRPr="007A7B7C">
              <w:rPr>
                <w:rFonts w:ascii="Arial Narrow" w:eastAsia="Times New Roman" w:hAnsi="Arial Narrow" w:cs="Times New Roman"/>
                <w:spacing w:val="-2"/>
                <w:sz w:val="20"/>
                <w:szCs w:val="20"/>
              </w:rPr>
              <w:t>0</w:t>
            </w:r>
            <w:r w:rsidRPr="007A7B7C">
              <w:rPr>
                <w:rFonts w:ascii="Arial Narrow" w:eastAsia="Times New Roman" w:hAnsi="Arial Narrow" w:cs="Times New Roman"/>
                <w:spacing w:val="1"/>
                <w:sz w:val="20"/>
                <w:szCs w:val="20"/>
              </w:rPr>
              <w:t>4</w:t>
            </w:r>
            <w:r w:rsidRPr="007A7B7C">
              <w:rPr>
                <w:rFonts w:ascii="Arial Narrow" w:eastAsia="Times New Roman" w:hAnsi="Arial Narrow" w:cs="Times New Roman"/>
                <w:sz w:val="20"/>
                <w:szCs w:val="20"/>
              </w:rPr>
              <w:t>1</w:t>
            </w:r>
          </w:p>
        </w:tc>
        <w:tc>
          <w:tcPr>
            <w:tcW w:w="1417" w:type="dxa"/>
            <w:tcBorders>
              <w:top w:val="single" w:sz="5" w:space="0" w:color="000000"/>
              <w:left w:val="single" w:sz="5" w:space="0" w:color="000000"/>
              <w:bottom w:val="single" w:sz="5" w:space="0" w:color="000000"/>
              <w:right w:val="single" w:sz="5" w:space="0" w:color="000000"/>
            </w:tcBorders>
          </w:tcPr>
          <w:p w:rsidR="00970688" w:rsidRPr="007A7B7C" w:rsidRDefault="00970688" w:rsidP="00F6414C">
            <w:pPr>
              <w:pStyle w:val="TableParagraph"/>
              <w:spacing w:before="35"/>
              <w:ind w:left="94" w:firstLine="8"/>
              <w:jc w:val="center"/>
              <w:rPr>
                <w:rFonts w:ascii="Arial Narrow" w:eastAsia="Times New Roman" w:hAnsi="Arial Narrow" w:cs="Times New Roman"/>
                <w:sz w:val="20"/>
                <w:szCs w:val="20"/>
              </w:rPr>
            </w:pPr>
            <w:r w:rsidRPr="007A7B7C">
              <w:rPr>
                <w:rFonts w:ascii="Arial Narrow" w:eastAsia="Times New Roman" w:hAnsi="Arial Narrow" w:cs="Times New Roman"/>
                <w:spacing w:val="1"/>
                <w:sz w:val="20"/>
                <w:szCs w:val="20"/>
              </w:rPr>
              <w:t>$</w:t>
            </w:r>
            <w:r w:rsidR="00A54692">
              <w:rPr>
                <w:rFonts w:ascii="Arial Narrow" w:eastAsia="Times New Roman" w:hAnsi="Arial Narrow" w:cs="Times New Roman"/>
                <w:noProof/>
                <w:color w:val="000000"/>
                <w:spacing w:val="1"/>
                <w:sz w:val="20"/>
                <w:szCs w:val="20"/>
                <w:highlight w:val="black"/>
              </w:rPr>
              <w:t>'''''''''''''''''</w:t>
            </w:r>
          </w:p>
        </w:tc>
        <w:tc>
          <w:tcPr>
            <w:tcW w:w="1559" w:type="dxa"/>
            <w:tcBorders>
              <w:top w:val="single" w:sz="5" w:space="0" w:color="000000"/>
              <w:left w:val="single" w:sz="5" w:space="0" w:color="000000"/>
              <w:bottom w:val="single" w:sz="5" w:space="0" w:color="000000"/>
              <w:right w:val="single" w:sz="5" w:space="0" w:color="000000"/>
            </w:tcBorders>
          </w:tcPr>
          <w:p w:rsidR="00970688" w:rsidRPr="007A7B7C" w:rsidRDefault="00970688" w:rsidP="00F6414C">
            <w:pPr>
              <w:pStyle w:val="TableParagraph"/>
              <w:spacing w:before="35"/>
              <w:ind w:left="95" w:right="47" w:firstLine="7"/>
              <w:jc w:val="center"/>
              <w:rPr>
                <w:rFonts w:ascii="Arial Narrow" w:eastAsia="Times New Roman" w:hAnsi="Arial Narrow" w:cs="Times New Roman"/>
                <w:sz w:val="20"/>
                <w:szCs w:val="20"/>
              </w:rPr>
            </w:pPr>
            <w:r w:rsidRPr="007A7B7C">
              <w:rPr>
                <w:rFonts w:ascii="Arial Narrow" w:eastAsia="Times New Roman" w:hAnsi="Arial Narrow" w:cs="Times New Roman"/>
                <w:spacing w:val="1"/>
                <w:sz w:val="20"/>
                <w:szCs w:val="20"/>
              </w:rPr>
              <w:t>1</w:t>
            </w:r>
            <w:r w:rsidRPr="007A7B7C">
              <w:rPr>
                <w:rFonts w:ascii="Arial Narrow" w:eastAsia="Times New Roman" w:hAnsi="Arial Narrow" w:cs="Times New Roman"/>
                <w:sz w:val="20"/>
                <w:szCs w:val="20"/>
              </w:rPr>
              <w:t>.</w:t>
            </w:r>
            <w:r w:rsidRPr="007A7B7C">
              <w:rPr>
                <w:rFonts w:ascii="Arial Narrow" w:eastAsia="Times New Roman" w:hAnsi="Arial Narrow" w:cs="Times New Roman"/>
                <w:spacing w:val="1"/>
                <w:sz w:val="20"/>
                <w:szCs w:val="20"/>
              </w:rPr>
              <w:t>44</w:t>
            </w:r>
            <w:r w:rsidRPr="007A7B7C">
              <w:rPr>
                <w:rFonts w:ascii="Arial Narrow" w:eastAsia="Times New Roman" w:hAnsi="Arial Narrow" w:cs="Times New Roman"/>
                <w:spacing w:val="-2"/>
                <w:sz w:val="20"/>
                <w:szCs w:val="20"/>
              </w:rPr>
              <w:t>0</w:t>
            </w:r>
            <w:r w:rsidRPr="007A7B7C">
              <w:rPr>
                <w:rFonts w:ascii="Arial Narrow" w:eastAsia="Times New Roman" w:hAnsi="Arial Narrow" w:cs="Times New Roman"/>
                <w:sz w:val="20"/>
                <w:szCs w:val="20"/>
              </w:rPr>
              <w:t>8</w:t>
            </w:r>
          </w:p>
        </w:tc>
        <w:tc>
          <w:tcPr>
            <w:tcW w:w="1701" w:type="dxa"/>
            <w:tcBorders>
              <w:top w:val="single" w:sz="5" w:space="0" w:color="000000"/>
              <w:left w:val="single" w:sz="5" w:space="0" w:color="000000"/>
              <w:bottom w:val="single" w:sz="5" w:space="0" w:color="000000"/>
              <w:right w:val="single" w:sz="5" w:space="0" w:color="000000"/>
            </w:tcBorders>
          </w:tcPr>
          <w:p w:rsidR="00970688" w:rsidRPr="007A7B7C" w:rsidRDefault="00970688" w:rsidP="00F6414C">
            <w:pPr>
              <w:pStyle w:val="TableParagraph"/>
              <w:spacing w:before="35"/>
              <w:ind w:left="95" w:right="4" w:firstLine="7"/>
              <w:jc w:val="center"/>
              <w:rPr>
                <w:rFonts w:ascii="Arial Narrow" w:eastAsia="Times New Roman" w:hAnsi="Arial Narrow" w:cs="Times New Roman"/>
                <w:sz w:val="20"/>
                <w:szCs w:val="20"/>
              </w:rPr>
            </w:pPr>
            <w:r w:rsidRPr="007A7B7C">
              <w:rPr>
                <w:rFonts w:ascii="Arial Narrow" w:eastAsia="Times New Roman" w:hAnsi="Arial Narrow" w:cs="Times New Roman"/>
                <w:spacing w:val="1"/>
                <w:sz w:val="20"/>
                <w:szCs w:val="20"/>
              </w:rPr>
              <w:t>$</w:t>
            </w:r>
            <w:r w:rsidR="00A54692">
              <w:rPr>
                <w:rFonts w:ascii="Arial Narrow" w:eastAsia="Times New Roman" w:hAnsi="Arial Narrow" w:cs="Times New Roman"/>
                <w:noProof/>
                <w:color w:val="000000"/>
                <w:spacing w:val="1"/>
                <w:sz w:val="20"/>
                <w:szCs w:val="20"/>
                <w:highlight w:val="black"/>
              </w:rPr>
              <w:t>'''''''''''''''''</w:t>
            </w:r>
          </w:p>
        </w:tc>
      </w:tr>
      <w:tr w:rsidR="00D61D70" w:rsidRPr="007A7B7C" w:rsidTr="00D06A08">
        <w:trPr>
          <w:jc w:val="right"/>
        </w:trPr>
        <w:tc>
          <w:tcPr>
            <w:tcW w:w="2268" w:type="dxa"/>
            <w:tcBorders>
              <w:top w:val="single" w:sz="5" w:space="0" w:color="000000"/>
              <w:left w:val="single" w:sz="5" w:space="0" w:color="000000"/>
              <w:bottom w:val="single" w:sz="5" w:space="0" w:color="000000"/>
              <w:right w:val="single" w:sz="5" w:space="0" w:color="000000"/>
            </w:tcBorders>
          </w:tcPr>
          <w:p w:rsidR="00970688" w:rsidRPr="007A7B7C" w:rsidRDefault="00970688" w:rsidP="00F6414C">
            <w:pPr>
              <w:pStyle w:val="TableParagraph"/>
              <w:spacing w:before="35"/>
              <w:ind w:left="95" w:firstLine="7"/>
              <w:rPr>
                <w:rFonts w:ascii="Arial Narrow" w:eastAsia="Times New Roman" w:hAnsi="Arial Narrow" w:cs="Times New Roman"/>
                <w:sz w:val="20"/>
                <w:szCs w:val="20"/>
              </w:rPr>
            </w:pPr>
            <w:r w:rsidRPr="007A7B7C">
              <w:rPr>
                <w:rFonts w:ascii="Arial Narrow" w:eastAsia="Times New Roman" w:hAnsi="Arial Narrow" w:cs="Times New Roman"/>
                <w:spacing w:val="-1"/>
                <w:sz w:val="20"/>
                <w:szCs w:val="20"/>
              </w:rPr>
              <w:t>R</w:t>
            </w:r>
            <w:r w:rsidRPr="007A7B7C">
              <w:rPr>
                <w:rFonts w:ascii="Arial Narrow" w:eastAsia="Times New Roman" w:hAnsi="Arial Narrow" w:cs="Times New Roman"/>
                <w:sz w:val="20"/>
                <w:szCs w:val="20"/>
              </w:rPr>
              <w:t>e</w:t>
            </w:r>
            <w:r w:rsidRPr="007A7B7C">
              <w:rPr>
                <w:rFonts w:ascii="Arial Narrow" w:eastAsia="Times New Roman" w:hAnsi="Arial Narrow" w:cs="Times New Roman"/>
                <w:spacing w:val="1"/>
                <w:sz w:val="20"/>
                <w:szCs w:val="20"/>
              </w:rPr>
              <w:t>d</w:t>
            </w:r>
            <w:r w:rsidRPr="007A7B7C">
              <w:rPr>
                <w:rFonts w:ascii="Arial Narrow" w:eastAsia="Times New Roman" w:hAnsi="Arial Narrow" w:cs="Times New Roman"/>
                <w:spacing w:val="-2"/>
                <w:sz w:val="20"/>
                <w:szCs w:val="20"/>
              </w:rPr>
              <w:t>u</w:t>
            </w:r>
            <w:r w:rsidRPr="007A7B7C">
              <w:rPr>
                <w:rFonts w:ascii="Arial Narrow" w:eastAsia="Times New Roman" w:hAnsi="Arial Narrow" w:cs="Times New Roman"/>
                <w:sz w:val="20"/>
                <w:szCs w:val="20"/>
              </w:rPr>
              <w:t>ce</w:t>
            </w:r>
            <w:r w:rsidRPr="007A7B7C">
              <w:rPr>
                <w:rFonts w:ascii="Arial Narrow" w:eastAsia="Times New Roman" w:hAnsi="Arial Narrow" w:cs="Times New Roman"/>
                <w:spacing w:val="-3"/>
                <w:sz w:val="20"/>
                <w:szCs w:val="20"/>
              </w:rPr>
              <w:t xml:space="preserve"> </w:t>
            </w:r>
            <w:r w:rsidRPr="007A7B7C">
              <w:rPr>
                <w:rFonts w:ascii="Arial Narrow" w:eastAsia="Times New Roman" w:hAnsi="Arial Narrow" w:cs="Times New Roman"/>
                <w:spacing w:val="-5"/>
                <w:sz w:val="20"/>
                <w:szCs w:val="20"/>
              </w:rPr>
              <w:t>m</w:t>
            </w:r>
            <w:r w:rsidRPr="007A7B7C">
              <w:rPr>
                <w:rFonts w:ascii="Arial Narrow" w:eastAsia="Times New Roman" w:hAnsi="Arial Narrow" w:cs="Times New Roman"/>
                <w:spacing w:val="1"/>
                <w:sz w:val="20"/>
                <w:szCs w:val="20"/>
              </w:rPr>
              <w:t>od</w:t>
            </w:r>
            <w:r w:rsidRPr="007A7B7C">
              <w:rPr>
                <w:rFonts w:ascii="Arial Narrow" w:eastAsia="Times New Roman" w:hAnsi="Arial Narrow" w:cs="Times New Roman"/>
                <w:sz w:val="20"/>
                <w:szCs w:val="20"/>
              </w:rPr>
              <w:t>el</w:t>
            </w:r>
            <w:r w:rsidRPr="007A7B7C">
              <w:rPr>
                <w:rFonts w:ascii="Arial Narrow" w:eastAsia="Times New Roman" w:hAnsi="Arial Narrow" w:cs="Times New Roman"/>
                <w:spacing w:val="-4"/>
                <w:sz w:val="20"/>
                <w:szCs w:val="20"/>
              </w:rPr>
              <w:t xml:space="preserve"> </w:t>
            </w:r>
            <w:r w:rsidRPr="007A7B7C">
              <w:rPr>
                <w:rFonts w:ascii="Arial Narrow" w:eastAsia="Times New Roman" w:hAnsi="Arial Narrow" w:cs="Times New Roman"/>
                <w:spacing w:val="1"/>
                <w:sz w:val="20"/>
                <w:szCs w:val="20"/>
              </w:rPr>
              <w:t>d</w:t>
            </w:r>
            <w:r w:rsidRPr="007A7B7C">
              <w:rPr>
                <w:rFonts w:ascii="Arial Narrow" w:eastAsia="Times New Roman" w:hAnsi="Arial Narrow" w:cs="Times New Roman"/>
                <w:spacing w:val="-2"/>
                <w:sz w:val="20"/>
                <w:szCs w:val="20"/>
              </w:rPr>
              <w:t>u</w:t>
            </w:r>
            <w:r w:rsidRPr="007A7B7C">
              <w:rPr>
                <w:rFonts w:ascii="Arial Narrow" w:eastAsia="Times New Roman" w:hAnsi="Arial Narrow" w:cs="Times New Roman"/>
                <w:sz w:val="20"/>
                <w:szCs w:val="20"/>
              </w:rPr>
              <w:t>rati</w:t>
            </w:r>
            <w:r w:rsidRPr="007A7B7C">
              <w:rPr>
                <w:rFonts w:ascii="Arial Narrow" w:eastAsia="Times New Roman" w:hAnsi="Arial Narrow" w:cs="Times New Roman"/>
                <w:spacing w:val="3"/>
                <w:sz w:val="20"/>
                <w:szCs w:val="20"/>
              </w:rPr>
              <w:t>o</w:t>
            </w:r>
            <w:r w:rsidRPr="007A7B7C">
              <w:rPr>
                <w:rFonts w:ascii="Arial Narrow" w:eastAsia="Times New Roman" w:hAnsi="Arial Narrow" w:cs="Times New Roman"/>
                <w:sz w:val="20"/>
                <w:szCs w:val="20"/>
              </w:rPr>
              <w:t>n</w:t>
            </w:r>
            <w:r w:rsidRPr="007A7B7C">
              <w:rPr>
                <w:rFonts w:ascii="Arial Narrow" w:eastAsia="Times New Roman" w:hAnsi="Arial Narrow" w:cs="Times New Roman"/>
                <w:spacing w:val="-6"/>
                <w:sz w:val="20"/>
                <w:szCs w:val="20"/>
              </w:rPr>
              <w:t xml:space="preserve"> </w:t>
            </w:r>
            <w:r w:rsidRPr="007A7B7C">
              <w:rPr>
                <w:rFonts w:ascii="Arial Narrow" w:eastAsia="Times New Roman" w:hAnsi="Arial Narrow" w:cs="Times New Roman"/>
                <w:sz w:val="20"/>
                <w:szCs w:val="20"/>
              </w:rPr>
              <w:t>to</w:t>
            </w:r>
            <w:r w:rsidRPr="007A7B7C">
              <w:rPr>
                <w:rFonts w:ascii="Arial Narrow" w:eastAsia="Times New Roman" w:hAnsi="Arial Narrow" w:cs="Times New Roman"/>
                <w:spacing w:val="-4"/>
                <w:sz w:val="20"/>
                <w:szCs w:val="20"/>
              </w:rPr>
              <w:t xml:space="preserve"> </w:t>
            </w:r>
            <w:r w:rsidRPr="007A7B7C">
              <w:rPr>
                <w:rFonts w:ascii="Arial Narrow" w:eastAsia="Times New Roman" w:hAnsi="Arial Narrow" w:cs="Times New Roman"/>
                <w:spacing w:val="1"/>
                <w:sz w:val="20"/>
                <w:szCs w:val="20"/>
              </w:rPr>
              <w:t>3</w:t>
            </w:r>
            <w:r w:rsidRPr="007A7B7C">
              <w:rPr>
                <w:rFonts w:ascii="Arial Narrow" w:eastAsia="Times New Roman" w:hAnsi="Arial Narrow" w:cs="Times New Roman"/>
                <w:sz w:val="20"/>
                <w:szCs w:val="20"/>
              </w:rPr>
              <w:t>0</w:t>
            </w:r>
            <w:r w:rsidRPr="007A7B7C">
              <w:rPr>
                <w:rFonts w:ascii="Arial Narrow" w:eastAsia="Times New Roman" w:hAnsi="Arial Narrow" w:cs="Times New Roman"/>
                <w:spacing w:val="-6"/>
                <w:sz w:val="20"/>
                <w:szCs w:val="20"/>
              </w:rPr>
              <w:t xml:space="preserve"> </w:t>
            </w:r>
            <w:r w:rsidRPr="007A7B7C">
              <w:rPr>
                <w:rFonts w:ascii="Arial Narrow" w:eastAsia="Times New Roman" w:hAnsi="Arial Narrow" w:cs="Times New Roman"/>
                <w:spacing w:val="-2"/>
                <w:sz w:val="20"/>
                <w:szCs w:val="20"/>
              </w:rPr>
              <w:t>y</w:t>
            </w:r>
            <w:r w:rsidRPr="007A7B7C">
              <w:rPr>
                <w:rFonts w:ascii="Arial Narrow" w:eastAsia="Times New Roman" w:hAnsi="Arial Narrow" w:cs="Times New Roman"/>
                <w:sz w:val="20"/>
                <w:szCs w:val="20"/>
              </w:rPr>
              <w:t>ears</w:t>
            </w:r>
          </w:p>
        </w:tc>
        <w:tc>
          <w:tcPr>
            <w:tcW w:w="1418" w:type="dxa"/>
            <w:tcBorders>
              <w:top w:val="single" w:sz="5" w:space="0" w:color="000000"/>
              <w:left w:val="single" w:sz="5" w:space="0" w:color="000000"/>
              <w:bottom w:val="single" w:sz="5" w:space="0" w:color="000000"/>
              <w:right w:val="single" w:sz="5" w:space="0" w:color="000000"/>
            </w:tcBorders>
          </w:tcPr>
          <w:p w:rsidR="00970688" w:rsidRPr="007A7B7C" w:rsidRDefault="00970688" w:rsidP="00F6414C">
            <w:pPr>
              <w:pStyle w:val="TableParagraph"/>
              <w:spacing w:before="35"/>
              <w:ind w:left="95" w:firstLine="7"/>
              <w:rPr>
                <w:rFonts w:ascii="Arial Narrow" w:eastAsia="Times New Roman" w:hAnsi="Arial Narrow" w:cs="Times New Roman"/>
                <w:sz w:val="20"/>
                <w:szCs w:val="20"/>
              </w:rPr>
            </w:pPr>
            <w:r w:rsidRPr="007A7B7C">
              <w:rPr>
                <w:rFonts w:ascii="Arial Narrow" w:eastAsia="Times New Roman" w:hAnsi="Arial Narrow" w:cs="Times New Roman"/>
                <w:spacing w:val="1"/>
                <w:sz w:val="20"/>
                <w:szCs w:val="20"/>
              </w:rPr>
              <w:t>4</w:t>
            </w:r>
            <w:r w:rsidRPr="007A7B7C">
              <w:rPr>
                <w:rFonts w:ascii="Arial Narrow" w:eastAsia="Times New Roman" w:hAnsi="Arial Narrow" w:cs="Times New Roman"/>
                <w:sz w:val="20"/>
                <w:szCs w:val="20"/>
              </w:rPr>
              <w:t>9</w:t>
            </w:r>
            <w:r w:rsidRPr="007A7B7C">
              <w:rPr>
                <w:rFonts w:ascii="Arial Narrow" w:eastAsia="Times New Roman" w:hAnsi="Arial Narrow" w:cs="Times New Roman"/>
                <w:spacing w:val="-2"/>
                <w:sz w:val="20"/>
                <w:szCs w:val="20"/>
              </w:rPr>
              <w:t xml:space="preserve"> </w:t>
            </w:r>
            <w:r w:rsidRPr="007A7B7C">
              <w:rPr>
                <w:rFonts w:ascii="Arial Narrow" w:eastAsia="Times New Roman" w:hAnsi="Arial Narrow" w:cs="Times New Roman"/>
                <w:sz w:val="20"/>
                <w:szCs w:val="20"/>
              </w:rPr>
              <w:t>to</w:t>
            </w:r>
            <w:r w:rsidRPr="007A7B7C">
              <w:rPr>
                <w:rFonts w:ascii="Arial Narrow" w:eastAsia="Times New Roman" w:hAnsi="Arial Narrow" w:cs="Times New Roman"/>
                <w:spacing w:val="-2"/>
                <w:sz w:val="20"/>
                <w:szCs w:val="20"/>
              </w:rPr>
              <w:t xml:space="preserve"> 3</w:t>
            </w:r>
            <w:r w:rsidRPr="007A7B7C">
              <w:rPr>
                <w:rFonts w:ascii="Arial Narrow" w:eastAsia="Times New Roman" w:hAnsi="Arial Narrow" w:cs="Times New Roman"/>
                <w:sz w:val="20"/>
                <w:szCs w:val="20"/>
              </w:rPr>
              <w:t>0</w:t>
            </w:r>
            <w:r w:rsidRPr="007A7B7C">
              <w:rPr>
                <w:rFonts w:ascii="Arial Narrow" w:eastAsia="Times New Roman" w:hAnsi="Arial Narrow" w:cs="Times New Roman"/>
                <w:spacing w:val="-2"/>
                <w:sz w:val="20"/>
                <w:szCs w:val="20"/>
              </w:rPr>
              <w:t xml:space="preserve"> </w:t>
            </w:r>
            <w:r w:rsidRPr="007A7B7C">
              <w:rPr>
                <w:rFonts w:ascii="Arial Narrow" w:eastAsia="Times New Roman" w:hAnsi="Arial Narrow" w:cs="Times New Roman"/>
                <w:spacing w:val="-5"/>
                <w:sz w:val="20"/>
                <w:szCs w:val="20"/>
              </w:rPr>
              <w:t>y</w:t>
            </w:r>
            <w:r w:rsidRPr="007A7B7C">
              <w:rPr>
                <w:rFonts w:ascii="Arial Narrow" w:eastAsia="Times New Roman" w:hAnsi="Arial Narrow" w:cs="Times New Roman"/>
                <w:sz w:val="20"/>
                <w:szCs w:val="20"/>
              </w:rPr>
              <w:t>ears</w:t>
            </w:r>
          </w:p>
        </w:tc>
        <w:tc>
          <w:tcPr>
            <w:tcW w:w="1417" w:type="dxa"/>
            <w:tcBorders>
              <w:top w:val="single" w:sz="5" w:space="0" w:color="000000"/>
              <w:left w:val="single" w:sz="5" w:space="0" w:color="000000"/>
              <w:bottom w:val="single" w:sz="5" w:space="0" w:color="000000"/>
              <w:right w:val="single" w:sz="5" w:space="0" w:color="000000"/>
            </w:tcBorders>
          </w:tcPr>
          <w:p w:rsidR="00970688" w:rsidRPr="007A7B7C" w:rsidRDefault="00970688" w:rsidP="00F6414C">
            <w:pPr>
              <w:pStyle w:val="TableParagraph"/>
              <w:spacing w:before="35"/>
              <w:ind w:left="94" w:firstLine="8"/>
              <w:jc w:val="center"/>
              <w:rPr>
                <w:rFonts w:ascii="Arial Narrow" w:eastAsia="Times New Roman" w:hAnsi="Arial Narrow" w:cs="Times New Roman"/>
                <w:sz w:val="20"/>
                <w:szCs w:val="20"/>
              </w:rPr>
            </w:pPr>
            <w:r w:rsidRPr="007A7B7C">
              <w:rPr>
                <w:rFonts w:ascii="Arial Narrow" w:eastAsia="Times New Roman" w:hAnsi="Arial Narrow" w:cs="Times New Roman"/>
                <w:spacing w:val="1"/>
                <w:sz w:val="20"/>
                <w:szCs w:val="20"/>
              </w:rPr>
              <w:t>$</w:t>
            </w:r>
            <w:r w:rsidR="00A54692">
              <w:rPr>
                <w:rFonts w:ascii="Arial Narrow" w:eastAsia="Times New Roman" w:hAnsi="Arial Narrow" w:cs="Times New Roman"/>
                <w:noProof/>
                <w:color w:val="000000"/>
                <w:spacing w:val="1"/>
                <w:sz w:val="20"/>
                <w:szCs w:val="20"/>
                <w:highlight w:val="black"/>
              </w:rPr>
              <w:t>''''''''''''''''</w:t>
            </w:r>
          </w:p>
        </w:tc>
        <w:tc>
          <w:tcPr>
            <w:tcW w:w="1559" w:type="dxa"/>
            <w:tcBorders>
              <w:top w:val="single" w:sz="5" w:space="0" w:color="000000"/>
              <w:left w:val="single" w:sz="5" w:space="0" w:color="000000"/>
              <w:bottom w:val="single" w:sz="5" w:space="0" w:color="000000"/>
              <w:right w:val="single" w:sz="5" w:space="0" w:color="000000"/>
            </w:tcBorders>
          </w:tcPr>
          <w:p w:rsidR="00970688" w:rsidRPr="007A7B7C" w:rsidRDefault="00970688" w:rsidP="00F6414C">
            <w:pPr>
              <w:pStyle w:val="TableParagraph"/>
              <w:spacing w:before="35"/>
              <w:ind w:left="95" w:right="47" w:firstLine="7"/>
              <w:jc w:val="center"/>
              <w:rPr>
                <w:rFonts w:ascii="Arial Narrow" w:eastAsia="Times New Roman" w:hAnsi="Arial Narrow" w:cs="Times New Roman"/>
                <w:sz w:val="20"/>
                <w:szCs w:val="20"/>
              </w:rPr>
            </w:pPr>
            <w:r w:rsidRPr="007A7B7C">
              <w:rPr>
                <w:rFonts w:ascii="Arial Narrow" w:eastAsia="Times New Roman" w:hAnsi="Arial Narrow" w:cs="Times New Roman"/>
                <w:spacing w:val="1"/>
                <w:sz w:val="20"/>
                <w:szCs w:val="20"/>
              </w:rPr>
              <w:t>1</w:t>
            </w:r>
            <w:r w:rsidRPr="007A7B7C">
              <w:rPr>
                <w:rFonts w:ascii="Arial Narrow" w:eastAsia="Times New Roman" w:hAnsi="Arial Narrow" w:cs="Times New Roman"/>
                <w:sz w:val="20"/>
                <w:szCs w:val="20"/>
              </w:rPr>
              <w:t>.</w:t>
            </w:r>
            <w:r w:rsidRPr="007A7B7C">
              <w:rPr>
                <w:rFonts w:ascii="Arial Narrow" w:eastAsia="Times New Roman" w:hAnsi="Arial Narrow" w:cs="Times New Roman"/>
                <w:spacing w:val="1"/>
                <w:sz w:val="20"/>
                <w:szCs w:val="20"/>
              </w:rPr>
              <w:t>24</w:t>
            </w:r>
            <w:r w:rsidRPr="007A7B7C">
              <w:rPr>
                <w:rFonts w:ascii="Arial Narrow" w:eastAsia="Times New Roman" w:hAnsi="Arial Narrow" w:cs="Times New Roman"/>
                <w:spacing w:val="-2"/>
                <w:sz w:val="20"/>
                <w:szCs w:val="20"/>
              </w:rPr>
              <w:t>54</w:t>
            </w:r>
          </w:p>
        </w:tc>
        <w:tc>
          <w:tcPr>
            <w:tcW w:w="1701" w:type="dxa"/>
            <w:tcBorders>
              <w:top w:val="single" w:sz="5" w:space="0" w:color="000000"/>
              <w:left w:val="single" w:sz="5" w:space="0" w:color="000000"/>
              <w:bottom w:val="single" w:sz="5" w:space="0" w:color="000000"/>
              <w:right w:val="single" w:sz="5" w:space="0" w:color="000000"/>
            </w:tcBorders>
          </w:tcPr>
          <w:p w:rsidR="00970688" w:rsidRPr="007A7B7C" w:rsidRDefault="00970688" w:rsidP="00F6414C">
            <w:pPr>
              <w:pStyle w:val="TableParagraph"/>
              <w:spacing w:before="35"/>
              <w:ind w:left="95" w:right="4" w:firstLine="7"/>
              <w:jc w:val="center"/>
              <w:rPr>
                <w:rFonts w:ascii="Arial Narrow" w:eastAsia="Times New Roman" w:hAnsi="Arial Narrow" w:cs="Times New Roman"/>
                <w:sz w:val="20"/>
                <w:szCs w:val="20"/>
              </w:rPr>
            </w:pPr>
            <w:r w:rsidRPr="007A7B7C">
              <w:rPr>
                <w:rFonts w:ascii="Arial Narrow" w:eastAsia="Times New Roman" w:hAnsi="Arial Narrow" w:cs="Times New Roman"/>
                <w:spacing w:val="1"/>
                <w:sz w:val="20"/>
                <w:szCs w:val="20"/>
              </w:rPr>
              <w:t>$</w:t>
            </w:r>
            <w:r w:rsidR="00A54692">
              <w:rPr>
                <w:rFonts w:ascii="Arial Narrow" w:eastAsia="Times New Roman" w:hAnsi="Arial Narrow" w:cs="Times New Roman"/>
                <w:noProof/>
                <w:color w:val="000000"/>
                <w:spacing w:val="1"/>
                <w:sz w:val="20"/>
                <w:szCs w:val="20"/>
                <w:highlight w:val="black"/>
              </w:rPr>
              <w:t>'''''''''''''''''</w:t>
            </w:r>
          </w:p>
        </w:tc>
      </w:tr>
      <w:tr w:rsidR="00D61D70" w:rsidRPr="007A7B7C" w:rsidTr="00D06A08">
        <w:trPr>
          <w:jc w:val="right"/>
        </w:trPr>
        <w:tc>
          <w:tcPr>
            <w:tcW w:w="2268" w:type="dxa"/>
            <w:tcBorders>
              <w:top w:val="single" w:sz="5" w:space="0" w:color="000000"/>
              <w:left w:val="single" w:sz="5" w:space="0" w:color="000000"/>
              <w:bottom w:val="single" w:sz="5" w:space="0" w:color="000000"/>
              <w:right w:val="single" w:sz="5" w:space="0" w:color="000000"/>
            </w:tcBorders>
          </w:tcPr>
          <w:p w:rsidR="00970688" w:rsidRPr="007A7B7C" w:rsidRDefault="00970688" w:rsidP="00F6414C">
            <w:pPr>
              <w:pStyle w:val="TableParagraph"/>
              <w:spacing w:before="38" w:line="280" w:lineRule="auto"/>
              <w:ind w:left="95" w:right="117" w:firstLine="7"/>
              <w:rPr>
                <w:rFonts w:ascii="Arial Narrow" w:eastAsia="Times New Roman" w:hAnsi="Arial Narrow" w:cs="Times New Roman"/>
                <w:sz w:val="20"/>
                <w:szCs w:val="20"/>
              </w:rPr>
            </w:pPr>
            <w:r w:rsidRPr="007A7B7C">
              <w:rPr>
                <w:rFonts w:ascii="Arial Narrow" w:eastAsia="Times New Roman" w:hAnsi="Arial Narrow" w:cs="Times New Roman"/>
                <w:b/>
                <w:bCs/>
                <w:sz w:val="20"/>
                <w:szCs w:val="20"/>
              </w:rPr>
              <w:t>Sen</w:t>
            </w:r>
            <w:r w:rsidRPr="007A7B7C">
              <w:rPr>
                <w:rFonts w:ascii="Arial Narrow" w:eastAsia="Times New Roman" w:hAnsi="Arial Narrow" w:cs="Times New Roman"/>
                <w:b/>
                <w:bCs/>
                <w:spacing w:val="-1"/>
                <w:sz w:val="20"/>
                <w:szCs w:val="20"/>
              </w:rPr>
              <w:t>s</w:t>
            </w:r>
            <w:r w:rsidRPr="007A7B7C">
              <w:rPr>
                <w:rFonts w:ascii="Arial Narrow" w:eastAsia="Times New Roman" w:hAnsi="Arial Narrow" w:cs="Times New Roman"/>
                <w:b/>
                <w:bCs/>
                <w:sz w:val="20"/>
                <w:szCs w:val="20"/>
              </w:rPr>
              <w:t>itivity</w:t>
            </w:r>
            <w:r w:rsidRPr="007A7B7C">
              <w:rPr>
                <w:rFonts w:ascii="Arial Narrow" w:eastAsia="Times New Roman" w:hAnsi="Arial Narrow" w:cs="Times New Roman"/>
                <w:b/>
                <w:bCs/>
                <w:spacing w:val="-13"/>
                <w:sz w:val="20"/>
                <w:szCs w:val="20"/>
              </w:rPr>
              <w:t xml:space="preserve"> </w:t>
            </w:r>
            <w:r w:rsidRPr="007A7B7C">
              <w:rPr>
                <w:rFonts w:ascii="Arial Narrow" w:eastAsia="Times New Roman" w:hAnsi="Arial Narrow" w:cs="Times New Roman"/>
                <w:b/>
                <w:bCs/>
                <w:spacing w:val="1"/>
                <w:sz w:val="20"/>
                <w:szCs w:val="20"/>
              </w:rPr>
              <w:t>a</w:t>
            </w:r>
            <w:r w:rsidRPr="007A7B7C">
              <w:rPr>
                <w:rFonts w:ascii="Arial Narrow" w:eastAsia="Times New Roman" w:hAnsi="Arial Narrow" w:cs="Times New Roman"/>
                <w:b/>
                <w:bCs/>
                <w:sz w:val="20"/>
                <w:szCs w:val="20"/>
              </w:rPr>
              <w:t>naly</w:t>
            </w:r>
            <w:r w:rsidRPr="007A7B7C">
              <w:rPr>
                <w:rFonts w:ascii="Arial Narrow" w:eastAsia="Times New Roman" w:hAnsi="Arial Narrow" w:cs="Times New Roman"/>
                <w:b/>
                <w:bCs/>
                <w:spacing w:val="-1"/>
                <w:sz w:val="20"/>
                <w:szCs w:val="20"/>
              </w:rPr>
              <w:t>s</w:t>
            </w:r>
            <w:r w:rsidRPr="007A7B7C">
              <w:rPr>
                <w:rFonts w:ascii="Arial Narrow" w:eastAsia="Times New Roman" w:hAnsi="Arial Narrow" w:cs="Times New Roman"/>
                <w:b/>
                <w:bCs/>
                <w:sz w:val="20"/>
                <w:szCs w:val="20"/>
              </w:rPr>
              <w:t>is</w:t>
            </w:r>
            <w:r w:rsidRPr="007A7B7C">
              <w:rPr>
                <w:rFonts w:ascii="Arial Narrow" w:eastAsia="Times New Roman" w:hAnsi="Arial Narrow" w:cs="Times New Roman"/>
                <w:b/>
                <w:bCs/>
                <w:spacing w:val="-15"/>
                <w:sz w:val="20"/>
                <w:szCs w:val="20"/>
              </w:rPr>
              <w:t xml:space="preserve"> </w:t>
            </w:r>
            <w:r w:rsidRPr="007A7B7C">
              <w:rPr>
                <w:rFonts w:ascii="Arial Narrow" w:eastAsia="Times New Roman" w:hAnsi="Arial Narrow" w:cs="Times New Roman"/>
                <w:b/>
                <w:bCs/>
                <w:sz w:val="20"/>
                <w:szCs w:val="20"/>
              </w:rPr>
              <w:t>incorp</w:t>
            </w:r>
            <w:r w:rsidRPr="007A7B7C">
              <w:rPr>
                <w:rFonts w:ascii="Arial Narrow" w:eastAsia="Times New Roman" w:hAnsi="Arial Narrow" w:cs="Times New Roman"/>
                <w:b/>
                <w:bCs/>
                <w:spacing w:val="1"/>
                <w:sz w:val="20"/>
                <w:szCs w:val="20"/>
              </w:rPr>
              <w:t>o</w:t>
            </w:r>
            <w:r w:rsidRPr="007A7B7C">
              <w:rPr>
                <w:rFonts w:ascii="Arial Narrow" w:eastAsia="Times New Roman" w:hAnsi="Arial Narrow" w:cs="Times New Roman"/>
                <w:b/>
                <w:bCs/>
                <w:spacing w:val="2"/>
                <w:sz w:val="20"/>
                <w:szCs w:val="20"/>
              </w:rPr>
              <w:t>r</w:t>
            </w:r>
            <w:r w:rsidRPr="007A7B7C">
              <w:rPr>
                <w:rFonts w:ascii="Arial Narrow" w:eastAsia="Times New Roman" w:hAnsi="Arial Narrow" w:cs="Times New Roman"/>
                <w:b/>
                <w:bCs/>
                <w:spacing w:val="1"/>
                <w:sz w:val="20"/>
                <w:szCs w:val="20"/>
              </w:rPr>
              <w:t>a</w:t>
            </w:r>
            <w:r w:rsidRPr="007A7B7C">
              <w:rPr>
                <w:rFonts w:ascii="Arial Narrow" w:eastAsia="Times New Roman" w:hAnsi="Arial Narrow" w:cs="Times New Roman"/>
                <w:b/>
                <w:bCs/>
                <w:spacing w:val="4"/>
                <w:sz w:val="20"/>
                <w:szCs w:val="20"/>
              </w:rPr>
              <w:t>t</w:t>
            </w:r>
            <w:r w:rsidRPr="007A7B7C">
              <w:rPr>
                <w:rFonts w:ascii="Arial Narrow" w:eastAsia="Times New Roman" w:hAnsi="Arial Narrow" w:cs="Times New Roman"/>
                <w:b/>
                <w:bCs/>
                <w:spacing w:val="-1"/>
                <w:sz w:val="20"/>
                <w:szCs w:val="20"/>
              </w:rPr>
              <w:t>ing</w:t>
            </w:r>
            <w:r w:rsidRPr="007A7B7C">
              <w:rPr>
                <w:rFonts w:ascii="Arial Narrow" w:eastAsia="Times New Roman" w:hAnsi="Arial Narrow" w:cs="Times New Roman"/>
                <w:b/>
                <w:bCs/>
                <w:spacing w:val="-1"/>
                <w:w w:val="99"/>
                <w:sz w:val="20"/>
                <w:szCs w:val="20"/>
              </w:rPr>
              <w:t xml:space="preserve"> </w:t>
            </w:r>
            <w:r w:rsidRPr="007A7B7C">
              <w:rPr>
                <w:rFonts w:ascii="Arial Narrow" w:eastAsia="Times New Roman" w:hAnsi="Arial Narrow" w:cs="Times New Roman"/>
                <w:b/>
                <w:bCs/>
                <w:sz w:val="20"/>
                <w:szCs w:val="20"/>
              </w:rPr>
              <w:t>e</w:t>
            </w:r>
            <w:r w:rsidRPr="007A7B7C">
              <w:rPr>
                <w:rFonts w:ascii="Arial Narrow" w:eastAsia="Times New Roman" w:hAnsi="Arial Narrow" w:cs="Times New Roman"/>
                <w:b/>
                <w:bCs/>
                <w:spacing w:val="1"/>
                <w:sz w:val="20"/>
                <w:szCs w:val="20"/>
              </w:rPr>
              <w:t>va</w:t>
            </w:r>
            <w:r w:rsidRPr="007A7B7C">
              <w:rPr>
                <w:rFonts w:ascii="Arial Narrow" w:eastAsia="Times New Roman" w:hAnsi="Arial Narrow" w:cs="Times New Roman"/>
                <w:b/>
                <w:bCs/>
                <w:sz w:val="20"/>
                <w:szCs w:val="20"/>
              </w:rPr>
              <w:t>luat</w:t>
            </w:r>
            <w:r w:rsidRPr="007A7B7C">
              <w:rPr>
                <w:rFonts w:ascii="Arial Narrow" w:eastAsia="Times New Roman" w:hAnsi="Arial Narrow" w:cs="Times New Roman"/>
                <w:b/>
                <w:bCs/>
                <w:spacing w:val="1"/>
                <w:sz w:val="20"/>
                <w:szCs w:val="20"/>
              </w:rPr>
              <w:t>o</w:t>
            </w:r>
            <w:r w:rsidRPr="007A7B7C">
              <w:rPr>
                <w:rFonts w:ascii="Arial Narrow" w:eastAsia="Times New Roman" w:hAnsi="Arial Narrow" w:cs="Times New Roman"/>
                <w:b/>
                <w:bCs/>
                <w:sz w:val="20"/>
                <w:szCs w:val="20"/>
              </w:rPr>
              <w:t>r</w:t>
            </w:r>
            <w:r w:rsidRPr="007A7B7C">
              <w:rPr>
                <w:rFonts w:ascii="Arial Narrow" w:eastAsia="Times New Roman" w:hAnsi="Arial Narrow" w:cs="Times New Roman"/>
                <w:b/>
                <w:bCs/>
                <w:spacing w:val="1"/>
                <w:sz w:val="20"/>
                <w:szCs w:val="20"/>
              </w:rPr>
              <w:t>’</w:t>
            </w:r>
            <w:r w:rsidRPr="007A7B7C">
              <w:rPr>
                <w:rFonts w:ascii="Arial Narrow" w:eastAsia="Times New Roman" w:hAnsi="Arial Narrow" w:cs="Times New Roman"/>
                <w:b/>
                <w:bCs/>
                <w:sz w:val="20"/>
                <w:szCs w:val="20"/>
              </w:rPr>
              <w:t>s</w:t>
            </w:r>
            <w:r w:rsidRPr="007A7B7C">
              <w:rPr>
                <w:rFonts w:ascii="Arial Narrow" w:eastAsia="Times New Roman" w:hAnsi="Arial Narrow" w:cs="Times New Roman"/>
                <w:b/>
                <w:bCs/>
                <w:spacing w:val="-14"/>
                <w:sz w:val="20"/>
                <w:szCs w:val="20"/>
              </w:rPr>
              <w:t xml:space="preserve"> </w:t>
            </w:r>
            <w:r w:rsidRPr="007A7B7C">
              <w:rPr>
                <w:rFonts w:ascii="Arial Narrow" w:eastAsia="Times New Roman" w:hAnsi="Arial Narrow" w:cs="Times New Roman"/>
                <w:b/>
                <w:bCs/>
                <w:spacing w:val="-1"/>
                <w:sz w:val="20"/>
                <w:szCs w:val="20"/>
              </w:rPr>
              <w:t>s</w:t>
            </w:r>
            <w:r w:rsidRPr="007A7B7C">
              <w:rPr>
                <w:rFonts w:ascii="Arial Narrow" w:eastAsia="Times New Roman" w:hAnsi="Arial Narrow" w:cs="Times New Roman"/>
                <w:b/>
                <w:bCs/>
                <w:sz w:val="20"/>
                <w:szCs w:val="20"/>
              </w:rPr>
              <w:t>ug</w:t>
            </w:r>
            <w:r w:rsidRPr="007A7B7C">
              <w:rPr>
                <w:rFonts w:ascii="Arial Narrow" w:eastAsia="Times New Roman" w:hAnsi="Arial Narrow" w:cs="Times New Roman"/>
                <w:b/>
                <w:bCs/>
                <w:spacing w:val="1"/>
                <w:sz w:val="20"/>
                <w:szCs w:val="20"/>
              </w:rPr>
              <w:t>g</w:t>
            </w:r>
            <w:r w:rsidRPr="007A7B7C">
              <w:rPr>
                <w:rFonts w:ascii="Arial Narrow" w:eastAsia="Times New Roman" w:hAnsi="Arial Narrow" w:cs="Times New Roman"/>
                <w:b/>
                <w:bCs/>
                <w:sz w:val="20"/>
                <w:szCs w:val="20"/>
              </w:rPr>
              <w:t>ested</w:t>
            </w:r>
            <w:r w:rsidRPr="007A7B7C">
              <w:rPr>
                <w:rFonts w:ascii="Arial Narrow" w:eastAsia="Times New Roman" w:hAnsi="Arial Narrow" w:cs="Times New Roman"/>
                <w:b/>
                <w:bCs/>
                <w:spacing w:val="-13"/>
                <w:sz w:val="20"/>
                <w:szCs w:val="20"/>
              </w:rPr>
              <w:t xml:space="preserve"> </w:t>
            </w:r>
            <w:r w:rsidRPr="007A7B7C">
              <w:rPr>
                <w:rFonts w:ascii="Arial Narrow" w:eastAsia="Times New Roman" w:hAnsi="Arial Narrow" w:cs="Times New Roman"/>
                <w:b/>
                <w:bCs/>
                <w:sz w:val="20"/>
                <w:szCs w:val="20"/>
              </w:rPr>
              <w:t>chan</w:t>
            </w:r>
            <w:r w:rsidRPr="007A7B7C">
              <w:rPr>
                <w:rFonts w:ascii="Arial Narrow" w:eastAsia="Times New Roman" w:hAnsi="Arial Narrow" w:cs="Times New Roman"/>
                <w:b/>
                <w:bCs/>
                <w:spacing w:val="-2"/>
                <w:sz w:val="20"/>
                <w:szCs w:val="20"/>
              </w:rPr>
              <w:t>g</w:t>
            </w:r>
            <w:r w:rsidRPr="007A7B7C">
              <w:rPr>
                <w:rFonts w:ascii="Arial Narrow" w:eastAsia="Times New Roman" w:hAnsi="Arial Narrow" w:cs="Times New Roman"/>
                <w:b/>
                <w:bCs/>
                <w:sz w:val="20"/>
                <w:szCs w:val="20"/>
              </w:rPr>
              <w:t>es</w:t>
            </w:r>
          </w:p>
        </w:tc>
        <w:tc>
          <w:tcPr>
            <w:tcW w:w="1418" w:type="dxa"/>
            <w:tcBorders>
              <w:top w:val="single" w:sz="5" w:space="0" w:color="000000"/>
              <w:left w:val="single" w:sz="5" w:space="0" w:color="000000"/>
              <w:bottom w:val="single" w:sz="5" w:space="0" w:color="000000"/>
              <w:right w:val="single" w:sz="5" w:space="0" w:color="000000"/>
            </w:tcBorders>
          </w:tcPr>
          <w:p w:rsidR="00970688" w:rsidRPr="007A7B7C" w:rsidRDefault="00970688" w:rsidP="00F6414C">
            <w:pPr>
              <w:pStyle w:val="TableParagraph"/>
              <w:spacing w:before="2" w:line="170" w:lineRule="exact"/>
              <w:ind w:left="95" w:firstLine="7"/>
              <w:rPr>
                <w:rFonts w:ascii="Arial Narrow" w:hAnsi="Arial Narrow"/>
                <w:sz w:val="20"/>
                <w:szCs w:val="20"/>
              </w:rPr>
            </w:pPr>
          </w:p>
          <w:p w:rsidR="00970688" w:rsidRPr="007A7B7C" w:rsidRDefault="00970688" w:rsidP="00F6414C">
            <w:pPr>
              <w:pStyle w:val="TableParagraph"/>
              <w:ind w:left="95" w:right="1" w:firstLine="7"/>
              <w:jc w:val="center"/>
              <w:rPr>
                <w:rFonts w:ascii="Arial Narrow" w:eastAsia="Times New Roman" w:hAnsi="Arial Narrow" w:cs="Times New Roman"/>
                <w:sz w:val="20"/>
                <w:szCs w:val="20"/>
              </w:rPr>
            </w:pPr>
            <w:r w:rsidRPr="007A7B7C">
              <w:rPr>
                <w:rFonts w:ascii="Arial Narrow" w:eastAsia="Times New Roman" w:hAnsi="Arial Narrow" w:cs="Times New Roman"/>
                <w:b/>
                <w:bCs/>
                <w:sz w:val="20"/>
                <w:szCs w:val="20"/>
              </w:rPr>
              <w:t>-</w:t>
            </w:r>
          </w:p>
        </w:tc>
        <w:tc>
          <w:tcPr>
            <w:tcW w:w="1417" w:type="dxa"/>
            <w:tcBorders>
              <w:top w:val="single" w:sz="5" w:space="0" w:color="000000"/>
              <w:left w:val="single" w:sz="5" w:space="0" w:color="000000"/>
              <w:bottom w:val="single" w:sz="5" w:space="0" w:color="000000"/>
              <w:right w:val="single" w:sz="5" w:space="0" w:color="000000"/>
            </w:tcBorders>
          </w:tcPr>
          <w:p w:rsidR="00970688" w:rsidRPr="007A7B7C" w:rsidRDefault="00970688" w:rsidP="00F6414C">
            <w:pPr>
              <w:pStyle w:val="TableParagraph"/>
              <w:spacing w:before="38"/>
              <w:ind w:left="94" w:firstLine="8"/>
              <w:jc w:val="center"/>
              <w:rPr>
                <w:rFonts w:ascii="Arial Narrow" w:eastAsia="Times New Roman" w:hAnsi="Arial Narrow" w:cs="Times New Roman"/>
                <w:sz w:val="20"/>
                <w:szCs w:val="20"/>
              </w:rPr>
            </w:pPr>
            <w:r w:rsidRPr="007A7B7C">
              <w:rPr>
                <w:rFonts w:ascii="Arial Narrow" w:eastAsia="Times New Roman" w:hAnsi="Arial Narrow" w:cs="Times New Roman"/>
                <w:b/>
                <w:bCs/>
                <w:spacing w:val="1"/>
                <w:sz w:val="20"/>
                <w:szCs w:val="20"/>
              </w:rPr>
              <w:t>$</w:t>
            </w:r>
            <w:r w:rsidR="00A54692">
              <w:rPr>
                <w:rFonts w:ascii="Arial Narrow" w:eastAsia="Times New Roman" w:hAnsi="Arial Narrow" w:cs="Times New Roman"/>
                <w:b/>
                <w:bCs/>
                <w:noProof/>
                <w:color w:val="000000"/>
                <w:spacing w:val="1"/>
                <w:sz w:val="20"/>
                <w:szCs w:val="20"/>
                <w:highlight w:val="black"/>
              </w:rPr>
              <w:t>''''''''''''</w:t>
            </w:r>
          </w:p>
        </w:tc>
        <w:tc>
          <w:tcPr>
            <w:tcW w:w="1559" w:type="dxa"/>
            <w:tcBorders>
              <w:top w:val="single" w:sz="5" w:space="0" w:color="000000"/>
              <w:left w:val="single" w:sz="5" w:space="0" w:color="000000"/>
              <w:bottom w:val="single" w:sz="5" w:space="0" w:color="000000"/>
              <w:right w:val="single" w:sz="5" w:space="0" w:color="000000"/>
            </w:tcBorders>
          </w:tcPr>
          <w:p w:rsidR="00970688" w:rsidRPr="007A7B7C" w:rsidRDefault="00970688" w:rsidP="00F6414C">
            <w:pPr>
              <w:pStyle w:val="TableParagraph"/>
              <w:spacing w:before="38"/>
              <w:ind w:left="95" w:right="47" w:firstLine="7"/>
              <w:jc w:val="center"/>
              <w:rPr>
                <w:rFonts w:ascii="Arial Narrow" w:eastAsia="Times New Roman" w:hAnsi="Arial Narrow" w:cs="Times New Roman"/>
                <w:sz w:val="20"/>
                <w:szCs w:val="20"/>
              </w:rPr>
            </w:pPr>
            <w:r w:rsidRPr="007A7B7C">
              <w:rPr>
                <w:rFonts w:ascii="Arial Narrow" w:eastAsia="Times New Roman" w:hAnsi="Arial Narrow" w:cs="Times New Roman"/>
                <w:b/>
                <w:bCs/>
                <w:spacing w:val="1"/>
                <w:sz w:val="20"/>
                <w:szCs w:val="20"/>
              </w:rPr>
              <w:t>1</w:t>
            </w:r>
            <w:r w:rsidRPr="007A7B7C">
              <w:rPr>
                <w:rFonts w:ascii="Arial Narrow" w:eastAsia="Times New Roman" w:hAnsi="Arial Narrow" w:cs="Times New Roman"/>
                <w:b/>
                <w:bCs/>
                <w:sz w:val="20"/>
                <w:szCs w:val="20"/>
              </w:rPr>
              <w:t>.</w:t>
            </w:r>
            <w:r w:rsidRPr="007A7B7C">
              <w:rPr>
                <w:rFonts w:ascii="Arial Narrow" w:eastAsia="Times New Roman" w:hAnsi="Arial Narrow" w:cs="Times New Roman"/>
                <w:b/>
                <w:bCs/>
                <w:spacing w:val="1"/>
                <w:sz w:val="20"/>
                <w:szCs w:val="20"/>
              </w:rPr>
              <w:t>24</w:t>
            </w:r>
            <w:r w:rsidRPr="007A7B7C">
              <w:rPr>
                <w:rFonts w:ascii="Arial Narrow" w:eastAsia="Times New Roman" w:hAnsi="Arial Narrow" w:cs="Times New Roman"/>
                <w:b/>
                <w:bCs/>
                <w:spacing w:val="-2"/>
                <w:sz w:val="20"/>
                <w:szCs w:val="20"/>
              </w:rPr>
              <w:t>5</w:t>
            </w:r>
            <w:r w:rsidRPr="007A7B7C">
              <w:rPr>
                <w:rFonts w:ascii="Arial Narrow" w:eastAsia="Times New Roman" w:hAnsi="Arial Narrow" w:cs="Times New Roman"/>
                <w:b/>
                <w:bCs/>
                <w:sz w:val="20"/>
                <w:szCs w:val="20"/>
              </w:rPr>
              <w:t>4</w:t>
            </w:r>
          </w:p>
        </w:tc>
        <w:tc>
          <w:tcPr>
            <w:tcW w:w="1701" w:type="dxa"/>
            <w:tcBorders>
              <w:top w:val="single" w:sz="5" w:space="0" w:color="000000"/>
              <w:left w:val="single" w:sz="5" w:space="0" w:color="000000"/>
              <w:bottom w:val="single" w:sz="5" w:space="0" w:color="000000"/>
              <w:right w:val="single" w:sz="5" w:space="0" w:color="000000"/>
            </w:tcBorders>
          </w:tcPr>
          <w:p w:rsidR="00970688" w:rsidRPr="007A7B7C" w:rsidRDefault="00970688" w:rsidP="00F6414C">
            <w:pPr>
              <w:pStyle w:val="TableParagraph"/>
              <w:spacing w:before="38"/>
              <w:ind w:left="95" w:right="4" w:firstLine="7"/>
              <w:jc w:val="center"/>
              <w:rPr>
                <w:rFonts w:ascii="Arial Narrow" w:eastAsia="Times New Roman" w:hAnsi="Arial Narrow" w:cs="Times New Roman"/>
                <w:sz w:val="20"/>
                <w:szCs w:val="20"/>
              </w:rPr>
            </w:pPr>
            <w:r w:rsidRPr="007A7B7C">
              <w:rPr>
                <w:rFonts w:ascii="Arial Narrow" w:eastAsia="Times New Roman" w:hAnsi="Arial Narrow" w:cs="Times New Roman"/>
                <w:b/>
                <w:bCs/>
                <w:spacing w:val="1"/>
                <w:sz w:val="20"/>
                <w:szCs w:val="20"/>
              </w:rPr>
              <w:t>$</w:t>
            </w:r>
            <w:r w:rsidR="00A54692">
              <w:rPr>
                <w:rFonts w:ascii="Arial Narrow" w:eastAsia="Times New Roman" w:hAnsi="Arial Narrow" w:cs="Times New Roman"/>
                <w:b/>
                <w:bCs/>
                <w:noProof/>
                <w:color w:val="000000"/>
                <w:spacing w:val="1"/>
                <w:sz w:val="20"/>
                <w:szCs w:val="20"/>
                <w:highlight w:val="black"/>
              </w:rPr>
              <w:t>''''''''''''</w:t>
            </w:r>
          </w:p>
        </w:tc>
      </w:tr>
    </w:tbl>
    <w:p w:rsidR="00BB1AF9" w:rsidRPr="007E3538" w:rsidRDefault="00BB1AF9" w:rsidP="0056237A">
      <w:pPr>
        <w:pStyle w:val="PBACHeading1"/>
        <w:numPr>
          <w:ilvl w:val="0"/>
          <w:numId w:val="0"/>
        </w:numPr>
        <w:rPr>
          <w:b w:val="0"/>
        </w:rPr>
      </w:pPr>
    </w:p>
    <w:p w:rsidR="002F138E" w:rsidRPr="007E3538" w:rsidRDefault="002F138E" w:rsidP="002F138E">
      <w:pPr>
        <w:pStyle w:val="ListParagraph"/>
        <w:widowControl/>
        <w:numPr>
          <w:ilvl w:val="1"/>
          <w:numId w:val="1"/>
        </w:numPr>
      </w:pPr>
      <w:r w:rsidRPr="007E3538">
        <w:t>The ESC made the following general comments about the direct-acting antiviral</w:t>
      </w:r>
      <w:r>
        <w:t>s</w:t>
      </w:r>
      <w:r w:rsidRPr="007E3538">
        <w:t xml:space="preserve"> (DAA) for the treatment of Hepatitis C: </w:t>
      </w:r>
    </w:p>
    <w:p w:rsidR="002F138E" w:rsidRPr="005606B4" w:rsidRDefault="002F138E" w:rsidP="002F138E">
      <w:pPr>
        <w:pStyle w:val="Heading3"/>
        <w:numPr>
          <w:ilvl w:val="0"/>
          <w:numId w:val="16"/>
        </w:numPr>
        <w:rPr>
          <w:szCs w:val="22"/>
          <w:u w:val="none"/>
        </w:rPr>
      </w:pPr>
      <w:r>
        <w:rPr>
          <w:szCs w:val="22"/>
          <w:u w:val="none"/>
        </w:rPr>
        <w:t>T</w:t>
      </w:r>
      <w:r w:rsidRPr="005606B4">
        <w:rPr>
          <w:szCs w:val="22"/>
          <w:u w:val="none"/>
        </w:rPr>
        <w:t>he most appropriate scenario for decision</w:t>
      </w:r>
      <w:r>
        <w:rPr>
          <w:szCs w:val="22"/>
          <w:u w:val="none"/>
        </w:rPr>
        <w:t>-</w:t>
      </w:r>
      <w:r w:rsidRPr="005606B4">
        <w:rPr>
          <w:szCs w:val="22"/>
          <w:u w:val="none"/>
        </w:rPr>
        <w:t>making in the Australian context was the treatment of patients infected with Genotype 1 and 3 hepatitis C virus compared to no treatment. This reiterated the view of the PBAC at the July 2014 Meeting.</w:t>
      </w:r>
      <w:r w:rsidRPr="005606B4">
        <w:rPr>
          <w:b/>
          <w:szCs w:val="22"/>
          <w:u w:val="none"/>
        </w:rPr>
        <w:t xml:space="preserve"> </w:t>
      </w:r>
      <w:r w:rsidRPr="005606B4">
        <w:rPr>
          <w:szCs w:val="22"/>
          <w:u w:val="none"/>
        </w:rPr>
        <w:t>(Sofosbuvir PSD, July 2014). The ESC considered that the treatments</w:t>
      </w:r>
      <w:r>
        <w:rPr>
          <w:szCs w:val="22"/>
          <w:u w:val="none"/>
        </w:rPr>
        <w:t xml:space="preserve"> (submitted to the PBAC March 2015 meeting)</w:t>
      </w:r>
      <w:r w:rsidRPr="005606B4">
        <w:rPr>
          <w:szCs w:val="22"/>
          <w:u w:val="none"/>
        </w:rPr>
        <w:t xml:space="preserve"> were clinically effective in providing a SVR12 against hepatitis C. The ESC also considered that over time GT1 and GT3 treatment naïve non-cirrhotic patients are likely to become the predominant treatment populations, and therefore ICERs for this group should be most influential for decision-making.</w:t>
      </w:r>
    </w:p>
    <w:p w:rsidR="002F138E" w:rsidRPr="00AD4335" w:rsidRDefault="002F138E" w:rsidP="002F138E">
      <w:pPr>
        <w:pStyle w:val="ListParagraph"/>
        <w:numPr>
          <w:ilvl w:val="0"/>
          <w:numId w:val="16"/>
        </w:numPr>
        <w:rPr>
          <w:szCs w:val="22"/>
        </w:rPr>
      </w:pPr>
      <w:r w:rsidRPr="005606B4">
        <w:rPr>
          <w:szCs w:val="22"/>
        </w:rPr>
        <w:t>In the economic analysis, when 100% of treated patients were assumed to be cirrhotic</w:t>
      </w:r>
      <w:r>
        <w:rPr>
          <w:szCs w:val="22"/>
        </w:rPr>
        <w:t>,</w:t>
      </w:r>
      <w:r w:rsidRPr="005606B4">
        <w:rPr>
          <w:szCs w:val="22"/>
        </w:rPr>
        <w:t xml:space="preserve"> the ICER was lower than </w:t>
      </w:r>
      <w:r w:rsidRPr="005606B4">
        <w:t>when 100% of treated patients were assumed to be non-cirrhotic</w:t>
      </w:r>
      <w:r w:rsidRPr="005606B4">
        <w:rPr>
          <w:szCs w:val="22"/>
        </w:rPr>
        <w:t>. Despite a smaller treatment effect (i.e. a lower SVR), the ESC noted that this ICER differen</w:t>
      </w:r>
      <w:r>
        <w:rPr>
          <w:szCs w:val="22"/>
        </w:rPr>
        <w:t>ce</w:t>
      </w:r>
      <w:r w:rsidRPr="005606B4">
        <w:rPr>
          <w:szCs w:val="22"/>
        </w:rPr>
        <w:t xml:space="preserve"> was driven by the delay of outcomes such as decompensated cirrhosis, hepatocellular carcinoma and mortality which generally were more likely to occur, and to occur sooner, in an untreated cirrhotic population.</w:t>
      </w:r>
    </w:p>
    <w:p w:rsidR="002F138E" w:rsidRPr="005606B4" w:rsidRDefault="002F138E" w:rsidP="002F138E">
      <w:pPr>
        <w:pStyle w:val="ListParagraph"/>
        <w:numPr>
          <w:ilvl w:val="0"/>
          <w:numId w:val="16"/>
        </w:numPr>
        <w:rPr>
          <w:szCs w:val="22"/>
        </w:rPr>
      </w:pPr>
      <w:r>
        <w:rPr>
          <w:szCs w:val="22"/>
        </w:rPr>
        <w:t>I</w:t>
      </w:r>
      <w:r w:rsidRPr="005606B4">
        <w:rPr>
          <w:szCs w:val="22"/>
        </w:rPr>
        <w:t>n the economic models</w:t>
      </w:r>
      <w:r>
        <w:rPr>
          <w:szCs w:val="22"/>
        </w:rPr>
        <w:t>,</w:t>
      </w:r>
      <w:r w:rsidRPr="005606B4">
        <w:rPr>
          <w:szCs w:val="22"/>
        </w:rPr>
        <w:t xml:space="preserve"> it was more reasonable to assume that a cirrhotic patient with a SVR still had cirrhotic disease, and therefore would likely have an on-going risk of complications and mortality closer to that of an untreated cirrhotic patient than to that of the background population.  On the other hand, a SVR in a patient without cirrhosis is likely to avoid liver complications and associated disease due to viral eradication. </w:t>
      </w:r>
    </w:p>
    <w:p w:rsidR="00011BBD" w:rsidRDefault="002F138E" w:rsidP="002F138E">
      <w:pPr>
        <w:pStyle w:val="ListParagraph"/>
        <w:numPr>
          <w:ilvl w:val="0"/>
          <w:numId w:val="16"/>
        </w:numPr>
        <w:jc w:val="left"/>
        <w:rPr>
          <w:szCs w:val="22"/>
        </w:rPr>
      </w:pPr>
      <w:r>
        <w:rPr>
          <w:szCs w:val="22"/>
        </w:rPr>
        <w:t>T</w:t>
      </w:r>
      <w:r w:rsidRPr="005606B4">
        <w:rPr>
          <w:szCs w:val="22"/>
        </w:rPr>
        <w:t xml:space="preserve">he listing of the new treatment for hepatitis C should not be restricted </w:t>
      </w:r>
      <w:r>
        <w:rPr>
          <w:szCs w:val="22"/>
        </w:rPr>
        <w:t>by stage of</w:t>
      </w:r>
      <w:r w:rsidRPr="005606B4">
        <w:rPr>
          <w:szCs w:val="22"/>
        </w:rPr>
        <w:t xml:space="preserve"> hepatic fibrosis. However in clinical practice, the ESC considered that higher risk patients, such a patients with cirrhosis, are likely to be treated sooner following listing of interferon-free treatments. The ESC noted preliminary data from the ongoing, longitudinal, observational HCV-TARGET study (clinicialtrails.gov NCT01474811) showed that 45-60% of patients treated with interferon-free regiments were cirrhotic. (http://www.natap.org/2014/AASLDEASL/AASLDEASL_01.htm). </w:t>
      </w:r>
    </w:p>
    <w:p w:rsidR="002F138E" w:rsidRPr="005606B4" w:rsidRDefault="002F138E" w:rsidP="00011BBD">
      <w:pPr>
        <w:pStyle w:val="ListParagraph"/>
        <w:jc w:val="left"/>
        <w:rPr>
          <w:szCs w:val="22"/>
        </w:rPr>
      </w:pPr>
      <w:r w:rsidRPr="005606B4">
        <w:rPr>
          <w:szCs w:val="22"/>
        </w:rPr>
        <w:t>However, the ESC considered that with the availability of highly effective and well-</w:t>
      </w:r>
      <w:r w:rsidRPr="005606B4">
        <w:rPr>
          <w:szCs w:val="22"/>
        </w:rPr>
        <w:lastRenderedPageBreak/>
        <w:t>tolerated therapy, over time the predominant treatment population would be treatment naïve GT1 and GT3 patients without cirrhosis.</w:t>
      </w:r>
    </w:p>
    <w:p w:rsidR="002F138E" w:rsidRPr="005606B4" w:rsidRDefault="002F138E" w:rsidP="002F138E">
      <w:pPr>
        <w:pStyle w:val="ListParagraph"/>
        <w:numPr>
          <w:ilvl w:val="0"/>
          <w:numId w:val="16"/>
        </w:numPr>
        <w:rPr>
          <w:szCs w:val="22"/>
        </w:rPr>
      </w:pPr>
      <w:r w:rsidRPr="005606B4">
        <w:rPr>
          <w:szCs w:val="22"/>
        </w:rPr>
        <w:t xml:space="preserve">A consequence of this treatment pattern would be the rapid reduction of the pool of infected patients with cirrhosis. The ESC noted that all submissions assumed in the economic analysis that the proportion of patients with cirrhosis was greater than the figure of 5.9% (distribution of hepatic fibrosis stage F4) cited in the Recommendations from the Australian Liver Association (ALA). While the proportion of patients with cirrhosis would not reach zero, due to the current system capacity, the ESC considered that the assumption of a static and high prevalence of cirrhotic patients in the analysis favours the treatment arm in the medium to long term, and does not reflect the cost-effectiveness of overall treatment in the short term following the listing of these treatments.  The ESC considered that it was more informative to present the ICER for non-cirrhotic and cirrhotic patients separately to see the extremes of the cost-effectiveness. </w:t>
      </w:r>
    </w:p>
    <w:p w:rsidR="002F138E" w:rsidRPr="005606B4" w:rsidRDefault="002F138E" w:rsidP="002F138E">
      <w:pPr>
        <w:pStyle w:val="ListParagraph"/>
        <w:numPr>
          <w:ilvl w:val="0"/>
          <w:numId w:val="16"/>
        </w:numPr>
        <w:rPr>
          <w:szCs w:val="22"/>
        </w:rPr>
      </w:pPr>
      <w:r w:rsidRPr="005606B4">
        <w:rPr>
          <w:szCs w:val="22"/>
        </w:rPr>
        <w:t>During the discussion, the ESC recalled the consideration of sofosbuvir at the July PBAC 2014 meeting. The ESC noted that the PBAC recalled that for the submissions for boceprevir and telaprevir the ICER range accepted was $15,000- $45,000/QALY. The PBAC considered that trying to value sofosbuvir with a weighted ICER was inappropriate when the ICER for some treatment groups was substantially higher than this range. The PBAC was also concerned that the weightings that underpin the weighted value for each treatment group, were uncertain due to the number of assumptions made about the proportion of patients with prior treatment/cirrhosis/IFN eligibility and genotype. (PSD, July 2014). In addition,</w:t>
      </w:r>
      <w:r w:rsidRPr="005606B4" w:rsidDel="00DB10D0">
        <w:rPr>
          <w:szCs w:val="22"/>
        </w:rPr>
        <w:t xml:space="preserve"> </w:t>
      </w:r>
      <w:r w:rsidRPr="005606B4">
        <w:rPr>
          <w:szCs w:val="22"/>
        </w:rPr>
        <w:t xml:space="preserve">the ESC noted that a weighted ICER should be generated by weighting costs and weighting benefits, before calculating the ratio. </w:t>
      </w:r>
    </w:p>
    <w:p w:rsidR="002F138E" w:rsidRPr="00C709E1" w:rsidRDefault="002F138E" w:rsidP="002F138E">
      <w:pPr>
        <w:pStyle w:val="ListParagraph"/>
        <w:numPr>
          <w:ilvl w:val="0"/>
          <w:numId w:val="16"/>
        </w:numPr>
        <w:rPr>
          <w:szCs w:val="22"/>
        </w:rPr>
      </w:pPr>
      <w:r w:rsidRPr="005606B4">
        <w:t>The ESC noted the very large opportunity cost of the new medicines for the treatment Hepatitis C, if listed at the price proposed. A consequence of a significant opportunity cost to the health care system is the</w:t>
      </w:r>
      <w:r>
        <w:t xml:space="preserve"> potential for reduced</w:t>
      </w:r>
      <w:r w:rsidRPr="005606B4">
        <w:t xml:space="preserve"> access to future cost-effective medicines. The ESC considered that in this situation, it would be appropriate and necessary for the PBAC to expect that the ICERs that would define potentially </w:t>
      </w:r>
      <w:r w:rsidRPr="00C709E1">
        <w:rPr>
          <w:szCs w:val="22"/>
        </w:rPr>
        <w:t>acceptable cost-effectiveness should be at the lower end of the range previously accepted for interventions for this disease.</w:t>
      </w:r>
    </w:p>
    <w:p w:rsidR="009869DD" w:rsidRDefault="009869DD" w:rsidP="009869DD"/>
    <w:p w:rsidR="00F76E60" w:rsidRDefault="009869DD" w:rsidP="00F76E60">
      <w:pPr>
        <w:pStyle w:val="ListParagraph"/>
        <w:widowControl/>
        <w:numPr>
          <w:ilvl w:val="1"/>
          <w:numId w:val="1"/>
        </w:numPr>
        <w:rPr>
          <w:szCs w:val="22"/>
        </w:rPr>
      </w:pPr>
      <w:r w:rsidRPr="009869DD">
        <w:t xml:space="preserve">The PBAC noted the cost-effective analysis presented in the submission. The PBAC agreed with the revised base case presented in the ESC. The PBAC disagreed with the sponsor and considered that a 30 year time horizon was appropriate. The PBAC noted that ICER may be higher if the more conservative transition probabilities from the NICE assessment raised in the Commentary were applied to the model. </w:t>
      </w:r>
      <w:r w:rsidR="00B20C91">
        <w:rPr>
          <w:szCs w:val="22"/>
        </w:rPr>
        <w:t xml:space="preserve">In addition, the PBAC noted the other items, at the March 2015 meeting, modelling the cost-effectiveness of HCV treatment, using inputs and assumptions that </w:t>
      </w:r>
      <w:r w:rsidR="00B20C91" w:rsidRPr="00BC1FB2">
        <w:rPr>
          <w:szCs w:val="22"/>
        </w:rPr>
        <w:t>the PBAC considered to be more appropriate for this disease.</w:t>
      </w:r>
    </w:p>
    <w:p w:rsidR="00B20C91" w:rsidRDefault="00B20C91" w:rsidP="00B20C91">
      <w:pPr>
        <w:pStyle w:val="PBACHeading1"/>
        <w:numPr>
          <w:ilvl w:val="0"/>
          <w:numId w:val="0"/>
        </w:numPr>
        <w:ind w:left="720" w:hanging="720"/>
      </w:pPr>
    </w:p>
    <w:p w:rsidR="00F76E60" w:rsidRDefault="00B20C91" w:rsidP="00B20C91">
      <w:pPr>
        <w:pStyle w:val="ListParagraph"/>
        <w:widowControl/>
        <w:numPr>
          <w:ilvl w:val="1"/>
          <w:numId w:val="1"/>
        </w:numPr>
        <w:rPr>
          <w:szCs w:val="22"/>
        </w:rPr>
      </w:pPr>
      <w:r w:rsidRPr="00BC1FB2">
        <w:rPr>
          <w:szCs w:val="22"/>
        </w:rPr>
        <w:t xml:space="preserve">Overall, the economic model presented in the submission favoured </w:t>
      </w:r>
      <w:r>
        <w:rPr>
          <w:szCs w:val="22"/>
        </w:rPr>
        <w:t xml:space="preserve">asunaprevir in combination with </w:t>
      </w:r>
      <w:r w:rsidRPr="00BC1FB2">
        <w:rPr>
          <w:szCs w:val="22"/>
        </w:rPr>
        <w:t xml:space="preserve">daclatasvir and that applying more conservative inputs or scenarios increased the ICERs/QALY to a range higher than the PBAC considered cost-effective for the treatment of CHC.  </w:t>
      </w:r>
    </w:p>
    <w:p w:rsidR="00011BBD" w:rsidRPr="00011BBD" w:rsidRDefault="00011BBD" w:rsidP="00011BBD">
      <w:pPr>
        <w:widowControl/>
        <w:rPr>
          <w:szCs w:val="22"/>
        </w:rPr>
      </w:pPr>
    </w:p>
    <w:p w:rsidR="00970688" w:rsidRDefault="00F76E60" w:rsidP="009D3444">
      <w:pPr>
        <w:pStyle w:val="ListParagraph"/>
        <w:widowControl/>
        <w:numPr>
          <w:ilvl w:val="1"/>
          <w:numId w:val="1"/>
        </w:numPr>
      </w:pPr>
      <w:r w:rsidRPr="00F76E60">
        <w:rPr>
          <w:szCs w:val="22"/>
        </w:rPr>
        <w:t xml:space="preserve">The PBAC noted the SVR </w:t>
      </w:r>
      <w:r>
        <w:rPr>
          <w:szCs w:val="22"/>
        </w:rPr>
        <w:t>fo</w:t>
      </w:r>
      <w:r w:rsidR="009D3444">
        <w:rPr>
          <w:szCs w:val="22"/>
        </w:rPr>
        <w:t xml:space="preserve">llowing treatment with LDV/SOF </w:t>
      </w:r>
      <w:r>
        <w:rPr>
          <w:szCs w:val="22"/>
        </w:rPr>
        <w:t>reported</w:t>
      </w:r>
      <w:r w:rsidRPr="00F76E60">
        <w:rPr>
          <w:szCs w:val="22"/>
        </w:rPr>
        <w:t xml:space="preserve"> in the publication of Kowdley et al, 2014</w:t>
      </w:r>
      <w:r w:rsidR="00F26B31">
        <w:rPr>
          <w:szCs w:val="22"/>
        </w:rPr>
        <w:t xml:space="preserve"> and following treatment with DCV+ SOF presented in the submission</w:t>
      </w:r>
      <w:r w:rsidRPr="00F76E60">
        <w:rPr>
          <w:szCs w:val="22"/>
        </w:rPr>
        <w:t>.</w:t>
      </w:r>
      <w:r w:rsidR="00264360">
        <w:rPr>
          <w:szCs w:val="22"/>
        </w:rPr>
        <w:t xml:space="preserve"> </w:t>
      </w:r>
      <w:r>
        <w:t xml:space="preserve">The </w:t>
      </w:r>
      <w:r w:rsidR="009869DD" w:rsidRPr="009869DD">
        <w:t xml:space="preserve">PBAC </w:t>
      </w:r>
      <w:r w:rsidR="009D3444" w:rsidRPr="009869DD">
        <w:t xml:space="preserve">considered </w:t>
      </w:r>
      <w:r w:rsidR="009D3444">
        <w:t>that</w:t>
      </w:r>
      <w:r>
        <w:t xml:space="preserve"> </w:t>
      </w:r>
      <w:r w:rsidRPr="009869DD">
        <w:t>ASV</w:t>
      </w:r>
      <w:r>
        <w:t xml:space="preserve"> with DCV had not established </w:t>
      </w:r>
      <w:r>
        <w:lastRenderedPageBreak/>
        <w:t>non-inferior efficacy compared to LDV/SOF</w:t>
      </w:r>
      <w:r w:rsidR="004B1C4A">
        <w:t xml:space="preserve"> or </w:t>
      </w:r>
      <w:r w:rsidR="004B1C4A">
        <w:rPr>
          <w:szCs w:val="22"/>
        </w:rPr>
        <w:t>DCV+SOF</w:t>
      </w:r>
      <w:r w:rsidR="009D3444">
        <w:t>, recommended at the same PBAC meeting</w:t>
      </w:r>
      <w:r>
        <w:t>. Though the more appropriate economic approach, the PBAC considered cost</w:t>
      </w:r>
      <w:r w:rsidR="009869DD" w:rsidRPr="009869DD">
        <w:t xml:space="preserve"> minimisation </w:t>
      </w:r>
      <w:r>
        <w:t xml:space="preserve">of </w:t>
      </w:r>
      <w:r w:rsidR="009869DD" w:rsidRPr="009869DD">
        <w:t>ASV</w:t>
      </w:r>
      <w:r w:rsidR="00E1302A">
        <w:t xml:space="preserve"> with DCV </w:t>
      </w:r>
      <w:r>
        <w:t>compared to LDV/SOF</w:t>
      </w:r>
      <w:r w:rsidR="004B1C4A">
        <w:t xml:space="preserve"> or </w:t>
      </w:r>
      <w:r w:rsidR="004B1C4A">
        <w:rPr>
          <w:szCs w:val="22"/>
        </w:rPr>
        <w:t>DCV+SOF</w:t>
      </w:r>
      <w:r>
        <w:t xml:space="preserve"> was </w:t>
      </w:r>
      <w:r w:rsidR="004B1C4A">
        <w:t xml:space="preserve">not </w:t>
      </w:r>
      <w:r w:rsidR="009D3444">
        <w:t xml:space="preserve">supported with the data provided in the submission. </w:t>
      </w:r>
    </w:p>
    <w:p w:rsidR="009D3444" w:rsidRDefault="009D3444" w:rsidP="00970688">
      <w:pPr>
        <w:pStyle w:val="ListParagraph"/>
        <w:widowControl/>
        <w:ind w:hanging="720"/>
      </w:pPr>
    </w:p>
    <w:p w:rsidR="00760EA5" w:rsidRPr="00813606" w:rsidRDefault="00760EA5" w:rsidP="0078618A">
      <w:pPr>
        <w:pStyle w:val="Heading2"/>
      </w:pPr>
      <w:bookmarkStart w:id="13" w:name="_Toc409610886"/>
      <w:r w:rsidRPr="00813606">
        <w:t>Drug c</w:t>
      </w:r>
      <w:r w:rsidR="008A1C72" w:rsidRPr="00813606">
        <w:t>ost/patient/course</w:t>
      </w:r>
      <w:r w:rsidR="00374B96" w:rsidRPr="00813606">
        <w:t>: $</w:t>
      </w:r>
      <w:r w:rsidR="00A54692">
        <w:rPr>
          <w:noProof/>
          <w:color w:val="000000"/>
          <w:highlight w:val="black"/>
        </w:rPr>
        <w:t>'''''''''''''''''''</w:t>
      </w:r>
      <w:r w:rsidR="00374B96" w:rsidRPr="00813606">
        <w:t xml:space="preserve"> (DCV+ASV)</w:t>
      </w:r>
      <w:r w:rsidRPr="00813606">
        <w:t>.</w:t>
      </w:r>
      <w:bookmarkEnd w:id="13"/>
    </w:p>
    <w:p w:rsidR="00760EA5" w:rsidRPr="005606B4" w:rsidRDefault="00760EA5" w:rsidP="00760EA5">
      <w:pPr>
        <w:widowControl/>
        <w:rPr>
          <w:szCs w:val="22"/>
        </w:rPr>
      </w:pPr>
    </w:p>
    <w:p w:rsidR="00374B96" w:rsidRPr="00134905" w:rsidRDefault="00374B96" w:rsidP="00BA53D4">
      <w:pPr>
        <w:pStyle w:val="ListParagraph"/>
        <w:widowControl/>
        <w:numPr>
          <w:ilvl w:val="1"/>
          <w:numId w:val="1"/>
        </w:numPr>
        <w:rPr>
          <w:szCs w:val="22"/>
        </w:rPr>
      </w:pPr>
      <w:r w:rsidRPr="005606B4">
        <w:rPr>
          <w:szCs w:val="22"/>
        </w:rPr>
        <w:t xml:space="preserve">Cost of daclatasvir: </w:t>
      </w:r>
      <w:r w:rsidRPr="00134905">
        <w:rPr>
          <w:szCs w:val="22"/>
        </w:rPr>
        <w:t>$</w:t>
      </w:r>
      <w:r w:rsidR="00A54692">
        <w:rPr>
          <w:noProof/>
          <w:color w:val="000000"/>
          <w:szCs w:val="22"/>
          <w:highlight w:val="black"/>
        </w:rPr>
        <w:t xml:space="preserve">'''''''''''''''''''''''''' </w:t>
      </w:r>
      <w:r w:rsidRPr="00134905">
        <w:rPr>
          <w:szCs w:val="22"/>
        </w:rPr>
        <w:t>for a 24 week course.</w:t>
      </w:r>
    </w:p>
    <w:p w:rsidR="00374B96" w:rsidRPr="005606B4" w:rsidRDefault="00374B96" w:rsidP="00374B96">
      <w:pPr>
        <w:widowControl/>
        <w:tabs>
          <w:tab w:val="left" w:pos="709"/>
        </w:tabs>
        <w:ind w:left="709"/>
        <w:rPr>
          <w:szCs w:val="22"/>
        </w:rPr>
      </w:pPr>
      <w:r w:rsidRPr="00134905">
        <w:rPr>
          <w:szCs w:val="22"/>
        </w:rPr>
        <w:t>Cost of asunaprevir: $</w:t>
      </w:r>
      <w:r w:rsidR="00A54692">
        <w:rPr>
          <w:noProof/>
          <w:color w:val="000000"/>
          <w:szCs w:val="22"/>
          <w:highlight w:val="black"/>
        </w:rPr>
        <w:t>''''''''''''''''''''''''''</w:t>
      </w:r>
      <w:r w:rsidRPr="005606B4">
        <w:rPr>
          <w:szCs w:val="22"/>
        </w:rPr>
        <w:t xml:space="preserve"> for a 24 week course.</w:t>
      </w:r>
    </w:p>
    <w:p w:rsidR="00374B96" w:rsidRPr="005606B4" w:rsidRDefault="00374B96" w:rsidP="00374B96">
      <w:pPr>
        <w:widowControl/>
        <w:tabs>
          <w:tab w:val="left" w:pos="709"/>
        </w:tabs>
        <w:ind w:left="709"/>
        <w:rPr>
          <w:szCs w:val="22"/>
        </w:rPr>
      </w:pPr>
      <w:r w:rsidRPr="005606B4">
        <w:rPr>
          <w:szCs w:val="22"/>
        </w:rPr>
        <w:t>Patients only receive one 24 week course of treatment.</w:t>
      </w:r>
    </w:p>
    <w:p w:rsidR="00760EA5" w:rsidRPr="001E2B1E" w:rsidRDefault="00760EA5" w:rsidP="00760EA5">
      <w:pPr>
        <w:rPr>
          <w:szCs w:val="22"/>
        </w:rPr>
      </w:pPr>
    </w:p>
    <w:p w:rsidR="00760EA5" w:rsidRPr="00813606" w:rsidRDefault="00760EA5" w:rsidP="0078618A">
      <w:pPr>
        <w:pStyle w:val="Heading2"/>
      </w:pPr>
      <w:bookmarkStart w:id="14" w:name="_Toc409610887"/>
      <w:r w:rsidRPr="00813606">
        <w:t>Estimated PBS usage &amp; financial implications</w:t>
      </w:r>
      <w:bookmarkEnd w:id="14"/>
    </w:p>
    <w:p w:rsidR="007539AA" w:rsidRPr="00882085" w:rsidRDefault="007539AA" w:rsidP="00F26B31">
      <w:pPr>
        <w:rPr>
          <w:b/>
          <w:i/>
          <w:szCs w:val="22"/>
        </w:rPr>
      </w:pPr>
    </w:p>
    <w:p w:rsidR="00131EE2" w:rsidRPr="00AD4335" w:rsidRDefault="00F437AB" w:rsidP="000630BC">
      <w:pPr>
        <w:pStyle w:val="ListParagraph"/>
        <w:widowControl/>
        <w:numPr>
          <w:ilvl w:val="1"/>
          <w:numId w:val="1"/>
        </w:numPr>
        <w:rPr>
          <w:szCs w:val="22"/>
        </w:rPr>
      </w:pPr>
      <w:r w:rsidRPr="00AD4335">
        <w:t>The submission was considered by the Drug Utilisation Sub-Committee</w:t>
      </w:r>
      <w:r w:rsidR="00144C4A" w:rsidRPr="00AD4335">
        <w:t>.</w:t>
      </w:r>
    </w:p>
    <w:p w:rsidR="00F437AB" w:rsidRPr="00AD4335" w:rsidRDefault="00F437AB" w:rsidP="00F437AB">
      <w:pPr>
        <w:pStyle w:val="ListParagraph"/>
        <w:widowControl/>
        <w:rPr>
          <w:szCs w:val="22"/>
        </w:rPr>
      </w:pPr>
    </w:p>
    <w:p w:rsidR="00F437AB" w:rsidRPr="00134905" w:rsidRDefault="00F437AB" w:rsidP="00C51EC3">
      <w:pPr>
        <w:pStyle w:val="ListParagraph"/>
        <w:widowControl/>
        <w:numPr>
          <w:ilvl w:val="1"/>
          <w:numId w:val="1"/>
        </w:numPr>
        <w:rPr>
          <w:rStyle w:val="CommentReference"/>
          <w:rFonts w:ascii="Arial" w:hAnsi="Arial"/>
          <w:b w:val="0"/>
          <w:sz w:val="22"/>
          <w:szCs w:val="22"/>
        </w:rPr>
      </w:pPr>
      <w:r w:rsidRPr="00F26B31">
        <w:rPr>
          <w:rStyle w:val="CommentReference"/>
          <w:rFonts w:ascii="Arial" w:hAnsi="Arial"/>
          <w:b w:val="0"/>
          <w:sz w:val="22"/>
          <w:szCs w:val="22"/>
        </w:rPr>
        <w:t>The following estimates of PBS usage and financial implications were presented in the submission</w:t>
      </w:r>
      <w:r w:rsidR="00AD4335" w:rsidRPr="00F26B31">
        <w:rPr>
          <w:rStyle w:val="CommentReference"/>
          <w:rFonts w:ascii="Arial" w:hAnsi="Arial"/>
          <w:b w:val="0"/>
          <w:sz w:val="22"/>
          <w:szCs w:val="22"/>
        </w:rPr>
        <w:t xml:space="preserve">. </w:t>
      </w:r>
      <w:r w:rsidR="00AD4335" w:rsidRPr="00F26B31">
        <w:rPr>
          <w:bCs/>
          <w:szCs w:val="22"/>
        </w:rPr>
        <w:t xml:space="preserve">At year 5, the estimated number of patients was </w:t>
      </w:r>
      <w:r w:rsidR="00134905" w:rsidRPr="00134905">
        <w:rPr>
          <w:bCs/>
          <w:szCs w:val="22"/>
        </w:rPr>
        <w:t>less than 10,000 per year</w:t>
      </w:r>
      <w:r w:rsidR="00AD4335" w:rsidRPr="00F26B31">
        <w:rPr>
          <w:bCs/>
          <w:szCs w:val="22"/>
        </w:rPr>
        <w:t xml:space="preserve"> and the net cost to the PBS </w:t>
      </w:r>
      <w:r w:rsidR="00AD4335" w:rsidRPr="00134905">
        <w:rPr>
          <w:bCs/>
          <w:szCs w:val="22"/>
        </w:rPr>
        <w:t xml:space="preserve">would be </w:t>
      </w:r>
      <w:r w:rsidR="00C51EC3" w:rsidRPr="00C51EC3">
        <w:rPr>
          <w:bCs/>
          <w:szCs w:val="22"/>
        </w:rPr>
        <w:t>less than $10 million per year</w:t>
      </w:r>
      <w:r w:rsidR="00AD4335" w:rsidRPr="00134905">
        <w:rPr>
          <w:b/>
          <w:bCs/>
          <w:szCs w:val="22"/>
        </w:rPr>
        <w:t xml:space="preserve">. </w:t>
      </w:r>
    </w:p>
    <w:p w:rsidR="00F437AB" w:rsidRPr="00134905" w:rsidRDefault="00F437AB" w:rsidP="00F437AB">
      <w:pPr>
        <w:pStyle w:val="ListParagraph"/>
        <w:rPr>
          <w:b/>
          <w:szCs w:val="22"/>
        </w:rPr>
      </w:pPr>
    </w:p>
    <w:p w:rsidR="001177D6" w:rsidRPr="00134905" w:rsidRDefault="001177D6" w:rsidP="00A60E1C">
      <w:pPr>
        <w:ind w:left="709"/>
        <w:rPr>
          <w:sz w:val="20"/>
        </w:rPr>
      </w:pPr>
      <w:r w:rsidRPr="00134905">
        <w:rPr>
          <w:b/>
          <w:sz w:val="20"/>
        </w:rPr>
        <w:t>Estimated net financial cost/year to the PBS/RPBS</w:t>
      </w:r>
    </w:p>
    <w:tbl>
      <w:tblPr>
        <w:tblStyle w:val="TableGrid"/>
        <w:tblW w:w="4559" w:type="pct"/>
        <w:tblInd w:w="817" w:type="dxa"/>
        <w:tblLook w:val="04A0" w:firstRow="1" w:lastRow="0" w:firstColumn="1" w:lastColumn="0" w:noHBand="0" w:noVBand="1"/>
        <w:tblCaption w:val="Estimated PBS usage &amp; financial implications"/>
        <w:tblDescription w:val="Year 1 to 5"/>
      </w:tblPr>
      <w:tblGrid>
        <w:gridCol w:w="1506"/>
        <w:gridCol w:w="1384"/>
        <w:gridCol w:w="1384"/>
        <w:gridCol w:w="1384"/>
        <w:gridCol w:w="1384"/>
        <w:gridCol w:w="1385"/>
      </w:tblGrid>
      <w:tr w:rsidR="001177D6" w:rsidRPr="00134905" w:rsidTr="00A60E1C">
        <w:tc>
          <w:tcPr>
            <w:tcW w:w="894" w:type="pct"/>
            <w:noWrap/>
            <w:hideMark/>
          </w:tcPr>
          <w:p w:rsidR="001177D6" w:rsidRPr="00134905" w:rsidRDefault="001177D6" w:rsidP="001F4EE5">
            <w:pPr>
              <w:rPr>
                <w:rFonts w:ascii="Arial Narrow" w:hAnsi="Arial Narrow" w:cs="Times New Roman"/>
                <w:b/>
                <w:snapToGrid/>
                <w:sz w:val="20"/>
                <w:lang w:eastAsia="en-AU"/>
              </w:rPr>
            </w:pPr>
          </w:p>
        </w:tc>
        <w:tc>
          <w:tcPr>
            <w:tcW w:w="821" w:type="pct"/>
            <w:noWrap/>
            <w:vAlign w:val="center"/>
            <w:hideMark/>
          </w:tcPr>
          <w:p w:rsidR="001177D6" w:rsidRPr="00134905" w:rsidRDefault="001177D6" w:rsidP="001F4EE5">
            <w:pPr>
              <w:jc w:val="center"/>
              <w:rPr>
                <w:rFonts w:ascii="Arial Narrow" w:hAnsi="Arial Narrow" w:cs="Times New Roman"/>
                <w:b/>
                <w:snapToGrid/>
                <w:sz w:val="20"/>
                <w:lang w:eastAsia="en-AU"/>
              </w:rPr>
            </w:pPr>
            <w:r w:rsidRPr="00134905">
              <w:rPr>
                <w:rFonts w:ascii="Arial Narrow" w:hAnsi="Arial Narrow" w:cs="Times New Roman"/>
                <w:b/>
                <w:snapToGrid/>
                <w:sz w:val="20"/>
                <w:lang w:eastAsia="en-AU"/>
              </w:rPr>
              <w:t>Year 1</w:t>
            </w:r>
          </w:p>
        </w:tc>
        <w:tc>
          <w:tcPr>
            <w:tcW w:w="821" w:type="pct"/>
            <w:noWrap/>
            <w:vAlign w:val="center"/>
            <w:hideMark/>
          </w:tcPr>
          <w:p w:rsidR="001177D6" w:rsidRPr="00134905" w:rsidRDefault="001177D6" w:rsidP="001F4EE5">
            <w:pPr>
              <w:jc w:val="center"/>
              <w:rPr>
                <w:rFonts w:ascii="Arial Narrow" w:hAnsi="Arial Narrow" w:cs="Times New Roman"/>
                <w:b/>
                <w:snapToGrid/>
                <w:sz w:val="20"/>
                <w:lang w:eastAsia="en-AU"/>
              </w:rPr>
            </w:pPr>
            <w:r w:rsidRPr="00134905">
              <w:rPr>
                <w:rFonts w:ascii="Arial Narrow" w:hAnsi="Arial Narrow" w:cs="Times New Roman"/>
                <w:b/>
                <w:snapToGrid/>
                <w:sz w:val="20"/>
                <w:lang w:eastAsia="en-AU"/>
              </w:rPr>
              <w:t>Year 2</w:t>
            </w:r>
          </w:p>
        </w:tc>
        <w:tc>
          <w:tcPr>
            <w:tcW w:w="821" w:type="pct"/>
            <w:noWrap/>
            <w:vAlign w:val="center"/>
            <w:hideMark/>
          </w:tcPr>
          <w:p w:rsidR="001177D6" w:rsidRPr="00134905" w:rsidRDefault="001177D6" w:rsidP="001F4EE5">
            <w:pPr>
              <w:jc w:val="center"/>
              <w:rPr>
                <w:rFonts w:ascii="Arial Narrow" w:hAnsi="Arial Narrow" w:cs="Times New Roman"/>
                <w:b/>
                <w:snapToGrid/>
                <w:sz w:val="20"/>
                <w:lang w:eastAsia="en-AU"/>
              </w:rPr>
            </w:pPr>
            <w:r w:rsidRPr="00134905">
              <w:rPr>
                <w:rFonts w:ascii="Arial Narrow" w:hAnsi="Arial Narrow" w:cs="Times New Roman"/>
                <w:b/>
                <w:snapToGrid/>
                <w:sz w:val="20"/>
                <w:lang w:eastAsia="en-AU"/>
              </w:rPr>
              <w:t>Year 3</w:t>
            </w:r>
          </w:p>
        </w:tc>
        <w:tc>
          <w:tcPr>
            <w:tcW w:w="821" w:type="pct"/>
            <w:noWrap/>
            <w:vAlign w:val="center"/>
            <w:hideMark/>
          </w:tcPr>
          <w:p w:rsidR="001177D6" w:rsidRPr="00134905" w:rsidRDefault="001177D6" w:rsidP="001F4EE5">
            <w:pPr>
              <w:jc w:val="center"/>
              <w:rPr>
                <w:rFonts w:ascii="Arial Narrow" w:hAnsi="Arial Narrow" w:cs="Times New Roman"/>
                <w:b/>
                <w:snapToGrid/>
                <w:sz w:val="20"/>
                <w:lang w:eastAsia="en-AU"/>
              </w:rPr>
            </w:pPr>
            <w:r w:rsidRPr="00134905">
              <w:rPr>
                <w:rFonts w:ascii="Arial Narrow" w:hAnsi="Arial Narrow" w:cs="Times New Roman"/>
                <w:b/>
                <w:snapToGrid/>
                <w:sz w:val="20"/>
                <w:lang w:eastAsia="en-AU"/>
              </w:rPr>
              <w:t>Year 4</w:t>
            </w:r>
          </w:p>
        </w:tc>
        <w:tc>
          <w:tcPr>
            <w:tcW w:w="823" w:type="pct"/>
            <w:noWrap/>
            <w:vAlign w:val="center"/>
            <w:hideMark/>
          </w:tcPr>
          <w:p w:rsidR="001177D6" w:rsidRPr="00134905" w:rsidRDefault="001177D6" w:rsidP="001F4EE5">
            <w:pPr>
              <w:jc w:val="center"/>
              <w:rPr>
                <w:rFonts w:ascii="Arial Narrow" w:hAnsi="Arial Narrow" w:cs="Times New Roman"/>
                <w:b/>
                <w:snapToGrid/>
                <w:sz w:val="20"/>
                <w:lang w:eastAsia="en-AU"/>
              </w:rPr>
            </w:pPr>
            <w:r w:rsidRPr="00134905">
              <w:rPr>
                <w:rFonts w:ascii="Arial Narrow" w:hAnsi="Arial Narrow" w:cs="Times New Roman"/>
                <w:b/>
                <w:snapToGrid/>
                <w:sz w:val="20"/>
                <w:lang w:eastAsia="en-AU"/>
              </w:rPr>
              <w:t>Year 5</w:t>
            </w:r>
          </w:p>
        </w:tc>
      </w:tr>
      <w:tr w:rsidR="001177D6" w:rsidRPr="00134905" w:rsidTr="00A60E1C">
        <w:tc>
          <w:tcPr>
            <w:tcW w:w="5000" w:type="pct"/>
            <w:gridSpan w:val="6"/>
            <w:vAlign w:val="center"/>
          </w:tcPr>
          <w:p w:rsidR="001177D6" w:rsidRPr="00134905" w:rsidRDefault="001177D6" w:rsidP="001F4EE5">
            <w:pPr>
              <w:jc w:val="left"/>
              <w:rPr>
                <w:rFonts w:ascii="Arial Narrow" w:hAnsi="Arial Narrow" w:cs="Times New Roman"/>
                <w:sz w:val="20"/>
              </w:rPr>
            </w:pPr>
            <w:r w:rsidRPr="00134905">
              <w:rPr>
                <w:rFonts w:ascii="Arial Narrow" w:hAnsi="Arial Narrow" w:cs="Times New Roman"/>
                <w:b/>
                <w:snapToGrid/>
                <w:sz w:val="20"/>
                <w:lang w:eastAsia="en-AU"/>
              </w:rPr>
              <w:t xml:space="preserve">Cost of DCV+ASV </w:t>
            </w:r>
          </w:p>
        </w:tc>
      </w:tr>
      <w:tr w:rsidR="001177D6" w:rsidRPr="00134905" w:rsidTr="00A60E1C">
        <w:tc>
          <w:tcPr>
            <w:tcW w:w="894" w:type="pct"/>
            <w:tcBorders>
              <w:bottom w:val="nil"/>
            </w:tcBorders>
            <w:vAlign w:val="center"/>
          </w:tcPr>
          <w:p w:rsidR="001177D6" w:rsidRPr="00134905" w:rsidRDefault="001177D6" w:rsidP="001F4EE5">
            <w:pPr>
              <w:ind w:left="142"/>
              <w:jc w:val="left"/>
              <w:rPr>
                <w:rFonts w:ascii="Arial Narrow" w:hAnsi="Arial Narrow" w:cs="Times New Roman"/>
                <w:snapToGrid/>
                <w:sz w:val="20"/>
                <w:lang w:eastAsia="en-AU"/>
              </w:rPr>
            </w:pPr>
            <w:r w:rsidRPr="00134905">
              <w:rPr>
                <w:rFonts w:ascii="Arial Narrow" w:hAnsi="Arial Narrow" w:cs="Times New Roman"/>
                <w:snapToGrid/>
                <w:sz w:val="20"/>
                <w:lang w:eastAsia="en-AU"/>
              </w:rPr>
              <w:t xml:space="preserve">Number of patients </w:t>
            </w:r>
          </w:p>
        </w:tc>
        <w:tc>
          <w:tcPr>
            <w:tcW w:w="821" w:type="pct"/>
            <w:tcBorders>
              <w:bottom w:val="nil"/>
            </w:tcBorders>
            <w:noWrap/>
            <w:vAlign w:val="center"/>
          </w:tcPr>
          <w:p w:rsidR="001177D6" w:rsidRPr="00A54692" w:rsidRDefault="00A54692" w:rsidP="001F4EE5">
            <w:pPr>
              <w:jc w:val="right"/>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21" w:type="pct"/>
            <w:tcBorders>
              <w:bottom w:val="nil"/>
            </w:tcBorders>
            <w:noWrap/>
            <w:vAlign w:val="center"/>
          </w:tcPr>
          <w:p w:rsidR="001177D6" w:rsidRPr="00A54692" w:rsidRDefault="00A54692" w:rsidP="001F4EE5">
            <w:pPr>
              <w:jc w:val="right"/>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21" w:type="pct"/>
            <w:tcBorders>
              <w:bottom w:val="nil"/>
            </w:tcBorders>
            <w:noWrap/>
            <w:vAlign w:val="center"/>
          </w:tcPr>
          <w:p w:rsidR="001177D6" w:rsidRPr="00A54692" w:rsidRDefault="00A54692" w:rsidP="001F4EE5">
            <w:pPr>
              <w:jc w:val="right"/>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21" w:type="pct"/>
            <w:tcBorders>
              <w:bottom w:val="nil"/>
            </w:tcBorders>
            <w:noWrap/>
            <w:vAlign w:val="center"/>
          </w:tcPr>
          <w:p w:rsidR="001177D6" w:rsidRPr="00A54692" w:rsidRDefault="00A54692" w:rsidP="001F4EE5">
            <w:pPr>
              <w:jc w:val="right"/>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23" w:type="pct"/>
            <w:tcBorders>
              <w:bottom w:val="nil"/>
            </w:tcBorders>
            <w:noWrap/>
            <w:vAlign w:val="center"/>
          </w:tcPr>
          <w:p w:rsidR="001177D6" w:rsidRPr="00A54692" w:rsidRDefault="00A54692" w:rsidP="001F4EE5">
            <w:pPr>
              <w:jc w:val="right"/>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1177D6" w:rsidRPr="00134905" w:rsidTr="00A60E1C">
        <w:tc>
          <w:tcPr>
            <w:tcW w:w="894" w:type="pct"/>
            <w:tcBorders>
              <w:bottom w:val="nil"/>
            </w:tcBorders>
            <w:vAlign w:val="center"/>
          </w:tcPr>
          <w:p w:rsidR="001177D6" w:rsidRPr="00134905" w:rsidRDefault="001177D6" w:rsidP="001F4EE5">
            <w:pPr>
              <w:ind w:left="142"/>
              <w:jc w:val="left"/>
              <w:rPr>
                <w:rFonts w:ascii="Arial Narrow" w:hAnsi="Arial Narrow" w:cs="Times New Roman"/>
                <w:snapToGrid/>
                <w:sz w:val="20"/>
                <w:lang w:eastAsia="en-AU"/>
              </w:rPr>
            </w:pPr>
            <w:r w:rsidRPr="00134905">
              <w:rPr>
                <w:rFonts w:ascii="Arial Narrow" w:hAnsi="Arial Narrow" w:cs="Times New Roman"/>
                <w:snapToGrid/>
                <w:sz w:val="20"/>
                <w:lang w:eastAsia="en-AU"/>
              </w:rPr>
              <w:t>Total cost</w:t>
            </w:r>
          </w:p>
        </w:tc>
        <w:tc>
          <w:tcPr>
            <w:tcW w:w="821" w:type="pct"/>
            <w:tcBorders>
              <w:bottom w:val="nil"/>
            </w:tcBorders>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sz w:val="20"/>
              </w:rPr>
              <w:t>$</w:t>
            </w:r>
            <w:r w:rsidR="00A54692">
              <w:rPr>
                <w:rFonts w:ascii="Arial Narrow" w:hAnsi="Arial Narrow" w:cs="Times New Roman"/>
                <w:noProof/>
                <w:color w:val="000000"/>
                <w:sz w:val="20"/>
                <w:highlight w:val="black"/>
              </w:rPr>
              <w:t>''''''''''''''''''''''''''''</w:t>
            </w:r>
          </w:p>
        </w:tc>
        <w:tc>
          <w:tcPr>
            <w:tcW w:w="821" w:type="pct"/>
            <w:tcBorders>
              <w:bottom w:val="nil"/>
            </w:tcBorders>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sz w:val="20"/>
              </w:rPr>
              <w:t>$</w:t>
            </w:r>
            <w:r w:rsidR="00A54692">
              <w:rPr>
                <w:rFonts w:ascii="Arial Narrow" w:hAnsi="Arial Narrow" w:cs="Times New Roman"/>
                <w:noProof/>
                <w:color w:val="000000"/>
                <w:sz w:val="20"/>
                <w:highlight w:val="black"/>
              </w:rPr>
              <w:t>'''''''''''''''''''''''''</w:t>
            </w:r>
          </w:p>
        </w:tc>
        <w:tc>
          <w:tcPr>
            <w:tcW w:w="821" w:type="pct"/>
            <w:tcBorders>
              <w:bottom w:val="nil"/>
            </w:tcBorders>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sz w:val="20"/>
              </w:rPr>
              <w:t>$</w:t>
            </w:r>
            <w:r w:rsidR="00A54692">
              <w:rPr>
                <w:rFonts w:ascii="Arial Narrow" w:hAnsi="Arial Narrow" w:cs="Times New Roman"/>
                <w:noProof/>
                <w:color w:val="000000"/>
                <w:sz w:val="20"/>
                <w:highlight w:val="black"/>
              </w:rPr>
              <w:t>'''''''''''''''''''''''</w:t>
            </w:r>
          </w:p>
        </w:tc>
        <w:tc>
          <w:tcPr>
            <w:tcW w:w="821" w:type="pct"/>
            <w:tcBorders>
              <w:bottom w:val="nil"/>
            </w:tcBorders>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sz w:val="20"/>
              </w:rPr>
              <w:t>$</w:t>
            </w:r>
            <w:r w:rsidR="00A54692">
              <w:rPr>
                <w:rFonts w:ascii="Arial Narrow" w:hAnsi="Arial Narrow" w:cs="Times New Roman"/>
                <w:noProof/>
                <w:color w:val="000000"/>
                <w:sz w:val="20"/>
                <w:highlight w:val="black"/>
              </w:rPr>
              <w:t>''''''''''''''''''''''''''</w:t>
            </w:r>
          </w:p>
        </w:tc>
        <w:tc>
          <w:tcPr>
            <w:tcW w:w="823" w:type="pct"/>
            <w:tcBorders>
              <w:bottom w:val="nil"/>
            </w:tcBorders>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sz w:val="20"/>
              </w:rPr>
              <w:t>$</w:t>
            </w:r>
            <w:r w:rsidR="00A54692">
              <w:rPr>
                <w:rFonts w:ascii="Arial Narrow" w:hAnsi="Arial Narrow" w:cs="Times New Roman"/>
                <w:noProof/>
                <w:color w:val="000000"/>
                <w:sz w:val="20"/>
                <w:highlight w:val="black"/>
              </w:rPr>
              <w:t>'''''''''''''''''''''''''''''</w:t>
            </w:r>
          </w:p>
        </w:tc>
      </w:tr>
      <w:tr w:rsidR="001177D6" w:rsidRPr="00134905" w:rsidTr="00A60E1C">
        <w:tc>
          <w:tcPr>
            <w:tcW w:w="894" w:type="pct"/>
            <w:tcBorders>
              <w:bottom w:val="single" w:sz="4" w:space="0" w:color="auto"/>
            </w:tcBorders>
            <w:vAlign w:val="center"/>
          </w:tcPr>
          <w:p w:rsidR="001177D6" w:rsidRPr="00134905" w:rsidRDefault="001177D6" w:rsidP="001F4EE5">
            <w:pPr>
              <w:ind w:left="142"/>
              <w:jc w:val="left"/>
              <w:rPr>
                <w:rFonts w:ascii="Arial Narrow" w:hAnsi="Arial Narrow" w:cs="Times New Roman"/>
                <w:snapToGrid/>
                <w:sz w:val="20"/>
                <w:lang w:eastAsia="en-AU"/>
              </w:rPr>
            </w:pPr>
            <w:r w:rsidRPr="00134905">
              <w:rPr>
                <w:rFonts w:ascii="Arial Narrow" w:hAnsi="Arial Narrow" w:cs="Times New Roman"/>
                <w:snapToGrid/>
                <w:sz w:val="20"/>
                <w:lang w:eastAsia="en-AU"/>
              </w:rPr>
              <w:t>Patient co-payments</w:t>
            </w:r>
          </w:p>
        </w:tc>
        <w:tc>
          <w:tcPr>
            <w:tcW w:w="821" w:type="pct"/>
            <w:tcBorders>
              <w:bottom w:val="single" w:sz="4" w:space="0" w:color="auto"/>
            </w:tcBorders>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sz w:val="20"/>
              </w:rPr>
              <w:t>$</w:t>
            </w:r>
            <w:r w:rsidR="00A54692">
              <w:rPr>
                <w:rFonts w:ascii="Arial Narrow" w:hAnsi="Arial Narrow" w:cs="Times New Roman"/>
                <w:noProof/>
                <w:color w:val="000000"/>
                <w:sz w:val="20"/>
                <w:highlight w:val="black"/>
              </w:rPr>
              <w:t>'''''''''''''''</w:t>
            </w:r>
          </w:p>
        </w:tc>
        <w:tc>
          <w:tcPr>
            <w:tcW w:w="821" w:type="pct"/>
            <w:tcBorders>
              <w:bottom w:val="single" w:sz="4" w:space="0" w:color="auto"/>
            </w:tcBorders>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sz w:val="20"/>
              </w:rPr>
              <w:t>$</w:t>
            </w:r>
            <w:r w:rsidR="00A54692">
              <w:rPr>
                <w:rFonts w:ascii="Arial Narrow" w:hAnsi="Arial Narrow" w:cs="Times New Roman"/>
                <w:noProof/>
                <w:color w:val="000000"/>
                <w:sz w:val="20"/>
                <w:highlight w:val="black"/>
              </w:rPr>
              <w:t>'''''''''''''''''''</w:t>
            </w:r>
          </w:p>
        </w:tc>
        <w:tc>
          <w:tcPr>
            <w:tcW w:w="821" w:type="pct"/>
            <w:tcBorders>
              <w:bottom w:val="single" w:sz="4" w:space="0" w:color="auto"/>
            </w:tcBorders>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sz w:val="20"/>
              </w:rPr>
              <w:t>$</w:t>
            </w:r>
            <w:r w:rsidR="00A54692">
              <w:rPr>
                <w:rFonts w:ascii="Arial Narrow" w:hAnsi="Arial Narrow" w:cs="Times New Roman"/>
                <w:noProof/>
                <w:color w:val="000000"/>
                <w:sz w:val="20"/>
                <w:highlight w:val="black"/>
              </w:rPr>
              <w:t>''''''''''''''''''</w:t>
            </w:r>
          </w:p>
        </w:tc>
        <w:tc>
          <w:tcPr>
            <w:tcW w:w="821" w:type="pct"/>
            <w:tcBorders>
              <w:bottom w:val="single" w:sz="4" w:space="0" w:color="auto"/>
            </w:tcBorders>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sz w:val="20"/>
              </w:rPr>
              <w:t>$</w:t>
            </w:r>
            <w:r w:rsidR="00A54692">
              <w:rPr>
                <w:rFonts w:ascii="Arial Narrow" w:hAnsi="Arial Narrow" w:cs="Times New Roman"/>
                <w:noProof/>
                <w:color w:val="000000"/>
                <w:sz w:val="20"/>
                <w:highlight w:val="black"/>
              </w:rPr>
              <w:t>'''''''''''''''''''</w:t>
            </w:r>
          </w:p>
        </w:tc>
        <w:tc>
          <w:tcPr>
            <w:tcW w:w="823" w:type="pct"/>
            <w:tcBorders>
              <w:bottom w:val="single" w:sz="4" w:space="0" w:color="auto"/>
            </w:tcBorders>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sz w:val="20"/>
              </w:rPr>
              <w:t>$</w:t>
            </w:r>
            <w:r w:rsidR="00A54692">
              <w:rPr>
                <w:rFonts w:ascii="Arial Narrow" w:hAnsi="Arial Narrow" w:cs="Times New Roman"/>
                <w:noProof/>
                <w:color w:val="000000"/>
                <w:sz w:val="20"/>
                <w:highlight w:val="black"/>
              </w:rPr>
              <w:t>''''''''''''''''''''</w:t>
            </w:r>
          </w:p>
        </w:tc>
      </w:tr>
      <w:tr w:rsidR="001177D6" w:rsidRPr="00134905" w:rsidTr="00A60E1C">
        <w:tc>
          <w:tcPr>
            <w:tcW w:w="894" w:type="pct"/>
            <w:tcBorders>
              <w:bottom w:val="nil"/>
            </w:tcBorders>
            <w:vAlign w:val="center"/>
          </w:tcPr>
          <w:p w:rsidR="001177D6" w:rsidRPr="00134905" w:rsidRDefault="001177D6" w:rsidP="001F4EE5">
            <w:pPr>
              <w:jc w:val="left"/>
              <w:rPr>
                <w:rFonts w:ascii="Arial Narrow" w:hAnsi="Arial Narrow" w:cs="Times New Roman"/>
                <w:b/>
                <w:snapToGrid/>
                <w:sz w:val="20"/>
                <w:lang w:eastAsia="en-AU"/>
              </w:rPr>
            </w:pPr>
            <w:r w:rsidRPr="00134905">
              <w:rPr>
                <w:rFonts w:ascii="Arial Narrow" w:hAnsi="Arial Narrow" w:cs="Times New Roman"/>
                <w:b/>
                <w:snapToGrid/>
                <w:sz w:val="20"/>
                <w:lang w:eastAsia="en-AU"/>
              </w:rPr>
              <w:t>Total cost to PBS</w:t>
            </w:r>
          </w:p>
        </w:tc>
        <w:tc>
          <w:tcPr>
            <w:tcW w:w="821" w:type="pct"/>
            <w:tcBorders>
              <w:bottom w:val="nil"/>
            </w:tcBorders>
            <w:noWrap/>
            <w:vAlign w:val="bottom"/>
          </w:tcPr>
          <w:p w:rsidR="001177D6" w:rsidRPr="00134905" w:rsidRDefault="001177D6" w:rsidP="001F4EE5">
            <w:pPr>
              <w:jc w:val="right"/>
              <w:rPr>
                <w:rFonts w:ascii="Arial Narrow" w:hAnsi="Arial Narrow" w:cs="Times New Roman"/>
                <w:b/>
                <w:sz w:val="20"/>
              </w:rPr>
            </w:pPr>
            <w:r w:rsidRPr="00134905">
              <w:rPr>
                <w:rFonts w:ascii="Arial Narrow" w:hAnsi="Arial Narrow" w:cs="Times New Roman"/>
                <w:b/>
                <w:sz w:val="20"/>
              </w:rPr>
              <w:t>$</w:t>
            </w:r>
            <w:r w:rsidR="00A54692">
              <w:rPr>
                <w:rFonts w:ascii="Arial Narrow" w:hAnsi="Arial Narrow" w:cs="Times New Roman"/>
                <w:b/>
                <w:noProof/>
                <w:color w:val="000000"/>
                <w:sz w:val="20"/>
                <w:highlight w:val="black"/>
              </w:rPr>
              <w:t>''''''''''''''''''''''''</w:t>
            </w:r>
          </w:p>
        </w:tc>
        <w:tc>
          <w:tcPr>
            <w:tcW w:w="821" w:type="pct"/>
            <w:tcBorders>
              <w:bottom w:val="nil"/>
            </w:tcBorders>
            <w:noWrap/>
            <w:vAlign w:val="bottom"/>
          </w:tcPr>
          <w:p w:rsidR="001177D6" w:rsidRPr="00134905" w:rsidRDefault="001177D6" w:rsidP="001F4EE5">
            <w:pPr>
              <w:jc w:val="right"/>
              <w:rPr>
                <w:rFonts w:ascii="Arial Narrow" w:hAnsi="Arial Narrow" w:cs="Times New Roman"/>
                <w:b/>
                <w:sz w:val="20"/>
              </w:rPr>
            </w:pPr>
            <w:r w:rsidRPr="00134905">
              <w:rPr>
                <w:rFonts w:ascii="Arial Narrow" w:hAnsi="Arial Narrow" w:cs="Times New Roman"/>
                <w:b/>
                <w:sz w:val="20"/>
              </w:rPr>
              <w:t>$</w:t>
            </w:r>
            <w:r w:rsidR="00A54692">
              <w:rPr>
                <w:rFonts w:ascii="Arial Narrow" w:hAnsi="Arial Narrow" w:cs="Times New Roman"/>
                <w:b/>
                <w:noProof/>
                <w:color w:val="000000"/>
                <w:sz w:val="20"/>
                <w:highlight w:val="black"/>
              </w:rPr>
              <w:t>''''''''''''''''''''</w:t>
            </w:r>
          </w:p>
        </w:tc>
        <w:tc>
          <w:tcPr>
            <w:tcW w:w="821" w:type="pct"/>
            <w:tcBorders>
              <w:bottom w:val="nil"/>
            </w:tcBorders>
            <w:noWrap/>
            <w:vAlign w:val="bottom"/>
          </w:tcPr>
          <w:p w:rsidR="001177D6" w:rsidRPr="00134905" w:rsidRDefault="001177D6" w:rsidP="001F4EE5">
            <w:pPr>
              <w:jc w:val="right"/>
              <w:rPr>
                <w:rFonts w:ascii="Arial Narrow" w:hAnsi="Arial Narrow" w:cs="Times New Roman"/>
                <w:b/>
                <w:sz w:val="20"/>
              </w:rPr>
            </w:pPr>
            <w:r w:rsidRPr="00134905">
              <w:rPr>
                <w:rFonts w:ascii="Arial Narrow" w:hAnsi="Arial Narrow" w:cs="Times New Roman"/>
                <w:b/>
                <w:sz w:val="20"/>
              </w:rPr>
              <w:t>$</w:t>
            </w:r>
            <w:r w:rsidR="00A54692">
              <w:rPr>
                <w:rFonts w:ascii="Arial Narrow" w:hAnsi="Arial Narrow" w:cs="Times New Roman"/>
                <w:b/>
                <w:noProof/>
                <w:color w:val="000000"/>
                <w:sz w:val="20"/>
                <w:highlight w:val="black"/>
              </w:rPr>
              <w:t>'''''''''''''''''''''</w:t>
            </w:r>
          </w:p>
        </w:tc>
        <w:tc>
          <w:tcPr>
            <w:tcW w:w="821" w:type="pct"/>
            <w:tcBorders>
              <w:bottom w:val="nil"/>
            </w:tcBorders>
            <w:noWrap/>
            <w:vAlign w:val="bottom"/>
          </w:tcPr>
          <w:p w:rsidR="001177D6" w:rsidRPr="00134905" w:rsidRDefault="001177D6" w:rsidP="001F4EE5">
            <w:pPr>
              <w:jc w:val="right"/>
              <w:rPr>
                <w:rFonts w:ascii="Arial Narrow" w:hAnsi="Arial Narrow" w:cs="Times New Roman"/>
                <w:b/>
                <w:sz w:val="20"/>
              </w:rPr>
            </w:pPr>
            <w:r w:rsidRPr="00134905">
              <w:rPr>
                <w:rFonts w:ascii="Arial Narrow" w:hAnsi="Arial Narrow" w:cs="Times New Roman"/>
                <w:b/>
                <w:sz w:val="20"/>
              </w:rPr>
              <w:t>$</w:t>
            </w:r>
            <w:r w:rsidR="00A54692">
              <w:rPr>
                <w:rFonts w:ascii="Arial Narrow" w:hAnsi="Arial Narrow" w:cs="Times New Roman"/>
                <w:b/>
                <w:noProof/>
                <w:color w:val="000000"/>
                <w:sz w:val="20"/>
                <w:highlight w:val="black"/>
              </w:rPr>
              <w:t>''''''''''''''''''''''</w:t>
            </w:r>
          </w:p>
        </w:tc>
        <w:tc>
          <w:tcPr>
            <w:tcW w:w="823" w:type="pct"/>
            <w:tcBorders>
              <w:bottom w:val="nil"/>
            </w:tcBorders>
            <w:noWrap/>
            <w:vAlign w:val="bottom"/>
          </w:tcPr>
          <w:p w:rsidR="001177D6" w:rsidRPr="00134905" w:rsidRDefault="001177D6" w:rsidP="001F4EE5">
            <w:pPr>
              <w:jc w:val="right"/>
              <w:rPr>
                <w:rFonts w:ascii="Arial Narrow" w:hAnsi="Arial Narrow" w:cs="Times New Roman"/>
                <w:b/>
                <w:sz w:val="20"/>
              </w:rPr>
            </w:pPr>
            <w:r w:rsidRPr="00134905">
              <w:rPr>
                <w:rFonts w:ascii="Arial Narrow" w:hAnsi="Arial Narrow" w:cs="Times New Roman"/>
                <w:b/>
                <w:sz w:val="20"/>
              </w:rPr>
              <w:t>$</w:t>
            </w:r>
            <w:r w:rsidR="00A54692">
              <w:rPr>
                <w:rFonts w:ascii="Arial Narrow" w:hAnsi="Arial Narrow" w:cs="Times New Roman"/>
                <w:b/>
                <w:noProof/>
                <w:color w:val="000000"/>
                <w:sz w:val="20"/>
                <w:highlight w:val="black"/>
              </w:rPr>
              <w:t>''''''''''''''''''''''''</w:t>
            </w:r>
          </w:p>
        </w:tc>
      </w:tr>
      <w:tr w:rsidR="001177D6" w:rsidRPr="00134905" w:rsidTr="00A60E1C">
        <w:tc>
          <w:tcPr>
            <w:tcW w:w="5000" w:type="pct"/>
            <w:gridSpan w:val="6"/>
            <w:tcBorders>
              <w:top w:val="single" w:sz="4" w:space="0" w:color="auto"/>
              <w:bottom w:val="single" w:sz="4" w:space="0" w:color="auto"/>
            </w:tcBorders>
            <w:vAlign w:val="center"/>
          </w:tcPr>
          <w:p w:rsidR="001177D6" w:rsidRPr="00134905" w:rsidRDefault="001177D6" w:rsidP="001F4EE5">
            <w:pPr>
              <w:jc w:val="left"/>
              <w:rPr>
                <w:rFonts w:ascii="Arial Narrow" w:hAnsi="Arial Narrow" w:cs="Times New Roman"/>
                <w:b/>
                <w:sz w:val="20"/>
              </w:rPr>
            </w:pPr>
            <w:r w:rsidRPr="00134905">
              <w:rPr>
                <w:rFonts w:ascii="Arial Narrow" w:hAnsi="Arial Narrow" w:cs="Times New Roman"/>
                <w:b/>
                <w:snapToGrid/>
                <w:sz w:val="20"/>
                <w:lang w:eastAsia="en-AU"/>
              </w:rPr>
              <w:t>Cost off-sets</w:t>
            </w:r>
          </w:p>
        </w:tc>
      </w:tr>
      <w:tr w:rsidR="001177D6" w:rsidRPr="00134905" w:rsidTr="00A60E1C">
        <w:tc>
          <w:tcPr>
            <w:tcW w:w="894" w:type="pct"/>
            <w:tcBorders>
              <w:bottom w:val="nil"/>
            </w:tcBorders>
            <w:vAlign w:val="center"/>
          </w:tcPr>
          <w:p w:rsidR="001177D6" w:rsidRPr="00134905" w:rsidRDefault="001177D6" w:rsidP="001F4EE5">
            <w:pPr>
              <w:ind w:left="142"/>
              <w:jc w:val="left"/>
              <w:rPr>
                <w:rFonts w:ascii="Arial Narrow" w:hAnsi="Arial Narrow" w:cs="Times New Roman"/>
                <w:snapToGrid/>
                <w:sz w:val="20"/>
                <w:lang w:eastAsia="en-AU"/>
              </w:rPr>
            </w:pPr>
            <w:r w:rsidRPr="00134905">
              <w:rPr>
                <w:rFonts w:ascii="Arial Narrow" w:hAnsi="Arial Narrow" w:cs="Times New Roman"/>
                <w:snapToGrid/>
                <w:sz w:val="20"/>
                <w:lang w:eastAsia="en-AU"/>
              </w:rPr>
              <w:t xml:space="preserve">Number of patients </w:t>
            </w:r>
          </w:p>
        </w:tc>
        <w:tc>
          <w:tcPr>
            <w:tcW w:w="821" w:type="pct"/>
            <w:tcBorders>
              <w:bottom w:val="nil"/>
            </w:tcBorders>
            <w:noWrap/>
            <w:vAlign w:val="center"/>
          </w:tcPr>
          <w:p w:rsidR="001177D6" w:rsidRPr="00A54692" w:rsidRDefault="00A54692" w:rsidP="001F4EE5">
            <w:pPr>
              <w:jc w:val="right"/>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21" w:type="pct"/>
            <w:tcBorders>
              <w:bottom w:val="nil"/>
            </w:tcBorders>
            <w:noWrap/>
            <w:vAlign w:val="center"/>
          </w:tcPr>
          <w:p w:rsidR="001177D6" w:rsidRPr="00A54692" w:rsidRDefault="00A54692" w:rsidP="001F4EE5">
            <w:pPr>
              <w:jc w:val="right"/>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21" w:type="pct"/>
            <w:tcBorders>
              <w:bottom w:val="nil"/>
            </w:tcBorders>
            <w:noWrap/>
            <w:vAlign w:val="center"/>
          </w:tcPr>
          <w:p w:rsidR="001177D6" w:rsidRPr="00A54692" w:rsidRDefault="00A54692" w:rsidP="001F4EE5">
            <w:pPr>
              <w:jc w:val="right"/>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21" w:type="pct"/>
            <w:tcBorders>
              <w:bottom w:val="nil"/>
            </w:tcBorders>
            <w:noWrap/>
            <w:vAlign w:val="center"/>
          </w:tcPr>
          <w:p w:rsidR="001177D6" w:rsidRPr="00A54692" w:rsidRDefault="00A54692" w:rsidP="001F4EE5">
            <w:pPr>
              <w:jc w:val="right"/>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23" w:type="pct"/>
            <w:tcBorders>
              <w:bottom w:val="nil"/>
            </w:tcBorders>
            <w:noWrap/>
            <w:vAlign w:val="center"/>
          </w:tcPr>
          <w:p w:rsidR="001177D6" w:rsidRPr="00A54692" w:rsidRDefault="00A54692" w:rsidP="001F4EE5">
            <w:pPr>
              <w:jc w:val="right"/>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1177D6" w:rsidRPr="00134905" w:rsidTr="00A60E1C">
        <w:tc>
          <w:tcPr>
            <w:tcW w:w="894" w:type="pct"/>
            <w:tcBorders>
              <w:bottom w:val="nil"/>
            </w:tcBorders>
            <w:vAlign w:val="center"/>
          </w:tcPr>
          <w:p w:rsidR="001177D6" w:rsidRPr="00134905" w:rsidRDefault="001177D6" w:rsidP="001F4EE5">
            <w:pPr>
              <w:ind w:left="142"/>
              <w:jc w:val="left"/>
              <w:rPr>
                <w:rFonts w:ascii="Arial Narrow" w:hAnsi="Arial Narrow" w:cs="Times New Roman"/>
                <w:snapToGrid/>
                <w:sz w:val="20"/>
                <w:lang w:eastAsia="en-AU"/>
              </w:rPr>
            </w:pPr>
            <w:r w:rsidRPr="00134905">
              <w:rPr>
                <w:rFonts w:ascii="Arial Narrow" w:hAnsi="Arial Narrow" w:cs="Times New Roman"/>
                <w:snapToGrid/>
                <w:sz w:val="20"/>
                <w:lang w:eastAsia="en-AU"/>
              </w:rPr>
              <w:t>Total cost</w:t>
            </w:r>
          </w:p>
        </w:tc>
        <w:tc>
          <w:tcPr>
            <w:tcW w:w="821" w:type="pct"/>
            <w:tcBorders>
              <w:bottom w:val="nil"/>
            </w:tcBorders>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sz w:val="20"/>
              </w:rPr>
              <w:t>$</w:t>
            </w:r>
            <w:r w:rsidR="00A54692">
              <w:rPr>
                <w:rFonts w:ascii="Arial Narrow" w:hAnsi="Arial Narrow" w:cs="Times New Roman"/>
                <w:noProof/>
                <w:color w:val="000000"/>
                <w:sz w:val="20"/>
                <w:highlight w:val="black"/>
              </w:rPr>
              <w:t>''''''''''''''''''''''''</w:t>
            </w:r>
          </w:p>
        </w:tc>
        <w:tc>
          <w:tcPr>
            <w:tcW w:w="821" w:type="pct"/>
            <w:tcBorders>
              <w:bottom w:val="nil"/>
            </w:tcBorders>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sz w:val="20"/>
              </w:rPr>
              <w:t>$</w:t>
            </w:r>
            <w:r w:rsidR="00A54692">
              <w:rPr>
                <w:rFonts w:ascii="Arial Narrow" w:hAnsi="Arial Narrow" w:cs="Times New Roman"/>
                <w:noProof/>
                <w:color w:val="000000"/>
                <w:sz w:val="20"/>
                <w:highlight w:val="black"/>
              </w:rPr>
              <w:t>'''''''''''''''''''''''''''</w:t>
            </w:r>
          </w:p>
        </w:tc>
        <w:tc>
          <w:tcPr>
            <w:tcW w:w="821" w:type="pct"/>
            <w:tcBorders>
              <w:bottom w:val="nil"/>
            </w:tcBorders>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sz w:val="20"/>
              </w:rPr>
              <w:t>$</w:t>
            </w:r>
            <w:r w:rsidR="00A54692">
              <w:rPr>
                <w:rFonts w:ascii="Arial Narrow" w:hAnsi="Arial Narrow" w:cs="Times New Roman"/>
                <w:noProof/>
                <w:color w:val="000000"/>
                <w:sz w:val="20"/>
                <w:highlight w:val="black"/>
              </w:rPr>
              <w:t>''''''''''''''''''''''''''</w:t>
            </w:r>
          </w:p>
        </w:tc>
        <w:tc>
          <w:tcPr>
            <w:tcW w:w="821" w:type="pct"/>
            <w:tcBorders>
              <w:bottom w:val="nil"/>
            </w:tcBorders>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sz w:val="20"/>
              </w:rPr>
              <w:t>$</w:t>
            </w:r>
            <w:r w:rsidR="00A54692">
              <w:rPr>
                <w:rFonts w:ascii="Arial Narrow" w:hAnsi="Arial Narrow" w:cs="Times New Roman"/>
                <w:noProof/>
                <w:color w:val="000000"/>
                <w:sz w:val="20"/>
                <w:highlight w:val="black"/>
              </w:rPr>
              <w:t>'''''''''''''''''''''''''''''</w:t>
            </w:r>
          </w:p>
        </w:tc>
        <w:tc>
          <w:tcPr>
            <w:tcW w:w="823" w:type="pct"/>
            <w:tcBorders>
              <w:bottom w:val="nil"/>
            </w:tcBorders>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sz w:val="20"/>
              </w:rPr>
              <w:t>$</w:t>
            </w:r>
            <w:r w:rsidR="00A54692">
              <w:rPr>
                <w:rFonts w:ascii="Arial Narrow" w:hAnsi="Arial Narrow" w:cs="Times New Roman"/>
                <w:noProof/>
                <w:color w:val="000000"/>
                <w:sz w:val="20"/>
                <w:highlight w:val="black"/>
              </w:rPr>
              <w:t>'''''''''''''''''''''''''''</w:t>
            </w:r>
          </w:p>
        </w:tc>
      </w:tr>
      <w:tr w:rsidR="001177D6" w:rsidRPr="00134905" w:rsidTr="00A60E1C">
        <w:tc>
          <w:tcPr>
            <w:tcW w:w="894" w:type="pct"/>
            <w:tcBorders>
              <w:bottom w:val="nil"/>
            </w:tcBorders>
            <w:vAlign w:val="center"/>
          </w:tcPr>
          <w:p w:rsidR="001177D6" w:rsidRPr="00134905" w:rsidRDefault="001177D6" w:rsidP="001F4EE5">
            <w:pPr>
              <w:ind w:left="142"/>
              <w:jc w:val="left"/>
              <w:rPr>
                <w:rFonts w:ascii="Arial Narrow" w:hAnsi="Arial Narrow" w:cs="Times New Roman"/>
                <w:snapToGrid/>
                <w:sz w:val="20"/>
                <w:lang w:eastAsia="en-AU"/>
              </w:rPr>
            </w:pPr>
            <w:r w:rsidRPr="00134905">
              <w:rPr>
                <w:rFonts w:ascii="Arial Narrow" w:hAnsi="Arial Narrow" w:cs="Times New Roman"/>
                <w:snapToGrid/>
                <w:sz w:val="20"/>
                <w:lang w:eastAsia="en-AU"/>
              </w:rPr>
              <w:t>Patient co-payments</w:t>
            </w:r>
          </w:p>
        </w:tc>
        <w:tc>
          <w:tcPr>
            <w:tcW w:w="821" w:type="pct"/>
            <w:tcBorders>
              <w:bottom w:val="nil"/>
            </w:tcBorders>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sz w:val="20"/>
              </w:rPr>
              <w:t>$</w:t>
            </w:r>
            <w:r w:rsidR="00A54692">
              <w:rPr>
                <w:rFonts w:ascii="Arial Narrow" w:hAnsi="Arial Narrow" w:cs="Times New Roman"/>
                <w:noProof/>
                <w:color w:val="000000"/>
                <w:sz w:val="20"/>
                <w:highlight w:val="black"/>
              </w:rPr>
              <w:t>'''''''''''''''''''''</w:t>
            </w:r>
          </w:p>
        </w:tc>
        <w:tc>
          <w:tcPr>
            <w:tcW w:w="821" w:type="pct"/>
            <w:tcBorders>
              <w:bottom w:val="nil"/>
            </w:tcBorders>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sz w:val="20"/>
              </w:rPr>
              <w:t>$</w:t>
            </w:r>
            <w:r w:rsidR="00A54692">
              <w:rPr>
                <w:rFonts w:ascii="Arial Narrow" w:hAnsi="Arial Narrow" w:cs="Times New Roman"/>
                <w:noProof/>
                <w:color w:val="000000"/>
                <w:sz w:val="20"/>
                <w:highlight w:val="black"/>
              </w:rPr>
              <w:t>''''''''''''''''''</w:t>
            </w:r>
          </w:p>
        </w:tc>
        <w:tc>
          <w:tcPr>
            <w:tcW w:w="821" w:type="pct"/>
            <w:tcBorders>
              <w:bottom w:val="nil"/>
            </w:tcBorders>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sz w:val="20"/>
              </w:rPr>
              <w:t>$</w:t>
            </w:r>
            <w:r w:rsidR="00A54692">
              <w:rPr>
                <w:rFonts w:ascii="Arial Narrow" w:hAnsi="Arial Narrow" w:cs="Times New Roman"/>
                <w:noProof/>
                <w:color w:val="000000"/>
                <w:sz w:val="20"/>
                <w:highlight w:val="black"/>
              </w:rPr>
              <w:t>''''''''''''''''''''</w:t>
            </w:r>
          </w:p>
        </w:tc>
        <w:tc>
          <w:tcPr>
            <w:tcW w:w="821" w:type="pct"/>
            <w:tcBorders>
              <w:bottom w:val="nil"/>
            </w:tcBorders>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sz w:val="20"/>
              </w:rPr>
              <w:t>$</w:t>
            </w:r>
            <w:r w:rsidR="00A54692">
              <w:rPr>
                <w:rFonts w:ascii="Arial Narrow" w:hAnsi="Arial Narrow" w:cs="Times New Roman"/>
                <w:noProof/>
                <w:color w:val="000000"/>
                <w:sz w:val="20"/>
                <w:highlight w:val="black"/>
              </w:rPr>
              <w:t>'''''''''''''''''''</w:t>
            </w:r>
          </w:p>
        </w:tc>
        <w:tc>
          <w:tcPr>
            <w:tcW w:w="823" w:type="pct"/>
            <w:tcBorders>
              <w:bottom w:val="nil"/>
            </w:tcBorders>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sz w:val="20"/>
              </w:rPr>
              <w:t>$</w:t>
            </w:r>
            <w:r w:rsidR="00A54692">
              <w:rPr>
                <w:rFonts w:ascii="Arial Narrow" w:hAnsi="Arial Narrow" w:cs="Times New Roman"/>
                <w:noProof/>
                <w:color w:val="000000"/>
                <w:sz w:val="20"/>
                <w:highlight w:val="black"/>
              </w:rPr>
              <w:t>'''''''''''''''''''''</w:t>
            </w:r>
          </w:p>
        </w:tc>
      </w:tr>
      <w:tr w:rsidR="001177D6" w:rsidRPr="00134905" w:rsidTr="00A60E1C">
        <w:tc>
          <w:tcPr>
            <w:tcW w:w="894" w:type="pct"/>
            <w:tcBorders>
              <w:bottom w:val="nil"/>
            </w:tcBorders>
            <w:vAlign w:val="center"/>
          </w:tcPr>
          <w:p w:rsidR="001177D6" w:rsidRPr="00134905" w:rsidRDefault="001177D6" w:rsidP="001F4EE5">
            <w:pPr>
              <w:jc w:val="left"/>
              <w:rPr>
                <w:rFonts w:ascii="Arial Narrow" w:hAnsi="Arial Narrow" w:cs="Times New Roman"/>
                <w:snapToGrid/>
                <w:sz w:val="20"/>
                <w:lang w:eastAsia="en-AU"/>
              </w:rPr>
            </w:pPr>
            <w:r w:rsidRPr="00134905">
              <w:rPr>
                <w:rFonts w:ascii="Arial Narrow" w:hAnsi="Arial Narrow" w:cs="Times New Roman"/>
                <w:b/>
                <w:snapToGrid/>
                <w:sz w:val="20"/>
                <w:lang w:eastAsia="en-AU"/>
              </w:rPr>
              <w:t>Total cost to PBS</w:t>
            </w:r>
          </w:p>
        </w:tc>
        <w:tc>
          <w:tcPr>
            <w:tcW w:w="821" w:type="pct"/>
            <w:tcBorders>
              <w:bottom w:val="nil"/>
            </w:tcBorders>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b/>
                <w:sz w:val="20"/>
              </w:rPr>
              <w:t>$</w:t>
            </w:r>
            <w:r w:rsidR="00A54692">
              <w:rPr>
                <w:rFonts w:ascii="Arial Narrow" w:hAnsi="Arial Narrow" w:cs="Times New Roman"/>
                <w:b/>
                <w:noProof/>
                <w:color w:val="000000"/>
                <w:sz w:val="20"/>
                <w:highlight w:val="black"/>
              </w:rPr>
              <w:t>'''''''''''''''''''''</w:t>
            </w:r>
          </w:p>
        </w:tc>
        <w:tc>
          <w:tcPr>
            <w:tcW w:w="821" w:type="pct"/>
            <w:tcBorders>
              <w:bottom w:val="nil"/>
            </w:tcBorders>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b/>
                <w:sz w:val="20"/>
              </w:rPr>
              <w:t>$</w:t>
            </w:r>
            <w:r w:rsidR="00A54692">
              <w:rPr>
                <w:rFonts w:ascii="Arial Narrow" w:hAnsi="Arial Narrow" w:cs="Times New Roman"/>
                <w:b/>
                <w:noProof/>
                <w:color w:val="000000"/>
                <w:sz w:val="20"/>
                <w:highlight w:val="black"/>
              </w:rPr>
              <w:t>'''''''''''''''''''''''</w:t>
            </w:r>
          </w:p>
        </w:tc>
        <w:tc>
          <w:tcPr>
            <w:tcW w:w="821" w:type="pct"/>
            <w:tcBorders>
              <w:bottom w:val="nil"/>
            </w:tcBorders>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b/>
                <w:sz w:val="20"/>
              </w:rPr>
              <w:t>$</w:t>
            </w:r>
            <w:r w:rsidR="00A54692">
              <w:rPr>
                <w:rFonts w:ascii="Arial Narrow" w:hAnsi="Arial Narrow" w:cs="Times New Roman"/>
                <w:b/>
                <w:noProof/>
                <w:color w:val="000000"/>
                <w:sz w:val="20"/>
                <w:highlight w:val="black"/>
              </w:rPr>
              <w:t>'''''''''''''''''''''''</w:t>
            </w:r>
          </w:p>
        </w:tc>
        <w:tc>
          <w:tcPr>
            <w:tcW w:w="821" w:type="pct"/>
            <w:tcBorders>
              <w:bottom w:val="nil"/>
            </w:tcBorders>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b/>
                <w:sz w:val="20"/>
              </w:rPr>
              <w:t>$</w:t>
            </w:r>
            <w:r w:rsidR="00A54692">
              <w:rPr>
                <w:rFonts w:ascii="Arial Narrow" w:hAnsi="Arial Narrow" w:cs="Times New Roman"/>
                <w:b/>
                <w:noProof/>
                <w:color w:val="000000"/>
                <w:sz w:val="20"/>
                <w:highlight w:val="black"/>
              </w:rPr>
              <w:t>''''''''''''''''''''</w:t>
            </w:r>
          </w:p>
        </w:tc>
        <w:tc>
          <w:tcPr>
            <w:tcW w:w="823" w:type="pct"/>
            <w:tcBorders>
              <w:bottom w:val="nil"/>
            </w:tcBorders>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b/>
                <w:sz w:val="20"/>
              </w:rPr>
              <w:t>$</w:t>
            </w:r>
            <w:r w:rsidR="00A54692">
              <w:rPr>
                <w:rFonts w:ascii="Arial Narrow" w:hAnsi="Arial Narrow" w:cs="Times New Roman"/>
                <w:b/>
                <w:noProof/>
                <w:color w:val="000000"/>
                <w:sz w:val="20"/>
                <w:highlight w:val="black"/>
              </w:rPr>
              <w:t>'''''''''''''''''''''</w:t>
            </w:r>
          </w:p>
        </w:tc>
      </w:tr>
      <w:tr w:rsidR="001177D6" w:rsidRPr="00134905" w:rsidTr="00A60E1C">
        <w:tc>
          <w:tcPr>
            <w:tcW w:w="5000" w:type="pct"/>
            <w:gridSpan w:val="6"/>
            <w:tcBorders>
              <w:bottom w:val="single" w:sz="4" w:space="0" w:color="auto"/>
            </w:tcBorders>
            <w:vAlign w:val="center"/>
          </w:tcPr>
          <w:p w:rsidR="001177D6" w:rsidRPr="00134905" w:rsidRDefault="001177D6" w:rsidP="001F4EE5">
            <w:pPr>
              <w:jc w:val="left"/>
              <w:rPr>
                <w:rFonts w:ascii="Arial Narrow" w:hAnsi="Arial Narrow" w:cs="Times New Roman"/>
                <w:sz w:val="20"/>
              </w:rPr>
            </w:pPr>
            <w:r w:rsidRPr="00134905">
              <w:rPr>
                <w:rFonts w:ascii="Arial Narrow" w:hAnsi="Arial Narrow" w:cs="Times New Roman"/>
                <w:b/>
                <w:snapToGrid/>
                <w:sz w:val="20"/>
                <w:lang w:eastAsia="en-AU"/>
              </w:rPr>
              <w:t>Net cost/year</w:t>
            </w:r>
          </w:p>
        </w:tc>
      </w:tr>
      <w:tr w:rsidR="001177D6" w:rsidRPr="00134905" w:rsidTr="00A60E1C">
        <w:tc>
          <w:tcPr>
            <w:tcW w:w="894" w:type="pct"/>
            <w:vAlign w:val="center"/>
          </w:tcPr>
          <w:p w:rsidR="001177D6" w:rsidRPr="00134905" w:rsidRDefault="001177D6" w:rsidP="001F4EE5">
            <w:pPr>
              <w:jc w:val="left"/>
              <w:rPr>
                <w:rFonts w:ascii="Arial Narrow" w:hAnsi="Arial Narrow" w:cs="Times New Roman"/>
                <w:snapToGrid/>
                <w:sz w:val="20"/>
                <w:lang w:eastAsia="en-AU"/>
              </w:rPr>
            </w:pPr>
            <w:r w:rsidRPr="00134905">
              <w:rPr>
                <w:rFonts w:ascii="Arial Narrow" w:hAnsi="Arial Narrow" w:cs="Times New Roman"/>
                <w:snapToGrid/>
                <w:sz w:val="20"/>
                <w:lang w:eastAsia="en-AU"/>
              </w:rPr>
              <w:t>Additional patients treated</w:t>
            </w:r>
          </w:p>
        </w:tc>
        <w:tc>
          <w:tcPr>
            <w:tcW w:w="821" w:type="pct"/>
            <w:noWrap/>
            <w:vAlign w:val="center"/>
          </w:tcPr>
          <w:p w:rsidR="001177D6" w:rsidRPr="00A54692" w:rsidRDefault="00A54692" w:rsidP="001F4EE5">
            <w:pPr>
              <w:jc w:val="right"/>
              <w:rPr>
                <w:rFonts w:ascii="Arial Narrow" w:hAnsi="Arial Narrow" w:cs="Times New Roman"/>
                <w:color w:val="000000"/>
                <w:sz w:val="20"/>
                <w:highlight w:val="black"/>
              </w:rPr>
            </w:pPr>
            <w:r>
              <w:rPr>
                <w:rFonts w:ascii="Arial Narrow" w:hAnsi="Arial Narrow" w:cs="Times New Roman"/>
                <w:noProof/>
                <w:color w:val="000000"/>
                <w:sz w:val="20"/>
                <w:highlight w:val="black"/>
              </w:rPr>
              <w:t>'''''</w:t>
            </w:r>
            <w:r w:rsidR="001177D6" w:rsidRPr="00A54692">
              <w:rPr>
                <w:rFonts w:ascii="Arial Narrow" w:hAnsi="Arial Narrow" w:cs="Times New Roman"/>
                <w:color w:val="000000"/>
                <w:sz w:val="20"/>
                <w:highlight w:val="black"/>
              </w:rPr>
              <w:t xml:space="preserve"> </w:t>
            </w:r>
          </w:p>
        </w:tc>
        <w:tc>
          <w:tcPr>
            <w:tcW w:w="821" w:type="pct"/>
            <w:noWrap/>
            <w:vAlign w:val="center"/>
          </w:tcPr>
          <w:p w:rsidR="001177D6" w:rsidRPr="00A54692" w:rsidRDefault="00A54692" w:rsidP="001F4EE5">
            <w:pPr>
              <w:jc w:val="right"/>
              <w:rPr>
                <w:rFonts w:ascii="Arial Narrow" w:hAnsi="Arial Narrow" w:cs="Times New Roman"/>
                <w:color w:val="000000"/>
                <w:sz w:val="20"/>
                <w:highlight w:val="black"/>
              </w:rPr>
            </w:pPr>
            <w:r>
              <w:rPr>
                <w:rFonts w:ascii="Arial Narrow" w:hAnsi="Arial Narrow" w:cs="Times New Roman"/>
                <w:noProof/>
                <w:color w:val="000000"/>
                <w:sz w:val="20"/>
                <w:highlight w:val="black"/>
              </w:rPr>
              <w:t xml:space="preserve">'''''''''' </w:t>
            </w:r>
          </w:p>
        </w:tc>
        <w:tc>
          <w:tcPr>
            <w:tcW w:w="821" w:type="pct"/>
            <w:noWrap/>
            <w:vAlign w:val="center"/>
          </w:tcPr>
          <w:p w:rsidR="001177D6" w:rsidRPr="00A54692" w:rsidRDefault="00A54692" w:rsidP="001F4EE5">
            <w:pPr>
              <w:jc w:val="right"/>
              <w:rPr>
                <w:rFonts w:ascii="Arial Narrow" w:hAnsi="Arial Narrow" w:cs="Times New Roman"/>
                <w:color w:val="000000"/>
                <w:sz w:val="20"/>
                <w:highlight w:val="black"/>
              </w:rPr>
            </w:pPr>
            <w:r>
              <w:rPr>
                <w:rFonts w:ascii="Arial Narrow" w:hAnsi="Arial Narrow" w:cs="Times New Roman"/>
                <w:noProof/>
                <w:color w:val="000000"/>
                <w:sz w:val="20"/>
                <w:highlight w:val="black"/>
              </w:rPr>
              <w:t>'''''''''</w:t>
            </w:r>
            <w:r w:rsidR="001177D6" w:rsidRPr="00A54692">
              <w:rPr>
                <w:rFonts w:ascii="Arial Narrow" w:hAnsi="Arial Narrow" w:cs="Times New Roman"/>
                <w:color w:val="000000"/>
                <w:sz w:val="20"/>
                <w:highlight w:val="black"/>
              </w:rPr>
              <w:t xml:space="preserve"> </w:t>
            </w:r>
          </w:p>
        </w:tc>
        <w:tc>
          <w:tcPr>
            <w:tcW w:w="821" w:type="pct"/>
            <w:noWrap/>
            <w:vAlign w:val="center"/>
          </w:tcPr>
          <w:p w:rsidR="001177D6" w:rsidRPr="00A54692" w:rsidRDefault="00A54692" w:rsidP="001F4EE5">
            <w:pPr>
              <w:jc w:val="right"/>
              <w:rPr>
                <w:rFonts w:ascii="Arial Narrow" w:hAnsi="Arial Narrow" w:cs="Times New Roman"/>
                <w:color w:val="000000"/>
                <w:sz w:val="20"/>
                <w:highlight w:val="black"/>
              </w:rPr>
            </w:pPr>
            <w:r>
              <w:rPr>
                <w:rFonts w:ascii="Arial Narrow" w:hAnsi="Arial Narrow" w:cs="Times New Roman"/>
                <w:noProof/>
                <w:color w:val="000000"/>
                <w:sz w:val="20"/>
                <w:highlight w:val="black"/>
              </w:rPr>
              <w:t>'''''''''</w:t>
            </w:r>
            <w:r w:rsidR="001177D6" w:rsidRPr="00A54692">
              <w:rPr>
                <w:rFonts w:ascii="Arial Narrow" w:hAnsi="Arial Narrow" w:cs="Times New Roman"/>
                <w:color w:val="000000"/>
                <w:sz w:val="20"/>
                <w:highlight w:val="black"/>
              </w:rPr>
              <w:t xml:space="preserve"> </w:t>
            </w:r>
          </w:p>
        </w:tc>
        <w:tc>
          <w:tcPr>
            <w:tcW w:w="823" w:type="pct"/>
            <w:noWrap/>
            <w:vAlign w:val="center"/>
          </w:tcPr>
          <w:p w:rsidR="001177D6" w:rsidRPr="00A54692" w:rsidRDefault="00A54692" w:rsidP="001F4EE5">
            <w:pPr>
              <w:jc w:val="right"/>
              <w:rPr>
                <w:rFonts w:ascii="Arial Narrow" w:hAnsi="Arial Narrow" w:cs="Times New Roman"/>
                <w:color w:val="000000"/>
                <w:sz w:val="20"/>
                <w:highlight w:val="black"/>
              </w:rPr>
            </w:pPr>
            <w:r>
              <w:rPr>
                <w:rFonts w:ascii="Arial Narrow" w:hAnsi="Arial Narrow" w:cs="Times New Roman"/>
                <w:noProof/>
                <w:color w:val="000000"/>
                <w:sz w:val="20"/>
                <w:highlight w:val="black"/>
              </w:rPr>
              <w:t>''''''''''</w:t>
            </w:r>
            <w:r w:rsidR="001177D6" w:rsidRPr="00A54692">
              <w:rPr>
                <w:rFonts w:ascii="Arial Narrow" w:hAnsi="Arial Narrow" w:cs="Times New Roman"/>
                <w:color w:val="000000"/>
                <w:sz w:val="20"/>
                <w:highlight w:val="black"/>
              </w:rPr>
              <w:t xml:space="preserve"> </w:t>
            </w:r>
          </w:p>
        </w:tc>
      </w:tr>
      <w:tr w:rsidR="001177D6" w:rsidRPr="00134905" w:rsidTr="00A60E1C">
        <w:tc>
          <w:tcPr>
            <w:tcW w:w="894" w:type="pct"/>
            <w:vAlign w:val="center"/>
          </w:tcPr>
          <w:p w:rsidR="001177D6" w:rsidRPr="00134905" w:rsidRDefault="001177D6" w:rsidP="001F4EE5">
            <w:pPr>
              <w:ind w:left="142"/>
              <w:jc w:val="left"/>
              <w:rPr>
                <w:rFonts w:ascii="Arial Narrow" w:hAnsi="Arial Narrow" w:cs="Times New Roman"/>
                <w:snapToGrid/>
                <w:sz w:val="20"/>
                <w:lang w:eastAsia="en-AU"/>
              </w:rPr>
            </w:pPr>
            <w:r w:rsidRPr="00134905">
              <w:rPr>
                <w:rFonts w:ascii="Arial Narrow" w:hAnsi="Arial Narrow" w:cs="Times New Roman"/>
                <w:snapToGrid/>
                <w:sz w:val="20"/>
                <w:lang w:eastAsia="en-AU"/>
              </w:rPr>
              <w:t>Net total cost</w:t>
            </w:r>
          </w:p>
        </w:tc>
        <w:tc>
          <w:tcPr>
            <w:tcW w:w="821" w:type="pct"/>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sz w:val="20"/>
              </w:rPr>
              <w:t>$</w:t>
            </w:r>
            <w:r w:rsidR="00A54692">
              <w:rPr>
                <w:rFonts w:ascii="Arial Narrow" w:hAnsi="Arial Narrow" w:cs="Times New Roman"/>
                <w:noProof/>
                <w:color w:val="000000"/>
                <w:sz w:val="20"/>
                <w:highlight w:val="black"/>
              </w:rPr>
              <w:t>''''''''''''''''''''''''''</w:t>
            </w:r>
          </w:p>
        </w:tc>
        <w:tc>
          <w:tcPr>
            <w:tcW w:w="821" w:type="pct"/>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sz w:val="20"/>
              </w:rPr>
              <w:t>$</w:t>
            </w:r>
            <w:r w:rsidR="00A54692">
              <w:rPr>
                <w:rFonts w:ascii="Arial Narrow" w:hAnsi="Arial Narrow" w:cs="Times New Roman"/>
                <w:noProof/>
                <w:color w:val="000000"/>
                <w:sz w:val="20"/>
                <w:highlight w:val="black"/>
              </w:rPr>
              <w:t>'''''''''''''''''''''''''</w:t>
            </w:r>
          </w:p>
        </w:tc>
        <w:tc>
          <w:tcPr>
            <w:tcW w:w="821" w:type="pct"/>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sz w:val="20"/>
              </w:rPr>
              <w:t>$</w:t>
            </w:r>
            <w:r w:rsidR="00A54692">
              <w:rPr>
                <w:rFonts w:ascii="Arial Narrow" w:hAnsi="Arial Narrow" w:cs="Times New Roman"/>
                <w:noProof/>
                <w:color w:val="000000"/>
                <w:sz w:val="20"/>
                <w:highlight w:val="black"/>
              </w:rPr>
              <w:t>'''''''''''''''''''''''</w:t>
            </w:r>
          </w:p>
        </w:tc>
        <w:tc>
          <w:tcPr>
            <w:tcW w:w="821" w:type="pct"/>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sz w:val="20"/>
              </w:rPr>
              <w:t>$</w:t>
            </w:r>
            <w:r w:rsidR="00A54692">
              <w:rPr>
                <w:rFonts w:ascii="Arial Narrow" w:hAnsi="Arial Narrow" w:cs="Times New Roman"/>
                <w:noProof/>
                <w:color w:val="000000"/>
                <w:sz w:val="20"/>
                <w:highlight w:val="black"/>
              </w:rPr>
              <w:t>''''''''''''''''''''''''</w:t>
            </w:r>
          </w:p>
        </w:tc>
        <w:tc>
          <w:tcPr>
            <w:tcW w:w="823" w:type="pct"/>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sz w:val="20"/>
              </w:rPr>
              <w:t>$</w:t>
            </w:r>
            <w:r w:rsidR="00A54692">
              <w:rPr>
                <w:rFonts w:ascii="Arial Narrow" w:hAnsi="Arial Narrow" w:cs="Times New Roman"/>
                <w:noProof/>
                <w:color w:val="000000"/>
                <w:sz w:val="20"/>
                <w:highlight w:val="black"/>
              </w:rPr>
              <w:t>'''''''''''''''''''''''</w:t>
            </w:r>
          </w:p>
        </w:tc>
      </w:tr>
      <w:tr w:rsidR="001177D6" w:rsidRPr="00134905" w:rsidTr="00A60E1C">
        <w:tc>
          <w:tcPr>
            <w:tcW w:w="894" w:type="pct"/>
            <w:vAlign w:val="center"/>
          </w:tcPr>
          <w:p w:rsidR="001177D6" w:rsidRPr="00134905" w:rsidRDefault="001177D6" w:rsidP="001F4EE5">
            <w:pPr>
              <w:ind w:left="142"/>
              <w:jc w:val="left"/>
              <w:rPr>
                <w:rFonts w:ascii="Arial Narrow" w:hAnsi="Arial Narrow" w:cs="Times New Roman"/>
                <w:snapToGrid/>
                <w:sz w:val="20"/>
                <w:lang w:eastAsia="en-AU"/>
              </w:rPr>
            </w:pPr>
            <w:r w:rsidRPr="00134905">
              <w:rPr>
                <w:rFonts w:ascii="Arial Narrow" w:hAnsi="Arial Narrow" w:cs="Times New Roman"/>
                <w:snapToGrid/>
                <w:sz w:val="20"/>
                <w:lang w:eastAsia="en-AU"/>
              </w:rPr>
              <w:t>Net patients co-payments</w:t>
            </w:r>
          </w:p>
        </w:tc>
        <w:tc>
          <w:tcPr>
            <w:tcW w:w="821" w:type="pct"/>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sz w:val="20"/>
              </w:rPr>
              <w:t>-$</w:t>
            </w:r>
            <w:r w:rsidR="00A54692">
              <w:rPr>
                <w:rFonts w:ascii="Arial Narrow" w:hAnsi="Arial Narrow" w:cs="Times New Roman"/>
                <w:noProof/>
                <w:color w:val="000000"/>
                <w:sz w:val="20"/>
                <w:highlight w:val="black"/>
              </w:rPr>
              <w:t>'''''''''''''''</w:t>
            </w:r>
          </w:p>
        </w:tc>
        <w:tc>
          <w:tcPr>
            <w:tcW w:w="821" w:type="pct"/>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sz w:val="20"/>
              </w:rPr>
              <w:t>-$</w:t>
            </w:r>
            <w:r w:rsidR="00A54692">
              <w:rPr>
                <w:rFonts w:ascii="Arial Narrow" w:hAnsi="Arial Narrow" w:cs="Times New Roman"/>
                <w:noProof/>
                <w:color w:val="000000"/>
                <w:sz w:val="20"/>
                <w:highlight w:val="black"/>
              </w:rPr>
              <w:t>''''''''''''''''</w:t>
            </w:r>
          </w:p>
        </w:tc>
        <w:tc>
          <w:tcPr>
            <w:tcW w:w="821" w:type="pct"/>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sz w:val="20"/>
              </w:rPr>
              <w:t>-$</w:t>
            </w:r>
            <w:r w:rsidR="00A54692">
              <w:rPr>
                <w:rFonts w:ascii="Arial Narrow" w:hAnsi="Arial Narrow" w:cs="Times New Roman"/>
                <w:noProof/>
                <w:color w:val="000000"/>
                <w:sz w:val="20"/>
                <w:highlight w:val="black"/>
              </w:rPr>
              <w:t>''''''''''''''''</w:t>
            </w:r>
          </w:p>
        </w:tc>
        <w:tc>
          <w:tcPr>
            <w:tcW w:w="821" w:type="pct"/>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sz w:val="20"/>
              </w:rPr>
              <w:t>-$</w:t>
            </w:r>
            <w:r w:rsidR="00A54692">
              <w:rPr>
                <w:rFonts w:ascii="Arial Narrow" w:hAnsi="Arial Narrow" w:cs="Times New Roman"/>
                <w:noProof/>
                <w:color w:val="000000"/>
                <w:sz w:val="20"/>
                <w:highlight w:val="black"/>
              </w:rPr>
              <w:t>''''''''''''''''</w:t>
            </w:r>
          </w:p>
        </w:tc>
        <w:tc>
          <w:tcPr>
            <w:tcW w:w="823" w:type="pct"/>
            <w:noWrap/>
            <w:vAlign w:val="bottom"/>
          </w:tcPr>
          <w:p w:rsidR="001177D6" w:rsidRPr="00134905" w:rsidRDefault="001177D6" w:rsidP="001F4EE5">
            <w:pPr>
              <w:jc w:val="right"/>
              <w:rPr>
                <w:rFonts w:ascii="Arial Narrow" w:hAnsi="Arial Narrow" w:cs="Times New Roman"/>
                <w:sz w:val="20"/>
              </w:rPr>
            </w:pPr>
            <w:r w:rsidRPr="00134905">
              <w:rPr>
                <w:rFonts w:ascii="Arial Narrow" w:hAnsi="Arial Narrow" w:cs="Times New Roman"/>
                <w:sz w:val="20"/>
              </w:rPr>
              <w:t>-$</w:t>
            </w:r>
            <w:r w:rsidR="00A54692">
              <w:rPr>
                <w:rFonts w:ascii="Arial Narrow" w:hAnsi="Arial Narrow" w:cs="Times New Roman"/>
                <w:noProof/>
                <w:color w:val="000000"/>
                <w:sz w:val="20"/>
                <w:highlight w:val="black"/>
              </w:rPr>
              <w:t>'''''''''''''''</w:t>
            </w:r>
          </w:p>
        </w:tc>
      </w:tr>
      <w:tr w:rsidR="001177D6" w:rsidRPr="00AD4335" w:rsidTr="00A60E1C">
        <w:tc>
          <w:tcPr>
            <w:tcW w:w="894" w:type="pct"/>
            <w:vAlign w:val="center"/>
          </w:tcPr>
          <w:p w:rsidR="001177D6" w:rsidRPr="00134905" w:rsidRDefault="001177D6" w:rsidP="001F4EE5">
            <w:pPr>
              <w:jc w:val="left"/>
              <w:rPr>
                <w:rFonts w:ascii="Arial Narrow" w:hAnsi="Arial Narrow" w:cs="Times New Roman"/>
                <w:snapToGrid/>
                <w:sz w:val="20"/>
                <w:lang w:eastAsia="en-AU"/>
              </w:rPr>
            </w:pPr>
            <w:r w:rsidRPr="00134905">
              <w:rPr>
                <w:rFonts w:ascii="Arial Narrow" w:hAnsi="Arial Narrow" w:cs="Times New Roman"/>
                <w:b/>
                <w:snapToGrid/>
                <w:sz w:val="20"/>
                <w:lang w:eastAsia="en-AU"/>
              </w:rPr>
              <w:t>Net cost to the PBS/RPBS</w:t>
            </w:r>
          </w:p>
        </w:tc>
        <w:tc>
          <w:tcPr>
            <w:tcW w:w="821" w:type="pct"/>
            <w:noWrap/>
            <w:vAlign w:val="bottom"/>
          </w:tcPr>
          <w:p w:rsidR="001177D6" w:rsidRPr="00134905" w:rsidRDefault="001177D6" w:rsidP="001F4EE5">
            <w:pPr>
              <w:jc w:val="right"/>
              <w:rPr>
                <w:rFonts w:ascii="Arial Narrow" w:hAnsi="Arial Narrow" w:cs="Times New Roman"/>
                <w:b/>
                <w:sz w:val="20"/>
              </w:rPr>
            </w:pPr>
            <w:r w:rsidRPr="00134905">
              <w:rPr>
                <w:rFonts w:ascii="Arial Narrow" w:hAnsi="Arial Narrow" w:cs="Times New Roman"/>
                <w:b/>
                <w:sz w:val="20"/>
              </w:rPr>
              <w:t>$</w:t>
            </w:r>
            <w:r w:rsidR="00A54692">
              <w:rPr>
                <w:rFonts w:ascii="Arial Narrow" w:hAnsi="Arial Narrow" w:cs="Times New Roman"/>
                <w:b/>
                <w:noProof/>
                <w:color w:val="000000"/>
                <w:sz w:val="20"/>
                <w:highlight w:val="black"/>
              </w:rPr>
              <w:t>''''''''''''''''''''</w:t>
            </w:r>
          </w:p>
        </w:tc>
        <w:tc>
          <w:tcPr>
            <w:tcW w:w="821" w:type="pct"/>
            <w:noWrap/>
            <w:vAlign w:val="bottom"/>
          </w:tcPr>
          <w:p w:rsidR="001177D6" w:rsidRPr="00134905" w:rsidRDefault="001177D6" w:rsidP="001F4EE5">
            <w:pPr>
              <w:jc w:val="right"/>
              <w:rPr>
                <w:rFonts w:ascii="Arial Narrow" w:hAnsi="Arial Narrow" w:cs="Times New Roman"/>
                <w:b/>
                <w:sz w:val="20"/>
              </w:rPr>
            </w:pPr>
            <w:r w:rsidRPr="00134905">
              <w:rPr>
                <w:rFonts w:ascii="Arial Narrow" w:hAnsi="Arial Narrow" w:cs="Times New Roman"/>
                <w:b/>
                <w:sz w:val="20"/>
              </w:rPr>
              <w:t>$</w:t>
            </w:r>
            <w:r w:rsidR="00A54692">
              <w:rPr>
                <w:rFonts w:ascii="Arial Narrow" w:hAnsi="Arial Narrow" w:cs="Times New Roman"/>
                <w:b/>
                <w:noProof/>
                <w:color w:val="000000"/>
                <w:sz w:val="20"/>
                <w:highlight w:val="black"/>
              </w:rPr>
              <w:t>''''''''''''''''''</w:t>
            </w:r>
          </w:p>
        </w:tc>
        <w:tc>
          <w:tcPr>
            <w:tcW w:w="821" w:type="pct"/>
            <w:noWrap/>
            <w:vAlign w:val="bottom"/>
          </w:tcPr>
          <w:p w:rsidR="001177D6" w:rsidRPr="00134905" w:rsidRDefault="001177D6" w:rsidP="001F4EE5">
            <w:pPr>
              <w:jc w:val="right"/>
              <w:rPr>
                <w:rFonts w:ascii="Arial Narrow" w:hAnsi="Arial Narrow" w:cs="Times New Roman"/>
                <w:b/>
                <w:sz w:val="20"/>
              </w:rPr>
            </w:pPr>
            <w:r w:rsidRPr="00134905">
              <w:rPr>
                <w:rFonts w:ascii="Arial Narrow" w:hAnsi="Arial Narrow" w:cs="Times New Roman"/>
                <w:b/>
                <w:sz w:val="20"/>
              </w:rPr>
              <w:t>$</w:t>
            </w:r>
            <w:r w:rsidR="00A54692">
              <w:rPr>
                <w:rFonts w:ascii="Arial Narrow" w:hAnsi="Arial Narrow" w:cs="Times New Roman"/>
                <w:b/>
                <w:noProof/>
                <w:color w:val="000000"/>
                <w:sz w:val="20"/>
                <w:highlight w:val="black"/>
              </w:rPr>
              <w:t>'''''''''''''''''''''</w:t>
            </w:r>
          </w:p>
        </w:tc>
        <w:tc>
          <w:tcPr>
            <w:tcW w:w="821" w:type="pct"/>
            <w:noWrap/>
            <w:vAlign w:val="bottom"/>
          </w:tcPr>
          <w:p w:rsidR="001177D6" w:rsidRPr="00134905" w:rsidRDefault="001177D6" w:rsidP="001F4EE5">
            <w:pPr>
              <w:jc w:val="right"/>
              <w:rPr>
                <w:rFonts w:ascii="Arial Narrow" w:hAnsi="Arial Narrow" w:cs="Times New Roman"/>
                <w:b/>
                <w:sz w:val="20"/>
              </w:rPr>
            </w:pPr>
            <w:r w:rsidRPr="00134905">
              <w:rPr>
                <w:rFonts w:ascii="Arial Narrow" w:hAnsi="Arial Narrow" w:cs="Times New Roman"/>
                <w:b/>
                <w:sz w:val="20"/>
              </w:rPr>
              <w:t>$</w:t>
            </w:r>
            <w:r w:rsidR="00A54692">
              <w:rPr>
                <w:rFonts w:ascii="Arial Narrow" w:hAnsi="Arial Narrow" w:cs="Times New Roman"/>
                <w:b/>
                <w:noProof/>
                <w:color w:val="000000"/>
                <w:sz w:val="20"/>
                <w:highlight w:val="black"/>
              </w:rPr>
              <w:t>''''''''''''''''''</w:t>
            </w:r>
          </w:p>
        </w:tc>
        <w:tc>
          <w:tcPr>
            <w:tcW w:w="823" w:type="pct"/>
            <w:noWrap/>
            <w:vAlign w:val="bottom"/>
          </w:tcPr>
          <w:p w:rsidR="001177D6" w:rsidRPr="00AD4335" w:rsidRDefault="001177D6" w:rsidP="001F4EE5">
            <w:pPr>
              <w:jc w:val="right"/>
              <w:rPr>
                <w:rFonts w:ascii="Arial Narrow" w:hAnsi="Arial Narrow" w:cs="Times New Roman"/>
                <w:b/>
                <w:sz w:val="20"/>
              </w:rPr>
            </w:pPr>
            <w:r w:rsidRPr="00134905">
              <w:rPr>
                <w:rFonts w:ascii="Arial Narrow" w:hAnsi="Arial Narrow" w:cs="Times New Roman"/>
                <w:b/>
                <w:sz w:val="20"/>
              </w:rPr>
              <w:t>$</w:t>
            </w:r>
            <w:r w:rsidR="00A54692">
              <w:rPr>
                <w:rFonts w:ascii="Arial Narrow" w:hAnsi="Arial Narrow" w:cs="Times New Roman"/>
                <w:b/>
                <w:noProof/>
                <w:color w:val="000000"/>
                <w:sz w:val="20"/>
                <w:highlight w:val="black"/>
              </w:rPr>
              <w:t>''''''''''''''''''</w:t>
            </w:r>
          </w:p>
        </w:tc>
      </w:tr>
    </w:tbl>
    <w:p w:rsidR="001177D6" w:rsidRPr="00011BBD" w:rsidRDefault="001177D6" w:rsidP="00A60E1C">
      <w:pPr>
        <w:ind w:left="709"/>
        <w:rPr>
          <w:rFonts w:ascii="Arial Narrow" w:hAnsi="Arial Narrow"/>
          <w:sz w:val="18"/>
        </w:rPr>
      </w:pPr>
      <w:r w:rsidRPr="00011BBD">
        <w:rPr>
          <w:rFonts w:ascii="Arial Narrow" w:hAnsi="Arial Narrow"/>
          <w:sz w:val="18"/>
        </w:rPr>
        <w:t>ASV = asunaprevir; DCV = daclatasvir; PBS = Pharmaceutical Benefits Scheme; RPBS = Repatriation Pharmaceutical Benefits Scheme</w:t>
      </w:r>
    </w:p>
    <w:p w:rsidR="00F437AB" w:rsidRPr="00011BBD" w:rsidRDefault="001177D6" w:rsidP="00A60E1C">
      <w:pPr>
        <w:pStyle w:val="ListParagraph"/>
        <w:widowControl/>
        <w:ind w:left="709"/>
        <w:rPr>
          <w:rFonts w:ascii="Arial Narrow" w:hAnsi="Arial Narrow"/>
          <w:sz w:val="18"/>
        </w:rPr>
      </w:pPr>
      <w:r w:rsidRPr="00011BBD">
        <w:rPr>
          <w:rFonts w:ascii="Arial Narrow" w:hAnsi="Arial Narrow"/>
          <w:sz w:val="18"/>
        </w:rPr>
        <w:t>Source: Table 149, p294 of the submission; Excel workbook “Section E DCV Primary Analysis” and Commentary on the Main Submission Table E(II).4.1 p162</w:t>
      </w:r>
    </w:p>
    <w:p w:rsidR="00F437AB" w:rsidRPr="00AD4335" w:rsidRDefault="00F437AB" w:rsidP="00F437AB">
      <w:pPr>
        <w:pStyle w:val="ListParagraph"/>
        <w:widowControl/>
        <w:ind w:left="0"/>
        <w:rPr>
          <w:rFonts w:ascii="Arial Narrow" w:hAnsi="Arial Narrow"/>
          <w:sz w:val="20"/>
        </w:rPr>
      </w:pPr>
    </w:p>
    <w:p w:rsidR="00F437AB" w:rsidRPr="00AD4335" w:rsidRDefault="00F437AB" w:rsidP="00F437AB">
      <w:pPr>
        <w:pStyle w:val="ListParagraph"/>
        <w:widowControl/>
        <w:numPr>
          <w:ilvl w:val="1"/>
          <w:numId w:val="1"/>
        </w:numPr>
      </w:pPr>
      <w:r w:rsidRPr="00AD4335">
        <w:rPr>
          <w:szCs w:val="22"/>
        </w:rPr>
        <w:t xml:space="preserve">DUSC considered that in the context of prescribing continuing through tertiary specialist settings, the estimated treated population is reasonable. However, DUSC considered that should DCV+ASV be the only interferon-free regimen, the treated </w:t>
      </w:r>
      <w:r w:rsidRPr="00AD4335">
        <w:rPr>
          <w:szCs w:val="22"/>
        </w:rPr>
        <w:lastRenderedPageBreak/>
        <w:t>population could be greater if genotype 1b may become a comparatively larger portion of patients who are actively treated.</w:t>
      </w:r>
    </w:p>
    <w:p w:rsidR="00F437AB" w:rsidRPr="00AD4335" w:rsidRDefault="00F437AB" w:rsidP="00F437AB">
      <w:pPr>
        <w:pStyle w:val="ListParagraph"/>
        <w:widowControl/>
      </w:pPr>
    </w:p>
    <w:p w:rsidR="00F437AB" w:rsidRPr="00AD4335" w:rsidRDefault="00F437AB" w:rsidP="00F437AB">
      <w:pPr>
        <w:pStyle w:val="ListParagraph"/>
        <w:widowControl/>
        <w:numPr>
          <w:ilvl w:val="1"/>
          <w:numId w:val="1"/>
        </w:numPr>
      </w:pPr>
      <w:r w:rsidRPr="00AD4335">
        <w:rPr>
          <w:szCs w:val="22"/>
        </w:rPr>
        <w:t>DUSC considered that the cost off-sets for substituted treatment were overestimated. The submission’s assumption of a 10% annual growth in the treatment rate for the existing interferon-containing regimens until 2017 with a reduction in the rate to 2.6% over the remaining forward estimates period was considered to be unlikely because patients are deferring treatment in anticipation of the availability of oral, interferon-free regimens.</w:t>
      </w:r>
    </w:p>
    <w:p w:rsidR="00F437AB" w:rsidRPr="00AD4335" w:rsidRDefault="00F437AB" w:rsidP="00F437AB">
      <w:pPr>
        <w:pStyle w:val="ListParagraph"/>
      </w:pPr>
    </w:p>
    <w:p w:rsidR="00F437AB" w:rsidRPr="00AD4335" w:rsidRDefault="00F437AB" w:rsidP="00F437AB">
      <w:pPr>
        <w:pStyle w:val="ListParagraph"/>
        <w:widowControl/>
        <w:numPr>
          <w:ilvl w:val="1"/>
          <w:numId w:val="1"/>
        </w:numPr>
      </w:pPr>
      <w:r w:rsidRPr="00AD4335">
        <w:rPr>
          <w:szCs w:val="22"/>
        </w:rPr>
        <w:t>The net cost to government for the proposed listing of DCV+ASV is summarised in the following table.</w:t>
      </w:r>
    </w:p>
    <w:p w:rsidR="00F437AB" w:rsidRPr="00AD4335" w:rsidRDefault="00F437AB" w:rsidP="00F437AB">
      <w:pPr>
        <w:pStyle w:val="ListParagraph"/>
      </w:pPr>
    </w:p>
    <w:p w:rsidR="00F437AB" w:rsidRPr="00AD4335" w:rsidRDefault="00F437AB" w:rsidP="00011BBD">
      <w:pPr>
        <w:ind w:firstLine="720"/>
        <w:rPr>
          <w:sz w:val="20"/>
        </w:rPr>
      </w:pPr>
      <w:r w:rsidRPr="00AD4335">
        <w:rPr>
          <w:b/>
          <w:sz w:val="20"/>
        </w:rPr>
        <w:t>Estimated net financial implications for the Government health budget</w:t>
      </w:r>
    </w:p>
    <w:tbl>
      <w:tblPr>
        <w:tblStyle w:val="TableGrid"/>
        <w:tblW w:w="4559" w:type="pct"/>
        <w:tblInd w:w="817" w:type="dxa"/>
        <w:tblLook w:val="04A0" w:firstRow="1" w:lastRow="0" w:firstColumn="1" w:lastColumn="0" w:noHBand="0" w:noVBand="1"/>
        <w:tblCaption w:val="Estimated net financial implications for the Government health budget"/>
        <w:tblDescription w:val="Year 1 to 5"/>
      </w:tblPr>
      <w:tblGrid>
        <w:gridCol w:w="1471"/>
        <w:gridCol w:w="1390"/>
        <w:gridCol w:w="1390"/>
        <w:gridCol w:w="1392"/>
        <w:gridCol w:w="1392"/>
        <w:gridCol w:w="1392"/>
      </w:tblGrid>
      <w:tr w:rsidR="00F437AB" w:rsidRPr="00AD4335" w:rsidTr="00A60E1C">
        <w:tc>
          <w:tcPr>
            <w:tcW w:w="872" w:type="pct"/>
            <w:noWrap/>
            <w:hideMark/>
          </w:tcPr>
          <w:p w:rsidR="00F437AB" w:rsidRPr="00AD4335" w:rsidRDefault="00F437AB" w:rsidP="00F437AB">
            <w:pPr>
              <w:rPr>
                <w:rFonts w:ascii="Arial Narrow" w:hAnsi="Arial Narrow" w:cs="Times New Roman"/>
                <w:b/>
                <w:snapToGrid/>
                <w:sz w:val="20"/>
                <w:lang w:eastAsia="en-AU"/>
              </w:rPr>
            </w:pPr>
          </w:p>
        </w:tc>
        <w:tc>
          <w:tcPr>
            <w:tcW w:w="825" w:type="pct"/>
            <w:noWrap/>
            <w:vAlign w:val="center"/>
            <w:hideMark/>
          </w:tcPr>
          <w:p w:rsidR="00F437AB" w:rsidRPr="00AD4335" w:rsidRDefault="00F437AB" w:rsidP="00F437AB">
            <w:pPr>
              <w:jc w:val="center"/>
              <w:rPr>
                <w:rFonts w:ascii="Arial Narrow" w:hAnsi="Arial Narrow" w:cs="Times New Roman"/>
                <w:b/>
                <w:snapToGrid/>
                <w:sz w:val="20"/>
                <w:lang w:eastAsia="en-AU"/>
              </w:rPr>
            </w:pPr>
            <w:r w:rsidRPr="00AD4335">
              <w:rPr>
                <w:rFonts w:ascii="Arial Narrow" w:hAnsi="Arial Narrow" w:cs="Times New Roman"/>
                <w:b/>
                <w:snapToGrid/>
                <w:sz w:val="20"/>
                <w:lang w:eastAsia="en-AU"/>
              </w:rPr>
              <w:t>Year 1</w:t>
            </w:r>
          </w:p>
        </w:tc>
        <w:tc>
          <w:tcPr>
            <w:tcW w:w="825" w:type="pct"/>
            <w:noWrap/>
            <w:vAlign w:val="center"/>
            <w:hideMark/>
          </w:tcPr>
          <w:p w:rsidR="00F437AB" w:rsidRPr="00AD4335" w:rsidRDefault="00F437AB" w:rsidP="00F437AB">
            <w:pPr>
              <w:jc w:val="center"/>
              <w:rPr>
                <w:rFonts w:ascii="Arial Narrow" w:hAnsi="Arial Narrow" w:cs="Times New Roman"/>
                <w:b/>
                <w:snapToGrid/>
                <w:sz w:val="20"/>
                <w:lang w:eastAsia="en-AU"/>
              </w:rPr>
            </w:pPr>
            <w:r w:rsidRPr="00AD4335">
              <w:rPr>
                <w:rFonts w:ascii="Arial Narrow" w:hAnsi="Arial Narrow" w:cs="Times New Roman"/>
                <w:b/>
                <w:snapToGrid/>
                <w:sz w:val="20"/>
                <w:lang w:eastAsia="en-AU"/>
              </w:rPr>
              <w:t>Year 2</w:t>
            </w:r>
          </w:p>
        </w:tc>
        <w:tc>
          <w:tcPr>
            <w:tcW w:w="826" w:type="pct"/>
            <w:noWrap/>
            <w:vAlign w:val="center"/>
            <w:hideMark/>
          </w:tcPr>
          <w:p w:rsidR="00F437AB" w:rsidRPr="00AD4335" w:rsidRDefault="00F437AB" w:rsidP="00F437AB">
            <w:pPr>
              <w:jc w:val="center"/>
              <w:rPr>
                <w:rFonts w:ascii="Arial Narrow" w:hAnsi="Arial Narrow" w:cs="Times New Roman"/>
                <w:b/>
                <w:snapToGrid/>
                <w:sz w:val="20"/>
                <w:lang w:eastAsia="en-AU"/>
              </w:rPr>
            </w:pPr>
            <w:r w:rsidRPr="00AD4335">
              <w:rPr>
                <w:rFonts w:ascii="Arial Narrow" w:hAnsi="Arial Narrow" w:cs="Times New Roman"/>
                <w:b/>
                <w:snapToGrid/>
                <w:sz w:val="20"/>
                <w:lang w:eastAsia="en-AU"/>
              </w:rPr>
              <w:t>Year 3</w:t>
            </w:r>
          </w:p>
        </w:tc>
        <w:tc>
          <w:tcPr>
            <w:tcW w:w="826" w:type="pct"/>
            <w:noWrap/>
            <w:vAlign w:val="center"/>
            <w:hideMark/>
          </w:tcPr>
          <w:p w:rsidR="00F437AB" w:rsidRPr="00AD4335" w:rsidRDefault="00F437AB" w:rsidP="00F437AB">
            <w:pPr>
              <w:jc w:val="center"/>
              <w:rPr>
                <w:rFonts w:ascii="Arial Narrow" w:hAnsi="Arial Narrow" w:cs="Times New Roman"/>
                <w:b/>
                <w:snapToGrid/>
                <w:sz w:val="20"/>
                <w:lang w:eastAsia="en-AU"/>
              </w:rPr>
            </w:pPr>
            <w:r w:rsidRPr="00AD4335">
              <w:rPr>
                <w:rFonts w:ascii="Arial Narrow" w:hAnsi="Arial Narrow" w:cs="Times New Roman"/>
                <w:b/>
                <w:snapToGrid/>
                <w:sz w:val="20"/>
                <w:lang w:eastAsia="en-AU"/>
              </w:rPr>
              <w:t>Year 4</w:t>
            </w:r>
          </w:p>
        </w:tc>
        <w:tc>
          <w:tcPr>
            <w:tcW w:w="826" w:type="pct"/>
            <w:noWrap/>
            <w:vAlign w:val="center"/>
            <w:hideMark/>
          </w:tcPr>
          <w:p w:rsidR="00F437AB" w:rsidRPr="00AD4335" w:rsidRDefault="00F437AB" w:rsidP="00F437AB">
            <w:pPr>
              <w:jc w:val="center"/>
              <w:rPr>
                <w:rFonts w:ascii="Arial Narrow" w:hAnsi="Arial Narrow" w:cs="Times New Roman"/>
                <w:b/>
                <w:snapToGrid/>
                <w:sz w:val="20"/>
                <w:lang w:eastAsia="en-AU"/>
              </w:rPr>
            </w:pPr>
            <w:r w:rsidRPr="00AD4335">
              <w:rPr>
                <w:rFonts w:ascii="Arial Narrow" w:hAnsi="Arial Narrow" w:cs="Times New Roman"/>
                <w:b/>
                <w:snapToGrid/>
                <w:sz w:val="20"/>
                <w:lang w:eastAsia="en-AU"/>
              </w:rPr>
              <w:t>Year 5</w:t>
            </w:r>
          </w:p>
        </w:tc>
      </w:tr>
      <w:tr w:rsidR="00F437AB" w:rsidRPr="00AD4335" w:rsidTr="00A60E1C">
        <w:tc>
          <w:tcPr>
            <w:tcW w:w="872" w:type="pct"/>
            <w:vAlign w:val="center"/>
          </w:tcPr>
          <w:p w:rsidR="00F437AB" w:rsidRPr="00AD4335" w:rsidRDefault="00F437AB" w:rsidP="00F437AB">
            <w:pPr>
              <w:jc w:val="left"/>
              <w:rPr>
                <w:rFonts w:ascii="Arial Narrow" w:hAnsi="Arial Narrow" w:cs="Times New Roman"/>
                <w:snapToGrid/>
                <w:sz w:val="20"/>
                <w:lang w:eastAsia="en-AU"/>
              </w:rPr>
            </w:pPr>
            <w:r w:rsidRPr="00AD4335">
              <w:rPr>
                <w:rFonts w:ascii="Arial Narrow" w:hAnsi="Arial Narrow" w:cs="Times New Roman"/>
                <w:snapToGrid/>
                <w:sz w:val="20"/>
                <w:lang w:eastAsia="en-AU"/>
              </w:rPr>
              <w:t>Net cost to PBS/RPBS</w:t>
            </w:r>
          </w:p>
        </w:tc>
        <w:tc>
          <w:tcPr>
            <w:tcW w:w="825" w:type="pct"/>
            <w:noWrap/>
            <w:vAlign w:val="bottom"/>
          </w:tcPr>
          <w:p w:rsidR="00F437AB" w:rsidRPr="00AD4335" w:rsidRDefault="00F437AB" w:rsidP="00F437AB">
            <w:pPr>
              <w:jc w:val="right"/>
              <w:rPr>
                <w:rFonts w:ascii="Arial Narrow" w:hAnsi="Arial Narrow" w:cs="Times New Roman"/>
                <w:sz w:val="20"/>
              </w:rPr>
            </w:pPr>
            <w:r w:rsidRPr="00AD4335">
              <w:rPr>
                <w:rFonts w:ascii="Arial Narrow" w:hAnsi="Arial Narrow" w:cs="Times New Roman"/>
                <w:sz w:val="20"/>
              </w:rPr>
              <w:t>$</w:t>
            </w:r>
            <w:r w:rsidR="00A54692">
              <w:rPr>
                <w:rFonts w:ascii="Arial Narrow" w:hAnsi="Arial Narrow" w:cs="Times New Roman"/>
                <w:noProof/>
                <w:color w:val="000000"/>
                <w:sz w:val="20"/>
                <w:highlight w:val="black"/>
              </w:rPr>
              <w:t>''''''''''''''''''''''</w:t>
            </w:r>
          </w:p>
        </w:tc>
        <w:tc>
          <w:tcPr>
            <w:tcW w:w="825" w:type="pct"/>
            <w:noWrap/>
            <w:vAlign w:val="bottom"/>
          </w:tcPr>
          <w:p w:rsidR="00F437AB" w:rsidRPr="00AD4335" w:rsidRDefault="00F437AB" w:rsidP="00F437AB">
            <w:pPr>
              <w:jc w:val="right"/>
              <w:rPr>
                <w:rFonts w:ascii="Arial Narrow" w:hAnsi="Arial Narrow" w:cs="Times New Roman"/>
                <w:sz w:val="20"/>
              </w:rPr>
            </w:pPr>
            <w:r w:rsidRPr="00AD4335">
              <w:rPr>
                <w:rFonts w:ascii="Arial Narrow" w:hAnsi="Arial Narrow" w:cs="Times New Roman"/>
                <w:sz w:val="20"/>
              </w:rPr>
              <w:t>$</w:t>
            </w:r>
            <w:r w:rsidR="00A54692">
              <w:rPr>
                <w:rFonts w:ascii="Arial Narrow" w:hAnsi="Arial Narrow" w:cs="Times New Roman"/>
                <w:noProof/>
                <w:color w:val="000000"/>
                <w:sz w:val="20"/>
                <w:highlight w:val="black"/>
              </w:rPr>
              <w:t>'''''''''''''''''''''</w:t>
            </w:r>
          </w:p>
        </w:tc>
        <w:tc>
          <w:tcPr>
            <w:tcW w:w="826" w:type="pct"/>
            <w:noWrap/>
            <w:vAlign w:val="bottom"/>
          </w:tcPr>
          <w:p w:rsidR="00F437AB" w:rsidRPr="00AD4335" w:rsidRDefault="00F437AB" w:rsidP="00F437AB">
            <w:pPr>
              <w:jc w:val="right"/>
              <w:rPr>
                <w:rFonts w:ascii="Arial Narrow" w:hAnsi="Arial Narrow" w:cs="Times New Roman"/>
                <w:sz w:val="20"/>
              </w:rPr>
            </w:pPr>
            <w:r w:rsidRPr="00AD4335">
              <w:rPr>
                <w:rFonts w:ascii="Arial Narrow" w:hAnsi="Arial Narrow" w:cs="Times New Roman"/>
                <w:sz w:val="20"/>
              </w:rPr>
              <w:t>$</w:t>
            </w:r>
            <w:r w:rsidR="00A54692">
              <w:rPr>
                <w:rFonts w:ascii="Arial Narrow" w:hAnsi="Arial Narrow" w:cs="Times New Roman"/>
                <w:noProof/>
                <w:color w:val="000000"/>
                <w:sz w:val="20"/>
                <w:highlight w:val="black"/>
              </w:rPr>
              <w:t>'''''''''''''''''''''''''</w:t>
            </w:r>
          </w:p>
        </w:tc>
        <w:tc>
          <w:tcPr>
            <w:tcW w:w="826" w:type="pct"/>
            <w:noWrap/>
            <w:vAlign w:val="bottom"/>
          </w:tcPr>
          <w:p w:rsidR="00F437AB" w:rsidRPr="00AD4335" w:rsidRDefault="00F437AB" w:rsidP="00F437AB">
            <w:pPr>
              <w:jc w:val="right"/>
              <w:rPr>
                <w:rFonts w:ascii="Arial Narrow" w:hAnsi="Arial Narrow" w:cs="Times New Roman"/>
                <w:sz w:val="20"/>
              </w:rPr>
            </w:pPr>
            <w:r w:rsidRPr="00AD4335">
              <w:rPr>
                <w:rFonts w:ascii="Arial Narrow" w:hAnsi="Arial Narrow" w:cs="Times New Roman"/>
                <w:sz w:val="20"/>
              </w:rPr>
              <w:t>$</w:t>
            </w:r>
            <w:r w:rsidR="00A54692">
              <w:rPr>
                <w:rFonts w:ascii="Arial Narrow" w:hAnsi="Arial Narrow" w:cs="Times New Roman"/>
                <w:noProof/>
                <w:color w:val="000000"/>
                <w:sz w:val="20"/>
                <w:highlight w:val="black"/>
              </w:rPr>
              <w:t>''''''''''''''''''''''</w:t>
            </w:r>
          </w:p>
        </w:tc>
        <w:tc>
          <w:tcPr>
            <w:tcW w:w="826" w:type="pct"/>
            <w:noWrap/>
            <w:vAlign w:val="bottom"/>
          </w:tcPr>
          <w:p w:rsidR="00F437AB" w:rsidRPr="00AD4335" w:rsidRDefault="00F437AB" w:rsidP="00F437AB">
            <w:pPr>
              <w:jc w:val="right"/>
              <w:rPr>
                <w:rFonts w:ascii="Arial Narrow" w:hAnsi="Arial Narrow" w:cs="Times New Roman"/>
                <w:sz w:val="20"/>
              </w:rPr>
            </w:pPr>
            <w:r w:rsidRPr="00AD4335">
              <w:rPr>
                <w:rFonts w:ascii="Arial Narrow" w:hAnsi="Arial Narrow" w:cs="Times New Roman"/>
                <w:sz w:val="20"/>
              </w:rPr>
              <w:t>$</w:t>
            </w:r>
            <w:r w:rsidR="00A54692">
              <w:rPr>
                <w:rFonts w:ascii="Arial Narrow" w:hAnsi="Arial Narrow" w:cs="Times New Roman"/>
                <w:noProof/>
                <w:color w:val="000000"/>
                <w:sz w:val="20"/>
                <w:highlight w:val="black"/>
              </w:rPr>
              <w:t>''''''''''''''''''''''</w:t>
            </w:r>
          </w:p>
        </w:tc>
      </w:tr>
      <w:tr w:rsidR="00F437AB" w:rsidRPr="00AD4335" w:rsidTr="00A60E1C">
        <w:tc>
          <w:tcPr>
            <w:tcW w:w="872" w:type="pct"/>
            <w:vAlign w:val="center"/>
          </w:tcPr>
          <w:p w:rsidR="00F437AB" w:rsidRPr="00AD4335" w:rsidRDefault="00F437AB" w:rsidP="00F437AB">
            <w:pPr>
              <w:jc w:val="left"/>
              <w:rPr>
                <w:rFonts w:ascii="Arial Narrow" w:hAnsi="Arial Narrow" w:cs="Times New Roman"/>
                <w:snapToGrid/>
                <w:sz w:val="20"/>
                <w:lang w:eastAsia="en-AU"/>
              </w:rPr>
            </w:pPr>
            <w:r w:rsidRPr="00AD4335">
              <w:rPr>
                <w:rFonts w:ascii="Arial Narrow" w:hAnsi="Arial Narrow" w:cs="Times New Roman"/>
                <w:snapToGrid/>
                <w:sz w:val="20"/>
                <w:lang w:eastAsia="en-AU"/>
              </w:rPr>
              <w:t>Net cost to MBS</w:t>
            </w:r>
          </w:p>
        </w:tc>
        <w:tc>
          <w:tcPr>
            <w:tcW w:w="825" w:type="pct"/>
            <w:noWrap/>
            <w:vAlign w:val="bottom"/>
          </w:tcPr>
          <w:p w:rsidR="00F437AB" w:rsidRPr="00AD4335" w:rsidRDefault="00F437AB" w:rsidP="00F437AB">
            <w:pPr>
              <w:jc w:val="right"/>
              <w:rPr>
                <w:rFonts w:ascii="Arial Narrow" w:hAnsi="Arial Narrow" w:cs="Times New Roman"/>
                <w:color w:val="000000"/>
                <w:sz w:val="20"/>
              </w:rPr>
            </w:pPr>
            <w:r w:rsidRPr="00AD4335">
              <w:rPr>
                <w:rFonts w:ascii="Arial Narrow" w:hAnsi="Arial Narrow" w:cs="Times New Roman"/>
                <w:sz w:val="20"/>
              </w:rPr>
              <w:t>-$</w:t>
            </w:r>
            <w:r w:rsidR="00A54692">
              <w:rPr>
                <w:rFonts w:ascii="Arial Narrow" w:hAnsi="Arial Narrow" w:cs="Times New Roman"/>
                <w:noProof/>
                <w:color w:val="000000"/>
                <w:sz w:val="20"/>
                <w:highlight w:val="black"/>
              </w:rPr>
              <w:t>'''''''''''''''''''</w:t>
            </w:r>
          </w:p>
        </w:tc>
        <w:tc>
          <w:tcPr>
            <w:tcW w:w="825" w:type="pct"/>
            <w:noWrap/>
            <w:vAlign w:val="bottom"/>
          </w:tcPr>
          <w:p w:rsidR="00F437AB" w:rsidRPr="00AD4335" w:rsidRDefault="00F437AB" w:rsidP="00F437AB">
            <w:pPr>
              <w:jc w:val="right"/>
              <w:rPr>
                <w:rFonts w:ascii="Arial Narrow" w:hAnsi="Arial Narrow" w:cs="Times New Roman"/>
                <w:color w:val="000000"/>
                <w:sz w:val="20"/>
              </w:rPr>
            </w:pPr>
            <w:r w:rsidRPr="00AD4335">
              <w:rPr>
                <w:rFonts w:ascii="Arial Narrow" w:hAnsi="Arial Narrow" w:cs="Times New Roman"/>
                <w:sz w:val="20"/>
              </w:rPr>
              <w:t>-$</w:t>
            </w:r>
            <w:r w:rsidR="00A54692">
              <w:rPr>
                <w:rFonts w:ascii="Arial Narrow" w:hAnsi="Arial Narrow" w:cs="Times New Roman"/>
                <w:noProof/>
                <w:color w:val="000000"/>
                <w:sz w:val="20"/>
                <w:highlight w:val="black"/>
              </w:rPr>
              <w:t>''''''''''''''''''</w:t>
            </w:r>
          </w:p>
        </w:tc>
        <w:tc>
          <w:tcPr>
            <w:tcW w:w="826" w:type="pct"/>
            <w:noWrap/>
            <w:vAlign w:val="bottom"/>
          </w:tcPr>
          <w:p w:rsidR="00F437AB" w:rsidRPr="00AD4335" w:rsidRDefault="00F437AB" w:rsidP="00F437AB">
            <w:pPr>
              <w:jc w:val="right"/>
              <w:rPr>
                <w:rFonts w:ascii="Arial Narrow" w:hAnsi="Arial Narrow" w:cs="Times New Roman"/>
                <w:color w:val="000000"/>
                <w:sz w:val="20"/>
              </w:rPr>
            </w:pPr>
            <w:r w:rsidRPr="00AD4335">
              <w:rPr>
                <w:rFonts w:ascii="Arial Narrow" w:hAnsi="Arial Narrow" w:cs="Times New Roman"/>
                <w:sz w:val="20"/>
              </w:rPr>
              <w:t>-$</w:t>
            </w:r>
            <w:r w:rsidR="00A54692">
              <w:rPr>
                <w:rFonts w:ascii="Arial Narrow" w:hAnsi="Arial Narrow" w:cs="Times New Roman"/>
                <w:noProof/>
                <w:color w:val="000000"/>
                <w:sz w:val="20"/>
                <w:highlight w:val="black"/>
              </w:rPr>
              <w:t>''''''''''''''''''''''</w:t>
            </w:r>
          </w:p>
        </w:tc>
        <w:tc>
          <w:tcPr>
            <w:tcW w:w="826" w:type="pct"/>
            <w:noWrap/>
            <w:vAlign w:val="bottom"/>
          </w:tcPr>
          <w:p w:rsidR="00F437AB" w:rsidRPr="00AD4335" w:rsidRDefault="00F437AB" w:rsidP="00F437AB">
            <w:pPr>
              <w:jc w:val="right"/>
              <w:rPr>
                <w:rFonts w:ascii="Arial Narrow" w:hAnsi="Arial Narrow" w:cs="Times New Roman"/>
                <w:color w:val="000000"/>
                <w:sz w:val="20"/>
              </w:rPr>
            </w:pPr>
            <w:r w:rsidRPr="00AD4335">
              <w:rPr>
                <w:rFonts w:ascii="Arial Narrow" w:hAnsi="Arial Narrow" w:cs="Times New Roman"/>
                <w:sz w:val="20"/>
              </w:rPr>
              <w:t>-$</w:t>
            </w:r>
            <w:r w:rsidR="00A54692">
              <w:rPr>
                <w:rFonts w:ascii="Arial Narrow" w:hAnsi="Arial Narrow" w:cs="Times New Roman"/>
                <w:noProof/>
                <w:color w:val="000000"/>
                <w:sz w:val="20"/>
                <w:highlight w:val="black"/>
              </w:rPr>
              <w:t>'''''''''''''''''''''</w:t>
            </w:r>
          </w:p>
        </w:tc>
        <w:tc>
          <w:tcPr>
            <w:tcW w:w="826" w:type="pct"/>
            <w:noWrap/>
            <w:vAlign w:val="bottom"/>
          </w:tcPr>
          <w:p w:rsidR="00F437AB" w:rsidRPr="00AD4335" w:rsidRDefault="00F437AB" w:rsidP="00F437AB">
            <w:pPr>
              <w:jc w:val="right"/>
              <w:rPr>
                <w:rFonts w:ascii="Arial Narrow" w:hAnsi="Arial Narrow" w:cs="Times New Roman"/>
                <w:color w:val="000000"/>
                <w:sz w:val="20"/>
              </w:rPr>
            </w:pPr>
            <w:r w:rsidRPr="00AD4335">
              <w:rPr>
                <w:rFonts w:ascii="Arial Narrow" w:hAnsi="Arial Narrow" w:cs="Times New Roman"/>
                <w:sz w:val="20"/>
              </w:rPr>
              <w:t>-$</w:t>
            </w:r>
            <w:r w:rsidR="00A54692">
              <w:rPr>
                <w:rFonts w:ascii="Arial Narrow" w:hAnsi="Arial Narrow" w:cs="Times New Roman"/>
                <w:noProof/>
                <w:color w:val="000000"/>
                <w:sz w:val="20"/>
                <w:highlight w:val="black"/>
              </w:rPr>
              <w:t>'''''''''''''''''</w:t>
            </w:r>
          </w:p>
        </w:tc>
      </w:tr>
      <w:tr w:rsidR="00F437AB" w:rsidRPr="00AD4335" w:rsidTr="00A60E1C">
        <w:tc>
          <w:tcPr>
            <w:tcW w:w="872" w:type="pct"/>
            <w:vAlign w:val="center"/>
          </w:tcPr>
          <w:p w:rsidR="00F437AB" w:rsidRPr="00AD4335" w:rsidRDefault="00F437AB" w:rsidP="00F437AB">
            <w:pPr>
              <w:jc w:val="left"/>
              <w:rPr>
                <w:rFonts w:ascii="Arial Narrow" w:hAnsi="Arial Narrow" w:cs="Times New Roman"/>
                <w:b/>
                <w:snapToGrid/>
                <w:sz w:val="20"/>
                <w:vertAlign w:val="superscript"/>
                <w:lang w:eastAsia="en-AU"/>
              </w:rPr>
            </w:pPr>
            <w:r w:rsidRPr="00AD4335">
              <w:rPr>
                <w:rFonts w:ascii="Arial Narrow" w:hAnsi="Arial Narrow" w:cs="Times New Roman"/>
                <w:b/>
                <w:snapToGrid/>
                <w:sz w:val="20"/>
                <w:lang w:eastAsia="en-AU"/>
              </w:rPr>
              <w:t>Net cost to Government health budget</w:t>
            </w:r>
          </w:p>
        </w:tc>
        <w:tc>
          <w:tcPr>
            <w:tcW w:w="825" w:type="pct"/>
            <w:noWrap/>
            <w:vAlign w:val="center"/>
          </w:tcPr>
          <w:p w:rsidR="00F437AB" w:rsidRPr="00AD4335" w:rsidRDefault="00F437AB" w:rsidP="00F437AB">
            <w:pPr>
              <w:jc w:val="right"/>
              <w:rPr>
                <w:rFonts w:ascii="Arial Narrow" w:hAnsi="Arial Narrow" w:cs="Times New Roman"/>
                <w:b/>
                <w:sz w:val="20"/>
              </w:rPr>
            </w:pPr>
            <w:r w:rsidRPr="00AD4335">
              <w:rPr>
                <w:rFonts w:ascii="Arial Narrow" w:hAnsi="Arial Narrow" w:cs="Times New Roman"/>
                <w:b/>
                <w:sz w:val="20"/>
              </w:rPr>
              <w:t>$</w:t>
            </w:r>
            <w:r w:rsidR="00A54692">
              <w:rPr>
                <w:rFonts w:ascii="Arial Narrow" w:hAnsi="Arial Narrow" w:cs="Times New Roman"/>
                <w:b/>
                <w:noProof/>
                <w:color w:val="000000"/>
                <w:sz w:val="20"/>
                <w:highlight w:val="black"/>
              </w:rPr>
              <w:t>'''''''''''''''''''''</w:t>
            </w:r>
          </w:p>
        </w:tc>
        <w:tc>
          <w:tcPr>
            <w:tcW w:w="825" w:type="pct"/>
            <w:noWrap/>
            <w:vAlign w:val="center"/>
          </w:tcPr>
          <w:p w:rsidR="00F437AB" w:rsidRPr="00AD4335" w:rsidRDefault="00F437AB" w:rsidP="00F437AB">
            <w:pPr>
              <w:jc w:val="right"/>
              <w:rPr>
                <w:rFonts w:ascii="Arial Narrow" w:hAnsi="Arial Narrow" w:cs="Times New Roman"/>
                <w:b/>
                <w:sz w:val="20"/>
              </w:rPr>
            </w:pPr>
            <w:r w:rsidRPr="00AD4335">
              <w:rPr>
                <w:rFonts w:ascii="Arial Narrow" w:hAnsi="Arial Narrow" w:cs="Times New Roman"/>
                <w:b/>
                <w:sz w:val="20"/>
              </w:rPr>
              <w:t>$</w:t>
            </w:r>
            <w:r w:rsidR="00A54692">
              <w:rPr>
                <w:rFonts w:ascii="Arial Narrow" w:hAnsi="Arial Narrow" w:cs="Times New Roman"/>
                <w:b/>
                <w:noProof/>
                <w:color w:val="000000"/>
                <w:sz w:val="20"/>
                <w:highlight w:val="black"/>
              </w:rPr>
              <w:t>''''''''''''''''''''</w:t>
            </w:r>
          </w:p>
        </w:tc>
        <w:tc>
          <w:tcPr>
            <w:tcW w:w="826" w:type="pct"/>
            <w:noWrap/>
            <w:vAlign w:val="center"/>
          </w:tcPr>
          <w:p w:rsidR="00F437AB" w:rsidRPr="00AD4335" w:rsidRDefault="00F437AB" w:rsidP="00F437AB">
            <w:pPr>
              <w:jc w:val="right"/>
              <w:rPr>
                <w:rFonts w:ascii="Arial Narrow" w:hAnsi="Arial Narrow" w:cs="Times New Roman"/>
                <w:b/>
                <w:sz w:val="20"/>
              </w:rPr>
            </w:pPr>
            <w:r w:rsidRPr="00AD4335">
              <w:rPr>
                <w:rFonts w:ascii="Arial Narrow" w:hAnsi="Arial Narrow" w:cs="Times New Roman"/>
                <w:b/>
                <w:sz w:val="20"/>
              </w:rPr>
              <w:t>$</w:t>
            </w:r>
            <w:r w:rsidR="00A54692">
              <w:rPr>
                <w:rFonts w:ascii="Arial Narrow" w:hAnsi="Arial Narrow" w:cs="Times New Roman"/>
                <w:b/>
                <w:noProof/>
                <w:color w:val="000000"/>
                <w:sz w:val="20"/>
                <w:highlight w:val="black"/>
              </w:rPr>
              <w:t>''''''''''''''''''</w:t>
            </w:r>
          </w:p>
        </w:tc>
        <w:tc>
          <w:tcPr>
            <w:tcW w:w="826" w:type="pct"/>
            <w:noWrap/>
            <w:vAlign w:val="center"/>
          </w:tcPr>
          <w:p w:rsidR="00F437AB" w:rsidRPr="00AD4335" w:rsidRDefault="00F437AB" w:rsidP="00F437AB">
            <w:pPr>
              <w:jc w:val="right"/>
              <w:rPr>
                <w:rFonts w:ascii="Arial Narrow" w:hAnsi="Arial Narrow" w:cs="Times New Roman"/>
                <w:b/>
                <w:sz w:val="20"/>
              </w:rPr>
            </w:pPr>
            <w:r w:rsidRPr="00AD4335">
              <w:rPr>
                <w:rFonts w:ascii="Arial Narrow" w:hAnsi="Arial Narrow" w:cs="Times New Roman"/>
                <w:b/>
                <w:sz w:val="20"/>
              </w:rPr>
              <w:t>$</w:t>
            </w:r>
            <w:r w:rsidR="00A54692">
              <w:rPr>
                <w:rFonts w:ascii="Arial Narrow" w:hAnsi="Arial Narrow" w:cs="Times New Roman"/>
                <w:b/>
                <w:noProof/>
                <w:color w:val="000000"/>
                <w:sz w:val="20"/>
                <w:highlight w:val="black"/>
              </w:rPr>
              <w:t>''''''''''''''''''''</w:t>
            </w:r>
          </w:p>
        </w:tc>
        <w:tc>
          <w:tcPr>
            <w:tcW w:w="826" w:type="pct"/>
            <w:noWrap/>
            <w:vAlign w:val="center"/>
          </w:tcPr>
          <w:p w:rsidR="00F437AB" w:rsidRPr="00AD4335" w:rsidRDefault="00F437AB" w:rsidP="00F437AB">
            <w:pPr>
              <w:jc w:val="right"/>
              <w:rPr>
                <w:rFonts w:ascii="Arial Narrow" w:hAnsi="Arial Narrow" w:cs="Times New Roman"/>
                <w:b/>
                <w:sz w:val="20"/>
              </w:rPr>
            </w:pPr>
            <w:r w:rsidRPr="00AD4335">
              <w:rPr>
                <w:rFonts w:ascii="Arial Narrow" w:hAnsi="Arial Narrow" w:cs="Times New Roman"/>
                <w:b/>
                <w:sz w:val="20"/>
              </w:rPr>
              <w:t>$</w:t>
            </w:r>
            <w:r w:rsidR="00A54692">
              <w:rPr>
                <w:rFonts w:ascii="Arial Narrow" w:hAnsi="Arial Narrow" w:cs="Times New Roman"/>
                <w:b/>
                <w:noProof/>
                <w:color w:val="000000"/>
                <w:sz w:val="20"/>
                <w:highlight w:val="black"/>
              </w:rPr>
              <w:t>'''''''''''''''''''</w:t>
            </w:r>
          </w:p>
        </w:tc>
      </w:tr>
    </w:tbl>
    <w:p w:rsidR="00A60E1C" w:rsidRDefault="00F437AB" w:rsidP="00A60E1C">
      <w:pPr>
        <w:ind w:firstLine="709"/>
        <w:rPr>
          <w:rFonts w:ascii="Arial Narrow" w:hAnsi="Arial Narrow"/>
          <w:sz w:val="18"/>
          <w:szCs w:val="24"/>
        </w:rPr>
      </w:pPr>
      <w:r w:rsidRPr="00AD4335">
        <w:rPr>
          <w:rFonts w:ascii="Arial Narrow" w:hAnsi="Arial Narrow"/>
          <w:sz w:val="18"/>
          <w:szCs w:val="24"/>
        </w:rPr>
        <w:t>PBS = Pharmaceutical Benefits Scheme; RPBS = Repatriation Pharmaceutical Benefits Scheme</w:t>
      </w:r>
    </w:p>
    <w:p w:rsidR="00F437AB" w:rsidRPr="00AD4335" w:rsidRDefault="00F437AB" w:rsidP="00A60E1C">
      <w:pPr>
        <w:ind w:firstLine="709"/>
        <w:rPr>
          <w:rFonts w:ascii="Arial Narrow" w:hAnsi="Arial Narrow"/>
          <w:sz w:val="18"/>
          <w:szCs w:val="24"/>
        </w:rPr>
      </w:pPr>
      <w:r w:rsidRPr="00AD4335">
        <w:rPr>
          <w:rFonts w:ascii="Arial Narrow" w:hAnsi="Arial Narrow"/>
          <w:sz w:val="18"/>
          <w:szCs w:val="24"/>
        </w:rPr>
        <w:t>Source: Table 157, p302 of the submission and Commentary on the Main Submission Table E(II).5.3 p164.</w:t>
      </w:r>
    </w:p>
    <w:p w:rsidR="00131EE2" w:rsidRPr="00AD4335" w:rsidRDefault="00131EE2" w:rsidP="00F437AB">
      <w:pPr>
        <w:pStyle w:val="PBACHeading1"/>
        <w:numPr>
          <w:ilvl w:val="0"/>
          <w:numId w:val="0"/>
        </w:numPr>
        <w:ind w:left="720"/>
      </w:pPr>
    </w:p>
    <w:p w:rsidR="009C45B8" w:rsidRDefault="009C45B8" w:rsidP="00F437AB">
      <w:pPr>
        <w:pStyle w:val="ListParagraph"/>
        <w:widowControl/>
        <w:numPr>
          <w:ilvl w:val="1"/>
          <w:numId w:val="1"/>
        </w:numPr>
        <w:rPr>
          <w:szCs w:val="22"/>
        </w:rPr>
      </w:pPr>
      <w:r>
        <w:rPr>
          <w:szCs w:val="22"/>
        </w:rPr>
        <w:t xml:space="preserve">The redacted table above shows that at year 5, the net cost to the PBS/RPBS is forecast to be less than 10 million per year and the net cost to the Government health budget would be less than $10 million per year. </w:t>
      </w:r>
    </w:p>
    <w:p w:rsidR="009C45B8" w:rsidRDefault="009C45B8" w:rsidP="009C45B8">
      <w:pPr>
        <w:pStyle w:val="ListParagraph"/>
        <w:widowControl/>
        <w:rPr>
          <w:szCs w:val="22"/>
        </w:rPr>
      </w:pPr>
    </w:p>
    <w:p w:rsidR="00F437AB" w:rsidRDefault="00F437AB" w:rsidP="00F437AB">
      <w:pPr>
        <w:pStyle w:val="ListParagraph"/>
        <w:widowControl/>
        <w:numPr>
          <w:ilvl w:val="1"/>
          <w:numId w:val="1"/>
        </w:numPr>
        <w:rPr>
          <w:szCs w:val="22"/>
        </w:rPr>
      </w:pPr>
      <w:r w:rsidRPr="000F3076">
        <w:rPr>
          <w:szCs w:val="22"/>
        </w:rPr>
        <w:t>The submission claimed that DCV+ASV will reduce costs associated with on-treatment surveillance, psychiatric follow-up and thyroid function tests compared to current treatment regimens. DUSC noted that the claimed net savings to the MBS were highly uncertain as the costing assumptions could not be verified during the evaluation.</w:t>
      </w:r>
    </w:p>
    <w:p w:rsidR="00F26B31" w:rsidRPr="000F3076" w:rsidRDefault="00F26B31" w:rsidP="00F26B31">
      <w:pPr>
        <w:pStyle w:val="PBACHeading1"/>
        <w:numPr>
          <w:ilvl w:val="0"/>
          <w:numId w:val="0"/>
        </w:numPr>
        <w:ind w:left="720" w:hanging="720"/>
      </w:pPr>
    </w:p>
    <w:p w:rsidR="009D3444" w:rsidRPr="000F3076" w:rsidRDefault="009D3444" w:rsidP="00DD1166">
      <w:pPr>
        <w:pStyle w:val="ListParagraph"/>
        <w:widowControl/>
        <w:numPr>
          <w:ilvl w:val="1"/>
          <w:numId w:val="1"/>
        </w:numPr>
        <w:rPr>
          <w:szCs w:val="22"/>
        </w:rPr>
      </w:pPr>
      <w:r w:rsidRPr="000F3076">
        <w:rPr>
          <w:bCs/>
          <w:szCs w:val="22"/>
        </w:rPr>
        <w:t>The PBAC noted the DUSC advice on the item</w:t>
      </w:r>
      <w:r w:rsidR="00F26B31">
        <w:rPr>
          <w:bCs/>
          <w:szCs w:val="22"/>
        </w:rPr>
        <w:t xml:space="preserve"> and on the treatment of patients with CHC generally</w:t>
      </w:r>
      <w:r w:rsidRPr="000F3076">
        <w:rPr>
          <w:bCs/>
          <w:szCs w:val="22"/>
        </w:rPr>
        <w:t xml:space="preserve">. </w:t>
      </w:r>
      <w:r w:rsidR="00F26B31">
        <w:rPr>
          <w:bCs/>
          <w:szCs w:val="22"/>
        </w:rPr>
        <w:t>The PBAC was of the view that the DUSC estimates for patients with any HCV genotype likely to be treated were appropriate</w:t>
      </w:r>
      <w:r w:rsidR="00953782">
        <w:rPr>
          <w:bCs/>
          <w:szCs w:val="22"/>
        </w:rPr>
        <w:t xml:space="preserve">. </w:t>
      </w:r>
      <w:r w:rsidRPr="000F3076">
        <w:rPr>
          <w:bCs/>
          <w:szCs w:val="22"/>
        </w:rPr>
        <w:t xml:space="preserve">At year 1, the estimated number of patients </w:t>
      </w:r>
      <w:r w:rsidR="00C946DE">
        <w:rPr>
          <w:bCs/>
          <w:szCs w:val="22"/>
        </w:rPr>
        <w:t xml:space="preserve">treated </w:t>
      </w:r>
      <w:r w:rsidRPr="000F3076">
        <w:rPr>
          <w:bCs/>
          <w:szCs w:val="22"/>
        </w:rPr>
        <w:t xml:space="preserve">with any HCV genotype was </w:t>
      </w:r>
      <w:r w:rsidR="00A54692">
        <w:rPr>
          <w:bCs/>
          <w:noProof/>
          <w:color w:val="000000"/>
          <w:szCs w:val="22"/>
          <w:highlight w:val="black"/>
        </w:rPr>
        <w:t>'''''''''''''''</w:t>
      </w:r>
      <w:r w:rsidRPr="000F3076">
        <w:rPr>
          <w:bCs/>
          <w:szCs w:val="22"/>
        </w:rPr>
        <w:t>. At year 5, the estimated number of patients</w:t>
      </w:r>
      <w:r w:rsidR="00C946DE">
        <w:rPr>
          <w:bCs/>
          <w:szCs w:val="22"/>
        </w:rPr>
        <w:t xml:space="preserve"> treated</w:t>
      </w:r>
      <w:r w:rsidRPr="000F3076">
        <w:rPr>
          <w:bCs/>
          <w:szCs w:val="22"/>
        </w:rPr>
        <w:t xml:space="preserve"> was </w:t>
      </w:r>
      <w:r w:rsidR="00A54692">
        <w:rPr>
          <w:bCs/>
          <w:noProof/>
          <w:color w:val="000000"/>
          <w:szCs w:val="22"/>
          <w:highlight w:val="black"/>
        </w:rPr>
        <w:t>''''''''''''''''</w:t>
      </w:r>
      <w:r w:rsidRPr="000F3076">
        <w:rPr>
          <w:bCs/>
          <w:szCs w:val="22"/>
        </w:rPr>
        <w:t xml:space="preserve"> for any genotype.</w:t>
      </w:r>
    </w:p>
    <w:p w:rsidR="00F437AB" w:rsidRPr="000F3076" w:rsidRDefault="00F437AB" w:rsidP="00F437AB">
      <w:pPr>
        <w:pStyle w:val="ListParagraph"/>
        <w:widowControl/>
        <w:rPr>
          <w:szCs w:val="22"/>
        </w:rPr>
      </w:pPr>
    </w:p>
    <w:p w:rsidR="00760EA5" w:rsidRPr="00813606" w:rsidRDefault="00760EA5" w:rsidP="0078618A">
      <w:pPr>
        <w:pStyle w:val="Heading2"/>
      </w:pPr>
      <w:bookmarkStart w:id="15" w:name="_Toc409610888"/>
      <w:r w:rsidRPr="00813606">
        <w:t>Financial Management – Risk Sharing Arrangements</w:t>
      </w:r>
      <w:bookmarkEnd w:id="15"/>
    </w:p>
    <w:p w:rsidR="00760EA5" w:rsidRPr="000F3076" w:rsidRDefault="00760EA5" w:rsidP="00760EA5">
      <w:pPr>
        <w:widowControl/>
        <w:rPr>
          <w:szCs w:val="22"/>
        </w:rPr>
      </w:pPr>
    </w:p>
    <w:p w:rsidR="007F3F76" w:rsidRPr="00672D91" w:rsidRDefault="00144C4A" w:rsidP="00BA53D4">
      <w:pPr>
        <w:pStyle w:val="ListParagraph"/>
        <w:widowControl/>
        <w:numPr>
          <w:ilvl w:val="1"/>
          <w:numId w:val="1"/>
        </w:numPr>
        <w:rPr>
          <w:szCs w:val="22"/>
        </w:rPr>
      </w:pPr>
      <w:r w:rsidRPr="000F3076">
        <w:rPr>
          <w:szCs w:val="22"/>
        </w:rPr>
        <w:t>If daclatasvir is listed for use in combination with both asunaprevir and sofosbuvir, the submission proposed that daclatasvir would be listed at a published DPMQ of $</w:t>
      </w:r>
      <w:r w:rsidR="00A54692">
        <w:rPr>
          <w:noProof/>
          <w:color w:val="000000"/>
          <w:szCs w:val="22"/>
          <w:highlight w:val="black"/>
        </w:rPr>
        <w:t>'''''''''''''''''''''''''</w:t>
      </w:r>
      <w:r w:rsidRPr="000F3076">
        <w:rPr>
          <w:szCs w:val="22"/>
        </w:rPr>
        <w:t>, with a rebate applied to the proportion of daclatasvir dispensed for use in combination with asunaprevir to reduce the effective DPMQ to $</w:t>
      </w:r>
      <w:r w:rsidR="00A54692">
        <w:rPr>
          <w:noProof/>
          <w:color w:val="000000"/>
          <w:szCs w:val="22"/>
          <w:highlight w:val="black"/>
        </w:rPr>
        <w:t>'''''''''''''''''''''''</w:t>
      </w:r>
      <w:r w:rsidRPr="000F3076">
        <w:rPr>
          <w:szCs w:val="22"/>
        </w:rPr>
        <w:t>. The DPMQ</w:t>
      </w:r>
      <w:r w:rsidRPr="00622116">
        <w:t xml:space="preserve"> </w:t>
      </w:r>
      <w:r>
        <w:t>of daclatasvir</w:t>
      </w:r>
      <w:r w:rsidRPr="00622116">
        <w:t xml:space="preserve"> for the proportion dispensed for use in combination with </w:t>
      </w:r>
      <w:r>
        <w:t>sofosbuvir</w:t>
      </w:r>
      <w:r w:rsidRPr="00622116">
        <w:t xml:space="preserve"> would remain at $</w:t>
      </w:r>
      <w:r w:rsidR="00A54692">
        <w:rPr>
          <w:noProof/>
          <w:color w:val="000000"/>
          <w:highlight w:val="black"/>
        </w:rPr>
        <w:t>''''''''''''''''''''''</w:t>
      </w:r>
      <w:r w:rsidRPr="00622116">
        <w:t>, with no rebate applied</w:t>
      </w:r>
      <w:r w:rsidRPr="00E60C3D">
        <w:rPr>
          <w:i/>
        </w:rPr>
        <w:t>.</w:t>
      </w:r>
      <w:r w:rsidRPr="00622116">
        <w:t xml:space="preserve"> </w:t>
      </w:r>
      <w:r>
        <w:t>If only DCV+ASV is listed, the proposed DPMQ of daclatasvir was $</w:t>
      </w:r>
      <w:r w:rsidR="00A54692">
        <w:rPr>
          <w:noProof/>
          <w:color w:val="000000"/>
          <w:highlight w:val="black"/>
        </w:rPr>
        <w:t>''''''''''''''''''''''''</w:t>
      </w:r>
      <w:r>
        <w:t>, with no rebate</w:t>
      </w:r>
      <w:r w:rsidR="00181E21">
        <w:t>.</w:t>
      </w:r>
    </w:p>
    <w:p w:rsidR="00672D91" w:rsidRPr="00672D91" w:rsidRDefault="00672D91" w:rsidP="00672D91">
      <w:pPr>
        <w:pStyle w:val="PBACHeading1"/>
        <w:numPr>
          <w:ilvl w:val="0"/>
          <w:numId w:val="0"/>
        </w:numPr>
        <w:ind w:left="720" w:hanging="720"/>
      </w:pPr>
    </w:p>
    <w:p w:rsidR="002106DF" w:rsidRDefault="002106DF" w:rsidP="00011BBD">
      <w:pPr>
        <w:pStyle w:val="PBACHeading1"/>
        <w:keepNext/>
        <w:keepLines/>
      </w:pPr>
      <w:r w:rsidRPr="0025173A">
        <w:lastRenderedPageBreak/>
        <w:t xml:space="preserve">PBAC Outcome </w:t>
      </w:r>
    </w:p>
    <w:p w:rsidR="00270697" w:rsidRDefault="00270697" w:rsidP="00011BBD">
      <w:pPr>
        <w:pStyle w:val="PBACHeading1"/>
        <w:keepNext/>
        <w:keepLines/>
        <w:numPr>
          <w:ilvl w:val="0"/>
          <w:numId w:val="0"/>
        </w:numPr>
        <w:ind w:left="720" w:hanging="720"/>
      </w:pPr>
    </w:p>
    <w:p w:rsidR="000F3076" w:rsidRDefault="006C1ABD" w:rsidP="00011BBD">
      <w:pPr>
        <w:pStyle w:val="ListParagraph"/>
        <w:keepNext/>
        <w:keepLines/>
        <w:widowControl/>
        <w:numPr>
          <w:ilvl w:val="1"/>
          <w:numId w:val="1"/>
        </w:numPr>
        <w:rPr>
          <w:szCs w:val="22"/>
        </w:rPr>
      </w:pPr>
      <w:r w:rsidRPr="000F3076">
        <w:rPr>
          <w:szCs w:val="22"/>
        </w:rPr>
        <w:t xml:space="preserve">The PBAC rejected the submission for the Authority Required (Streamlined) listing for asunaprevir </w:t>
      </w:r>
      <w:r>
        <w:rPr>
          <w:szCs w:val="22"/>
        </w:rPr>
        <w:t xml:space="preserve">(in combination with daclatasvir) </w:t>
      </w:r>
      <w:r w:rsidRPr="000F3076">
        <w:rPr>
          <w:szCs w:val="22"/>
        </w:rPr>
        <w:t xml:space="preserve">for the treatment of chronic hepatitis C Genotype 1b </w:t>
      </w:r>
      <w:r>
        <w:rPr>
          <w:szCs w:val="22"/>
        </w:rPr>
        <w:t>because</w:t>
      </w:r>
      <w:r w:rsidRPr="000F3076">
        <w:rPr>
          <w:szCs w:val="22"/>
        </w:rPr>
        <w:t xml:space="preserve"> the treatment was clinically </w:t>
      </w:r>
      <w:r w:rsidRPr="00895CFA">
        <w:rPr>
          <w:szCs w:val="22"/>
        </w:rPr>
        <w:t xml:space="preserve">not </w:t>
      </w:r>
      <w:r w:rsidRPr="000F3076">
        <w:rPr>
          <w:szCs w:val="22"/>
        </w:rPr>
        <w:t xml:space="preserve">non-inferior to treatment with </w:t>
      </w:r>
      <w:r>
        <w:rPr>
          <w:szCs w:val="22"/>
        </w:rPr>
        <w:t>ledipasvir and sofosbuvir (</w:t>
      </w:r>
      <w:r w:rsidRPr="000F3076">
        <w:rPr>
          <w:szCs w:val="22"/>
        </w:rPr>
        <w:t>LDV/SOF</w:t>
      </w:r>
      <w:r>
        <w:rPr>
          <w:szCs w:val="22"/>
        </w:rPr>
        <w:t>)</w:t>
      </w:r>
      <w:r w:rsidRPr="000F3076">
        <w:rPr>
          <w:szCs w:val="22"/>
        </w:rPr>
        <w:t xml:space="preserve"> or </w:t>
      </w:r>
      <w:r>
        <w:t>daclatasvir</w:t>
      </w:r>
      <w:r>
        <w:rPr>
          <w:szCs w:val="22"/>
        </w:rPr>
        <w:t xml:space="preserve"> + sofosbuvir (</w:t>
      </w:r>
      <w:r w:rsidRPr="000F3076">
        <w:rPr>
          <w:szCs w:val="22"/>
        </w:rPr>
        <w:t>DCV+SOF</w:t>
      </w:r>
      <w:r>
        <w:rPr>
          <w:szCs w:val="22"/>
        </w:rPr>
        <w:t>)</w:t>
      </w:r>
      <w:r w:rsidRPr="000F3076">
        <w:rPr>
          <w:szCs w:val="22"/>
        </w:rPr>
        <w:t xml:space="preserve"> </w:t>
      </w:r>
      <w:r>
        <w:rPr>
          <w:szCs w:val="22"/>
        </w:rPr>
        <w:t>for</w:t>
      </w:r>
      <w:r w:rsidRPr="000F3076">
        <w:rPr>
          <w:szCs w:val="22"/>
        </w:rPr>
        <w:t xml:space="preserve"> treatment nai</w:t>
      </w:r>
      <w:r>
        <w:rPr>
          <w:szCs w:val="22"/>
        </w:rPr>
        <w:t>ve patients with Genotype 1b.</w:t>
      </w:r>
    </w:p>
    <w:p w:rsidR="000F3076" w:rsidRPr="000F3076" w:rsidRDefault="000F3076" w:rsidP="000F3076">
      <w:pPr>
        <w:pStyle w:val="PBACHeading1"/>
        <w:numPr>
          <w:ilvl w:val="0"/>
          <w:numId w:val="0"/>
        </w:numPr>
        <w:ind w:left="720" w:hanging="720"/>
      </w:pPr>
    </w:p>
    <w:p w:rsidR="00F93E90" w:rsidRPr="002131A1" w:rsidRDefault="00F93E90" w:rsidP="00F93E90">
      <w:pPr>
        <w:pStyle w:val="ListParagraph"/>
        <w:widowControl/>
        <w:numPr>
          <w:ilvl w:val="1"/>
          <w:numId w:val="1"/>
        </w:numPr>
        <w:rPr>
          <w:bCs/>
          <w:szCs w:val="22"/>
          <w:lang w:val="en-GB"/>
        </w:rPr>
      </w:pPr>
      <w:r w:rsidRPr="002131A1">
        <w:rPr>
          <w:szCs w:val="22"/>
        </w:rPr>
        <w:t xml:space="preserve">The PBAC reiterated that the Committee recognised that new treatments of HCV resulted in high rates of sustained virological response, where the HCV virus could not be detected in the blood of patients 12 weeks after treatment commenced. The PBAC noted that the large number of comments and presentations from patients, health care professionals and organisations highlighted the benefits of the availability of new treatments, particularly IFN-free regimens. </w:t>
      </w:r>
    </w:p>
    <w:p w:rsidR="000F3076" w:rsidRPr="000F3076" w:rsidRDefault="000F3076" w:rsidP="000F3076">
      <w:pPr>
        <w:pStyle w:val="PBACHeading1"/>
        <w:numPr>
          <w:ilvl w:val="0"/>
          <w:numId w:val="0"/>
        </w:numPr>
      </w:pPr>
    </w:p>
    <w:p w:rsidR="00F93E90" w:rsidRPr="00F93E90" w:rsidRDefault="00F93E90" w:rsidP="00F93E90">
      <w:pPr>
        <w:pStyle w:val="ListParagraph"/>
        <w:widowControl/>
        <w:numPr>
          <w:ilvl w:val="1"/>
          <w:numId w:val="1"/>
        </w:numPr>
        <w:rPr>
          <w:szCs w:val="22"/>
        </w:rPr>
      </w:pPr>
      <w:r w:rsidRPr="00991494">
        <w:rPr>
          <w:bCs/>
          <w:szCs w:val="22"/>
        </w:rPr>
        <w:t xml:space="preserve">The PBAC recalled the discussion at the Stakeholder meeting (February 2014) about the setting patients should be treated in. The PBAC considered that it was appropriate that the new all oral treatment to be listed in the General Schedule, to facilitated the longer term objectives for access to treatment, increase treatment rates and outcomes and acknowledging initiatives such as </w:t>
      </w:r>
      <w:r w:rsidRPr="00991494">
        <w:rPr>
          <w:szCs w:val="22"/>
        </w:rPr>
        <w:t>The Fourth National Hepatitis C Strategy 2014-2017 and NSW Hepatitis C Strategy 2014-2020 to support a greater role of primary care in the prescribing and monitoring of the newer generation of antivirals, that have reduced side effects and more simplified dosing schedules</w:t>
      </w:r>
      <w:r w:rsidRPr="00991494">
        <w:rPr>
          <w:bCs/>
          <w:szCs w:val="22"/>
        </w:rPr>
        <w:t>. The PBAC noted that treatment of patients would initially remain in tertiary settings but expand as clinician experience grows.</w:t>
      </w:r>
    </w:p>
    <w:p w:rsidR="00F93E90" w:rsidRDefault="00F93E90" w:rsidP="00F93E90">
      <w:pPr>
        <w:pStyle w:val="PBACHeading1"/>
        <w:numPr>
          <w:ilvl w:val="0"/>
          <w:numId w:val="0"/>
        </w:numPr>
      </w:pPr>
    </w:p>
    <w:p w:rsidR="000F3076" w:rsidRDefault="000F3076" w:rsidP="000F3076">
      <w:pPr>
        <w:pStyle w:val="ListParagraph"/>
        <w:widowControl/>
        <w:numPr>
          <w:ilvl w:val="1"/>
          <w:numId w:val="1"/>
        </w:numPr>
        <w:rPr>
          <w:szCs w:val="22"/>
        </w:rPr>
      </w:pPr>
      <w:r w:rsidRPr="000F3076">
        <w:rPr>
          <w:szCs w:val="22"/>
        </w:rPr>
        <w:t xml:space="preserve">The submission proposed the current active treatments as the comparator. The PBAC reiterated their view that the appropriate comparator, when the submission was lodged, was </w:t>
      </w:r>
      <w:r w:rsidR="00D6639B">
        <w:rPr>
          <w:szCs w:val="22"/>
        </w:rPr>
        <w:t>‘</w:t>
      </w:r>
      <w:r w:rsidRPr="000F3076">
        <w:rPr>
          <w:szCs w:val="22"/>
        </w:rPr>
        <w:t>no treatment</w:t>
      </w:r>
      <w:r w:rsidR="00D6639B">
        <w:rPr>
          <w:szCs w:val="22"/>
        </w:rPr>
        <w:t>’,</w:t>
      </w:r>
      <w:r w:rsidRPr="000F3076">
        <w:rPr>
          <w:szCs w:val="22"/>
        </w:rPr>
        <w:t xml:space="preserve"> in view of the broader context of infected individuals whose treatment preferenc</w:t>
      </w:r>
      <w:r w:rsidR="004B1C4A">
        <w:rPr>
          <w:szCs w:val="22"/>
        </w:rPr>
        <w:t xml:space="preserve">e is interferon-free therapies. </w:t>
      </w:r>
      <w:r w:rsidRPr="000F3076">
        <w:rPr>
          <w:szCs w:val="22"/>
        </w:rPr>
        <w:t xml:space="preserve">Following the recommendation to list sofosbuvir-containing regiments, the PBAC considered that these sofosbuvir-containing regiments were the most appropriate comparators for the consideration of other all oral HCV treatments, given that LDV/SOF and SOF are likely to become the standard of care for almost all patients treated for CHC. </w:t>
      </w:r>
    </w:p>
    <w:p w:rsidR="000F3076" w:rsidRPr="000F3076" w:rsidRDefault="000F3076" w:rsidP="000F3076">
      <w:pPr>
        <w:pStyle w:val="PBACHeading1"/>
        <w:numPr>
          <w:ilvl w:val="0"/>
          <w:numId w:val="0"/>
        </w:numPr>
      </w:pPr>
    </w:p>
    <w:p w:rsidR="000F3076" w:rsidRDefault="000F3076" w:rsidP="000F3076">
      <w:pPr>
        <w:pStyle w:val="ListParagraph"/>
        <w:widowControl/>
        <w:numPr>
          <w:ilvl w:val="1"/>
          <w:numId w:val="1"/>
        </w:numPr>
        <w:rPr>
          <w:szCs w:val="22"/>
        </w:rPr>
      </w:pPr>
      <w:r w:rsidRPr="000F3076">
        <w:rPr>
          <w:szCs w:val="22"/>
        </w:rPr>
        <w:t>The PBAC considered that the claim of superior comparative effectiveness and inferior comparative safety to no treatment was reasonable for GT1b naïve</w:t>
      </w:r>
      <w:r w:rsidR="00D6639B">
        <w:rPr>
          <w:szCs w:val="22"/>
        </w:rPr>
        <w:t xml:space="preserve"> or </w:t>
      </w:r>
      <w:r w:rsidRPr="000F3076">
        <w:rPr>
          <w:szCs w:val="22"/>
        </w:rPr>
        <w:t>experienced cirrhotic</w:t>
      </w:r>
      <w:r w:rsidR="00D6639B">
        <w:rPr>
          <w:szCs w:val="22"/>
        </w:rPr>
        <w:t xml:space="preserve"> or </w:t>
      </w:r>
      <w:r w:rsidRPr="000F3076">
        <w:rPr>
          <w:szCs w:val="22"/>
        </w:rPr>
        <w:t xml:space="preserve">non-cirrhotic patients. </w:t>
      </w:r>
    </w:p>
    <w:p w:rsidR="000F3076" w:rsidRPr="000F3076" w:rsidRDefault="000F3076" w:rsidP="000F3076">
      <w:pPr>
        <w:pStyle w:val="PBACHeading1"/>
        <w:numPr>
          <w:ilvl w:val="0"/>
          <w:numId w:val="0"/>
        </w:numPr>
        <w:ind w:left="720" w:hanging="720"/>
      </w:pPr>
    </w:p>
    <w:p w:rsidR="000F3076" w:rsidRDefault="006C1ABD" w:rsidP="000F3076">
      <w:pPr>
        <w:pStyle w:val="ListParagraph"/>
        <w:widowControl/>
        <w:numPr>
          <w:ilvl w:val="1"/>
          <w:numId w:val="1"/>
        </w:numPr>
        <w:rPr>
          <w:szCs w:val="22"/>
        </w:rPr>
      </w:pPr>
      <w:r w:rsidRPr="000F3076">
        <w:rPr>
          <w:szCs w:val="22"/>
        </w:rPr>
        <w:t xml:space="preserve">The PBAC considered that non-inferiority between </w:t>
      </w:r>
      <w:r>
        <w:rPr>
          <w:szCs w:val="22"/>
        </w:rPr>
        <w:t xml:space="preserve">asunaprevir in combination with daclatasvir </w:t>
      </w:r>
      <w:r w:rsidRPr="000F3076">
        <w:rPr>
          <w:szCs w:val="22"/>
        </w:rPr>
        <w:t xml:space="preserve">and </w:t>
      </w:r>
      <w:r>
        <w:rPr>
          <w:szCs w:val="22"/>
        </w:rPr>
        <w:t xml:space="preserve">ledipasvir/ sofosbuvir </w:t>
      </w:r>
      <w:r w:rsidRPr="000F3076">
        <w:rPr>
          <w:szCs w:val="22"/>
        </w:rPr>
        <w:t>and betwee</w:t>
      </w:r>
      <w:r>
        <w:rPr>
          <w:szCs w:val="22"/>
        </w:rPr>
        <w:t xml:space="preserve">n asunaprevir in combination with daclatasvir and daclatasvir in combination with sofosbuvir </w:t>
      </w:r>
      <w:r w:rsidRPr="000F3076">
        <w:rPr>
          <w:szCs w:val="22"/>
        </w:rPr>
        <w:t xml:space="preserve">in Genotype 1b patients </w:t>
      </w:r>
      <w:r>
        <w:rPr>
          <w:szCs w:val="22"/>
        </w:rPr>
        <w:t xml:space="preserve">was </w:t>
      </w:r>
      <w:r w:rsidRPr="000F3076">
        <w:rPr>
          <w:szCs w:val="22"/>
        </w:rPr>
        <w:t xml:space="preserve">not supported </w:t>
      </w:r>
      <w:r>
        <w:rPr>
          <w:szCs w:val="22"/>
        </w:rPr>
        <w:t xml:space="preserve">by </w:t>
      </w:r>
      <w:r w:rsidRPr="000F3076">
        <w:rPr>
          <w:szCs w:val="22"/>
        </w:rPr>
        <w:t>the data available to the Committee.</w:t>
      </w:r>
    </w:p>
    <w:p w:rsidR="00895CFA" w:rsidRDefault="00895CFA" w:rsidP="00895CFA">
      <w:pPr>
        <w:pStyle w:val="PBACHeading1"/>
        <w:numPr>
          <w:ilvl w:val="0"/>
          <w:numId w:val="0"/>
        </w:numPr>
      </w:pPr>
    </w:p>
    <w:p w:rsidR="00953782" w:rsidRPr="003000DB" w:rsidRDefault="00953782" w:rsidP="00953782">
      <w:pPr>
        <w:pStyle w:val="ListParagraph"/>
        <w:widowControl/>
        <w:numPr>
          <w:ilvl w:val="1"/>
          <w:numId w:val="1"/>
        </w:numPr>
        <w:rPr>
          <w:szCs w:val="22"/>
        </w:rPr>
      </w:pPr>
      <w:r w:rsidRPr="003000DB">
        <w:rPr>
          <w:bCs/>
          <w:szCs w:val="22"/>
        </w:rPr>
        <w:t>The PBAC accepted the structure of the economic model presented in the submission but considered that the base case should be respecified to that suggested by the ESC.</w:t>
      </w:r>
      <w:r>
        <w:rPr>
          <w:bCs/>
          <w:szCs w:val="22"/>
        </w:rPr>
        <w:t xml:space="preserve"> </w:t>
      </w:r>
      <w:r w:rsidRPr="00BC1FB2">
        <w:rPr>
          <w:szCs w:val="22"/>
        </w:rPr>
        <w:t xml:space="preserve">Overall, the economic model presented in the submission favoured </w:t>
      </w:r>
      <w:r>
        <w:rPr>
          <w:szCs w:val="22"/>
        </w:rPr>
        <w:t xml:space="preserve">asunaprevir in combination with </w:t>
      </w:r>
      <w:r w:rsidRPr="00BC1FB2">
        <w:rPr>
          <w:szCs w:val="22"/>
        </w:rPr>
        <w:t>daclatasvir and that applying more conservative inputs or scenarios increased the ICERs/QALY to a range higher than the PBAC considered cost-effective for the treatment of CHC.</w:t>
      </w:r>
    </w:p>
    <w:p w:rsidR="000F3076" w:rsidRPr="000F3076" w:rsidRDefault="000F3076" w:rsidP="000F3076">
      <w:pPr>
        <w:pStyle w:val="PBACHeading1"/>
        <w:numPr>
          <w:ilvl w:val="0"/>
          <w:numId w:val="0"/>
        </w:numPr>
      </w:pPr>
    </w:p>
    <w:p w:rsidR="00953782" w:rsidRPr="000F3076" w:rsidRDefault="00953782" w:rsidP="00DD1166">
      <w:pPr>
        <w:pStyle w:val="ListParagraph"/>
        <w:widowControl/>
        <w:numPr>
          <w:ilvl w:val="1"/>
          <w:numId w:val="1"/>
        </w:numPr>
        <w:rPr>
          <w:szCs w:val="22"/>
        </w:rPr>
      </w:pPr>
      <w:r w:rsidRPr="000F3076">
        <w:rPr>
          <w:bCs/>
          <w:szCs w:val="22"/>
        </w:rPr>
        <w:lastRenderedPageBreak/>
        <w:t>The PBAC noted the DUSC advice on the item</w:t>
      </w:r>
      <w:r>
        <w:rPr>
          <w:bCs/>
          <w:szCs w:val="22"/>
        </w:rPr>
        <w:t xml:space="preserve"> and on the treatment of patients with CHC generally</w:t>
      </w:r>
      <w:r w:rsidRPr="000F3076">
        <w:rPr>
          <w:bCs/>
          <w:szCs w:val="22"/>
        </w:rPr>
        <w:t xml:space="preserve">. </w:t>
      </w:r>
      <w:r>
        <w:rPr>
          <w:bCs/>
          <w:szCs w:val="22"/>
        </w:rPr>
        <w:t xml:space="preserve">The PBAC was of the view that the DUSC estimates for patients with any HCV genotype likely to be treated were appropriate. </w:t>
      </w:r>
      <w:r w:rsidRPr="000F3076">
        <w:rPr>
          <w:bCs/>
          <w:szCs w:val="22"/>
        </w:rPr>
        <w:t xml:space="preserve">At year 1, the estimated number of patients </w:t>
      </w:r>
      <w:r>
        <w:rPr>
          <w:bCs/>
          <w:szCs w:val="22"/>
        </w:rPr>
        <w:t xml:space="preserve">treated </w:t>
      </w:r>
      <w:r w:rsidRPr="000F3076">
        <w:rPr>
          <w:bCs/>
          <w:szCs w:val="22"/>
        </w:rPr>
        <w:t xml:space="preserve">with any </w:t>
      </w:r>
      <w:r w:rsidRPr="00AB75CB">
        <w:rPr>
          <w:bCs/>
          <w:szCs w:val="22"/>
        </w:rPr>
        <w:t xml:space="preserve">HCV genotype was </w:t>
      </w:r>
      <w:r w:rsidRPr="00E13F34">
        <w:rPr>
          <w:bCs/>
          <w:szCs w:val="22"/>
        </w:rPr>
        <w:t>6,660</w:t>
      </w:r>
      <w:r w:rsidRPr="00AB75CB">
        <w:rPr>
          <w:bCs/>
          <w:szCs w:val="22"/>
        </w:rPr>
        <w:t xml:space="preserve">. At year 5, the estimated number of patients treated was </w:t>
      </w:r>
      <w:r w:rsidRPr="00E13F34">
        <w:rPr>
          <w:bCs/>
          <w:szCs w:val="22"/>
        </w:rPr>
        <w:t>15,000</w:t>
      </w:r>
      <w:r w:rsidRPr="000F3076">
        <w:rPr>
          <w:bCs/>
          <w:szCs w:val="22"/>
        </w:rPr>
        <w:t xml:space="preserve"> for any genotype.</w:t>
      </w:r>
    </w:p>
    <w:p w:rsidR="000F3076" w:rsidRPr="000F3076" w:rsidRDefault="000F3076" w:rsidP="000F3076">
      <w:pPr>
        <w:pStyle w:val="PBACHeading1"/>
        <w:numPr>
          <w:ilvl w:val="0"/>
          <w:numId w:val="0"/>
        </w:numPr>
      </w:pPr>
    </w:p>
    <w:p w:rsidR="000F3076" w:rsidRDefault="00617E00" w:rsidP="000F3076">
      <w:pPr>
        <w:pStyle w:val="ListParagraph"/>
        <w:widowControl/>
        <w:numPr>
          <w:ilvl w:val="1"/>
          <w:numId w:val="1"/>
        </w:numPr>
        <w:rPr>
          <w:szCs w:val="22"/>
        </w:rPr>
      </w:pPr>
      <w:r w:rsidRPr="00534B89">
        <w:rPr>
          <w:szCs w:val="22"/>
        </w:rPr>
        <w:t>The PBA</w:t>
      </w:r>
      <w:r>
        <w:rPr>
          <w:szCs w:val="22"/>
        </w:rPr>
        <w:t>C noted that this submission is</w:t>
      </w:r>
      <w:r w:rsidRPr="00534B89">
        <w:rPr>
          <w:szCs w:val="22"/>
        </w:rPr>
        <w:t xml:space="preserve"> elig</w:t>
      </w:r>
      <w:r>
        <w:rPr>
          <w:szCs w:val="22"/>
        </w:rPr>
        <w:t>ible for an Independent Review</w:t>
      </w:r>
      <w:r w:rsidR="000F3076" w:rsidRPr="000F3076">
        <w:rPr>
          <w:szCs w:val="22"/>
        </w:rPr>
        <w:t xml:space="preserve">. </w:t>
      </w:r>
    </w:p>
    <w:p w:rsidR="00C946DE" w:rsidRPr="00953782" w:rsidRDefault="00C946DE" w:rsidP="00953782">
      <w:pPr>
        <w:widowControl/>
        <w:rPr>
          <w:szCs w:val="22"/>
        </w:rPr>
      </w:pPr>
    </w:p>
    <w:p w:rsidR="00C946DE" w:rsidRPr="0098265F" w:rsidRDefault="00C946DE" w:rsidP="00C946DE">
      <w:pPr>
        <w:pStyle w:val="ListParagraph"/>
        <w:widowControl/>
        <w:numPr>
          <w:ilvl w:val="1"/>
          <w:numId w:val="1"/>
        </w:numPr>
        <w:rPr>
          <w:szCs w:val="22"/>
        </w:rPr>
      </w:pPr>
      <w:r w:rsidRPr="0098265F">
        <w:rPr>
          <w:szCs w:val="22"/>
        </w:rPr>
        <w:t>The PBAC wished to advise the Minister that:</w:t>
      </w:r>
    </w:p>
    <w:p w:rsidR="00C946DE" w:rsidRPr="0098265F" w:rsidRDefault="00C946DE" w:rsidP="00C946DE">
      <w:pPr>
        <w:pStyle w:val="ListParagraph"/>
        <w:widowControl/>
        <w:numPr>
          <w:ilvl w:val="0"/>
          <w:numId w:val="20"/>
        </w:numPr>
        <w:spacing w:after="200"/>
        <w:ind w:left="714" w:hanging="357"/>
        <w:jc w:val="left"/>
        <w:rPr>
          <w:szCs w:val="22"/>
        </w:rPr>
      </w:pPr>
      <w:r>
        <w:rPr>
          <w:szCs w:val="22"/>
        </w:rPr>
        <w:t>While interferon</w:t>
      </w:r>
      <w:r w:rsidRPr="00D3497A">
        <w:rPr>
          <w:szCs w:val="22"/>
        </w:rPr>
        <w:t xml:space="preserve">-free oral direct acting antiviral (DAA) agents provide safe and </w:t>
      </w:r>
      <w:r>
        <w:rPr>
          <w:szCs w:val="22"/>
        </w:rPr>
        <w:t>effective</w:t>
      </w:r>
      <w:r w:rsidRPr="00D3497A">
        <w:rPr>
          <w:szCs w:val="22"/>
        </w:rPr>
        <w:t xml:space="preserve"> treatment options for patients with CHC</w:t>
      </w:r>
      <w:r>
        <w:rPr>
          <w:szCs w:val="22"/>
        </w:rPr>
        <w:t>, t</w:t>
      </w:r>
      <w:r w:rsidRPr="0098265F">
        <w:rPr>
          <w:szCs w:val="22"/>
        </w:rPr>
        <w:t xml:space="preserve">here is a substantial opportunity cost associated with </w:t>
      </w:r>
      <w:r>
        <w:rPr>
          <w:szCs w:val="22"/>
        </w:rPr>
        <w:t xml:space="preserve">the potential </w:t>
      </w:r>
      <w:r w:rsidRPr="0098265F">
        <w:rPr>
          <w:szCs w:val="22"/>
        </w:rPr>
        <w:t xml:space="preserve">listing of </w:t>
      </w:r>
      <w:r>
        <w:rPr>
          <w:szCs w:val="22"/>
        </w:rPr>
        <w:t xml:space="preserve">these </w:t>
      </w:r>
      <w:r w:rsidRPr="004B00B5">
        <w:rPr>
          <w:szCs w:val="22"/>
        </w:rPr>
        <w:t xml:space="preserve">medicines. The lower estimate of this opportunity cost is more than $3 billion over 5 years, at </w:t>
      </w:r>
      <w:r>
        <w:rPr>
          <w:szCs w:val="22"/>
        </w:rPr>
        <w:t xml:space="preserve">the </w:t>
      </w:r>
      <w:r w:rsidRPr="004B00B5">
        <w:rPr>
          <w:szCs w:val="22"/>
        </w:rPr>
        <w:t>price</w:t>
      </w:r>
      <w:r>
        <w:rPr>
          <w:szCs w:val="22"/>
        </w:rPr>
        <w:t>s</w:t>
      </w:r>
      <w:r w:rsidRPr="004B00B5">
        <w:rPr>
          <w:szCs w:val="22"/>
        </w:rPr>
        <w:t xml:space="preserve"> proposed in the submissions</w:t>
      </w:r>
      <w:r>
        <w:rPr>
          <w:szCs w:val="22"/>
        </w:rPr>
        <w:t>.</w:t>
      </w:r>
      <w:r w:rsidRPr="004B00B5">
        <w:rPr>
          <w:bCs/>
          <w:szCs w:val="22"/>
        </w:rPr>
        <w:t xml:space="preserve"> </w:t>
      </w:r>
      <w:r w:rsidRPr="004B00B5">
        <w:rPr>
          <w:szCs w:val="22"/>
        </w:rPr>
        <w:t xml:space="preserve">Given this </w:t>
      </w:r>
      <w:r>
        <w:rPr>
          <w:szCs w:val="22"/>
        </w:rPr>
        <w:t xml:space="preserve">large </w:t>
      </w:r>
      <w:r w:rsidRPr="004B00B5">
        <w:rPr>
          <w:szCs w:val="22"/>
        </w:rPr>
        <w:t>opportunity cost, the cost of a course of treatment should be set irrespective of the duration, and that other pricing policies be considered</w:t>
      </w:r>
      <w:r>
        <w:rPr>
          <w:szCs w:val="22"/>
        </w:rPr>
        <w:t>.</w:t>
      </w:r>
    </w:p>
    <w:p w:rsidR="00C946DE" w:rsidRDefault="00C946DE" w:rsidP="00C946DE">
      <w:pPr>
        <w:pStyle w:val="ListParagraph"/>
        <w:widowControl/>
        <w:numPr>
          <w:ilvl w:val="0"/>
          <w:numId w:val="20"/>
        </w:numPr>
        <w:spacing w:after="200"/>
        <w:ind w:left="714" w:hanging="357"/>
        <w:jc w:val="left"/>
        <w:rPr>
          <w:szCs w:val="22"/>
        </w:rPr>
      </w:pPr>
      <w:r>
        <w:rPr>
          <w:szCs w:val="22"/>
        </w:rPr>
        <w:t>T</w:t>
      </w:r>
      <w:r w:rsidRPr="00D3497A">
        <w:rPr>
          <w:szCs w:val="22"/>
        </w:rPr>
        <w:t xml:space="preserve">he impact of the new antivirals on </w:t>
      </w:r>
      <w:r>
        <w:rPr>
          <w:szCs w:val="22"/>
        </w:rPr>
        <w:t xml:space="preserve">patients currently infected has been modelled by </w:t>
      </w:r>
      <w:r w:rsidRPr="00D3497A">
        <w:rPr>
          <w:szCs w:val="22"/>
        </w:rPr>
        <w:t>Sievert et al. (2014)</w:t>
      </w:r>
      <w:r>
        <w:rPr>
          <w:szCs w:val="22"/>
        </w:rPr>
        <w:t>. This modelling shows</w:t>
      </w:r>
      <w:r w:rsidRPr="00D3497A">
        <w:rPr>
          <w:szCs w:val="22"/>
        </w:rPr>
        <w:t xml:space="preserve"> that the numbe</w:t>
      </w:r>
      <w:r>
        <w:rPr>
          <w:szCs w:val="22"/>
        </w:rPr>
        <w:t>r of people with chronic hepatitis C (CHC) will be</w:t>
      </w:r>
      <w:r w:rsidRPr="00D3497A">
        <w:rPr>
          <w:szCs w:val="22"/>
        </w:rPr>
        <w:t xml:space="preserve"> reduced by 60% in 2030 compared to the base case of current treatment</w:t>
      </w:r>
      <w:r>
        <w:rPr>
          <w:szCs w:val="22"/>
        </w:rPr>
        <w:t>. The assumptions in the model include</w:t>
      </w:r>
      <w:r w:rsidRPr="00D3497A">
        <w:rPr>
          <w:szCs w:val="22"/>
        </w:rPr>
        <w:t xml:space="preserve"> up to 13,500 people (including all fibrosis stages) are treated annually by 2018</w:t>
      </w:r>
      <w:r>
        <w:rPr>
          <w:szCs w:val="22"/>
        </w:rPr>
        <w:t xml:space="preserve"> and the DAA </w:t>
      </w:r>
      <w:r w:rsidRPr="00D3497A">
        <w:rPr>
          <w:szCs w:val="22"/>
        </w:rPr>
        <w:t xml:space="preserve">agents </w:t>
      </w:r>
      <w:r>
        <w:rPr>
          <w:szCs w:val="22"/>
        </w:rPr>
        <w:t xml:space="preserve">are expected to have rates of </w:t>
      </w:r>
      <w:r w:rsidRPr="00DB78F8">
        <w:rPr>
          <w:szCs w:val="22"/>
        </w:rPr>
        <w:t xml:space="preserve">sustained virologic response </w:t>
      </w:r>
      <w:r>
        <w:rPr>
          <w:szCs w:val="22"/>
        </w:rPr>
        <w:t>(</w:t>
      </w:r>
      <w:r w:rsidRPr="00DB78F8">
        <w:rPr>
          <w:szCs w:val="22"/>
        </w:rPr>
        <w:t>measured at 12 weeks</w:t>
      </w:r>
      <w:r>
        <w:rPr>
          <w:szCs w:val="22"/>
        </w:rPr>
        <w:t xml:space="preserve">, </w:t>
      </w:r>
      <w:r w:rsidRPr="001F512E">
        <w:rPr>
          <w:szCs w:val="22"/>
        </w:rPr>
        <w:t>SVR12</w:t>
      </w:r>
      <w:r>
        <w:rPr>
          <w:szCs w:val="22"/>
        </w:rPr>
        <w:t xml:space="preserve">) up </w:t>
      </w:r>
      <w:r w:rsidRPr="00D3497A">
        <w:rPr>
          <w:szCs w:val="22"/>
        </w:rPr>
        <w:t>to 90% for genotype 1 and 80% for genotype 3 by 2016</w:t>
      </w:r>
      <w:r>
        <w:rPr>
          <w:szCs w:val="22"/>
        </w:rPr>
        <w:t xml:space="preserve">.  </w:t>
      </w:r>
      <w:r w:rsidRPr="00D3497A">
        <w:rPr>
          <w:szCs w:val="22"/>
        </w:rPr>
        <w:t xml:space="preserve">The analyses accounted for mortality but did not consider re-infection. </w:t>
      </w:r>
    </w:p>
    <w:p w:rsidR="00C946DE" w:rsidRPr="009D0D03" w:rsidRDefault="00C946DE" w:rsidP="00C946DE">
      <w:pPr>
        <w:pStyle w:val="ListParagraph"/>
        <w:numPr>
          <w:ilvl w:val="0"/>
          <w:numId w:val="20"/>
        </w:numPr>
        <w:rPr>
          <w:szCs w:val="22"/>
        </w:rPr>
      </w:pPr>
      <w:r w:rsidRPr="009D0D03">
        <w:rPr>
          <w:szCs w:val="22"/>
        </w:rPr>
        <w:t xml:space="preserve">Advice from the </w:t>
      </w:r>
      <w:r w:rsidRPr="005606B4">
        <w:rPr>
          <w:szCs w:val="22"/>
        </w:rPr>
        <w:t>Australian Liver Association (ALA)</w:t>
      </w:r>
      <w:r>
        <w:rPr>
          <w:szCs w:val="22"/>
        </w:rPr>
        <w:t xml:space="preserve"> </w:t>
      </w:r>
      <w:r w:rsidRPr="009D0D03">
        <w:rPr>
          <w:szCs w:val="22"/>
        </w:rPr>
        <w:t xml:space="preserve">indicated that of the estimated 233,000 people living with </w:t>
      </w:r>
      <w:r>
        <w:rPr>
          <w:szCs w:val="22"/>
        </w:rPr>
        <w:t>Hepatitis C virus (</w:t>
      </w:r>
      <w:r w:rsidRPr="009D0D03">
        <w:rPr>
          <w:szCs w:val="22"/>
        </w:rPr>
        <w:t>HCV</w:t>
      </w:r>
      <w:r>
        <w:rPr>
          <w:szCs w:val="22"/>
        </w:rPr>
        <w:t>)</w:t>
      </w:r>
      <w:r w:rsidRPr="009D0D03">
        <w:rPr>
          <w:szCs w:val="22"/>
        </w:rPr>
        <w:t>, 193,000 patients have been</w:t>
      </w:r>
      <w:r>
        <w:rPr>
          <w:szCs w:val="22"/>
        </w:rPr>
        <w:t xml:space="preserve"> diagnosed. Listing of oral DAA </w:t>
      </w:r>
      <w:r w:rsidRPr="00D3497A">
        <w:rPr>
          <w:szCs w:val="22"/>
        </w:rPr>
        <w:t xml:space="preserve">agents </w:t>
      </w:r>
      <w:r w:rsidRPr="009D0D03">
        <w:rPr>
          <w:szCs w:val="22"/>
        </w:rPr>
        <w:t xml:space="preserve">may increase public and clinician awareness of the disease potentially leading to increased testing and diagnosis. </w:t>
      </w:r>
    </w:p>
    <w:p w:rsidR="00C946DE" w:rsidRPr="009D0D03" w:rsidRDefault="00C946DE" w:rsidP="00C946DE">
      <w:pPr>
        <w:pStyle w:val="ListParagraph"/>
        <w:numPr>
          <w:ilvl w:val="0"/>
          <w:numId w:val="20"/>
        </w:numPr>
        <w:rPr>
          <w:szCs w:val="22"/>
        </w:rPr>
      </w:pPr>
      <w:r>
        <w:rPr>
          <w:szCs w:val="22"/>
        </w:rPr>
        <w:t>T</w:t>
      </w:r>
      <w:r w:rsidRPr="009D0D03">
        <w:rPr>
          <w:szCs w:val="22"/>
        </w:rPr>
        <w:t>he DUSC analysis</w:t>
      </w:r>
      <w:r>
        <w:rPr>
          <w:szCs w:val="22"/>
        </w:rPr>
        <w:t xml:space="preserve"> shows</w:t>
      </w:r>
      <w:r w:rsidRPr="009D0D03">
        <w:rPr>
          <w:szCs w:val="22"/>
        </w:rPr>
        <w:t xml:space="preserve"> that </w:t>
      </w:r>
      <w:r w:rsidRPr="009D0D03">
        <w:rPr>
          <w:bCs/>
          <w:szCs w:val="22"/>
        </w:rPr>
        <w:t xml:space="preserve">approximately 60 000 patients would be treated </w:t>
      </w:r>
      <w:r>
        <w:rPr>
          <w:szCs w:val="22"/>
        </w:rPr>
        <w:t xml:space="preserve">over 5 years, </w:t>
      </w:r>
      <w:r w:rsidRPr="009D0D03">
        <w:rPr>
          <w:szCs w:val="22"/>
        </w:rPr>
        <w:t>based on treatment targets in the Fourth National Hepatitis C Strategy 2014-2017, together with the advice from the ALA and February 2014 Stakeholder meeting</w:t>
      </w:r>
      <w:r>
        <w:rPr>
          <w:szCs w:val="22"/>
        </w:rPr>
        <w:t xml:space="preserve"> (</w:t>
      </w:r>
      <w:r w:rsidRPr="00DF7455">
        <w:rPr>
          <w:szCs w:val="22"/>
        </w:rPr>
        <w:t>New oral antivirals for the Treatment of Hepatitis C</w:t>
      </w:r>
      <w:r>
        <w:rPr>
          <w:szCs w:val="22"/>
        </w:rPr>
        <w:t>)</w:t>
      </w:r>
      <w:r w:rsidRPr="009D0D03">
        <w:rPr>
          <w:szCs w:val="22"/>
        </w:rPr>
        <w:t>. However,</w:t>
      </w:r>
      <w:r>
        <w:rPr>
          <w:szCs w:val="22"/>
        </w:rPr>
        <w:t xml:space="preserve"> it is not clear how many people living with CHC</w:t>
      </w:r>
      <w:r w:rsidRPr="009D0D03">
        <w:rPr>
          <w:szCs w:val="22"/>
        </w:rPr>
        <w:t xml:space="preserve"> will seek treatment,</w:t>
      </w:r>
      <w:r>
        <w:rPr>
          <w:szCs w:val="22"/>
        </w:rPr>
        <w:t xml:space="preserve"> particularly if patients have to be seen in specialist </w:t>
      </w:r>
      <w:r w:rsidRPr="009D0D03">
        <w:rPr>
          <w:szCs w:val="22"/>
        </w:rPr>
        <w:t xml:space="preserve">liver clinics or </w:t>
      </w:r>
      <w:r>
        <w:rPr>
          <w:szCs w:val="22"/>
        </w:rPr>
        <w:t>wait</w:t>
      </w:r>
      <w:r w:rsidRPr="009D0D03">
        <w:rPr>
          <w:szCs w:val="22"/>
        </w:rPr>
        <w:t xml:space="preserve"> for a refe</w:t>
      </w:r>
      <w:r>
        <w:rPr>
          <w:szCs w:val="22"/>
        </w:rPr>
        <w:t>rral to a liver clinic. Prescribing is</w:t>
      </w:r>
      <w:r w:rsidRPr="009D0D03">
        <w:rPr>
          <w:szCs w:val="22"/>
        </w:rPr>
        <w:t xml:space="preserve"> likely to continue to be delivered through specialist clinics in the sh</w:t>
      </w:r>
      <w:r>
        <w:rPr>
          <w:szCs w:val="22"/>
        </w:rPr>
        <w:t xml:space="preserve">ort-term until clinicians in other settings have learned how to use the DAA </w:t>
      </w:r>
      <w:r w:rsidRPr="00D3497A">
        <w:rPr>
          <w:szCs w:val="22"/>
        </w:rPr>
        <w:t>agents</w:t>
      </w:r>
      <w:r>
        <w:rPr>
          <w:szCs w:val="22"/>
        </w:rPr>
        <w:t>.</w:t>
      </w:r>
      <w:r w:rsidRPr="009D0D03">
        <w:rPr>
          <w:szCs w:val="22"/>
        </w:rPr>
        <w:t xml:space="preserve"> Patients may still be required to go through the hospital system as pa</w:t>
      </w:r>
      <w:r>
        <w:rPr>
          <w:szCs w:val="22"/>
        </w:rPr>
        <w:t>rt of their clinical management,</w:t>
      </w:r>
      <w:r w:rsidRPr="009D0D03">
        <w:rPr>
          <w:szCs w:val="22"/>
        </w:rPr>
        <w:t xml:space="preserve"> which could be a limiting factor to uptake.</w:t>
      </w:r>
    </w:p>
    <w:p w:rsidR="00900BCB" w:rsidRDefault="00C946DE" w:rsidP="00C946DE">
      <w:pPr>
        <w:pStyle w:val="ListParagraph"/>
        <w:numPr>
          <w:ilvl w:val="0"/>
          <w:numId w:val="20"/>
        </w:numPr>
        <w:rPr>
          <w:szCs w:val="22"/>
        </w:rPr>
      </w:pPr>
      <w:r>
        <w:rPr>
          <w:szCs w:val="22"/>
        </w:rPr>
        <w:t>Given the very large</w:t>
      </w:r>
      <w:r w:rsidRPr="001F512E">
        <w:rPr>
          <w:szCs w:val="22"/>
        </w:rPr>
        <w:t xml:space="preserve"> opportunity cost, one option would be to restrict access to treatment to those </w:t>
      </w:r>
      <w:r>
        <w:rPr>
          <w:szCs w:val="22"/>
        </w:rPr>
        <w:t>with the highest clinical need. T</w:t>
      </w:r>
      <w:r w:rsidRPr="001F512E">
        <w:rPr>
          <w:szCs w:val="22"/>
        </w:rPr>
        <w:t>he PBAC considered that it was inappropriate to restrict access</w:t>
      </w:r>
      <w:r>
        <w:rPr>
          <w:szCs w:val="22"/>
        </w:rPr>
        <w:t>, given the likely benefit of the DAA agents across the full spectrum of patients with CHC, from those with early disease to those</w:t>
      </w:r>
      <w:r w:rsidRPr="001F512E">
        <w:rPr>
          <w:bCs/>
          <w:szCs w:val="22"/>
        </w:rPr>
        <w:t xml:space="preserve"> patients with </w:t>
      </w:r>
      <w:r>
        <w:rPr>
          <w:bCs/>
          <w:szCs w:val="22"/>
        </w:rPr>
        <w:t xml:space="preserve">existing </w:t>
      </w:r>
      <w:r w:rsidRPr="001F512E">
        <w:rPr>
          <w:bCs/>
          <w:szCs w:val="22"/>
        </w:rPr>
        <w:t>liver cirrhosis and severe portal hypertension, decompensated liver disease, or patients post liver transplant</w:t>
      </w:r>
      <w:r w:rsidRPr="001F512E">
        <w:rPr>
          <w:szCs w:val="22"/>
        </w:rPr>
        <w:t>.</w:t>
      </w:r>
      <w:r>
        <w:rPr>
          <w:szCs w:val="22"/>
        </w:rPr>
        <w:t xml:space="preserve"> The benefits in terms of </w:t>
      </w:r>
      <w:r w:rsidRPr="00D3497A">
        <w:rPr>
          <w:szCs w:val="22"/>
        </w:rPr>
        <w:t>avoidance or delay of decompensated cirrhosis, hepatocellular carcinoma and morbidity</w:t>
      </w:r>
      <w:r>
        <w:rPr>
          <w:szCs w:val="22"/>
        </w:rPr>
        <w:t xml:space="preserve"> are likely to be seen earlier in the most severely ill, but population benefits, such as reduction in transmission of the disease, are likely to occur with wide access to treatment. </w:t>
      </w:r>
    </w:p>
    <w:p w:rsidR="00900BCB" w:rsidRDefault="00900BCB" w:rsidP="00900BCB">
      <w:pPr>
        <w:pStyle w:val="ListParagraph"/>
        <w:rPr>
          <w:szCs w:val="22"/>
        </w:rPr>
      </w:pPr>
    </w:p>
    <w:p w:rsidR="00C946DE" w:rsidRPr="001F512E" w:rsidRDefault="00C946DE" w:rsidP="00900BCB">
      <w:pPr>
        <w:pStyle w:val="ListParagraph"/>
        <w:rPr>
          <w:szCs w:val="22"/>
        </w:rPr>
      </w:pPr>
      <w:r w:rsidRPr="001F512E">
        <w:rPr>
          <w:szCs w:val="22"/>
        </w:rPr>
        <w:t>This and other benefits may be also realised via other community-based programmes and strategies, such as those described in the Fourth National H</w:t>
      </w:r>
      <w:r>
        <w:rPr>
          <w:szCs w:val="22"/>
        </w:rPr>
        <w:t xml:space="preserve">epatitis </w:t>
      </w:r>
      <w:r>
        <w:rPr>
          <w:szCs w:val="22"/>
        </w:rPr>
        <w:lastRenderedPageBreak/>
        <w:t>C Strategy 2014-2017.</w:t>
      </w:r>
    </w:p>
    <w:p w:rsidR="00C946DE" w:rsidRPr="001F512E" w:rsidRDefault="00C946DE" w:rsidP="00C946DE">
      <w:pPr>
        <w:pStyle w:val="ListParagraph"/>
        <w:numPr>
          <w:ilvl w:val="0"/>
          <w:numId w:val="20"/>
        </w:numPr>
        <w:rPr>
          <w:szCs w:val="22"/>
        </w:rPr>
      </w:pPr>
      <w:r>
        <w:rPr>
          <w:szCs w:val="22"/>
        </w:rPr>
        <w:t>T</w:t>
      </w:r>
      <w:r w:rsidRPr="001F512E">
        <w:rPr>
          <w:szCs w:val="22"/>
        </w:rPr>
        <w:t xml:space="preserve">he high </w:t>
      </w:r>
      <w:r>
        <w:rPr>
          <w:szCs w:val="22"/>
        </w:rPr>
        <w:t>response (</w:t>
      </w:r>
      <w:r w:rsidRPr="00DB78F8">
        <w:rPr>
          <w:szCs w:val="22"/>
        </w:rPr>
        <w:t>sustained virologic response measured at 12 weeks</w:t>
      </w:r>
      <w:r>
        <w:rPr>
          <w:szCs w:val="22"/>
        </w:rPr>
        <w:t xml:space="preserve">, </w:t>
      </w:r>
      <w:r w:rsidRPr="001F512E">
        <w:rPr>
          <w:szCs w:val="22"/>
        </w:rPr>
        <w:t>SVR12</w:t>
      </w:r>
      <w:r>
        <w:rPr>
          <w:szCs w:val="22"/>
        </w:rPr>
        <w:t>)</w:t>
      </w:r>
      <w:r w:rsidRPr="001F512E">
        <w:rPr>
          <w:szCs w:val="22"/>
        </w:rPr>
        <w:t xml:space="preserve"> observed in the clinical trials may only be realised if the adherence of patients in Australia to treatment is similar to those in the clinical trials. </w:t>
      </w:r>
      <w:r>
        <w:rPr>
          <w:szCs w:val="22"/>
        </w:rPr>
        <w:t>W</w:t>
      </w:r>
      <w:r w:rsidRPr="001F512E">
        <w:rPr>
          <w:szCs w:val="22"/>
        </w:rPr>
        <w:t>hile there is a patient preference for shorter treatments</w:t>
      </w:r>
      <w:r>
        <w:rPr>
          <w:szCs w:val="22"/>
        </w:rPr>
        <w:t xml:space="preserve">, and new shorter treatment regimens are currently being tested, for some patients, </w:t>
      </w:r>
      <w:r w:rsidRPr="001F512E">
        <w:rPr>
          <w:szCs w:val="22"/>
        </w:rPr>
        <w:t>24 weeks of treatment</w:t>
      </w:r>
      <w:r>
        <w:rPr>
          <w:szCs w:val="22"/>
        </w:rPr>
        <w:t xml:space="preserve"> are necessary. Therefore it is critical that appropriate prescribing education be put in place to ensure that the benefits to the Australian community are maximised.</w:t>
      </w:r>
    </w:p>
    <w:p w:rsidR="00C946DE" w:rsidRPr="001F512E" w:rsidRDefault="00C946DE" w:rsidP="00C946DE">
      <w:pPr>
        <w:pStyle w:val="ListParagraph"/>
        <w:numPr>
          <w:ilvl w:val="0"/>
          <w:numId w:val="20"/>
        </w:numPr>
        <w:rPr>
          <w:szCs w:val="22"/>
        </w:rPr>
      </w:pPr>
      <w:r w:rsidRPr="001F512E">
        <w:rPr>
          <w:szCs w:val="22"/>
        </w:rPr>
        <w:t>The treatment landscape of HCV treatment is changing rapidly, as new DAA agents or new combinations or DAA agents become available and treatment guidelines are regularly updated</w:t>
      </w:r>
      <w:r>
        <w:rPr>
          <w:szCs w:val="22"/>
        </w:rPr>
        <w:t xml:space="preserve">. It is likely that new DAA </w:t>
      </w:r>
      <w:r w:rsidRPr="00D3497A">
        <w:rPr>
          <w:szCs w:val="22"/>
        </w:rPr>
        <w:t>agents</w:t>
      </w:r>
      <w:r>
        <w:rPr>
          <w:szCs w:val="22"/>
        </w:rPr>
        <w:t xml:space="preserve"> will be produced over the next 2 to 3 years that may further increase treatment options.</w:t>
      </w:r>
      <w:r w:rsidRPr="001F512E">
        <w:rPr>
          <w:szCs w:val="22"/>
        </w:rPr>
        <w:t xml:space="preserve"> </w:t>
      </w:r>
    </w:p>
    <w:p w:rsidR="00C946DE" w:rsidRPr="001F512E" w:rsidRDefault="00C946DE" w:rsidP="00C946DE">
      <w:pPr>
        <w:pStyle w:val="ListParagraph"/>
        <w:numPr>
          <w:ilvl w:val="0"/>
          <w:numId w:val="20"/>
        </w:numPr>
        <w:rPr>
          <w:szCs w:val="22"/>
        </w:rPr>
      </w:pPr>
      <w:r>
        <w:rPr>
          <w:szCs w:val="22"/>
        </w:rPr>
        <w:t xml:space="preserve">In this context, </w:t>
      </w:r>
      <w:r w:rsidRPr="001F512E">
        <w:rPr>
          <w:szCs w:val="22"/>
        </w:rPr>
        <w:t>the current treatment for CHC, such as peginterferon and ribavirin alone and in combination with telaprevir, boceprevir or simeprevir, are no longer cost-effective as currently listed</w:t>
      </w:r>
      <w:r>
        <w:rPr>
          <w:szCs w:val="22"/>
        </w:rPr>
        <w:t xml:space="preserve"> especially </w:t>
      </w:r>
      <w:r w:rsidRPr="001F512E">
        <w:rPr>
          <w:szCs w:val="22"/>
        </w:rPr>
        <w:t xml:space="preserve">given the higher rate of adverse effects observed in clinical practice for some treatment combinations compared to those observed in the clinical trials. The Minister may wish to review the listing of these products. The PBAC advised the Department to bring this consideration to the attention of the sponsor of these products. The Commonwealth currently pay approximately $87 million for these treatments. </w:t>
      </w:r>
    </w:p>
    <w:p w:rsidR="000F3076" w:rsidRPr="000F3076" w:rsidRDefault="000F3076" w:rsidP="000F3076">
      <w:pPr>
        <w:pStyle w:val="ListParagraph"/>
        <w:widowControl/>
        <w:rPr>
          <w:szCs w:val="22"/>
        </w:rPr>
      </w:pPr>
    </w:p>
    <w:p w:rsidR="00270697" w:rsidRPr="00270697" w:rsidRDefault="00270697" w:rsidP="00270697">
      <w:pPr>
        <w:widowControl/>
        <w:rPr>
          <w:rFonts w:cs="Times New Roman"/>
          <w:b/>
          <w:snapToGrid/>
          <w:szCs w:val="22"/>
          <w:lang w:eastAsia="en-AU"/>
        </w:rPr>
      </w:pPr>
      <w:r w:rsidRPr="00270697">
        <w:rPr>
          <w:rFonts w:cs="Times New Roman"/>
          <w:b/>
          <w:snapToGrid/>
          <w:szCs w:val="22"/>
          <w:lang w:eastAsia="en-AU"/>
        </w:rPr>
        <w:t>Outcome:</w:t>
      </w:r>
    </w:p>
    <w:p w:rsidR="00270697" w:rsidRDefault="00270697" w:rsidP="00270697">
      <w:pPr>
        <w:widowControl/>
        <w:rPr>
          <w:rFonts w:cs="Times New Roman"/>
          <w:snapToGrid/>
          <w:szCs w:val="22"/>
          <w:lang w:eastAsia="en-AU"/>
        </w:rPr>
      </w:pPr>
      <w:r w:rsidRPr="00270697">
        <w:rPr>
          <w:rFonts w:cs="Times New Roman"/>
          <w:snapToGrid/>
          <w:szCs w:val="22"/>
          <w:lang w:eastAsia="en-AU"/>
        </w:rPr>
        <w:t xml:space="preserve">Rejected </w:t>
      </w:r>
    </w:p>
    <w:p w:rsidR="00270697" w:rsidRPr="00270697" w:rsidRDefault="00270697" w:rsidP="00270697">
      <w:pPr>
        <w:widowControl/>
        <w:rPr>
          <w:rFonts w:cs="Times New Roman"/>
          <w:snapToGrid/>
          <w:szCs w:val="22"/>
          <w:lang w:eastAsia="en-AU"/>
        </w:rPr>
      </w:pPr>
    </w:p>
    <w:p w:rsidR="00A36BB6" w:rsidRPr="00A36BB6" w:rsidRDefault="00A36BB6" w:rsidP="00A36BB6">
      <w:pPr>
        <w:rPr>
          <w:szCs w:val="22"/>
        </w:rPr>
      </w:pPr>
    </w:p>
    <w:p w:rsidR="00A36BB6" w:rsidRPr="00A36BB6" w:rsidRDefault="00A36BB6" w:rsidP="0078618A">
      <w:pPr>
        <w:pStyle w:val="PBACHeading1"/>
        <w:rPr>
          <w:rFonts w:eastAsia="SimSun"/>
          <w:snapToGrid/>
        </w:rPr>
      </w:pPr>
      <w:r w:rsidRPr="00A36BB6">
        <w:rPr>
          <w:rFonts w:eastAsia="SimSun"/>
          <w:snapToGrid/>
        </w:rPr>
        <w:t>Context for Decision</w:t>
      </w:r>
    </w:p>
    <w:p w:rsidR="00A36BB6" w:rsidRPr="00A36BB6" w:rsidRDefault="00A36BB6" w:rsidP="00A36BB6">
      <w:pPr>
        <w:widowControl/>
        <w:ind w:left="720"/>
        <w:contextualSpacing/>
        <w:jc w:val="left"/>
        <w:rPr>
          <w:rFonts w:ascii="Times New Roman" w:hAnsi="Times New Roman" w:cs="Times New Roman"/>
          <w:b/>
          <w:snapToGrid/>
          <w:sz w:val="24"/>
          <w:szCs w:val="24"/>
          <w:lang w:eastAsia="en-AU"/>
        </w:rPr>
      </w:pPr>
    </w:p>
    <w:p w:rsidR="00A36BB6" w:rsidRPr="00A36BB6" w:rsidRDefault="00A36BB6" w:rsidP="00A36BB6">
      <w:pPr>
        <w:widowControl/>
        <w:ind w:left="720"/>
        <w:jc w:val="left"/>
        <w:rPr>
          <w:bCs/>
          <w:szCs w:val="22"/>
          <w:lang w:eastAsia="en-AU"/>
        </w:rPr>
      </w:pPr>
      <w:r w:rsidRPr="00A36BB6">
        <w:rPr>
          <w:bCs/>
          <w:szCs w:val="22"/>
          <w:lang w:eastAsia="en-AU"/>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36BB6" w:rsidRPr="00A36BB6" w:rsidRDefault="00A36BB6" w:rsidP="00A36BB6">
      <w:pPr>
        <w:widowControl/>
        <w:jc w:val="left"/>
        <w:rPr>
          <w:rFonts w:ascii="Times New Roman" w:hAnsi="Times New Roman" w:cs="Times New Roman"/>
          <w:snapToGrid/>
          <w:sz w:val="24"/>
          <w:szCs w:val="24"/>
          <w:lang w:eastAsia="en-AU"/>
        </w:rPr>
      </w:pPr>
    </w:p>
    <w:p w:rsidR="00A36BB6" w:rsidRPr="00A36BB6" w:rsidRDefault="00A36BB6" w:rsidP="0078618A">
      <w:pPr>
        <w:pStyle w:val="PBACHeading1"/>
        <w:rPr>
          <w:rFonts w:eastAsia="SimSun"/>
          <w:snapToGrid/>
        </w:rPr>
      </w:pPr>
      <w:r w:rsidRPr="00A36BB6">
        <w:rPr>
          <w:rFonts w:eastAsia="SimSun"/>
          <w:snapToGrid/>
        </w:rPr>
        <w:t>Sponsor’s Comment</w:t>
      </w:r>
    </w:p>
    <w:p w:rsidR="002106DF" w:rsidRDefault="002106DF" w:rsidP="002106DF">
      <w:pPr>
        <w:widowControl/>
        <w:jc w:val="left"/>
        <w:rPr>
          <w:rFonts w:cs="Times New Roman"/>
          <w:snapToGrid/>
          <w:sz w:val="24"/>
          <w:szCs w:val="24"/>
          <w:lang w:eastAsia="en-AU"/>
        </w:rPr>
      </w:pPr>
    </w:p>
    <w:p w:rsidR="009C45B8" w:rsidRPr="000F4C0A" w:rsidRDefault="009C45B8" w:rsidP="009C45B8">
      <w:pPr>
        <w:widowControl/>
        <w:ind w:firstLine="720"/>
        <w:jc w:val="left"/>
        <w:rPr>
          <w:rFonts w:cs="Times New Roman"/>
          <w:snapToGrid/>
          <w:szCs w:val="22"/>
          <w:lang w:eastAsia="en-AU"/>
        </w:rPr>
      </w:pPr>
      <w:r w:rsidRPr="000F4C0A">
        <w:rPr>
          <w:rFonts w:cs="Times New Roman"/>
          <w:snapToGrid/>
          <w:szCs w:val="22"/>
          <w:lang w:eastAsia="en-AU"/>
        </w:rPr>
        <w:t xml:space="preserve">The Sponsor had no comment. </w:t>
      </w:r>
    </w:p>
    <w:sectPr w:rsidR="009C45B8" w:rsidRPr="000F4C0A" w:rsidSect="00EB3796">
      <w:headerReference w:type="default" r:id="rId9"/>
      <w:footerReference w:type="default" r:id="rId10"/>
      <w:pgSz w:w="11906" w:h="16838"/>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0F56AA" w15:done="0"/>
  <w15:commentEx w15:paraId="22921068" w15:done="0"/>
  <w15:commentEx w15:paraId="38A6F6D1" w15:done="0"/>
  <w15:commentEx w15:paraId="65DE1FCE" w15:done="0"/>
  <w15:commentEx w15:paraId="3A73FF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692" w:rsidRDefault="00A54692" w:rsidP="00124A51">
      <w:r>
        <w:separator/>
      </w:r>
    </w:p>
  </w:endnote>
  <w:endnote w:type="continuationSeparator" w:id="0">
    <w:p w:rsidR="00A54692" w:rsidRDefault="00A54692"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177496"/>
      <w:docPartObj>
        <w:docPartGallery w:val="Page Numbers (Bottom of Page)"/>
        <w:docPartUnique/>
      </w:docPartObj>
    </w:sdtPr>
    <w:sdtEndPr>
      <w:rPr>
        <w:noProof/>
      </w:rPr>
    </w:sdtEndPr>
    <w:sdtContent>
      <w:p w:rsidR="00134905" w:rsidRDefault="00134905">
        <w:pPr>
          <w:pStyle w:val="Footer"/>
          <w:jc w:val="center"/>
        </w:pPr>
        <w:r>
          <w:fldChar w:fldCharType="begin"/>
        </w:r>
        <w:r>
          <w:instrText xml:space="preserve"> PAGE   \* MERGEFORMAT </w:instrText>
        </w:r>
        <w:r>
          <w:fldChar w:fldCharType="separate"/>
        </w:r>
        <w:r w:rsidR="00F15376">
          <w:rPr>
            <w:noProof/>
          </w:rPr>
          <w:t>5</w:t>
        </w:r>
        <w:r>
          <w:rPr>
            <w:noProof/>
          </w:rPr>
          <w:fldChar w:fldCharType="end"/>
        </w:r>
      </w:p>
    </w:sdtContent>
  </w:sdt>
  <w:p w:rsidR="00134905" w:rsidRDefault="00134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692" w:rsidRDefault="00A54692" w:rsidP="00124A51">
      <w:r>
        <w:separator/>
      </w:r>
    </w:p>
  </w:footnote>
  <w:footnote w:type="continuationSeparator" w:id="0">
    <w:p w:rsidR="00A54692" w:rsidRDefault="00A54692"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905" w:rsidRDefault="00134905" w:rsidP="00A46419">
    <w:pPr>
      <w:pStyle w:val="Header"/>
      <w:ind w:left="360"/>
      <w:jc w:val="center"/>
      <w:rPr>
        <w:i/>
        <w:color w:val="808080"/>
      </w:rPr>
    </w:pPr>
    <w:r w:rsidRPr="00A36BB6">
      <w:rPr>
        <w:i/>
        <w:color w:val="808080"/>
      </w:rPr>
      <w:t>Public Summary Document</w:t>
    </w:r>
    <w:r>
      <w:rPr>
        <w:i/>
        <w:color w:val="808080"/>
      </w:rPr>
      <w:t xml:space="preserve"> – March 2015 PBAC Meeting</w:t>
    </w:r>
  </w:p>
  <w:p w:rsidR="00134905" w:rsidRPr="00124A51" w:rsidRDefault="00134905" w:rsidP="002B1C1F">
    <w:pPr>
      <w:tabs>
        <w:tab w:val="left" w:pos="142"/>
        <w:tab w:val="right" w:pos="9027"/>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021E"/>
    <w:multiLevelType w:val="hybridMultilevel"/>
    <w:tmpl w:val="C37871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3C00186"/>
    <w:multiLevelType w:val="hybridMultilevel"/>
    <w:tmpl w:val="5EF8B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2C325D"/>
    <w:multiLevelType w:val="hybridMultilevel"/>
    <w:tmpl w:val="D2DA9C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3747D7E"/>
    <w:multiLevelType w:val="hybridMultilevel"/>
    <w:tmpl w:val="3788C5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92549EC"/>
    <w:multiLevelType w:val="hybridMultilevel"/>
    <w:tmpl w:val="56E6109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6">
    <w:nsid w:val="1FA53955"/>
    <w:multiLevelType w:val="hybridMultilevel"/>
    <w:tmpl w:val="747062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6AE0CAD"/>
    <w:multiLevelType w:val="multilevel"/>
    <w:tmpl w:val="08503A2C"/>
    <w:lvl w:ilvl="0">
      <w:start w:val="1"/>
      <w:numFmt w:val="decimal"/>
      <w:lvlText w:val="%1"/>
      <w:lvlJc w:val="left"/>
      <w:pPr>
        <w:ind w:left="6391"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55F4A5B"/>
    <w:multiLevelType w:val="multilevel"/>
    <w:tmpl w:val="C478A8FC"/>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62D1A01"/>
    <w:multiLevelType w:val="hybridMultilevel"/>
    <w:tmpl w:val="76921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CD7619B"/>
    <w:multiLevelType w:val="hybridMultilevel"/>
    <w:tmpl w:val="A86CDE48"/>
    <w:lvl w:ilvl="0" w:tplc="04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1DC736E"/>
    <w:multiLevelType w:val="hybridMultilevel"/>
    <w:tmpl w:val="0C5A5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41F5076"/>
    <w:multiLevelType w:val="hybridMultilevel"/>
    <w:tmpl w:val="08D8A5C2"/>
    <w:lvl w:ilvl="0" w:tplc="A32E863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718E2CEE"/>
    <w:multiLevelType w:val="hybridMultilevel"/>
    <w:tmpl w:val="E1981B9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7">
    <w:nsid w:val="784D033C"/>
    <w:multiLevelType w:val="multilevel"/>
    <w:tmpl w:val="F238EC1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9">
    <w:nsid w:val="7E8B0129"/>
    <w:multiLevelType w:val="hybridMultilevel"/>
    <w:tmpl w:val="86249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2"/>
  </w:num>
  <w:num w:numId="4">
    <w:abstractNumId w:val="20"/>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9"/>
  </w:num>
  <w:num w:numId="8">
    <w:abstractNumId w:val="10"/>
  </w:num>
  <w:num w:numId="9">
    <w:abstractNumId w:val="11"/>
  </w:num>
  <w:num w:numId="10">
    <w:abstractNumId w:val="16"/>
  </w:num>
  <w:num w:numId="11">
    <w:abstractNumId w:val="18"/>
  </w:num>
  <w:num w:numId="12">
    <w:abstractNumId w:val="5"/>
  </w:num>
  <w:num w:numId="13">
    <w:abstractNumId w:val="14"/>
  </w:num>
  <w:num w:numId="14">
    <w:abstractNumId w:val="2"/>
  </w:num>
  <w:num w:numId="15">
    <w:abstractNumId w:val="9"/>
  </w:num>
  <w:num w:numId="16">
    <w:abstractNumId w:val="13"/>
  </w:num>
  <w:num w:numId="17">
    <w:abstractNumId w:val="6"/>
  </w:num>
  <w:num w:numId="18">
    <w:abstractNumId w:val="4"/>
  </w:num>
  <w:num w:numId="19">
    <w:abstractNumId w:val="8"/>
  </w:num>
  <w:num w:numId="20">
    <w:abstractNumId w:val="1"/>
  </w:num>
  <w:num w:numId="21">
    <w:abstractNumId w:val="7"/>
  </w:num>
  <w:num w:numId="22">
    <w:abstractNumId w:val="0"/>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 Snelling">
    <w15:presenceInfo w15:providerId="Windows Live" w15:userId="750d575ef53cd2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Arial Bold&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s592ea9tx9z58et9xkxszapwzx2svzz0wfx&quot;&gt;Daclatasvir&lt;record-ids&gt;&lt;item&gt;1&lt;/item&gt;&lt;item&gt;2&lt;/item&gt;&lt;item&gt;3&lt;/item&gt;&lt;item&gt;4&lt;/item&gt;&lt;item&gt;5&lt;/item&gt;&lt;item&gt;6&lt;/item&gt;&lt;item&gt;7&lt;/item&gt;&lt;item&gt;8&lt;/item&gt;&lt;item&gt;9&lt;/item&gt;&lt;item&gt;10&lt;/item&gt;&lt;item&gt;11&lt;/item&gt;&lt;item&gt;12&lt;/item&gt;&lt;item&gt;14&lt;/item&gt;&lt;item&gt;15&lt;/item&gt;&lt;item&gt;16&lt;/item&gt;&lt;item&gt;17&lt;/item&gt;&lt;item&gt;18&lt;/item&gt;&lt;item&gt;19&lt;/item&gt;&lt;item&gt;53&lt;/item&gt;&lt;item&gt;54&lt;/item&gt;&lt;item&gt;55&lt;/item&gt;&lt;item&gt;56&lt;/item&gt;&lt;item&gt;58&lt;/item&gt;&lt;item&gt;59&lt;/item&gt;&lt;item&gt;60&lt;/item&gt;&lt;item&gt;61&lt;/item&gt;&lt;item&gt;62&lt;/item&gt;&lt;item&gt;63&lt;/item&gt;&lt;item&gt;64&lt;/item&gt;&lt;item&gt;65&lt;/item&gt;&lt;item&gt;67&lt;/item&gt;&lt;item&gt;71&lt;/item&gt;&lt;item&gt;72&lt;/item&gt;&lt;item&gt;73&lt;/item&gt;&lt;item&gt;74&lt;/item&gt;&lt;item&gt;75&lt;/item&gt;&lt;item&gt;76&lt;/item&gt;&lt;item&gt;80&lt;/item&gt;&lt;item&gt;81&lt;/item&gt;&lt;item&gt;82&lt;/item&gt;&lt;item&gt;83&lt;/item&gt;&lt;item&gt;86&lt;/item&gt;&lt;/record-ids&gt;&lt;/item&gt;&lt;/Libraries&gt;"/>
  </w:docVars>
  <w:rsids>
    <w:rsidRoot w:val="00E65E79"/>
    <w:rsid w:val="000005DD"/>
    <w:rsid w:val="00000790"/>
    <w:rsid w:val="0000110B"/>
    <w:rsid w:val="0000165C"/>
    <w:rsid w:val="00002B63"/>
    <w:rsid w:val="00003499"/>
    <w:rsid w:val="00005274"/>
    <w:rsid w:val="00007AEE"/>
    <w:rsid w:val="00007D3B"/>
    <w:rsid w:val="00011BBD"/>
    <w:rsid w:val="0001228A"/>
    <w:rsid w:val="00012B0B"/>
    <w:rsid w:val="00013247"/>
    <w:rsid w:val="00015886"/>
    <w:rsid w:val="00015A61"/>
    <w:rsid w:val="00015AB3"/>
    <w:rsid w:val="00015F7A"/>
    <w:rsid w:val="000162EF"/>
    <w:rsid w:val="00016F11"/>
    <w:rsid w:val="00021F2A"/>
    <w:rsid w:val="000221AC"/>
    <w:rsid w:val="0002225F"/>
    <w:rsid w:val="00022684"/>
    <w:rsid w:val="00022946"/>
    <w:rsid w:val="00022A01"/>
    <w:rsid w:val="0002346E"/>
    <w:rsid w:val="00023763"/>
    <w:rsid w:val="00026040"/>
    <w:rsid w:val="000267A7"/>
    <w:rsid w:val="00030091"/>
    <w:rsid w:val="000302B7"/>
    <w:rsid w:val="00037A11"/>
    <w:rsid w:val="00037C2E"/>
    <w:rsid w:val="00040895"/>
    <w:rsid w:val="00040C01"/>
    <w:rsid w:val="0004319A"/>
    <w:rsid w:val="00043C37"/>
    <w:rsid w:val="00045CA5"/>
    <w:rsid w:val="00045D15"/>
    <w:rsid w:val="0004608D"/>
    <w:rsid w:val="00046399"/>
    <w:rsid w:val="00046441"/>
    <w:rsid w:val="00046B80"/>
    <w:rsid w:val="00047D48"/>
    <w:rsid w:val="000507F6"/>
    <w:rsid w:val="00051102"/>
    <w:rsid w:val="000518AB"/>
    <w:rsid w:val="000522E8"/>
    <w:rsid w:val="000546D7"/>
    <w:rsid w:val="000560BA"/>
    <w:rsid w:val="000566B6"/>
    <w:rsid w:val="000570F8"/>
    <w:rsid w:val="00057D5E"/>
    <w:rsid w:val="00062663"/>
    <w:rsid w:val="00062A6F"/>
    <w:rsid w:val="00062ACC"/>
    <w:rsid w:val="000630BC"/>
    <w:rsid w:val="000636A7"/>
    <w:rsid w:val="00067646"/>
    <w:rsid w:val="00067F12"/>
    <w:rsid w:val="00071248"/>
    <w:rsid w:val="000720B9"/>
    <w:rsid w:val="000737DF"/>
    <w:rsid w:val="00075B41"/>
    <w:rsid w:val="000812CA"/>
    <w:rsid w:val="000823AC"/>
    <w:rsid w:val="00083C2C"/>
    <w:rsid w:val="00083DFC"/>
    <w:rsid w:val="0008415A"/>
    <w:rsid w:val="00084904"/>
    <w:rsid w:val="00084BE1"/>
    <w:rsid w:val="000858ED"/>
    <w:rsid w:val="00086249"/>
    <w:rsid w:val="00090C7E"/>
    <w:rsid w:val="00093947"/>
    <w:rsid w:val="00097894"/>
    <w:rsid w:val="000A1626"/>
    <w:rsid w:val="000A1680"/>
    <w:rsid w:val="000A2125"/>
    <w:rsid w:val="000A266D"/>
    <w:rsid w:val="000A2B55"/>
    <w:rsid w:val="000A2FB5"/>
    <w:rsid w:val="000A40BF"/>
    <w:rsid w:val="000A4630"/>
    <w:rsid w:val="000A55A2"/>
    <w:rsid w:val="000A6E76"/>
    <w:rsid w:val="000A6ED1"/>
    <w:rsid w:val="000B1471"/>
    <w:rsid w:val="000B24A3"/>
    <w:rsid w:val="000B3323"/>
    <w:rsid w:val="000B487C"/>
    <w:rsid w:val="000B4E80"/>
    <w:rsid w:val="000B5016"/>
    <w:rsid w:val="000B6414"/>
    <w:rsid w:val="000B678B"/>
    <w:rsid w:val="000B6B4F"/>
    <w:rsid w:val="000B7294"/>
    <w:rsid w:val="000C25CB"/>
    <w:rsid w:val="000C25F2"/>
    <w:rsid w:val="000C2955"/>
    <w:rsid w:val="000C2B73"/>
    <w:rsid w:val="000C3477"/>
    <w:rsid w:val="000C359D"/>
    <w:rsid w:val="000C48F9"/>
    <w:rsid w:val="000C49AB"/>
    <w:rsid w:val="000C5B82"/>
    <w:rsid w:val="000C5C1F"/>
    <w:rsid w:val="000C5CE6"/>
    <w:rsid w:val="000C602F"/>
    <w:rsid w:val="000D09B0"/>
    <w:rsid w:val="000D120C"/>
    <w:rsid w:val="000D14A3"/>
    <w:rsid w:val="000D1776"/>
    <w:rsid w:val="000D1981"/>
    <w:rsid w:val="000D1BFC"/>
    <w:rsid w:val="000D29E9"/>
    <w:rsid w:val="000D488A"/>
    <w:rsid w:val="000D5667"/>
    <w:rsid w:val="000D75DE"/>
    <w:rsid w:val="000E3149"/>
    <w:rsid w:val="000E49C1"/>
    <w:rsid w:val="000E53A3"/>
    <w:rsid w:val="000E7ED6"/>
    <w:rsid w:val="000F1166"/>
    <w:rsid w:val="000F2816"/>
    <w:rsid w:val="000F3076"/>
    <w:rsid w:val="000F4BB8"/>
    <w:rsid w:val="000F4C0A"/>
    <w:rsid w:val="000F5236"/>
    <w:rsid w:val="000F5330"/>
    <w:rsid w:val="000F5922"/>
    <w:rsid w:val="000F653B"/>
    <w:rsid w:val="000F7127"/>
    <w:rsid w:val="000F77E5"/>
    <w:rsid w:val="00100A0F"/>
    <w:rsid w:val="00100F8A"/>
    <w:rsid w:val="00103086"/>
    <w:rsid w:val="001030EC"/>
    <w:rsid w:val="00103428"/>
    <w:rsid w:val="00104D8E"/>
    <w:rsid w:val="0010612A"/>
    <w:rsid w:val="0011032E"/>
    <w:rsid w:val="0011119F"/>
    <w:rsid w:val="00111EC8"/>
    <w:rsid w:val="0011348B"/>
    <w:rsid w:val="00113A0C"/>
    <w:rsid w:val="00113E30"/>
    <w:rsid w:val="00115970"/>
    <w:rsid w:val="00115F29"/>
    <w:rsid w:val="001177D6"/>
    <w:rsid w:val="00117E9D"/>
    <w:rsid w:val="00117F38"/>
    <w:rsid w:val="00120656"/>
    <w:rsid w:val="00121799"/>
    <w:rsid w:val="001222FC"/>
    <w:rsid w:val="00123604"/>
    <w:rsid w:val="00124244"/>
    <w:rsid w:val="00124A51"/>
    <w:rsid w:val="00126311"/>
    <w:rsid w:val="00126621"/>
    <w:rsid w:val="0012789E"/>
    <w:rsid w:val="001301E9"/>
    <w:rsid w:val="00131EE2"/>
    <w:rsid w:val="00132482"/>
    <w:rsid w:val="00132E8B"/>
    <w:rsid w:val="00134014"/>
    <w:rsid w:val="001340CC"/>
    <w:rsid w:val="001347DF"/>
    <w:rsid w:val="00134905"/>
    <w:rsid w:val="00134AA3"/>
    <w:rsid w:val="001373E4"/>
    <w:rsid w:val="00137587"/>
    <w:rsid w:val="00137645"/>
    <w:rsid w:val="001378EB"/>
    <w:rsid w:val="00137E6A"/>
    <w:rsid w:val="0014015A"/>
    <w:rsid w:val="00140E99"/>
    <w:rsid w:val="00141C9F"/>
    <w:rsid w:val="00142910"/>
    <w:rsid w:val="00142C20"/>
    <w:rsid w:val="001440A8"/>
    <w:rsid w:val="001441B1"/>
    <w:rsid w:val="00144C4A"/>
    <w:rsid w:val="00145432"/>
    <w:rsid w:val="00145540"/>
    <w:rsid w:val="001456B0"/>
    <w:rsid w:val="001458AE"/>
    <w:rsid w:val="00145FDA"/>
    <w:rsid w:val="001469AB"/>
    <w:rsid w:val="00146EB2"/>
    <w:rsid w:val="0014778E"/>
    <w:rsid w:val="00151877"/>
    <w:rsid w:val="00152AFF"/>
    <w:rsid w:val="001570C4"/>
    <w:rsid w:val="00157130"/>
    <w:rsid w:val="00160C6C"/>
    <w:rsid w:val="001622C9"/>
    <w:rsid w:val="00162913"/>
    <w:rsid w:val="00163C5B"/>
    <w:rsid w:val="00163EFF"/>
    <w:rsid w:val="001661FB"/>
    <w:rsid w:val="00173079"/>
    <w:rsid w:val="00174FBC"/>
    <w:rsid w:val="00176F90"/>
    <w:rsid w:val="001778D2"/>
    <w:rsid w:val="00177E81"/>
    <w:rsid w:val="00181E21"/>
    <w:rsid w:val="00182510"/>
    <w:rsid w:val="0018435B"/>
    <w:rsid w:val="0018474A"/>
    <w:rsid w:val="001852D5"/>
    <w:rsid w:val="001856EC"/>
    <w:rsid w:val="0018752F"/>
    <w:rsid w:val="00191097"/>
    <w:rsid w:val="0019188B"/>
    <w:rsid w:val="00191C03"/>
    <w:rsid w:val="00195222"/>
    <w:rsid w:val="00195C53"/>
    <w:rsid w:val="001967EC"/>
    <w:rsid w:val="001975D8"/>
    <w:rsid w:val="001A19BE"/>
    <w:rsid w:val="001A3F54"/>
    <w:rsid w:val="001A4AC5"/>
    <w:rsid w:val="001A6BB0"/>
    <w:rsid w:val="001B04CE"/>
    <w:rsid w:val="001B17BE"/>
    <w:rsid w:val="001B3092"/>
    <w:rsid w:val="001B3443"/>
    <w:rsid w:val="001B3E62"/>
    <w:rsid w:val="001B6DBF"/>
    <w:rsid w:val="001B72E3"/>
    <w:rsid w:val="001C0448"/>
    <w:rsid w:val="001C179B"/>
    <w:rsid w:val="001C1DA6"/>
    <w:rsid w:val="001C20F4"/>
    <w:rsid w:val="001C2B2C"/>
    <w:rsid w:val="001C2C70"/>
    <w:rsid w:val="001C444A"/>
    <w:rsid w:val="001C464F"/>
    <w:rsid w:val="001C530E"/>
    <w:rsid w:val="001C6E66"/>
    <w:rsid w:val="001C7573"/>
    <w:rsid w:val="001D14FC"/>
    <w:rsid w:val="001D24C4"/>
    <w:rsid w:val="001D724C"/>
    <w:rsid w:val="001E0918"/>
    <w:rsid w:val="001E0DB9"/>
    <w:rsid w:val="001E1C15"/>
    <w:rsid w:val="001E238E"/>
    <w:rsid w:val="001E2B1E"/>
    <w:rsid w:val="001E2F87"/>
    <w:rsid w:val="001E52EB"/>
    <w:rsid w:val="001E740C"/>
    <w:rsid w:val="001E7610"/>
    <w:rsid w:val="001E78C3"/>
    <w:rsid w:val="001E7B58"/>
    <w:rsid w:val="001F1235"/>
    <w:rsid w:val="001F14FE"/>
    <w:rsid w:val="001F1566"/>
    <w:rsid w:val="001F194C"/>
    <w:rsid w:val="001F1CB3"/>
    <w:rsid w:val="001F3855"/>
    <w:rsid w:val="001F4368"/>
    <w:rsid w:val="001F4EE5"/>
    <w:rsid w:val="001F5942"/>
    <w:rsid w:val="001F5ACD"/>
    <w:rsid w:val="001F7361"/>
    <w:rsid w:val="00202ACB"/>
    <w:rsid w:val="00202C7E"/>
    <w:rsid w:val="002030C2"/>
    <w:rsid w:val="0020385F"/>
    <w:rsid w:val="00207021"/>
    <w:rsid w:val="002071CB"/>
    <w:rsid w:val="0020794A"/>
    <w:rsid w:val="00207D00"/>
    <w:rsid w:val="002105C1"/>
    <w:rsid w:val="002106DF"/>
    <w:rsid w:val="00210801"/>
    <w:rsid w:val="002109AE"/>
    <w:rsid w:val="0021130C"/>
    <w:rsid w:val="0021223F"/>
    <w:rsid w:val="0021501D"/>
    <w:rsid w:val="00216B85"/>
    <w:rsid w:val="00221758"/>
    <w:rsid w:val="00223B49"/>
    <w:rsid w:val="00224DD4"/>
    <w:rsid w:val="0022538E"/>
    <w:rsid w:val="00226AC8"/>
    <w:rsid w:val="00227EEE"/>
    <w:rsid w:val="002309CC"/>
    <w:rsid w:val="002318C2"/>
    <w:rsid w:val="0023371D"/>
    <w:rsid w:val="0023472A"/>
    <w:rsid w:val="00235D46"/>
    <w:rsid w:val="0023672F"/>
    <w:rsid w:val="00236882"/>
    <w:rsid w:val="00237186"/>
    <w:rsid w:val="00242918"/>
    <w:rsid w:val="002434A5"/>
    <w:rsid w:val="00243EF4"/>
    <w:rsid w:val="00245368"/>
    <w:rsid w:val="0024606A"/>
    <w:rsid w:val="002469EB"/>
    <w:rsid w:val="00246D10"/>
    <w:rsid w:val="0024742B"/>
    <w:rsid w:val="0025087E"/>
    <w:rsid w:val="00251DB7"/>
    <w:rsid w:val="00253562"/>
    <w:rsid w:val="002542B3"/>
    <w:rsid w:val="00254DCF"/>
    <w:rsid w:val="0025534B"/>
    <w:rsid w:val="00255BB7"/>
    <w:rsid w:val="002561CA"/>
    <w:rsid w:val="002600C2"/>
    <w:rsid w:val="00262A87"/>
    <w:rsid w:val="0026328E"/>
    <w:rsid w:val="00263CA3"/>
    <w:rsid w:val="00264360"/>
    <w:rsid w:val="00265D84"/>
    <w:rsid w:val="00267314"/>
    <w:rsid w:val="002675A0"/>
    <w:rsid w:val="00270697"/>
    <w:rsid w:val="00271339"/>
    <w:rsid w:val="00274DAD"/>
    <w:rsid w:val="00275C5A"/>
    <w:rsid w:val="00280AB7"/>
    <w:rsid w:val="00281014"/>
    <w:rsid w:val="00281926"/>
    <w:rsid w:val="00282761"/>
    <w:rsid w:val="00283531"/>
    <w:rsid w:val="002844ED"/>
    <w:rsid w:val="00284D20"/>
    <w:rsid w:val="0028531B"/>
    <w:rsid w:val="00287C85"/>
    <w:rsid w:val="00291C9E"/>
    <w:rsid w:val="00293694"/>
    <w:rsid w:val="00293958"/>
    <w:rsid w:val="002940A9"/>
    <w:rsid w:val="002959CF"/>
    <w:rsid w:val="00295B0A"/>
    <w:rsid w:val="002A0E35"/>
    <w:rsid w:val="002A14AB"/>
    <w:rsid w:val="002B1C1F"/>
    <w:rsid w:val="002B1DE8"/>
    <w:rsid w:val="002B36D2"/>
    <w:rsid w:val="002B430C"/>
    <w:rsid w:val="002B432F"/>
    <w:rsid w:val="002B43AD"/>
    <w:rsid w:val="002B50A8"/>
    <w:rsid w:val="002B6186"/>
    <w:rsid w:val="002B685D"/>
    <w:rsid w:val="002B6CCE"/>
    <w:rsid w:val="002B78A9"/>
    <w:rsid w:val="002C05FB"/>
    <w:rsid w:val="002C17E1"/>
    <w:rsid w:val="002C2775"/>
    <w:rsid w:val="002C27C1"/>
    <w:rsid w:val="002C5CD8"/>
    <w:rsid w:val="002D0FC3"/>
    <w:rsid w:val="002D1DCC"/>
    <w:rsid w:val="002D458A"/>
    <w:rsid w:val="002D653E"/>
    <w:rsid w:val="002D729C"/>
    <w:rsid w:val="002E0188"/>
    <w:rsid w:val="002E311F"/>
    <w:rsid w:val="002E385F"/>
    <w:rsid w:val="002E516A"/>
    <w:rsid w:val="002F138E"/>
    <w:rsid w:val="002F2705"/>
    <w:rsid w:val="002F473A"/>
    <w:rsid w:val="002F4E2E"/>
    <w:rsid w:val="002F5836"/>
    <w:rsid w:val="002F6794"/>
    <w:rsid w:val="002F68A0"/>
    <w:rsid w:val="002F6C6E"/>
    <w:rsid w:val="002F7AB1"/>
    <w:rsid w:val="00300D80"/>
    <w:rsid w:val="00301017"/>
    <w:rsid w:val="00301E64"/>
    <w:rsid w:val="0030373E"/>
    <w:rsid w:val="00303878"/>
    <w:rsid w:val="00304658"/>
    <w:rsid w:val="00304DF5"/>
    <w:rsid w:val="00305187"/>
    <w:rsid w:val="003055BA"/>
    <w:rsid w:val="003063E8"/>
    <w:rsid w:val="003074C2"/>
    <w:rsid w:val="0030786C"/>
    <w:rsid w:val="003100B6"/>
    <w:rsid w:val="0031023B"/>
    <w:rsid w:val="0031031A"/>
    <w:rsid w:val="00310513"/>
    <w:rsid w:val="00310981"/>
    <w:rsid w:val="003122F2"/>
    <w:rsid w:val="003130BC"/>
    <w:rsid w:val="00314259"/>
    <w:rsid w:val="00315498"/>
    <w:rsid w:val="00321005"/>
    <w:rsid w:val="00323841"/>
    <w:rsid w:val="00323F4D"/>
    <w:rsid w:val="003241BE"/>
    <w:rsid w:val="00324E82"/>
    <w:rsid w:val="00325AC0"/>
    <w:rsid w:val="003264BA"/>
    <w:rsid w:val="0032657D"/>
    <w:rsid w:val="00327427"/>
    <w:rsid w:val="00327DC1"/>
    <w:rsid w:val="003304B4"/>
    <w:rsid w:val="003306D0"/>
    <w:rsid w:val="003309AB"/>
    <w:rsid w:val="0033121D"/>
    <w:rsid w:val="00333FCC"/>
    <w:rsid w:val="00335D48"/>
    <w:rsid w:val="003366C9"/>
    <w:rsid w:val="00337169"/>
    <w:rsid w:val="003371B0"/>
    <w:rsid w:val="00337DAF"/>
    <w:rsid w:val="00340128"/>
    <w:rsid w:val="00340426"/>
    <w:rsid w:val="00343293"/>
    <w:rsid w:val="00344A69"/>
    <w:rsid w:val="00345CB2"/>
    <w:rsid w:val="00346CD9"/>
    <w:rsid w:val="00351590"/>
    <w:rsid w:val="003518D9"/>
    <w:rsid w:val="00351B6E"/>
    <w:rsid w:val="00351E9D"/>
    <w:rsid w:val="00354847"/>
    <w:rsid w:val="0035620E"/>
    <w:rsid w:val="003612FD"/>
    <w:rsid w:val="00361358"/>
    <w:rsid w:val="00363CC5"/>
    <w:rsid w:val="00364DB0"/>
    <w:rsid w:val="0036503C"/>
    <w:rsid w:val="003658DD"/>
    <w:rsid w:val="00365BEA"/>
    <w:rsid w:val="003668A3"/>
    <w:rsid w:val="00370871"/>
    <w:rsid w:val="003734A9"/>
    <w:rsid w:val="00374B96"/>
    <w:rsid w:val="00375936"/>
    <w:rsid w:val="003768EA"/>
    <w:rsid w:val="00377024"/>
    <w:rsid w:val="0038365C"/>
    <w:rsid w:val="003849FB"/>
    <w:rsid w:val="003852DC"/>
    <w:rsid w:val="003853A2"/>
    <w:rsid w:val="003874DE"/>
    <w:rsid w:val="00387F30"/>
    <w:rsid w:val="00391728"/>
    <w:rsid w:val="00392805"/>
    <w:rsid w:val="003962DB"/>
    <w:rsid w:val="00396953"/>
    <w:rsid w:val="00396FD0"/>
    <w:rsid w:val="003A0524"/>
    <w:rsid w:val="003A1A61"/>
    <w:rsid w:val="003A1A7A"/>
    <w:rsid w:val="003A21B7"/>
    <w:rsid w:val="003A2E0C"/>
    <w:rsid w:val="003A3C3A"/>
    <w:rsid w:val="003A7BB7"/>
    <w:rsid w:val="003A7CD9"/>
    <w:rsid w:val="003B014B"/>
    <w:rsid w:val="003B0354"/>
    <w:rsid w:val="003B1EF2"/>
    <w:rsid w:val="003B3887"/>
    <w:rsid w:val="003B3B62"/>
    <w:rsid w:val="003B43A0"/>
    <w:rsid w:val="003B45E8"/>
    <w:rsid w:val="003B4E0F"/>
    <w:rsid w:val="003B569C"/>
    <w:rsid w:val="003B5889"/>
    <w:rsid w:val="003B7085"/>
    <w:rsid w:val="003B74F1"/>
    <w:rsid w:val="003B78BD"/>
    <w:rsid w:val="003B7F94"/>
    <w:rsid w:val="003C408A"/>
    <w:rsid w:val="003C6603"/>
    <w:rsid w:val="003C6767"/>
    <w:rsid w:val="003C6E7F"/>
    <w:rsid w:val="003D0A55"/>
    <w:rsid w:val="003D0A72"/>
    <w:rsid w:val="003D1828"/>
    <w:rsid w:val="003D1B7F"/>
    <w:rsid w:val="003D2422"/>
    <w:rsid w:val="003D349D"/>
    <w:rsid w:val="003D4016"/>
    <w:rsid w:val="003D7D92"/>
    <w:rsid w:val="003E06AF"/>
    <w:rsid w:val="003E4E4D"/>
    <w:rsid w:val="003E4FE7"/>
    <w:rsid w:val="003E5A64"/>
    <w:rsid w:val="003E5D4A"/>
    <w:rsid w:val="003F1137"/>
    <w:rsid w:val="003F2054"/>
    <w:rsid w:val="003F3354"/>
    <w:rsid w:val="003F3DE1"/>
    <w:rsid w:val="003F4156"/>
    <w:rsid w:val="003F43CE"/>
    <w:rsid w:val="003F4B31"/>
    <w:rsid w:val="003F4CF7"/>
    <w:rsid w:val="003F5710"/>
    <w:rsid w:val="003F6672"/>
    <w:rsid w:val="003F733A"/>
    <w:rsid w:val="003F7821"/>
    <w:rsid w:val="003F7EBD"/>
    <w:rsid w:val="00402704"/>
    <w:rsid w:val="00402ED6"/>
    <w:rsid w:val="00405FB8"/>
    <w:rsid w:val="00405FB9"/>
    <w:rsid w:val="00407956"/>
    <w:rsid w:val="00407CC3"/>
    <w:rsid w:val="00410708"/>
    <w:rsid w:val="00410EC7"/>
    <w:rsid w:val="00412C1B"/>
    <w:rsid w:val="00412C5D"/>
    <w:rsid w:val="00414476"/>
    <w:rsid w:val="0041458D"/>
    <w:rsid w:val="004155A1"/>
    <w:rsid w:val="00416C99"/>
    <w:rsid w:val="004175C5"/>
    <w:rsid w:val="00417766"/>
    <w:rsid w:val="0042048E"/>
    <w:rsid w:val="00420492"/>
    <w:rsid w:val="00420B9F"/>
    <w:rsid w:val="00420BC4"/>
    <w:rsid w:val="004220C7"/>
    <w:rsid w:val="004230BD"/>
    <w:rsid w:val="00423377"/>
    <w:rsid w:val="00423DE4"/>
    <w:rsid w:val="00424343"/>
    <w:rsid w:val="004248E9"/>
    <w:rsid w:val="00426139"/>
    <w:rsid w:val="0042670E"/>
    <w:rsid w:val="00426BB5"/>
    <w:rsid w:val="00426D72"/>
    <w:rsid w:val="0042704B"/>
    <w:rsid w:val="0043093D"/>
    <w:rsid w:val="004319F8"/>
    <w:rsid w:val="00433044"/>
    <w:rsid w:val="004337D9"/>
    <w:rsid w:val="00437C1A"/>
    <w:rsid w:val="00440577"/>
    <w:rsid w:val="004443A7"/>
    <w:rsid w:val="004445D7"/>
    <w:rsid w:val="0044551D"/>
    <w:rsid w:val="004464EB"/>
    <w:rsid w:val="00447508"/>
    <w:rsid w:val="00447834"/>
    <w:rsid w:val="004514F3"/>
    <w:rsid w:val="004516B7"/>
    <w:rsid w:val="0045277F"/>
    <w:rsid w:val="004528FB"/>
    <w:rsid w:val="00452FC8"/>
    <w:rsid w:val="0045338C"/>
    <w:rsid w:val="00453A2D"/>
    <w:rsid w:val="0045437D"/>
    <w:rsid w:val="004558BB"/>
    <w:rsid w:val="00455D45"/>
    <w:rsid w:val="004614FF"/>
    <w:rsid w:val="00461930"/>
    <w:rsid w:val="0046247B"/>
    <w:rsid w:val="00464595"/>
    <w:rsid w:val="0046718E"/>
    <w:rsid w:val="00470899"/>
    <w:rsid w:val="00471115"/>
    <w:rsid w:val="00472909"/>
    <w:rsid w:val="00472923"/>
    <w:rsid w:val="0047660C"/>
    <w:rsid w:val="00480FB1"/>
    <w:rsid w:val="00481A25"/>
    <w:rsid w:val="00482522"/>
    <w:rsid w:val="0048446C"/>
    <w:rsid w:val="004867E2"/>
    <w:rsid w:val="00486EFD"/>
    <w:rsid w:val="0048705C"/>
    <w:rsid w:val="00490B43"/>
    <w:rsid w:val="0049162F"/>
    <w:rsid w:val="00491B3A"/>
    <w:rsid w:val="00492CFD"/>
    <w:rsid w:val="00494FAD"/>
    <w:rsid w:val="004962D2"/>
    <w:rsid w:val="00497AB9"/>
    <w:rsid w:val="004A0B63"/>
    <w:rsid w:val="004A0DA1"/>
    <w:rsid w:val="004A159F"/>
    <w:rsid w:val="004A1F4B"/>
    <w:rsid w:val="004A2514"/>
    <w:rsid w:val="004A29F9"/>
    <w:rsid w:val="004A3B98"/>
    <w:rsid w:val="004A4C85"/>
    <w:rsid w:val="004A5F65"/>
    <w:rsid w:val="004A6554"/>
    <w:rsid w:val="004A6597"/>
    <w:rsid w:val="004A6CA8"/>
    <w:rsid w:val="004A6E56"/>
    <w:rsid w:val="004B036A"/>
    <w:rsid w:val="004B0BED"/>
    <w:rsid w:val="004B1822"/>
    <w:rsid w:val="004B1C4A"/>
    <w:rsid w:val="004B1CB4"/>
    <w:rsid w:val="004B1E22"/>
    <w:rsid w:val="004B2BB6"/>
    <w:rsid w:val="004B2F18"/>
    <w:rsid w:val="004B3454"/>
    <w:rsid w:val="004B3B48"/>
    <w:rsid w:val="004B3DDB"/>
    <w:rsid w:val="004B44FD"/>
    <w:rsid w:val="004B4F41"/>
    <w:rsid w:val="004B5094"/>
    <w:rsid w:val="004B5CFC"/>
    <w:rsid w:val="004B5E76"/>
    <w:rsid w:val="004B65FB"/>
    <w:rsid w:val="004B78F7"/>
    <w:rsid w:val="004B79D5"/>
    <w:rsid w:val="004C019E"/>
    <w:rsid w:val="004C021D"/>
    <w:rsid w:val="004C34EB"/>
    <w:rsid w:val="004C4A94"/>
    <w:rsid w:val="004C4AED"/>
    <w:rsid w:val="004C63CB"/>
    <w:rsid w:val="004D06A5"/>
    <w:rsid w:val="004D2EB9"/>
    <w:rsid w:val="004D4212"/>
    <w:rsid w:val="004D5203"/>
    <w:rsid w:val="004D7972"/>
    <w:rsid w:val="004D7AA6"/>
    <w:rsid w:val="004E0EB8"/>
    <w:rsid w:val="004E2ADC"/>
    <w:rsid w:val="004E43B2"/>
    <w:rsid w:val="004E476A"/>
    <w:rsid w:val="004E481A"/>
    <w:rsid w:val="004E50C1"/>
    <w:rsid w:val="004F0E7C"/>
    <w:rsid w:val="004F1747"/>
    <w:rsid w:val="004F1A2B"/>
    <w:rsid w:val="004F1A95"/>
    <w:rsid w:val="004F1D02"/>
    <w:rsid w:val="004F2679"/>
    <w:rsid w:val="004F402B"/>
    <w:rsid w:val="004F6954"/>
    <w:rsid w:val="004F72B4"/>
    <w:rsid w:val="004F7865"/>
    <w:rsid w:val="004F7BEA"/>
    <w:rsid w:val="005036FD"/>
    <w:rsid w:val="00503A4F"/>
    <w:rsid w:val="0050448C"/>
    <w:rsid w:val="00504515"/>
    <w:rsid w:val="00504629"/>
    <w:rsid w:val="00504A06"/>
    <w:rsid w:val="005062FE"/>
    <w:rsid w:val="00506928"/>
    <w:rsid w:val="00512EBA"/>
    <w:rsid w:val="00513598"/>
    <w:rsid w:val="005152B5"/>
    <w:rsid w:val="005156AC"/>
    <w:rsid w:val="005204FE"/>
    <w:rsid w:val="005208D6"/>
    <w:rsid w:val="00520B07"/>
    <w:rsid w:val="00521319"/>
    <w:rsid w:val="00521714"/>
    <w:rsid w:val="005219AD"/>
    <w:rsid w:val="005221B3"/>
    <w:rsid w:val="00523C28"/>
    <w:rsid w:val="00524A28"/>
    <w:rsid w:val="0052627A"/>
    <w:rsid w:val="00526D70"/>
    <w:rsid w:val="005273C2"/>
    <w:rsid w:val="0053070D"/>
    <w:rsid w:val="00530AC5"/>
    <w:rsid w:val="00530C36"/>
    <w:rsid w:val="0053124E"/>
    <w:rsid w:val="005316B5"/>
    <w:rsid w:val="005328EF"/>
    <w:rsid w:val="00532BDF"/>
    <w:rsid w:val="005335D5"/>
    <w:rsid w:val="00535090"/>
    <w:rsid w:val="00537985"/>
    <w:rsid w:val="00541B56"/>
    <w:rsid w:val="00547E17"/>
    <w:rsid w:val="0055023D"/>
    <w:rsid w:val="00550FEC"/>
    <w:rsid w:val="00552BD3"/>
    <w:rsid w:val="00555109"/>
    <w:rsid w:val="00555B49"/>
    <w:rsid w:val="00555F0A"/>
    <w:rsid w:val="005563D0"/>
    <w:rsid w:val="00556C9C"/>
    <w:rsid w:val="005606B4"/>
    <w:rsid w:val="00561E92"/>
    <w:rsid w:val="00562218"/>
    <w:rsid w:val="0056237A"/>
    <w:rsid w:val="005648EC"/>
    <w:rsid w:val="005651AE"/>
    <w:rsid w:val="00566834"/>
    <w:rsid w:val="0056696F"/>
    <w:rsid w:val="00570B03"/>
    <w:rsid w:val="00572C28"/>
    <w:rsid w:val="00572D83"/>
    <w:rsid w:val="00574C78"/>
    <w:rsid w:val="005752E6"/>
    <w:rsid w:val="005753A2"/>
    <w:rsid w:val="005758D6"/>
    <w:rsid w:val="00575D8D"/>
    <w:rsid w:val="00576972"/>
    <w:rsid w:val="00576C81"/>
    <w:rsid w:val="00577186"/>
    <w:rsid w:val="005773AF"/>
    <w:rsid w:val="00580C3D"/>
    <w:rsid w:val="00582BB4"/>
    <w:rsid w:val="005834D3"/>
    <w:rsid w:val="00583699"/>
    <w:rsid w:val="00585A62"/>
    <w:rsid w:val="00590177"/>
    <w:rsid w:val="0059038C"/>
    <w:rsid w:val="00590C2D"/>
    <w:rsid w:val="005916EF"/>
    <w:rsid w:val="00591A40"/>
    <w:rsid w:val="005948A3"/>
    <w:rsid w:val="00595553"/>
    <w:rsid w:val="0059627D"/>
    <w:rsid w:val="00596C51"/>
    <w:rsid w:val="005A0C0C"/>
    <w:rsid w:val="005A0E30"/>
    <w:rsid w:val="005A1E3E"/>
    <w:rsid w:val="005A6BC6"/>
    <w:rsid w:val="005B3F22"/>
    <w:rsid w:val="005B41BE"/>
    <w:rsid w:val="005B48F1"/>
    <w:rsid w:val="005B513D"/>
    <w:rsid w:val="005B5857"/>
    <w:rsid w:val="005B75D1"/>
    <w:rsid w:val="005C0F50"/>
    <w:rsid w:val="005C1B83"/>
    <w:rsid w:val="005C346B"/>
    <w:rsid w:val="005C37DB"/>
    <w:rsid w:val="005C47EF"/>
    <w:rsid w:val="005C705F"/>
    <w:rsid w:val="005D044D"/>
    <w:rsid w:val="005D07DE"/>
    <w:rsid w:val="005D18AD"/>
    <w:rsid w:val="005D226D"/>
    <w:rsid w:val="005D29C1"/>
    <w:rsid w:val="005D300D"/>
    <w:rsid w:val="005D3658"/>
    <w:rsid w:val="005D4477"/>
    <w:rsid w:val="005D6733"/>
    <w:rsid w:val="005D71AC"/>
    <w:rsid w:val="005D72A4"/>
    <w:rsid w:val="005D7461"/>
    <w:rsid w:val="005D7C2E"/>
    <w:rsid w:val="005E0D40"/>
    <w:rsid w:val="005E16F8"/>
    <w:rsid w:val="005E4EC2"/>
    <w:rsid w:val="005E5125"/>
    <w:rsid w:val="005E6540"/>
    <w:rsid w:val="005E6604"/>
    <w:rsid w:val="005E73C0"/>
    <w:rsid w:val="005F14B4"/>
    <w:rsid w:val="005F1B43"/>
    <w:rsid w:val="005F2599"/>
    <w:rsid w:val="005F2706"/>
    <w:rsid w:val="005F39D9"/>
    <w:rsid w:val="005F4F7B"/>
    <w:rsid w:val="005F6434"/>
    <w:rsid w:val="005F6A8F"/>
    <w:rsid w:val="005F7D4D"/>
    <w:rsid w:val="0060149C"/>
    <w:rsid w:val="00601B3B"/>
    <w:rsid w:val="00602521"/>
    <w:rsid w:val="00602E7B"/>
    <w:rsid w:val="006048B3"/>
    <w:rsid w:val="00604934"/>
    <w:rsid w:val="0060568F"/>
    <w:rsid w:val="00605BA4"/>
    <w:rsid w:val="00605BAE"/>
    <w:rsid w:val="00606E43"/>
    <w:rsid w:val="00607669"/>
    <w:rsid w:val="00607CCD"/>
    <w:rsid w:val="00610692"/>
    <w:rsid w:val="00610A74"/>
    <w:rsid w:val="00610C15"/>
    <w:rsid w:val="00612A38"/>
    <w:rsid w:val="00612F97"/>
    <w:rsid w:val="006132FC"/>
    <w:rsid w:val="00616802"/>
    <w:rsid w:val="00617E00"/>
    <w:rsid w:val="00617E12"/>
    <w:rsid w:val="00620DA5"/>
    <w:rsid w:val="00621477"/>
    <w:rsid w:val="00622116"/>
    <w:rsid w:val="006237D2"/>
    <w:rsid w:val="00623913"/>
    <w:rsid w:val="0062468C"/>
    <w:rsid w:val="00624882"/>
    <w:rsid w:val="00626A39"/>
    <w:rsid w:val="006316B0"/>
    <w:rsid w:val="00631911"/>
    <w:rsid w:val="00631D6B"/>
    <w:rsid w:val="0063295A"/>
    <w:rsid w:val="00633F94"/>
    <w:rsid w:val="0063416F"/>
    <w:rsid w:val="0063479F"/>
    <w:rsid w:val="006364A1"/>
    <w:rsid w:val="0063760A"/>
    <w:rsid w:val="00637A5B"/>
    <w:rsid w:val="00637BFD"/>
    <w:rsid w:val="006408E0"/>
    <w:rsid w:val="006410C9"/>
    <w:rsid w:val="006450CB"/>
    <w:rsid w:val="0064627B"/>
    <w:rsid w:val="006471CC"/>
    <w:rsid w:val="006473D7"/>
    <w:rsid w:val="006502EB"/>
    <w:rsid w:val="00650389"/>
    <w:rsid w:val="0065079F"/>
    <w:rsid w:val="00652771"/>
    <w:rsid w:val="006546F4"/>
    <w:rsid w:val="0065543E"/>
    <w:rsid w:val="0065798C"/>
    <w:rsid w:val="00657B15"/>
    <w:rsid w:val="006603B0"/>
    <w:rsid w:val="00660F9D"/>
    <w:rsid w:val="006627BC"/>
    <w:rsid w:val="00662D31"/>
    <w:rsid w:val="0066303C"/>
    <w:rsid w:val="006636A5"/>
    <w:rsid w:val="00663DDB"/>
    <w:rsid w:val="00665DA1"/>
    <w:rsid w:val="00666868"/>
    <w:rsid w:val="00672331"/>
    <w:rsid w:val="00672D91"/>
    <w:rsid w:val="00672E1B"/>
    <w:rsid w:val="00674D69"/>
    <w:rsid w:val="00674E42"/>
    <w:rsid w:val="00676AFD"/>
    <w:rsid w:val="00682112"/>
    <w:rsid w:val="00682980"/>
    <w:rsid w:val="006839F9"/>
    <w:rsid w:val="00684273"/>
    <w:rsid w:val="0068486A"/>
    <w:rsid w:val="0068618A"/>
    <w:rsid w:val="00687229"/>
    <w:rsid w:val="006872BA"/>
    <w:rsid w:val="00687BF2"/>
    <w:rsid w:val="006917D7"/>
    <w:rsid w:val="006917DF"/>
    <w:rsid w:val="00691DCB"/>
    <w:rsid w:val="00694608"/>
    <w:rsid w:val="00694F44"/>
    <w:rsid w:val="00695285"/>
    <w:rsid w:val="006960EB"/>
    <w:rsid w:val="0069613C"/>
    <w:rsid w:val="00696863"/>
    <w:rsid w:val="006975B2"/>
    <w:rsid w:val="00697936"/>
    <w:rsid w:val="00697FE3"/>
    <w:rsid w:val="006A2C27"/>
    <w:rsid w:val="006A3A8E"/>
    <w:rsid w:val="006A5032"/>
    <w:rsid w:val="006B1039"/>
    <w:rsid w:val="006B1ADE"/>
    <w:rsid w:val="006B413A"/>
    <w:rsid w:val="006B4FC2"/>
    <w:rsid w:val="006B5165"/>
    <w:rsid w:val="006B5BDA"/>
    <w:rsid w:val="006B5F54"/>
    <w:rsid w:val="006C0709"/>
    <w:rsid w:val="006C1ABD"/>
    <w:rsid w:val="006C2A8E"/>
    <w:rsid w:val="006C330A"/>
    <w:rsid w:val="006C3922"/>
    <w:rsid w:val="006C71D8"/>
    <w:rsid w:val="006C7737"/>
    <w:rsid w:val="006D16E7"/>
    <w:rsid w:val="006D1F67"/>
    <w:rsid w:val="006D3240"/>
    <w:rsid w:val="006D3620"/>
    <w:rsid w:val="006D3C7D"/>
    <w:rsid w:val="006D5A89"/>
    <w:rsid w:val="006D5D5F"/>
    <w:rsid w:val="006D5EA8"/>
    <w:rsid w:val="006D6056"/>
    <w:rsid w:val="006D62B4"/>
    <w:rsid w:val="006D6669"/>
    <w:rsid w:val="006D7129"/>
    <w:rsid w:val="006D76BB"/>
    <w:rsid w:val="006E163E"/>
    <w:rsid w:val="006E4184"/>
    <w:rsid w:val="006E4534"/>
    <w:rsid w:val="006E48E5"/>
    <w:rsid w:val="006E6D4B"/>
    <w:rsid w:val="006E6D96"/>
    <w:rsid w:val="006E7AC7"/>
    <w:rsid w:val="006F0109"/>
    <w:rsid w:val="006F07F0"/>
    <w:rsid w:val="006F1D76"/>
    <w:rsid w:val="006F21A0"/>
    <w:rsid w:val="006F2D79"/>
    <w:rsid w:val="006F3D0A"/>
    <w:rsid w:val="006F4152"/>
    <w:rsid w:val="006F63A5"/>
    <w:rsid w:val="006F698E"/>
    <w:rsid w:val="006F763E"/>
    <w:rsid w:val="006F7641"/>
    <w:rsid w:val="00700FAD"/>
    <w:rsid w:val="0070149C"/>
    <w:rsid w:val="0070276E"/>
    <w:rsid w:val="00702F8F"/>
    <w:rsid w:val="0070541D"/>
    <w:rsid w:val="0070554A"/>
    <w:rsid w:val="00705746"/>
    <w:rsid w:val="007066F8"/>
    <w:rsid w:val="007069D3"/>
    <w:rsid w:val="00707E5B"/>
    <w:rsid w:val="00710C31"/>
    <w:rsid w:val="007114E5"/>
    <w:rsid w:val="00711A36"/>
    <w:rsid w:val="00712EFA"/>
    <w:rsid w:val="007136A9"/>
    <w:rsid w:val="00713BA4"/>
    <w:rsid w:val="0071697D"/>
    <w:rsid w:val="00716BCA"/>
    <w:rsid w:val="007172AD"/>
    <w:rsid w:val="00720A9D"/>
    <w:rsid w:val="007211CD"/>
    <w:rsid w:val="007214CC"/>
    <w:rsid w:val="00723944"/>
    <w:rsid w:val="0072416F"/>
    <w:rsid w:val="007242C1"/>
    <w:rsid w:val="00724A06"/>
    <w:rsid w:val="007270F2"/>
    <w:rsid w:val="0072728C"/>
    <w:rsid w:val="00727371"/>
    <w:rsid w:val="0072753C"/>
    <w:rsid w:val="0072794A"/>
    <w:rsid w:val="0072797E"/>
    <w:rsid w:val="00727CAB"/>
    <w:rsid w:val="00731BB4"/>
    <w:rsid w:val="00731CF2"/>
    <w:rsid w:val="00732930"/>
    <w:rsid w:val="00735328"/>
    <w:rsid w:val="0073685B"/>
    <w:rsid w:val="007401E2"/>
    <w:rsid w:val="007409BF"/>
    <w:rsid w:val="0074226F"/>
    <w:rsid w:val="00742E18"/>
    <w:rsid w:val="007435E0"/>
    <w:rsid w:val="0074398F"/>
    <w:rsid w:val="00743DDA"/>
    <w:rsid w:val="007456B6"/>
    <w:rsid w:val="007476D7"/>
    <w:rsid w:val="00747823"/>
    <w:rsid w:val="00752ADF"/>
    <w:rsid w:val="007539AA"/>
    <w:rsid w:val="007545AF"/>
    <w:rsid w:val="00754ECB"/>
    <w:rsid w:val="00755172"/>
    <w:rsid w:val="00755C39"/>
    <w:rsid w:val="00757B18"/>
    <w:rsid w:val="00760EA5"/>
    <w:rsid w:val="0076222A"/>
    <w:rsid w:val="00766F93"/>
    <w:rsid w:val="00766F9B"/>
    <w:rsid w:val="007670AF"/>
    <w:rsid w:val="00770119"/>
    <w:rsid w:val="007707A7"/>
    <w:rsid w:val="007716F7"/>
    <w:rsid w:val="00773429"/>
    <w:rsid w:val="007747E7"/>
    <w:rsid w:val="00774D0E"/>
    <w:rsid w:val="00774FE5"/>
    <w:rsid w:val="00775542"/>
    <w:rsid w:val="007764A9"/>
    <w:rsid w:val="00777139"/>
    <w:rsid w:val="00777C20"/>
    <w:rsid w:val="00782DB7"/>
    <w:rsid w:val="00782EB6"/>
    <w:rsid w:val="00782F36"/>
    <w:rsid w:val="00783DA6"/>
    <w:rsid w:val="0078402A"/>
    <w:rsid w:val="0078477E"/>
    <w:rsid w:val="00784F78"/>
    <w:rsid w:val="0078618A"/>
    <w:rsid w:val="0078749F"/>
    <w:rsid w:val="00787EBE"/>
    <w:rsid w:val="007902F9"/>
    <w:rsid w:val="0079140D"/>
    <w:rsid w:val="00791AB1"/>
    <w:rsid w:val="00792532"/>
    <w:rsid w:val="00792ED2"/>
    <w:rsid w:val="007944F8"/>
    <w:rsid w:val="007958A8"/>
    <w:rsid w:val="0079665C"/>
    <w:rsid w:val="007A01A4"/>
    <w:rsid w:val="007A0A12"/>
    <w:rsid w:val="007A102A"/>
    <w:rsid w:val="007A10C5"/>
    <w:rsid w:val="007A4584"/>
    <w:rsid w:val="007A7B7C"/>
    <w:rsid w:val="007A7E67"/>
    <w:rsid w:val="007B0C9A"/>
    <w:rsid w:val="007B1968"/>
    <w:rsid w:val="007B251D"/>
    <w:rsid w:val="007B3A63"/>
    <w:rsid w:val="007B672E"/>
    <w:rsid w:val="007B6BA8"/>
    <w:rsid w:val="007B77D1"/>
    <w:rsid w:val="007C243D"/>
    <w:rsid w:val="007C24DC"/>
    <w:rsid w:val="007C361D"/>
    <w:rsid w:val="007C36B6"/>
    <w:rsid w:val="007C38F0"/>
    <w:rsid w:val="007C5808"/>
    <w:rsid w:val="007C6791"/>
    <w:rsid w:val="007C6AB8"/>
    <w:rsid w:val="007D0684"/>
    <w:rsid w:val="007D0A07"/>
    <w:rsid w:val="007D0B38"/>
    <w:rsid w:val="007D1CBC"/>
    <w:rsid w:val="007D27E8"/>
    <w:rsid w:val="007D435C"/>
    <w:rsid w:val="007D50A7"/>
    <w:rsid w:val="007E00FC"/>
    <w:rsid w:val="007E15B9"/>
    <w:rsid w:val="007E174D"/>
    <w:rsid w:val="007E3538"/>
    <w:rsid w:val="007E6D10"/>
    <w:rsid w:val="007F0BF0"/>
    <w:rsid w:val="007F1017"/>
    <w:rsid w:val="007F10D3"/>
    <w:rsid w:val="007F30A6"/>
    <w:rsid w:val="007F3B88"/>
    <w:rsid w:val="007F3F76"/>
    <w:rsid w:val="007F4A3F"/>
    <w:rsid w:val="007F57EA"/>
    <w:rsid w:val="007F5CC6"/>
    <w:rsid w:val="007F5F5D"/>
    <w:rsid w:val="007F61EE"/>
    <w:rsid w:val="00801E4F"/>
    <w:rsid w:val="00803C77"/>
    <w:rsid w:val="00803D7E"/>
    <w:rsid w:val="00803DD1"/>
    <w:rsid w:val="00805142"/>
    <w:rsid w:val="008054CD"/>
    <w:rsid w:val="00805913"/>
    <w:rsid w:val="00805BBC"/>
    <w:rsid w:val="00805BED"/>
    <w:rsid w:val="00807A8B"/>
    <w:rsid w:val="00807A98"/>
    <w:rsid w:val="00811B66"/>
    <w:rsid w:val="00812149"/>
    <w:rsid w:val="008126BF"/>
    <w:rsid w:val="00813606"/>
    <w:rsid w:val="00815027"/>
    <w:rsid w:val="00816096"/>
    <w:rsid w:val="008166EF"/>
    <w:rsid w:val="0081696C"/>
    <w:rsid w:val="0082086C"/>
    <w:rsid w:val="00824694"/>
    <w:rsid w:val="008264EB"/>
    <w:rsid w:val="00826C22"/>
    <w:rsid w:val="0082740F"/>
    <w:rsid w:val="00830B34"/>
    <w:rsid w:val="00831A59"/>
    <w:rsid w:val="00831B59"/>
    <w:rsid w:val="00831BAF"/>
    <w:rsid w:val="00832D80"/>
    <w:rsid w:val="00833009"/>
    <w:rsid w:val="00833B05"/>
    <w:rsid w:val="00833EFB"/>
    <w:rsid w:val="00834ED6"/>
    <w:rsid w:val="0083538B"/>
    <w:rsid w:val="008357D0"/>
    <w:rsid w:val="00835CD7"/>
    <w:rsid w:val="00840C73"/>
    <w:rsid w:val="00840CA2"/>
    <w:rsid w:val="00841A6B"/>
    <w:rsid w:val="00842F06"/>
    <w:rsid w:val="008440E9"/>
    <w:rsid w:val="00846438"/>
    <w:rsid w:val="008532FA"/>
    <w:rsid w:val="00853601"/>
    <w:rsid w:val="00853E97"/>
    <w:rsid w:val="00854954"/>
    <w:rsid w:val="008552CC"/>
    <w:rsid w:val="0085538F"/>
    <w:rsid w:val="00855E10"/>
    <w:rsid w:val="008564C9"/>
    <w:rsid w:val="00856E9A"/>
    <w:rsid w:val="0086036E"/>
    <w:rsid w:val="00861D0E"/>
    <w:rsid w:val="00862502"/>
    <w:rsid w:val="00862A99"/>
    <w:rsid w:val="00863270"/>
    <w:rsid w:val="0086373F"/>
    <w:rsid w:val="00866950"/>
    <w:rsid w:val="00866A8C"/>
    <w:rsid w:val="008670E3"/>
    <w:rsid w:val="008702C0"/>
    <w:rsid w:val="008714C6"/>
    <w:rsid w:val="008730E1"/>
    <w:rsid w:val="0087402B"/>
    <w:rsid w:val="00876C10"/>
    <w:rsid w:val="00882358"/>
    <w:rsid w:val="00882874"/>
    <w:rsid w:val="00883787"/>
    <w:rsid w:val="0088434A"/>
    <w:rsid w:val="00886720"/>
    <w:rsid w:val="00887301"/>
    <w:rsid w:val="008875BD"/>
    <w:rsid w:val="00887825"/>
    <w:rsid w:val="008900A4"/>
    <w:rsid w:val="00890111"/>
    <w:rsid w:val="00892180"/>
    <w:rsid w:val="00894489"/>
    <w:rsid w:val="00894F17"/>
    <w:rsid w:val="00895CFA"/>
    <w:rsid w:val="008963A5"/>
    <w:rsid w:val="00897B8B"/>
    <w:rsid w:val="008A1C72"/>
    <w:rsid w:val="008A3C3E"/>
    <w:rsid w:val="008A3D90"/>
    <w:rsid w:val="008A483A"/>
    <w:rsid w:val="008A4B9A"/>
    <w:rsid w:val="008A6079"/>
    <w:rsid w:val="008A6BD1"/>
    <w:rsid w:val="008A762B"/>
    <w:rsid w:val="008A7901"/>
    <w:rsid w:val="008A79DE"/>
    <w:rsid w:val="008B18F2"/>
    <w:rsid w:val="008B3316"/>
    <w:rsid w:val="008B4240"/>
    <w:rsid w:val="008B5112"/>
    <w:rsid w:val="008B7D7E"/>
    <w:rsid w:val="008C18CE"/>
    <w:rsid w:val="008C1F10"/>
    <w:rsid w:val="008C2804"/>
    <w:rsid w:val="008C2A84"/>
    <w:rsid w:val="008C510C"/>
    <w:rsid w:val="008C5B82"/>
    <w:rsid w:val="008C6410"/>
    <w:rsid w:val="008C6F84"/>
    <w:rsid w:val="008C7492"/>
    <w:rsid w:val="008C7ECB"/>
    <w:rsid w:val="008D09BE"/>
    <w:rsid w:val="008D1790"/>
    <w:rsid w:val="008D3365"/>
    <w:rsid w:val="008D523B"/>
    <w:rsid w:val="008D61E7"/>
    <w:rsid w:val="008D7DC9"/>
    <w:rsid w:val="008E1394"/>
    <w:rsid w:val="008E1B9E"/>
    <w:rsid w:val="008E32A0"/>
    <w:rsid w:val="008E3819"/>
    <w:rsid w:val="008E5078"/>
    <w:rsid w:val="008E76EB"/>
    <w:rsid w:val="008F0E8B"/>
    <w:rsid w:val="008F120A"/>
    <w:rsid w:val="008F3A86"/>
    <w:rsid w:val="008F3BAB"/>
    <w:rsid w:val="008F48EB"/>
    <w:rsid w:val="008F4F0B"/>
    <w:rsid w:val="008F5B7D"/>
    <w:rsid w:val="008F6EBE"/>
    <w:rsid w:val="008F73F8"/>
    <w:rsid w:val="009009BC"/>
    <w:rsid w:val="009009ED"/>
    <w:rsid w:val="00900BCB"/>
    <w:rsid w:val="00900C6A"/>
    <w:rsid w:val="00900EDE"/>
    <w:rsid w:val="00904815"/>
    <w:rsid w:val="0090498A"/>
    <w:rsid w:val="009062A5"/>
    <w:rsid w:val="00906CA7"/>
    <w:rsid w:val="009079A5"/>
    <w:rsid w:val="00910A3B"/>
    <w:rsid w:val="00911272"/>
    <w:rsid w:val="00911D8F"/>
    <w:rsid w:val="0091434D"/>
    <w:rsid w:val="009157E6"/>
    <w:rsid w:val="0091739F"/>
    <w:rsid w:val="00922990"/>
    <w:rsid w:val="009242F8"/>
    <w:rsid w:val="009253E5"/>
    <w:rsid w:val="00925EC7"/>
    <w:rsid w:val="00926AE9"/>
    <w:rsid w:val="00927B47"/>
    <w:rsid w:val="00927D0D"/>
    <w:rsid w:val="0093021A"/>
    <w:rsid w:val="00930EC2"/>
    <w:rsid w:val="00931123"/>
    <w:rsid w:val="00933393"/>
    <w:rsid w:val="00934EEA"/>
    <w:rsid w:val="00935BB4"/>
    <w:rsid w:val="00935CC7"/>
    <w:rsid w:val="0093759D"/>
    <w:rsid w:val="009375DB"/>
    <w:rsid w:val="00940060"/>
    <w:rsid w:val="00941E63"/>
    <w:rsid w:val="00942BC9"/>
    <w:rsid w:val="009437F6"/>
    <w:rsid w:val="00944068"/>
    <w:rsid w:val="0094516A"/>
    <w:rsid w:val="009509A2"/>
    <w:rsid w:val="00950CE0"/>
    <w:rsid w:val="00950FD8"/>
    <w:rsid w:val="00952A5F"/>
    <w:rsid w:val="00953782"/>
    <w:rsid w:val="0095381A"/>
    <w:rsid w:val="009541AE"/>
    <w:rsid w:val="0095563C"/>
    <w:rsid w:val="00955717"/>
    <w:rsid w:val="00955E89"/>
    <w:rsid w:val="00957FF3"/>
    <w:rsid w:val="00960068"/>
    <w:rsid w:val="00960B4F"/>
    <w:rsid w:val="00961C26"/>
    <w:rsid w:val="00962590"/>
    <w:rsid w:val="00962CB9"/>
    <w:rsid w:val="0096334E"/>
    <w:rsid w:val="00964312"/>
    <w:rsid w:val="00964342"/>
    <w:rsid w:val="00964381"/>
    <w:rsid w:val="009643A2"/>
    <w:rsid w:val="00965475"/>
    <w:rsid w:val="0096651D"/>
    <w:rsid w:val="0096724B"/>
    <w:rsid w:val="009703D0"/>
    <w:rsid w:val="00970688"/>
    <w:rsid w:val="009777F9"/>
    <w:rsid w:val="00981FC9"/>
    <w:rsid w:val="00982733"/>
    <w:rsid w:val="009831E9"/>
    <w:rsid w:val="00983E57"/>
    <w:rsid w:val="00983E72"/>
    <w:rsid w:val="00984815"/>
    <w:rsid w:val="00986113"/>
    <w:rsid w:val="009869DD"/>
    <w:rsid w:val="00987AF1"/>
    <w:rsid w:val="009905E4"/>
    <w:rsid w:val="00991039"/>
    <w:rsid w:val="009940C7"/>
    <w:rsid w:val="009941E6"/>
    <w:rsid w:val="00995347"/>
    <w:rsid w:val="00996323"/>
    <w:rsid w:val="00996B1A"/>
    <w:rsid w:val="009A0207"/>
    <w:rsid w:val="009A0A64"/>
    <w:rsid w:val="009A103E"/>
    <w:rsid w:val="009A15FC"/>
    <w:rsid w:val="009A2A9A"/>
    <w:rsid w:val="009A3BBD"/>
    <w:rsid w:val="009A3E4D"/>
    <w:rsid w:val="009A64ED"/>
    <w:rsid w:val="009B0578"/>
    <w:rsid w:val="009B1CC5"/>
    <w:rsid w:val="009B34D0"/>
    <w:rsid w:val="009B350F"/>
    <w:rsid w:val="009B3AA0"/>
    <w:rsid w:val="009B3E26"/>
    <w:rsid w:val="009B532B"/>
    <w:rsid w:val="009B70CA"/>
    <w:rsid w:val="009C102C"/>
    <w:rsid w:val="009C19C2"/>
    <w:rsid w:val="009C222A"/>
    <w:rsid w:val="009C381D"/>
    <w:rsid w:val="009C45B8"/>
    <w:rsid w:val="009C4D31"/>
    <w:rsid w:val="009C6B14"/>
    <w:rsid w:val="009C7AC8"/>
    <w:rsid w:val="009D06A9"/>
    <w:rsid w:val="009D27AD"/>
    <w:rsid w:val="009D3282"/>
    <w:rsid w:val="009D3444"/>
    <w:rsid w:val="009D3889"/>
    <w:rsid w:val="009D5191"/>
    <w:rsid w:val="009D53C5"/>
    <w:rsid w:val="009D5B91"/>
    <w:rsid w:val="009D5BD6"/>
    <w:rsid w:val="009E1F79"/>
    <w:rsid w:val="009E348F"/>
    <w:rsid w:val="009E4AB2"/>
    <w:rsid w:val="009E4C07"/>
    <w:rsid w:val="009F01B4"/>
    <w:rsid w:val="009F1919"/>
    <w:rsid w:val="00A00933"/>
    <w:rsid w:val="00A01100"/>
    <w:rsid w:val="00A01110"/>
    <w:rsid w:val="00A0296D"/>
    <w:rsid w:val="00A0342A"/>
    <w:rsid w:val="00A03D43"/>
    <w:rsid w:val="00A04380"/>
    <w:rsid w:val="00A04930"/>
    <w:rsid w:val="00A0515C"/>
    <w:rsid w:val="00A06164"/>
    <w:rsid w:val="00A07018"/>
    <w:rsid w:val="00A10CA3"/>
    <w:rsid w:val="00A12562"/>
    <w:rsid w:val="00A13620"/>
    <w:rsid w:val="00A13948"/>
    <w:rsid w:val="00A13EF8"/>
    <w:rsid w:val="00A158C5"/>
    <w:rsid w:val="00A16BEC"/>
    <w:rsid w:val="00A17AD2"/>
    <w:rsid w:val="00A20112"/>
    <w:rsid w:val="00A202BE"/>
    <w:rsid w:val="00A210F5"/>
    <w:rsid w:val="00A22EC1"/>
    <w:rsid w:val="00A232E3"/>
    <w:rsid w:val="00A23E7E"/>
    <w:rsid w:val="00A24C94"/>
    <w:rsid w:val="00A24CDA"/>
    <w:rsid w:val="00A26F07"/>
    <w:rsid w:val="00A27868"/>
    <w:rsid w:val="00A27911"/>
    <w:rsid w:val="00A27AEC"/>
    <w:rsid w:val="00A27B3C"/>
    <w:rsid w:val="00A30100"/>
    <w:rsid w:val="00A334C2"/>
    <w:rsid w:val="00A359F1"/>
    <w:rsid w:val="00A35D16"/>
    <w:rsid w:val="00A36BB6"/>
    <w:rsid w:val="00A37BC5"/>
    <w:rsid w:val="00A406D4"/>
    <w:rsid w:val="00A41B7B"/>
    <w:rsid w:val="00A41CC8"/>
    <w:rsid w:val="00A424B6"/>
    <w:rsid w:val="00A43C59"/>
    <w:rsid w:val="00A444A9"/>
    <w:rsid w:val="00A44C85"/>
    <w:rsid w:val="00A46419"/>
    <w:rsid w:val="00A46684"/>
    <w:rsid w:val="00A50ECD"/>
    <w:rsid w:val="00A5100E"/>
    <w:rsid w:val="00A518D1"/>
    <w:rsid w:val="00A52729"/>
    <w:rsid w:val="00A52A58"/>
    <w:rsid w:val="00A53443"/>
    <w:rsid w:val="00A53675"/>
    <w:rsid w:val="00A54692"/>
    <w:rsid w:val="00A546A1"/>
    <w:rsid w:val="00A54F29"/>
    <w:rsid w:val="00A555C4"/>
    <w:rsid w:val="00A5699B"/>
    <w:rsid w:val="00A56B6A"/>
    <w:rsid w:val="00A57625"/>
    <w:rsid w:val="00A578DC"/>
    <w:rsid w:val="00A60E1C"/>
    <w:rsid w:val="00A63426"/>
    <w:rsid w:val="00A65496"/>
    <w:rsid w:val="00A65A35"/>
    <w:rsid w:val="00A6725B"/>
    <w:rsid w:val="00A6792F"/>
    <w:rsid w:val="00A67AE9"/>
    <w:rsid w:val="00A67FC6"/>
    <w:rsid w:val="00A70FEB"/>
    <w:rsid w:val="00A7237C"/>
    <w:rsid w:val="00A72875"/>
    <w:rsid w:val="00A72D30"/>
    <w:rsid w:val="00A73032"/>
    <w:rsid w:val="00A76263"/>
    <w:rsid w:val="00A7765E"/>
    <w:rsid w:val="00A7798B"/>
    <w:rsid w:val="00A83986"/>
    <w:rsid w:val="00A83F61"/>
    <w:rsid w:val="00A84E17"/>
    <w:rsid w:val="00A86882"/>
    <w:rsid w:val="00A86E8B"/>
    <w:rsid w:val="00A90854"/>
    <w:rsid w:val="00A93072"/>
    <w:rsid w:val="00A959D8"/>
    <w:rsid w:val="00A95B85"/>
    <w:rsid w:val="00AA121E"/>
    <w:rsid w:val="00AA122B"/>
    <w:rsid w:val="00AA1C7D"/>
    <w:rsid w:val="00AA342C"/>
    <w:rsid w:val="00AA4467"/>
    <w:rsid w:val="00AA54CF"/>
    <w:rsid w:val="00AA6CA8"/>
    <w:rsid w:val="00AB042A"/>
    <w:rsid w:val="00AB056E"/>
    <w:rsid w:val="00AB06FA"/>
    <w:rsid w:val="00AB0968"/>
    <w:rsid w:val="00AB2D34"/>
    <w:rsid w:val="00AB3430"/>
    <w:rsid w:val="00AB5737"/>
    <w:rsid w:val="00AB75CB"/>
    <w:rsid w:val="00AB787A"/>
    <w:rsid w:val="00AB7CFA"/>
    <w:rsid w:val="00AC044C"/>
    <w:rsid w:val="00AC0737"/>
    <w:rsid w:val="00AC163C"/>
    <w:rsid w:val="00AC3B09"/>
    <w:rsid w:val="00AC68D1"/>
    <w:rsid w:val="00AC69DE"/>
    <w:rsid w:val="00AC7481"/>
    <w:rsid w:val="00AD4335"/>
    <w:rsid w:val="00AD6796"/>
    <w:rsid w:val="00AD79F0"/>
    <w:rsid w:val="00AD7BB8"/>
    <w:rsid w:val="00AE14B0"/>
    <w:rsid w:val="00AE22DA"/>
    <w:rsid w:val="00AE27B2"/>
    <w:rsid w:val="00AE32F5"/>
    <w:rsid w:val="00AE439F"/>
    <w:rsid w:val="00AE4DE1"/>
    <w:rsid w:val="00AE55CD"/>
    <w:rsid w:val="00AF13F5"/>
    <w:rsid w:val="00AF1AA0"/>
    <w:rsid w:val="00AF2415"/>
    <w:rsid w:val="00AF37B0"/>
    <w:rsid w:val="00AF42C2"/>
    <w:rsid w:val="00AF4DB1"/>
    <w:rsid w:val="00AF5BF5"/>
    <w:rsid w:val="00AF69DF"/>
    <w:rsid w:val="00AF72DA"/>
    <w:rsid w:val="00AF731E"/>
    <w:rsid w:val="00AF7C66"/>
    <w:rsid w:val="00B0074D"/>
    <w:rsid w:val="00B0245F"/>
    <w:rsid w:val="00B03D6F"/>
    <w:rsid w:val="00B03F60"/>
    <w:rsid w:val="00B04D0C"/>
    <w:rsid w:val="00B119AC"/>
    <w:rsid w:val="00B12979"/>
    <w:rsid w:val="00B13AC6"/>
    <w:rsid w:val="00B151EF"/>
    <w:rsid w:val="00B15955"/>
    <w:rsid w:val="00B15B58"/>
    <w:rsid w:val="00B1624F"/>
    <w:rsid w:val="00B20C91"/>
    <w:rsid w:val="00B229D0"/>
    <w:rsid w:val="00B23C2C"/>
    <w:rsid w:val="00B25291"/>
    <w:rsid w:val="00B2719C"/>
    <w:rsid w:val="00B317D6"/>
    <w:rsid w:val="00B320DC"/>
    <w:rsid w:val="00B3252F"/>
    <w:rsid w:val="00B343BF"/>
    <w:rsid w:val="00B35B7B"/>
    <w:rsid w:val="00B35D7E"/>
    <w:rsid w:val="00B3602C"/>
    <w:rsid w:val="00B37F25"/>
    <w:rsid w:val="00B40A44"/>
    <w:rsid w:val="00B417A1"/>
    <w:rsid w:val="00B41D45"/>
    <w:rsid w:val="00B4218C"/>
    <w:rsid w:val="00B42298"/>
    <w:rsid w:val="00B42851"/>
    <w:rsid w:val="00B43636"/>
    <w:rsid w:val="00B4510A"/>
    <w:rsid w:val="00B45B71"/>
    <w:rsid w:val="00B45D35"/>
    <w:rsid w:val="00B4669B"/>
    <w:rsid w:val="00B46E80"/>
    <w:rsid w:val="00B50DB8"/>
    <w:rsid w:val="00B51F3F"/>
    <w:rsid w:val="00B52528"/>
    <w:rsid w:val="00B53905"/>
    <w:rsid w:val="00B539E4"/>
    <w:rsid w:val="00B546DC"/>
    <w:rsid w:val="00B54A74"/>
    <w:rsid w:val="00B54B5B"/>
    <w:rsid w:val="00B5523B"/>
    <w:rsid w:val="00B5562E"/>
    <w:rsid w:val="00B55C1E"/>
    <w:rsid w:val="00B57000"/>
    <w:rsid w:val="00B60939"/>
    <w:rsid w:val="00B60AFD"/>
    <w:rsid w:val="00B61C62"/>
    <w:rsid w:val="00B62715"/>
    <w:rsid w:val="00B63A4D"/>
    <w:rsid w:val="00B63BD1"/>
    <w:rsid w:val="00B63F8C"/>
    <w:rsid w:val="00B65357"/>
    <w:rsid w:val="00B66C46"/>
    <w:rsid w:val="00B673C1"/>
    <w:rsid w:val="00B67CB2"/>
    <w:rsid w:val="00B7189B"/>
    <w:rsid w:val="00B7239D"/>
    <w:rsid w:val="00B7280E"/>
    <w:rsid w:val="00B73036"/>
    <w:rsid w:val="00B74AA5"/>
    <w:rsid w:val="00B768BB"/>
    <w:rsid w:val="00B779E8"/>
    <w:rsid w:val="00B8018E"/>
    <w:rsid w:val="00B8099B"/>
    <w:rsid w:val="00B818A4"/>
    <w:rsid w:val="00B8373F"/>
    <w:rsid w:val="00B8615C"/>
    <w:rsid w:val="00B8649C"/>
    <w:rsid w:val="00B86A18"/>
    <w:rsid w:val="00B86B52"/>
    <w:rsid w:val="00B86D9D"/>
    <w:rsid w:val="00B870F5"/>
    <w:rsid w:val="00B90FBC"/>
    <w:rsid w:val="00B919C4"/>
    <w:rsid w:val="00B92B2A"/>
    <w:rsid w:val="00B92BD0"/>
    <w:rsid w:val="00B92D0B"/>
    <w:rsid w:val="00B94945"/>
    <w:rsid w:val="00B96E5B"/>
    <w:rsid w:val="00BA02F9"/>
    <w:rsid w:val="00BA23C4"/>
    <w:rsid w:val="00BA4F74"/>
    <w:rsid w:val="00BA53D4"/>
    <w:rsid w:val="00BA55B3"/>
    <w:rsid w:val="00BB0263"/>
    <w:rsid w:val="00BB1AF9"/>
    <w:rsid w:val="00BB305D"/>
    <w:rsid w:val="00BB703D"/>
    <w:rsid w:val="00BB7405"/>
    <w:rsid w:val="00BB7E37"/>
    <w:rsid w:val="00BC0324"/>
    <w:rsid w:val="00BC20AD"/>
    <w:rsid w:val="00BD1085"/>
    <w:rsid w:val="00BD17E4"/>
    <w:rsid w:val="00BD2422"/>
    <w:rsid w:val="00BD417C"/>
    <w:rsid w:val="00BD4D51"/>
    <w:rsid w:val="00BD5832"/>
    <w:rsid w:val="00BD6CF3"/>
    <w:rsid w:val="00BD7483"/>
    <w:rsid w:val="00BE1292"/>
    <w:rsid w:val="00BE2180"/>
    <w:rsid w:val="00BE2EBD"/>
    <w:rsid w:val="00BE3282"/>
    <w:rsid w:val="00BE3E98"/>
    <w:rsid w:val="00BE4275"/>
    <w:rsid w:val="00BE44A1"/>
    <w:rsid w:val="00BE50EE"/>
    <w:rsid w:val="00BE6835"/>
    <w:rsid w:val="00BF0D47"/>
    <w:rsid w:val="00BF2433"/>
    <w:rsid w:val="00BF4535"/>
    <w:rsid w:val="00BF47DA"/>
    <w:rsid w:val="00BF61C9"/>
    <w:rsid w:val="00C0308E"/>
    <w:rsid w:val="00C03CA8"/>
    <w:rsid w:val="00C0476E"/>
    <w:rsid w:val="00C063DB"/>
    <w:rsid w:val="00C06EA6"/>
    <w:rsid w:val="00C07457"/>
    <w:rsid w:val="00C10B0E"/>
    <w:rsid w:val="00C126BE"/>
    <w:rsid w:val="00C14873"/>
    <w:rsid w:val="00C14FB7"/>
    <w:rsid w:val="00C15580"/>
    <w:rsid w:val="00C16102"/>
    <w:rsid w:val="00C17383"/>
    <w:rsid w:val="00C177F8"/>
    <w:rsid w:val="00C17D70"/>
    <w:rsid w:val="00C17FBD"/>
    <w:rsid w:val="00C215F0"/>
    <w:rsid w:val="00C2245E"/>
    <w:rsid w:val="00C242D1"/>
    <w:rsid w:val="00C24788"/>
    <w:rsid w:val="00C25418"/>
    <w:rsid w:val="00C25D9C"/>
    <w:rsid w:val="00C26357"/>
    <w:rsid w:val="00C26576"/>
    <w:rsid w:val="00C27AD2"/>
    <w:rsid w:val="00C300DC"/>
    <w:rsid w:val="00C31649"/>
    <w:rsid w:val="00C34223"/>
    <w:rsid w:val="00C34688"/>
    <w:rsid w:val="00C34C0B"/>
    <w:rsid w:val="00C35CE7"/>
    <w:rsid w:val="00C36174"/>
    <w:rsid w:val="00C3622B"/>
    <w:rsid w:val="00C40385"/>
    <w:rsid w:val="00C406BD"/>
    <w:rsid w:val="00C412F5"/>
    <w:rsid w:val="00C41F5A"/>
    <w:rsid w:val="00C4401D"/>
    <w:rsid w:val="00C45673"/>
    <w:rsid w:val="00C46F03"/>
    <w:rsid w:val="00C47906"/>
    <w:rsid w:val="00C51EC3"/>
    <w:rsid w:val="00C53997"/>
    <w:rsid w:val="00C54855"/>
    <w:rsid w:val="00C5596E"/>
    <w:rsid w:val="00C5781F"/>
    <w:rsid w:val="00C602DF"/>
    <w:rsid w:val="00C60FD6"/>
    <w:rsid w:val="00C62A24"/>
    <w:rsid w:val="00C65576"/>
    <w:rsid w:val="00C65F98"/>
    <w:rsid w:val="00C66165"/>
    <w:rsid w:val="00C678B3"/>
    <w:rsid w:val="00C706A8"/>
    <w:rsid w:val="00C70AAE"/>
    <w:rsid w:val="00C71534"/>
    <w:rsid w:val="00C71FCE"/>
    <w:rsid w:val="00C72C08"/>
    <w:rsid w:val="00C73A00"/>
    <w:rsid w:val="00C750C8"/>
    <w:rsid w:val="00C7669D"/>
    <w:rsid w:val="00C770DF"/>
    <w:rsid w:val="00C803CD"/>
    <w:rsid w:val="00C806F4"/>
    <w:rsid w:val="00C8213F"/>
    <w:rsid w:val="00C82435"/>
    <w:rsid w:val="00C8519E"/>
    <w:rsid w:val="00C85E37"/>
    <w:rsid w:val="00C872A9"/>
    <w:rsid w:val="00C87434"/>
    <w:rsid w:val="00C8797A"/>
    <w:rsid w:val="00C90342"/>
    <w:rsid w:val="00C92CF5"/>
    <w:rsid w:val="00C938CF"/>
    <w:rsid w:val="00C93955"/>
    <w:rsid w:val="00C94087"/>
    <w:rsid w:val="00C946DE"/>
    <w:rsid w:val="00C95AAF"/>
    <w:rsid w:val="00C95D7C"/>
    <w:rsid w:val="00C97A8D"/>
    <w:rsid w:val="00CA4390"/>
    <w:rsid w:val="00CA46A0"/>
    <w:rsid w:val="00CA5245"/>
    <w:rsid w:val="00CA7B09"/>
    <w:rsid w:val="00CB205F"/>
    <w:rsid w:val="00CB3583"/>
    <w:rsid w:val="00CB5B1A"/>
    <w:rsid w:val="00CB5B1B"/>
    <w:rsid w:val="00CB7384"/>
    <w:rsid w:val="00CB78A5"/>
    <w:rsid w:val="00CC0EBC"/>
    <w:rsid w:val="00CC1B6C"/>
    <w:rsid w:val="00CC2C3B"/>
    <w:rsid w:val="00CC5300"/>
    <w:rsid w:val="00CC5468"/>
    <w:rsid w:val="00CC793D"/>
    <w:rsid w:val="00CC7CEA"/>
    <w:rsid w:val="00CD15E3"/>
    <w:rsid w:val="00CD19E1"/>
    <w:rsid w:val="00CD1EFD"/>
    <w:rsid w:val="00CD405B"/>
    <w:rsid w:val="00CD5DB7"/>
    <w:rsid w:val="00CD5E74"/>
    <w:rsid w:val="00CD6ADC"/>
    <w:rsid w:val="00CD7E80"/>
    <w:rsid w:val="00CE01F6"/>
    <w:rsid w:val="00CE064A"/>
    <w:rsid w:val="00CE5339"/>
    <w:rsid w:val="00CE5DE3"/>
    <w:rsid w:val="00CE6274"/>
    <w:rsid w:val="00CF1B43"/>
    <w:rsid w:val="00CF2D84"/>
    <w:rsid w:val="00CF4129"/>
    <w:rsid w:val="00CF430A"/>
    <w:rsid w:val="00CF456B"/>
    <w:rsid w:val="00CF48F4"/>
    <w:rsid w:val="00CF50A4"/>
    <w:rsid w:val="00CF5A22"/>
    <w:rsid w:val="00D00FD9"/>
    <w:rsid w:val="00D0262E"/>
    <w:rsid w:val="00D0269D"/>
    <w:rsid w:val="00D030B5"/>
    <w:rsid w:val="00D035A2"/>
    <w:rsid w:val="00D04B45"/>
    <w:rsid w:val="00D04E70"/>
    <w:rsid w:val="00D06A08"/>
    <w:rsid w:val="00D110BD"/>
    <w:rsid w:val="00D11301"/>
    <w:rsid w:val="00D1134D"/>
    <w:rsid w:val="00D1255B"/>
    <w:rsid w:val="00D131D8"/>
    <w:rsid w:val="00D13C5A"/>
    <w:rsid w:val="00D14238"/>
    <w:rsid w:val="00D14882"/>
    <w:rsid w:val="00D153CA"/>
    <w:rsid w:val="00D1769E"/>
    <w:rsid w:val="00D17D6C"/>
    <w:rsid w:val="00D2032C"/>
    <w:rsid w:val="00D214DF"/>
    <w:rsid w:val="00D24143"/>
    <w:rsid w:val="00D24683"/>
    <w:rsid w:val="00D248AD"/>
    <w:rsid w:val="00D3014A"/>
    <w:rsid w:val="00D3197A"/>
    <w:rsid w:val="00D3218A"/>
    <w:rsid w:val="00D32531"/>
    <w:rsid w:val="00D3262E"/>
    <w:rsid w:val="00D3393B"/>
    <w:rsid w:val="00D353A1"/>
    <w:rsid w:val="00D353ED"/>
    <w:rsid w:val="00D35560"/>
    <w:rsid w:val="00D357FF"/>
    <w:rsid w:val="00D35B7B"/>
    <w:rsid w:val="00D36CB4"/>
    <w:rsid w:val="00D40919"/>
    <w:rsid w:val="00D4136C"/>
    <w:rsid w:val="00D44972"/>
    <w:rsid w:val="00D44D96"/>
    <w:rsid w:val="00D465ED"/>
    <w:rsid w:val="00D50370"/>
    <w:rsid w:val="00D5050B"/>
    <w:rsid w:val="00D51F17"/>
    <w:rsid w:val="00D52A41"/>
    <w:rsid w:val="00D5332F"/>
    <w:rsid w:val="00D545BA"/>
    <w:rsid w:val="00D610EE"/>
    <w:rsid w:val="00D61373"/>
    <w:rsid w:val="00D61D70"/>
    <w:rsid w:val="00D63214"/>
    <w:rsid w:val="00D64998"/>
    <w:rsid w:val="00D6558D"/>
    <w:rsid w:val="00D65D99"/>
    <w:rsid w:val="00D65FCF"/>
    <w:rsid w:val="00D6639B"/>
    <w:rsid w:val="00D707D4"/>
    <w:rsid w:val="00D7158C"/>
    <w:rsid w:val="00D7190C"/>
    <w:rsid w:val="00D722DD"/>
    <w:rsid w:val="00D73550"/>
    <w:rsid w:val="00D76A44"/>
    <w:rsid w:val="00D76E55"/>
    <w:rsid w:val="00D7772D"/>
    <w:rsid w:val="00D80905"/>
    <w:rsid w:val="00D80946"/>
    <w:rsid w:val="00D80F7D"/>
    <w:rsid w:val="00D80F9E"/>
    <w:rsid w:val="00D81195"/>
    <w:rsid w:val="00D81BF0"/>
    <w:rsid w:val="00D81C90"/>
    <w:rsid w:val="00D82497"/>
    <w:rsid w:val="00D82A64"/>
    <w:rsid w:val="00D83DEB"/>
    <w:rsid w:val="00D84353"/>
    <w:rsid w:val="00D85639"/>
    <w:rsid w:val="00D860D9"/>
    <w:rsid w:val="00D86DB3"/>
    <w:rsid w:val="00D8749E"/>
    <w:rsid w:val="00D9127A"/>
    <w:rsid w:val="00D91EF5"/>
    <w:rsid w:val="00D923D3"/>
    <w:rsid w:val="00D93753"/>
    <w:rsid w:val="00D93817"/>
    <w:rsid w:val="00D93F51"/>
    <w:rsid w:val="00D942D0"/>
    <w:rsid w:val="00D94332"/>
    <w:rsid w:val="00D96D33"/>
    <w:rsid w:val="00D96FB8"/>
    <w:rsid w:val="00DA0898"/>
    <w:rsid w:val="00DA2359"/>
    <w:rsid w:val="00DA2556"/>
    <w:rsid w:val="00DA26ED"/>
    <w:rsid w:val="00DA323B"/>
    <w:rsid w:val="00DA43A1"/>
    <w:rsid w:val="00DA6368"/>
    <w:rsid w:val="00DA7682"/>
    <w:rsid w:val="00DA77A5"/>
    <w:rsid w:val="00DB2790"/>
    <w:rsid w:val="00DB3CCB"/>
    <w:rsid w:val="00DB3E46"/>
    <w:rsid w:val="00DB4123"/>
    <w:rsid w:val="00DB55F0"/>
    <w:rsid w:val="00DB597F"/>
    <w:rsid w:val="00DB5ED1"/>
    <w:rsid w:val="00DB69A7"/>
    <w:rsid w:val="00DB6C78"/>
    <w:rsid w:val="00DC29D0"/>
    <w:rsid w:val="00DC381C"/>
    <w:rsid w:val="00DC3A2E"/>
    <w:rsid w:val="00DC3BD0"/>
    <w:rsid w:val="00DC5501"/>
    <w:rsid w:val="00DC645A"/>
    <w:rsid w:val="00DC7DD8"/>
    <w:rsid w:val="00DD0757"/>
    <w:rsid w:val="00DD08E1"/>
    <w:rsid w:val="00DD1166"/>
    <w:rsid w:val="00DD1946"/>
    <w:rsid w:val="00DD201F"/>
    <w:rsid w:val="00DD22AF"/>
    <w:rsid w:val="00DD3F28"/>
    <w:rsid w:val="00DD4537"/>
    <w:rsid w:val="00DD45EF"/>
    <w:rsid w:val="00DD478D"/>
    <w:rsid w:val="00DD4E15"/>
    <w:rsid w:val="00DD4EF9"/>
    <w:rsid w:val="00DD5BBC"/>
    <w:rsid w:val="00DD5CDD"/>
    <w:rsid w:val="00DE1DE1"/>
    <w:rsid w:val="00DE36F8"/>
    <w:rsid w:val="00DE3D22"/>
    <w:rsid w:val="00DE4FCB"/>
    <w:rsid w:val="00DE57E3"/>
    <w:rsid w:val="00DE5AB7"/>
    <w:rsid w:val="00DE6D9F"/>
    <w:rsid w:val="00DF20CC"/>
    <w:rsid w:val="00DF2B0C"/>
    <w:rsid w:val="00DF3FCD"/>
    <w:rsid w:val="00DF49EC"/>
    <w:rsid w:val="00DF5D2B"/>
    <w:rsid w:val="00DF6898"/>
    <w:rsid w:val="00DF6EED"/>
    <w:rsid w:val="00DF764A"/>
    <w:rsid w:val="00E00A42"/>
    <w:rsid w:val="00E00BFA"/>
    <w:rsid w:val="00E0301A"/>
    <w:rsid w:val="00E038DC"/>
    <w:rsid w:val="00E04366"/>
    <w:rsid w:val="00E04D31"/>
    <w:rsid w:val="00E050A5"/>
    <w:rsid w:val="00E0620D"/>
    <w:rsid w:val="00E066D6"/>
    <w:rsid w:val="00E10149"/>
    <w:rsid w:val="00E10A02"/>
    <w:rsid w:val="00E12914"/>
    <w:rsid w:val="00E1302A"/>
    <w:rsid w:val="00E13743"/>
    <w:rsid w:val="00E13F34"/>
    <w:rsid w:val="00E1479E"/>
    <w:rsid w:val="00E16372"/>
    <w:rsid w:val="00E1785F"/>
    <w:rsid w:val="00E20ED6"/>
    <w:rsid w:val="00E21358"/>
    <w:rsid w:val="00E21686"/>
    <w:rsid w:val="00E21846"/>
    <w:rsid w:val="00E22256"/>
    <w:rsid w:val="00E2249B"/>
    <w:rsid w:val="00E22A0D"/>
    <w:rsid w:val="00E26139"/>
    <w:rsid w:val="00E2771E"/>
    <w:rsid w:val="00E3101E"/>
    <w:rsid w:val="00E31E4B"/>
    <w:rsid w:val="00E320C7"/>
    <w:rsid w:val="00E34D4A"/>
    <w:rsid w:val="00E363A4"/>
    <w:rsid w:val="00E366F8"/>
    <w:rsid w:val="00E36BA3"/>
    <w:rsid w:val="00E36CBC"/>
    <w:rsid w:val="00E37569"/>
    <w:rsid w:val="00E37875"/>
    <w:rsid w:val="00E410F7"/>
    <w:rsid w:val="00E41E30"/>
    <w:rsid w:val="00E42E7F"/>
    <w:rsid w:val="00E4387B"/>
    <w:rsid w:val="00E43D70"/>
    <w:rsid w:val="00E44D8F"/>
    <w:rsid w:val="00E4722E"/>
    <w:rsid w:val="00E47B2C"/>
    <w:rsid w:val="00E47C69"/>
    <w:rsid w:val="00E5118A"/>
    <w:rsid w:val="00E5152E"/>
    <w:rsid w:val="00E51560"/>
    <w:rsid w:val="00E51719"/>
    <w:rsid w:val="00E51856"/>
    <w:rsid w:val="00E52D79"/>
    <w:rsid w:val="00E531FE"/>
    <w:rsid w:val="00E5497A"/>
    <w:rsid w:val="00E54D7A"/>
    <w:rsid w:val="00E5506F"/>
    <w:rsid w:val="00E55424"/>
    <w:rsid w:val="00E55BB5"/>
    <w:rsid w:val="00E576A2"/>
    <w:rsid w:val="00E57D1E"/>
    <w:rsid w:val="00E60C3D"/>
    <w:rsid w:val="00E616DA"/>
    <w:rsid w:val="00E61B0E"/>
    <w:rsid w:val="00E63A9E"/>
    <w:rsid w:val="00E647E4"/>
    <w:rsid w:val="00E64984"/>
    <w:rsid w:val="00E65E79"/>
    <w:rsid w:val="00E6609E"/>
    <w:rsid w:val="00E667D6"/>
    <w:rsid w:val="00E67416"/>
    <w:rsid w:val="00E67CB6"/>
    <w:rsid w:val="00E710CE"/>
    <w:rsid w:val="00E715C6"/>
    <w:rsid w:val="00E718B6"/>
    <w:rsid w:val="00E720E3"/>
    <w:rsid w:val="00E73581"/>
    <w:rsid w:val="00E73959"/>
    <w:rsid w:val="00E73C94"/>
    <w:rsid w:val="00E74C92"/>
    <w:rsid w:val="00E76A2D"/>
    <w:rsid w:val="00E77EF2"/>
    <w:rsid w:val="00E81C05"/>
    <w:rsid w:val="00E8253F"/>
    <w:rsid w:val="00E83865"/>
    <w:rsid w:val="00E83BDF"/>
    <w:rsid w:val="00E849D4"/>
    <w:rsid w:val="00E87AB0"/>
    <w:rsid w:val="00E9003F"/>
    <w:rsid w:val="00E900FE"/>
    <w:rsid w:val="00E91F0E"/>
    <w:rsid w:val="00E936C0"/>
    <w:rsid w:val="00E9515B"/>
    <w:rsid w:val="00E9769A"/>
    <w:rsid w:val="00EA1FA0"/>
    <w:rsid w:val="00EA2587"/>
    <w:rsid w:val="00EA289A"/>
    <w:rsid w:val="00EA3864"/>
    <w:rsid w:val="00EA3F30"/>
    <w:rsid w:val="00EA4778"/>
    <w:rsid w:val="00EA6D21"/>
    <w:rsid w:val="00EB002B"/>
    <w:rsid w:val="00EB15B6"/>
    <w:rsid w:val="00EB1925"/>
    <w:rsid w:val="00EB27FC"/>
    <w:rsid w:val="00EB3796"/>
    <w:rsid w:val="00EB4916"/>
    <w:rsid w:val="00EB4983"/>
    <w:rsid w:val="00EB4B82"/>
    <w:rsid w:val="00EB544D"/>
    <w:rsid w:val="00EB5FEF"/>
    <w:rsid w:val="00EB62EE"/>
    <w:rsid w:val="00EB7200"/>
    <w:rsid w:val="00EB7298"/>
    <w:rsid w:val="00EB7595"/>
    <w:rsid w:val="00EC00C9"/>
    <w:rsid w:val="00EC1641"/>
    <w:rsid w:val="00EC18E3"/>
    <w:rsid w:val="00EC2095"/>
    <w:rsid w:val="00EC4778"/>
    <w:rsid w:val="00EC4B47"/>
    <w:rsid w:val="00EC64A9"/>
    <w:rsid w:val="00EC7A0F"/>
    <w:rsid w:val="00ED1754"/>
    <w:rsid w:val="00ED313C"/>
    <w:rsid w:val="00ED3310"/>
    <w:rsid w:val="00ED536E"/>
    <w:rsid w:val="00EE07D3"/>
    <w:rsid w:val="00EE1040"/>
    <w:rsid w:val="00EE2A68"/>
    <w:rsid w:val="00EE2C24"/>
    <w:rsid w:val="00EE3CD8"/>
    <w:rsid w:val="00EE3E94"/>
    <w:rsid w:val="00EE4550"/>
    <w:rsid w:val="00EE45AF"/>
    <w:rsid w:val="00EE4E22"/>
    <w:rsid w:val="00EE5ECB"/>
    <w:rsid w:val="00EE727E"/>
    <w:rsid w:val="00EE7B9B"/>
    <w:rsid w:val="00EE7F8D"/>
    <w:rsid w:val="00EF3BFC"/>
    <w:rsid w:val="00EF5D8B"/>
    <w:rsid w:val="00EF7A56"/>
    <w:rsid w:val="00F01FBE"/>
    <w:rsid w:val="00F02B39"/>
    <w:rsid w:val="00F02DC6"/>
    <w:rsid w:val="00F030FD"/>
    <w:rsid w:val="00F0386D"/>
    <w:rsid w:val="00F04A4A"/>
    <w:rsid w:val="00F04D5C"/>
    <w:rsid w:val="00F053FB"/>
    <w:rsid w:val="00F067A2"/>
    <w:rsid w:val="00F07E9E"/>
    <w:rsid w:val="00F1228F"/>
    <w:rsid w:val="00F146A4"/>
    <w:rsid w:val="00F15376"/>
    <w:rsid w:val="00F17204"/>
    <w:rsid w:val="00F20228"/>
    <w:rsid w:val="00F20698"/>
    <w:rsid w:val="00F20B69"/>
    <w:rsid w:val="00F222B4"/>
    <w:rsid w:val="00F230F2"/>
    <w:rsid w:val="00F23D31"/>
    <w:rsid w:val="00F23E82"/>
    <w:rsid w:val="00F23F79"/>
    <w:rsid w:val="00F24837"/>
    <w:rsid w:val="00F2575F"/>
    <w:rsid w:val="00F2596C"/>
    <w:rsid w:val="00F26B31"/>
    <w:rsid w:val="00F26CA9"/>
    <w:rsid w:val="00F27FEA"/>
    <w:rsid w:val="00F31ED8"/>
    <w:rsid w:val="00F33DE9"/>
    <w:rsid w:val="00F33E0E"/>
    <w:rsid w:val="00F3619A"/>
    <w:rsid w:val="00F40A27"/>
    <w:rsid w:val="00F42170"/>
    <w:rsid w:val="00F42519"/>
    <w:rsid w:val="00F437AB"/>
    <w:rsid w:val="00F441EA"/>
    <w:rsid w:val="00F4481C"/>
    <w:rsid w:val="00F44D5F"/>
    <w:rsid w:val="00F451F5"/>
    <w:rsid w:val="00F453CF"/>
    <w:rsid w:val="00F45FE5"/>
    <w:rsid w:val="00F4633D"/>
    <w:rsid w:val="00F468A1"/>
    <w:rsid w:val="00F46CB6"/>
    <w:rsid w:val="00F47100"/>
    <w:rsid w:val="00F5006B"/>
    <w:rsid w:val="00F5283D"/>
    <w:rsid w:val="00F5333B"/>
    <w:rsid w:val="00F535B2"/>
    <w:rsid w:val="00F53AC3"/>
    <w:rsid w:val="00F53E34"/>
    <w:rsid w:val="00F54FEB"/>
    <w:rsid w:val="00F55E73"/>
    <w:rsid w:val="00F56023"/>
    <w:rsid w:val="00F563E3"/>
    <w:rsid w:val="00F573AF"/>
    <w:rsid w:val="00F57E20"/>
    <w:rsid w:val="00F60092"/>
    <w:rsid w:val="00F60A45"/>
    <w:rsid w:val="00F60C3C"/>
    <w:rsid w:val="00F62AE7"/>
    <w:rsid w:val="00F62FC0"/>
    <w:rsid w:val="00F632A8"/>
    <w:rsid w:val="00F632CE"/>
    <w:rsid w:val="00F63892"/>
    <w:rsid w:val="00F63A7E"/>
    <w:rsid w:val="00F6414C"/>
    <w:rsid w:val="00F64331"/>
    <w:rsid w:val="00F64B03"/>
    <w:rsid w:val="00F662D2"/>
    <w:rsid w:val="00F66B4F"/>
    <w:rsid w:val="00F66CED"/>
    <w:rsid w:val="00F670D0"/>
    <w:rsid w:val="00F67741"/>
    <w:rsid w:val="00F70ED4"/>
    <w:rsid w:val="00F721B0"/>
    <w:rsid w:val="00F75FC8"/>
    <w:rsid w:val="00F76E60"/>
    <w:rsid w:val="00F80E5D"/>
    <w:rsid w:val="00F817BB"/>
    <w:rsid w:val="00F8265E"/>
    <w:rsid w:val="00F83C2F"/>
    <w:rsid w:val="00F83D12"/>
    <w:rsid w:val="00F841CA"/>
    <w:rsid w:val="00F8448E"/>
    <w:rsid w:val="00F851CE"/>
    <w:rsid w:val="00F90F6B"/>
    <w:rsid w:val="00F913F1"/>
    <w:rsid w:val="00F9181B"/>
    <w:rsid w:val="00F91E03"/>
    <w:rsid w:val="00F93092"/>
    <w:rsid w:val="00F93E90"/>
    <w:rsid w:val="00F9510A"/>
    <w:rsid w:val="00F95376"/>
    <w:rsid w:val="00F957CC"/>
    <w:rsid w:val="00F96A1D"/>
    <w:rsid w:val="00F97A78"/>
    <w:rsid w:val="00FA0B71"/>
    <w:rsid w:val="00FA0C17"/>
    <w:rsid w:val="00FA178A"/>
    <w:rsid w:val="00FA22B0"/>
    <w:rsid w:val="00FA24E7"/>
    <w:rsid w:val="00FA4844"/>
    <w:rsid w:val="00FA5D5C"/>
    <w:rsid w:val="00FA5F9E"/>
    <w:rsid w:val="00FA603E"/>
    <w:rsid w:val="00FA61C5"/>
    <w:rsid w:val="00FA6CCF"/>
    <w:rsid w:val="00FA6DB0"/>
    <w:rsid w:val="00FB16F3"/>
    <w:rsid w:val="00FB1C9B"/>
    <w:rsid w:val="00FB1CDD"/>
    <w:rsid w:val="00FB2FCB"/>
    <w:rsid w:val="00FB3EB4"/>
    <w:rsid w:val="00FB536B"/>
    <w:rsid w:val="00FB787D"/>
    <w:rsid w:val="00FC032C"/>
    <w:rsid w:val="00FC1074"/>
    <w:rsid w:val="00FC123D"/>
    <w:rsid w:val="00FC1884"/>
    <w:rsid w:val="00FC43EF"/>
    <w:rsid w:val="00FC65F0"/>
    <w:rsid w:val="00FC68AF"/>
    <w:rsid w:val="00FC70F6"/>
    <w:rsid w:val="00FD2100"/>
    <w:rsid w:val="00FD2E05"/>
    <w:rsid w:val="00FD4207"/>
    <w:rsid w:val="00FD446D"/>
    <w:rsid w:val="00FD4930"/>
    <w:rsid w:val="00FD4B1C"/>
    <w:rsid w:val="00FD4DC2"/>
    <w:rsid w:val="00FE0179"/>
    <w:rsid w:val="00FE0B86"/>
    <w:rsid w:val="00FE1481"/>
    <w:rsid w:val="00FE3A50"/>
    <w:rsid w:val="00FE3FAD"/>
    <w:rsid w:val="00FE406C"/>
    <w:rsid w:val="00FE48FD"/>
    <w:rsid w:val="00FE4D89"/>
    <w:rsid w:val="00FE609E"/>
    <w:rsid w:val="00FE7339"/>
    <w:rsid w:val="00FE7BFC"/>
    <w:rsid w:val="00FF0358"/>
    <w:rsid w:val="00FF14AA"/>
    <w:rsid w:val="00FF3651"/>
    <w:rsid w:val="00FF3DCF"/>
    <w:rsid w:val="00FF49A4"/>
    <w:rsid w:val="00FF5AA3"/>
    <w:rsid w:val="00FF63AF"/>
    <w:rsid w:val="00FF69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A12562"/>
    <w:pPr>
      <w:ind w:left="720" w:hanging="720"/>
      <w:outlineLvl w:val="0"/>
    </w:pPr>
    <w:rPr>
      <w:rFonts w:ascii="Arial Bold" w:hAnsi="Arial Bold"/>
      <w:b/>
      <w:caps/>
    </w:rPr>
  </w:style>
  <w:style w:type="paragraph" w:styleId="Heading2">
    <w:name w:val="heading 2"/>
    <w:basedOn w:val="Normal"/>
    <w:next w:val="Normal"/>
    <w:link w:val="Heading2Char"/>
    <w:qFormat/>
    <w:rsid w:val="0078618A"/>
    <w:pPr>
      <w:outlineLvl w:val="1"/>
    </w:pPr>
    <w:rPr>
      <w:b/>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78618A"/>
    <w:rPr>
      <w:rFonts w:ascii="Arial" w:hAnsi="Arial" w:cs="Arial"/>
      <w:b/>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Caption Char Char,Char Char Char,Char Char1,Char Char,Char1,Table caption,Caption 3,c,appendix"/>
    <w:basedOn w:val="Normal"/>
    <w:next w:val="Normal"/>
    <w:link w:val="CaptionChar"/>
    <w:unhideWhenUsed/>
    <w:qFormat/>
    <w:rsid w:val="00117F38"/>
    <w:rPr>
      <w:rFonts w:ascii="Arial Narrow" w:hAnsi="Arial Narrow"/>
      <w:b/>
      <w:bCs/>
      <w:sz w:val="20"/>
      <w:szCs w:val="18"/>
    </w:rPr>
  </w:style>
  <w:style w:type="character" w:customStyle="1" w:styleId="CaptionChar">
    <w:name w:val="Caption Char"/>
    <w:aliases w:val="Caption Char1 Char,Caption Char Char Char,Char Char Char Char,Char Char1 Char,Char Char Char1,Char1 Char,Table caption Char,Caption 3 Char,c Char,appendix Char"/>
    <w:link w:val="Caption"/>
    <w:rsid w:val="00117F38"/>
    <w:rPr>
      <w:rFonts w:ascii="Arial Narrow" w:hAnsi="Arial Narrow" w:cs="Arial"/>
      <w:b/>
      <w:bCs/>
      <w:snapToGrid w:val="0"/>
      <w:szCs w:val="18"/>
      <w:lang w:eastAsia="en-US"/>
    </w:rPr>
  </w:style>
  <w:style w:type="paragraph" w:styleId="Title">
    <w:name w:val="Title"/>
    <w:basedOn w:val="Heading1"/>
    <w:next w:val="Normal"/>
    <w:link w:val="TitleChar"/>
    <w:rsid w:val="0078618A"/>
    <w:rPr>
      <w:sz w:val="28"/>
    </w:rPr>
  </w:style>
  <w:style w:type="character" w:customStyle="1" w:styleId="TitleChar">
    <w:name w:val="Title Char"/>
    <w:basedOn w:val="DefaultParagraphFont"/>
    <w:link w:val="Title"/>
    <w:rsid w:val="0078618A"/>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6F4152"/>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
      </w:numPr>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 Text"/>
    <w:basedOn w:val="Normal"/>
    <w:link w:val="TableTextChar0"/>
    <w:qFormat/>
    <w:rsid w:val="00145432"/>
    <w:pPr>
      <w:widowControl/>
      <w:spacing w:before="40" w:after="60"/>
      <w:jc w:val="left"/>
    </w:pPr>
    <w:rPr>
      <w:rFonts w:cs="Times New Roman"/>
      <w:snapToGrid/>
      <w:color w:val="000000"/>
      <w:sz w:val="20"/>
      <w:szCs w:val="18"/>
    </w:rPr>
  </w:style>
  <w:style w:type="character" w:customStyle="1" w:styleId="TableTextChar0">
    <w:name w:val="Table Text Char"/>
    <w:link w:val="TableText1"/>
    <w:rsid w:val="00145432"/>
    <w:rPr>
      <w:rFonts w:ascii="Arial" w:hAnsi="Arial"/>
      <w:color w:val="000000"/>
      <w:szCs w:val="18"/>
      <w:lang w:eastAsia="en-US"/>
    </w:rPr>
  </w:style>
  <w:style w:type="paragraph" w:styleId="FootnoteText">
    <w:name w:val="footnote text"/>
    <w:basedOn w:val="Normal"/>
    <w:link w:val="FootnoteTextChar"/>
    <w:unhideWhenUsed/>
    <w:rsid w:val="00FE609E"/>
    <w:rPr>
      <w:sz w:val="20"/>
    </w:rPr>
  </w:style>
  <w:style w:type="character" w:customStyle="1" w:styleId="FootnoteTextChar">
    <w:name w:val="Footnote Text Char"/>
    <w:basedOn w:val="DefaultParagraphFont"/>
    <w:link w:val="FootnoteText"/>
    <w:rsid w:val="00FE609E"/>
    <w:rPr>
      <w:rFonts w:ascii="Arial" w:hAnsi="Arial" w:cs="Arial"/>
      <w:snapToGrid w:val="0"/>
      <w:lang w:eastAsia="en-US"/>
    </w:rPr>
  </w:style>
  <w:style w:type="character" w:styleId="FootnoteReference">
    <w:name w:val="footnote reference"/>
    <w:basedOn w:val="DefaultParagraphFont"/>
    <w:unhideWhenUsed/>
    <w:rsid w:val="00FE609E"/>
    <w:rPr>
      <w:vertAlign w:val="superscript"/>
    </w:rPr>
  </w:style>
  <w:style w:type="paragraph" w:customStyle="1" w:styleId="Default">
    <w:name w:val="Default"/>
    <w:rsid w:val="00015A61"/>
    <w:pPr>
      <w:autoSpaceDE w:val="0"/>
      <w:autoSpaceDN w:val="0"/>
      <w:adjustRightInd w:val="0"/>
    </w:pPr>
    <w:rPr>
      <w:rFonts w:ascii="Verdana" w:hAnsi="Verdana" w:cs="Verdana"/>
      <w:color w:val="000000"/>
      <w:sz w:val="24"/>
      <w:szCs w:val="24"/>
    </w:rPr>
  </w:style>
  <w:style w:type="paragraph" w:customStyle="1" w:styleId="Tableheading0">
    <w:name w:val="Table heading"/>
    <w:basedOn w:val="Normal"/>
    <w:link w:val="TableheadingChar"/>
    <w:rsid w:val="003F1137"/>
    <w:pPr>
      <w:keepNext/>
      <w:keepLines/>
      <w:widowControl/>
      <w:spacing w:before="60" w:after="60"/>
      <w:jc w:val="left"/>
    </w:pPr>
    <w:rPr>
      <w:rFonts w:cs="Times New Roman"/>
      <w:b/>
      <w:bCs/>
      <w:snapToGrid/>
      <w:sz w:val="20"/>
    </w:rPr>
  </w:style>
  <w:style w:type="character" w:customStyle="1" w:styleId="TableheadingChar">
    <w:name w:val="Table heading Char"/>
    <w:link w:val="Tableheading0"/>
    <w:rsid w:val="003F1137"/>
    <w:rPr>
      <w:rFonts w:ascii="Arial" w:hAnsi="Arial"/>
      <w:b/>
      <w:bCs/>
      <w:lang w:eastAsia="en-US"/>
    </w:rPr>
  </w:style>
  <w:style w:type="paragraph" w:customStyle="1" w:styleId="TableText2centerheaderrow">
    <w:name w:val="Table Text 2 (center) header row"/>
    <w:basedOn w:val="Normal"/>
    <w:rsid w:val="009A0A64"/>
    <w:pPr>
      <w:widowControl/>
      <w:tabs>
        <w:tab w:val="left" w:pos="2835"/>
      </w:tabs>
      <w:suppressAutoHyphens/>
      <w:snapToGrid w:val="0"/>
      <w:spacing w:before="40" w:after="40"/>
      <w:jc w:val="center"/>
    </w:pPr>
    <w:rPr>
      <w:rFonts w:ascii="Times New Roman" w:eastAsia="SimSun" w:hAnsi="Times New Roman" w:cs="Times New Roman"/>
      <w:snapToGrid/>
      <w:sz w:val="20"/>
      <w:lang w:eastAsia="ar-SA"/>
    </w:rPr>
  </w:style>
  <w:style w:type="paragraph" w:customStyle="1" w:styleId="TableText1left">
    <w:name w:val="Table Text 1 (left)"/>
    <w:basedOn w:val="Normal"/>
    <w:rsid w:val="009A0A64"/>
    <w:pPr>
      <w:widowControl/>
      <w:suppressAutoHyphens/>
      <w:spacing w:before="40" w:after="40"/>
      <w:jc w:val="left"/>
    </w:pPr>
    <w:rPr>
      <w:rFonts w:ascii="Times New Roman" w:eastAsia="SimSun" w:hAnsi="Times New Roman" w:cs="Times New Roman"/>
      <w:bCs/>
      <w:snapToGrid/>
      <w:sz w:val="20"/>
      <w:szCs w:val="32"/>
      <w:lang w:val="en-GB" w:eastAsia="ar-SA"/>
    </w:rPr>
  </w:style>
  <w:style w:type="paragraph" w:customStyle="1" w:styleId="TabletextindentedlistA">
    <w:name w:val="Table text indented list A"/>
    <w:basedOn w:val="Normal"/>
    <w:rsid w:val="009A0A64"/>
    <w:pPr>
      <w:widowControl/>
      <w:tabs>
        <w:tab w:val="left" w:pos="1488"/>
        <w:tab w:val="left" w:pos="3951"/>
      </w:tabs>
      <w:suppressAutoHyphens/>
      <w:ind w:left="372" w:hanging="360"/>
      <w:jc w:val="left"/>
    </w:pPr>
    <w:rPr>
      <w:rFonts w:ascii="Times New Roman" w:eastAsia="SimSun" w:hAnsi="Times New Roman" w:cs="Times New Roman"/>
      <w:snapToGrid/>
      <w:sz w:val="20"/>
      <w:lang w:eastAsia="ar-SA"/>
    </w:rPr>
  </w:style>
  <w:style w:type="paragraph" w:styleId="DocumentMap">
    <w:name w:val="Document Map"/>
    <w:basedOn w:val="Normal"/>
    <w:link w:val="DocumentMapChar"/>
    <w:semiHidden/>
    <w:unhideWhenUsed/>
    <w:rsid w:val="00A5100E"/>
    <w:rPr>
      <w:rFonts w:ascii="SimSun" w:eastAsia="SimSun"/>
      <w:sz w:val="18"/>
      <w:szCs w:val="18"/>
    </w:rPr>
  </w:style>
  <w:style w:type="character" w:customStyle="1" w:styleId="DocumentMapChar">
    <w:name w:val="Document Map Char"/>
    <w:basedOn w:val="DefaultParagraphFont"/>
    <w:link w:val="DocumentMap"/>
    <w:semiHidden/>
    <w:rsid w:val="00A5100E"/>
    <w:rPr>
      <w:rFonts w:ascii="SimSun" w:eastAsia="SimSun" w:hAnsi="Arial" w:cs="Arial"/>
      <w:snapToGrid w:val="0"/>
      <w:sz w:val="18"/>
      <w:szCs w:val="18"/>
      <w:lang w:eastAsia="en-US"/>
    </w:rPr>
  </w:style>
  <w:style w:type="character" w:customStyle="1" w:styleId="Heading1Char">
    <w:name w:val="Heading 1 Char"/>
    <w:basedOn w:val="DefaultParagraphFont"/>
    <w:link w:val="Heading1"/>
    <w:rsid w:val="00A12562"/>
    <w:rPr>
      <w:rFonts w:ascii="Arial Bold" w:hAnsi="Arial Bold" w:cs="Arial"/>
      <w:b/>
      <w:caps/>
      <w:snapToGrid w:val="0"/>
      <w:sz w:val="22"/>
      <w:lang w:eastAsia="en-US"/>
    </w:rPr>
  </w:style>
  <w:style w:type="table" w:customStyle="1" w:styleId="TableGrid2">
    <w:name w:val="Table Grid2"/>
    <w:basedOn w:val="TableNormal"/>
    <w:next w:val="TableGrid"/>
    <w:uiPriority w:val="59"/>
    <w:rsid w:val="00A51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 Footnote"/>
    <w:basedOn w:val="TableText1"/>
    <w:qFormat/>
    <w:rsid w:val="00E720E3"/>
    <w:pPr>
      <w:spacing w:before="0" w:after="0"/>
    </w:pPr>
    <w:rPr>
      <w:rFonts w:ascii="Arial Narrow" w:hAnsi="Arial Narrow" w:cs="Arial"/>
      <w:snapToGrid w:val="0"/>
      <w:color w:val="auto"/>
      <w:sz w:val="18"/>
      <w:szCs w:val="2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9F1919"/>
    <w:pPr>
      <w:widowControl/>
      <w:spacing w:after="160" w:line="240" w:lineRule="exact"/>
      <w:jc w:val="left"/>
    </w:pPr>
    <w:rPr>
      <w:rFonts w:ascii="Verdana" w:eastAsia="MS Mincho" w:hAnsi="Verdana" w:cs="Verdana"/>
      <w:snapToGrid/>
      <w:sz w:val="20"/>
      <w:lang w:val="en-US"/>
    </w:rPr>
  </w:style>
  <w:style w:type="paragraph" w:customStyle="1" w:styleId="TableParagraph">
    <w:name w:val="Table Paragraph"/>
    <w:basedOn w:val="Normal"/>
    <w:uiPriority w:val="1"/>
    <w:qFormat/>
    <w:rsid w:val="00970688"/>
    <w:pPr>
      <w:jc w:val="left"/>
    </w:pPr>
    <w:rPr>
      <w:rFonts w:asciiTheme="minorHAnsi" w:eastAsiaTheme="minorHAnsi" w:hAnsiTheme="minorHAnsi" w:cstheme="minorBidi"/>
      <w:snapToGrid/>
      <w:szCs w:val="22"/>
      <w:lang w:val="en-US"/>
    </w:rPr>
  </w:style>
  <w:style w:type="character" w:customStyle="1" w:styleId="ListParagraphChar">
    <w:name w:val="List Paragraph Char"/>
    <w:link w:val="ListParagraph"/>
    <w:uiPriority w:val="72"/>
    <w:rsid w:val="002106DF"/>
    <w:rPr>
      <w:rFonts w:ascii="Arial" w:hAnsi="Arial" w:cs="Arial"/>
      <w:snapToGrid w:val="0"/>
      <w:sz w:val="22"/>
      <w:lang w:eastAsia="en-US"/>
    </w:rPr>
  </w:style>
  <w:style w:type="character" w:customStyle="1" w:styleId="TableFooterChar">
    <w:name w:val="Table Footer Char"/>
    <w:link w:val="TableFooter"/>
    <w:rsid w:val="007539AA"/>
    <w:rPr>
      <w:rFonts w:ascii="Arial Narrow" w:hAnsi="Arial Narrow" w:cs="Arial"/>
      <w:snapToGrid w:val="0"/>
      <w:sz w:val="18"/>
      <w:lang w:eastAsia="en-US"/>
    </w:rPr>
  </w:style>
  <w:style w:type="paragraph" w:styleId="IntenseQuote">
    <w:name w:val="Intense Quote"/>
    <w:basedOn w:val="Normal"/>
    <w:next w:val="Normal"/>
    <w:link w:val="IntenseQuoteChar"/>
    <w:uiPriority w:val="30"/>
    <w:qFormat/>
    <w:rsid w:val="00F437AB"/>
    <w:pPr>
      <w:pBdr>
        <w:bottom w:val="single" w:sz="4" w:space="4" w:color="4F81BD" w:themeColor="accent1"/>
      </w:pBdr>
      <w:spacing w:before="200" w:after="280"/>
      <w:ind w:left="936" w:right="936"/>
    </w:pPr>
    <w:rPr>
      <w:rFonts w:ascii="Times New Roman" w:hAnsi="Times New Roman" w:cs="Times New Roman"/>
      <w:b/>
      <w:bCs/>
      <w:i/>
      <w:iCs/>
      <w:color w:val="4F81BD" w:themeColor="accent1"/>
      <w:sz w:val="24"/>
    </w:rPr>
  </w:style>
  <w:style w:type="character" w:customStyle="1" w:styleId="IntenseQuoteChar">
    <w:name w:val="Intense Quote Char"/>
    <w:basedOn w:val="DefaultParagraphFont"/>
    <w:link w:val="IntenseQuote"/>
    <w:uiPriority w:val="30"/>
    <w:rsid w:val="00F437AB"/>
    <w:rPr>
      <w:b/>
      <w:bCs/>
      <w:i/>
      <w:iCs/>
      <w:snapToGrid w:val="0"/>
      <w:color w:val="4F81BD" w:themeColor="accent1"/>
      <w:sz w:val="24"/>
      <w:lang w:eastAsia="en-US"/>
    </w:rPr>
  </w:style>
  <w:style w:type="paragraph" w:customStyle="1" w:styleId="PBACheading10">
    <w:name w:val="PBAC heading 1"/>
    <w:qFormat/>
    <w:rsid w:val="00DB55F0"/>
    <w:pPr>
      <w:ind w:left="720" w:hanging="720"/>
    </w:pPr>
    <w:rPr>
      <w:rFonts w:ascii="Arial" w:hAnsi="Arial" w:cs="Arial"/>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A12562"/>
    <w:pPr>
      <w:ind w:left="720" w:hanging="720"/>
      <w:outlineLvl w:val="0"/>
    </w:pPr>
    <w:rPr>
      <w:rFonts w:ascii="Arial Bold" w:hAnsi="Arial Bold"/>
      <w:b/>
      <w:caps/>
    </w:rPr>
  </w:style>
  <w:style w:type="paragraph" w:styleId="Heading2">
    <w:name w:val="heading 2"/>
    <w:basedOn w:val="Normal"/>
    <w:next w:val="Normal"/>
    <w:link w:val="Heading2Char"/>
    <w:qFormat/>
    <w:rsid w:val="0078618A"/>
    <w:pPr>
      <w:outlineLvl w:val="1"/>
    </w:pPr>
    <w:rPr>
      <w:b/>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78618A"/>
    <w:rPr>
      <w:rFonts w:ascii="Arial" w:hAnsi="Arial" w:cs="Arial"/>
      <w:b/>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Caption Char Char,Char Char Char,Char Char1,Char Char,Char1,Table caption,Caption 3,c,appendix"/>
    <w:basedOn w:val="Normal"/>
    <w:next w:val="Normal"/>
    <w:link w:val="CaptionChar"/>
    <w:unhideWhenUsed/>
    <w:qFormat/>
    <w:rsid w:val="00117F38"/>
    <w:rPr>
      <w:rFonts w:ascii="Arial Narrow" w:hAnsi="Arial Narrow"/>
      <w:b/>
      <w:bCs/>
      <w:sz w:val="20"/>
      <w:szCs w:val="18"/>
    </w:rPr>
  </w:style>
  <w:style w:type="character" w:customStyle="1" w:styleId="CaptionChar">
    <w:name w:val="Caption Char"/>
    <w:aliases w:val="Caption Char1 Char,Caption Char Char Char,Char Char Char Char,Char Char1 Char,Char Char Char1,Char1 Char,Table caption Char,Caption 3 Char,c Char,appendix Char"/>
    <w:link w:val="Caption"/>
    <w:rsid w:val="00117F38"/>
    <w:rPr>
      <w:rFonts w:ascii="Arial Narrow" w:hAnsi="Arial Narrow" w:cs="Arial"/>
      <w:b/>
      <w:bCs/>
      <w:snapToGrid w:val="0"/>
      <w:szCs w:val="18"/>
      <w:lang w:eastAsia="en-US"/>
    </w:rPr>
  </w:style>
  <w:style w:type="paragraph" w:styleId="Title">
    <w:name w:val="Title"/>
    <w:basedOn w:val="Heading1"/>
    <w:next w:val="Normal"/>
    <w:link w:val="TitleChar"/>
    <w:rsid w:val="0078618A"/>
    <w:rPr>
      <w:sz w:val="28"/>
    </w:rPr>
  </w:style>
  <w:style w:type="character" w:customStyle="1" w:styleId="TitleChar">
    <w:name w:val="Title Char"/>
    <w:basedOn w:val="DefaultParagraphFont"/>
    <w:link w:val="Title"/>
    <w:rsid w:val="0078618A"/>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6F4152"/>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
      </w:numPr>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 Text"/>
    <w:basedOn w:val="Normal"/>
    <w:link w:val="TableTextChar0"/>
    <w:qFormat/>
    <w:rsid w:val="00145432"/>
    <w:pPr>
      <w:widowControl/>
      <w:spacing w:before="40" w:after="60"/>
      <w:jc w:val="left"/>
    </w:pPr>
    <w:rPr>
      <w:rFonts w:cs="Times New Roman"/>
      <w:snapToGrid/>
      <w:color w:val="000000"/>
      <w:sz w:val="20"/>
      <w:szCs w:val="18"/>
    </w:rPr>
  </w:style>
  <w:style w:type="character" w:customStyle="1" w:styleId="TableTextChar0">
    <w:name w:val="Table Text Char"/>
    <w:link w:val="TableText1"/>
    <w:rsid w:val="00145432"/>
    <w:rPr>
      <w:rFonts w:ascii="Arial" w:hAnsi="Arial"/>
      <w:color w:val="000000"/>
      <w:szCs w:val="18"/>
      <w:lang w:eastAsia="en-US"/>
    </w:rPr>
  </w:style>
  <w:style w:type="paragraph" w:styleId="FootnoteText">
    <w:name w:val="footnote text"/>
    <w:basedOn w:val="Normal"/>
    <w:link w:val="FootnoteTextChar"/>
    <w:unhideWhenUsed/>
    <w:rsid w:val="00FE609E"/>
    <w:rPr>
      <w:sz w:val="20"/>
    </w:rPr>
  </w:style>
  <w:style w:type="character" w:customStyle="1" w:styleId="FootnoteTextChar">
    <w:name w:val="Footnote Text Char"/>
    <w:basedOn w:val="DefaultParagraphFont"/>
    <w:link w:val="FootnoteText"/>
    <w:rsid w:val="00FE609E"/>
    <w:rPr>
      <w:rFonts w:ascii="Arial" w:hAnsi="Arial" w:cs="Arial"/>
      <w:snapToGrid w:val="0"/>
      <w:lang w:eastAsia="en-US"/>
    </w:rPr>
  </w:style>
  <w:style w:type="character" w:styleId="FootnoteReference">
    <w:name w:val="footnote reference"/>
    <w:basedOn w:val="DefaultParagraphFont"/>
    <w:unhideWhenUsed/>
    <w:rsid w:val="00FE609E"/>
    <w:rPr>
      <w:vertAlign w:val="superscript"/>
    </w:rPr>
  </w:style>
  <w:style w:type="paragraph" w:customStyle="1" w:styleId="Default">
    <w:name w:val="Default"/>
    <w:rsid w:val="00015A61"/>
    <w:pPr>
      <w:autoSpaceDE w:val="0"/>
      <w:autoSpaceDN w:val="0"/>
      <w:adjustRightInd w:val="0"/>
    </w:pPr>
    <w:rPr>
      <w:rFonts w:ascii="Verdana" w:hAnsi="Verdana" w:cs="Verdana"/>
      <w:color w:val="000000"/>
      <w:sz w:val="24"/>
      <w:szCs w:val="24"/>
    </w:rPr>
  </w:style>
  <w:style w:type="paragraph" w:customStyle="1" w:styleId="Tableheading0">
    <w:name w:val="Table heading"/>
    <w:basedOn w:val="Normal"/>
    <w:link w:val="TableheadingChar"/>
    <w:rsid w:val="003F1137"/>
    <w:pPr>
      <w:keepNext/>
      <w:keepLines/>
      <w:widowControl/>
      <w:spacing w:before="60" w:after="60"/>
      <w:jc w:val="left"/>
    </w:pPr>
    <w:rPr>
      <w:rFonts w:cs="Times New Roman"/>
      <w:b/>
      <w:bCs/>
      <w:snapToGrid/>
      <w:sz w:val="20"/>
    </w:rPr>
  </w:style>
  <w:style w:type="character" w:customStyle="1" w:styleId="TableheadingChar">
    <w:name w:val="Table heading Char"/>
    <w:link w:val="Tableheading0"/>
    <w:rsid w:val="003F1137"/>
    <w:rPr>
      <w:rFonts w:ascii="Arial" w:hAnsi="Arial"/>
      <w:b/>
      <w:bCs/>
      <w:lang w:eastAsia="en-US"/>
    </w:rPr>
  </w:style>
  <w:style w:type="paragraph" w:customStyle="1" w:styleId="TableText2centerheaderrow">
    <w:name w:val="Table Text 2 (center) header row"/>
    <w:basedOn w:val="Normal"/>
    <w:rsid w:val="009A0A64"/>
    <w:pPr>
      <w:widowControl/>
      <w:tabs>
        <w:tab w:val="left" w:pos="2835"/>
      </w:tabs>
      <w:suppressAutoHyphens/>
      <w:snapToGrid w:val="0"/>
      <w:spacing w:before="40" w:after="40"/>
      <w:jc w:val="center"/>
    </w:pPr>
    <w:rPr>
      <w:rFonts w:ascii="Times New Roman" w:eastAsia="SimSun" w:hAnsi="Times New Roman" w:cs="Times New Roman"/>
      <w:snapToGrid/>
      <w:sz w:val="20"/>
      <w:lang w:eastAsia="ar-SA"/>
    </w:rPr>
  </w:style>
  <w:style w:type="paragraph" w:customStyle="1" w:styleId="TableText1left">
    <w:name w:val="Table Text 1 (left)"/>
    <w:basedOn w:val="Normal"/>
    <w:rsid w:val="009A0A64"/>
    <w:pPr>
      <w:widowControl/>
      <w:suppressAutoHyphens/>
      <w:spacing w:before="40" w:after="40"/>
      <w:jc w:val="left"/>
    </w:pPr>
    <w:rPr>
      <w:rFonts w:ascii="Times New Roman" w:eastAsia="SimSun" w:hAnsi="Times New Roman" w:cs="Times New Roman"/>
      <w:bCs/>
      <w:snapToGrid/>
      <w:sz w:val="20"/>
      <w:szCs w:val="32"/>
      <w:lang w:val="en-GB" w:eastAsia="ar-SA"/>
    </w:rPr>
  </w:style>
  <w:style w:type="paragraph" w:customStyle="1" w:styleId="TabletextindentedlistA">
    <w:name w:val="Table text indented list A"/>
    <w:basedOn w:val="Normal"/>
    <w:rsid w:val="009A0A64"/>
    <w:pPr>
      <w:widowControl/>
      <w:tabs>
        <w:tab w:val="left" w:pos="1488"/>
        <w:tab w:val="left" w:pos="3951"/>
      </w:tabs>
      <w:suppressAutoHyphens/>
      <w:ind w:left="372" w:hanging="360"/>
      <w:jc w:val="left"/>
    </w:pPr>
    <w:rPr>
      <w:rFonts w:ascii="Times New Roman" w:eastAsia="SimSun" w:hAnsi="Times New Roman" w:cs="Times New Roman"/>
      <w:snapToGrid/>
      <w:sz w:val="20"/>
      <w:lang w:eastAsia="ar-SA"/>
    </w:rPr>
  </w:style>
  <w:style w:type="paragraph" w:styleId="DocumentMap">
    <w:name w:val="Document Map"/>
    <w:basedOn w:val="Normal"/>
    <w:link w:val="DocumentMapChar"/>
    <w:semiHidden/>
    <w:unhideWhenUsed/>
    <w:rsid w:val="00A5100E"/>
    <w:rPr>
      <w:rFonts w:ascii="SimSun" w:eastAsia="SimSun"/>
      <w:sz w:val="18"/>
      <w:szCs w:val="18"/>
    </w:rPr>
  </w:style>
  <w:style w:type="character" w:customStyle="1" w:styleId="DocumentMapChar">
    <w:name w:val="Document Map Char"/>
    <w:basedOn w:val="DefaultParagraphFont"/>
    <w:link w:val="DocumentMap"/>
    <w:semiHidden/>
    <w:rsid w:val="00A5100E"/>
    <w:rPr>
      <w:rFonts w:ascii="SimSun" w:eastAsia="SimSun" w:hAnsi="Arial" w:cs="Arial"/>
      <w:snapToGrid w:val="0"/>
      <w:sz w:val="18"/>
      <w:szCs w:val="18"/>
      <w:lang w:eastAsia="en-US"/>
    </w:rPr>
  </w:style>
  <w:style w:type="character" w:customStyle="1" w:styleId="Heading1Char">
    <w:name w:val="Heading 1 Char"/>
    <w:basedOn w:val="DefaultParagraphFont"/>
    <w:link w:val="Heading1"/>
    <w:rsid w:val="00A12562"/>
    <w:rPr>
      <w:rFonts w:ascii="Arial Bold" w:hAnsi="Arial Bold" w:cs="Arial"/>
      <w:b/>
      <w:caps/>
      <w:snapToGrid w:val="0"/>
      <w:sz w:val="22"/>
      <w:lang w:eastAsia="en-US"/>
    </w:rPr>
  </w:style>
  <w:style w:type="table" w:customStyle="1" w:styleId="TableGrid2">
    <w:name w:val="Table Grid2"/>
    <w:basedOn w:val="TableNormal"/>
    <w:next w:val="TableGrid"/>
    <w:uiPriority w:val="59"/>
    <w:rsid w:val="00A51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 Footnote"/>
    <w:basedOn w:val="TableText1"/>
    <w:qFormat/>
    <w:rsid w:val="00E720E3"/>
    <w:pPr>
      <w:spacing w:before="0" w:after="0"/>
    </w:pPr>
    <w:rPr>
      <w:rFonts w:ascii="Arial Narrow" w:hAnsi="Arial Narrow" w:cs="Arial"/>
      <w:snapToGrid w:val="0"/>
      <w:color w:val="auto"/>
      <w:sz w:val="18"/>
      <w:szCs w:val="2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9F1919"/>
    <w:pPr>
      <w:widowControl/>
      <w:spacing w:after="160" w:line="240" w:lineRule="exact"/>
      <w:jc w:val="left"/>
    </w:pPr>
    <w:rPr>
      <w:rFonts w:ascii="Verdana" w:eastAsia="MS Mincho" w:hAnsi="Verdana" w:cs="Verdana"/>
      <w:snapToGrid/>
      <w:sz w:val="20"/>
      <w:lang w:val="en-US"/>
    </w:rPr>
  </w:style>
  <w:style w:type="paragraph" w:customStyle="1" w:styleId="TableParagraph">
    <w:name w:val="Table Paragraph"/>
    <w:basedOn w:val="Normal"/>
    <w:uiPriority w:val="1"/>
    <w:qFormat/>
    <w:rsid w:val="00970688"/>
    <w:pPr>
      <w:jc w:val="left"/>
    </w:pPr>
    <w:rPr>
      <w:rFonts w:asciiTheme="minorHAnsi" w:eastAsiaTheme="minorHAnsi" w:hAnsiTheme="minorHAnsi" w:cstheme="minorBidi"/>
      <w:snapToGrid/>
      <w:szCs w:val="22"/>
      <w:lang w:val="en-US"/>
    </w:rPr>
  </w:style>
  <w:style w:type="character" w:customStyle="1" w:styleId="ListParagraphChar">
    <w:name w:val="List Paragraph Char"/>
    <w:link w:val="ListParagraph"/>
    <w:uiPriority w:val="72"/>
    <w:rsid w:val="002106DF"/>
    <w:rPr>
      <w:rFonts w:ascii="Arial" w:hAnsi="Arial" w:cs="Arial"/>
      <w:snapToGrid w:val="0"/>
      <w:sz w:val="22"/>
      <w:lang w:eastAsia="en-US"/>
    </w:rPr>
  </w:style>
  <w:style w:type="character" w:customStyle="1" w:styleId="TableFooterChar">
    <w:name w:val="Table Footer Char"/>
    <w:link w:val="TableFooter"/>
    <w:rsid w:val="007539AA"/>
    <w:rPr>
      <w:rFonts w:ascii="Arial Narrow" w:hAnsi="Arial Narrow" w:cs="Arial"/>
      <w:snapToGrid w:val="0"/>
      <w:sz w:val="18"/>
      <w:lang w:eastAsia="en-US"/>
    </w:rPr>
  </w:style>
  <w:style w:type="paragraph" w:styleId="IntenseQuote">
    <w:name w:val="Intense Quote"/>
    <w:basedOn w:val="Normal"/>
    <w:next w:val="Normal"/>
    <w:link w:val="IntenseQuoteChar"/>
    <w:uiPriority w:val="30"/>
    <w:qFormat/>
    <w:rsid w:val="00F437AB"/>
    <w:pPr>
      <w:pBdr>
        <w:bottom w:val="single" w:sz="4" w:space="4" w:color="4F81BD" w:themeColor="accent1"/>
      </w:pBdr>
      <w:spacing w:before="200" w:after="280"/>
      <w:ind w:left="936" w:right="936"/>
    </w:pPr>
    <w:rPr>
      <w:rFonts w:ascii="Times New Roman" w:hAnsi="Times New Roman" w:cs="Times New Roman"/>
      <w:b/>
      <w:bCs/>
      <w:i/>
      <w:iCs/>
      <w:color w:val="4F81BD" w:themeColor="accent1"/>
      <w:sz w:val="24"/>
    </w:rPr>
  </w:style>
  <w:style w:type="character" w:customStyle="1" w:styleId="IntenseQuoteChar">
    <w:name w:val="Intense Quote Char"/>
    <w:basedOn w:val="DefaultParagraphFont"/>
    <w:link w:val="IntenseQuote"/>
    <w:uiPriority w:val="30"/>
    <w:rsid w:val="00F437AB"/>
    <w:rPr>
      <w:b/>
      <w:bCs/>
      <w:i/>
      <w:iCs/>
      <w:snapToGrid w:val="0"/>
      <w:color w:val="4F81BD" w:themeColor="accent1"/>
      <w:sz w:val="24"/>
      <w:lang w:eastAsia="en-US"/>
    </w:rPr>
  </w:style>
  <w:style w:type="paragraph" w:customStyle="1" w:styleId="PBACheading10">
    <w:name w:val="PBAC heading 1"/>
    <w:qFormat/>
    <w:rsid w:val="00DB55F0"/>
    <w:pPr>
      <w:ind w:left="720" w:hanging="720"/>
    </w:pPr>
    <w:rPr>
      <w:rFonts w:ascii="Arial" w:hAnsi="Arial" w:cs="Arial"/>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500655">
      <w:bodyDiv w:val="1"/>
      <w:marLeft w:val="0"/>
      <w:marRight w:val="0"/>
      <w:marTop w:val="0"/>
      <w:marBottom w:val="0"/>
      <w:divBdr>
        <w:top w:val="none" w:sz="0" w:space="0" w:color="auto"/>
        <w:left w:val="none" w:sz="0" w:space="0" w:color="auto"/>
        <w:bottom w:val="none" w:sz="0" w:space="0" w:color="auto"/>
        <w:right w:val="none" w:sz="0" w:space="0" w:color="auto"/>
      </w:divBdr>
    </w:div>
    <w:div w:id="173685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62F59-DD11-4408-998B-0CD764B6F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7820</Words>
  <Characters>45562</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5.03 asunaprevir</vt:lpstr>
    </vt:vector>
  </TitlesOfParts>
  <LinksUpToDate>false</LinksUpToDate>
  <CharactersWithSpaces>53276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5.03 asunaprevir</dc:title>
  <dc:creator/>
  <cp:lastModifiedBy/>
  <cp:revision>1</cp:revision>
  <dcterms:created xsi:type="dcterms:W3CDTF">2015-06-29T03:30:00Z</dcterms:created>
  <dcterms:modified xsi:type="dcterms:W3CDTF">2015-06-29T06:37:00Z</dcterms:modified>
</cp:coreProperties>
</file>