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48" w:rsidRDefault="00CD2F60" w:rsidP="00CD2F60">
      <w:pPr>
        <w:ind w:left="720" w:hanging="720"/>
        <w:rPr>
          <w:rFonts w:ascii="Arial" w:hAnsi="Arial" w:cs="Arial"/>
          <w:b/>
          <w:sz w:val="28"/>
          <w:szCs w:val="28"/>
        </w:rPr>
      </w:pPr>
      <w:r>
        <w:rPr>
          <w:rFonts w:ascii="Arial" w:hAnsi="Arial"/>
          <w:b/>
          <w:sz w:val="28"/>
          <w:szCs w:val="28"/>
        </w:rPr>
        <w:t>6.15</w:t>
      </w:r>
      <w:r w:rsidR="007C0F57" w:rsidRPr="006D6EC7">
        <w:rPr>
          <w:rFonts w:ascii="Arial" w:hAnsi="Arial"/>
          <w:b/>
          <w:sz w:val="28"/>
          <w:szCs w:val="28"/>
        </w:rPr>
        <w:tab/>
      </w:r>
      <w:r>
        <w:rPr>
          <w:rFonts w:ascii="Arial" w:hAnsi="Arial" w:cs="Arial"/>
          <w:b/>
          <w:sz w:val="28"/>
          <w:szCs w:val="28"/>
        </w:rPr>
        <w:t>UMECLIDINIUM + VILANTEROL</w:t>
      </w:r>
    </w:p>
    <w:p w:rsidR="00CD2F60" w:rsidRPr="00331C60" w:rsidRDefault="00CD2F60" w:rsidP="006E7E48">
      <w:pPr>
        <w:ind w:left="720"/>
        <w:rPr>
          <w:rFonts w:ascii="Arial" w:hAnsi="Arial" w:cs="Arial"/>
          <w:b/>
          <w:sz w:val="28"/>
          <w:szCs w:val="28"/>
        </w:rPr>
      </w:pPr>
      <w:r>
        <w:rPr>
          <w:rFonts w:ascii="Arial" w:hAnsi="Arial" w:cs="Arial"/>
          <w:b/>
          <w:sz w:val="28"/>
          <w:szCs w:val="28"/>
        </w:rPr>
        <w:t>umeclidinium (as bromide) 62.5 microgram/actuation + vilanterol (as trifenatate) 25 microgram/actuation,</w:t>
      </w:r>
      <w:r w:rsidRPr="00331C60">
        <w:rPr>
          <w:rFonts w:ascii="Arial" w:hAnsi="Arial" w:cs="Arial"/>
          <w:b/>
          <w:sz w:val="28"/>
          <w:szCs w:val="28"/>
        </w:rPr>
        <w:t xml:space="preserve"> </w:t>
      </w:r>
      <w:r>
        <w:rPr>
          <w:rFonts w:ascii="Arial" w:hAnsi="Arial" w:cs="Arial"/>
          <w:b/>
          <w:sz w:val="28"/>
          <w:szCs w:val="28"/>
        </w:rPr>
        <w:t>inhalation: powder for</w:t>
      </w:r>
      <w:r w:rsidRPr="00331C60">
        <w:rPr>
          <w:rFonts w:ascii="Arial" w:hAnsi="Arial" w:cs="Arial"/>
          <w:b/>
          <w:sz w:val="28"/>
          <w:szCs w:val="28"/>
        </w:rPr>
        <w:t xml:space="preserve">, </w:t>
      </w:r>
      <w:r w:rsidR="006E7E48">
        <w:rPr>
          <w:rFonts w:ascii="Arial" w:hAnsi="Arial" w:cs="Arial"/>
          <w:b/>
          <w:sz w:val="28"/>
          <w:szCs w:val="28"/>
        </w:rPr>
        <w:t>30 actuations;</w:t>
      </w:r>
    </w:p>
    <w:p w:rsidR="00D3280C" w:rsidRPr="006D6EC7" w:rsidRDefault="00CD2F60" w:rsidP="00CD2F60">
      <w:pPr>
        <w:ind w:left="720"/>
        <w:rPr>
          <w:rFonts w:ascii="Arial" w:hAnsi="Arial"/>
          <w:b/>
          <w:sz w:val="28"/>
          <w:szCs w:val="28"/>
        </w:rPr>
      </w:pPr>
      <w:r>
        <w:rPr>
          <w:rFonts w:ascii="Arial" w:hAnsi="Arial" w:cs="Arial"/>
          <w:b/>
          <w:sz w:val="28"/>
          <w:szCs w:val="28"/>
        </w:rPr>
        <w:t>Anoro</w:t>
      </w:r>
      <w:r w:rsidRPr="00331C60">
        <w:rPr>
          <w:rFonts w:ascii="Arial" w:hAnsi="Arial" w:cs="Arial"/>
          <w:b/>
          <w:sz w:val="28"/>
          <w:szCs w:val="28"/>
          <w:vertAlign w:val="superscript"/>
        </w:rPr>
        <w:t>®</w:t>
      </w:r>
      <w:r>
        <w:rPr>
          <w:rFonts w:ascii="Arial" w:hAnsi="Arial" w:cs="Arial"/>
          <w:b/>
          <w:sz w:val="28"/>
          <w:szCs w:val="28"/>
          <w:vertAlign w:val="superscript"/>
        </w:rPr>
        <w:t xml:space="preserve"> </w:t>
      </w:r>
      <w:r>
        <w:rPr>
          <w:rFonts w:ascii="Arial" w:hAnsi="Arial" w:cs="Arial"/>
          <w:b/>
          <w:sz w:val="28"/>
          <w:szCs w:val="28"/>
        </w:rPr>
        <w:t>Ellipta</w:t>
      </w:r>
      <w:r w:rsidRPr="00331C60">
        <w:rPr>
          <w:rFonts w:ascii="Arial" w:hAnsi="Arial" w:cs="Arial"/>
          <w:b/>
          <w:sz w:val="28"/>
          <w:szCs w:val="28"/>
          <w:vertAlign w:val="superscript"/>
        </w:rPr>
        <w:t>®</w:t>
      </w:r>
      <w:r w:rsidR="006E7E48">
        <w:rPr>
          <w:rFonts w:ascii="Arial" w:hAnsi="Arial" w:cs="Arial"/>
          <w:b/>
          <w:sz w:val="28"/>
          <w:szCs w:val="28"/>
        </w:rPr>
        <w:t>;</w:t>
      </w:r>
      <w:r w:rsidRPr="00331C60">
        <w:rPr>
          <w:rFonts w:ascii="Arial" w:hAnsi="Arial" w:cs="Arial"/>
          <w:b/>
          <w:sz w:val="28"/>
          <w:szCs w:val="28"/>
        </w:rPr>
        <w:t xml:space="preserve"> </w:t>
      </w:r>
      <w:r>
        <w:rPr>
          <w:rFonts w:ascii="Arial" w:hAnsi="Arial" w:cs="Arial"/>
          <w:b/>
          <w:sz w:val="28"/>
          <w:szCs w:val="28"/>
        </w:rPr>
        <w:t>GlaxoSmithKline Australia Pty Ltd</w:t>
      </w:r>
      <w:r w:rsidR="006E7E48">
        <w:rPr>
          <w:rFonts w:ascii="Arial" w:hAnsi="Arial" w:cs="Arial"/>
          <w:b/>
          <w:sz w:val="28"/>
          <w:szCs w:val="28"/>
        </w:rPr>
        <w:t>.</w:t>
      </w:r>
    </w:p>
    <w:p w:rsidR="00CE10C4" w:rsidRPr="00150D78" w:rsidRDefault="00CE10C4" w:rsidP="00A5273B">
      <w:pPr>
        <w:rPr>
          <w:rFonts w:ascii="Arial" w:hAnsi="Arial"/>
          <w:b/>
          <w:sz w:val="22"/>
          <w:szCs w:val="22"/>
        </w:rPr>
      </w:pPr>
    </w:p>
    <w:p w:rsidR="00150D78" w:rsidRPr="00150D78" w:rsidRDefault="00150D78" w:rsidP="00A5273B">
      <w:pPr>
        <w:rPr>
          <w:rFonts w:ascii="Arial" w:hAnsi="Arial"/>
          <w:b/>
          <w:sz w:val="22"/>
          <w:szCs w:val="22"/>
        </w:rPr>
      </w:pPr>
    </w:p>
    <w:p w:rsidR="00CE10C4" w:rsidRPr="00CD2F60" w:rsidRDefault="00CE10C4" w:rsidP="00CD2F60">
      <w:pPr>
        <w:pStyle w:val="ListParagraph"/>
        <w:numPr>
          <w:ilvl w:val="0"/>
          <w:numId w:val="25"/>
        </w:numPr>
        <w:jc w:val="both"/>
        <w:rPr>
          <w:rFonts w:ascii="Arial" w:hAnsi="Arial"/>
          <w:b/>
          <w:sz w:val="22"/>
          <w:szCs w:val="22"/>
        </w:rPr>
      </w:pPr>
      <w:r w:rsidRPr="00CD2F60">
        <w:rPr>
          <w:rFonts w:ascii="Arial" w:hAnsi="Arial"/>
          <w:b/>
          <w:sz w:val="22"/>
          <w:szCs w:val="22"/>
        </w:rPr>
        <w:t xml:space="preserve">Purpose of </w:t>
      </w:r>
      <w:r w:rsidR="0004240E" w:rsidRPr="00CD2F60">
        <w:rPr>
          <w:rFonts w:ascii="Arial" w:hAnsi="Arial"/>
          <w:b/>
          <w:sz w:val="22"/>
          <w:szCs w:val="22"/>
        </w:rPr>
        <w:t>Application</w:t>
      </w:r>
    </w:p>
    <w:p w:rsidR="006A12A5" w:rsidRPr="00882085" w:rsidRDefault="006A12A5" w:rsidP="00882085">
      <w:pPr>
        <w:jc w:val="both"/>
        <w:rPr>
          <w:rFonts w:ascii="Arial" w:hAnsi="Arial"/>
          <w:sz w:val="22"/>
          <w:szCs w:val="22"/>
        </w:rPr>
      </w:pPr>
    </w:p>
    <w:p w:rsidR="00CD2F60" w:rsidRPr="00CD2F60" w:rsidRDefault="00CD2F60" w:rsidP="00CD2F60">
      <w:pPr>
        <w:pStyle w:val="ListParagraph"/>
        <w:numPr>
          <w:ilvl w:val="1"/>
          <w:numId w:val="25"/>
        </w:numPr>
        <w:jc w:val="both"/>
        <w:rPr>
          <w:rFonts w:ascii="Arial" w:hAnsi="Arial"/>
          <w:sz w:val="22"/>
          <w:szCs w:val="22"/>
        </w:rPr>
      </w:pPr>
      <w:r>
        <w:rPr>
          <w:rFonts w:ascii="Arial" w:hAnsi="Arial"/>
          <w:sz w:val="22"/>
          <w:szCs w:val="22"/>
        </w:rPr>
        <w:t xml:space="preserve">The minor submission seeks to </w:t>
      </w:r>
      <w:r w:rsidRPr="00CD2F60">
        <w:rPr>
          <w:rFonts w:ascii="Arial" w:hAnsi="Arial" w:cs="Arial"/>
          <w:sz w:val="22"/>
          <w:szCs w:val="22"/>
        </w:rPr>
        <w:t>amend the recommended restriction for umeclidinium with vilanterol (UMEC/VI) to also include patients who have symptoms that persist despite regular bronchodilator treatment with a long acting muscarinic antagonist (LAMA) and/or long acting beta-2 agonist (LABA) in addition to those already stabilised on a combination of a LAMA and LABA.</w:t>
      </w:r>
    </w:p>
    <w:p w:rsidR="00CD2F60" w:rsidRPr="00CD2F60" w:rsidRDefault="00CD2F60" w:rsidP="00CD2F60">
      <w:pPr>
        <w:jc w:val="both"/>
        <w:rPr>
          <w:rFonts w:ascii="Arial" w:hAnsi="Arial"/>
          <w:sz w:val="22"/>
          <w:szCs w:val="22"/>
        </w:rPr>
      </w:pPr>
    </w:p>
    <w:p w:rsidR="00EF44A0" w:rsidRPr="00EF44A0" w:rsidRDefault="00EF44A0" w:rsidP="00EF44A0">
      <w:pPr>
        <w:pStyle w:val="ListParagraph"/>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CD2F60" w:rsidRDefault="00EF44A0" w:rsidP="00826F6D">
      <w:pPr>
        <w:pStyle w:val="ListParagraph"/>
        <w:numPr>
          <w:ilvl w:val="1"/>
          <w:numId w:val="25"/>
        </w:numPr>
        <w:jc w:val="both"/>
        <w:rPr>
          <w:rFonts w:ascii="Arial" w:hAnsi="Arial"/>
          <w:b/>
          <w:color w:val="FF00FF"/>
          <w:sz w:val="22"/>
          <w:szCs w:val="22"/>
        </w:rPr>
      </w:pPr>
      <w:r w:rsidRPr="00CD2F60">
        <w:rPr>
          <w:rFonts w:ascii="Arial" w:hAnsi="Arial"/>
          <w:sz w:val="22"/>
          <w:szCs w:val="22"/>
        </w:rPr>
        <w:t>The submission s</w:t>
      </w:r>
      <w:r w:rsidR="0076420C" w:rsidRPr="00CD2F60">
        <w:rPr>
          <w:rFonts w:ascii="Arial" w:hAnsi="Arial"/>
          <w:sz w:val="22"/>
          <w:szCs w:val="22"/>
        </w:rPr>
        <w:t>eeks</w:t>
      </w:r>
      <w:r w:rsidRPr="00CD2F60">
        <w:rPr>
          <w:rFonts w:ascii="Arial" w:hAnsi="Arial"/>
          <w:sz w:val="22"/>
          <w:szCs w:val="22"/>
        </w:rPr>
        <w:t xml:space="preserve"> the following changes to the existing listing</w:t>
      </w:r>
      <w:r w:rsidR="00CD2F60">
        <w:rPr>
          <w:rFonts w:ascii="Arial" w:hAnsi="Arial"/>
          <w:sz w:val="22"/>
          <w:szCs w:val="22"/>
        </w:rPr>
        <w:t xml:space="preserve">, </w:t>
      </w:r>
      <w:r w:rsidR="00904EA3">
        <w:rPr>
          <w:rFonts w:ascii="Arial" w:hAnsi="Arial"/>
          <w:sz w:val="22"/>
          <w:szCs w:val="22"/>
        </w:rPr>
        <w:t>being expanded</w:t>
      </w:r>
      <w:r w:rsidR="00CD2F60">
        <w:rPr>
          <w:rFonts w:ascii="Arial" w:hAnsi="Arial"/>
          <w:sz w:val="22"/>
          <w:szCs w:val="22"/>
        </w:rPr>
        <w:t xml:space="preserve"> to include patients who have symptoms that persist despite regular bronchodilator treatment with a LAMA and/or LABA in individual devices. </w:t>
      </w:r>
    </w:p>
    <w:p w:rsidR="00150D78" w:rsidRDefault="00150D78"/>
    <w:tbl>
      <w:tblPr>
        <w:tblW w:w="8363" w:type="dxa"/>
        <w:tblInd w:w="817" w:type="dxa"/>
        <w:tblLayout w:type="fixed"/>
        <w:tblLook w:val="0000" w:firstRow="0" w:lastRow="0" w:firstColumn="0" w:lastColumn="0" w:noHBand="0" w:noVBand="0"/>
      </w:tblPr>
      <w:tblGrid>
        <w:gridCol w:w="3315"/>
        <w:gridCol w:w="577"/>
        <w:gridCol w:w="1211"/>
        <w:gridCol w:w="1985"/>
        <w:gridCol w:w="1275"/>
      </w:tblGrid>
      <w:tr w:rsidR="0045120A" w:rsidRPr="00331C60" w:rsidTr="0045120A">
        <w:trPr>
          <w:cantSplit/>
          <w:trHeight w:val="250"/>
        </w:trPr>
        <w:tc>
          <w:tcPr>
            <w:tcW w:w="3315" w:type="dxa"/>
            <w:tcBorders>
              <w:bottom w:val="single" w:sz="4" w:space="0" w:color="auto"/>
            </w:tcBorders>
          </w:tcPr>
          <w:p w:rsidR="0045120A" w:rsidRPr="00D92D04" w:rsidRDefault="0045120A" w:rsidP="004656C1">
            <w:pPr>
              <w:keepNext/>
              <w:ind w:left="-108"/>
              <w:jc w:val="both"/>
              <w:rPr>
                <w:rFonts w:ascii="Arial Narrow" w:hAnsi="Arial Narrow" w:cs="Arial"/>
                <w:sz w:val="20"/>
                <w:szCs w:val="20"/>
              </w:rPr>
            </w:pPr>
            <w:r w:rsidRPr="00D92D04">
              <w:rPr>
                <w:rFonts w:ascii="Arial Narrow" w:hAnsi="Arial Narrow" w:cs="Arial"/>
                <w:sz w:val="20"/>
                <w:szCs w:val="20"/>
              </w:rPr>
              <w:t>Name, Restriction,</w:t>
            </w:r>
          </w:p>
          <w:p w:rsidR="0045120A" w:rsidRPr="00D92D04" w:rsidRDefault="0045120A" w:rsidP="004656C1">
            <w:pPr>
              <w:keepNext/>
              <w:ind w:left="-108"/>
              <w:jc w:val="both"/>
              <w:rPr>
                <w:rFonts w:ascii="Arial Narrow" w:hAnsi="Arial Narrow" w:cs="Arial"/>
                <w:sz w:val="20"/>
                <w:szCs w:val="20"/>
              </w:rPr>
            </w:pPr>
            <w:r w:rsidRPr="00D92D04">
              <w:rPr>
                <w:rFonts w:ascii="Arial Narrow" w:hAnsi="Arial Narrow" w:cs="Arial"/>
                <w:sz w:val="20"/>
                <w:szCs w:val="20"/>
              </w:rPr>
              <w:t>Manner of administration and form</w:t>
            </w:r>
          </w:p>
        </w:tc>
        <w:tc>
          <w:tcPr>
            <w:tcW w:w="577" w:type="dxa"/>
            <w:tcBorders>
              <w:bottom w:val="single" w:sz="4" w:space="0" w:color="auto"/>
            </w:tcBorders>
          </w:tcPr>
          <w:p w:rsidR="0045120A" w:rsidRPr="00D92D04" w:rsidRDefault="0045120A" w:rsidP="004656C1">
            <w:pPr>
              <w:keepNext/>
              <w:ind w:left="-108"/>
              <w:jc w:val="both"/>
              <w:rPr>
                <w:rFonts w:ascii="Arial Narrow" w:hAnsi="Arial Narrow" w:cs="Arial"/>
                <w:sz w:val="20"/>
                <w:szCs w:val="20"/>
              </w:rPr>
            </w:pPr>
            <w:r w:rsidRPr="00D92D04">
              <w:rPr>
                <w:rFonts w:ascii="Arial Narrow" w:hAnsi="Arial Narrow" w:cs="Arial"/>
                <w:sz w:val="20"/>
                <w:szCs w:val="20"/>
              </w:rPr>
              <w:t>Max.</w:t>
            </w:r>
          </w:p>
          <w:p w:rsidR="0045120A" w:rsidRPr="00D92D04" w:rsidRDefault="0045120A" w:rsidP="004656C1">
            <w:pPr>
              <w:keepNext/>
              <w:ind w:left="-108"/>
              <w:jc w:val="both"/>
              <w:rPr>
                <w:rFonts w:ascii="Arial Narrow" w:hAnsi="Arial Narrow" w:cs="Arial"/>
                <w:sz w:val="20"/>
                <w:szCs w:val="20"/>
              </w:rPr>
            </w:pPr>
            <w:r w:rsidRPr="00D92D04">
              <w:rPr>
                <w:rFonts w:ascii="Arial Narrow" w:hAnsi="Arial Narrow" w:cs="Arial"/>
                <w:sz w:val="20"/>
                <w:szCs w:val="20"/>
              </w:rPr>
              <w:t>Qty</w:t>
            </w:r>
          </w:p>
        </w:tc>
        <w:tc>
          <w:tcPr>
            <w:tcW w:w="1211" w:type="dxa"/>
            <w:tcBorders>
              <w:bottom w:val="single" w:sz="4" w:space="0" w:color="auto"/>
            </w:tcBorders>
          </w:tcPr>
          <w:p w:rsidR="0045120A" w:rsidRPr="00D92D04" w:rsidRDefault="0045120A" w:rsidP="004656C1">
            <w:pPr>
              <w:keepNext/>
              <w:ind w:left="-108"/>
              <w:jc w:val="both"/>
              <w:rPr>
                <w:rFonts w:ascii="Arial Narrow" w:hAnsi="Arial Narrow" w:cs="Arial"/>
                <w:sz w:val="20"/>
                <w:szCs w:val="20"/>
              </w:rPr>
            </w:pPr>
            <w:r w:rsidRPr="00D92D04">
              <w:rPr>
                <w:rFonts w:ascii="Arial Narrow" w:hAnsi="Arial Narrow" w:cs="Arial"/>
                <w:sz w:val="20"/>
                <w:szCs w:val="20"/>
              </w:rPr>
              <w:t>№.of</w:t>
            </w:r>
          </w:p>
          <w:p w:rsidR="0045120A" w:rsidRPr="00D92D04" w:rsidRDefault="0045120A" w:rsidP="004656C1">
            <w:pPr>
              <w:keepNext/>
              <w:ind w:left="-108"/>
              <w:jc w:val="both"/>
              <w:rPr>
                <w:rFonts w:ascii="Arial Narrow" w:hAnsi="Arial Narrow" w:cs="Arial"/>
                <w:sz w:val="20"/>
                <w:szCs w:val="20"/>
              </w:rPr>
            </w:pPr>
            <w:r w:rsidRPr="00D92D04">
              <w:rPr>
                <w:rFonts w:ascii="Arial Narrow" w:hAnsi="Arial Narrow" w:cs="Arial"/>
                <w:sz w:val="20"/>
                <w:szCs w:val="20"/>
              </w:rPr>
              <w:t>Rpts</w:t>
            </w:r>
          </w:p>
        </w:tc>
        <w:tc>
          <w:tcPr>
            <w:tcW w:w="3260" w:type="dxa"/>
            <w:gridSpan w:val="2"/>
            <w:tcBorders>
              <w:bottom w:val="single" w:sz="4" w:space="0" w:color="auto"/>
            </w:tcBorders>
          </w:tcPr>
          <w:p w:rsidR="0045120A" w:rsidRPr="00D92D04" w:rsidRDefault="0045120A" w:rsidP="004656C1">
            <w:pPr>
              <w:keepNext/>
              <w:jc w:val="both"/>
              <w:rPr>
                <w:rFonts w:ascii="Arial Narrow" w:hAnsi="Arial Narrow" w:cs="Arial"/>
                <w:sz w:val="20"/>
                <w:szCs w:val="20"/>
                <w:lang w:val="fr-FR"/>
              </w:rPr>
            </w:pPr>
            <w:r w:rsidRPr="00D92D04">
              <w:rPr>
                <w:rFonts w:ascii="Arial Narrow" w:hAnsi="Arial Narrow" w:cs="Arial"/>
                <w:sz w:val="20"/>
                <w:szCs w:val="20"/>
              </w:rPr>
              <w:t>Proprietary Name and Manufacturer</w:t>
            </w:r>
          </w:p>
        </w:tc>
      </w:tr>
      <w:tr w:rsidR="0045120A" w:rsidRPr="00331C60" w:rsidTr="0045120A">
        <w:trPr>
          <w:cantSplit/>
          <w:trHeight w:val="306"/>
        </w:trPr>
        <w:tc>
          <w:tcPr>
            <w:tcW w:w="3315" w:type="dxa"/>
          </w:tcPr>
          <w:p w:rsidR="0045120A" w:rsidRPr="00E938DE" w:rsidRDefault="0045120A" w:rsidP="004656C1">
            <w:pPr>
              <w:keepNext/>
              <w:ind w:left="-108"/>
              <w:jc w:val="both"/>
              <w:rPr>
                <w:rFonts w:ascii="Arial Narrow" w:hAnsi="Arial Narrow" w:cs="Arial"/>
                <w:sz w:val="20"/>
                <w:szCs w:val="20"/>
              </w:rPr>
            </w:pPr>
            <w:r w:rsidRPr="00E938DE">
              <w:rPr>
                <w:rFonts w:ascii="Arial Narrow" w:hAnsi="Arial Narrow" w:cs="Arial"/>
                <w:sz w:val="20"/>
                <w:szCs w:val="20"/>
              </w:rPr>
              <w:t>UMECLIDINIUM + VILANTEROL</w:t>
            </w:r>
          </w:p>
          <w:p w:rsidR="0045120A" w:rsidRPr="00E938DE" w:rsidRDefault="0045120A" w:rsidP="004656C1">
            <w:pPr>
              <w:keepNext/>
              <w:ind w:left="-108"/>
              <w:jc w:val="both"/>
              <w:rPr>
                <w:rFonts w:ascii="Arial Narrow" w:hAnsi="Arial Narrow" w:cs="Arial"/>
                <w:sz w:val="20"/>
                <w:szCs w:val="20"/>
              </w:rPr>
            </w:pPr>
            <w:r w:rsidRPr="00E938DE">
              <w:rPr>
                <w:rFonts w:ascii="Arial Narrow" w:hAnsi="Arial Narrow" w:cs="Arial"/>
                <w:sz w:val="20"/>
                <w:szCs w:val="20"/>
              </w:rPr>
              <w:t>Inhalation: powder for, umeclidinium (as bromide) 62.5 microgram + vilanterol (as trifenatate) 25 microgram</w:t>
            </w:r>
          </w:p>
        </w:tc>
        <w:tc>
          <w:tcPr>
            <w:tcW w:w="577" w:type="dxa"/>
          </w:tcPr>
          <w:p w:rsidR="0045120A" w:rsidRDefault="0045120A" w:rsidP="004656C1">
            <w:pPr>
              <w:keepNext/>
              <w:ind w:left="-108"/>
              <w:jc w:val="both"/>
              <w:rPr>
                <w:rFonts w:ascii="Arial Narrow" w:hAnsi="Arial Narrow" w:cs="Arial"/>
                <w:sz w:val="20"/>
                <w:szCs w:val="20"/>
              </w:rPr>
            </w:pPr>
          </w:p>
          <w:p w:rsidR="0045120A" w:rsidRPr="00E938DE" w:rsidRDefault="0045120A" w:rsidP="004656C1">
            <w:pPr>
              <w:keepNext/>
              <w:ind w:left="-108"/>
              <w:jc w:val="both"/>
              <w:rPr>
                <w:rFonts w:ascii="Arial Narrow" w:hAnsi="Arial Narrow" w:cs="Arial"/>
                <w:sz w:val="20"/>
                <w:szCs w:val="20"/>
              </w:rPr>
            </w:pPr>
            <w:r w:rsidRPr="00E938DE">
              <w:rPr>
                <w:rFonts w:ascii="Arial Narrow" w:hAnsi="Arial Narrow" w:cs="Arial"/>
                <w:sz w:val="20"/>
                <w:szCs w:val="20"/>
              </w:rPr>
              <w:t>1</w:t>
            </w:r>
          </w:p>
        </w:tc>
        <w:tc>
          <w:tcPr>
            <w:tcW w:w="1211" w:type="dxa"/>
          </w:tcPr>
          <w:p w:rsidR="0045120A" w:rsidRDefault="0045120A" w:rsidP="004656C1">
            <w:pPr>
              <w:keepNext/>
              <w:ind w:left="-108"/>
              <w:jc w:val="both"/>
              <w:rPr>
                <w:rFonts w:ascii="Arial Narrow" w:hAnsi="Arial Narrow" w:cs="Arial"/>
                <w:sz w:val="20"/>
                <w:szCs w:val="20"/>
              </w:rPr>
            </w:pPr>
          </w:p>
          <w:p w:rsidR="0045120A" w:rsidRPr="00E938DE" w:rsidRDefault="0045120A" w:rsidP="004656C1">
            <w:pPr>
              <w:keepNext/>
              <w:ind w:left="-108"/>
              <w:jc w:val="both"/>
              <w:rPr>
                <w:rFonts w:ascii="Arial Narrow" w:hAnsi="Arial Narrow" w:cs="Arial"/>
                <w:sz w:val="20"/>
                <w:szCs w:val="20"/>
              </w:rPr>
            </w:pPr>
            <w:r w:rsidRPr="00E938DE">
              <w:rPr>
                <w:rFonts w:ascii="Arial Narrow" w:hAnsi="Arial Narrow" w:cs="Arial"/>
                <w:sz w:val="20"/>
                <w:szCs w:val="20"/>
              </w:rPr>
              <w:t>5</w:t>
            </w:r>
          </w:p>
        </w:tc>
        <w:tc>
          <w:tcPr>
            <w:tcW w:w="1985" w:type="dxa"/>
          </w:tcPr>
          <w:p w:rsidR="0045120A" w:rsidRPr="00E938DE" w:rsidRDefault="0045120A" w:rsidP="004656C1">
            <w:pPr>
              <w:keepNext/>
              <w:jc w:val="both"/>
              <w:rPr>
                <w:rFonts w:ascii="Arial Narrow" w:hAnsi="Arial Narrow" w:cs="Arial"/>
                <w:sz w:val="20"/>
                <w:szCs w:val="20"/>
              </w:rPr>
            </w:pPr>
          </w:p>
          <w:p w:rsidR="0045120A" w:rsidRPr="00E938DE" w:rsidRDefault="0045120A" w:rsidP="004656C1">
            <w:pPr>
              <w:keepNext/>
              <w:jc w:val="both"/>
              <w:rPr>
                <w:rFonts w:ascii="Arial Narrow" w:hAnsi="Arial Narrow" w:cs="Arial"/>
                <w:sz w:val="20"/>
                <w:szCs w:val="20"/>
              </w:rPr>
            </w:pPr>
            <w:r w:rsidRPr="00E938DE">
              <w:rPr>
                <w:rFonts w:ascii="Arial Narrow" w:hAnsi="Arial Narrow" w:cs="Arial"/>
                <w:sz w:val="20"/>
                <w:szCs w:val="20"/>
              </w:rPr>
              <w:t>Anoro</w:t>
            </w:r>
            <w:r w:rsidRPr="00E938DE">
              <w:rPr>
                <w:rFonts w:ascii="Arial Narrow" w:hAnsi="Arial Narrow" w:cs="Arial"/>
                <w:sz w:val="20"/>
                <w:szCs w:val="20"/>
                <w:vertAlign w:val="superscript"/>
              </w:rPr>
              <w:t>®</w:t>
            </w:r>
            <w:r w:rsidRPr="00E938DE">
              <w:rPr>
                <w:rFonts w:ascii="Arial Narrow" w:hAnsi="Arial Narrow" w:cs="Arial"/>
                <w:sz w:val="20"/>
                <w:szCs w:val="20"/>
              </w:rPr>
              <w:t xml:space="preserve"> Ellipta</w:t>
            </w:r>
            <w:r w:rsidRPr="00E938DE">
              <w:rPr>
                <w:rFonts w:ascii="Arial Narrow" w:hAnsi="Arial Narrow" w:cs="Arial"/>
                <w:sz w:val="20"/>
                <w:szCs w:val="20"/>
                <w:vertAlign w:val="superscript"/>
              </w:rPr>
              <w:t>®</w:t>
            </w:r>
          </w:p>
        </w:tc>
        <w:tc>
          <w:tcPr>
            <w:tcW w:w="1275" w:type="dxa"/>
          </w:tcPr>
          <w:p w:rsidR="0045120A" w:rsidRPr="00E938DE" w:rsidRDefault="0045120A" w:rsidP="004656C1">
            <w:pPr>
              <w:keepNext/>
              <w:jc w:val="both"/>
              <w:rPr>
                <w:rFonts w:ascii="Arial Narrow" w:hAnsi="Arial Narrow" w:cs="Arial"/>
                <w:sz w:val="20"/>
                <w:szCs w:val="20"/>
              </w:rPr>
            </w:pPr>
          </w:p>
          <w:p w:rsidR="0045120A" w:rsidRPr="00E938DE" w:rsidRDefault="0045120A" w:rsidP="004656C1">
            <w:pPr>
              <w:keepNext/>
              <w:jc w:val="both"/>
              <w:rPr>
                <w:rFonts w:ascii="Arial Narrow" w:hAnsi="Arial Narrow" w:cs="Arial"/>
                <w:sz w:val="20"/>
                <w:szCs w:val="20"/>
              </w:rPr>
            </w:pPr>
            <w:r w:rsidRPr="00E938DE">
              <w:rPr>
                <w:rFonts w:ascii="Arial Narrow" w:hAnsi="Arial Narrow" w:cs="Arial"/>
                <w:sz w:val="20"/>
                <w:szCs w:val="20"/>
              </w:rPr>
              <w:t>GSK</w:t>
            </w:r>
          </w:p>
        </w:tc>
      </w:tr>
    </w:tbl>
    <w:p w:rsidR="00CD2F60" w:rsidRPr="00331C60" w:rsidRDefault="00CD2F60" w:rsidP="00CD2F60">
      <w:pPr>
        <w:jc w:val="both"/>
        <w:rPr>
          <w:rFonts w:ascii="Arial" w:hAnsi="Arial" w:cs="Arial"/>
          <w:sz w:val="22"/>
          <w:szCs w:val="22"/>
        </w:rPr>
      </w:pPr>
    </w:p>
    <w:p w:rsidR="00CD2F60" w:rsidRPr="00D92D04" w:rsidRDefault="00CD2F60" w:rsidP="00D92D04">
      <w:pPr>
        <w:ind w:left="709"/>
        <w:jc w:val="both"/>
        <w:rPr>
          <w:rFonts w:ascii="Arial Narrow" w:hAnsi="Arial Narrow" w:cs="Arial"/>
          <w:sz w:val="20"/>
        </w:rPr>
      </w:pPr>
      <w:r w:rsidRPr="00D92D04">
        <w:rPr>
          <w:rFonts w:ascii="Arial Narrow" w:hAnsi="Arial Narrow" w:cs="Arial"/>
          <w:b/>
          <w:sz w:val="20"/>
          <w:u w:val="single"/>
        </w:rPr>
        <w:t>Authority required</w:t>
      </w:r>
      <w:r w:rsidRPr="00D92D04">
        <w:rPr>
          <w:rFonts w:ascii="Arial Narrow" w:hAnsi="Arial Narrow" w:cs="Arial"/>
          <w:b/>
          <w:sz w:val="20"/>
        </w:rPr>
        <w:t xml:space="preserve"> </w:t>
      </w:r>
      <w:r w:rsidRPr="00D92D04">
        <w:rPr>
          <w:rFonts w:ascii="Arial Narrow" w:hAnsi="Arial Narrow" w:cs="Arial"/>
          <w:sz w:val="20"/>
        </w:rPr>
        <w:t>(STREAMLINED)</w:t>
      </w:r>
    </w:p>
    <w:p w:rsidR="00CD2F60" w:rsidRPr="00D92D04" w:rsidRDefault="00CD2F60" w:rsidP="00D92D04">
      <w:pPr>
        <w:ind w:left="709"/>
        <w:jc w:val="both"/>
        <w:rPr>
          <w:rFonts w:ascii="Arial Narrow" w:hAnsi="Arial Narrow" w:cs="Arial"/>
          <w:sz w:val="20"/>
          <w:szCs w:val="20"/>
        </w:rPr>
      </w:pPr>
      <w:r w:rsidRPr="00D92D04">
        <w:rPr>
          <w:rFonts w:ascii="Arial Narrow" w:hAnsi="Arial Narrow" w:cs="Arial"/>
          <w:sz w:val="20"/>
          <w:szCs w:val="20"/>
        </w:rPr>
        <w:t xml:space="preserve">Patient must have symptoms that persist despite regular bronchodilator treatment with a long acting muscarinic antagonist and/or long acting beta2 agonist; </w:t>
      </w:r>
    </w:p>
    <w:p w:rsidR="00CD2F60" w:rsidRPr="00D92D04" w:rsidRDefault="00CD2F60" w:rsidP="00D92D04">
      <w:pPr>
        <w:ind w:left="709"/>
        <w:jc w:val="both"/>
        <w:rPr>
          <w:rFonts w:ascii="Arial Narrow" w:hAnsi="Arial Narrow" w:cs="Arial"/>
          <w:sz w:val="20"/>
          <w:szCs w:val="20"/>
        </w:rPr>
      </w:pPr>
    </w:p>
    <w:p w:rsidR="00CD2F60" w:rsidRPr="00D92D04" w:rsidRDefault="00CD2F60" w:rsidP="00D92D04">
      <w:pPr>
        <w:ind w:left="709"/>
        <w:jc w:val="both"/>
        <w:rPr>
          <w:rFonts w:ascii="Arial Narrow" w:hAnsi="Arial Narrow" w:cs="Arial"/>
          <w:sz w:val="20"/>
          <w:szCs w:val="20"/>
        </w:rPr>
      </w:pPr>
      <w:r w:rsidRPr="00D92D04">
        <w:rPr>
          <w:rFonts w:ascii="Arial Narrow" w:hAnsi="Arial Narrow" w:cs="Arial"/>
          <w:sz w:val="20"/>
          <w:szCs w:val="20"/>
        </w:rPr>
        <w:t>O</w:t>
      </w:r>
      <w:r w:rsidR="00D92D04">
        <w:rPr>
          <w:rFonts w:ascii="Arial Narrow" w:hAnsi="Arial Narrow" w:cs="Arial"/>
          <w:sz w:val="20"/>
          <w:szCs w:val="20"/>
        </w:rPr>
        <w:t>R</w:t>
      </w:r>
    </w:p>
    <w:p w:rsidR="00CD2F60" w:rsidRPr="00D92D04" w:rsidRDefault="00CD2F60" w:rsidP="00D92D04">
      <w:pPr>
        <w:ind w:left="709"/>
        <w:jc w:val="both"/>
        <w:rPr>
          <w:rFonts w:ascii="Arial Narrow" w:hAnsi="Arial Narrow" w:cs="Arial"/>
          <w:sz w:val="20"/>
          <w:szCs w:val="20"/>
        </w:rPr>
      </w:pPr>
    </w:p>
    <w:p w:rsidR="00CD2F60" w:rsidRPr="00D92D04" w:rsidRDefault="00CD2F60" w:rsidP="00D92D04">
      <w:pPr>
        <w:ind w:left="709"/>
        <w:jc w:val="both"/>
        <w:rPr>
          <w:rFonts w:ascii="Arial Narrow" w:hAnsi="Arial Narrow" w:cs="Arial"/>
          <w:sz w:val="20"/>
          <w:szCs w:val="20"/>
        </w:rPr>
      </w:pPr>
      <w:r w:rsidRPr="00D92D04">
        <w:rPr>
          <w:rFonts w:ascii="Arial Narrow" w:hAnsi="Arial Narrow" w:cs="Arial"/>
          <w:sz w:val="20"/>
          <w:szCs w:val="20"/>
        </w:rPr>
        <w:t xml:space="preserve">Patient must have been stabilised on a combination of long-acting muscarinic antagonist and long acting beta2 agonist. </w:t>
      </w:r>
    </w:p>
    <w:p w:rsidR="00CD2F60" w:rsidRDefault="00CD2F60" w:rsidP="00D92D04">
      <w:pPr>
        <w:ind w:left="709"/>
        <w:jc w:val="both"/>
        <w:rPr>
          <w:rFonts w:ascii="Arial" w:hAnsi="Arial" w:cs="Arial"/>
          <w:sz w:val="20"/>
        </w:rPr>
      </w:pPr>
    </w:p>
    <w:p w:rsidR="00CD2F60" w:rsidRPr="007745D2" w:rsidRDefault="00CD2F60" w:rsidP="00D92D04">
      <w:pPr>
        <w:ind w:left="709"/>
        <w:jc w:val="both"/>
        <w:rPr>
          <w:rFonts w:ascii="Arial Narrow" w:hAnsi="Arial Narrow" w:cs="Arial"/>
          <w:sz w:val="20"/>
          <w:szCs w:val="20"/>
        </w:rPr>
      </w:pPr>
      <w:r w:rsidRPr="007745D2">
        <w:rPr>
          <w:rFonts w:ascii="Arial Narrow" w:hAnsi="Arial Narrow" w:cs="Arial"/>
          <w:sz w:val="20"/>
          <w:szCs w:val="20"/>
        </w:rPr>
        <w:t>The treatment must not to be</w:t>
      </w:r>
      <w:r>
        <w:rPr>
          <w:rFonts w:ascii="Arial Narrow" w:hAnsi="Arial Narrow" w:cs="Arial"/>
          <w:sz w:val="20"/>
          <w:szCs w:val="20"/>
        </w:rPr>
        <w:t xml:space="preserve"> used</w:t>
      </w:r>
      <w:r w:rsidRPr="007745D2">
        <w:rPr>
          <w:rFonts w:ascii="Arial Narrow" w:hAnsi="Arial Narrow" w:cs="Arial"/>
          <w:sz w:val="20"/>
          <w:szCs w:val="20"/>
        </w:rPr>
        <w:t xml:space="preserve"> in combination with an ICS/LABA, or LAMA or LABA monotherapy.</w:t>
      </w:r>
    </w:p>
    <w:p w:rsidR="00CD2F60" w:rsidRDefault="00CD2F60" w:rsidP="00D92D04">
      <w:pPr>
        <w:ind w:left="709"/>
        <w:jc w:val="both"/>
        <w:rPr>
          <w:rFonts w:ascii="Arial Narrow" w:hAnsi="Arial Narrow" w:cs="Arial"/>
          <w:sz w:val="20"/>
          <w:szCs w:val="20"/>
        </w:rPr>
      </w:pPr>
    </w:p>
    <w:p w:rsidR="00CD2F60" w:rsidRPr="007745D2" w:rsidRDefault="00CD2F60" w:rsidP="00D92D04">
      <w:pPr>
        <w:ind w:left="709"/>
        <w:jc w:val="both"/>
        <w:rPr>
          <w:rFonts w:ascii="Arial Narrow" w:hAnsi="Arial Narrow" w:cs="Arial"/>
          <w:sz w:val="20"/>
          <w:szCs w:val="20"/>
        </w:rPr>
      </w:pPr>
      <w:r w:rsidRPr="007745D2">
        <w:rPr>
          <w:rFonts w:ascii="Arial Narrow" w:hAnsi="Arial Narrow" w:cs="Arial"/>
          <w:sz w:val="20"/>
          <w:szCs w:val="20"/>
        </w:rPr>
        <w:t>A LAMA includes tiotropium, glycopyrronium, aclidinium or umeclidinium.</w:t>
      </w:r>
    </w:p>
    <w:p w:rsidR="00CD2F60" w:rsidRDefault="00CD2F60" w:rsidP="00D92D04">
      <w:pPr>
        <w:pStyle w:val="NormalWeb"/>
        <w:ind w:left="709"/>
        <w:rPr>
          <w:rFonts w:ascii="Arial Narrow" w:hAnsi="Arial Narrow" w:cs="Arial"/>
          <w:sz w:val="20"/>
          <w:szCs w:val="20"/>
        </w:rPr>
      </w:pPr>
      <w:r w:rsidRPr="007745D2">
        <w:rPr>
          <w:rFonts w:ascii="Arial Narrow" w:hAnsi="Arial Narrow" w:cs="Arial"/>
          <w:sz w:val="20"/>
          <w:szCs w:val="20"/>
        </w:rPr>
        <w:t>A LABA includes indacaterol, salmeterol or eformoterol.</w:t>
      </w:r>
      <w:r>
        <w:rPr>
          <w:rFonts w:ascii="Arial Narrow" w:hAnsi="Arial Narrow" w:cs="Arial"/>
          <w:sz w:val="20"/>
          <w:szCs w:val="20"/>
        </w:rPr>
        <w:t xml:space="preserve"> </w:t>
      </w:r>
    </w:p>
    <w:p w:rsidR="00CD2F60" w:rsidRPr="007B6268" w:rsidRDefault="00CD2F60" w:rsidP="00D92D04">
      <w:pPr>
        <w:pStyle w:val="NormalWeb"/>
        <w:ind w:left="709"/>
        <w:rPr>
          <w:rFonts w:ascii="Arial Narrow" w:hAnsi="Arial Narrow"/>
          <w:sz w:val="20"/>
          <w:szCs w:val="20"/>
        </w:rPr>
      </w:pPr>
      <w:r w:rsidRPr="007B6268">
        <w:rPr>
          <w:rFonts w:ascii="Arial Narrow" w:hAnsi="Arial Narrow"/>
          <w:sz w:val="20"/>
          <w:szCs w:val="20"/>
        </w:rPr>
        <w:t>This product is not PBS-subsidised for the treatment of asthma.</w:t>
      </w:r>
    </w:p>
    <w:p w:rsidR="00CD2F60" w:rsidRPr="00CD2F60" w:rsidRDefault="00CD2F60" w:rsidP="00D92D04">
      <w:pPr>
        <w:ind w:left="709"/>
        <w:jc w:val="both"/>
        <w:rPr>
          <w:rFonts w:ascii="Arial" w:hAnsi="Arial"/>
          <w:b/>
          <w:color w:val="FF00FF"/>
          <w:sz w:val="22"/>
          <w:szCs w:val="22"/>
        </w:rPr>
      </w:pPr>
      <w:r w:rsidRPr="007B6268">
        <w:rPr>
          <w:rFonts w:ascii="Arial Narrow" w:hAnsi="Arial Narrow"/>
          <w:sz w:val="20"/>
          <w:szCs w:val="20"/>
        </w:rPr>
        <w:t>This product is not indicated for the initiation of bronchodilator therapy in COPD.</w:t>
      </w:r>
    </w:p>
    <w:p w:rsidR="00CD2F60" w:rsidRPr="00CD2F60" w:rsidRDefault="00CD2F60" w:rsidP="00CD2F60">
      <w:pPr>
        <w:pStyle w:val="ListParagraph"/>
        <w:jc w:val="both"/>
        <w:rPr>
          <w:rFonts w:ascii="Arial" w:hAnsi="Arial"/>
          <w:b/>
          <w:color w:val="FF00FF"/>
          <w:sz w:val="22"/>
          <w:szCs w:val="22"/>
        </w:rPr>
      </w:pPr>
    </w:p>
    <w:p w:rsidR="00EC09A7" w:rsidRPr="00CE4581" w:rsidRDefault="00EC09A7" w:rsidP="00EC09A7">
      <w:pPr>
        <w:jc w:val="both"/>
        <w:rPr>
          <w:rFonts w:ascii="Arial" w:hAnsi="Arial"/>
          <w:sz w:val="22"/>
          <w:szCs w:val="22"/>
        </w:rPr>
      </w:pPr>
    </w:p>
    <w:p w:rsidR="00CD2F60" w:rsidRPr="00CE4581" w:rsidRDefault="00CD2F60" w:rsidP="00CD2F60">
      <w:pPr>
        <w:pStyle w:val="ListParagraph"/>
        <w:numPr>
          <w:ilvl w:val="1"/>
          <w:numId w:val="25"/>
        </w:numPr>
        <w:jc w:val="both"/>
        <w:rPr>
          <w:rFonts w:ascii="Arial" w:hAnsi="Arial"/>
          <w:sz w:val="22"/>
          <w:szCs w:val="22"/>
        </w:rPr>
      </w:pPr>
      <w:r w:rsidRPr="00CE4581">
        <w:rPr>
          <w:rFonts w:ascii="Arial" w:hAnsi="Arial" w:cs="Arial"/>
          <w:sz w:val="22"/>
        </w:rPr>
        <w:lastRenderedPageBreak/>
        <w:t xml:space="preserve">The </w:t>
      </w:r>
      <w:r w:rsidR="005A7C4A">
        <w:rPr>
          <w:rFonts w:ascii="Arial" w:hAnsi="Arial" w:cs="Arial"/>
          <w:sz w:val="22"/>
        </w:rPr>
        <w:t xml:space="preserve">proposed </w:t>
      </w:r>
      <w:r w:rsidRPr="00CE4581">
        <w:rPr>
          <w:rFonts w:ascii="Arial" w:hAnsi="Arial" w:cs="Arial"/>
          <w:sz w:val="22"/>
        </w:rPr>
        <w:t xml:space="preserve">restriction is not consistent with the other LAMA/LABA combination, indacaterol/glycopyrronium which was also recommended for listing in July 2014 with the same restriction as the current UMEC/VI restriction. </w:t>
      </w:r>
    </w:p>
    <w:p w:rsidR="00CD2F60" w:rsidRPr="00CE4581" w:rsidRDefault="00CD2F60" w:rsidP="00CD2F60">
      <w:pPr>
        <w:pStyle w:val="ListParagraph"/>
        <w:jc w:val="both"/>
        <w:rPr>
          <w:rFonts w:ascii="Arial" w:hAnsi="Arial"/>
          <w:sz w:val="22"/>
          <w:szCs w:val="22"/>
        </w:rPr>
      </w:pPr>
    </w:p>
    <w:p w:rsidR="00CD2F60" w:rsidRPr="00CE4581" w:rsidRDefault="004F331C" w:rsidP="00CD2F60">
      <w:pPr>
        <w:pStyle w:val="ListParagraph"/>
        <w:numPr>
          <w:ilvl w:val="1"/>
          <w:numId w:val="25"/>
        </w:numPr>
        <w:jc w:val="both"/>
        <w:rPr>
          <w:rFonts w:ascii="Arial" w:hAnsi="Arial"/>
          <w:sz w:val="22"/>
          <w:szCs w:val="22"/>
        </w:rPr>
      </w:pPr>
      <w:r w:rsidRPr="00CE4581">
        <w:rPr>
          <w:rFonts w:ascii="Arial" w:hAnsi="Arial" w:cs="Arial"/>
          <w:sz w:val="22"/>
          <w:szCs w:val="22"/>
        </w:rPr>
        <w:t>At the July 2014 meeting, the PBAC recommended that under Section 101 (3BA) of the Nation Health Act, umeclidinium</w:t>
      </w:r>
      <w:r w:rsidR="00CD2F60" w:rsidRPr="00CE4581">
        <w:rPr>
          <w:rFonts w:ascii="Arial" w:hAnsi="Arial" w:cs="Arial"/>
          <w:sz w:val="22"/>
          <w:szCs w:val="22"/>
        </w:rPr>
        <w:t>/vilanterol and indacaterol/glycopyrronium should be treated as interchangeable on an individual patient basis.</w:t>
      </w:r>
    </w:p>
    <w:p w:rsidR="00904EA3" w:rsidRPr="00CE4581" w:rsidRDefault="00904EA3" w:rsidP="00904EA3">
      <w:pPr>
        <w:pStyle w:val="ListParagraph"/>
        <w:rPr>
          <w:rFonts w:ascii="Arial" w:hAnsi="Arial"/>
          <w:sz w:val="22"/>
          <w:szCs w:val="22"/>
        </w:rPr>
      </w:pPr>
    </w:p>
    <w:p w:rsidR="009641CB" w:rsidRPr="009641CB" w:rsidRDefault="005606B1" w:rsidP="00FA281E">
      <w:pPr>
        <w:pStyle w:val="ListParagraph"/>
        <w:numPr>
          <w:ilvl w:val="1"/>
          <w:numId w:val="25"/>
        </w:numPr>
        <w:jc w:val="both"/>
      </w:pPr>
      <w:r w:rsidRPr="005606B1">
        <w:rPr>
          <w:rFonts w:ascii="Arial" w:hAnsi="Arial"/>
          <w:sz w:val="22"/>
          <w:szCs w:val="22"/>
        </w:rPr>
        <w:t xml:space="preserve">The proposed revision to the restriction does not address PBAC concern about the quality use of medicine issues associated with i) proliferation of FDC treatments for COPD; and ii) use of a FDC prior to a patient trialling </w:t>
      </w:r>
      <w:r w:rsidR="00FA281E" w:rsidRPr="00FA281E">
        <w:rPr>
          <w:rFonts w:ascii="Arial" w:hAnsi="Arial"/>
          <w:sz w:val="22"/>
          <w:szCs w:val="22"/>
        </w:rPr>
        <w:t>combination therapy via separate inhalers</w:t>
      </w:r>
      <w:r>
        <w:rPr>
          <w:rFonts w:ascii="Arial" w:hAnsi="Arial"/>
          <w:sz w:val="22"/>
          <w:szCs w:val="22"/>
        </w:rPr>
        <w:t>.</w:t>
      </w:r>
    </w:p>
    <w:p w:rsidR="009641CB" w:rsidRDefault="009641CB" w:rsidP="00F9629A">
      <w:pPr>
        <w:jc w:val="both"/>
        <w:rPr>
          <w:rFonts w:ascii="Arial" w:hAnsi="Arial" w:cs="Arial"/>
          <w:b/>
          <w:sz w:val="22"/>
          <w:szCs w:val="22"/>
        </w:rPr>
      </w:pPr>
    </w:p>
    <w:p w:rsidR="00AF2C0F" w:rsidRPr="00133C17" w:rsidRDefault="00AF2C0F" w:rsidP="00AF2C0F">
      <w:pPr>
        <w:pStyle w:val="ListParagraph"/>
        <w:ind w:left="709"/>
        <w:rPr>
          <w:rFonts w:ascii="Arial" w:hAnsi="Arial" w:cs="Arial"/>
          <w:i/>
          <w:sz w:val="22"/>
          <w:szCs w:val="22"/>
        </w:rPr>
      </w:pPr>
      <w:r w:rsidRPr="00133C17">
        <w:rPr>
          <w:rFonts w:ascii="Arial" w:hAnsi="Arial" w:cs="Arial"/>
          <w:i/>
          <w:sz w:val="22"/>
          <w:szCs w:val="22"/>
        </w:rPr>
        <w:t xml:space="preserve">For more detail on PBAC’s view, see section </w:t>
      </w:r>
      <w:r>
        <w:rPr>
          <w:rFonts w:ascii="Arial" w:hAnsi="Arial" w:cs="Arial"/>
          <w:i/>
          <w:sz w:val="22"/>
          <w:szCs w:val="22"/>
        </w:rPr>
        <w:t>6</w:t>
      </w:r>
      <w:r w:rsidRPr="00133C17">
        <w:rPr>
          <w:rFonts w:ascii="Arial" w:hAnsi="Arial" w:cs="Arial"/>
          <w:i/>
          <w:sz w:val="22"/>
          <w:szCs w:val="22"/>
        </w:rPr>
        <w:t xml:space="preserve"> “PBAC outcome”</w:t>
      </w:r>
    </w:p>
    <w:p w:rsidR="00AF2C0F" w:rsidRDefault="00AF2C0F" w:rsidP="00F9629A">
      <w:pPr>
        <w:jc w:val="both"/>
        <w:rPr>
          <w:rFonts w:ascii="Arial" w:hAnsi="Arial" w:cs="Arial"/>
          <w:b/>
          <w:sz w:val="22"/>
          <w:szCs w:val="22"/>
        </w:rPr>
      </w:pPr>
    </w:p>
    <w:p w:rsidR="00BB7EC3" w:rsidRPr="00882085" w:rsidRDefault="00BB7EC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2B1AE6" w:rsidRPr="00476245" w:rsidRDefault="001345FC" w:rsidP="00882085">
      <w:pPr>
        <w:pStyle w:val="ListParagraph"/>
        <w:numPr>
          <w:ilvl w:val="1"/>
          <w:numId w:val="25"/>
        </w:numPr>
        <w:jc w:val="both"/>
        <w:rPr>
          <w:rFonts w:ascii="Arial" w:hAnsi="Arial"/>
          <w:i/>
          <w:sz w:val="22"/>
          <w:szCs w:val="22"/>
        </w:rPr>
      </w:pPr>
      <w:r>
        <w:rPr>
          <w:rFonts w:ascii="Arial" w:hAnsi="Arial"/>
          <w:sz w:val="22"/>
          <w:szCs w:val="22"/>
        </w:rPr>
        <w:t>UMEC/VI</w:t>
      </w:r>
      <w:r w:rsidR="00476245">
        <w:rPr>
          <w:rFonts w:ascii="Arial" w:hAnsi="Arial"/>
          <w:sz w:val="22"/>
          <w:szCs w:val="22"/>
        </w:rPr>
        <w:t xml:space="preserve"> is TGA registered for</w:t>
      </w:r>
      <w:r w:rsidR="00447D2A">
        <w:rPr>
          <w:rFonts w:ascii="Arial" w:hAnsi="Arial"/>
          <w:sz w:val="22"/>
          <w:szCs w:val="22"/>
        </w:rPr>
        <w:t xml:space="preserve"> long-term once daily maintenance bronchodilator treatment to relieve symptoms in adult patients with chronic obstructive pulmonary disease (COPD). </w:t>
      </w:r>
    </w:p>
    <w:p w:rsidR="006B0D94" w:rsidRPr="00882085" w:rsidRDefault="006B0D94" w:rsidP="00882085">
      <w:pPr>
        <w:pStyle w:val="ListParagraph"/>
        <w:jc w:val="both"/>
        <w:rPr>
          <w:rFonts w:ascii="Arial" w:hAnsi="Arial"/>
          <w:sz w:val="22"/>
          <w:szCs w:val="22"/>
        </w:rPr>
      </w:pPr>
    </w:p>
    <w:p w:rsidR="00BB7EC3" w:rsidRDefault="00447D2A" w:rsidP="00882085">
      <w:pPr>
        <w:pStyle w:val="ListParagraph"/>
        <w:numPr>
          <w:ilvl w:val="1"/>
          <w:numId w:val="25"/>
        </w:numPr>
        <w:jc w:val="both"/>
        <w:rPr>
          <w:rFonts w:ascii="Arial" w:hAnsi="Arial"/>
          <w:sz w:val="22"/>
          <w:szCs w:val="22"/>
        </w:rPr>
      </w:pPr>
      <w:r>
        <w:rPr>
          <w:rFonts w:ascii="Arial" w:hAnsi="Arial"/>
          <w:sz w:val="22"/>
          <w:szCs w:val="22"/>
        </w:rPr>
        <w:t xml:space="preserve">UMEC/VI was initially considered by the PBAC in March 2014 but rejected on the basis of insufficient evidence </w:t>
      </w:r>
      <w:r w:rsidR="004A36A9">
        <w:rPr>
          <w:rFonts w:ascii="Arial" w:hAnsi="Arial"/>
          <w:sz w:val="22"/>
          <w:szCs w:val="22"/>
        </w:rPr>
        <w:t xml:space="preserve">to </w:t>
      </w:r>
      <w:r>
        <w:rPr>
          <w:rFonts w:ascii="Arial" w:hAnsi="Arial"/>
          <w:sz w:val="22"/>
          <w:szCs w:val="22"/>
        </w:rPr>
        <w:t>demonstrat</w:t>
      </w:r>
      <w:r w:rsidR="004A36A9">
        <w:rPr>
          <w:rFonts w:ascii="Arial" w:hAnsi="Arial"/>
          <w:sz w:val="22"/>
          <w:szCs w:val="22"/>
        </w:rPr>
        <w:t>e</w:t>
      </w:r>
      <w:r>
        <w:rPr>
          <w:rFonts w:ascii="Arial" w:hAnsi="Arial"/>
          <w:sz w:val="22"/>
          <w:szCs w:val="22"/>
        </w:rPr>
        <w:t xml:space="preserve"> a significant incremental benefit of combination therapy over monotherapy to justify the price proposed. This benefit was also unable to be translated into clinically relevant measures of effect. While these concerns were not adequately addressed in the July 2014 resubmission, the Committee accepted that there are both benefits and cost savings for patients who are already using individual LAMA and LABA in separate devices, and considered that the cost-effectiveness of UMEC/VI </w:t>
      </w:r>
      <w:r w:rsidR="005606B1">
        <w:rPr>
          <w:rFonts w:ascii="Arial" w:hAnsi="Arial"/>
          <w:sz w:val="22"/>
          <w:szCs w:val="22"/>
        </w:rPr>
        <w:t xml:space="preserve">was likely to be </w:t>
      </w:r>
      <w:r>
        <w:rPr>
          <w:rFonts w:ascii="Arial" w:hAnsi="Arial"/>
          <w:sz w:val="22"/>
          <w:szCs w:val="22"/>
        </w:rPr>
        <w:t xml:space="preserve">acceptable </w:t>
      </w:r>
      <w:r w:rsidR="004A36A9">
        <w:rPr>
          <w:rFonts w:ascii="Arial" w:hAnsi="Arial"/>
          <w:sz w:val="22"/>
          <w:szCs w:val="22"/>
        </w:rPr>
        <w:t xml:space="preserve">if priced using an alternative methodology. </w:t>
      </w:r>
    </w:p>
    <w:p w:rsidR="009641CB" w:rsidRPr="009641CB" w:rsidRDefault="009641CB" w:rsidP="009641CB">
      <w:pPr>
        <w:jc w:val="both"/>
        <w:rPr>
          <w:rFonts w:ascii="Arial" w:hAnsi="Arial"/>
          <w:sz w:val="22"/>
          <w:szCs w:val="22"/>
        </w:rPr>
      </w:pPr>
    </w:p>
    <w:p w:rsidR="008A1956" w:rsidRPr="00882085" w:rsidRDefault="008A1956" w:rsidP="00882085">
      <w:pPr>
        <w:jc w:val="both"/>
        <w:rPr>
          <w:rFonts w:ascii="Arial" w:hAnsi="Arial"/>
          <w:b/>
          <w:sz w:val="22"/>
          <w:szCs w:val="22"/>
        </w:rPr>
      </w:pPr>
    </w:p>
    <w:p w:rsidR="00CE10C4" w:rsidRPr="00882085" w:rsidRDefault="00DF5CED" w:rsidP="00882085">
      <w:pPr>
        <w:pStyle w:val="ListParagraph"/>
        <w:numPr>
          <w:ilvl w:val="0"/>
          <w:numId w:val="25"/>
        </w:numPr>
        <w:jc w:val="both"/>
        <w:rPr>
          <w:rFonts w:ascii="Arial" w:hAnsi="Arial"/>
          <w:b/>
          <w:sz w:val="22"/>
          <w:szCs w:val="22"/>
        </w:rPr>
      </w:pPr>
      <w:r>
        <w:rPr>
          <w:rFonts w:ascii="Arial" w:hAnsi="Arial"/>
          <w:b/>
          <w:sz w:val="22"/>
          <w:szCs w:val="22"/>
        </w:rPr>
        <w:t>Current situation</w:t>
      </w:r>
    </w:p>
    <w:p w:rsidR="00CE10C4" w:rsidRPr="00882085" w:rsidRDefault="00CE10C4" w:rsidP="00882085">
      <w:pPr>
        <w:jc w:val="both"/>
        <w:rPr>
          <w:rFonts w:ascii="Arial" w:hAnsi="Arial"/>
          <w:sz w:val="22"/>
          <w:szCs w:val="22"/>
        </w:rPr>
      </w:pPr>
    </w:p>
    <w:p w:rsidR="009641CB" w:rsidRDefault="009641CB" w:rsidP="009641CB">
      <w:pPr>
        <w:pStyle w:val="ListParagraph"/>
        <w:numPr>
          <w:ilvl w:val="1"/>
          <w:numId w:val="25"/>
        </w:numPr>
        <w:jc w:val="both"/>
        <w:rPr>
          <w:rFonts w:ascii="Arial" w:hAnsi="Arial"/>
          <w:sz w:val="22"/>
          <w:szCs w:val="22"/>
        </w:rPr>
      </w:pPr>
      <w:r>
        <w:rPr>
          <w:rFonts w:ascii="Arial" w:hAnsi="Arial"/>
          <w:sz w:val="22"/>
          <w:szCs w:val="22"/>
        </w:rPr>
        <w:t xml:space="preserve">The current submission does not address the primary concerns of the PBAC in relation to fixed dose LAMA/LABAs for COPD </w:t>
      </w:r>
      <w:r w:rsidR="00904EA3">
        <w:rPr>
          <w:rFonts w:ascii="Arial" w:hAnsi="Arial"/>
          <w:sz w:val="22"/>
          <w:szCs w:val="22"/>
        </w:rPr>
        <w:t>as</w:t>
      </w:r>
      <w:r>
        <w:rPr>
          <w:rFonts w:ascii="Arial" w:hAnsi="Arial"/>
          <w:sz w:val="22"/>
          <w:szCs w:val="22"/>
        </w:rPr>
        <w:t xml:space="preserve"> the value of a combination product over monotherapy in terms of an incremental</w:t>
      </w:r>
      <w:r w:rsidR="006719F2">
        <w:rPr>
          <w:rFonts w:ascii="Arial" w:hAnsi="Arial"/>
          <w:sz w:val="22"/>
          <w:szCs w:val="22"/>
        </w:rPr>
        <w:t>, clinically relevant</w:t>
      </w:r>
      <w:r>
        <w:rPr>
          <w:rFonts w:ascii="Arial" w:hAnsi="Arial"/>
          <w:sz w:val="22"/>
          <w:szCs w:val="22"/>
        </w:rPr>
        <w:t xml:space="preserve"> benefit is still not known. </w:t>
      </w:r>
    </w:p>
    <w:p w:rsidR="009641CB" w:rsidRDefault="009641CB" w:rsidP="009641CB">
      <w:pPr>
        <w:pStyle w:val="ListParagraph"/>
        <w:jc w:val="both"/>
        <w:rPr>
          <w:rFonts w:ascii="Arial" w:hAnsi="Arial"/>
          <w:sz w:val="22"/>
          <w:szCs w:val="22"/>
        </w:rPr>
      </w:pPr>
    </w:p>
    <w:p w:rsidR="009641CB" w:rsidRPr="009641CB" w:rsidRDefault="009641CB" w:rsidP="009641CB">
      <w:pPr>
        <w:pStyle w:val="ListParagraph"/>
        <w:numPr>
          <w:ilvl w:val="1"/>
          <w:numId w:val="25"/>
        </w:numPr>
        <w:jc w:val="both"/>
        <w:rPr>
          <w:rFonts w:ascii="Arial" w:hAnsi="Arial"/>
          <w:sz w:val="22"/>
          <w:szCs w:val="22"/>
        </w:rPr>
      </w:pPr>
      <w:r w:rsidRPr="009641CB">
        <w:rPr>
          <w:rFonts w:ascii="Arial" w:hAnsi="Arial"/>
          <w:sz w:val="22"/>
          <w:szCs w:val="22"/>
        </w:rPr>
        <w:t xml:space="preserve">There still </w:t>
      </w:r>
      <w:r>
        <w:rPr>
          <w:rFonts w:ascii="Arial" w:hAnsi="Arial"/>
          <w:sz w:val="22"/>
          <w:szCs w:val="22"/>
        </w:rPr>
        <w:t>remains a risk that patients will</w:t>
      </w:r>
      <w:r w:rsidRPr="009641CB">
        <w:rPr>
          <w:rFonts w:ascii="Arial" w:hAnsi="Arial"/>
          <w:sz w:val="22"/>
          <w:szCs w:val="22"/>
        </w:rPr>
        <w:t xml:space="preserve"> move to fixed dose combinations earlier than clinically appropriate. </w:t>
      </w:r>
      <w:r w:rsidRPr="009641CB">
        <w:rPr>
          <w:rFonts w:ascii="Arial" w:hAnsi="Arial" w:cs="Arial"/>
          <w:color w:val="000000"/>
          <w:sz w:val="22"/>
          <w:szCs w:val="20"/>
        </w:rPr>
        <w:t>DUSC has noted emerging trends with some FDC products, such as a higher proportion of patients commencing</w:t>
      </w:r>
      <w:r w:rsidR="006719F2">
        <w:rPr>
          <w:rFonts w:ascii="Arial" w:hAnsi="Arial" w:cs="Arial"/>
          <w:color w:val="000000"/>
          <w:sz w:val="22"/>
          <w:szCs w:val="20"/>
        </w:rPr>
        <w:t xml:space="preserve"> them </w:t>
      </w:r>
      <w:r w:rsidRPr="009641CB">
        <w:rPr>
          <w:rFonts w:ascii="Arial" w:hAnsi="Arial" w:cs="Arial"/>
          <w:color w:val="000000"/>
          <w:sz w:val="22"/>
          <w:szCs w:val="20"/>
        </w:rPr>
        <w:t>de novo and FDCs increasing the market rather than substituting within current markets (DUSC Outcome Statement February 2013)</w:t>
      </w:r>
      <w:r w:rsidR="00AF2C0F">
        <w:rPr>
          <w:rFonts w:ascii="Arial" w:hAnsi="Arial" w:cs="Arial"/>
          <w:color w:val="000000"/>
          <w:sz w:val="22"/>
          <w:szCs w:val="20"/>
        </w:rPr>
        <w:t>.</w:t>
      </w:r>
    </w:p>
    <w:p w:rsidR="009641CB" w:rsidRDefault="009641CB" w:rsidP="009641CB">
      <w:pPr>
        <w:pStyle w:val="ListParagraph"/>
        <w:jc w:val="both"/>
        <w:rPr>
          <w:rFonts w:ascii="Arial" w:hAnsi="Arial"/>
          <w:sz w:val="22"/>
          <w:szCs w:val="22"/>
        </w:rPr>
      </w:pPr>
    </w:p>
    <w:p w:rsidR="009641CB" w:rsidRDefault="009641CB" w:rsidP="009641CB">
      <w:pPr>
        <w:pStyle w:val="ListParagraph"/>
        <w:numPr>
          <w:ilvl w:val="1"/>
          <w:numId w:val="25"/>
        </w:numPr>
        <w:jc w:val="both"/>
        <w:rPr>
          <w:rFonts w:ascii="Arial" w:hAnsi="Arial"/>
          <w:sz w:val="22"/>
          <w:szCs w:val="22"/>
        </w:rPr>
      </w:pPr>
      <w:r>
        <w:rPr>
          <w:rFonts w:ascii="Arial" w:hAnsi="Arial"/>
          <w:sz w:val="22"/>
          <w:szCs w:val="22"/>
        </w:rPr>
        <w:t>While the combination product is cheaper than individual components used concomitantly, it is still significantly more expensive than an individual agent. Therefore, it is essential that only patients requiring</w:t>
      </w:r>
      <w:r w:rsidR="00904EA3">
        <w:rPr>
          <w:rFonts w:ascii="Arial" w:hAnsi="Arial"/>
          <w:sz w:val="22"/>
          <w:szCs w:val="22"/>
        </w:rPr>
        <w:t xml:space="preserve"> and achieving benefits from</w:t>
      </w:r>
      <w:r>
        <w:rPr>
          <w:rFonts w:ascii="Arial" w:hAnsi="Arial"/>
          <w:sz w:val="22"/>
          <w:szCs w:val="22"/>
        </w:rPr>
        <w:t xml:space="preserve"> dual therapy are treated with an FDC and those who do not derive benefit from adding an </w:t>
      </w:r>
      <w:r>
        <w:rPr>
          <w:rFonts w:ascii="Arial" w:hAnsi="Arial"/>
          <w:sz w:val="22"/>
          <w:szCs w:val="22"/>
        </w:rPr>
        <w:lastRenderedPageBreak/>
        <w:t>addition</w:t>
      </w:r>
      <w:r w:rsidR="00904EA3">
        <w:rPr>
          <w:rFonts w:ascii="Arial" w:hAnsi="Arial"/>
          <w:sz w:val="22"/>
          <w:szCs w:val="22"/>
        </w:rPr>
        <w:t xml:space="preserve">al agent remain on monotherapy as this </w:t>
      </w:r>
      <w:r>
        <w:rPr>
          <w:rFonts w:ascii="Arial" w:hAnsi="Arial"/>
          <w:sz w:val="22"/>
          <w:szCs w:val="22"/>
        </w:rPr>
        <w:t xml:space="preserve">may be the most appropriate treatment in some patients. </w:t>
      </w:r>
      <w:r w:rsidR="00C35996" w:rsidRPr="00882085">
        <w:rPr>
          <w:rFonts w:ascii="Arial" w:hAnsi="Arial"/>
          <w:sz w:val="22"/>
          <w:szCs w:val="22"/>
        </w:rPr>
        <w:tab/>
      </w:r>
    </w:p>
    <w:p w:rsidR="009641CB" w:rsidRPr="009641CB" w:rsidRDefault="009641CB" w:rsidP="009641CB">
      <w:pPr>
        <w:pStyle w:val="ListParagraph"/>
        <w:rPr>
          <w:rFonts w:ascii="Arial" w:hAnsi="Arial" w:cs="Arial"/>
          <w:sz w:val="22"/>
          <w:szCs w:val="22"/>
        </w:rPr>
      </w:pPr>
    </w:p>
    <w:p w:rsidR="009641CB" w:rsidRPr="009641CB" w:rsidRDefault="009641CB" w:rsidP="009641CB">
      <w:pPr>
        <w:pStyle w:val="ListParagraph"/>
        <w:numPr>
          <w:ilvl w:val="1"/>
          <w:numId w:val="25"/>
        </w:numPr>
        <w:jc w:val="both"/>
        <w:rPr>
          <w:rFonts w:ascii="Arial" w:hAnsi="Arial"/>
          <w:sz w:val="22"/>
          <w:szCs w:val="22"/>
        </w:rPr>
      </w:pPr>
      <w:r w:rsidRPr="009641CB">
        <w:rPr>
          <w:rFonts w:ascii="Arial" w:hAnsi="Arial" w:cs="Arial"/>
          <w:sz w:val="22"/>
          <w:szCs w:val="22"/>
        </w:rPr>
        <w:t>As vilanterol as an individual agent is not currently listed on the PBS, patients are unable to be stabilised on the individual components</w:t>
      </w:r>
      <w:r w:rsidR="00904EA3">
        <w:rPr>
          <w:rFonts w:ascii="Arial" w:hAnsi="Arial" w:cs="Arial"/>
          <w:sz w:val="22"/>
          <w:szCs w:val="22"/>
        </w:rPr>
        <w:t xml:space="preserve"> </w:t>
      </w:r>
      <w:r w:rsidRPr="009641CB">
        <w:rPr>
          <w:rFonts w:ascii="Arial" w:hAnsi="Arial" w:cs="Arial"/>
          <w:sz w:val="22"/>
          <w:szCs w:val="22"/>
        </w:rPr>
        <w:t xml:space="preserve">before switching to the </w:t>
      </w:r>
      <w:r w:rsidR="00E62B13" w:rsidRPr="00CD2F60">
        <w:rPr>
          <w:rFonts w:ascii="Arial" w:hAnsi="Arial" w:cs="Arial"/>
          <w:sz w:val="22"/>
          <w:szCs w:val="22"/>
        </w:rPr>
        <w:t>UMEC/VI</w:t>
      </w:r>
      <w:r w:rsidR="00E62B13" w:rsidRPr="009641CB">
        <w:rPr>
          <w:rFonts w:ascii="Arial" w:hAnsi="Arial" w:cs="Arial"/>
          <w:sz w:val="22"/>
          <w:szCs w:val="22"/>
        </w:rPr>
        <w:t xml:space="preserve"> </w:t>
      </w:r>
      <w:r w:rsidRPr="009641CB">
        <w:rPr>
          <w:rFonts w:ascii="Arial" w:hAnsi="Arial" w:cs="Arial"/>
          <w:sz w:val="22"/>
          <w:szCs w:val="22"/>
        </w:rPr>
        <w:t xml:space="preserve">FDC. </w:t>
      </w:r>
    </w:p>
    <w:p w:rsidR="009641CB" w:rsidRDefault="009641CB" w:rsidP="009641CB">
      <w:pPr>
        <w:jc w:val="both"/>
        <w:rPr>
          <w:rFonts w:ascii="Arial" w:hAnsi="Arial"/>
          <w:sz w:val="22"/>
          <w:szCs w:val="22"/>
        </w:rPr>
      </w:pPr>
    </w:p>
    <w:p w:rsidR="00AF2C0F" w:rsidRPr="00133C17" w:rsidRDefault="00AF2C0F" w:rsidP="00AF2C0F">
      <w:pPr>
        <w:pStyle w:val="ListParagraph"/>
        <w:ind w:left="709"/>
        <w:rPr>
          <w:rFonts w:ascii="Arial" w:hAnsi="Arial" w:cs="Arial"/>
          <w:i/>
          <w:sz w:val="22"/>
          <w:szCs w:val="22"/>
        </w:rPr>
      </w:pPr>
      <w:r w:rsidRPr="00133C17">
        <w:rPr>
          <w:rFonts w:ascii="Arial" w:hAnsi="Arial" w:cs="Arial"/>
          <w:i/>
          <w:sz w:val="22"/>
          <w:szCs w:val="22"/>
        </w:rPr>
        <w:t xml:space="preserve">For more detail on PBAC’s view, see section </w:t>
      </w:r>
      <w:r>
        <w:rPr>
          <w:rFonts w:ascii="Arial" w:hAnsi="Arial" w:cs="Arial"/>
          <w:i/>
          <w:sz w:val="22"/>
          <w:szCs w:val="22"/>
        </w:rPr>
        <w:t>6</w:t>
      </w:r>
      <w:r w:rsidRPr="00133C17">
        <w:rPr>
          <w:rFonts w:ascii="Arial" w:hAnsi="Arial" w:cs="Arial"/>
          <w:i/>
          <w:sz w:val="22"/>
          <w:szCs w:val="22"/>
        </w:rPr>
        <w:t xml:space="preserve"> “PBAC outcome”</w:t>
      </w:r>
    </w:p>
    <w:p w:rsidR="00133C17" w:rsidRDefault="00133C17" w:rsidP="00133C17">
      <w:pPr>
        <w:ind w:left="720"/>
      </w:pPr>
    </w:p>
    <w:p w:rsidR="00150D78" w:rsidRPr="00221020" w:rsidRDefault="00150D78" w:rsidP="00133C17">
      <w:pPr>
        <w:ind w:left="720"/>
      </w:pPr>
    </w:p>
    <w:p w:rsidR="00133C17" w:rsidRPr="00407F2D" w:rsidRDefault="00133C17" w:rsidP="00133C17">
      <w:pPr>
        <w:pStyle w:val="PBACheading1"/>
        <w:numPr>
          <w:ilvl w:val="0"/>
          <w:numId w:val="25"/>
        </w:numPr>
        <w:rPr>
          <w:b/>
        </w:rPr>
      </w:pPr>
      <w:bookmarkStart w:id="0" w:name="_Toc398562362"/>
      <w:r>
        <w:rPr>
          <w:b/>
        </w:rPr>
        <w:t>C</w:t>
      </w:r>
      <w:r w:rsidRPr="00407F2D">
        <w:rPr>
          <w:b/>
        </w:rPr>
        <w:t>onsideration of the evidence</w:t>
      </w:r>
      <w:bookmarkEnd w:id="0"/>
    </w:p>
    <w:p w:rsidR="00133C17" w:rsidRDefault="00133C17" w:rsidP="00133C17">
      <w:pPr>
        <w:rPr>
          <w:b/>
          <w:i/>
          <w:szCs w:val="22"/>
        </w:rPr>
      </w:pPr>
    </w:p>
    <w:p w:rsidR="00133C17" w:rsidRPr="003F1DB2" w:rsidRDefault="00133C17" w:rsidP="00133C17">
      <w:pPr>
        <w:rPr>
          <w:rFonts w:ascii="Arial" w:hAnsi="Arial" w:cs="Arial"/>
          <w:b/>
          <w:sz w:val="22"/>
          <w:szCs w:val="22"/>
        </w:rPr>
      </w:pPr>
      <w:r w:rsidRPr="003F1DB2">
        <w:rPr>
          <w:rFonts w:ascii="Arial" w:hAnsi="Arial" w:cs="Arial"/>
          <w:b/>
          <w:sz w:val="22"/>
          <w:szCs w:val="22"/>
        </w:rPr>
        <w:t>Sponsor hearing</w:t>
      </w:r>
    </w:p>
    <w:p w:rsidR="00133C17" w:rsidRPr="00882085" w:rsidRDefault="00133C17" w:rsidP="00133C17">
      <w:pPr>
        <w:ind w:left="709"/>
        <w:rPr>
          <w:b/>
          <w:szCs w:val="22"/>
        </w:rPr>
      </w:pPr>
    </w:p>
    <w:p w:rsidR="00133C17" w:rsidRPr="00CE4581" w:rsidRDefault="00133C17" w:rsidP="00133C17">
      <w:pPr>
        <w:pStyle w:val="ListParagraph"/>
        <w:numPr>
          <w:ilvl w:val="1"/>
          <w:numId w:val="25"/>
        </w:numPr>
        <w:jc w:val="both"/>
        <w:rPr>
          <w:szCs w:val="22"/>
        </w:rPr>
      </w:pPr>
      <w:r w:rsidRPr="00CE4581">
        <w:rPr>
          <w:rFonts w:ascii="Arial" w:hAnsi="Arial" w:cs="Arial"/>
          <w:sz w:val="22"/>
          <w:szCs w:val="22"/>
        </w:rPr>
        <w:t>There was no hearing for this item as it was a minor submission</w:t>
      </w:r>
      <w:r w:rsidRPr="00CE4581">
        <w:rPr>
          <w:szCs w:val="22"/>
        </w:rPr>
        <w:t xml:space="preserve">. </w:t>
      </w:r>
    </w:p>
    <w:p w:rsidR="00133C17" w:rsidRDefault="00133C17" w:rsidP="00133C17">
      <w:pPr>
        <w:pStyle w:val="ListParagraph"/>
        <w:ind w:left="709"/>
        <w:rPr>
          <w:szCs w:val="22"/>
        </w:rPr>
      </w:pPr>
    </w:p>
    <w:p w:rsidR="00133C17" w:rsidRPr="003F1DB2" w:rsidRDefault="00133C17" w:rsidP="00133C17">
      <w:pPr>
        <w:rPr>
          <w:rFonts w:ascii="Arial" w:hAnsi="Arial" w:cs="Arial"/>
          <w:b/>
          <w:sz w:val="22"/>
          <w:szCs w:val="22"/>
        </w:rPr>
      </w:pPr>
      <w:r w:rsidRPr="003F1DB2">
        <w:rPr>
          <w:rFonts w:ascii="Arial" w:hAnsi="Arial" w:cs="Arial"/>
          <w:b/>
          <w:sz w:val="22"/>
          <w:szCs w:val="22"/>
        </w:rPr>
        <w:t>Consumer comments</w:t>
      </w:r>
    </w:p>
    <w:p w:rsidR="00133C17" w:rsidRPr="00133C17" w:rsidRDefault="00133C17" w:rsidP="00133C17">
      <w:pPr>
        <w:pStyle w:val="ListParagraph"/>
        <w:ind w:left="709"/>
        <w:rPr>
          <w:rFonts w:ascii="Arial" w:hAnsi="Arial" w:cs="Arial"/>
          <w:sz w:val="22"/>
          <w:szCs w:val="22"/>
        </w:rPr>
      </w:pPr>
    </w:p>
    <w:p w:rsidR="00133C17" w:rsidRPr="00CE4581" w:rsidRDefault="00133C17" w:rsidP="00CE4581">
      <w:pPr>
        <w:pStyle w:val="ListParagraph"/>
        <w:numPr>
          <w:ilvl w:val="1"/>
          <w:numId w:val="25"/>
        </w:numPr>
        <w:jc w:val="both"/>
        <w:rPr>
          <w:rFonts w:ascii="Arial" w:hAnsi="Arial"/>
          <w:sz w:val="22"/>
          <w:szCs w:val="22"/>
        </w:rPr>
      </w:pPr>
      <w:r w:rsidRPr="00CE4581">
        <w:rPr>
          <w:rFonts w:ascii="Arial" w:hAnsi="Arial"/>
          <w:sz w:val="22"/>
          <w:szCs w:val="22"/>
        </w:rPr>
        <w:t xml:space="preserve">The PBAC noted the advice received from The Thoracic Society of Australia and New Zealand (TSANZ) clarifying the likely use of combination LAMA/LABAs including umeclidinium/vilanterol in clinical practice.  The PBAC specifically noted the advice that the use of </w:t>
      </w:r>
      <w:r w:rsidR="009B06F4" w:rsidRPr="00CE4581">
        <w:rPr>
          <w:rFonts w:ascii="Arial" w:hAnsi="Arial"/>
          <w:sz w:val="22"/>
          <w:szCs w:val="22"/>
        </w:rPr>
        <w:t>umeclidinium/vilanterol</w:t>
      </w:r>
      <w:r w:rsidRPr="00CE4581">
        <w:rPr>
          <w:rFonts w:ascii="Arial" w:hAnsi="Arial"/>
          <w:sz w:val="22"/>
          <w:szCs w:val="22"/>
        </w:rPr>
        <w:t xml:space="preserve"> </w:t>
      </w:r>
      <w:r w:rsidR="009B06F4" w:rsidRPr="00CE4581">
        <w:rPr>
          <w:rFonts w:ascii="Arial" w:hAnsi="Arial"/>
          <w:sz w:val="22"/>
          <w:szCs w:val="22"/>
        </w:rPr>
        <w:t>as proposed (i</w:t>
      </w:r>
      <w:r w:rsidR="00150D78">
        <w:rPr>
          <w:rFonts w:ascii="Arial" w:hAnsi="Arial"/>
          <w:sz w:val="22"/>
          <w:szCs w:val="22"/>
        </w:rPr>
        <w:t>.</w:t>
      </w:r>
      <w:r w:rsidR="009B06F4" w:rsidRPr="00CE4581">
        <w:rPr>
          <w:rFonts w:ascii="Arial" w:hAnsi="Arial"/>
          <w:sz w:val="22"/>
          <w:szCs w:val="22"/>
        </w:rPr>
        <w:t>e</w:t>
      </w:r>
      <w:r w:rsidR="00150D78">
        <w:rPr>
          <w:rFonts w:ascii="Arial" w:hAnsi="Arial"/>
          <w:sz w:val="22"/>
          <w:szCs w:val="22"/>
        </w:rPr>
        <w:t>.</w:t>
      </w:r>
      <w:r w:rsidR="009B06F4" w:rsidRPr="00CE4581">
        <w:rPr>
          <w:rFonts w:ascii="Arial" w:hAnsi="Arial"/>
          <w:sz w:val="22"/>
          <w:szCs w:val="22"/>
        </w:rPr>
        <w:t xml:space="preserve"> requiring that patients be stabilised on a combination of a LAMA and LABA in separate devices before initiating the FDC) </w:t>
      </w:r>
      <w:r w:rsidRPr="00CE4581">
        <w:rPr>
          <w:rFonts w:ascii="Arial" w:hAnsi="Arial"/>
          <w:sz w:val="22"/>
          <w:szCs w:val="22"/>
        </w:rPr>
        <w:t>may</w:t>
      </w:r>
      <w:r w:rsidR="009B06F4" w:rsidRPr="00CE4581">
        <w:rPr>
          <w:rFonts w:ascii="Arial" w:hAnsi="Arial"/>
          <w:sz w:val="22"/>
          <w:szCs w:val="22"/>
        </w:rPr>
        <w:t xml:space="preserve"> lead to patient confusion regarding correct inhaler use if patients have to use multiple inhaler types. </w:t>
      </w:r>
      <w:r w:rsidRPr="00CE4581">
        <w:rPr>
          <w:rFonts w:ascii="Arial" w:hAnsi="Arial"/>
          <w:sz w:val="22"/>
          <w:szCs w:val="22"/>
        </w:rPr>
        <w:t>The PBAC noted that this advice was supportive of the evidence provided in the submission</w:t>
      </w:r>
      <w:r w:rsidRPr="00AF2C0F">
        <w:rPr>
          <w:rFonts w:ascii="Arial" w:hAnsi="Arial"/>
          <w:sz w:val="22"/>
          <w:szCs w:val="22"/>
        </w:rPr>
        <w:t>.</w:t>
      </w:r>
    </w:p>
    <w:p w:rsidR="00133C17" w:rsidRPr="00133C17" w:rsidRDefault="00133C17" w:rsidP="00133C17">
      <w:pPr>
        <w:rPr>
          <w:rFonts w:ascii="Arial" w:hAnsi="Arial" w:cs="Arial"/>
          <w:b/>
          <w:sz w:val="22"/>
          <w:szCs w:val="22"/>
        </w:rPr>
      </w:pPr>
    </w:p>
    <w:p w:rsidR="00133C17" w:rsidRPr="00133C17" w:rsidRDefault="00133C17" w:rsidP="00133C17">
      <w:pPr>
        <w:pStyle w:val="ListParagraph"/>
        <w:ind w:left="709"/>
        <w:rPr>
          <w:rFonts w:ascii="Arial" w:hAnsi="Arial" w:cs="Arial"/>
          <w:i/>
          <w:sz w:val="22"/>
          <w:szCs w:val="22"/>
        </w:rPr>
      </w:pPr>
      <w:r w:rsidRPr="00133C17">
        <w:rPr>
          <w:rFonts w:ascii="Arial" w:hAnsi="Arial" w:cs="Arial"/>
          <w:i/>
          <w:sz w:val="22"/>
          <w:szCs w:val="22"/>
        </w:rPr>
        <w:t xml:space="preserve">For more detail on PBAC’s view, see section </w:t>
      </w:r>
      <w:r w:rsidR="00CE4581">
        <w:rPr>
          <w:rFonts w:ascii="Arial" w:hAnsi="Arial" w:cs="Arial"/>
          <w:i/>
          <w:sz w:val="22"/>
          <w:szCs w:val="22"/>
        </w:rPr>
        <w:t>6</w:t>
      </w:r>
      <w:r w:rsidR="00CE4581" w:rsidRPr="00133C17">
        <w:rPr>
          <w:rFonts w:ascii="Arial" w:hAnsi="Arial" w:cs="Arial"/>
          <w:i/>
          <w:sz w:val="22"/>
          <w:szCs w:val="22"/>
        </w:rPr>
        <w:t xml:space="preserve"> </w:t>
      </w:r>
      <w:r w:rsidRPr="00133C17">
        <w:rPr>
          <w:rFonts w:ascii="Arial" w:hAnsi="Arial" w:cs="Arial"/>
          <w:i/>
          <w:sz w:val="22"/>
          <w:szCs w:val="22"/>
        </w:rPr>
        <w:t>“PBAC outcome”</w:t>
      </w:r>
    </w:p>
    <w:p w:rsidR="00133C17" w:rsidRPr="00882085" w:rsidRDefault="00133C17" w:rsidP="00133C17">
      <w:pPr>
        <w:rPr>
          <w:b/>
          <w:szCs w:val="22"/>
        </w:rPr>
      </w:pPr>
    </w:p>
    <w:p w:rsidR="00150D78" w:rsidRDefault="00150D78">
      <w:pPr>
        <w:rPr>
          <w:rFonts w:ascii="Arial" w:hAnsi="Arial" w:cs="Arial"/>
          <w:b/>
          <w:snapToGrid w:val="0"/>
          <w:sz w:val="22"/>
          <w:szCs w:val="22"/>
          <w:lang w:eastAsia="en-US"/>
        </w:rPr>
      </w:pPr>
    </w:p>
    <w:p w:rsidR="003050F6" w:rsidRPr="003050F6" w:rsidRDefault="003050F6" w:rsidP="003050F6">
      <w:pPr>
        <w:pStyle w:val="PBACHeading10"/>
        <w:numPr>
          <w:ilvl w:val="0"/>
          <w:numId w:val="25"/>
        </w:numPr>
        <w:rPr>
          <w:b w:val="0"/>
        </w:rPr>
      </w:pPr>
      <w:r w:rsidRPr="003050F6">
        <w:t xml:space="preserve">PBAC Outcome </w:t>
      </w:r>
    </w:p>
    <w:p w:rsidR="003050F6" w:rsidRPr="003050F6" w:rsidRDefault="003050F6" w:rsidP="003050F6">
      <w:pPr>
        <w:rPr>
          <w:rFonts w:ascii="Arial" w:hAnsi="Arial" w:cs="Arial"/>
          <w:b/>
          <w:sz w:val="22"/>
          <w:szCs w:val="22"/>
        </w:rPr>
      </w:pPr>
    </w:p>
    <w:p w:rsidR="003050F6" w:rsidRDefault="00256CE3" w:rsidP="00256CE3">
      <w:pPr>
        <w:pStyle w:val="ListParagraph"/>
        <w:numPr>
          <w:ilvl w:val="1"/>
          <w:numId w:val="25"/>
        </w:numPr>
        <w:jc w:val="both"/>
        <w:rPr>
          <w:rFonts w:ascii="Arial" w:hAnsi="Arial" w:cs="Arial"/>
          <w:sz w:val="22"/>
          <w:szCs w:val="22"/>
        </w:rPr>
      </w:pPr>
      <w:r w:rsidRPr="00256CE3">
        <w:rPr>
          <w:rFonts w:ascii="Arial" w:hAnsi="Arial" w:cs="Arial"/>
          <w:sz w:val="22"/>
          <w:szCs w:val="22"/>
        </w:rPr>
        <w:t xml:space="preserve">The PBAC rejected the submission to extend the current listing for umeclidinium with vilanterol </w:t>
      </w:r>
      <w:r>
        <w:rPr>
          <w:rFonts w:ascii="Arial" w:hAnsi="Arial" w:cs="Arial"/>
          <w:sz w:val="22"/>
          <w:szCs w:val="22"/>
        </w:rPr>
        <w:t xml:space="preserve">(UMEC/VI) </w:t>
      </w:r>
      <w:r w:rsidRPr="00256CE3">
        <w:rPr>
          <w:rFonts w:ascii="Arial" w:hAnsi="Arial" w:cs="Arial"/>
          <w:sz w:val="22"/>
          <w:szCs w:val="22"/>
        </w:rPr>
        <w:t xml:space="preserve">to include patients with chronic obstructive pulmonary disease (COPD) who have symptoms that persist despite regular bronchodilator treatment with a long acting muscarinic antagonist (LAMA) and/or a long acting beta-2 agonist (LABA).  </w:t>
      </w:r>
    </w:p>
    <w:p w:rsidR="00256CE3" w:rsidRDefault="00256CE3" w:rsidP="00256CE3">
      <w:pPr>
        <w:pStyle w:val="ListParagraph"/>
        <w:jc w:val="both"/>
        <w:rPr>
          <w:rFonts w:ascii="Arial" w:hAnsi="Arial" w:cs="Arial"/>
          <w:sz w:val="22"/>
          <w:szCs w:val="22"/>
        </w:rPr>
      </w:pPr>
    </w:p>
    <w:p w:rsidR="00256CE3" w:rsidRDefault="00256CE3" w:rsidP="00256CE3">
      <w:pPr>
        <w:pStyle w:val="ListParagraph"/>
        <w:numPr>
          <w:ilvl w:val="1"/>
          <w:numId w:val="25"/>
        </w:numPr>
        <w:jc w:val="both"/>
        <w:rPr>
          <w:rFonts w:ascii="Arial" w:hAnsi="Arial" w:cs="Arial"/>
          <w:sz w:val="22"/>
          <w:szCs w:val="22"/>
        </w:rPr>
      </w:pPr>
      <w:r>
        <w:rPr>
          <w:rFonts w:ascii="Arial" w:hAnsi="Arial" w:cs="Arial"/>
          <w:sz w:val="22"/>
          <w:szCs w:val="22"/>
        </w:rPr>
        <w:t xml:space="preserve">The PBAC considered that the proposed restriction does not address the </w:t>
      </w:r>
      <w:r w:rsidR="0095346B">
        <w:rPr>
          <w:rFonts w:ascii="Arial" w:hAnsi="Arial" w:cs="Arial"/>
          <w:sz w:val="22"/>
          <w:szCs w:val="22"/>
        </w:rPr>
        <w:t>concerns</w:t>
      </w:r>
      <w:r w:rsidR="005A7C4A">
        <w:rPr>
          <w:rFonts w:ascii="Arial" w:hAnsi="Arial" w:cs="Arial"/>
          <w:sz w:val="22"/>
          <w:szCs w:val="22"/>
        </w:rPr>
        <w:t xml:space="preserve"> previously</w:t>
      </w:r>
      <w:r w:rsidR="0095346B">
        <w:rPr>
          <w:rFonts w:ascii="Arial" w:hAnsi="Arial" w:cs="Arial"/>
          <w:sz w:val="22"/>
          <w:szCs w:val="22"/>
        </w:rPr>
        <w:t xml:space="preserve"> raised by the </w:t>
      </w:r>
      <w:r>
        <w:rPr>
          <w:rFonts w:ascii="Arial" w:hAnsi="Arial" w:cs="Arial"/>
          <w:sz w:val="22"/>
          <w:szCs w:val="22"/>
        </w:rPr>
        <w:t>PBAC when initially recommending UMEC/VI for listing</w:t>
      </w:r>
      <w:r w:rsidR="006719F2">
        <w:rPr>
          <w:rFonts w:ascii="Arial" w:hAnsi="Arial" w:cs="Arial"/>
          <w:sz w:val="22"/>
          <w:szCs w:val="22"/>
        </w:rPr>
        <w:t xml:space="preserve">, </w:t>
      </w:r>
      <w:r w:rsidR="0095346B">
        <w:rPr>
          <w:rFonts w:ascii="Arial" w:hAnsi="Arial" w:cs="Arial"/>
          <w:sz w:val="22"/>
          <w:szCs w:val="22"/>
        </w:rPr>
        <w:t>in</w:t>
      </w:r>
      <w:r>
        <w:rPr>
          <w:rFonts w:ascii="Arial" w:hAnsi="Arial" w:cs="Arial"/>
          <w:sz w:val="22"/>
          <w:szCs w:val="22"/>
        </w:rPr>
        <w:t xml:space="preserve"> that patients may initiate a FDC before clinically appropriate. </w:t>
      </w:r>
      <w:r w:rsidR="00D3010F">
        <w:rPr>
          <w:rFonts w:ascii="Arial" w:hAnsi="Arial" w:cs="Arial"/>
          <w:sz w:val="22"/>
          <w:szCs w:val="22"/>
        </w:rPr>
        <w:t>No new data w</w:t>
      </w:r>
      <w:r w:rsidR="006719F2">
        <w:rPr>
          <w:rFonts w:ascii="Arial" w:hAnsi="Arial" w:cs="Arial"/>
          <w:sz w:val="22"/>
          <w:szCs w:val="22"/>
        </w:rPr>
        <w:t>ere</w:t>
      </w:r>
      <w:r w:rsidR="00D3010F">
        <w:rPr>
          <w:rFonts w:ascii="Arial" w:hAnsi="Arial" w:cs="Arial"/>
          <w:sz w:val="22"/>
          <w:szCs w:val="22"/>
        </w:rPr>
        <w:t xml:space="preserve"> presented in the submission to justify amending the current listing. </w:t>
      </w:r>
      <w:r w:rsidR="00AF2C0F">
        <w:rPr>
          <w:rFonts w:ascii="Arial" w:hAnsi="Arial" w:cs="Arial"/>
          <w:sz w:val="22"/>
          <w:szCs w:val="22"/>
        </w:rPr>
        <w:t xml:space="preserve">The PBAC noted that the </w:t>
      </w:r>
      <w:r w:rsidR="005A7C4A">
        <w:rPr>
          <w:rFonts w:ascii="Arial" w:hAnsi="Arial" w:cs="Arial"/>
          <w:sz w:val="22"/>
          <w:szCs w:val="22"/>
        </w:rPr>
        <w:t xml:space="preserve">magnitude of the </w:t>
      </w:r>
      <w:r w:rsidR="00AF2C0F">
        <w:rPr>
          <w:rFonts w:ascii="Arial" w:hAnsi="Arial" w:cs="Arial"/>
          <w:sz w:val="22"/>
          <w:szCs w:val="22"/>
        </w:rPr>
        <w:t xml:space="preserve">potential synergistic effects of using the combination of a LAMA and LABA are still unclear. </w:t>
      </w:r>
    </w:p>
    <w:p w:rsidR="00256CE3" w:rsidRPr="00AF2C0F" w:rsidRDefault="00256CE3" w:rsidP="00AF2C0F">
      <w:pPr>
        <w:jc w:val="both"/>
        <w:rPr>
          <w:rFonts w:ascii="Arial" w:hAnsi="Arial" w:cs="Arial"/>
          <w:sz w:val="22"/>
          <w:szCs w:val="22"/>
        </w:rPr>
      </w:pPr>
    </w:p>
    <w:p w:rsidR="00256CE3" w:rsidRDefault="00256CE3" w:rsidP="00256CE3">
      <w:pPr>
        <w:pStyle w:val="ListParagraph"/>
        <w:numPr>
          <w:ilvl w:val="1"/>
          <w:numId w:val="25"/>
        </w:numPr>
        <w:jc w:val="both"/>
        <w:rPr>
          <w:rFonts w:ascii="Arial" w:hAnsi="Arial" w:cs="Arial"/>
          <w:sz w:val="22"/>
          <w:szCs w:val="22"/>
        </w:rPr>
      </w:pPr>
      <w:r>
        <w:rPr>
          <w:rFonts w:ascii="Arial" w:hAnsi="Arial" w:cs="Arial"/>
          <w:sz w:val="22"/>
          <w:szCs w:val="22"/>
        </w:rPr>
        <w:t xml:space="preserve">The PBAC noted that the requested restriction is not consistent with the other currently listed LAMA/LABA combination product, </w:t>
      </w:r>
      <w:r w:rsidR="00B31540">
        <w:rPr>
          <w:rFonts w:ascii="Arial" w:hAnsi="Arial" w:cs="Arial"/>
          <w:sz w:val="22"/>
          <w:szCs w:val="22"/>
        </w:rPr>
        <w:t xml:space="preserve">indacaterol with glycopyrronium. The PBAC recalled that </w:t>
      </w:r>
      <w:r w:rsidR="00B31540" w:rsidRPr="00CE4581">
        <w:rPr>
          <w:rFonts w:ascii="Arial" w:hAnsi="Arial" w:cs="Arial"/>
          <w:sz w:val="22"/>
          <w:szCs w:val="22"/>
        </w:rPr>
        <w:t xml:space="preserve">the PBAC recommended that under Section 101 (3BA) of the Nation Health Act, </w:t>
      </w:r>
      <w:r w:rsidR="00D56FDA">
        <w:rPr>
          <w:rFonts w:ascii="Arial" w:hAnsi="Arial" w:cs="Arial"/>
          <w:sz w:val="22"/>
          <w:szCs w:val="22"/>
        </w:rPr>
        <w:t xml:space="preserve">UMEC/VI </w:t>
      </w:r>
      <w:r w:rsidR="00B31540" w:rsidRPr="00CE4581">
        <w:rPr>
          <w:rFonts w:ascii="Arial" w:hAnsi="Arial" w:cs="Arial"/>
          <w:sz w:val="22"/>
          <w:szCs w:val="22"/>
        </w:rPr>
        <w:t xml:space="preserve">and indacaterol/glycopyrronium should be treated as </w:t>
      </w:r>
      <w:r w:rsidR="00B31540" w:rsidRPr="00CE4581">
        <w:rPr>
          <w:rFonts w:ascii="Arial" w:hAnsi="Arial" w:cs="Arial"/>
          <w:sz w:val="22"/>
          <w:szCs w:val="22"/>
        </w:rPr>
        <w:lastRenderedPageBreak/>
        <w:t>interchangeable on an individual patient basis</w:t>
      </w:r>
      <w:r w:rsidR="00B31540">
        <w:rPr>
          <w:rFonts w:ascii="Arial" w:hAnsi="Arial" w:cs="Arial"/>
          <w:sz w:val="22"/>
          <w:szCs w:val="22"/>
        </w:rPr>
        <w:t xml:space="preserve"> </w:t>
      </w:r>
      <w:r>
        <w:rPr>
          <w:rFonts w:ascii="Arial" w:hAnsi="Arial" w:cs="Arial"/>
          <w:sz w:val="22"/>
          <w:szCs w:val="22"/>
        </w:rPr>
        <w:t>and</w:t>
      </w:r>
      <w:r w:rsidR="00B31540">
        <w:rPr>
          <w:rFonts w:ascii="Arial" w:hAnsi="Arial" w:cs="Arial"/>
          <w:sz w:val="22"/>
          <w:szCs w:val="22"/>
        </w:rPr>
        <w:t xml:space="preserve"> considered</w:t>
      </w:r>
      <w:r>
        <w:rPr>
          <w:rFonts w:ascii="Arial" w:hAnsi="Arial" w:cs="Arial"/>
          <w:sz w:val="22"/>
          <w:szCs w:val="22"/>
        </w:rPr>
        <w:t xml:space="preserve"> that any changes to the restriction </w:t>
      </w:r>
      <w:r w:rsidR="00AF2C0F">
        <w:rPr>
          <w:rFonts w:ascii="Arial" w:hAnsi="Arial" w:cs="Arial"/>
          <w:sz w:val="22"/>
          <w:szCs w:val="22"/>
        </w:rPr>
        <w:t xml:space="preserve">of UMEC/VI </w:t>
      </w:r>
      <w:r>
        <w:rPr>
          <w:rFonts w:ascii="Arial" w:hAnsi="Arial" w:cs="Arial"/>
          <w:sz w:val="22"/>
          <w:szCs w:val="22"/>
        </w:rPr>
        <w:t xml:space="preserve">should apply to both products. </w:t>
      </w:r>
    </w:p>
    <w:p w:rsidR="00D3010F" w:rsidRPr="00F82194" w:rsidRDefault="00D3010F" w:rsidP="00F82194">
      <w:pPr>
        <w:rPr>
          <w:rFonts w:ascii="Arial" w:hAnsi="Arial" w:cs="Arial"/>
          <w:sz w:val="22"/>
          <w:szCs w:val="22"/>
        </w:rPr>
      </w:pPr>
    </w:p>
    <w:p w:rsidR="00D3010F" w:rsidRDefault="00D3010F" w:rsidP="00256CE3">
      <w:pPr>
        <w:pStyle w:val="ListParagraph"/>
        <w:numPr>
          <w:ilvl w:val="1"/>
          <w:numId w:val="25"/>
        </w:numPr>
        <w:jc w:val="both"/>
        <w:rPr>
          <w:rFonts w:ascii="Arial" w:hAnsi="Arial" w:cs="Arial"/>
          <w:sz w:val="22"/>
          <w:szCs w:val="22"/>
        </w:rPr>
      </w:pPr>
      <w:r>
        <w:rPr>
          <w:rFonts w:ascii="Arial" w:hAnsi="Arial" w:cs="Arial"/>
          <w:sz w:val="22"/>
          <w:szCs w:val="22"/>
        </w:rPr>
        <w:t>The PBAC noted that the current listing</w:t>
      </w:r>
      <w:r w:rsidR="00DC7DCD">
        <w:rPr>
          <w:rFonts w:ascii="Arial" w:hAnsi="Arial" w:cs="Arial"/>
          <w:sz w:val="22"/>
          <w:szCs w:val="22"/>
        </w:rPr>
        <w:t xml:space="preserve"> for UMEC/VI</w:t>
      </w:r>
      <w:r>
        <w:rPr>
          <w:rFonts w:ascii="Arial" w:hAnsi="Arial" w:cs="Arial"/>
          <w:sz w:val="22"/>
          <w:szCs w:val="22"/>
        </w:rPr>
        <w:t xml:space="preserve"> is consistent with clinical guidelines for the treatment of COPD. </w:t>
      </w:r>
    </w:p>
    <w:p w:rsidR="00D3010F" w:rsidRDefault="00D3010F" w:rsidP="00D3010F">
      <w:pPr>
        <w:pStyle w:val="ListParagraph"/>
        <w:jc w:val="both"/>
        <w:rPr>
          <w:rFonts w:ascii="Arial" w:hAnsi="Arial" w:cs="Arial"/>
          <w:sz w:val="22"/>
          <w:szCs w:val="22"/>
        </w:rPr>
      </w:pPr>
    </w:p>
    <w:p w:rsidR="0095346B" w:rsidRDefault="0095346B" w:rsidP="00256CE3">
      <w:pPr>
        <w:pStyle w:val="ListParagraph"/>
        <w:numPr>
          <w:ilvl w:val="1"/>
          <w:numId w:val="25"/>
        </w:numPr>
        <w:jc w:val="both"/>
        <w:rPr>
          <w:rFonts w:ascii="Arial" w:hAnsi="Arial" w:cs="Arial"/>
          <w:sz w:val="22"/>
          <w:szCs w:val="22"/>
        </w:rPr>
      </w:pPr>
      <w:r>
        <w:rPr>
          <w:rFonts w:ascii="Arial" w:hAnsi="Arial" w:cs="Arial"/>
          <w:sz w:val="22"/>
          <w:szCs w:val="22"/>
        </w:rPr>
        <w:t>The PBAC noted input from the Thoracic Society of Australia and New Zealand (TSANZ)</w:t>
      </w:r>
      <w:r w:rsidR="00D3010F">
        <w:rPr>
          <w:rFonts w:ascii="Arial" w:hAnsi="Arial" w:cs="Arial"/>
          <w:sz w:val="22"/>
          <w:szCs w:val="22"/>
        </w:rPr>
        <w:t xml:space="preserve"> describing the benefits for patients in having fewer inhaler devices</w:t>
      </w:r>
      <w:r w:rsidR="00DC7DCD">
        <w:rPr>
          <w:rFonts w:ascii="Arial" w:hAnsi="Arial" w:cs="Arial"/>
          <w:sz w:val="22"/>
          <w:szCs w:val="22"/>
        </w:rPr>
        <w:t xml:space="preserve"> in order</w:t>
      </w:r>
      <w:r w:rsidR="00D3010F">
        <w:rPr>
          <w:rFonts w:ascii="Arial" w:hAnsi="Arial" w:cs="Arial"/>
          <w:sz w:val="22"/>
          <w:szCs w:val="22"/>
        </w:rPr>
        <w:t xml:space="preserve"> to limit t</w:t>
      </w:r>
      <w:r w:rsidR="00DC7DCD">
        <w:rPr>
          <w:rFonts w:ascii="Arial" w:hAnsi="Arial" w:cs="Arial"/>
          <w:sz w:val="22"/>
          <w:szCs w:val="22"/>
        </w:rPr>
        <w:t>echnique errors. The PBAC also noted that TSANZ agree that</w:t>
      </w:r>
      <w:r w:rsidR="00D3010F">
        <w:rPr>
          <w:rFonts w:ascii="Arial" w:hAnsi="Arial" w:cs="Arial"/>
          <w:sz w:val="22"/>
          <w:szCs w:val="22"/>
        </w:rPr>
        <w:t xml:space="preserve"> initial bronchodilator therapy should be </w:t>
      </w:r>
      <w:r w:rsidR="00DC7DCD">
        <w:rPr>
          <w:rFonts w:ascii="Arial" w:hAnsi="Arial" w:cs="Arial"/>
          <w:sz w:val="22"/>
          <w:szCs w:val="22"/>
        </w:rPr>
        <w:t>with a</w:t>
      </w:r>
      <w:r w:rsidR="00D3010F">
        <w:rPr>
          <w:rFonts w:ascii="Arial" w:hAnsi="Arial" w:cs="Arial"/>
          <w:sz w:val="22"/>
          <w:szCs w:val="22"/>
        </w:rPr>
        <w:t xml:space="preserve"> LAMA or a LABA rather than a combination. </w:t>
      </w:r>
      <w:r>
        <w:rPr>
          <w:rFonts w:ascii="Arial" w:hAnsi="Arial" w:cs="Arial"/>
          <w:sz w:val="22"/>
          <w:szCs w:val="22"/>
        </w:rPr>
        <w:t xml:space="preserve"> </w:t>
      </w:r>
    </w:p>
    <w:p w:rsidR="00D3010F" w:rsidRPr="00AF2C0F" w:rsidRDefault="00D3010F" w:rsidP="00AF2C0F">
      <w:pPr>
        <w:pStyle w:val="ListParagraph"/>
        <w:rPr>
          <w:rFonts w:ascii="Arial" w:hAnsi="Arial" w:cs="Arial"/>
          <w:sz w:val="22"/>
          <w:szCs w:val="22"/>
        </w:rPr>
      </w:pPr>
    </w:p>
    <w:p w:rsidR="00D3010F" w:rsidRDefault="00D3010F" w:rsidP="00256CE3">
      <w:pPr>
        <w:pStyle w:val="ListParagraph"/>
        <w:numPr>
          <w:ilvl w:val="1"/>
          <w:numId w:val="25"/>
        </w:numPr>
        <w:jc w:val="both"/>
        <w:rPr>
          <w:rFonts w:ascii="Arial" w:hAnsi="Arial" w:cs="Arial"/>
          <w:sz w:val="22"/>
          <w:szCs w:val="22"/>
        </w:rPr>
      </w:pPr>
      <w:r>
        <w:rPr>
          <w:rFonts w:ascii="Arial" w:hAnsi="Arial" w:cs="Arial"/>
          <w:sz w:val="22"/>
          <w:szCs w:val="22"/>
        </w:rPr>
        <w:t xml:space="preserve">The PBAC considered that </w:t>
      </w:r>
      <w:r w:rsidR="00AF2C0F">
        <w:rPr>
          <w:rFonts w:ascii="Arial" w:hAnsi="Arial" w:cs="Arial"/>
          <w:sz w:val="22"/>
          <w:szCs w:val="22"/>
        </w:rPr>
        <w:t xml:space="preserve">individual components should be initially prescribed to determine whether the two therapies are beneficial before prescribing a FDC. </w:t>
      </w:r>
    </w:p>
    <w:p w:rsidR="003050F6" w:rsidRPr="003050F6" w:rsidRDefault="003050F6" w:rsidP="0095346B"/>
    <w:p w:rsidR="003050F6" w:rsidRPr="003050F6" w:rsidRDefault="003050F6" w:rsidP="00256CE3">
      <w:pPr>
        <w:pStyle w:val="ListParagraph"/>
        <w:numPr>
          <w:ilvl w:val="1"/>
          <w:numId w:val="25"/>
        </w:numPr>
        <w:jc w:val="both"/>
        <w:rPr>
          <w:rFonts w:ascii="Arial" w:hAnsi="Arial" w:cs="Arial"/>
          <w:sz w:val="22"/>
          <w:szCs w:val="22"/>
        </w:rPr>
      </w:pPr>
      <w:r w:rsidRPr="003050F6">
        <w:rPr>
          <w:rFonts w:ascii="Arial" w:hAnsi="Arial" w:cs="Arial"/>
          <w:sz w:val="22"/>
          <w:szCs w:val="22"/>
        </w:rPr>
        <w:t>The PBAC noted that this submission is not eligible for an Independent Review</w:t>
      </w:r>
      <w:r w:rsidR="00256CE3">
        <w:rPr>
          <w:rFonts w:ascii="Arial" w:hAnsi="Arial" w:cs="Arial"/>
          <w:sz w:val="22"/>
          <w:szCs w:val="22"/>
        </w:rPr>
        <w:t xml:space="preserve"> as t</w:t>
      </w:r>
      <w:r w:rsidR="00DC7DCD">
        <w:rPr>
          <w:rFonts w:ascii="Arial" w:hAnsi="Arial" w:cs="Arial"/>
          <w:sz w:val="22"/>
          <w:szCs w:val="22"/>
        </w:rPr>
        <w:t>his is not available in response</w:t>
      </w:r>
      <w:r w:rsidR="00256CE3">
        <w:rPr>
          <w:rFonts w:ascii="Arial" w:hAnsi="Arial" w:cs="Arial"/>
          <w:sz w:val="22"/>
          <w:szCs w:val="22"/>
        </w:rPr>
        <w:t xml:space="preserve"> to a request to modify or extend an existing listing. </w:t>
      </w:r>
      <w:r w:rsidRPr="003050F6">
        <w:rPr>
          <w:rFonts w:ascii="Arial" w:hAnsi="Arial" w:cs="Arial"/>
          <w:sz w:val="22"/>
          <w:szCs w:val="22"/>
        </w:rPr>
        <w:t xml:space="preserve"> </w:t>
      </w:r>
    </w:p>
    <w:p w:rsidR="00256CE3" w:rsidRDefault="00256CE3" w:rsidP="003050F6">
      <w:pPr>
        <w:rPr>
          <w:rFonts w:ascii="Arial" w:hAnsi="Arial" w:cs="Arial"/>
          <w:b/>
          <w:sz w:val="22"/>
          <w:szCs w:val="22"/>
        </w:rPr>
      </w:pPr>
    </w:p>
    <w:p w:rsidR="00F33F5C" w:rsidRDefault="00F33F5C" w:rsidP="003050F6">
      <w:pPr>
        <w:rPr>
          <w:rFonts w:ascii="Arial" w:hAnsi="Arial" w:cs="Arial"/>
          <w:b/>
          <w:sz w:val="22"/>
          <w:szCs w:val="22"/>
        </w:rPr>
      </w:pPr>
      <w:bookmarkStart w:id="1" w:name="_GoBack"/>
      <w:bookmarkEnd w:id="1"/>
    </w:p>
    <w:p w:rsidR="003050F6" w:rsidRPr="003050F6" w:rsidRDefault="003050F6" w:rsidP="003050F6">
      <w:pPr>
        <w:rPr>
          <w:rFonts w:ascii="Arial" w:hAnsi="Arial" w:cs="Arial"/>
          <w:b/>
          <w:sz w:val="22"/>
          <w:szCs w:val="22"/>
        </w:rPr>
      </w:pPr>
      <w:r w:rsidRPr="003050F6">
        <w:rPr>
          <w:rFonts w:ascii="Arial" w:hAnsi="Arial" w:cs="Arial"/>
          <w:b/>
          <w:sz w:val="22"/>
          <w:szCs w:val="22"/>
        </w:rPr>
        <w:t>Outcome:</w:t>
      </w:r>
    </w:p>
    <w:p w:rsidR="003050F6" w:rsidRDefault="00150D78" w:rsidP="003050F6">
      <w:pPr>
        <w:rPr>
          <w:rFonts w:ascii="Arial" w:hAnsi="Arial" w:cs="Arial"/>
          <w:sz w:val="22"/>
          <w:szCs w:val="22"/>
        </w:rPr>
      </w:pPr>
      <w:r>
        <w:rPr>
          <w:rFonts w:ascii="Arial" w:hAnsi="Arial" w:cs="Arial"/>
          <w:sz w:val="22"/>
          <w:szCs w:val="22"/>
        </w:rPr>
        <w:t>Rejected</w:t>
      </w:r>
    </w:p>
    <w:p w:rsidR="00CC1CAD" w:rsidRDefault="00CC1CAD" w:rsidP="003050F6">
      <w:pPr>
        <w:rPr>
          <w:rFonts w:ascii="Arial" w:hAnsi="Arial" w:cs="Arial"/>
          <w:sz w:val="22"/>
          <w:szCs w:val="22"/>
        </w:rPr>
      </w:pPr>
    </w:p>
    <w:p w:rsidR="0045120A" w:rsidRDefault="0045120A" w:rsidP="003050F6">
      <w:pPr>
        <w:rPr>
          <w:rFonts w:ascii="Arial" w:hAnsi="Arial" w:cs="Arial"/>
          <w:sz w:val="22"/>
          <w:szCs w:val="22"/>
        </w:rPr>
      </w:pPr>
    </w:p>
    <w:p w:rsidR="00CC1CAD" w:rsidRDefault="00CC1CAD" w:rsidP="00CC1CAD">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CC1CAD" w:rsidRPr="00D4420F" w:rsidRDefault="00CC1CAD" w:rsidP="00CC1CAD">
      <w:pPr>
        <w:pStyle w:val="ListParagraph"/>
        <w:jc w:val="both"/>
        <w:rPr>
          <w:rFonts w:ascii="Arial" w:hAnsi="Arial" w:cs="Arial"/>
          <w:b/>
          <w:sz w:val="22"/>
        </w:rPr>
      </w:pPr>
    </w:p>
    <w:p w:rsidR="00CC1CAD" w:rsidRPr="00D4420F" w:rsidRDefault="00CC1CAD" w:rsidP="00CC1CAD">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C1CAD" w:rsidRDefault="00CC1CAD" w:rsidP="00CC1CAD">
      <w:pPr>
        <w:jc w:val="both"/>
        <w:rPr>
          <w:rFonts w:ascii="Arial" w:hAnsi="Arial" w:cs="Arial"/>
          <w:sz w:val="22"/>
        </w:rPr>
      </w:pPr>
    </w:p>
    <w:p w:rsidR="0045120A" w:rsidRPr="00D4420F" w:rsidRDefault="0045120A" w:rsidP="00CC1CAD">
      <w:pPr>
        <w:jc w:val="both"/>
        <w:rPr>
          <w:rFonts w:ascii="Arial" w:hAnsi="Arial" w:cs="Arial"/>
          <w:sz w:val="22"/>
        </w:rPr>
      </w:pPr>
    </w:p>
    <w:p w:rsidR="00CC1CAD" w:rsidRDefault="00CC1CAD" w:rsidP="00CC1CAD">
      <w:pPr>
        <w:pStyle w:val="ListParagraph"/>
        <w:numPr>
          <w:ilvl w:val="0"/>
          <w:numId w:val="25"/>
        </w:numPr>
        <w:jc w:val="both"/>
        <w:rPr>
          <w:rFonts w:ascii="Arial" w:hAnsi="Arial" w:cs="Arial"/>
          <w:b/>
          <w:sz w:val="22"/>
        </w:rPr>
      </w:pPr>
      <w:r w:rsidRPr="00D4420F">
        <w:rPr>
          <w:rFonts w:ascii="Arial" w:hAnsi="Arial" w:cs="Arial"/>
          <w:b/>
          <w:sz w:val="22"/>
        </w:rPr>
        <w:t>Sponsor’s Comment</w:t>
      </w:r>
    </w:p>
    <w:p w:rsidR="00CC1CAD" w:rsidRDefault="00CC1CAD" w:rsidP="003050F6">
      <w:pPr>
        <w:rPr>
          <w:rFonts w:ascii="Arial" w:hAnsi="Arial" w:cs="Arial"/>
          <w:sz w:val="22"/>
          <w:szCs w:val="22"/>
        </w:rPr>
      </w:pPr>
    </w:p>
    <w:p w:rsidR="007006D3" w:rsidRPr="007006D3" w:rsidRDefault="007006D3" w:rsidP="007006D3">
      <w:pPr>
        <w:ind w:left="720"/>
        <w:rPr>
          <w:rFonts w:ascii="Arial" w:hAnsi="Arial" w:cs="Arial"/>
          <w:sz w:val="22"/>
          <w:szCs w:val="22"/>
        </w:rPr>
      </w:pPr>
      <w:r w:rsidRPr="007006D3">
        <w:rPr>
          <w:rFonts w:ascii="Arial" w:hAnsi="Arial" w:cs="Arial"/>
          <w:sz w:val="22"/>
          <w:szCs w:val="22"/>
        </w:rPr>
        <w:t xml:space="preserve">GSK is disappointed with this outcome for COPD patients and considers the current restriction requiring stabilisation on a combination of a LABA and LAMA in separate inhalers prior to initiation of a fixed dose combination (FDC) to be unnecessarily burdensome on patients. The restriction may lead to patient confusion regarding correct inhaler use if patients have to use multiple inhaler types. Inhaler usage confusion may reduce patient adherence resulting in adverse efficacy and safety related consequences. </w:t>
      </w:r>
    </w:p>
    <w:p w:rsidR="007006D3" w:rsidRPr="007006D3" w:rsidRDefault="007006D3" w:rsidP="007006D3">
      <w:pPr>
        <w:ind w:left="720"/>
        <w:rPr>
          <w:rFonts w:ascii="Arial" w:hAnsi="Arial" w:cs="Arial"/>
          <w:sz w:val="22"/>
          <w:szCs w:val="22"/>
        </w:rPr>
      </w:pPr>
    </w:p>
    <w:p w:rsidR="007006D3" w:rsidRPr="007006D3" w:rsidRDefault="007006D3" w:rsidP="007006D3">
      <w:pPr>
        <w:ind w:left="720"/>
        <w:rPr>
          <w:rFonts w:ascii="Arial" w:hAnsi="Arial" w:cs="Arial"/>
          <w:sz w:val="22"/>
          <w:szCs w:val="22"/>
        </w:rPr>
      </w:pPr>
      <w:r w:rsidRPr="007006D3">
        <w:rPr>
          <w:rFonts w:ascii="Arial" w:hAnsi="Arial" w:cs="Arial"/>
          <w:sz w:val="22"/>
          <w:szCs w:val="22"/>
        </w:rPr>
        <w:t xml:space="preserve">Furthermore COPD patients, many of whom are pensioners, will be required to pay two separate co-payments as opposed to one, had initiation of the FDC post monotherapy LABA or LAMA been permitted. </w:t>
      </w:r>
    </w:p>
    <w:p w:rsidR="007006D3" w:rsidRPr="007006D3" w:rsidRDefault="007006D3" w:rsidP="007006D3">
      <w:pPr>
        <w:ind w:left="720"/>
        <w:rPr>
          <w:rFonts w:ascii="Arial" w:hAnsi="Arial" w:cs="Arial"/>
          <w:sz w:val="22"/>
          <w:szCs w:val="22"/>
        </w:rPr>
      </w:pPr>
    </w:p>
    <w:p w:rsidR="007006D3" w:rsidRDefault="007006D3" w:rsidP="007006D3">
      <w:pPr>
        <w:ind w:left="720"/>
        <w:rPr>
          <w:rFonts w:ascii="Arial" w:hAnsi="Arial" w:cs="Arial"/>
          <w:sz w:val="22"/>
          <w:szCs w:val="22"/>
        </w:rPr>
      </w:pPr>
      <w:r w:rsidRPr="007006D3">
        <w:rPr>
          <w:rFonts w:ascii="Arial" w:hAnsi="Arial" w:cs="Arial"/>
          <w:sz w:val="22"/>
          <w:szCs w:val="22"/>
        </w:rPr>
        <w:t>GSK will continue to engage with the PBAC to understand and address the issues raised.</w:t>
      </w:r>
    </w:p>
    <w:sectPr w:rsidR="007006D3" w:rsidSect="006E7E4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95" w:rsidRDefault="00C14A95">
      <w:r>
        <w:separator/>
      </w:r>
    </w:p>
  </w:endnote>
  <w:endnote w:type="continuationSeparator" w:id="0">
    <w:p w:rsidR="00C14A95" w:rsidRDefault="00C1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0" w:rsidRDefault="00EF44A0" w:rsidP="00EF44A0">
    <w:pPr>
      <w:pStyle w:val="Footer"/>
      <w:jc w:val="center"/>
      <w:rPr>
        <w:rFonts w:ascii="Arial" w:hAnsi="Arial" w:cs="Arial"/>
        <w:b/>
        <w:sz w:val="20"/>
        <w:szCs w:val="20"/>
      </w:rPr>
    </w:pPr>
  </w:p>
  <w:p w:rsidR="00EF44A0" w:rsidRPr="003F1DB2" w:rsidRDefault="001A2493">
    <w:pPr>
      <w:pStyle w:val="Footer"/>
      <w:jc w:val="center"/>
      <w:rPr>
        <w:rFonts w:ascii="Arial" w:hAnsi="Arial" w:cs="Arial"/>
        <w:sz w:val="22"/>
        <w:szCs w:val="22"/>
      </w:rPr>
    </w:pPr>
    <w:sdt>
      <w:sdtPr>
        <w:id w:val="646254239"/>
        <w:docPartObj>
          <w:docPartGallery w:val="Page Numbers (Bottom of Page)"/>
          <w:docPartUnique/>
        </w:docPartObj>
      </w:sdtPr>
      <w:sdtEndPr>
        <w:rPr>
          <w:rFonts w:ascii="Arial" w:hAnsi="Arial" w:cs="Arial"/>
          <w:noProof/>
          <w:sz w:val="22"/>
          <w:szCs w:val="22"/>
        </w:rPr>
      </w:sdtEndPr>
      <w:sdtContent>
        <w:r w:rsidR="00EF44A0" w:rsidRPr="003F1DB2">
          <w:rPr>
            <w:rFonts w:ascii="Arial" w:hAnsi="Arial" w:cs="Arial"/>
            <w:sz w:val="22"/>
            <w:szCs w:val="22"/>
          </w:rPr>
          <w:fldChar w:fldCharType="begin"/>
        </w:r>
        <w:r w:rsidR="00EF44A0" w:rsidRPr="003F1DB2">
          <w:rPr>
            <w:rFonts w:ascii="Arial" w:hAnsi="Arial" w:cs="Arial"/>
            <w:sz w:val="22"/>
            <w:szCs w:val="22"/>
          </w:rPr>
          <w:instrText xml:space="preserve"> PAGE   \* MERGEFORMAT </w:instrText>
        </w:r>
        <w:r w:rsidR="00EF44A0" w:rsidRPr="003F1DB2">
          <w:rPr>
            <w:rFonts w:ascii="Arial" w:hAnsi="Arial" w:cs="Arial"/>
            <w:sz w:val="22"/>
            <w:szCs w:val="22"/>
          </w:rPr>
          <w:fldChar w:fldCharType="separate"/>
        </w:r>
        <w:r>
          <w:rPr>
            <w:rFonts w:ascii="Arial" w:hAnsi="Arial" w:cs="Arial"/>
            <w:noProof/>
            <w:sz w:val="22"/>
            <w:szCs w:val="22"/>
          </w:rPr>
          <w:t>4</w:t>
        </w:r>
        <w:r w:rsidR="00EF44A0" w:rsidRPr="003F1DB2">
          <w:rPr>
            <w:rFonts w:ascii="Arial" w:hAnsi="Arial" w:cs="Arial"/>
            <w:noProof/>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95" w:rsidRDefault="00C14A95">
      <w:r>
        <w:separator/>
      </w:r>
    </w:p>
  </w:footnote>
  <w:footnote w:type="continuationSeparator" w:id="0">
    <w:p w:rsidR="00C14A95" w:rsidRDefault="00C14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F6" w:rsidRPr="003050F6" w:rsidRDefault="00C14115" w:rsidP="003050F6">
    <w:pPr>
      <w:pStyle w:val="Header"/>
      <w:jc w:val="center"/>
      <w:rPr>
        <w:rFonts w:ascii="Arial" w:hAnsi="Arial" w:cs="Arial"/>
        <w:i/>
        <w:color w:val="808080"/>
        <w:sz w:val="22"/>
        <w:szCs w:val="22"/>
      </w:rPr>
    </w:pPr>
    <w:r>
      <w:rPr>
        <w:rFonts w:ascii="Arial" w:hAnsi="Arial" w:cs="Arial"/>
        <w:i/>
        <w:color w:val="808080"/>
        <w:sz w:val="22"/>
        <w:szCs w:val="22"/>
      </w:rPr>
      <w:t>Public Summary Document</w:t>
    </w:r>
    <w:r w:rsidR="003050F6" w:rsidRPr="003050F6">
      <w:rPr>
        <w:rFonts w:ascii="Arial" w:hAnsi="Arial" w:cs="Arial"/>
        <w:i/>
        <w:color w:val="808080"/>
        <w:sz w:val="22"/>
        <w:szCs w:val="22"/>
      </w:rPr>
      <w:t xml:space="preserve"> – November 2014 PBAC Meeting</w:t>
    </w:r>
  </w:p>
  <w:p w:rsidR="003050F6" w:rsidRDefault="00305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D556283"/>
    <w:multiLevelType w:val="hybridMultilevel"/>
    <w:tmpl w:val="B4B8651E"/>
    <w:lvl w:ilvl="0" w:tplc="31447F58">
      <w:start w:val="2"/>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3DAD5A12"/>
    <w:multiLevelType w:val="hybridMultilevel"/>
    <w:tmpl w:val="6D20C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8B6305F"/>
    <w:multiLevelType w:val="hybridMultilevel"/>
    <w:tmpl w:val="DC3EE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90618E"/>
    <w:multiLevelType w:val="hybridMultilevel"/>
    <w:tmpl w:val="7F62641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2E54CB7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6"/>
  </w:num>
  <w:num w:numId="3">
    <w:abstractNumId w:val="22"/>
  </w:num>
  <w:num w:numId="4">
    <w:abstractNumId w:val="0"/>
  </w:num>
  <w:num w:numId="5">
    <w:abstractNumId w:val="5"/>
  </w:num>
  <w:num w:numId="6">
    <w:abstractNumId w:val="19"/>
  </w:num>
  <w:num w:numId="7">
    <w:abstractNumId w:val="16"/>
  </w:num>
  <w:num w:numId="8">
    <w:abstractNumId w:val="4"/>
  </w:num>
  <w:num w:numId="9">
    <w:abstractNumId w:val="7"/>
  </w:num>
  <w:num w:numId="10">
    <w:abstractNumId w:val="34"/>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7"/>
  </w:num>
  <w:num w:numId="15">
    <w:abstractNumId w:val="29"/>
  </w:num>
  <w:num w:numId="16">
    <w:abstractNumId w:val="25"/>
  </w:num>
  <w:num w:numId="17">
    <w:abstractNumId w:val="39"/>
  </w:num>
  <w:num w:numId="18">
    <w:abstractNumId w:val="12"/>
  </w:num>
  <w:num w:numId="19">
    <w:abstractNumId w:val="18"/>
  </w:num>
  <w:num w:numId="20">
    <w:abstractNumId w:val="3"/>
  </w:num>
  <w:num w:numId="21">
    <w:abstractNumId w:val="32"/>
  </w:num>
  <w:num w:numId="22">
    <w:abstractNumId w:val="35"/>
  </w:num>
  <w:num w:numId="23">
    <w:abstractNumId w:val="41"/>
  </w:num>
  <w:num w:numId="24">
    <w:abstractNumId w:val="15"/>
  </w:num>
  <w:num w:numId="25">
    <w:abstractNumId w:val="40"/>
  </w:num>
  <w:num w:numId="26">
    <w:abstractNumId w:val="30"/>
  </w:num>
  <w:num w:numId="27">
    <w:abstractNumId w:val="11"/>
  </w:num>
  <w:num w:numId="28">
    <w:abstractNumId w:val="6"/>
  </w:num>
  <w:num w:numId="29">
    <w:abstractNumId w:val="27"/>
  </w:num>
  <w:num w:numId="30">
    <w:abstractNumId w:val="2"/>
  </w:num>
  <w:num w:numId="31">
    <w:abstractNumId w:val="28"/>
  </w:num>
  <w:num w:numId="32">
    <w:abstractNumId w:val="38"/>
  </w:num>
  <w:num w:numId="33">
    <w:abstractNumId w:val="26"/>
  </w:num>
  <w:num w:numId="34">
    <w:abstractNumId w:val="42"/>
  </w:num>
  <w:num w:numId="35">
    <w:abstractNumId w:val="10"/>
  </w:num>
  <w:num w:numId="36">
    <w:abstractNumId w:val="24"/>
  </w:num>
  <w:num w:numId="37">
    <w:abstractNumId w:val="31"/>
  </w:num>
  <w:num w:numId="38">
    <w:abstractNumId w:val="8"/>
  </w:num>
  <w:num w:numId="39">
    <w:abstractNumId w:val="17"/>
  </w:num>
  <w:num w:numId="40">
    <w:abstractNumId w:val="1"/>
  </w:num>
  <w:num w:numId="41">
    <w:abstractNumId w:val="14"/>
  </w:num>
  <w:num w:numId="42">
    <w:abstractNumId w:val="20"/>
  </w:num>
  <w:num w:numId="43">
    <w:abstractNumId w:val="21"/>
  </w:num>
  <w:num w:numId="44">
    <w:abstractNumId w:val="3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969AD"/>
    <w:rsid w:val="000B558D"/>
    <w:rsid w:val="000B7A4B"/>
    <w:rsid w:val="000C6996"/>
    <w:rsid w:val="000D23BA"/>
    <w:rsid w:val="000D2F0C"/>
    <w:rsid w:val="000E681E"/>
    <w:rsid w:val="000F4E6A"/>
    <w:rsid w:val="001107BF"/>
    <w:rsid w:val="0012417C"/>
    <w:rsid w:val="00133C17"/>
    <w:rsid w:val="001345FC"/>
    <w:rsid w:val="00142395"/>
    <w:rsid w:val="00142714"/>
    <w:rsid w:val="001452ED"/>
    <w:rsid w:val="00150D78"/>
    <w:rsid w:val="001830CE"/>
    <w:rsid w:val="00196307"/>
    <w:rsid w:val="001A2493"/>
    <w:rsid w:val="001B017F"/>
    <w:rsid w:val="001B5129"/>
    <w:rsid w:val="001C1195"/>
    <w:rsid w:val="00201978"/>
    <w:rsid w:val="00213CFB"/>
    <w:rsid w:val="00256CE3"/>
    <w:rsid w:val="00271BA1"/>
    <w:rsid w:val="00277505"/>
    <w:rsid w:val="0029458F"/>
    <w:rsid w:val="002A104C"/>
    <w:rsid w:val="002A4960"/>
    <w:rsid w:val="002B1AE6"/>
    <w:rsid w:val="002B30F8"/>
    <w:rsid w:val="002C212F"/>
    <w:rsid w:val="002E72CA"/>
    <w:rsid w:val="003050F6"/>
    <w:rsid w:val="00326E79"/>
    <w:rsid w:val="003367EF"/>
    <w:rsid w:val="00341AE4"/>
    <w:rsid w:val="00376C92"/>
    <w:rsid w:val="003A5B4A"/>
    <w:rsid w:val="003B23C5"/>
    <w:rsid w:val="003B2A75"/>
    <w:rsid w:val="003D4AC4"/>
    <w:rsid w:val="003D63B7"/>
    <w:rsid w:val="003E468B"/>
    <w:rsid w:val="003F1DB2"/>
    <w:rsid w:val="003F5C8C"/>
    <w:rsid w:val="004465BD"/>
    <w:rsid w:val="00447D2A"/>
    <w:rsid w:val="0045120A"/>
    <w:rsid w:val="00466ADA"/>
    <w:rsid w:val="00476245"/>
    <w:rsid w:val="00485940"/>
    <w:rsid w:val="00486A63"/>
    <w:rsid w:val="004877D6"/>
    <w:rsid w:val="004A36A9"/>
    <w:rsid w:val="004A5A85"/>
    <w:rsid w:val="004B5640"/>
    <w:rsid w:val="004C1BD7"/>
    <w:rsid w:val="004C691D"/>
    <w:rsid w:val="004E692D"/>
    <w:rsid w:val="004F331C"/>
    <w:rsid w:val="00514CD7"/>
    <w:rsid w:val="00534E2E"/>
    <w:rsid w:val="00544552"/>
    <w:rsid w:val="005606B1"/>
    <w:rsid w:val="00581932"/>
    <w:rsid w:val="005963BB"/>
    <w:rsid w:val="005A3173"/>
    <w:rsid w:val="005A3223"/>
    <w:rsid w:val="005A3DA3"/>
    <w:rsid w:val="005A52C4"/>
    <w:rsid w:val="005A7C4A"/>
    <w:rsid w:val="005D03AB"/>
    <w:rsid w:val="005D5017"/>
    <w:rsid w:val="00601A91"/>
    <w:rsid w:val="00602BA3"/>
    <w:rsid w:val="00604B87"/>
    <w:rsid w:val="00614159"/>
    <w:rsid w:val="00617C00"/>
    <w:rsid w:val="006263BF"/>
    <w:rsid w:val="00630A2C"/>
    <w:rsid w:val="00651169"/>
    <w:rsid w:val="00653D69"/>
    <w:rsid w:val="00670A76"/>
    <w:rsid w:val="006711AA"/>
    <w:rsid w:val="006719F2"/>
    <w:rsid w:val="00675622"/>
    <w:rsid w:val="006906DB"/>
    <w:rsid w:val="006A12A5"/>
    <w:rsid w:val="006B0D94"/>
    <w:rsid w:val="006B38F4"/>
    <w:rsid w:val="006B485D"/>
    <w:rsid w:val="006C708E"/>
    <w:rsid w:val="006D6EC7"/>
    <w:rsid w:val="006E7E48"/>
    <w:rsid w:val="006F5125"/>
    <w:rsid w:val="007006D3"/>
    <w:rsid w:val="007174BB"/>
    <w:rsid w:val="007421A7"/>
    <w:rsid w:val="0076420C"/>
    <w:rsid w:val="007753C2"/>
    <w:rsid w:val="007838B8"/>
    <w:rsid w:val="007C0F57"/>
    <w:rsid w:val="007C40B6"/>
    <w:rsid w:val="007C729F"/>
    <w:rsid w:val="007E1D28"/>
    <w:rsid w:val="007F2641"/>
    <w:rsid w:val="007F7C36"/>
    <w:rsid w:val="00806796"/>
    <w:rsid w:val="0082348D"/>
    <w:rsid w:val="00826F6D"/>
    <w:rsid w:val="008568B2"/>
    <w:rsid w:val="00856DDD"/>
    <w:rsid w:val="00863E68"/>
    <w:rsid w:val="00882085"/>
    <w:rsid w:val="00883188"/>
    <w:rsid w:val="00897D58"/>
    <w:rsid w:val="008A1956"/>
    <w:rsid w:val="008A4937"/>
    <w:rsid w:val="008D3C82"/>
    <w:rsid w:val="008D447E"/>
    <w:rsid w:val="008D7A41"/>
    <w:rsid w:val="008E3680"/>
    <w:rsid w:val="008E5870"/>
    <w:rsid w:val="008F1434"/>
    <w:rsid w:val="008F7355"/>
    <w:rsid w:val="00904EA3"/>
    <w:rsid w:val="009067B7"/>
    <w:rsid w:val="00930937"/>
    <w:rsid w:val="00933E6C"/>
    <w:rsid w:val="00942160"/>
    <w:rsid w:val="0095346B"/>
    <w:rsid w:val="009602C5"/>
    <w:rsid w:val="009641CB"/>
    <w:rsid w:val="00974C21"/>
    <w:rsid w:val="009B06F4"/>
    <w:rsid w:val="009B0F67"/>
    <w:rsid w:val="009C703C"/>
    <w:rsid w:val="009D3CAA"/>
    <w:rsid w:val="009F4E46"/>
    <w:rsid w:val="009F5B65"/>
    <w:rsid w:val="009F5F2E"/>
    <w:rsid w:val="00A06225"/>
    <w:rsid w:val="00A37C8D"/>
    <w:rsid w:val="00A47996"/>
    <w:rsid w:val="00A5273B"/>
    <w:rsid w:val="00A53A9D"/>
    <w:rsid w:val="00A62C1A"/>
    <w:rsid w:val="00A6426D"/>
    <w:rsid w:val="00A70622"/>
    <w:rsid w:val="00A70977"/>
    <w:rsid w:val="00A8390C"/>
    <w:rsid w:val="00A903CD"/>
    <w:rsid w:val="00AA4D1C"/>
    <w:rsid w:val="00AC5206"/>
    <w:rsid w:val="00AE11A5"/>
    <w:rsid w:val="00AF2C0F"/>
    <w:rsid w:val="00AF6101"/>
    <w:rsid w:val="00AF68CC"/>
    <w:rsid w:val="00B205AA"/>
    <w:rsid w:val="00B22E84"/>
    <w:rsid w:val="00B25F75"/>
    <w:rsid w:val="00B31540"/>
    <w:rsid w:val="00B43E90"/>
    <w:rsid w:val="00B56118"/>
    <w:rsid w:val="00B6773F"/>
    <w:rsid w:val="00BB69F5"/>
    <w:rsid w:val="00BB7EC3"/>
    <w:rsid w:val="00BC4B9A"/>
    <w:rsid w:val="00BD784C"/>
    <w:rsid w:val="00BF4CB6"/>
    <w:rsid w:val="00C00DA7"/>
    <w:rsid w:val="00C12768"/>
    <w:rsid w:val="00C14115"/>
    <w:rsid w:val="00C14A95"/>
    <w:rsid w:val="00C35996"/>
    <w:rsid w:val="00C5342C"/>
    <w:rsid w:val="00C6256A"/>
    <w:rsid w:val="00C91449"/>
    <w:rsid w:val="00C92D10"/>
    <w:rsid w:val="00CC1CAD"/>
    <w:rsid w:val="00CD2F60"/>
    <w:rsid w:val="00CE10C4"/>
    <w:rsid w:val="00CE27B5"/>
    <w:rsid w:val="00CE4581"/>
    <w:rsid w:val="00D0321E"/>
    <w:rsid w:val="00D1455A"/>
    <w:rsid w:val="00D3010F"/>
    <w:rsid w:val="00D3280C"/>
    <w:rsid w:val="00D3406A"/>
    <w:rsid w:val="00D469B2"/>
    <w:rsid w:val="00D56FDA"/>
    <w:rsid w:val="00D741EB"/>
    <w:rsid w:val="00D91271"/>
    <w:rsid w:val="00D92D04"/>
    <w:rsid w:val="00DA2CB5"/>
    <w:rsid w:val="00DA4BAC"/>
    <w:rsid w:val="00DC7DCD"/>
    <w:rsid w:val="00DE6D27"/>
    <w:rsid w:val="00DF217D"/>
    <w:rsid w:val="00DF26A7"/>
    <w:rsid w:val="00DF356E"/>
    <w:rsid w:val="00DF5CED"/>
    <w:rsid w:val="00E164B3"/>
    <w:rsid w:val="00E16910"/>
    <w:rsid w:val="00E62B13"/>
    <w:rsid w:val="00E65E54"/>
    <w:rsid w:val="00E80155"/>
    <w:rsid w:val="00E848C0"/>
    <w:rsid w:val="00E91B96"/>
    <w:rsid w:val="00E941A1"/>
    <w:rsid w:val="00E95CE3"/>
    <w:rsid w:val="00EA2825"/>
    <w:rsid w:val="00EB5088"/>
    <w:rsid w:val="00EC09A7"/>
    <w:rsid w:val="00ED1644"/>
    <w:rsid w:val="00EF44A0"/>
    <w:rsid w:val="00F050BD"/>
    <w:rsid w:val="00F05657"/>
    <w:rsid w:val="00F25578"/>
    <w:rsid w:val="00F258E5"/>
    <w:rsid w:val="00F300BC"/>
    <w:rsid w:val="00F3334E"/>
    <w:rsid w:val="00F33F5C"/>
    <w:rsid w:val="00F50EC4"/>
    <w:rsid w:val="00F57A6D"/>
    <w:rsid w:val="00F638CC"/>
    <w:rsid w:val="00F82194"/>
    <w:rsid w:val="00F8247A"/>
    <w:rsid w:val="00F9629A"/>
    <w:rsid w:val="00FA281E"/>
    <w:rsid w:val="00FA5883"/>
    <w:rsid w:val="00FA6055"/>
    <w:rsid w:val="00FB322F"/>
    <w:rsid w:val="00FB442F"/>
    <w:rsid w:val="00FC1929"/>
    <w:rsid w:val="00FC5B46"/>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CD2F60"/>
    <w:pPr>
      <w:spacing w:before="100" w:beforeAutospacing="1" w:after="100" w:afterAutospacing="1"/>
    </w:pPr>
  </w:style>
  <w:style w:type="paragraph" w:customStyle="1" w:styleId="PBACheading1">
    <w:name w:val="PBAC heading 1"/>
    <w:qFormat/>
    <w:rsid w:val="003050F6"/>
    <w:pPr>
      <w:ind w:left="720" w:hanging="720"/>
    </w:pPr>
    <w:rPr>
      <w:rFonts w:ascii="Arial" w:hAnsi="Arial" w:cs="Arial"/>
      <w:snapToGrid w:val="0"/>
      <w:sz w:val="22"/>
      <w:szCs w:val="22"/>
      <w:lang w:eastAsia="en-US"/>
    </w:rPr>
  </w:style>
  <w:style w:type="paragraph" w:customStyle="1" w:styleId="PBACHeading10">
    <w:name w:val="PBAC Heading 1"/>
    <w:qFormat/>
    <w:rsid w:val="003050F6"/>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CC1C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CD2F60"/>
    <w:pPr>
      <w:spacing w:before="100" w:beforeAutospacing="1" w:after="100" w:afterAutospacing="1"/>
    </w:pPr>
  </w:style>
  <w:style w:type="paragraph" w:customStyle="1" w:styleId="PBACheading1">
    <w:name w:val="PBAC heading 1"/>
    <w:qFormat/>
    <w:rsid w:val="003050F6"/>
    <w:pPr>
      <w:ind w:left="720" w:hanging="720"/>
    </w:pPr>
    <w:rPr>
      <w:rFonts w:ascii="Arial" w:hAnsi="Arial" w:cs="Arial"/>
      <w:snapToGrid w:val="0"/>
      <w:sz w:val="22"/>
      <w:szCs w:val="22"/>
      <w:lang w:eastAsia="en-US"/>
    </w:rPr>
  </w:style>
  <w:style w:type="paragraph" w:customStyle="1" w:styleId="PBACHeading10">
    <w:name w:val="PBAC Heading 1"/>
    <w:qFormat/>
    <w:rsid w:val="003050F6"/>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CC1C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7502E-FCEC-4CCB-AC6B-9887C5A3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7531</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2015-02-24T00:26:00Z</dcterms:created>
  <dcterms:modified xsi:type="dcterms:W3CDTF">2015-03-04T03:17:00Z</dcterms:modified>
</cp:coreProperties>
</file>