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79" w:rsidRPr="00C45E44" w:rsidRDefault="00C60E4C" w:rsidP="00C45E44">
      <w:pPr>
        <w:pStyle w:val="BodyText"/>
        <w:rPr>
          <w:b/>
          <w:sz w:val="28"/>
        </w:rPr>
      </w:pPr>
      <w:bookmarkStart w:id="0" w:name="_Toc398708598"/>
      <w:r w:rsidRPr="00C45E44">
        <w:rPr>
          <w:b/>
          <w:sz w:val="28"/>
        </w:rPr>
        <w:t>5.11</w:t>
      </w:r>
      <w:r w:rsidR="00B60939" w:rsidRPr="00C45E44">
        <w:rPr>
          <w:b/>
          <w:sz w:val="28"/>
        </w:rPr>
        <w:tab/>
      </w:r>
      <w:r w:rsidR="00F72EE0" w:rsidRPr="00C45E44">
        <w:rPr>
          <w:b/>
          <w:sz w:val="28"/>
        </w:rPr>
        <w:t>SUCROFERRIC OXYHYDROXIDE</w:t>
      </w:r>
    </w:p>
    <w:p w:rsidR="00433044" w:rsidRPr="008B6779" w:rsidRDefault="006C338A" w:rsidP="008B6779">
      <w:pPr>
        <w:pStyle w:val="BodyText"/>
        <w:ind w:left="709"/>
        <w:rPr>
          <w:b/>
          <w:sz w:val="28"/>
        </w:rPr>
      </w:pPr>
      <w:r w:rsidRPr="008B6779">
        <w:rPr>
          <w:b/>
          <w:sz w:val="28"/>
        </w:rPr>
        <w:t>Iron (as sucroferric oxyhydroxide) 500</w:t>
      </w:r>
      <w:r w:rsidR="00660286" w:rsidRPr="008B6779">
        <w:rPr>
          <w:b/>
          <w:sz w:val="28"/>
        </w:rPr>
        <w:t xml:space="preserve"> </w:t>
      </w:r>
      <w:r w:rsidRPr="008B6779">
        <w:rPr>
          <w:b/>
          <w:sz w:val="28"/>
        </w:rPr>
        <w:t>mg tablet: chewable</w:t>
      </w:r>
      <w:r w:rsidR="00B60939" w:rsidRPr="008B6779">
        <w:rPr>
          <w:b/>
          <w:sz w:val="28"/>
        </w:rPr>
        <w:t>,</w:t>
      </w:r>
      <w:r w:rsidR="00131771" w:rsidRPr="008B6779">
        <w:rPr>
          <w:b/>
          <w:sz w:val="28"/>
        </w:rPr>
        <w:t xml:space="preserve"> 90</w:t>
      </w:r>
      <w:r w:rsidR="00660286" w:rsidRPr="008B6779">
        <w:rPr>
          <w:b/>
          <w:sz w:val="28"/>
        </w:rPr>
        <w:t>;</w:t>
      </w:r>
      <w:r w:rsidR="00B60939" w:rsidRPr="008B6779">
        <w:rPr>
          <w:b/>
          <w:sz w:val="28"/>
        </w:rPr>
        <w:t xml:space="preserve"> </w:t>
      </w:r>
      <w:r w:rsidR="00F72EE0" w:rsidRPr="008B6779">
        <w:rPr>
          <w:b/>
          <w:sz w:val="28"/>
        </w:rPr>
        <w:t>Velphoro®</w:t>
      </w:r>
      <w:r w:rsidR="00660286" w:rsidRPr="008B6779">
        <w:rPr>
          <w:b/>
          <w:sz w:val="28"/>
        </w:rPr>
        <w:t>;</w:t>
      </w:r>
      <w:r w:rsidR="00F72EE0" w:rsidRPr="008B6779">
        <w:rPr>
          <w:b/>
          <w:sz w:val="28"/>
        </w:rPr>
        <w:t xml:space="preserve"> Vifor Pharma</w:t>
      </w:r>
      <w:r w:rsidR="00660286" w:rsidRPr="008B6779">
        <w:rPr>
          <w:b/>
          <w:sz w:val="28"/>
        </w:rPr>
        <w:t xml:space="preserve"> Pty Ltd</w:t>
      </w:r>
      <w:r w:rsidR="00B60939" w:rsidRPr="008B6779">
        <w:rPr>
          <w:b/>
          <w:sz w:val="28"/>
        </w:rPr>
        <w:t>.</w:t>
      </w:r>
      <w:bookmarkEnd w:id="0"/>
    </w:p>
    <w:p w:rsidR="00B65A95" w:rsidRDefault="00B65A95" w:rsidP="009D6229"/>
    <w:p w:rsidR="008B6779" w:rsidRDefault="008B6779" w:rsidP="009D6229"/>
    <w:p w:rsidR="00B50DB8" w:rsidRPr="00B73618" w:rsidRDefault="00B50DB8" w:rsidP="00BD6CF3">
      <w:pPr>
        <w:pStyle w:val="PBACHeading1"/>
      </w:pPr>
      <w:bookmarkStart w:id="1" w:name="_Toc398708600"/>
      <w:r w:rsidRPr="00B73618">
        <w:t>Purpose of Application</w:t>
      </w:r>
      <w:bookmarkEnd w:id="1"/>
    </w:p>
    <w:p w:rsidR="00B60939" w:rsidRPr="00B73618" w:rsidRDefault="00B60939" w:rsidP="00B60939">
      <w:pPr>
        <w:rPr>
          <w:szCs w:val="22"/>
        </w:rPr>
      </w:pPr>
    </w:p>
    <w:p w:rsidR="00F72EE0" w:rsidRPr="00B73618" w:rsidRDefault="00CA728D" w:rsidP="00D247D9">
      <w:pPr>
        <w:pStyle w:val="ListParagraph"/>
        <w:numPr>
          <w:ilvl w:val="1"/>
          <w:numId w:val="8"/>
        </w:numPr>
      </w:pPr>
      <w:r w:rsidRPr="00B73618">
        <w:t xml:space="preserve">This submission </w:t>
      </w:r>
      <w:r w:rsidR="00B31A33">
        <w:t>sought</w:t>
      </w:r>
      <w:r w:rsidRPr="00B73618">
        <w:t xml:space="preserve"> listing of sucroferri</w:t>
      </w:r>
      <w:bookmarkStart w:id="2" w:name="_GoBack"/>
      <w:bookmarkEnd w:id="2"/>
      <w:r w:rsidRPr="00B73618">
        <w:t>c oxyhydroxide (</w:t>
      </w:r>
      <w:r w:rsidR="00F72EE0" w:rsidRPr="00B73618">
        <w:t>Highly Specialised Drugs Program</w:t>
      </w:r>
      <w:r w:rsidR="005532D7">
        <w:t xml:space="preserve"> (for </w:t>
      </w:r>
      <w:r w:rsidR="00E6775E">
        <w:t>initiation and stabilisation</w:t>
      </w:r>
      <w:r w:rsidR="005532D7">
        <w:t>)</w:t>
      </w:r>
      <w:r w:rsidR="006F735E" w:rsidRPr="00B73618">
        <w:t>, General Schedule</w:t>
      </w:r>
      <w:r w:rsidR="005532D7">
        <w:t xml:space="preserve"> (for maintenance)</w:t>
      </w:r>
      <w:r w:rsidR="00F72EE0" w:rsidRPr="00B73618">
        <w:t xml:space="preserve">) </w:t>
      </w:r>
      <w:r w:rsidR="001E238E" w:rsidRPr="00B73618">
        <w:t xml:space="preserve">for treatment of </w:t>
      </w:r>
      <w:r w:rsidR="00F72EE0" w:rsidRPr="00B73618">
        <w:t>hyperphosphataemia in patient</w:t>
      </w:r>
      <w:r w:rsidR="006F735E" w:rsidRPr="00B73618">
        <w:t>s</w:t>
      </w:r>
      <w:r w:rsidR="00F72EE0" w:rsidRPr="00B73618">
        <w:t xml:space="preserve"> with chronic kidney disease on dialysis. </w:t>
      </w:r>
    </w:p>
    <w:p w:rsidR="004E43B2" w:rsidRDefault="004E43B2" w:rsidP="004B1CB4"/>
    <w:p w:rsidR="009847B1" w:rsidRPr="00B73618" w:rsidRDefault="009847B1" w:rsidP="004B1CB4"/>
    <w:p w:rsidR="00B50DB8" w:rsidRDefault="00B50DB8" w:rsidP="00BD6CF3">
      <w:pPr>
        <w:pStyle w:val="PBACHeading1"/>
      </w:pPr>
      <w:bookmarkStart w:id="3" w:name="_Toc398708601"/>
      <w:r w:rsidRPr="00B73618">
        <w:t>Requested listing</w:t>
      </w:r>
      <w:bookmarkEnd w:id="3"/>
    </w:p>
    <w:p w:rsidR="009847B1" w:rsidRPr="00B73618" w:rsidRDefault="009847B1" w:rsidP="009847B1">
      <w:pPr>
        <w:pStyle w:val="PBACHeading1"/>
        <w:numPr>
          <w:ilvl w:val="0"/>
          <w:numId w:val="0"/>
        </w:numPr>
        <w:ind w:left="720"/>
      </w:pPr>
    </w:p>
    <w:p w:rsidR="000A2F46" w:rsidRPr="00E6775E" w:rsidRDefault="000A2F46" w:rsidP="000A2F46">
      <w:pPr>
        <w:pStyle w:val="ListParagraph"/>
        <w:widowControl/>
        <w:numPr>
          <w:ilvl w:val="1"/>
          <w:numId w:val="8"/>
        </w:numPr>
        <w:rPr>
          <w:iCs/>
          <w:color w:val="000000"/>
          <w:szCs w:val="22"/>
        </w:rPr>
      </w:pPr>
      <w:r w:rsidRPr="00E6775E">
        <w:rPr>
          <w:iCs/>
          <w:color w:val="000000"/>
          <w:szCs w:val="22"/>
        </w:rPr>
        <w:t xml:space="preserve">Suggested additions proposed by the Secretariat to the requested listing are added in italics and suggested deletions are crossed out with strikethrough. </w:t>
      </w:r>
    </w:p>
    <w:p w:rsidR="00B60939" w:rsidRPr="00B73618" w:rsidRDefault="00B60939" w:rsidP="000A2F46">
      <w:pPr>
        <w:pStyle w:val="ListParagraph"/>
      </w:pPr>
    </w:p>
    <w:p w:rsidR="007061F6" w:rsidRPr="007061F6" w:rsidRDefault="007061F6" w:rsidP="009847B1">
      <w:pPr>
        <w:ind w:firstLine="720"/>
        <w:rPr>
          <w:rFonts w:ascii="Arial Narrow" w:hAnsi="Arial Narrow"/>
          <w:b/>
          <w:sz w:val="20"/>
        </w:rPr>
      </w:pPr>
      <w:r w:rsidRPr="007061F6">
        <w:rPr>
          <w:rFonts w:ascii="Arial Narrow" w:hAnsi="Arial Narrow"/>
          <w:b/>
          <w:sz w:val="20"/>
        </w:rPr>
        <w:t>S100 (HSD) - Public</w:t>
      </w:r>
    </w:p>
    <w:p w:rsidR="007061F6" w:rsidRPr="007061F6" w:rsidRDefault="007061F6" w:rsidP="007061F6">
      <w:pPr>
        <w:rPr>
          <w:rFonts w:ascii="Arial Narrow" w:hAnsi="Arial Narrow"/>
          <w:sz w:val="20"/>
        </w:rPr>
      </w:pPr>
    </w:p>
    <w:tbl>
      <w:tblPr>
        <w:tblW w:w="8363" w:type="dxa"/>
        <w:tblInd w:w="817" w:type="dxa"/>
        <w:tblLayout w:type="fixed"/>
        <w:tblLook w:val="0000" w:firstRow="0" w:lastRow="0" w:firstColumn="0" w:lastColumn="0" w:noHBand="0" w:noVBand="0"/>
      </w:tblPr>
      <w:tblGrid>
        <w:gridCol w:w="2126"/>
        <w:gridCol w:w="993"/>
        <w:gridCol w:w="708"/>
        <w:gridCol w:w="1418"/>
        <w:gridCol w:w="1417"/>
        <w:gridCol w:w="425"/>
        <w:gridCol w:w="1135"/>
        <w:gridCol w:w="141"/>
      </w:tblGrid>
      <w:tr w:rsidR="00652FFF" w:rsidRPr="00552722" w:rsidTr="00652FFF">
        <w:trPr>
          <w:gridAfter w:val="1"/>
          <w:wAfter w:w="141" w:type="dxa"/>
          <w:cantSplit/>
          <w:trHeight w:val="471"/>
        </w:trPr>
        <w:tc>
          <w:tcPr>
            <w:tcW w:w="3119" w:type="dxa"/>
            <w:gridSpan w:val="2"/>
            <w:tcBorders>
              <w:bottom w:val="single" w:sz="4" w:space="0" w:color="auto"/>
            </w:tcBorders>
          </w:tcPr>
          <w:p w:rsidR="00652FFF" w:rsidRPr="00B57F51" w:rsidRDefault="00652FFF" w:rsidP="00660286">
            <w:pPr>
              <w:keepNext/>
              <w:ind w:left="-108"/>
              <w:rPr>
                <w:rFonts w:ascii="Arial Narrow" w:hAnsi="Arial Narrow"/>
                <w:sz w:val="20"/>
              </w:rPr>
            </w:pPr>
            <w:r w:rsidRPr="00B57F51">
              <w:rPr>
                <w:rFonts w:ascii="Arial Narrow" w:hAnsi="Arial Narrow"/>
                <w:sz w:val="20"/>
              </w:rPr>
              <w:t>Name, Restriction,</w:t>
            </w:r>
          </w:p>
          <w:p w:rsidR="00652FFF" w:rsidRPr="00B57F51" w:rsidRDefault="00652FFF" w:rsidP="00660286">
            <w:pPr>
              <w:keepNext/>
              <w:ind w:left="-108"/>
              <w:rPr>
                <w:rFonts w:ascii="Arial Narrow" w:hAnsi="Arial Narrow"/>
                <w:sz w:val="20"/>
              </w:rPr>
            </w:pPr>
            <w:r w:rsidRPr="00B57F51">
              <w:rPr>
                <w:rFonts w:ascii="Arial Narrow" w:hAnsi="Arial Narrow"/>
                <w:sz w:val="20"/>
              </w:rPr>
              <w:t>Manner of administration and form</w:t>
            </w:r>
          </w:p>
        </w:tc>
        <w:tc>
          <w:tcPr>
            <w:tcW w:w="708" w:type="dxa"/>
            <w:tcBorders>
              <w:bottom w:val="single" w:sz="4" w:space="0" w:color="auto"/>
            </w:tcBorders>
          </w:tcPr>
          <w:p w:rsidR="00652FFF" w:rsidRPr="00B57F51" w:rsidRDefault="00652FFF" w:rsidP="009847B1">
            <w:pPr>
              <w:keepNext/>
              <w:ind w:left="-108"/>
              <w:jc w:val="center"/>
              <w:rPr>
                <w:rFonts w:ascii="Arial Narrow" w:hAnsi="Arial Narrow"/>
                <w:sz w:val="20"/>
              </w:rPr>
            </w:pPr>
            <w:r w:rsidRPr="00B57F51">
              <w:rPr>
                <w:rFonts w:ascii="Arial Narrow" w:hAnsi="Arial Narrow"/>
                <w:sz w:val="20"/>
              </w:rPr>
              <w:t>Max.</w:t>
            </w:r>
          </w:p>
          <w:p w:rsidR="00652FFF" w:rsidRPr="00B57F51" w:rsidRDefault="00652FFF" w:rsidP="009847B1">
            <w:pPr>
              <w:keepNext/>
              <w:ind w:left="-108"/>
              <w:jc w:val="center"/>
              <w:rPr>
                <w:rFonts w:ascii="Arial Narrow" w:hAnsi="Arial Narrow"/>
                <w:sz w:val="20"/>
              </w:rPr>
            </w:pPr>
            <w:r w:rsidRPr="00B57F51">
              <w:rPr>
                <w:rFonts w:ascii="Arial Narrow" w:hAnsi="Arial Narrow"/>
                <w:sz w:val="20"/>
              </w:rPr>
              <w:t>Qty</w:t>
            </w:r>
          </w:p>
        </w:tc>
        <w:tc>
          <w:tcPr>
            <w:tcW w:w="1418" w:type="dxa"/>
            <w:tcBorders>
              <w:bottom w:val="single" w:sz="4" w:space="0" w:color="auto"/>
            </w:tcBorders>
          </w:tcPr>
          <w:p w:rsidR="00652FFF" w:rsidRPr="00B57F51" w:rsidRDefault="00652FFF" w:rsidP="009847B1">
            <w:pPr>
              <w:keepNext/>
              <w:ind w:left="-108"/>
              <w:jc w:val="center"/>
              <w:rPr>
                <w:rFonts w:ascii="Arial Narrow" w:hAnsi="Arial Narrow"/>
                <w:sz w:val="20"/>
              </w:rPr>
            </w:pPr>
            <w:r w:rsidRPr="00B57F51">
              <w:rPr>
                <w:rFonts w:ascii="Arial Narrow" w:hAnsi="Arial Narrow"/>
                <w:sz w:val="20"/>
              </w:rPr>
              <w:t>№.of</w:t>
            </w:r>
          </w:p>
          <w:p w:rsidR="00652FFF" w:rsidRPr="00B57F51" w:rsidRDefault="00652FFF" w:rsidP="009847B1">
            <w:pPr>
              <w:keepNext/>
              <w:ind w:left="-108"/>
              <w:jc w:val="center"/>
              <w:rPr>
                <w:rFonts w:ascii="Arial Narrow" w:hAnsi="Arial Narrow"/>
                <w:sz w:val="20"/>
              </w:rPr>
            </w:pPr>
            <w:r w:rsidRPr="00B57F51">
              <w:rPr>
                <w:rFonts w:ascii="Arial Narrow" w:hAnsi="Arial Narrow"/>
                <w:sz w:val="20"/>
              </w:rPr>
              <w:t>Rpts</w:t>
            </w:r>
          </w:p>
        </w:tc>
        <w:tc>
          <w:tcPr>
            <w:tcW w:w="2977" w:type="dxa"/>
            <w:gridSpan w:val="3"/>
            <w:tcBorders>
              <w:bottom w:val="single" w:sz="4" w:space="0" w:color="auto"/>
            </w:tcBorders>
          </w:tcPr>
          <w:p w:rsidR="00652FFF" w:rsidRPr="00B57F51" w:rsidRDefault="00652FFF" w:rsidP="00660286">
            <w:pPr>
              <w:keepNext/>
              <w:rPr>
                <w:rFonts w:ascii="Arial Narrow" w:hAnsi="Arial Narrow"/>
                <w:sz w:val="20"/>
                <w:lang w:val="fr-FR"/>
              </w:rPr>
            </w:pPr>
            <w:r w:rsidRPr="00B57F51">
              <w:rPr>
                <w:rFonts w:ascii="Arial Narrow" w:hAnsi="Arial Narrow"/>
                <w:sz w:val="20"/>
              </w:rPr>
              <w:t>Proprietary Name and Manufacturer</w:t>
            </w:r>
          </w:p>
        </w:tc>
      </w:tr>
      <w:tr w:rsidR="00652FFF" w:rsidRPr="00552722" w:rsidTr="00652FFF">
        <w:trPr>
          <w:gridAfter w:val="1"/>
          <w:wAfter w:w="141" w:type="dxa"/>
          <w:cantSplit/>
          <w:trHeight w:val="577"/>
        </w:trPr>
        <w:tc>
          <w:tcPr>
            <w:tcW w:w="3119" w:type="dxa"/>
            <w:gridSpan w:val="2"/>
          </w:tcPr>
          <w:p w:rsidR="00652FFF" w:rsidRPr="00B57F51" w:rsidRDefault="00652FFF" w:rsidP="00660286">
            <w:pPr>
              <w:keepNext/>
              <w:ind w:left="-108"/>
              <w:rPr>
                <w:rFonts w:ascii="Arial Narrow" w:hAnsi="Arial Narrow"/>
                <w:sz w:val="20"/>
              </w:rPr>
            </w:pPr>
            <w:r w:rsidRPr="00B57F51">
              <w:rPr>
                <w:rFonts w:ascii="Arial Narrow" w:hAnsi="Arial Narrow"/>
                <w:sz w:val="20"/>
              </w:rPr>
              <w:t xml:space="preserve">SUCROFERRIC OXYHYDROXIDE </w:t>
            </w:r>
          </w:p>
          <w:p w:rsidR="00652FFF" w:rsidRDefault="00652FFF" w:rsidP="00660286">
            <w:pPr>
              <w:keepNext/>
              <w:ind w:left="-108"/>
              <w:rPr>
                <w:rFonts w:ascii="Arial Narrow" w:hAnsi="Arial Narrow"/>
                <w:sz w:val="20"/>
              </w:rPr>
            </w:pPr>
            <w:r w:rsidRPr="00B57F51">
              <w:rPr>
                <w:rFonts w:ascii="Arial Narrow" w:hAnsi="Arial Narrow"/>
                <w:sz w:val="20"/>
              </w:rPr>
              <w:t>Iron (as sucroferric oxyhydroxide) 500 mg tablet: chewable, 90</w:t>
            </w:r>
          </w:p>
          <w:p w:rsidR="00652FFF" w:rsidRDefault="00652FFF" w:rsidP="007061F6">
            <w:pPr>
              <w:keepNext/>
              <w:rPr>
                <w:rFonts w:ascii="Arial Narrow" w:hAnsi="Arial Narrow"/>
                <w:sz w:val="20"/>
              </w:rPr>
            </w:pPr>
          </w:p>
          <w:p w:rsidR="00652FFF" w:rsidRPr="00B57F51" w:rsidRDefault="00652FFF" w:rsidP="007061F6">
            <w:pPr>
              <w:rPr>
                <w:rFonts w:ascii="Arial Narrow" w:hAnsi="Arial Narrow"/>
                <w:sz w:val="20"/>
              </w:rPr>
            </w:pPr>
          </w:p>
        </w:tc>
        <w:tc>
          <w:tcPr>
            <w:tcW w:w="708" w:type="dxa"/>
          </w:tcPr>
          <w:p w:rsidR="00652FFF" w:rsidRPr="00B57F51" w:rsidRDefault="00652FFF" w:rsidP="009847B1">
            <w:pPr>
              <w:keepNext/>
              <w:ind w:left="-108"/>
              <w:jc w:val="center"/>
              <w:rPr>
                <w:rFonts w:ascii="Arial Narrow" w:hAnsi="Arial Narrow"/>
                <w:sz w:val="20"/>
              </w:rPr>
            </w:pPr>
          </w:p>
          <w:p w:rsidR="00652FFF" w:rsidRPr="00B57F51" w:rsidRDefault="00652FFF" w:rsidP="009847B1">
            <w:pPr>
              <w:keepNext/>
              <w:ind w:left="-108"/>
              <w:jc w:val="center"/>
              <w:rPr>
                <w:rFonts w:ascii="Arial Narrow" w:hAnsi="Arial Narrow"/>
                <w:sz w:val="20"/>
              </w:rPr>
            </w:pPr>
            <w:r w:rsidRPr="00B57F51">
              <w:rPr>
                <w:rFonts w:ascii="Arial Narrow" w:hAnsi="Arial Narrow"/>
                <w:sz w:val="20"/>
              </w:rPr>
              <w:t>2</w:t>
            </w:r>
          </w:p>
        </w:tc>
        <w:tc>
          <w:tcPr>
            <w:tcW w:w="1418" w:type="dxa"/>
          </w:tcPr>
          <w:p w:rsidR="00652FFF" w:rsidRPr="00B57F51" w:rsidRDefault="00652FFF" w:rsidP="009847B1">
            <w:pPr>
              <w:keepNext/>
              <w:ind w:left="-108"/>
              <w:jc w:val="center"/>
              <w:rPr>
                <w:rFonts w:ascii="Arial Narrow" w:hAnsi="Arial Narrow"/>
                <w:sz w:val="20"/>
              </w:rPr>
            </w:pPr>
          </w:p>
          <w:p w:rsidR="00652FFF" w:rsidRPr="00B57F51" w:rsidRDefault="00652FFF" w:rsidP="009847B1">
            <w:pPr>
              <w:keepNext/>
              <w:ind w:left="-108"/>
              <w:jc w:val="center"/>
              <w:rPr>
                <w:rFonts w:ascii="Arial Narrow" w:hAnsi="Arial Narrow"/>
                <w:sz w:val="20"/>
              </w:rPr>
            </w:pPr>
            <w:r w:rsidRPr="00B57F51">
              <w:rPr>
                <w:rFonts w:ascii="Arial Narrow" w:hAnsi="Arial Narrow"/>
                <w:sz w:val="20"/>
              </w:rPr>
              <w:t>5</w:t>
            </w:r>
          </w:p>
        </w:tc>
        <w:tc>
          <w:tcPr>
            <w:tcW w:w="1417" w:type="dxa"/>
          </w:tcPr>
          <w:p w:rsidR="00652FFF" w:rsidRPr="00B57F51" w:rsidRDefault="00652FFF" w:rsidP="00660286">
            <w:pPr>
              <w:keepNext/>
              <w:rPr>
                <w:rFonts w:ascii="Arial Narrow" w:hAnsi="Arial Narrow"/>
                <w:sz w:val="20"/>
              </w:rPr>
            </w:pPr>
          </w:p>
          <w:p w:rsidR="00652FFF" w:rsidRPr="00FC0565" w:rsidRDefault="00652FFF" w:rsidP="00660286">
            <w:pPr>
              <w:keepNext/>
              <w:rPr>
                <w:rFonts w:ascii="Arial Narrow" w:hAnsi="Arial Narrow"/>
                <w:sz w:val="20"/>
                <w:vertAlign w:val="superscript"/>
              </w:rPr>
            </w:pPr>
            <w:r w:rsidRPr="00B57F51">
              <w:rPr>
                <w:rFonts w:ascii="Arial Narrow" w:hAnsi="Arial Narrow"/>
                <w:sz w:val="20"/>
              </w:rPr>
              <w:t>Velphoro</w:t>
            </w:r>
            <w:r>
              <w:rPr>
                <w:rFonts w:ascii="Arial Narrow" w:hAnsi="Arial Narrow"/>
                <w:sz w:val="20"/>
                <w:vertAlign w:val="superscript"/>
              </w:rPr>
              <w:t>®</w:t>
            </w:r>
          </w:p>
        </w:tc>
        <w:tc>
          <w:tcPr>
            <w:tcW w:w="1560" w:type="dxa"/>
            <w:gridSpan w:val="2"/>
          </w:tcPr>
          <w:p w:rsidR="00652FFF" w:rsidRPr="00B57F51" w:rsidRDefault="00652FFF" w:rsidP="00660286">
            <w:pPr>
              <w:keepNext/>
              <w:rPr>
                <w:rFonts w:ascii="Arial Narrow" w:hAnsi="Arial Narrow"/>
                <w:sz w:val="20"/>
              </w:rPr>
            </w:pPr>
          </w:p>
          <w:p w:rsidR="00652FFF" w:rsidRPr="00B57F51" w:rsidRDefault="00652FFF" w:rsidP="00660286">
            <w:pPr>
              <w:keepNext/>
              <w:rPr>
                <w:rFonts w:ascii="Arial Narrow" w:hAnsi="Arial Narrow"/>
                <w:sz w:val="20"/>
              </w:rPr>
            </w:pPr>
            <w:r w:rsidRPr="00B57F51">
              <w:rPr>
                <w:rFonts w:ascii="Arial Narrow" w:hAnsi="Arial Narrow"/>
                <w:sz w:val="20"/>
              </w:rPr>
              <w:t>Vifor Pharma</w:t>
            </w:r>
          </w:p>
        </w:tc>
      </w:tr>
      <w:tr w:rsidR="007061F6" w:rsidRPr="00B57F51" w:rsidTr="00652FFF">
        <w:trPr>
          <w:cantSplit/>
          <w:trHeight w:val="471"/>
        </w:trPr>
        <w:tc>
          <w:tcPr>
            <w:tcW w:w="3119" w:type="dxa"/>
            <w:gridSpan w:val="2"/>
            <w:tcBorders>
              <w:bottom w:val="single" w:sz="4" w:space="0" w:color="auto"/>
            </w:tcBorders>
          </w:tcPr>
          <w:p w:rsidR="007061F6" w:rsidRPr="007061F6" w:rsidRDefault="007061F6" w:rsidP="007061F6">
            <w:pPr>
              <w:ind w:left="-108"/>
              <w:rPr>
                <w:rFonts w:ascii="Arial Narrow" w:hAnsi="Arial Narrow"/>
                <w:b/>
                <w:sz w:val="20"/>
              </w:rPr>
            </w:pPr>
            <w:r w:rsidRPr="007061F6">
              <w:rPr>
                <w:rFonts w:ascii="Arial Narrow" w:hAnsi="Arial Narrow"/>
                <w:b/>
                <w:sz w:val="20"/>
              </w:rPr>
              <w:t>S100 (HSD) - Private</w:t>
            </w:r>
          </w:p>
          <w:p w:rsidR="007061F6" w:rsidRPr="00B57F51" w:rsidRDefault="007061F6" w:rsidP="00660286">
            <w:pPr>
              <w:keepNext/>
              <w:ind w:left="-108"/>
              <w:rPr>
                <w:rFonts w:ascii="Arial Narrow" w:hAnsi="Arial Narrow"/>
                <w:sz w:val="20"/>
              </w:rPr>
            </w:pPr>
          </w:p>
        </w:tc>
        <w:tc>
          <w:tcPr>
            <w:tcW w:w="708" w:type="dxa"/>
            <w:tcBorders>
              <w:bottom w:val="single" w:sz="4" w:space="0" w:color="auto"/>
            </w:tcBorders>
          </w:tcPr>
          <w:p w:rsidR="007061F6" w:rsidRPr="00B57F51" w:rsidRDefault="007061F6" w:rsidP="009847B1">
            <w:pPr>
              <w:keepNext/>
              <w:ind w:left="-108"/>
              <w:jc w:val="center"/>
              <w:rPr>
                <w:rFonts w:ascii="Arial Narrow" w:hAnsi="Arial Narrow"/>
                <w:sz w:val="20"/>
              </w:rPr>
            </w:pPr>
          </w:p>
        </w:tc>
        <w:tc>
          <w:tcPr>
            <w:tcW w:w="1418" w:type="dxa"/>
            <w:tcBorders>
              <w:bottom w:val="single" w:sz="4" w:space="0" w:color="auto"/>
            </w:tcBorders>
          </w:tcPr>
          <w:p w:rsidR="007061F6" w:rsidRPr="00B57F51" w:rsidRDefault="007061F6" w:rsidP="009847B1">
            <w:pPr>
              <w:keepNext/>
              <w:ind w:left="-108"/>
              <w:jc w:val="center"/>
              <w:rPr>
                <w:rFonts w:ascii="Arial Narrow" w:hAnsi="Arial Narrow"/>
                <w:sz w:val="20"/>
              </w:rPr>
            </w:pPr>
          </w:p>
        </w:tc>
        <w:tc>
          <w:tcPr>
            <w:tcW w:w="1842" w:type="dxa"/>
            <w:gridSpan w:val="2"/>
            <w:tcBorders>
              <w:bottom w:val="single" w:sz="4" w:space="0" w:color="auto"/>
            </w:tcBorders>
          </w:tcPr>
          <w:p w:rsidR="007061F6" w:rsidRPr="00B57F51" w:rsidRDefault="007061F6" w:rsidP="009847B1">
            <w:pPr>
              <w:keepNext/>
              <w:ind w:left="-108"/>
              <w:jc w:val="center"/>
              <w:rPr>
                <w:rFonts w:ascii="Arial Narrow" w:hAnsi="Arial Narrow"/>
                <w:sz w:val="20"/>
              </w:rPr>
            </w:pPr>
          </w:p>
        </w:tc>
        <w:tc>
          <w:tcPr>
            <w:tcW w:w="1276" w:type="dxa"/>
            <w:gridSpan w:val="2"/>
            <w:tcBorders>
              <w:bottom w:val="single" w:sz="4" w:space="0" w:color="auto"/>
            </w:tcBorders>
          </w:tcPr>
          <w:p w:rsidR="007061F6" w:rsidRPr="00B57F51" w:rsidRDefault="007061F6" w:rsidP="00660286">
            <w:pPr>
              <w:keepNext/>
              <w:rPr>
                <w:rFonts w:ascii="Arial Narrow" w:hAnsi="Arial Narrow"/>
                <w:sz w:val="20"/>
              </w:rPr>
            </w:pPr>
          </w:p>
        </w:tc>
      </w:tr>
      <w:tr w:rsidR="00652FFF" w:rsidRPr="00B57F51" w:rsidTr="00652FFF">
        <w:trPr>
          <w:gridAfter w:val="1"/>
          <w:wAfter w:w="141" w:type="dxa"/>
          <w:cantSplit/>
          <w:trHeight w:val="471"/>
        </w:trPr>
        <w:tc>
          <w:tcPr>
            <w:tcW w:w="3119" w:type="dxa"/>
            <w:gridSpan w:val="2"/>
            <w:tcBorders>
              <w:bottom w:val="single" w:sz="4" w:space="0" w:color="auto"/>
            </w:tcBorders>
          </w:tcPr>
          <w:p w:rsidR="00652FFF" w:rsidRPr="00B57F51" w:rsidRDefault="00652FFF" w:rsidP="00660286">
            <w:pPr>
              <w:keepNext/>
              <w:ind w:left="-108"/>
              <w:rPr>
                <w:rFonts w:ascii="Arial Narrow" w:hAnsi="Arial Narrow"/>
                <w:sz w:val="20"/>
              </w:rPr>
            </w:pPr>
            <w:r w:rsidRPr="00B57F51">
              <w:rPr>
                <w:rFonts w:ascii="Arial Narrow" w:hAnsi="Arial Narrow"/>
                <w:sz w:val="20"/>
              </w:rPr>
              <w:t>Name, Restriction,</w:t>
            </w:r>
          </w:p>
          <w:p w:rsidR="00652FFF" w:rsidRPr="00B57F51" w:rsidRDefault="00652FFF" w:rsidP="00660286">
            <w:pPr>
              <w:keepNext/>
              <w:ind w:left="-108"/>
              <w:rPr>
                <w:rFonts w:ascii="Arial Narrow" w:hAnsi="Arial Narrow"/>
                <w:sz w:val="20"/>
              </w:rPr>
            </w:pPr>
            <w:r w:rsidRPr="00B57F51">
              <w:rPr>
                <w:rFonts w:ascii="Arial Narrow" w:hAnsi="Arial Narrow"/>
                <w:sz w:val="20"/>
              </w:rPr>
              <w:t>Manner of administration and form</w:t>
            </w:r>
          </w:p>
        </w:tc>
        <w:tc>
          <w:tcPr>
            <w:tcW w:w="708" w:type="dxa"/>
            <w:tcBorders>
              <w:bottom w:val="single" w:sz="4" w:space="0" w:color="auto"/>
            </w:tcBorders>
          </w:tcPr>
          <w:p w:rsidR="00652FFF" w:rsidRPr="00B57F51" w:rsidRDefault="00652FFF" w:rsidP="009847B1">
            <w:pPr>
              <w:keepNext/>
              <w:ind w:left="-108"/>
              <w:jc w:val="center"/>
              <w:rPr>
                <w:rFonts w:ascii="Arial Narrow" w:hAnsi="Arial Narrow"/>
                <w:sz w:val="20"/>
              </w:rPr>
            </w:pPr>
            <w:r w:rsidRPr="00B57F51">
              <w:rPr>
                <w:rFonts w:ascii="Arial Narrow" w:hAnsi="Arial Narrow"/>
                <w:sz w:val="20"/>
              </w:rPr>
              <w:t>Max.</w:t>
            </w:r>
          </w:p>
          <w:p w:rsidR="00652FFF" w:rsidRPr="00B57F51" w:rsidRDefault="00652FFF" w:rsidP="009847B1">
            <w:pPr>
              <w:keepNext/>
              <w:ind w:left="-108"/>
              <w:jc w:val="center"/>
              <w:rPr>
                <w:rFonts w:ascii="Arial Narrow" w:hAnsi="Arial Narrow"/>
                <w:sz w:val="20"/>
              </w:rPr>
            </w:pPr>
            <w:r w:rsidRPr="00B57F51">
              <w:rPr>
                <w:rFonts w:ascii="Arial Narrow" w:hAnsi="Arial Narrow"/>
                <w:sz w:val="20"/>
              </w:rPr>
              <w:t>Qty</w:t>
            </w:r>
          </w:p>
        </w:tc>
        <w:tc>
          <w:tcPr>
            <w:tcW w:w="1418" w:type="dxa"/>
            <w:tcBorders>
              <w:bottom w:val="single" w:sz="4" w:space="0" w:color="auto"/>
            </w:tcBorders>
          </w:tcPr>
          <w:p w:rsidR="00652FFF" w:rsidRPr="00B57F51" w:rsidRDefault="00652FFF" w:rsidP="009847B1">
            <w:pPr>
              <w:keepNext/>
              <w:ind w:left="-108"/>
              <w:jc w:val="center"/>
              <w:rPr>
                <w:rFonts w:ascii="Arial Narrow" w:hAnsi="Arial Narrow"/>
                <w:sz w:val="20"/>
              </w:rPr>
            </w:pPr>
            <w:r w:rsidRPr="00B57F51">
              <w:rPr>
                <w:rFonts w:ascii="Arial Narrow" w:hAnsi="Arial Narrow"/>
                <w:sz w:val="20"/>
              </w:rPr>
              <w:t>№.of</w:t>
            </w:r>
          </w:p>
          <w:p w:rsidR="00652FFF" w:rsidRPr="00B57F51" w:rsidRDefault="00652FFF" w:rsidP="009847B1">
            <w:pPr>
              <w:keepNext/>
              <w:ind w:left="-108"/>
              <w:jc w:val="center"/>
              <w:rPr>
                <w:rFonts w:ascii="Arial Narrow" w:hAnsi="Arial Narrow"/>
                <w:sz w:val="20"/>
              </w:rPr>
            </w:pPr>
            <w:r w:rsidRPr="00B57F51">
              <w:rPr>
                <w:rFonts w:ascii="Arial Narrow" w:hAnsi="Arial Narrow"/>
                <w:sz w:val="20"/>
              </w:rPr>
              <w:t>Rpts</w:t>
            </w:r>
          </w:p>
        </w:tc>
        <w:tc>
          <w:tcPr>
            <w:tcW w:w="2977" w:type="dxa"/>
            <w:gridSpan w:val="3"/>
            <w:tcBorders>
              <w:bottom w:val="single" w:sz="4" w:space="0" w:color="auto"/>
            </w:tcBorders>
          </w:tcPr>
          <w:p w:rsidR="00652FFF" w:rsidRPr="00B57F51" w:rsidRDefault="00652FFF" w:rsidP="00660286">
            <w:pPr>
              <w:keepNext/>
              <w:rPr>
                <w:rFonts w:ascii="Arial Narrow" w:hAnsi="Arial Narrow"/>
                <w:sz w:val="20"/>
                <w:lang w:val="fr-FR"/>
              </w:rPr>
            </w:pPr>
            <w:r w:rsidRPr="00B57F51">
              <w:rPr>
                <w:rFonts w:ascii="Arial Narrow" w:hAnsi="Arial Narrow"/>
                <w:sz w:val="20"/>
              </w:rPr>
              <w:t>Proprietary Name and Manufacturer</w:t>
            </w:r>
          </w:p>
        </w:tc>
      </w:tr>
      <w:tr w:rsidR="00652FFF" w:rsidRPr="00B57F51" w:rsidTr="00652FFF">
        <w:trPr>
          <w:gridAfter w:val="1"/>
          <w:wAfter w:w="141" w:type="dxa"/>
          <w:cantSplit/>
          <w:trHeight w:val="577"/>
        </w:trPr>
        <w:tc>
          <w:tcPr>
            <w:tcW w:w="3119" w:type="dxa"/>
            <w:gridSpan w:val="2"/>
          </w:tcPr>
          <w:p w:rsidR="00652FFF" w:rsidRPr="00B57F51" w:rsidRDefault="00652FFF" w:rsidP="00660286">
            <w:pPr>
              <w:keepNext/>
              <w:ind w:left="-108"/>
              <w:rPr>
                <w:rFonts w:ascii="Arial Narrow" w:hAnsi="Arial Narrow"/>
                <w:sz w:val="20"/>
              </w:rPr>
            </w:pPr>
            <w:r w:rsidRPr="00B57F51">
              <w:rPr>
                <w:rFonts w:ascii="Arial Narrow" w:hAnsi="Arial Narrow"/>
                <w:smallCaps/>
                <w:sz w:val="20"/>
              </w:rPr>
              <w:t>SUCROFERRIC OXYHYDROXIDE (PA21)</w:t>
            </w:r>
          </w:p>
          <w:p w:rsidR="00652FFF" w:rsidRDefault="00652FFF" w:rsidP="00660286">
            <w:pPr>
              <w:keepNext/>
              <w:ind w:left="-108"/>
              <w:rPr>
                <w:rFonts w:ascii="Arial Narrow" w:hAnsi="Arial Narrow"/>
                <w:sz w:val="20"/>
              </w:rPr>
            </w:pPr>
            <w:r w:rsidRPr="00B57F51">
              <w:rPr>
                <w:rFonts w:ascii="Arial Narrow" w:hAnsi="Arial Narrow"/>
                <w:sz w:val="20"/>
              </w:rPr>
              <w:t>Iron (as sucroferric oxyhydroxide) 500 mg tablet: chewable, 90</w:t>
            </w:r>
          </w:p>
          <w:p w:rsidR="00652FFF" w:rsidRPr="00B57F51" w:rsidRDefault="00652FFF" w:rsidP="00660286">
            <w:pPr>
              <w:keepNext/>
              <w:ind w:left="-108"/>
              <w:rPr>
                <w:rFonts w:ascii="Arial Narrow" w:hAnsi="Arial Narrow"/>
                <w:sz w:val="20"/>
              </w:rPr>
            </w:pPr>
          </w:p>
        </w:tc>
        <w:tc>
          <w:tcPr>
            <w:tcW w:w="708" w:type="dxa"/>
          </w:tcPr>
          <w:p w:rsidR="00652FFF" w:rsidRPr="00B57F51" w:rsidRDefault="00652FFF" w:rsidP="009847B1">
            <w:pPr>
              <w:keepNext/>
              <w:ind w:left="-108"/>
              <w:jc w:val="center"/>
              <w:rPr>
                <w:rFonts w:ascii="Arial Narrow" w:hAnsi="Arial Narrow"/>
                <w:sz w:val="20"/>
              </w:rPr>
            </w:pPr>
          </w:p>
          <w:p w:rsidR="00652FFF" w:rsidRPr="00B57F51" w:rsidRDefault="00652FFF" w:rsidP="009847B1">
            <w:pPr>
              <w:keepNext/>
              <w:ind w:left="-108"/>
              <w:jc w:val="center"/>
              <w:rPr>
                <w:rFonts w:ascii="Arial Narrow" w:hAnsi="Arial Narrow"/>
                <w:sz w:val="20"/>
              </w:rPr>
            </w:pPr>
            <w:r w:rsidRPr="00B57F51">
              <w:rPr>
                <w:rFonts w:ascii="Arial Narrow" w:hAnsi="Arial Narrow"/>
                <w:sz w:val="20"/>
              </w:rPr>
              <w:t>2</w:t>
            </w:r>
          </w:p>
        </w:tc>
        <w:tc>
          <w:tcPr>
            <w:tcW w:w="1418" w:type="dxa"/>
          </w:tcPr>
          <w:p w:rsidR="00652FFF" w:rsidRPr="00B57F51" w:rsidRDefault="00652FFF" w:rsidP="009847B1">
            <w:pPr>
              <w:keepNext/>
              <w:ind w:left="-108"/>
              <w:jc w:val="center"/>
              <w:rPr>
                <w:rFonts w:ascii="Arial Narrow" w:hAnsi="Arial Narrow"/>
                <w:sz w:val="20"/>
              </w:rPr>
            </w:pPr>
          </w:p>
          <w:p w:rsidR="00652FFF" w:rsidRPr="00B57F51" w:rsidRDefault="00652FFF" w:rsidP="009847B1">
            <w:pPr>
              <w:keepNext/>
              <w:ind w:left="-108"/>
              <w:jc w:val="center"/>
              <w:rPr>
                <w:rFonts w:ascii="Arial Narrow" w:hAnsi="Arial Narrow"/>
                <w:sz w:val="20"/>
              </w:rPr>
            </w:pPr>
            <w:r w:rsidRPr="00B57F51">
              <w:rPr>
                <w:rFonts w:ascii="Arial Narrow" w:hAnsi="Arial Narrow"/>
                <w:sz w:val="20"/>
              </w:rPr>
              <w:t>5</w:t>
            </w:r>
          </w:p>
        </w:tc>
        <w:tc>
          <w:tcPr>
            <w:tcW w:w="1417" w:type="dxa"/>
          </w:tcPr>
          <w:p w:rsidR="00652FFF" w:rsidRPr="00B57F51" w:rsidRDefault="00652FFF" w:rsidP="00660286">
            <w:pPr>
              <w:keepNext/>
              <w:rPr>
                <w:rFonts w:ascii="Arial Narrow" w:hAnsi="Arial Narrow"/>
                <w:sz w:val="20"/>
              </w:rPr>
            </w:pPr>
          </w:p>
          <w:p w:rsidR="00652FFF" w:rsidRPr="00FC0565" w:rsidRDefault="00652FFF" w:rsidP="00660286">
            <w:pPr>
              <w:keepNext/>
              <w:rPr>
                <w:rFonts w:ascii="Arial Narrow" w:hAnsi="Arial Narrow"/>
                <w:sz w:val="20"/>
                <w:vertAlign w:val="superscript"/>
              </w:rPr>
            </w:pPr>
            <w:r w:rsidRPr="00B57F51">
              <w:rPr>
                <w:rFonts w:ascii="Arial Narrow" w:hAnsi="Arial Narrow"/>
                <w:sz w:val="20"/>
              </w:rPr>
              <w:t>Velphoro</w:t>
            </w:r>
            <w:r>
              <w:rPr>
                <w:rFonts w:ascii="Arial Narrow" w:hAnsi="Arial Narrow"/>
                <w:sz w:val="20"/>
                <w:vertAlign w:val="superscript"/>
              </w:rPr>
              <w:t>®</w:t>
            </w:r>
          </w:p>
        </w:tc>
        <w:tc>
          <w:tcPr>
            <w:tcW w:w="1560" w:type="dxa"/>
            <w:gridSpan w:val="2"/>
          </w:tcPr>
          <w:p w:rsidR="00652FFF" w:rsidRPr="00B57F51" w:rsidRDefault="00652FFF" w:rsidP="00660286">
            <w:pPr>
              <w:keepNext/>
              <w:rPr>
                <w:rFonts w:ascii="Arial Narrow" w:hAnsi="Arial Narrow"/>
                <w:sz w:val="20"/>
              </w:rPr>
            </w:pPr>
          </w:p>
          <w:p w:rsidR="00652FFF" w:rsidRPr="00B57F51" w:rsidRDefault="00652FFF" w:rsidP="00660286">
            <w:pPr>
              <w:keepNext/>
              <w:rPr>
                <w:rFonts w:ascii="Arial Narrow" w:hAnsi="Arial Narrow"/>
                <w:sz w:val="20"/>
              </w:rPr>
            </w:pPr>
            <w:r w:rsidRPr="00B57F51">
              <w:rPr>
                <w:rFonts w:ascii="Arial Narrow" w:hAnsi="Arial Narrow"/>
                <w:sz w:val="20"/>
              </w:rPr>
              <w:t>Vifor Pharma</w:t>
            </w:r>
          </w:p>
        </w:tc>
      </w:tr>
      <w:tr w:rsidR="007061F6" w:rsidRPr="00260CE3" w:rsidTr="00652FFF">
        <w:trPr>
          <w:cantSplit/>
          <w:trHeight w:val="360"/>
        </w:trPr>
        <w:tc>
          <w:tcPr>
            <w:tcW w:w="2126" w:type="dxa"/>
            <w:tcBorders>
              <w:top w:val="single" w:sz="4" w:space="0" w:color="auto"/>
              <w:left w:val="single" w:sz="4" w:space="0" w:color="auto"/>
              <w:bottom w:val="single" w:sz="4" w:space="0" w:color="auto"/>
              <w:right w:val="single" w:sz="4" w:space="0" w:color="auto"/>
            </w:tcBorders>
          </w:tcPr>
          <w:p w:rsidR="007061F6" w:rsidRPr="00B57F51" w:rsidRDefault="007061F6" w:rsidP="00660286">
            <w:pPr>
              <w:rPr>
                <w:rFonts w:ascii="Arial Narrow" w:hAnsi="Arial Narrow"/>
                <w:b/>
                <w:sz w:val="20"/>
              </w:rPr>
            </w:pPr>
            <w:r w:rsidRPr="00B57F51">
              <w:rPr>
                <w:rFonts w:ascii="Arial Narrow" w:hAnsi="Arial Narrow"/>
                <w:b/>
                <w:sz w:val="20"/>
              </w:rPr>
              <w:t xml:space="preserve">Category / </w:t>
            </w:r>
          </w:p>
          <w:p w:rsidR="007061F6" w:rsidRPr="00B57F51" w:rsidRDefault="007061F6" w:rsidP="00660286">
            <w:pPr>
              <w:rPr>
                <w:rFonts w:ascii="Arial Narrow" w:hAnsi="Arial Narrow"/>
                <w:b/>
                <w:sz w:val="20"/>
              </w:rPr>
            </w:pPr>
            <w:r w:rsidRPr="00B57F51">
              <w:rPr>
                <w:rFonts w:ascii="Arial Narrow" w:hAnsi="Arial Narrow"/>
                <w:b/>
                <w:sz w:val="20"/>
              </w:rPr>
              <w:t>Program</w:t>
            </w:r>
          </w:p>
        </w:tc>
        <w:tc>
          <w:tcPr>
            <w:tcW w:w="6237" w:type="dxa"/>
            <w:gridSpan w:val="7"/>
            <w:tcBorders>
              <w:top w:val="single" w:sz="4" w:space="0" w:color="auto"/>
              <w:left w:val="single" w:sz="4" w:space="0" w:color="auto"/>
              <w:bottom w:val="single" w:sz="4" w:space="0" w:color="auto"/>
              <w:right w:val="single" w:sz="4" w:space="0" w:color="auto"/>
            </w:tcBorders>
          </w:tcPr>
          <w:p w:rsidR="007061F6" w:rsidRPr="00B57F51" w:rsidRDefault="007061F6" w:rsidP="009847B1">
            <w:pPr>
              <w:jc w:val="left"/>
              <w:rPr>
                <w:rFonts w:ascii="Arial Narrow" w:hAnsi="Arial Narrow"/>
                <w:sz w:val="20"/>
              </w:rPr>
            </w:pPr>
            <w:r w:rsidRPr="00B57F51">
              <w:rPr>
                <w:rFonts w:ascii="Arial Narrow" w:hAnsi="Arial Narrow"/>
                <w:sz w:val="20"/>
              </w:rPr>
              <w:t>Section 100 – Highly Specialised Drugs Program</w:t>
            </w:r>
          </w:p>
        </w:tc>
      </w:tr>
      <w:tr w:rsidR="007061F6" w:rsidRPr="00260CE3" w:rsidTr="00652FFF">
        <w:trPr>
          <w:cantSplit/>
          <w:trHeight w:val="360"/>
        </w:trPr>
        <w:tc>
          <w:tcPr>
            <w:tcW w:w="2126" w:type="dxa"/>
            <w:tcBorders>
              <w:top w:val="single" w:sz="4" w:space="0" w:color="auto"/>
              <w:left w:val="single" w:sz="4" w:space="0" w:color="auto"/>
              <w:bottom w:val="single" w:sz="4" w:space="0" w:color="auto"/>
              <w:right w:val="single" w:sz="4" w:space="0" w:color="auto"/>
            </w:tcBorders>
          </w:tcPr>
          <w:p w:rsidR="007061F6" w:rsidRPr="00B57F51" w:rsidRDefault="007061F6" w:rsidP="00660286">
            <w:pPr>
              <w:rPr>
                <w:rFonts w:ascii="Arial Narrow" w:hAnsi="Arial Narrow"/>
                <w:b/>
                <w:sz w:val="20"/>
              </w:rPr>
            </w:pPr>
            <w:r w:rsidRPr="00B57F51">
              <w:rPr>
                <w:rFonts w:ascii="Arial Narrow" w:hAnsi="Arial Narrow"/>
                <w:b/>
                <w:sz w:val="20"/>
              </w:rPr>
              <w:t>Prescriber type:</w:t>
            </w:r>
          </w:p>
        </w:tc>
        <w:tc>
          <w:tcPr>
            <w:tcW w:w="6237" w:type="dxa"/>
            <w:gridSpan w:val="7"/>
            <w:tcBorders>
              <w:top w:val="single" w:sz="4" w:space="0" w:color="auto"/>
              <w:left w:val="single" w:sz="4" w:space="0" w:color="auto"/>
              <w:bottom w:val="single" w:sz="4" w:space="0" w:color="auto"/>
              <w:right w:val="single" w:sz="4" w:space="0" w:color="auto"/>
            </w:tcBorders>
          </w:tcPr>
          <w:p w:rsidR="007061F6" w:rsidRPr="00B57F51" w:rsidRDefault="007061F6" w:rsidP="009847B1">
            <w:pPr>
              <w:jc w:val="left"/>
              <w:rPr>
                <w:rFonts w:ascii="Arial Narrow" w:hAnsi="Arial Narrow"/>
                <w:sz w:val="20"/>
              </w:rPr>
            </w:pPr>
            <w:r w:rsidRPr="00B57F51">
              <w:rPr>
                <w:rFonts w:ascii="Arial Narrow" w:hAnsi="Arial Narrow"/>
                <w:sz w:val="20"/>
              </w:rPr>
              <w:fldChar w:fldCharType="begin">
                <w:ffData>
                  <w:name w:val="Check1"/>
                  <w:enabled/>
                  <w:calcOnExit w:val="0"/>
                  <w:checkBox>
                    <w:sizeAuto/>
                    <w:default w:val="0"/>
                  </w:checkBox>
                </w:ffData>
              </w:fldChar>
            </w:r>
            <w:r w:rsidRPr="00B57F51">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B57F51">
              <w:rPr>
                <w:rFonts w:ascii="Arial Narrow" w:hAnsi="Arial Narrow"/>
                <w:sz w:val="20"/>
              </w:rPr>
              <w:fldChar w:fldCharType="end"/>
            </w:r>
            <w:r w:rsidRPr="00B57F51">
              <w:rPr>
                <w:rFonts w:ascii="Arial Narrow" w:hAnsi="Arial Narrow"/>
                <w:sz w:val="20"/>
              </w:rPr>
              <w:t xml:space="preserve">Dental  </w:t>
            </w:r>
            <w:r w:rsidRPr="00B57F51">
              <w:rPr>
                <w:rFonts w:ascii="Arial Narrow" w:hAnsi="Arial Narrow"/>
                <w:sz w:val="20"/>
              </w:rPr>
              <w:fldChar w:fldCharType="begin">
                <w:ffData>
                  <w:name w:val=""/>
                  <w:enabled/>
                  <w:calcOnExit w:val="0"/>
                  <w:checkBox>
                    <w:sizeAuto/>
                    <w:default w:val="1"/>
                  </w:checkBox>
                </w:ffData>
              </w:fldChar>
            </w:r>
            <w:r w:rsidRPr="00B57F51">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B57F51">
              <w:rPr>
                <w:rFonts w:ascii="Arial Narrow" w:hAnsi="Arial Narrow"/>
                <w:sz w:val="20"/>
              </w:rPr>
              <w:fldChar w:fldCharType="end"/>
            </w:r>
            <w:r w:rsidRPr="00B57F51">
              <w:rPr>
                <w:rFonts w:ascii="Arial Narrow" w:hAnsi="Arial Narrow"/>
                <w:sz w:val="20"/>
              </w:rPr>
              <w:t xml:space="preserve">Medical Practitioners  </w:t>
            </w:r>
            <w:r w:rsidRPr="00B57F51">
              <w:rPr>
                <w:rFonts w:ascii="Arial Narrow" w:hAnsi="Arial Narrow"/>
                <w:sz w:val="20"/>
              </w:rPr>
              <w:fldChar w:fldCharType="begin">
                <w:ffData>
                  <w:name w:val=""/>
                  <w:enabled/>
                  <w:calcOnExit w:val="0"/>
                  <w:checkBox>
                    <w:sizeAuto/>
                    <w:default w:val="0"/>
                  </w:checkBox>
                </w:ffData>
              </w:fldChar>
            </w:r>
            <w:r w:rsidRPr="00B57F51">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B57F51">
              <w:rPr>
                <w:rFonts w:ascii="Arial Narrow" w:hAnsi="Arial Narrow"/>
                <w:sz w:val="20"/>
              </w:rPr>
              <w:fldChar w:fldCharType="end"/>
            </w:r>
            <w:r w:rsidRPr="00B57F51">
              <w:rPr>
                <w:rFonts w:ascii="Arial Narrow" w:hAnsi="Arial Narrow"/>
                <w:sz w:val="20"/>
              </w:rPr>
              <w:t xml:space="preserve">Nurse practitioners  </w:t>
            </w:r>
            <w:r w:rsidRPr="00B57F51">
              <w:rPr>
                <w:rFonts w:ascii="Arial Narrow" w:hAnsi="Arial Narrow"/>
                <w:sz w:val="20"/>
              </w:rPr>
              <w:fldChar w:fldCharType="begin">
                <w:ffData>
                  <w:name w:val=""/>
                  <w:enabled/>
                  <w:calcOnExit w:val="0"/>
                  <w:checkBox>
                    <w:sizeAuto/>
                    <w:default w:val="0"/>
                  </w:checkBox>
                </w:ffData>
              </w:fldChar>
            </w:r>
            <w:r w:rsidRPr="00B57F51">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B57F51">
              <w:rPr>
                <w:rFonts w:ascii="Arial Narrow" w:hAnsi="Arial Narrow"/>
                <w:sz w:val="20"/>
              </w:rPr>
              <w:fldChar w:fldCharType="end"/>
            </w:r>
            <w:r w:rsidRPr="00B57F51">
              <w:rPr>
                <w:rFonts w:ascii="Arial Narrow" w:hAnsi="Arial Narrow"/>
                <w:sz w:val="20"/>
              </w:rPr>
              <w:t>Optometrists</w:t>
            </w:r>
          </w:p>
          <w:p w:rsidR="007061F6" w:rsidRPr="00B57F51" w:rsidRDefault="007061F6" w:rsidP="009847B1">
            <w:pPr>
              <w:jc w:val="left"/>
              <w:rPr>
                <w:rFonts w:ascii="Arial Narrow" w:hAnsi="Arial Narrow"/>
                <w:sz w:val="20"/>
              </w:rPr>
            </w:pPr>
            <w:r w:rsidRPr="00B57F51">
              <w:rPr>
                <w:rFonts w:ascii="Arial Narrow" w:hAnsi="Arial Narrow"/>
                <w:sz w:val="20"/>
              </w:rPr>
              <w:fldChar w:fldCharType="begin">
                <w:ffData>
                  <w:name w:val="Check5"/>
                  <w:enabled/>
                  <w:calcOnExit w:val="0"/>
                  <w:checkBox>
                    <w:sizeAuto/>
                    <w:default w:val="0"/>
                  </w:checkBox>
                </w:ffData>
              </w:fldChar>
            </w:r>
            <w:r w:rsidRPr="00B57F51">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B57F51">
              <w:rPr>
                <w:rFonts w:ascii="Arial Narrow" w:hAnsi="Arial Narrow"/>
                <w:sz w:val="20"/>
              </w:rPr>
              <w:fldChar w:fldCharType="end"/>
            </w:r>
            <w:r w:rsidRPr="00B57F51">
              <w:rPr>
                <w:rFonts w:ascii="Arial Narrow" w:hAnsi="Arial Narrow"/>
                <w:sz w:val="20"/>
              </w:rPr>
              <w:t>Midwives</w:t>
            </w:r>
          </w:p>
        </w:tc>
      </w:tr>
      <w:tr w:rsidR="007061F6" w:rsidRPr="00260CE3" w:rsidTr="00652FFF">
        <w:trPr>
          <w:cantSplit/>
          <w:trHeight w:val="360"/>
        </w:trPr>
        <w:tc>
          <w:tcPr>
            <w:tcW w:w="2126" w:type="dxa"/>
            <w:tcBorders>
              <w:top w:val="single" w:sz="4" w:space="0" w:color="auto"/>
              <w:left w:val="single" w:sz="4" w:space="0" w:color="auto"/>
              <w:bottom w:val="single" w:sz="4" w:space="0" w:color="auto"/>
              <w:right w:val="single" w:sz="4" w:space="0" w:color="auto"/>
            </w:tcBorders>
          </w:tcPr>
          <w:p w:rsidR="007061F6" w:rsidRPr="00B57F51" w:rsidRDefault="007061F6" w:rsidP="00660286">
            <w:pPr>
              <w:rPr>
                <w:rFonts w:ascii="Arial Narrow" w:hAnsi="Arial Narrow"/>
                <w:b/>
                <w:sz w:val="20"/>
              </w:rPr>
            </w:pPr>
            <w:r w:rsidRPr="00B57F51">
              <w:rPr>
                <w:rFonts w:ascii="Arial Narrow" w:hAnsi="Arial Narrow"/>
                <w:b/>
                <w:sz w:val="20"/>
              </w:rPr>
              <w:t>PBS Indication:</w:t>
            </w:r>
          </w:p>
        </w:tc>
        <w:tc>
          <w:tcPr>
            <w:tcW w:w="6237" w:type="dxa"/>
            <w:gridSpan w:val="7"/>
            <w:tcBorders>
              <w:top w:val="single" w:sz="4" w:space="0" w:color="auto"/>
              <w:left w:val="single" w:sz="4" w:space="0" w:color="auto"/>
              <w:bottom w:val="single" w:sz="4" w:space="0" w:color="auto"/>
              <w:right w:val="single" w:sz="4" w:space="0" w:color="auto"/>
            </w:tcBorders>
          </w:tcPr>
          <w:p w:rsidR="007061F6" w:rsidRPr="00B57F51" w:rsidRDefault="007061F6" w:rsidP="009847B1">
            <w:pPr>
              <w:jc w:val="left"/>
              <w:rPr>
                <w:rFonts w:ascii="Arial Narrow" w:hAnsi="Arial Narrow"/>
                <w:sz w:val="20"/>
              </w:rPr>
            </w:pPr>
            <w:r w:rsidRPr="00B57F51">
              <w:rPr>
                <w:rFonts w:ascii="Arial Narrow" w:hAnsi="Arial Narrow"/>
                <w:sz w:val="20"/>
              </w:rPr>
              <w:t>Hyperphosphataemia</w:t>
            </w:r>
          </w:p>
        </w:tc>
      </w:tr>
      <w:tr w:rsidR="007061F6" w:rsidRPr="00552722" w:rsidTr="00652FFF">
        <w:trPr>
          <w:cantSplit/>
          <w:trHeight w:val="360"/>
        </w:trPr>
        <w:tc>
          <w:tcPr>
            <w:tcW w:w="2126" w:type="dxa"/>
            <w:tcBorders>
              <w:top w:val="single" w:sz="4" w:space="0" w:color="auto"/>
              <w:left w:val="single" w:sz="4" w:space="0" w:color="auto"/>
              <w:bottom w:val="single" w:sz="4" w:space="0" w:color="auto"/>
              <w:right w:val="single" w:sz="4" w:space="0" w:color="auto"/>
            </w:tcBorders>
          </w:tcPr>
          <w:p w:rsidR="007061F6" w:rsidRPr="00B57F51" w:rsidRDefault="007061F6" w:rsidP="00660286">
            <w:pPr>
              <w:rPr>
                <w:rFonts w:ascii="Arial Narrow" w:hAnsi="Arial Narrow"/>
                <w:b/>
                <w:sz w:val="20"/>
              </w:rPr>
            </w:pPr>
            <w:r w:rsidRPr="00B57F51">
              <w:rPr>
                <w:rFonts w:ascii="Arial Narrow" w:hAnsi="Arial Narrow"/>
                <w:b/>
                <w:sz w:val="20"/>
              </w:rPr>
              <w:t>Restriction:</w:t>
            </w:r>
          </w:p>
        </w:tc>
        <w:tc>
          <w:tcPr>
            <w:tcW w:w="6237" w:type="dxa"/>
            <w:gridSpan w:val="7"/>
            <w:tcBorders>
              <w:top w:val="single" w:sz="4" w:space="0" w:color="auto"/>
              <w:left w:val="single" w:sz="4" w:space="0" w:color="auto"/>
              <w:bottom w:val="single" w:sz="4" w:space="0" w:color="auto"/>
              <w:right w:val="single" w:sz="4" w:space="0" w:color="auto"/>
            </w:tcBorders>
          </w:tcPr>
          <w:p w:rsidR="007061F6" w:rsidRPr="00B57F51" w:rsidRDefault="007061F6" w:rsidP="009847B1">
            <w:pPr>
              <w:jc w:val="left"/>
              <w:rPr>
                <w:rFonts w:ascii="Arial Narrow" w:hAnsi="Arial Narrow"/>
                <w:sz w:val="20"/>
              </w:rPr>
            </w:pPr>
            <w:r w:rsidRPr="00B57F51">
              <w:rPr>
                <w:rFonts w:ascii="Arial Narrow" w:hAnsi="Arial Narrow"/>
                <w:sz w:val="20"/>
              </w:rPr>
              <w:t>Authority required (STREAMLINED)</w:t>
            </w:r>
          </w:p>
        </w:tc>
      </w:tr>
      <w:tr w:rsidR="007061F6" w:rsidRPr="00552722" w:rsidTr="00652FFF">
        <w:trPr>
          <w:cantSplit/>
          <w:trHeight w:val="360"/>
        </w:trPr>
        <w:tc>
          <w:tcPr>
            <w:tcW w:w="2126" w:type="dxa"/>
            <w:tcBorders>
              <w:top w:val="single" w:sz="4" w:space="0" w:color="auto"/>
              <w:left w:val="single" w:sz="4" w:space="0" w:color="auto"/>
              <w:bottom w:val="single" w:sz="4" w:space="0" w:color="auto"/>
              <w:right w:val="single" w:sz="4" w:space="0" w:color="auto"/>
            </w:tcBorders>
          </w:tcPr>
          <w:p w:rsidR="007061F6" w:rsidRPr="00B57F51" w:rsidRDefault="007061F6" w:rsidP="00660286">
            <w:pPr>
              <w:rPr>
                <w:rFonts w:ascii="Arial Narrow" w:hAnsi="Arial Narrow"/>
                <w:b/>
                <w:sz w:val="20"/>
              </w:rPr>
            </w:pPr>
            <w:r w:rsidRPr="00B57F51">
              <w:rPr>
                <w:rFonts w:ascii="Arial Narrow" w:hAnsi="Arial Narrow"/>
                <w:b/>
                <w:sz w:val="20"/>
              </w:rPr>
              <w:t xml:space="preserve">Treatment Criteria </w:t>
            </w:r>
          </w:p>
        </w:tc>
        <w:tc>
          <w:tcPr>
            <w:tcW w:w="6237" w:type="dxa"/>
            <w:gridSpan w:val="7"/>
            <w:tcBorders>
              <w:top w:val="single" w:sz="4" w:space="0" w:color="auto"/>
              <w:left w:val="single" w:sz="4" w:space="0" w:color="auto"/>
              <w:bottom w:val="single" w:sz="4" w:space="0" w:color="auto"/>
              <w:right w:val="single" w:sz="4" w:space="0" w:color="auto"/>
            </w:tcBorders>
          </w:tcPr>
          <w:p w:rsidR="007061F6" w:rsidRPr="00B57F51" w:rsidRDefault="007061F6" w:rsidP="009847B1">
            <w:pPr>
              <w:jc w:val="left"/>
              <w:rPr>
                <w:rFonts w:ascii="Arial Narrow" w:hAnsi="Arial Narrow"/>
                <w:sz w:val="20"/>
              </w:rPr>
            </w:pPr>
            <w:r w:rsidRPr="00B57F51">
              <w:rPr>
                <w:rFonts w:ascii="Arial Narrow" w:hAnsi="Arial Narrow"/>
                <w:sz w:val="20"/>
              </w:rPr>
              <w:t>Patient must be undergoing dialysis for chronic kidney disease</w:t>
            </w:r>
          </w:p>
        </w:tc>
      </w:tr>
      <w:tr w:rsidR="007061F6" w:rsidRPr="00552722" w:rsidTr="00652FFF">
        <w:trPr>
          <w:cantSplit/>
          <w:trHeight w:val="360"/>
        </w:trPr>
        <w:tc>
          <w:tcPr>
            <w:tcW w:w="2126" w:type="dxa"/>
            <w:tcBorders>
              <w:top w:val="single" w:sz="4" w:space="0" w:color="auto"/>
              <w:left w:val="single" w:sz="4" w:space="0" w:color="auto"/>
              <w:bottom w:val="single" w:sz="4" w:space="0" w:color="auto"/>
              <w:right w:val="single" w:sz="4" w:space="0" w:color="auto"/>
            </w:tcBorders>
          </w:tcPr>
          <w:p w:rsidR="007061F6" w:rsidRPr="00B57F51" w:rsidRDefault="007061F6" w:rsidP="00660286">
            <w:pPr>
              <w:rPr>
                <w:rFonts w:ascii="Arial Narrow" w:hAnsi="Arial Narrow"/>
                <w:b/>
                <w:sz w:val="20"/>
              </w:rPr>
            </w:pPr>
            <w:r w:rsidRPr="00B57F51">
              <w:rPr>
                <w:rFonts w:ascii="Arial Narrow" w:hAnsi="Arial Narrow"/>
                <w:b/>
                <w:sz w:val="20"/>
              </w:rPr>
              <w:lastRenderedPageBreak/>
              <w:t xml:space="preserve">Clinical Criteria </w:t>
            </w:r>
          </w:p>
        </w:tc>
        <w:tc>
          <w:tcPr>
            <w:tcW w:w="6237" w:type="dxa"/>
            <w:gridSpan w:val="7"/>
            <w:tcBorders>
              <w:top w:val="single" w:sz="4" w:space="0" w:color="auto"/>
              <w:left w:val="single" w:sz="4" w:space="0" w:color="auto"/>
              <w:bottom w:val="single" w:sz="4" w:space="0" w:color="auto"/>
              <w:right w:val="single" w:sz="4" w:space="0" w:color="auto"/>
            </w:tcBorders>
          </w:tcPr>
          <w:p w:rsidR="007061F6" w:rsidRPr="00B57F51" w:rsidRDefault="007061F6" w:rsidP="009847B1">
            <w:pPr>
              <w:jc w:val="left"/>
              <w:rPr>
                <w:rFonts w:ascii="Arial Narrow" w:hAnsi="Arial Narrow"/>
                <w:sz w:val="20"/>
              </w:rPr>
            </w:pPr>
            <w:r w:rsidRPr="00B57F51">
              <w:rPr>
                <w:rFonts w:ascii="Arial Narrow" w:hAnsi="Arial Narrow"/>
                <w:sz w:val="20"/>
              </w:rPr>
              <w:t>The condition must not be adequately controlled by calcium</w:t>
            </w:r>
          </w:p>
          <w:p w:rsidR="007061F6" w:rsidRPr="00B57F51" w:rsidRDefault="007061F6" w:rsidP="009847B1">
            <w:pPr>
              <w:jc w:val="left"/>
              <w:rPr>
                <w:rFonts w:ascii="Arial Narrow" w:hAnsi="Arial Narrow"/>
                <w:sz w:val="20"/>
              </w:rPr>
            </w:pPr>
          </w:p>
          <w:p w:rsidR="007061F6" w:rsidRPr="00B57F51" w:rsidRDefault="007061F6" w:rsidP="009847B1">
            <w:pPr>
              <w:jc w:val="left"/>
              <w:rPr>
                <w:rFonts w:ascii="Arial Narrow" w:hAnsi="Arial Narrow"/>
                <w:sz w:val="20"/>
              </w:rPr>
            </w:pPr>
            <w:r w:rsidRPr="00B57F51">
              <w:rPr>
                <w:rFonts w:ascii="Arial Narrow" w:hAnsi="Arial Narrow"/>
                <w:sz w:val="20"/>
              </w:rPr>
              <w:t>AND</w:t>
            </w:r>
          </w:p>
          <w:p w:rsidR="007061F6" w:rsidRPr="00B57F51" w:rsidRDefault="007061F6" w:rsidP="009847B1">
            <w:pPr>
              <w:jc w:val="left"/>
              <w:rPr>
                <w:rFonts w:ascii="Arial Narrow" w:hAnsi="Arial Narrow"/>
                <w:sz w:val="20"/>
              </w:rPr>
            </w:pPr>
          </w:p>
          <w:p w:rsidR="007061F6" w:rsidRPr="00B57F51" w:rsidRDefault="007061F6" w:rsidP="009847B1">
            <w:pPr>
              <w:jc w:val="left"/>
              <w:rPr>
                <w:rFonts w:ascii="Arial Narrow" w:hAnsi="Arial Narrow"/>
                <w:sz w:val="20"/>
              </w:rPr>
            </w:pPr>
            <w:r w:rsidRPr="00B57F51">
              <w:rPr>
                <w:rFonts w:ascii="Arial Narrow" w:hAnsi="Arial Narrow"/>
                <w:sz w:val="20"/>
              </w:rPr>
              <w:t>The patient must have serum phosphate greater than1.6 mmol per L at the commencement of therapy</w:t>
            </w:r>
          </w:p>
          <w:p w:rsidR="007061F6" w:rsidRPr="00B57F51" w:rsidRDefault="007061F6" w:rsidP="009847B1">
            <w:pPr>
              <w:jc w:val="left"/>
              <w:rPr>
                <w:rFonts w:ascii="Arial Narrow" w:hAnsi="Arial Narrow"/>
                <w:sz w:val="20"/>
              </w:rPr>
            </w:pPr>
          </w:p>
          <w:p w:rsidR="007061F6" w:rsidRPr="00B57F51" w:rsidRDefault="007061F6" w:rsidP="009847B1">
            <w:pPr>
              <w:jc w:val="left"/>
              <w:rPr>
                <w:rFonts w:ascii="Arial Narrow" w:hAnsi="Arial Narrow"/>
                <w:sz w:val="20"/>
              </w:rPr>
            </w:pPr>
            <w:r w:rsidRPr="00B57F51">
              <w:rPr>
                <w:rFonts w:ascii="Arial Narrow" w:hAnsi="Arial Narrow"/>
                <w:sz w:val="20"/>
              </w:rPr>
              <w:t>OR</w:t>
            </w:r>
          </w:p>
          <w:p w:rsidR="007061F6" w:rsidRPr="00B57F51" w:rsidRDefault="007061F6" w:rsidP="009847B1">
            <w:pPr>
              <w:jc w:val="left"/>
              <w:rPr>
                <w:rFonts w:ascii="Arial Narrow" w:hAnsi="Arial Narrow"/>
                <w:sz w:val="20"/>
              </w:rPr>
            </w:pPr>
          </w:p>
          <w:p w:rsidR="007061F6" w:rsidRPr="00B57F51" w:rsidRDefault="007061F6" w:rsidP="009847B1">
            <w:pPr>
              <w:jc w:val="left"/>
              <w:rPr>
                <w:rFonts w:ascii="Arial Narrow" w:hAnsi="Arial Narrow"/>
                <w:sz w:val="20"/>
              </w:rPr>
            </w:pPr>
            <w:r w:rsidRPr="00B57F51">
              <w:rPr>
                <w:rFonts w:ascii="Arial Narrow" w:hAnsi="Arial Narrow"/>
                <w:sz w:val="20"/>
              </w:rPr>
              <w:t>The patient must have a serum calcium times phosphate product greater than 4.0 at the commencement of therapy</w:t>
            </w:r>
          </w:p>
          <w:p w:rsidR="007061F6" w:rsidRPr="00B57F51" w:rsidRDefault="007061F6" w:rsidP="009847B1">
            <w:pPr>
              <w:jc w:val="left"/>
              <w:rPr>
                <w:rFonts w:ascii="Arial Narrow" w:hAnsi="Arial Narrow"/>
                <w:sz w:val="20"/>
              </w:rPr>
            </w:pPr>
          </w:p>
          <w:p w:rsidR="007061F6" w:rsidRPr="00B57F51" w:rsidRDefault="007061F6" w:rsidP="009847B1">
            <w:pPr>
              <w:jc w:val="left"/>
              <w:rPr>
                <w:rFonts w:ascii="Arial Narrow" w:hAnsi="Arial Narrow"/>
                <w:sz w:val="20"/>
              </w:rPr>
            </w:pPr>
            <w:r w:rsidRPr="00B57F51">
              <w:rPr>
                <w:rFonts w:ascii="Arial Narrow" w:hAnsi="Arial Narrow"/>
                <w:sz w:val="20"/>
              </w:rPr>
              <w:t>AND</w:t>
            </w:r>
          </w:p>
          <w:p w:rsidR="007061F6" w:rsidRPr="00B57F51" w:rsidRDefault="007061F6" w:rsidP="009847B1">
            <w:pPr>
              <w:jc w:val="left"/>
              <w:rPr>
                <w:rFonts w:ascii="Arial Narrow" w:hAnsi="Arial Narrow"/>
                <w:sz w:val="20"/>
              </w:rPr>
            </w:pPr>
          </w:p>
          <w:p w:rsidR="007061F6" w:rsidRPr="006C263A" w:rsidRDefault="007061F6" w:rsidP="009847B1">
            <w:pPr>
              <w:jc w:val="left"/>
              <w:rPr>
                <w:rFonts w:ascii="Arial Narrow" w:hAnsi="Arial Narrow"/>
                <w:i/>
                <w:sz w:val="20"/>
              </w:rPr>
            </w:pPr>
            <w:r w:rsidRPr="006C263A">
              <w:rPr>
                <w:rFonts w:ascii="Arial Narrow" w:hAnsi="Arial Narrow"/>
                <w:i/>
                <w:sz w:val="20"/>
              </w:rPr>
              <w:t>The treatment must not be used in combination with other non-calcium phosphate binding agents.</w:t>
            </w:r>
          </w:p>
        </w:tc>
      </w:tr>
    </w:tbl>
    <w:p w:rsidR="007061F6" w:rsidRDefault="007061F6" w:rsidP="007061F6"/>
    <w:p w:rsidR="007061F6" w:rsidRPr="007061F6" w:rsidRDefault="007061F6" w:rsidP="009847B1">
      <w:pPr>
        <w:ind w:firstLine="720"/>
        <w:rPr>
          <w:rFonts w:ascii="Arial Narrow" w:hAnsi="Arial Narrow"/>
          <w:b/>
          <w:sz w:val="20"/>
        </w:rPr>
      </w:pPr>
      <w:r w:rsidRPr="007061F6">
        <w:rPr>
          <w:rFonts w:ascii="Arial Narrow" w:hAnsi="Arial Narrow"/>
          <w:b/>
          <w:sz w:val="20"/>
        </w:rPr>
        <w:t xml:space="preserve">General Schedule </w:t>
      </w:r>
      <w:r>
        <w:rPr>
          <w:rFonts w:ascii="Arial Narrow" w:hAnsi="Arial Narrow"/>
          <w:b/>
          <w:sz w:val="20"/>
        </w:rPr>
        <w:t>- maintenance</w:t>
      </w:r>
    </w:p>
    <w:p w:rsidR="007061F6" w:rsidRPr="00552722" w:rsidRDefault="007061F6" w:rsidP="007061F6">
      <w:pPr>
        <w:rPr>
          <w:szCs w:val="22"/>
        </w:rPr>
      </w:pPr>
    </w:p>
    <w:tbl>
      <w:tblPr>
        <w:tblW w:w="8363" w:type="dxa"/>
        <w:tblInd w:w="817" w:type="dxa"/>
        <w:tblLayout w:type="fixed"/>
        <w:tblLook w:val="0000" w:firstRow="0" w:lastRow="0" w:firstColumn="0" w:lastColumn="0" w:noHBand="0" w:noVBand="0"/>
      </w:tblPr>
      <w:tblGrid>
        <w:gridCol w:w="2126"/>
        <w:gridCol w:w="1134"/>
        <w:gridCol w:w="709"/>
        <w:gridCol w:w="709"/>
        <w:gridCol w:w="1843"/>
        <w:gridCol w:w="1842"/>
      </w:tblGrid>
      <w:tr w:rsidR="00652FFF" w:rsidRPr="00552722" w:rsidTr="00652FFF">
        <w:trPr>
          <w:cantSplit/>
          <w:trHeight w:val="471"/>
        </w:trPr>
        <w:tc>
          <w:tcPr>
            <w:tcW w:w="3260" w:type="dxa"/>
            <w:gridSpan w:val="2"/>
            <w:tcBorders>
              <w:bottom w:val="single" w:sz="4" w:space="0" w:color="auto"/>
            </w:tcBorders>
          </w:tcPr>
          <w:p w:rsidR="00652FFF" w:rsidRPr="00734FE8" w:rsidRDefault="00652FFF" w:rsidP="00660286">
            <w:pPr>
              <w:keepNext/>
              <w:ind w:left="-108"/>
              <w:rPr>
                <w:rFonts w:ascii="Arial Narrow" w:hAnsi="Arial Narrow"/>
                <w:sz w:val="20"/>
              </w:rPr>
            </w:pPr>
            <w:r w:rsidRPr="00734FE8">
              <w:rPr>
                <w:rFonts w:ascii="Arial Narrow" w:hAnsi="Arial Narrow"/>
                <w:sz w:val="20"/>
              </w:rPr>
              <w:t>Name, Restriction,</w:t>
            </w:r>
          </w:p>
          <w:p w:rsidR="00652FFF" w:rsidRPr="00734FE8" w:rsidRDefault="00652FFF" w:rsidP="00660286">
            <w:pPr>
              <w:keepNext/>
              <w:ind w:left="-108"/>
              <w:rPr>
                <w:rFonts w:ascii="Arial Narrow" w:hAnsi="Arial Narrow"/>
                <w:sz w:val="20"/>
              </w:rPr>
            </w:pPr>
            <w:r w:rsidRPr="00734FE8">
              <w:rPr>
                <w:rFonts w:ascii="Arial Narrow" w:hAnsi="Arial Narrow"/>
                <w:sz w:val="20"/>
              </w:rPr>
              <w:t>Manner of administration and form</w:t>
            </w:r>
          </w:p>
        </w:tc>
        <w:tc>
          <w:tcPr>
            <w:tcW w:w="709" w:type="dxa"/>
            <w:tcBorders>
              <w:bottom w:val="single" w:sz="4" w:space="0" w:color="auto"/>
            </w:tcBorders>
          </w:tcPr>
          <w:p w:rsidR="00652FFF" w:rsidRPr="00734FE8" w:rsidRDefault="00652FFF" w:rsidP="009847B1">
            <w:pPr>
              <w:keepNext/>
              <w:ind w:left="-108"/>
              <w:jc w:val="center"/>
              <w:rPr>
                <w:rFonts w:ascii="Arial Narrow" w:hAnsi="Arial Narrow"/>
                <w:sz w:val="20"/>
              </w:rPr>
            </w:pPr>
            <w:r w:rsidRPr="00734FE8">
              <w:rPr>
                <w:rFonts w:ascii="Arial Narrow" w:hAnsi="Arial Narrow"/>
                <w:sz w:val="20"/>
              </w:rPr>
              <w:t>Max.</w:t>
            </w:r>
          </w:p>
          <w:p w:rsidR="00652FFF" w:rsidRPr="00734FE8" w:rsidRDefault="00652FFF" w:rsidP="009847B1">
            <w:pPr>
              <w:keepNext/>
              <w:ind w:left="-108"/>
              <w:jc w:val="center"/>
              <w:rPr>
                <w:rFonts w:ascii="Arial Narrow" w:hAnsi="Arial Narrow"/>
                <w:sz w:val="20"/>
              </w:rPr>
            </w:pPr>
            <w:r w:rsidRPr="00734FE8">
              <w:rPr>
                <w:rFonts w:ascii="Arial Narrow" w:hAnsi="Arial Narrow"/>
                <w:sz w:val="20"/>
              </w:rPr>
              <w:t>Qty</w:t>
            </w:r>
          </w:p>
        </w:tc>
        <w:tc>
          <w:tcPr>
            <w:tcW w:w="709" w:type="dxa"/>
            <w:tcBorders>
              <w:bottom w:val="single" w:sz="4" w:space="0" w:color="auto"/>
            </w:tcBorders>
          </w:tcPr>
          <w:p w:rsidR="00652FFF" w:rsidRPr="00734FE8" w:rsidRDefault="00652FFF" w:rsidP="009847B1">
            <w:pPr>
              <w:keepNext/>
              <w:ind w:left="-108"/>
              <w:jc w:val="center"/>
              <w:rPr>
                <w:rFonts w:ascii="Arial Narrow" w:hAnsi="Arial Narrow"/>
                <w:sz w:val="20"/>
              </w:rPr>
            </w:pPr>
            <w:r w:rsidRPr="00734FE8">
              <w:rPr>
                <w:rFonts w:ascii="Arial Narrow" w:hAnsi="Arial Narrow"/>
                <w:sz w:val="20"/>
              </w:rPr>
              <w:t>№.of</w:t>
            </w:r>
          </w:p>
          <w:p w:rsidR="00652FFF" w:rsidRPr="00734FE8" w:rsidRDefault="00652FFF" w:rsidP="009847B1">
            <w:pPr>
              <w:keepNext/>
              <w:ind w:left="-108"/>
              <w:jc w:val="center"/>
              <w:rPr>
                <w:rFonts w:ascii="Arial Narrow" w:hAnsi="Arial Narrow"/>
                <w:sz w:val="20"/>
              </w:rPr>
            </w:pPr>
            <w:r w:rsidRPr="00734FE8">
              <w:rPr>
                <w:rFonts w:ascii="Arial Narrow" w:hAnsi="Arial Narrow"/>
                <w:sz w:val="20"/>
              </w:rPr>
              <w:t>Rpts</w:t>
            </w:r>
          </w:p>
        </w:tc>
        <w:tc>
          <w:tcPr>
            <w:tcW w:w="3685" w:type="dxa"/>
            <w:gridSpan w:val="2"/>
            <w:tcBorders>
              <w:bottom w:val="single" w:sz="4" w:space="0" w:color="auto"/>
            </w:tcBorders>
          </w:tcPr>
          <w:p w:rsidR="00652FFF" w:rsidRPr="00734FE8" w:rsidRDefault="00652FFF" w:rsidP="00660286">
            <w:pPr>
              <w:keepNext/>
              <w:rPr>
                <w:rFonts w:ascii="Arial Narrow" w:hAnsi="Arial Narrow"/>
                <w:sz w:val="20"/>
                <w:lang w:val="fr-FR"/>
              </w:rPr>
            </w:pPr>
            <w:r w:rsidRPr="00734FE8">
              <w:rPr>
                <w:rFonts w:ascii="Arial Narrow" w:hAnsi="Arial Narrow"/>
                <w:sz w:val="20"/>
              </w:rPr>
              <w:t>Proprietary Name and Manufacturer</w:t>
            </w:r>
          </w:p>
        </w:tc>
      </w:tr>
      <w:tr w:rsidR="00652FFF" w:rsidRPr="00552722" w:rsidTr="00652FFF">
        <w:trPr>
          <w:cantSplit/>
          <w:trHeight w:val="577"/>
        </w:trPr>
        <w:tc>
          <w:tcPr>
            <w:tcW w:w="3260" w:type="dxa"/>
            <w:gridSpan w:val="2"/>
          </w:tcPr>
          <w:p w:rsidR="00652FFF" w:rsidRPr="00734FE8" w:rsidRDefault="00652FFF" w:rsidP="00660286">
            <w:pPr>
              <w:keepNext/>
              <w:ind w:left="-108"/>
              <w:rPr>
                <w:rFonts w:ascii="Arial Narrow" w:hAnsi="Arial Narrow"/>
                <w:sz w:val="20"/>
              </w:rPr>
            </w:pPr>
            <w:r w:rsidRPr="00734FE8">
              <w:rPr>
                <w:rFonts w:ascii="Arial Narrow" w:hAnsi="Arial Narrow"/>
                <w:smallCaps/>
                <w:sz w:val="20"/>
              </w:rPr>
              <w:t>SUCROFERRIC OXYHYDROXIDE (PA21)</w:t>
            </w:r>
          </w:p>
          <w:p w:rsidR="00652FFF" w:rsidRPr="00734FE8" w:rsidRDefault="00652FFF" w:rsidP="00660286">
            <w:pPr>
              <w:keepNext/>
              <w:ind w:left="-108"/>
              <w:rPr>
                <w:rFonts w:ascii="Arial Narrow" w:hAnsi="Arial Narrow"/>
                <w:sz w:val="20"/>
              </w:rPr>
            </w:pPr>
            <w:r w:rsidRPr="00734FE8">
              <w:rPr>
                <w:rFonts w:ascii="Arial Narrow" w:hAnsi="Arial Narrow"/>
                <w:sz w:val="20"/>
              </w:rPr>
              <w:t>Iron (as sucroferric oxyhydroxide) 500 mg tablet: chewable, 90</w:t>
            </w:r>
          </w:p>
        </w:tc>
        <w:tc>
          <w:tcPr>
            <w:tcW w:w="709" w:type="dxa"/>
          </w:tcPr>
          <w:p w:rsidR="00652FFF" w:rsidRPr="00734FE8" w:rsidRDefault="00652FFF" w:rsidP="009847B1">
            <w:pPr>
              <w:keepNext/>
              <w:ind w:left="-108"/>
              <w:jc w:val="center"/>
              <w:rPr>
                <w:rFonts w:ascii="Arial Narrow" w:hAnsi="Arial Narrow"/>
                <w:sz w:val="20"/>
              </w:rPr>
            </w:pPr>
          </w:p>
          <w:p w:rsidR="00652FFF" w:rsidRPr="00734FE8" w:rsidRDefault="00652FFF" w:rsidP="009847B1">
            <w:pPr>
              <w:keepNext/>
              <w:ind w:left="-108"/>
              <w:jc w:val="center"/>
              <w:rPr>
                <w:rFonts w:ascii="Arial Narrow" w:hAnsi="Arial Narrow"/>
                <w:sz w:val="20"/>
              </w:rPr>
            </w:pPr>
            <w:r w:rsidRPr="00734FE8">
              <w:rPr>
                <w:rFonts w:ascii="Arial Narrow" w:hAnsi="Arial Narrow"/>
                <w:sz w:val="20"/>
              </w:rPr>
              <w:t>1</w:t>
            </w:r>
          </w:p>
        </w:tc>
        <w:tc>
          <w:tcPr>
            <w:tcW w:w="709" w:type="dxa"/>
          </w:tcPr>
          <w:p w:rsidR="00652FFF" w:rsidRPr="00734FE8" w:rsidRDefault="00652FFF" w:rsidP="009847B1">
            <w:pPr>
              <w:keepNext/>
              <w:ind w:left="-108"/>
              <w:jc w:val="center"/>
              <w:rPr>
                <w:rFonts w:ascii="Arial Narrow" w:hAnsi="Arial Narrow"/>
                <w:sz w:val="20"/>
              </w:rPr>
            </w:pPr>
          </w:p>
          <w:p w:rsidR="00652FFF" w:rsidRPr="00734FE8" w:rsidRDefault="00652FFF" w:rsidP="009847B1">
            <w:pPr>
              <w:keepNext/>
              <w:ind w:left="-108"/>
              <w:jc w:val="center"/>
              <w:rPr>
                <w:rFonts w:ascii="Arial Narrow" w:hAnsi="Arial Narrow"/>
                <w:sz w:val="20"/>
              </w:rPr>
            </w:pPr>
            <w:r w:rsidRPr="00734FE8">
              <w:rPr>
                <w:rFonts w:ascii="Arial Narrow" w:hAnsi="Arial Narrow"/>
                <w:sz w:val="20"/>
              </w:rPr>
              <w:t>5</w:t>
            </w:r>
          </w:p>
        </w:tc>
        <w:tc>
          <w:tcPr>
            <w:tcW w:w="1843" w:type="dxa"/>
          </w:tcPr>
          <w:p w:rsidR="00652FFF" w:rsidRPr="00734FE8" w:rsidRDefault="00652FFF" w:rsidP="00660286">
            <w:pPr>
              <w:keepNext/>
              <w:rPr>
                <w:rFonts w:ascii="Arial Narrow" w:hAnsi="Arial Narrow"/>
                <w:sz w:val="20"/>
              </w:rPr>
            </w:pPr>
          </w:p>
          <w:p w:rsidR="00652FFF" w:rsidRPr="00FC0565" w:rsidRDefault="00652FFF" w:rsidP="00660286">
            <w:pPr>
              <w:keepNext/>
              <w:rPr>
                <w:rFonts w:ascii="Arial Narrow" w:hAnsi="Arial Narrow"/>
                <w:sz w:val="20"/>
                <w:vertAlign w:val="superscript"/>
              </w:rPr>
            </w:pPr>
            <w:r w:rsidRPr="00734FE8">
              <w:rPr>
                <w:rFonts w:ascii="Arial Narrow" w:hAnsi="Arial Narrow"/>
                <w:sz w:val="20"/>
              </w:rPr>
              <w:t>Velphoro</w:t>
            </w:r>
            <w:r>
              <w:rPr>
                <w:rFonts w:ascii="Arial Narrow" w:hAnsi="Arial Narrow"/>
                <w:sz w:val="20"/>
                <w:vertAlign w:val="superscript"/>
              </w:rPr>
              <w:t>®</w:t>
            </w:r>
          </w:p>
        </w:tc>
        <w:tc>
          <w:tcPr>
            <w:tcW w:w="1842" w:type="dxa"/>
          </w:tcPr>
          <w:p w:rsidR="00652FFF" w:rsidRPr="00734FE8" w:rsidRDefault="00652FFF" w:rsidP="00660286">
            <w:pPr>
              <w:keepNext/>
              <w:rPr>
                <w:rFonts w:ascii="Arial Narrow" w:hAnsi="Arial Narrow"/>
                <w:sz w:val="20"/>
              </w:rPr>
            </w:pPr>
          </w:p>
          <w:p w:rsidR="00652FFF" w:rsidRPr="00734FE8" w:rsidRDefault="00652FFF" w:rsidP="00660286">
            <w:pPr>
              <w:keepNext/>
              <w:rPr>
                <w:rFonts w:ascii="Arial Narrow" w:hAnsi="Arial Narrow"/>
                <w:sz w:val="20"/>
              </w:rPr>
            </w:pPr>
            <w:r w:rsidRPr="00734FE8">
              <w:rPr>
                <w:rFonts w:ascii="Arial Narrow" w:hAnsi="Arial Narrow"/>
                <w:sz w:val="20"/>
              </w:rPr>
              <w:t>Vifor Pharma</w:t>
            </w:r>
          </w:p>
        </w:tc>
      </w:tr>
      <w:tr w:rsidR="007061F6" w:rsidRPr="00552722" w:rsidTr="00577ECD">
        <w:trPr>
          <w:cantSplit/>
          <w:trHeight w:val="360"/>
        </w:trPr>
        <w:tc>
          <w:tcPr>
            <w:tcW w:w="8363" w:type="dxa"/>
            <w:gridSpan w:val="6"/>
            <w:tcBorders>
              <w:bottom w:val="single" w:sz="4" w:space="0" w:color="auto"/>
            </w:tcBorders>
          </w:tcPr>
          <w:p w:rsidR="007061F6" w:rsidRPr="00552722" w:rsidRDefault="007061F6" w:rsidP="00660286">
            <w:pPr>
              <w:rPr>
                <w:szCs w:val="22"/>
              </w:rPr>
            </w:pPr>
          </w:p>
        </w:tc>
      </w:tr>
      <w:tr w:rsidR="007061F6" w:rsidRPr="00260CE3" w:rsidTr="00577ECD">
        <w:trPr>
          <w:cantSplit/>
          <w:trHeight w:val="360"/>
        </w:trPr>
        <w:tc>
          <w:tcPr>
            <w:tcW w:w="2126" w:type="dxa"/>
            <w:tcBorders>
              <w:top w:val="single" w:sz="4" w:space="0" w:color="auto"/>
              <w:left w:val="single" w:sz="4" w:space="0" w:color="auto"/>
              <w:bottom w:val="single" w:sz="4" w:space="0" w:color="auto"/>
              <w:right w:val="single" w:sz="4" w:space="0" w:color="auto"/>
            </w:tcBorders>
          </w:tcPr>
          <w:p w:rsidR="007061F6" w:rsidRPr="00260CE3" w:rsidRDefault="007061F6" w:rsidP="00660286">
            <w:pPr>
              <w:rPr>
                <w:rFonts w:ascii="Arial Narrow" w:hAnsi="Arial Narrow"/>
                <w:b/>
                <w:sz w:val="20"/>
              </w:rPr>
            </w:pPr>
            <w:r w:rsidRPr="00260CE3">
              <w:rPr>
                <w:rFonts w:ascii="Arial Narrow" w:hAnsi="Arial Narrow"/>
                <w:b/>
                <w:sz w:val="20"/>
              </w:rPr>
              <w:t xml:space="preserve">Category / </w:t>
            </w:r>
          </w:p>
          <w:p w:rsidR="007061F6" w:rsidRPr="00260CE3" w:rsidRDefault="007061F6" w:rsidP="00660286">
            <w:pPr>
              <w:rPr>
                <w:rFonts w:ascii="Arial Narrow" w:hAnsi="Arial Narrow"/>
                <w:b/>
                <w:sz w:val="20"/>
              </w:rPr>
            </w:pPr>
            <w:r w:rsidRPr="00260CE3">
              <w:rPr>
                <w:rFonts w:ascii="Arial Narrow" w:hAnsi="Arial Narrow"/>
                <w:b/>
                <w:sz w:val="20"/>
              </w:rPr>
              <w:t>Program</w:t>
            </w:r>
          </w:p>
        </w:tc>
        <w:tc>
          <w:tcPr>
            <w:tcW w:w="6237" w:type="dxa"/>
            <w:gridSpan w:val="5"/>
            <w:tcBorders>
              <w:top w:val="single" w:sz="4" w:space="0" w:color="auto"/>
              <w:left w:val="single" w:sz="4" w:space="0" w:color="auto"/>
              <w:bottom w:val="single" w:sz="4" w:space="0" w:color="auto"/>
              <w:right w:val="single" w:sz="4" w:space="0" w:color="auto"/>
            </w:tcBorders>
          </w:tcPr>
          <w:p w:rsidR="007061F6" w:rsidRPr="00260CE3" w:rsidRDefault="007061F6" w:rsidP="00660286">
            <w:pPr>
              <w:rPr>
                <w:rFonts w:ascii="Arial Narrow" w:hAnsi="Arial Narrow"/>
                <w:sz w:val="20"/>
              </w:rPr>
            </w:pPr>
            <w:r>
              <w:rPr>
                <w:rFonts w:ascii="Arial Narrow" w:hAnsi="Arial Narrow"/>
                <w:sz w:val="20"/>
              </w:rPr>
              <w:t xml:space="preserve">GENERAL – General Schedule (Code GE) </w:t>
            </w:r>
          </w:p>
        </w:tc>
      </w:tr>
      <w:tr w:rsidR="007061F6" w:rsidRPr="00260CE3" w:rsidTr="00577ECD">
        <w:trPr>
          <w:cantSplit/>
          <w:trHeight w:val="360"/>
        </w:trPr>
        <w:tc>
          <w:tcPr>
            <w:tcW w:w="2126" w:type="dxa"/>
            <w:tcBorders>
              <w:top w:val="single" w:sz="4" w:space="0" w:color="auto"/>
              <w:left w:val="single" w:sz="4" w:space="0" w:color="auto"/>
              <w:bottom w:val="single" w:sz="4" w:space="0" w:color="auto"/>
              <w:right w:val="single" w:sz="4" w:space="0" w:color="auto"/>
            </w:tcBorders>
          </w:tcPr>
          <w:p w:rsidR="007061F6" w:rsidRPr="00260CE3" w:rsidRDefault="007061F6" w:rsidP="00660286">
            <w:pPr>
              <w:rPr>
                <w:rFonts w:ascii="Arial Narrow" w:hAnsi="Arial Narrow"/>
                <w:b/>
                <w:sz w:val="20"/>
              </w:rPr>
            </w:pPr>
            <w:r w:rsidRPr="00260CE3">
              <w:rPr>
                <w:rFonts w:ascii="Arial Narrow" w:hAnsi="Arial Narrow"/>
                <w:b/>
                <w:sz w:val="20"/>
              </w:rPr>
              <w:t>Prescriber type:</w:t>
            </w:r>
          </w:p>
        </w:tc>
        <w:tc>
          <w:tcPr>
            <w:tcW w:w="6237" w:type="dxa"/>
            <w:gridSpan w:val="5"/>
            <w:tcBorders>
              <w:top w:val="single" w:sz="4" w:space="0" w:color="auto"/>
              <w:left w:val="single" w:sz="4" w:space="0" w:color="auto"/>
              <w:bottom w:val="single" w:sz="4" w:space="0" w:color="auto"/>
              <w:right w:val="single" w:sz="4" w:space="0" w:color="auto"/>
            </w:tcBorders>
          </w:tcPr>
          <w:p w:rsidR="007061F6" w:rsidRPr="00260CE3" w:rsidRDefault="007061F6" w:rsidP="00660286">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bookmarkStart w:id="4" w:name="Check3"/>
            <w:r>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Pr>
                <w:rFonts w:ascii="Arial Narrow" w:hAnsi="Arial Narrow"/>
                <w:sz w:val="20"/>
              </w:rPr>
              <w:fldChar w:fldCharType="end"/>
            </w:r>
            <w:bookmarkEnd w:id="4"/>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7061F6" w:rsidRPr="00260CE3" w:rsidRDefault="007061F6" w:rsidP="00660286">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7061F6" w:rsidRPr="00260CE3" w:rsidTr="00577ECD">
        <w:trPr>
          <w:cantSplit/>
          <w:trHeight w:val="360"/>
        </w:trPr>
        <w:tc>
          <w:tcPr>
            <w:tcW w:w="2126" w:type="dxa"/>
            <w:tcBorders>
              <w:top w:val="single" w:sz="4" w:space="0" w:color="auto"/>
              <w:left w:val="single" w:sz="4" w:space="0" w:color="auto"/>
              <w:bottom w:val="single" w:sz="4" w:space="0" w:color="auto"/>
              <w:right w:val="single" w:sz="4" w:space="0" w:color="auto"/>
            </w:tcBorders>
          </w:tcPr>
          <w:p w:rsidR="007061F6" w:rsidRPr="00260CE3" w:rsidRDefault="007061F6" w:rsidP="00660286">
            <w:pPr>
              <w:rPr>
                <w:rFonts w:ascii="Arial Narrow" w:hAnsi="Arial Narrow"/>
                <w:b/>
                <w:sz w:val="20"/>
              </w:rPr>
            </w:pPr>
            <w:r w:rsidRPr="00260CE3">
              <w:rPr>
                <w:rFonts w:ascii="Arial Narrow" w:hAnsi="Arial Narrow"/>
                <w:b/>
                <w:sz w:val="20"/>
              </w:rPr>
              <w:t>PBS Indication:</w:t>
            </w:r>
          </w:p>
        </w:tc>
        <w:tc>
          <w:tcPr>
            <w:tcW w:w="6237" w:type="dxa"/>
            <w:gridSpan w:val="5"/>
            <w:tcBorders>
              <w:top w:val="single" w:sz="4" w:space="0" w:color="auto"/>
              <w:left w:val="single" w:sz="4" w:space="0" w:color="auto"/>
              <w:bottom w:val="single" w:sz="4" w:space="0" w:color="auto"/>
              <w:right w:val="single" w:sz="4" w:space="0" w:color="auto"/>
            </w:tcBorders>
          </w:tcPr>
          <w:p w:rsidR="007061F6" w:rsidRPr="00260CE3" w:rsidRDefault="007061F6" w:rsidP="00660286">
            <w:pPr>
              <w:rPr>
                <w:rFonts w:ascii="Arial Narrow" w:hAnsi="Arial Narrow"/>
                <w:sz w:val="20"/>
              </w:rPr>
            </w:pPr>
            <w:r>
              <w:rPr>
                <w:rFonts w:ascii="Arial Narrow" w:hAnsi="Arial Narrow"/>
                <w:sz w:val="20"/>
              </w:rPr>
              <w:t xml:space="preserve">Hyperphosphataemia </w:t>
            </w:r>
          </w:p>
        </w:tc>
      </w:tr>
      <w:tr w:rsidR="007061F6" w:rsidRPr="00552722" w:rsidTr="00577ECD">
        <w:trPr>
          <w:cantSplit/>
          <w:trHeight w:val="360"/>
        </w:trPr>
        <w:tc>
          <w:tcPr>
            <w:tcW w:w="2126" w:type="dxa"/>
            <w:tcBorders>
              <w:top w:val="single" w:sz="4" w:space="0" w:color="auto"/>
              <w:left w:val="single" w:sz="4" w:space="0" w:color="auto"/>
              <w:bottom w:val="single" w:sz="4" w:space="0" w:color="auto"/>
              <w:right w:val="single" w:sz="4" w:space="0" w:color="auto"/>
            </w:tcBorders>
          </w:tcPr>
          <w:p w:rsidR="007061F6" w:rsidRPr="0022214F" w:rsidRDefault="007061F6" w:rsidP="00660286">
            <w:pPr>
              <w:rPr>
                <w:rFonts w:ascii="Arial Narrow" w:hAnsi="Arial Narrow"/>
                <w:b/>
                <w:sz w:val="20"/>
              </w:rPr>
            </w:pPr>
            <w:r w:rsidRPr="0022214F">
              <w:rPr>
                <w:rFonts w:ascii="Arial Narrow" w:hAnsi="Arial Narrow"/>
                <w:b/>
                <w:sz w:val="20"/>
              </w:rPr>
              <w:t>Treatment phase:</w:t>
            </w:r>
          </w:p>
        </w:tc>
        <w:tc>
          <w:tcPr>
            <w:tcW w:w="6237" w:type="dxa"/>
            <w:gridSpan w:val="5"/>
            <w:tcBorders>
              <w:top w:val="single" w:sz="4" w:space="0" w:color="auto"/>
              <w:left w:val="single" w:sz="4" w:space="0" w:color="auto"/>
              <w:bottom w:val="single" w:sz="4" w:space="0" w:color="auto"/>
              <w:right w:val="single" w:sz="4" w:space="0" w:color="auto"/>
            </w:tcBorders>
          </w:tcPr>
          <w:p w:rsidR="007061F6" w:rsidRPr="0022214F" w:rsidRDefault="007061F6" w:rsidP="00660286">
            <w:pPr>
              <w:rPr>
                <w:rFonts w:ascii="Arial Narrow" w:hAnsi="Arial Narrow"/>
                <w:sz w:val="20"/>
              </w:rPr>
            </w:pPr>
            <w:r w:rsidRPr="0022214F">
              <w:rPr>
                <w:rFonts w:ascii="Arial Narrow" w:hAnsi="Arial Narrow"/>
                <w:sz w:val="20"/>
              </w:rPr>
              <w:t>Maintenance therapy following initiation or stabilisation of treatment</w:t>
            </w:r>
          </w:p>
        </w:tc>
      </w:tr>
      <w:tr w:rsidR="007061F6" w:rsidRPr="00552722" w:rsidTr="00577ECD">
        <w:trPr>
          <w:cantSplit/>
          <w:trHeight w:val="360"/>
        </w:trPr>
        <w:tc>
          <w:tcPr>
            <w:tcW w:w="2126" w:type="dxa"/>
            <w:tcBorders>
              <w:top w:val="single" w:sz="4" w:space="0" w:color="auto"/>
              <w:left w:val="single" w:sz="4" w:space="0" w:color="auto"/>
              <w:bottom w:val="single" w:sz="4" w:space="0" w:color="auto"/>
              <w:right w:val="single" w:sz="4" w:space="0" w:color="auto"/>
            </w:tcBorders>
          </w:tcPr>
          <w:p w:rsidR="007061F6" w:rsidRPr="0022214F" w:rsidRDefault="007061F6" w:rsidP="00660286">
            <w:pPr>
              <w:rPr>
                <w:rFonts w:ascii="Arial Narrow" w:hAnsi="Arial Narrow"/>
                <w:b/>
                <w:sz w:val="20"/>
              </w:rPr>
            </w:pPr>
            <w:r w:rsidRPr="0022214F">
              <w:rPr>
                <w:rFonts w:ascii="Arial Narrow" w:hAnsi="Arial Narrow"/>
                <w:b/>
                <w:sz w:val="20"/>
              </w:rPr>
              <w:t>Restriction:</w:t>
            </w:r>
          </w:p>
          <w:p w:rsidR="007061F6" w:rsidRPr="0022214F" w:rsidRDefault="007061F6" w:rsidP="00660286">
            <w:pPr>
              <w:rPr>
                <w:rFonts w:ascii="Arial Narrow" w:hAnsi="Arial Narrow"/>
                <w:sz w:val="20"/>
              </w:rPr>
            </w:pPr>
          </w:p>
        </w:tc>
        <w:tc>
          <w:tcPr>
            <w:tcW w:w="6237" w:type="dxa"/>
            <w:gridSpan w:val="5"/>
            <w:tcBorders>
              <w:top w:val="single" w:sz="4" w:space="0" w:color="auto"/>
              <w:left w:val="single" w:sz="4" w:space="0" w:color="auto"/>
              <w:bottom w:val="single" w:sz="4" w:space="0" w:color="auto"/>
              <w:right w:val="single" w:sz="4" w:space="0" w:color="auto"/>
            </w:tcBorders>
          </w:tcPr>
          <w:p w:rsidR="007061F6" w:rsidRPr="0022214F" w:rsidRDefault="007061F6" w:rsidP="00660286">
            <w:pPr>
              <w:rPr>
                <w:rFonts w:ascii="Arial Narrow" w:hAnsi="Arial Narrow"/>
                <w:sz w:val="20"/>
              </w:rPr>
            </w:pPr>
            <w:r w:rsidRPr="0022214F">
              <w:rPr>
                <w:rFonts w:ascii="Arial Narrow" w:hAnsi="Arial Narrow"/>
                <w:sz w:val="20"/>
              </w:rPr>
              <w:t>Authority</w:t>
            </w:r>
            <w:r>
              <w:rPr>
                <w:rFonts w:ascii="Arial Narrow" w:hAnsi="Arial Narrow"/>
                <w:sz w:val="20"/>
              </w:rPr>
              <w:t xml:space="preserve"> r</w:t>
            </w:r>
            <w:r w:rsidRPr="0022214F">
              <w:rPr>
                <w:rFonts w:ascii="Arial Narrow" w:hAnsi="Arial Narrow"/>
                <w:sz w:val="20"/>
              </w:rPr>
              <w:t xml:space="preserve">equired (STREAMLINED) </w:t>
            </w:r>
          </w:p>
        </w:tc>
      </w:tr>
      <w:tr w:rsidR="007061F6" w:rsidRPr="00552722" w:rsidTr="00577ECD">
        <w:trPr>
          <w:cantSplit/>
          <w:trHeight w:val="360"/>
        </w:trPr>
        <w:tc>
          <w:tcPr>
            <w:tcW w:w="2126" w:type="dxa"/>
            <w:tcBorders>
              <w:top w:val="single" w:sz="4" w:space="0" w:color="auto"/>
              <w:left w:val="single" w:sz="4" w:space="0" w:color="auto"/>
              <w:bottom w:val="single" w:sz="4" w:space="0" w:color="auto"/>
              <w:right w:val="single" w:sz="4" w:space="0" w:color="auto"/>
            </w:tcBorders>
          </w:tcPr>
          <w:p w:rsidR="007061F6" w:rsidRPr="0022214F" w:rsidRDefault="007061F6" w:rsidP="00660286">
            <w:pPr>
              <w:rPr>
                <w:rFonts w:ascii="Arial Narrow" w:hAnsi="Arial Narrow"/>
                <w:b/>
                <w:sz w:val="20"/>
              </w:rPr>
            </w:pPr>
            <w:r w:rsidRPr="0022214F">
              <w:rPr>
                <w:rFonts w:ascii="Arial Narrow" w:hAnsi="Arial Narrow"/>
                <w:b/>
                <w:sz w:val="20"/>
              </w:rPr>
              <w:t xml:space="preserve">Treatment Criteria </w:t>
            </w:r>
          </w:p>
        </w:tc>
        <w:tc>
          <w:tcPr>
            <w:tcW w:w="6237" w:type="dxa"/>
            <w:gridSpan w:val="5"/>
            <w:tcBorders>
              <w:top w:val="single" w:sz="4" w:space="0" w:color="auto"/>
              <w:left w:val="single" w:sz="4" w:space="0" w:color="auto"/>
              <w:bottom w:val="single" w:sz="4" w:space="0" w:color="auto"/>
              <w:right w:val="single" w:sz="4" w:space="0" w:color="auto"/>
            </w:tcBorders>
          </w:tcPr>
          <w:p w:rsidR="007061F6" w:rsidRPr="0022214F" w:rsidRDefault="007061F6" w:rsidP="00660286">
            <w:pPr>
              <w:rPr>
                <w:rFonts w:ascii="Arial Narrow" w:hAnsi="Arial Narrow"/>
                <w:sz w:val="20"/>
              </w:rPr>
            </w:pPr>
            <w:r w:rsidRPr="0022214F">
              <w:rPr>
                <w:rFonts w:ascii="Arial Narrow" w:hAnsi="Arial Narrow"/>
                <w:sz w:val="20"/>
              </w:rPr>
              <w:t>Patient must be undergoing dialysis for chronic kidney disease</w:t>
            </w:r>
          </w:p>
        </w:tc>
      </w:tr>
      <w:tr w:rsidR="007061F6" w:rsidRPr="00552722" w:rsidTr="00577ECD">
        <w:trPr>
          <w:cantSplit/>
          <w:trHeight w:val="360"/>
        </w:trPr>
        <w:tc>
          <w:tcPr>
            <w:tcW w:w="2126" w:type="dxa"/>
            <w:tcBorders>
              <w:top w:val="single" w:sz="4" w:space="0" w:color="auto"/>
              <w:left w:val="single" w:sz="4" w:space="0" w:color="auto"/>
              <w:bottom w:val="single" w:sz="4" w:space="0" w:color="auto"/>
              <w:right w:val="single" w:sz="4" w:space="0" w:color="auto"/>
            </w:tcBorders>
          </w:tcPr>
          <w:p w:rsidR="007061F6" w:rsidRPr="0022214F" w:rsidRDefault="007061F6" w:rsidP="00660286">
            <w:pPr>
              <w:rPr>
                <w:rFonts w:ascii="Arial Narrow" w:hAnsi="Arial Narrow"/>
                <w:b/>
                <w:sz w:val="20"/>
              </w:rPr>
            </w:pPr>
            <w:r w:rsidRPr="0022214F">
              <w:rPr>
                <w:rFonts w:ascii="Arial Narrow" w:hAnsi="Arial Narrow"/>
                <w:b/>
                <w:sz w:val="20"/>
              </w:rPr>
              <w:t xml:space="preserve">Clinical Criteria </w:t>
            </w:r>
          </w:p>
        </w:tc>
        <w:tc>
          <w:tcPr>
            <w:tcW w:w="6237" w:type="dxa"/>
            <w:gridSpan w:val="5"/>
            <w:tcBorders>
              <w:top w:val="single" w:sz="4" w:space="0" w:color="auto"/>
              <w:left w:val="single" w:sz="4" w:space="0" w:color="auto"/>
              <w:bottom w:val="single" w:sz="4" w:space="0" w:color="auto"/>
              <w:right w:val="single" w:sz="4" w:space="0" w:color="auto"/>
            </w:tcBorders>
          </w:tcPr>
          <w:p w:rsidR="007061F6" w:rsidRPr="0022214F" w:rsidRDefault="007061F6" w:rsidP="00660286">
            <w:pPr>
              <w:rPr>
                <w:rFonts w:ascii="Arial Narrow" w:hAnsi="Arial Narrow"/>
                <w:sz w:val="20"/>
              </w:rPr>
            </w:pPr>
            <w:r w:rsidRPr="0022214F">
              <w:rPr>
                <w:rFonts w:ascii="Arial Narrow" w:hAnsi="Arial Narrow"/>
                <w:sz w:val="20"/>
              </w:rPr>
              <w:t>The condition must not be adequately controlled by calcium</w:t>
            </w:r>
          </w:p>
          <w:p w:rsidR="007061F6" w:rsidRPr="0022214F" w:rsidRDefault="007061F6" w:rsidP="00660286">
            <w:pPr>
              <w:rPr>
                <w:rFonts w:ascii="Arial Narrow" w:hAnsi="Arial Narrow"/>
                <w:sz w:val="20"/>
              </w:rPr>
            </w:pPr>
          </w:p>
          <w:p w:rsidR="007061F6" w:rsidRPr="0022214F" w:rsidRDefault="007061F6" w:rsidP="00660286">
            <w:pPr>
              <w:rPr>
                <w:rFonts w:ascii="Arial Narrow" w:hAnsi="Arial Narrow"/>
                <w:sz w:val="20"/>
              </w:rPr>
            </w:pPr>
            <w:r w:rsidRPr="0022214F">
              <w:rPr>
                <w:rFonts w:ascii="Arial Narrow" w:hAnsi="Arial Narrow"/>
                <w:sz w:val="20"/>
              </w:rPr>
              <w:t xml:space="preserve">AND </w:t>
            </w:r>
          </w:p>
          <w:p w:rsidR="007061F6" w:rsidRPr="0022214F" w:rsidRDefault="007061F6" w:rsidP="00660286">
            <w:pPr>
              <w:rPr>
                <w:rFonts w:ascii="Arial Narrow" w:hAnsi="Arial Narrow"/>
                <w:sz w:val="20"/>
              </w:rPr>
            </w:pPr>
          </w:p>
          <w:p w:rsidR="007061F6" w:rsidRPr="0022214F" w:rsidRDefault="007061F6" w:rsidP="00660286">
            <w:pPr>
              <w:rPr>
                <w:rFonts w:ascii="Arial Narrow" w:hAnsi="Arial Narrow"/>
                <w:sz w:val="20"/>
              </w:rPr>
            </w:pPr>
            <w:r w:rsidRPr="0022214F">
              <w:rPr>
                <w:rFonts w:ascii="Arial Narrow" w:hAnsi="Arial Narrow"/>
                <w:sz w:val="20"/>
              </w:rPr>
              <w:t>The patient must have serum phosphate greater than</w:t>
            </w:r>
            <w:r w:rsidR="00F053D7">
              <w:rPr>
                <w:rFonts w:ascii="Arial Narrow" w:hAnsi="Arial Narrow"/>
                <w:sz w:val="20"/>
              </w:rPr>
              <w:t xml:space="preserve"> </w:t>
            </w:r>
            <w:r w:rsidRPr="0022214F">
              <w:rPr>
                <w:rFonts w:ascii="Arial Narrow" w:hAnsi="Arial Narrow"/>
                <w:sz w:val="20"/>
              </w:rPr>
              <w:t xml:space="preserve">1.6 mmol per L at the commencement of therapy </w:t>
            </w:r>
          </w:p>
          <w:p w:rsidR="007061F6" w:rsidRPr="0022214F" w:rsidRDefault="007061F6" w:rsidP="00660286">
            <w:pPr>
              <w:rPr>
                <w:rFonts w:ascii="Arial Narrow" w:hAnsi="Arial Narrow"/>
                <w:sz w:val="20"/>
              </w:rPr>
            </w:pPr>
          </w:p>
          <w:p w:rsidR="007061F6" w:rsidRPr="0022214F" w:rsidRDefault="007061F6" w:rsidP="00660286">
            <w:pPr>
              <w:rPr>
                <w:rFonts w:ascii="Arial Narrow" w:hAnsi="Arial Narrow"/>
                <w:sz w:val="20"/>
              </w:rPr>
            </w:pPr>
            <w:r w:rsidRPr="0022214F">
              <w:rPr>
                <w:rFonts w:ascii="Arial Narrow" w:hAnsi="Arial Narrow"/>
                <w:sz w:val="20"/>
              </w:rPr>
              <w:t xml:space="preserve">OR </w:t>
            </w:r>
          </w:p>
          <w:p w:rsidR="007061F6" w:rsidRPr="0022214F" w:rsidRDefault="007061F6" w:rsidP="00660286">
            <w:pPr>
              <w:rPr>
                <w:rFonts w:ascii="Arial Narrow" w:hAnsi="Arial Narrow"/>
                <w:sz w:val="20"/>
              </w:rPr>
            </w:pPr>
          </w:p>
          <w:p w:rsidR="007061F6" w:rsidRPr="0022214F" w:rsidRDefault="007061F6" w:rsidP="00660286">
            <w:pPr>
              <w:rPr>
                <w:rFonts w:ascii="Arial Narrow" w:hAnsi="Arial Narrow"/>
                <w:sz w:val="20"/>
              </w:rPr>
            </w:pPr>
            <w:r w:rsidRPr="0022214F">
              <w:rPr>
                <w:rFonts w:ascii="Arial Narrow" w:hAnsi="Arial Narrow"/>
                <w:sz w:val="20"/>
              </w:rPr>
              <w:t>The patient must have a serum calcium times phosphate product greater than 4.0 at the commencement of therapy</w:t>
            </w:r>
          </w:p>
          <w:p w:rsidR="007061F6" w:rsidRPr="0022214F" w:rsidRDefault="007061F6" w:rsidP="00660286">
            <w:pPr>
              <w:rPr>
                <w:rFonts w:ascii="Arial Narrow" w:hAnsi="Arial Narrow"/>
                <w:sz w:val="20"/>
              </w:rPr>
            </w:pPr>
          </w:p>
          <w:p w:rsidR="007061F6" w:rsidRPr="0022214F" w:rsidRDefault="007061F6" w:rsidP="00660286">
            <w:pPr>
              <w:rPr>
                <w:rFonts w:ascii="Arial Narrow" w:hAnsi="Arial Narrow"/>
                <w:sz w:val="20"/>
              </w:rPr>
            </w:pPr>
            <w:r w:rsidRPr="0022214F">
              <w:rPr>
                <w:rFonts w:ascii="Arial Narrow" w:hAnsi="Arial Narrow"/>
                <w:sz w:val="20"/>
              </w:rPr>
              <w:t xml:space="preserve">AND </w:t>
            </w:r>
          </w:p>
          <w:p w:rsidR="007061F6" w:rsidRPr="0022214F" w:rsidRDefault="007061F6" w:rsidP="00660286">
            <w:pPr>
              <w:rPr>
                <w:rFonts w:ascii="Arial Narrow" w:hAnsi="Arial Narrow"/>
                <w:sz w:val="20"/>
              </w:rPr>
            </w:pPr>
          </w:p>
          <w:p w:rsidR="007061F6" w:rsidRPr="006C263A" w:rsidRDefault="007061F6" w:rsidP="00660286">
            <w:pPr>
              <w:rPr>
                <w:rFonts w:ascii="Arial Narrow" w:hAnsi="Arial Narrow"/>
                <w:i/>
                <w:sz w:val="20"/>
              </w:rPr>
            </w:pPr>
            <w:r w:rsidRPr="006C263A">
              <w:rPr>
                <w:rFonts w:ascii="Arial Narrow" w:hAnsi="Arial Narrow"/>
                <w:i/>
                <w:sz w:val="20"/>
              </w:rPr>
              <w:t xml:space="preserve">The treatment must not be used in combination with other non-calcium phosphate binding agents.  </w:t>
            </w:r>
          </w:p>
        </w:tc>
      </w:tr>
      <w:tr w:rsidR="007061F6" w:rsidRPr="00552722" w:rsidTr="00577ECD">
        <w:trPr>
          <w:cantSplit/>
          <w:trHeight w:val="360"/>
        </w:trPr>
        <w:tc>
          <w:tcPr>
            <w:tcW w:w="2126" w:type="dxa"/>
            <w:tcBorders>
              <w:top w:val="single" w:sz="4" w:space="0" w:color="auto"/>
              <w:left w:val="single" w:sz="4" w:space="0" w:color="auto"/>
              <w:bottom w:val="single" w:sz="4" w:space="0" w:color="auto"/>
              <w:right w:val="single" w:sz="4" w:space="0" w:color="auto"/>
            </w:tcBorders>
          </w:tcPr>
          <w:p w:rsidR="007061F6" w:rsidRPr="0022214F" w:rsidRDefault="007061F6" w:rsidP="00660286">
            <w:pPr>
              <w:rPr>
                <w:rFonts w:ascii="Arial Narrow" w:hAnsi="Arial Narrow"/>
                <w:b/>
                <w:sz w:val="20"/>
              </w:rPr>
            </w:pPr>
            <w:r w:rsidRPr="0022214F">
              <w:rPr>
                <w:rFonts w:ascii="Arial Narrow" w:hAnsi="Arial Narrow"/>
                <w:b/>
                <w:sz w:val="20"/>
              </w:rPr>
              <w:lastRenderedPageBreak/>
              <w:t>Administrative Advice</w:t>
            </w:r>
          </w:p>
        </w:tc>
        <w:tc>
          <w:tcPr>
            <w:tcW w:w="6237" w:type="dxa"/>
            <w:gridSpan w:val="5"/>
            <w:tcBorders>
              <w:top w:val="single" w:sz="4" w:space="0" w:color="auto"/>
              <w:left w:val="single" w:sz="4" w:space="0" w:color="auto"/>
              <w:bottom w:val="single" w:sz="4" w:space="0" w:color="auto"/>
              <w:right w:val="single" w:sz="4" w:space="0" w:color="auto"/>
            </w:tcBorders>
          </w:tcPr>
          <w:p w:rsidR="007061F6" w:rsidRPr="0022214F" w:rsidRDefault="007061F6" w:rsidP="00660286">
            <w:pPr>
              <w:rPr>
                <w:rFonts w:ascii="Arial Narrow" w:hAnsi="Arial Narrow"/>
                <w:sz w:val="20"/>
                <w:u w:val="single"/>
              </w:rPr>
            </w:pPr>
            <w:r w:rsidRPr="0022214F">
              <w:rPr>
                <w:rFonts w:ascii="Arial Narrow" w:hAnsi="Arial Narrow"/>
                <w:sz w:val="20"/>
                <w:u w:val="single"/>
              </w:rPr>
              <w:t>Note</w:t>
            </w:r>
          </w:p>
          <w:p w:rsidR="007061F6" w:rsidRPr="0022214F" w:rsidRDefault="007061F6" w:rsidP="00660286">
            <w:pPr>
              <w:rPr>
                <w:rFonts w:ascii="Arial Narrow" w:hAnsi="Arial Narrow"/>
                <w:sz w:val="20"/>
              </w:rPr>
            </w:pPr>
            <w:r w:rsidRPr="0022214F">
              <w:rPr>
                <w:rFonts w:ascii="Arial Narrow" w:hAnsi="Arial Narrow"/>
                <w:sz w:val="20"/>
              </w:rPr>
              <w:t xml:space="preserve">Shared care model: </w:t>
            </w:r>
          </w:p>
          <w:p w:rsidR="007061F6" w:rsidRPr="0022214F" w:rsidRDefault="007061F6" w:rsidP="00660286">
            <w:pPr>
              <w:rPr>
                <w:rFonts w:ascii="Arial Narrow" w:hAnsi="Arial Narrow"/>
                <w:sz w:val="20"/>
              </w:rPr>
            </w:pPr>
            <w:r w:rsidRPr="00734FE8">
              <w:rPr>
                <w:rFonts w:ascii="Arial Narrow" w:hAnsi="Arial Narrow"/>
                <w:sz w:val="20"/>
              </w:rPr>
              <w:t>For prescribing by nurse practitioners where care of a patient is shared between a nurse practitioner and medical practitioner in a formalised arrangement with an agreed management plan. Further information can be found in the Explanator</w:t>
            </w:r>
            <w:r>
              <w:rPr>
                <w:rFonts w:ascii="Arial Narrow" w:hAnsi="Arial Narrow"/>
                <w:sz w:val="20"/>
              </w:rPr>
              <w:t>y Notes for Nurse Practitioners</w:t>
            </w:r>
            <w:r w:rsidRPr="0022214F">
              <w:rPr>
                <w:rFonts w:ascii="Arial Narrow" w:hAnsi="Arial Narrow"/>
                <w:sz w:val="20"/>
              </w:rPr>
              <w:t xml:space="preserve">. </w:t>
            </w:r>
          </w:p>
        </w:tc>
      </w:tr>
    </w:tbl>
    <w:p w:rsidR="00617E12" w:rsidRPr="00B73618" w:rsidRDefault="00617E12" w:rsidP="007061F6">
      <w:pPr>
        <w:widowControl/>
      </w:pPr>
    </w:p>
    <w:p w:rsidR="00D5079E" w:rsidRPr="00B73618" w:rsidRDefault="00D5079E" w:rsidP="004B1CB4"/>
    <w:p w:rsidR="00F97A78" w:rsidRPr="00CB4DF3" w:rsidRDefault="006C1982" w:rsidP="009847B1">
      <w:pPr>
        <w:pStyle w:val="ListParagraph"/>
        <w:numPr>
          <w:ilvl w:val="1"/>
          <w:numId w:val="8"/>
        </w:numPr>
        <w:rPr>
          <w:szCs w:val="22"/>
        </w:rPr>
      </w:pPr>
      <w:r>
        <w:rPr>
          <w:szCs w:val="22"/>
        </w:rPr>
        <w:t>Listing wa</w:t>
      </w:r>
      <w:r w:rsidR="00CA728D" w:rsidRPr="00CB4DF3">
        <w:rPr>
          <w:szCs w:val="22"/>
        </w:rPr>
        <w:t>s requested on a cost-minimisation basis compared to sevelamer</w:t>
      </w:r>
      <w:r w:rsidR="009C68B4">
        <w:rPr>
          <w:szCs w:val="22"/>
        </w:rPr>
        <w:t xml:space="preserve"> </w:t>
      </w:r>
      <w:r w:rsidR="009C68B4">
        <w:t>hydrochloride</w:t>
      </w:r>
      <w:r w:rsidR="00CA728D" w:rsidRPr="00CB4DF3">
        <w:rPr>
          <w:szCs w:val="22"/>
        </w:rPr>
        <w:t>.</w:t>
      </w:r>
    </w:p>
    <w:p w:rsidR="004E43B2" w:rsidRDefault="004E43B2" w:rsidP="004B1CB4"/>
    <w:p w:rsidR="00295FED" w:rsidRDefault="00295FED" w:rsidP="00295FED">
      <w:pPr>
        <w:pStyle w:val="ListParagraph"/>
        <w:ind w:left="709"/>
        <w:rPr>
          <w:i/>
          <w:szCs w:val="22"/>
        </w:rPr>
      </w:pPr>
      <w:r>
        <w:rPr>
          <w:i/>
          <w:szCs w:val="22"/>
        </w:rPr>
        <w:t>For more detail on PBAC’s view, see section 7 “PBAC outcome”</w:t>
      </w:r>
    </w:p>
    <w:p w:rsidR="00F053D7" w:rsidRDefault="00F053D7" w:rsidP="00F053D7">
      <w:pPr>
        <w:ind w:left="720"/>
      </w:pPr>
    </w:p>
    <w:p w:rsidR="00F053D7" w:rsidRPr="008F13CD" w:rsidRDefault="00F053D7" w:rsidP="00F053D7">
      <w:pPr>
        <w:ind w:left="720"/>
      </w:pPr>
    </w:p>
    <w:p w:rsidR="00B50DB8" w:rsidRPr="008F13CD" w:rsidRDefault="00B50DB8" w:rsidP="00BD6CF3">
      <w:pPr>
        <w:pStyle w:val="PBACHeading1"/>
      </w:pPr>
      <w:bookmarkStart w:id="5" w:name="_Toc398708602"/>
      <w:r w:rsidRPr="008F13CD">
        <w:t>Background</w:t>
      </w:r>
      <w:bookmarkEnd w:id="5"/>
    </w:p>
    <w:p w:rsidR="00B60939" w:rsidRPr="008F13CD" w:rsidRDefault="00B60939" w:rsidP="00B60939">
      <w:pPr>
        <w:rPr>
          <w:szCs w:val="22"/>
        </w:rPr>
      </w:pPr>
    </w:p>
    <w:p w:rsidR="00B60939" w:rsidRPr="00B61E19" w:rsidRDefault="00B73618" w:rsidP="00B73618">
      <w:pPr>
        <w:pStyle w:val="ListParagraph"/>
        <w:widowControl/>
        <w:numPr>
          <w:ilvl w:val="1"/>
          <w:numId w:val="8"/>
        </w:numPr>
      </w:pPr>
      <w:r w:rsidRPr="00B61E19">
        <w:rPr>
          <w:b/>
          <w:bCs/>
          <w:szCs w:val="22"/>
        </w:rPr>
        <w:t>TGA status:</w:t>
      </w:r>
      <w:r w:rsidRPr="00B61E19">
        <w:rPr>
          <w:bCs/>
          <w:szCs w:val="22"/>
        </w:rPr>
        <w:t xml:space="preserve"> </w:t>
      </w:r>
      <w:r w:rsidR="00DD3599" w:rsidRPr="00B61E19">
        <w:rPr>
          <w:iCs/>
        </w:rPr>
        <w:t xml:space="preserve">Sucroferric oxyhydroxide </w:t>
      </w:r>
      <w:r w:rsidR="00B31A33">
        <w:rPr>
          <w:iCs/>
        </w:rPr>
        <w:t>was</w:t>
      </w:r>
      <w:r w:rsidR="00DD3599" w:rsidRPr="00B61E19">
        <w:rPr>
          <w:iCs/>
        </w:rPr>
        <w:t xml:space="preserve"> processed under the TGA/PBAC parallel process</w:t>
      </w:r>
      <w:r w:rsidR="008F13CD" w:rsidRPr="00B61E19">
        <w:rPr>
          <w:iCs/>
        </w:rPr>
        <w:t>. A positive TGA Delegate’s summary was received on 29 August 2014</w:t>
      </w:r>
      <w:r w:rsidR="00B61E19" w:rsidRPr="00B61E19">
        <w:rPr>
          <w:iCs/>
        </w:rPr>
        <w:t xml:space="preserve"> and wa</w:t>
      </w:r>
      <w:r w:rsidR="00DD3599" w:rsidRPr="00B61E19">
        <w:rPr>
          <w:iCs/>
        </w:rPr>
        <w:t>s expected to be considered at the October 2014 ACPM meeting for the control of serum phosphorus levels in patients with end stage renal disease.</w:t>
      </w:r>
      <w:r w:rsidR="00E6775E">
        <w:rPr>
          <w:iCs/>
        </w:rPr>
        <w:t xml:space="preserve"> ACPM m</w:t>
      </w:r>
      <w:r w:rsidR="00B61E19">
        <w:rPr>
          <w:iCs/>
        </w:rPr>
        <w:t>inutes were not available for PBAC consideration.</w:t>
      </w:r>
    </w:p>
    <w:p w:rsidR="00B60939" w:rsidRPr="00B73618" w:rsidRDefault="00B60939" w:rsidP="00B60939">
      <w:pPr>
        <w:pStyle w:val="ListParagraph"/>
        <w:rPr>
          <w:szCs w:val="22"/>
        </w:rPr>
      </w:pPr>
    </w:p>
    <w:p w:rsidR="002C2775" w:rsidRPr="00B73618" w:rsidRDefault="009F2B8A" w:rsidP="00D247D9">
      <w:pPr>
        <w:pStyle w:val="ListParagraph"/>
        <w:widowControl/>
        <w:numPr>
          <w:ilvl w:val="1"/>
          <w:numId w:val="8"/>
        </w:numPr>
        <w:rPr>
          <w:szCs w:val="22"/>
        </w:rPr>
      </w:pPr>
      <w:r w:rsidRPr="00B73618">
        <w:t xml:space="preserve">Sucroferric oxyhydroxide has </w:t>
      </w:r>
      <w:r w:rsidR="00B60939" w:rsidRPr="00B73618">
        <w:rPr>
          <w:szCs w:val="22"/>
        </w:rPr>
        <w:t xml:space="preserve">not </w:t>
      </w:r>
      <w:r w:rsidRPr="00B73618">
        <w:rPr>
          <w:szCs w:val="22"/>
        </w:rPr>
        <w:t xml:space="preserve">been </w:t>
      </w:r>
      <w:r w:rsidR="00B60939" w:rsidRPr="00B73618">
        <w:rPr>
          <w:szCs w:val="22"/>
        </w:rPr>
        <w:t>considered by PBAC previously</w:t>
      </w:r>
      <w:r w:rsidR="00A35D16" w:rsidRPr="00B73618">
        <w:rPr>
          <w:szCs w:val="22"/>
        </w:rPr>
        <w:t>.</w:t>
      </w:r>
    </w:p>
    <w:p w:rsidR="009847B1" w:rsidRDefault="009847B1" w:rsidP="00295FED">
      <w:pPr>
        <w:ind w:left="720"/>
      </w:pPr>
    </w:p>
    <w:p w:rsidR="00C5120E" w:rsidRPr="00B73618" w:rsidRDefault="00C5120E" w:rsidP="00295FED">
      <w:pPr>
        <w:ind w:left="720"/>
      </w:pPr>
    </w:p>
    <w:p w:rsidR="00B50DB8" w:rsidRPr="00B73618" w:rsidRDefault="00B50DB8" w:rsidP="00BD6CF3">
      <w:pPr>
        <w:pStyle w:val="PBACHeading1"/>
      </w:pPr>
      <w:bookmarkStart w:id="6" w:name="_Toc398708603"/>
      <w:r w:rsidRPr="00B73618">
        <w:t>Clinical place for the proposed therapy</w:t>
      </w:r>
      <w:bookmarkEnd w:id="6"/>
    </w:p>
    <w:p w:rsidR="00B60939" w:rsidRPr="00B73618" w:rsidRDefault="00B60939" w:rsidP="00B60939">
      <w:pPr>
        <w:rPr>
          <w:szCs w:val="22"/>
        </w:rPr>
      </w:pPr>
    </w:p>
    <w:p w:rsidR="00894489" w:rsidRPr="00B73618" w:rsidRDefault="00C45BE0" w:rsidP="00D247D9">
      <w:pPr>
        <w:pStyle w:val="ListParagraph"/>
        <w:widowControl/>
        <w:numPr>
          <w:ilvl w:val="1"/>
          <w:numId w:val="8"/>
        </w:numPr>
        <w:rPr>
          <w:szCs w:val="22"/>
        </w:rPr>
      </w:pPr>
      <w:r w:rsidRPr="00B73618">
        <w:t xml:space="preserve">Chronic kidney disease (CKD) is characterised by gradual deterioration in renal function, progressing eventually to </w:t>
      </w:r>
      <w:r w:rsidR="00DD3599" w:rsidRPr="00B73618">
        <w:t>e</w:t>
      </w:r>
      <w:r w:rsidRPr="00B73618">
        <w:t xml:space="preserve">nd </w:t>
      </w:r>
      <w:r w:rsidR="00DD3599" w:rsidRPr="00B73618">
        <w:t>s</w:t>
      </w:r>
      <w:r w:rsidRPr="00B73618">
        <w:t xml:space="preserve">tage </w:t>
      </w:r>
      <w:r w:rsidR="00DD3599" w:rsidRPr="00B73618">
        <w:t>r</w:t>
      </w:r>
      <w:r w:rsidRPr="00B73618">
        <w:t xml:space="preserve">enal </w:t>
      </w:r>
      <w:r w:rsidR="00DD3599" w:rsidRPr="00B73618">
        <w:t>d</w:t>
      </w:r>
      <w:r w:rsidRPr="00B73618">
        <w:t>isease (ESRD) where minimal or no residual renal function remain</w:t>
      </w:r>
      <w:r w:rsidR="00DD3599" w:rsidRPr="00B73618">
        <w:t>s</w:t>
      </w:r>
      <w:r w:rsidRPr="00B73618">
        <w:t>, thereby requiring dialysis or kidney transplantation to substitute the excretory function of the kidneys.</w:t>
      </w:r>
      <w:r w:rsidRPr="00B73618">
        <w:rPr>
          <w:snapToGrid/>
          <w:sz w:val="18"/>
          <w:szCs w:val="18"/>
          <w:lang w:eastAsia="en-AU"/>
        </w:rPr>
        <w:t xml:space="preserve"> </w:t>
      </w:r>
      <w:r w:rsidRPr="00B73618">
        <w:t xml:space="preserve">Declining kidney function leads to higher than normal phosphorus levels (hyperphosphataemia). Prolonged hyperphosphataemia causes soft-tissue and vascular calcification, is associated with increased mortality, and leads to secondary hyperparathyroidism and elevated parathyroid hormone (PTH) blood levels which can cause high turnover bone disease. </w:t>
      </w:r>
      <w:r w:rsidR="000D031B" w:rsidRPr="00B73618">
        <w:t>Maintenance of serum phosphorus levels within the normal range</w:t>
      </w:r>
      <w:r w:rsidRPr="00B73618">
        <w:t xml:space="preserve"> is achieved via a combination of restricting dietary phosphorus intake and the use of phosphate binders: medications that bind to dietary phosphate in the gastrointestinal tract </w:t>
      </w:r>
      <w:r w:rsidR="000270E1" w:rsidRPr="00B73618">
        <w:t xml:space="preserve">and </w:t>
      </w:r>
      <w:r w:rsidRPr="00B73618">
        <w:t xml:space="preserve">form a poorly absorbed compound which is subsequently excreted in the faeces. </w:t>
      </w:r>
    </w:p>
    <w:p w:rsidR="005D44E2" w:rsidRPr="00B73618" w:rsidRDefault="005D44E2" w:rsidP="005D44E2">
      <w:pPr>
        <w:pStyle w:val="ListParagraph"/>
        <w:widowControl/>
        <w:rPr>
          <w:szCs w:val="22"/>
        </w:rPr>
      </w:pPr>
    </w:p>
    <w:p w:rsidR="002C2775" w:rsidRPr="00B73618" w:rsidRDefault="005D44E2" w:rsidP="00D247D9">
      <w:pPr>
        <w:pStyle w:val="ListParagraph"/>
        <w:numPr>
          <w:ilvl w:val="1"/>
          <w:numId w:val="8"/>
        </w:numPr>
        <w:rPr>
          <w:szCs w:val="22"/>
        </w:rPr>
      </w:pPr>
      <w:r w:rsidRPr="00B73618">
        <w:rPr>
          <w:szCs w:val="22"/>
        </w:rPr>
        <w:t>The submission p</w:t>
      </w:r>
      <w:r w:rsidR="000D031B" w:rsidRPr="00B73618">
        <w:rPr>
          <w:szCs w:val="22"/>
        </w:rPr>
        <w:t>osition</w:t>
      </w:r>
      <w:r w:rsidR="00B31A33">
        <w:rPr>
          <w:szCs w:val="22"/>
        </w:rPr>
        <w:t>ed</w:t>
      </w:r>
      <w:r w:rsidRPr="00B73618">
        <w:rPr>
          <w:szCs w:val="22"/>
        </w:rPr>
        <w:t xml:space="preserve"> sucroferric oxyhydroxide as an alternative to</w:t>
      </w:r>
      <w:r w:rsidR="00C45BE0" w:rsidRPr="00B73618">
        <w:rPr>
          <w:szCs w:val="22"/>
        </w:rPr>
        <w:t xml:space="preserve"> other non-calcium phosphate binders</w:t>
      </w:r>
      <w:r w:rsidRPr="00B73618">
        <w:t xml:space="preserve"> (</w:t>
      </w:r>
      <w:r w:rsidRPr="00B73618">
        <w:rPr>
          <w:szCs w:val="22"/>
        </w:rPr>
        <w:t>sevelamer and lanthanum)</w:t>
      </w:r>
      <w:r w:rsidR="00C45BE0" w:rsidRPr="00B73618">
        <w:rPr>
          <w:szCs w:val="22"/>
        </w:rPr>
        <w:t xml:space="preserve"> used a</w:t>
      </w:r>
      <w:r w:rsidRPr="00B73618">
        <w:rPr>
          <w:szCs w:val="22"/>
        </w:rPr>
        <w:t>s</w:t>
      </w:r>
      <w:r w:rsidR="00C45BE0" w:rsidRPr="00B73618">
        <w:rPr>
          <w:szCs w:val="22"/>
        </w:rPr>
        <w:t xml:space="preserve"> second-line therapy in patients uncontrolled on calcium-based phosphate binders.</w:t>
      </w:r>
    </w:p>
    <w:p w:rsidR="00E55BB5" w:rsidRDefault="00E55BB5" w:rsidP="00B60939">
      <w:pPr>
        <w:pStyle w:val="Header"/>
        <w:rPr>
          <w:szCs w:val="22"/>
        </w:rPr>
      </w:pPr>
    </w:p>
    <w:p w:rsidR="00295FED" w:rsidRDefault="00295FED" w:rsidP="00295FED">
      <w:pPr>
        <w:pStyle w:val="ListParagraph"/>
        <w:ind w:left="709"/>
        <w:rPr>
          <w:i/>
          <w:szCs w:val="22"/>
        </w:rPr>
      </w:pPr>
      <w:r>
        <w:rPr>
          <w:i/>
          <w:szCs w:val="22"/>
        </w:rPr>
        <w:t>For more detail on PBAC’s view, see section 7 “PBAC outcome”</w:t>
      </w:r>
    </w:p>
    <w:p w:rsidR="009847B1" w:rsidRDefault="009847B1" w:rsidP="00B60939">
      <w:pPr>
        <w:pStyle w:val="Header"/>
        <w:rPr>
          <w:szCs w:val="22"/>
        </w:rPr>
      </w:pPr>
    </w:p>
    <w:p w:rsidR="00C5120E" w:rsidRPr="00B73618" w:rsidRDefault="00C5120E" w:rsidP="00B60939">
      <w:pPr>
        <w:pStyle w:val="Header"/>
        <w:rPr>
          <w:szCs w:val="22"/>
        </w:rPr>
      </w:pPr>
    </w:p>
    <w:p w:rsidR="00B50DB8" w:rsidRPr="00B73618" w:rsidRDefault="00B50DB8" w:rsidP="00D247D9">
      <w:pPr>
        <w:pStyle w:val="Header"/>
        <w:widowControl/>
        <w:numPr>
          <w:ilvl w:val="0"/>
          <w:numId w:val="8"/>
        </w:numPr>
        <w:tabs>
          <w:tab w:val="clear" w:pos="4513"/>
          <w:tab w:val="clear" w:pos="9026"/>
        </w:tabs>
        <w:rPr>
          <w:b/>
          <w:szCs w:val="22"/>
        </w:rPr>
      </w:pPr>
      <w:r w:rsidRPr="00B73618">
        <w:rPr>
          <w:b/>
          <w:szCs w:val="22"/>
        </w:rPr>
        <w:t>Comparator</w:t>
      </w:r>
    </w:p>
    <w:p w:rsidR="00B60939" w:rsidRPr="00B73618" w:rsidRDefault="00B60939" w:rsidP="004B1CB4"/>
    <w:p w:rsidR="002C2775" w:rsidRPr="00B73618" w:rsidRDefault="005D44E2" w:rsidP="00D247D9">
      <w:pPr>
        <w:pStyle w:val="ListParagraph"/>
        <w:widowControl/>
        <w:numPr>
          <w:ilvl w:val="1"/>
          <w:numId w:val="8"/>
        </w:numPr>
        <w:rPr>
          <w:szCs w:val="22"/>
        </w:rPr>
      </w:pPr>
      <w:r w:rsidRPr="00B73618">
        <w:lastRenderedPageBreak/>
        <w:t>The submission nominate</w:t>
      </w:r>
      <w:r w:rsidR="00B31A33">
        <w:t>d</w:t>
      </w:r>
      <w:r w:rsidRPr="00B73618">
        <w:t xml:space="preserve"> sevelamer </w:t>
      </w:r>
      <w:r w:rsidR="00B24135">
        <w:t xml:space="preserve">hydrochloride </w:t>
      </w:r>
      <w:r w:rsidRPr="00B73618">
        <w:t xml:space="preserve">as the main comparator. </w:t>
      </w:r>
      <w:r w:rsidR="000D031B" w:rsidRPr="00B73618">
        <w:t xml:space="preserve">This is appropriate. </w:t>
      </w:r>
    </w:p>
    <w:p w:rsidR="00B60939" w:rsidRDefault="00B60939" w:rsidP="00DF5D2B">
      <w:pPr>
        <w:rPr>
          <w:szCs w:val="22"/>
        </w:rPr>
      </w:pPr>
    </w:p>
    <w:p w:rsidR="00295FED" w:rsidRDefault="00295FED" w:rsidP="00295FED">
      <w:pPr>
        <w:pStyle w:val="ListParagraph"/>
        <w:ind w:left="709"/>
        <w:rPr>
          <w:i/>
          <w:szCs w:val="22"/>
        </w:rPr>
      </w:pPr>
      <w:r>
        <w:rPr>
          <w:i/>
          <w:szCs w:val="22"/>
        </w:rPr>
        <w:t>For more detail on PBAC’s view, see section 7 “PBAC outcome”</w:t>
      </w:r>
    </w:p>
    <w:p w:rsidR="009847B1" w:rsidRDefault="009847B1" w:rsidP="00DF5D2B">
      <w:pPr>
        <w:rPr>
          <w:szCs w:val="22"/>
        </w:rPr>
      </w:pPr>
    </w:p>
    <w:p w:rsidR="00C5120E" w:rsidRPr="00B73618" w:rsidRDefault="00C5120E" w:rsidP="00DF5D2B">
      <w:pPr>
        <w:rPr>
          <w:szCs w:val="22"/>
        </w:rPr>
      </w:pPr>
    </w:p>
    <w:p w:rsidR="00B50DB8" w:rsidRPr="00B73618" w:rsidRDefault="00BD6CF3" w:rsidP="00BD6CF3">
      <w:pPr>
        <w:pStyle w:val="PBACHeading1"/>
      </w:pPr>
      <w:bookmarkStart w:id="7" w:name="_Toc398708604"/>
      <w:r w:rsidRPr="00B73618">
        <w:t>C</w:t>
      </w:r>
      <w:r w:rsidR="00B50DB8" w:rsidRPr="00B73618">
        <w:t>onsideration of the evidence</w:t>
      </w:r>
      <w:bookmarkEnd w:id="7"/>
    </w:p>
    <w:p w:rsidR="00B60939" w:rsidRDefault="00B60939" w:rsidP="004B1CB4"/>
    <w:p w:rsidR="00295FED" w:rsidRPr="008B6779" w:rsidRDefault="00295FED" w:rsidP="00295FED">
      <w:pPr>
        <w:rPr>
          <w:b/>
          <w:szCs w:val="22"/>
        </w:rPr>
      </w:pPr>
      <w:r w:rsidRPr="008B6779">
        <w:rPr>
          <w:b/>
          <w:szCs w:val="22"/>
        </w:rPr>
        <w:t>Sponsor hearing</w:t>
      </w:r>
    </w:p>
    <w:p w:rsidR="00295FED" w:rsidRPr="00BB7EC3" w:rsidRDefault="00295FED" w:rsidP="00295FED">
      <w:pPr>
        <w:rPr>
          <w:b/>
          <w:i/>
          <w:szCs w:val="22"/>
        </w:rPr>
      </w:pPr>
    </w:p>
    <w:p w:rsidR="00295FED" w:rsidRDefault="00295FED" w:rsidP="00295FED">
      <w:pPr>
        <w:pStyle w:val="ListParagraph"/>
        <w:widowControl/>
        <w:numPr>
          <w:ilvl w:val="1"/>
          <w:numId w:val="8"/>
        </w:numPr>
        <w:rPr>
          <w:szCs w:val="22"/>
        </w:rPr>
      </w:pPr>
      <w:r>
        <w:rPr>
          <w:szCs w:val="22"/>
        </w:rPr>
        <w:t>There was no hearing for this item.</w:t>
      </w:r>
    </w:p>
    <w:p w:rsidR="00295FED" w:rsidRDefault="00295FED" w:rsidP="00295FED">
      <w:pPr>
        <w:pStyle w:val="ListParagraph"/>
        <w:ind w:left="709"/>
        <w:rPr>
          <w:szCs w:val="22"/>
        </w:rPr>
      </w:pPr>
    </w:p>
    <w:p w:rsidR="00295FED" w:rsidRPr="008B6779" w:rsidRDefault="00295FED" w:rsidP="00295FED">
      <w:pPr>
        <w:rPr>
          <w:b/>
          <w:szCs w:val="22"/>
        </w:rPr>
      </w:pPr>
      <w:r w:rsidRPr="008B6779">
        <w:rPr>
          <w:b/>
          <w:szCs w:val="22"/>
        </w:rPr>
        <w:t>Consumer comments</w:t>
      </w:r>
    </w:p>
    <w:p w:rsidR="00295FED" w:rsidRPr="00BB7EC3" w:rsidRDefault="00295FED" w:rsidP="00295FED">
      <w:pPr>
        <w:rPr>
          <w:b/>
          <w:i/>
          <w:szCs w:val="22"/>
        </w:rPr>
      </w:pPr>
    </w:p>
    <w:p w:rsidR="00295FED" w:rsidRPr="00E6775E" w:rsidRDefault="00295FED" w:rsidP="00295FED">
      <w:pPr>
        <w:pStyle w:val="ListParagraph"/>
        <w:widowControl/>
        <w:numPr>
          <w:ilvl w:val="1"/>
          <w:numId w:val="8"/>
        </w:numPr>
        <w:rPr>
          <w:szCs w:val="22"/>
        </w:rPr>
      </w:pPr>
      <w:r w:rsidRPr="00E6775E">
        <w:rPr>
          <w:szCs w:val="22"/>
        </w:rPr>
        <w:t xml:space="preserve">The PBAC noted and welcomed the input from one health care professional via the Consumer Comments facility on the PBS website.  The comment described a range of benefits of treatment with sucroferric oxyhydroxide including reduced pill burden, increased compliance and reduced need for intravenous iron supplementation. </w:t>
      </w:r>
    </w:p>
    <w:p w:rsidR="00295FED" w:rsidRDefault="00295FED" w:rsidP="00295FED">
      <w:pPr>
        <w:rPr>
          <w:b/>
          <w:szCs w:val="22"/>
        </w:rPr>
      </w:pPr>
    </w:p>
    <w:p w:rsidR="00B60939" w:rsidRPr="008B6779" w:rsidRDefault="00B60939" w:rsidP="008B6779">
      <w:pPr>
        <w:rPr>
          <w:b/>
          <w:szCs w:val="22"/>
        </w:rPr>
      </w:pPr>
      <w:bookmarkStart w:id="8" w:name="_Toc398708605"/>
      <w:r w:rsidRPr="008B6779">
        <w:rPr>
          <w:b/>
          <w:szCs w:val="22"/>
        </w:rPr>
        <w:t>Clinical trials</w:t>
      </w:r>
      <w:bookmarkEnd w:id="8"/>
    </w:p>
    <w:p w:rsidR="00B60939" w:rsidRPr="00B73618" w:rsidRDefault="00B60939" w:rsidP="00B60939">
      <w:pPr>
        <w:rPr>
          <w:szCs w:val="22"/>
        </w:rPr>
      </w:pPr>
    </w:p>
    <w:p w:rsidR="007F1017" w:rsidRPr="00B73618" w:rsidRDefault="006C1982" w:rsidP="00DD3599">
      <w:pPr>
        <w:pStyle w:val="ListParagraph"/>
        <w:widowControl/>
        <w:numPr>
          <w:ilvl w:val="1"/>
          <w:numId w:val="8"/>
        </w:numPr>
        <w:rPr>
          <w:szCs w:val="22"/>
        </w:rPr>
      </w:pPr>
      <w:r>
        <w:t>The submission wa</w:t>
      </w:r>
      <w:r w:rsidR="00BE7C91" w:rsidRPr="00B73618">
        <w:t xml:space="preserve">s </w:t>
      </w:r>
      <w:r w:rsidR="00DD3599" w:rsidRPr="00B73618">
        <w:t>based on one sucroferric oxyhydroxide dose ranging study with a comparative sevelamer hydrochloride arm (PA-CL-03A) and one Phase 3 clinical trial with extension (PA-CL-05A/PA-CL-05B) comparing sucroferric oxyhydroxide to sevelamer carbonate.</w:t>
      </w:r>
    </w:p>
    <w:p w:rsidR="00862502" w:rsidRPr="00B73618" w:rsidRDefault="00862502" w:rsidP="00862502">
      <w:pPr>
        <w:widowControl/>
        <w:rPr>
          <w:szCs w:val="22"/>
        </w:rPr>
      </w:pPr>
    </w:p>
    <w:p w:rsidR="00BE7C91" w:rsidRPr="00B73618" w:rsidRDefault="00862502" w:rsidP="00D247D9">
      <w:pPr>
        <w:pStyle w:val="ListParagraph"/>
        <w:widowControl/>
        <w:numPr>
          <w:ilvl w:val="1"/>
          <w:numId w:val="8"/>
        </w:numPr>
        <w:rPr>
          <w:szCs w:val="22"/>
        </w:rPr>
      </w:pPr>
      <w:r w:rsidRPr="00B73618">
        <w:rPr>
          <w:szCs w:val="22"/>
        </w:rPr>
        <w:t xml:space="preserve">Details of the trials presented in the submission are provided in the table below.  </w:t>
      </w:r>
    </w:p>
    <w:p w:rsidR="00BE7C91" w:rsidRPr="00B73618" w:rsidRDefault="00BE7C91" w:rsidP="00BE7C91"/>
    <w:p w:rsidR="00BE7C91" w:rsidRPr="00B73618" w:rsidRDefault="00BE7C91" w:rsidP="004E0A71">
      <w:pPr>
        <w:ind w:firstLine="720"/>
        <w:rPr>
          <w:rStyle w:val="CommentReference"/>
        </w:rPr>
      </w:pPr>
      <w:r w:rsidRPr="00B73618">
        <w:rPr>
          <w:rStyle w:val="CommentReference"/>
        </w:rPr>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994"/>
        <w:gridCol w:w="4959"/>
        <w:gridCol w:w="2392"/>
      </w:tblGrid>
      <w:tr w:rsidR="004E0A71" w:rsidRPr="00B73618" w:rsidTr="009847B1">
        <w:tc>
          <w:tcPr>
            <w:tcW w:w="596" w:type="pct"/>
          </w:tcPr>
          <w:p w:rsidR="00BE7C91" w:rsidRPr="00B73618" w:rsidRDefault="00BE7C91" w:rsidP="00B07EDE">
            <w:pPr>
              <w:jc w:val="left"/>
              <w:rPr>
                <w:rFonts w:ascii="Arial Narrow" w:hAnsi="Arial Narrow"/>
                <w:b/>
                <w:sz w:val="20"/>
              </w:rPr>
            </w:pPr>
            <w:r w:rsidRPr="00B73618">
              <w:rPr>
                <w:rFonts w:ascii="Arial Narrow" w:hAnsi="Arial Narrow"/>
                <w:b/>
                <w:sz w:val="20"/>
              </w:rPr>
              <w:t>Trial ID</w:t>
            </w:r>
          </w:p>
        </w:tc>
        <w:tc>
          <w:tcPr>
            <w:tcW w:w="2971" w:type="pct"/>
          </w:tcPr>
          <w:p w:rsidR="00BE7C91" w:rsidRPr="00B73618" w:rsidRDefault="00BE7C91" w:rsidP="00B07EDE">
            <w:pPr>
              <w:jc w:val="center"/>
              <w:rPr>
                <w:rFonts w:ascii="Arial Narrow" w:hAnsi="Arial Narrow"/>
                <w:b/>
                <w:sz w:val="20"/>
              </w:rPr>
            </w:pPr>
            <w:r w:rsidRPr="00B73618">
              <w:rPr>
                <w:rFonts w:ascii="Arial Narrow" w:hAnsi="Arial Narrow"/>
                <w:b/>
                <w:sz w:val="20"/>
              </w:rPr>
              <w:t>Protocol title/ Publication title</w:t>
            </w:r>
          </w:p>
        </w:tc>
        <w:tc>
          <w:tcPr>
            <w:tcW w:w="1433" w:type="pct"/>
          </w:tcPr>
          <w:p w:rsidR="00BE7C91" w:rsidRPr="00B73618" w:rsidRDefault="00BE7C91" w:rsidP="00B07EDE">
            <w:pPr>
              <w:jc w:val="center"/>
              <w:rPr>
                <w:rFonts w:ascii="Arial Narrow" w:hAnsi="Arial Narrow"/>
                <w:b/>
                <w:sz w:val="20"/>
              </w:rPr>
            </w:pPr>
            <w:r w:rsidRPr="00B73618">
              <w:rPr>
                <w:rFonts w:ascii="Arial Narrow" w:hAnsi="Arial Narrow"/>
                <w:b/>
                <w:sz w:val="20"/>
              </w:rPr>
              <w:t>Publication citation</w:t>
            </w:r>
          </w:p>
        </w:tc>
      </w:tr>
      <w:tr w:rsidR="004E0A71" w:rsidRPr="00B73618" w:rsidTr="00DD3599">
        <w:trPr>
          <w:trHeight w:val="26"/>
        </w:trPr>
        <w:tc>
          <w:tcPr>
            <w:tcW w:w="5000" w:type="pct"/>
            <w:gridSpan w:val="3"/>
            <w:tcBorders>
              <w:bottom w:val="single" w:sz="4" w:space="0" w:color="auto"/>
            </w:tcBorders>
          </w:tcPr>
          <w:p w:rsidR="00BE7C91" w:rsidRPr="00B73618" w:rsidRDefault="00BE7C91" w:rsidP="00B07EDE">
            <w:pPr>
              <w:jc w:val="left"/>
              <w:rPr>
                <w:rFonts w:ascii="Arial Narrow" w:hAnsi="Arial Narrow"/>
                <w:b/>
                <w:sz w:val="20"/>
              </w:rPr>
            </w:pPr>
            <w:r w:rsidRPr="00B73618">
              <w:rPr>
                <w:rFonts w:ascii="Arial Narrow" w:hAnsi="Arial Narrow"/>
                <w:b/>
                <w:sz w:val="20"/>
              </w:rPr>
              <w:t>Direct randomised trial(s)</w:t>
            </w:r>
          </w:p>
        </w:tc>
      </w:tr>
      <w:tr w:rsidR="004E0A71" w:rsidRPr="00B73618" w:rsidTr="009847B1">
        <w:tc>
          <w:tcPr>
            <w:tcW w:w="596" w:type="pct"/>
            <w:tcBorders>
              <w:bottom w:val="nil"/>
            </w:tcBorders>
          </w:tcPr>
          <w:p w:rsidR="00BE7C91" w:rsidRPr="00B73618" w:rsidRDefault="00BE7C91" w:rsidP="00B07EDE">
            <w:pPr>
              <w:jc w:val="left"/>
              <w:rPr>
                <w:rFonts w:ascii="Arial Narrow" w:hAnsi="Arial Narrow"/>
                <w:sz w:val="20"/>
              </w:rPr>
            </w:pPr>
            <w:r w:rsidRPr="00B73618">
              <w:rPr>
                <w:rFonts w:ascii="Arial Narrow" w:hAnsi="Arial Narrow"/>
                <w:sz w:val="20"/>
              </w:rPr>
              <w:t>PA-CL-03A</w:t>
            </w:r>
          </w:p>
          <w:p w:rsidR="00BE7C91" w:rsidRPr="00B73618" w:rsidRDefault="00BE7C91" w:rsidP="00B07EDE">
            <w:pPr>
              <w:jc w:val="left"/>
              <w:rPr>
                <w:rFonts w:ascii="Arial Narrow" w:hAnsi="Arial Narrow"/>
                <w:sz w:val="20"/>
              </w:rPr>
            </w:pPr>
          </w:p>
        </w:tc>
        <w:tc>
          <w:tcPr>
            <w:tcW w:w="2971" w:type="pct"/>
            <w:tcBorders>
              <w:bottom w:val="nil"/>
            </w:tcBorders>
          </w:tcPr>
          <w:p w:rsidR="00BE7C91" w:rsidRPr="00B73618" w:rsidRDefault="00BE7C91" w:rsidP="00B07EDE">
            <w:pPr>
              <w:jc w:val="left"/>
              <w:rPr>
                <w:rFonts w:ascii="Arial Narrow" w:hAnsi="Arial Narrow"/>
                <w:sz w:val="20"/>
              </w:rPr>
            </w:pPr>
            <w:r w:rsidRPr="00B73618">
              <w:rPr>
                <w:rFonts w:ascii="Arial Narrow" w:hAnsi="Arial Narrow"/>
                <w:sz w:val="20"/>
              </w:rPr>
              <w:t>An Open-label, Randomised, Active-controlled Multicentre Phase 2 Dose Finding Study to Evaluate the Ability of PA21 to Lower Serum Phosphate Levels and the Tolerability in Patients with Chronic Kidney Disease on Maintenance Haemodialysis.</w:t>
            </w:r>
          </w:p>
        </w:tc>
        <w:tc>
          <w:tcPr>
            <w:tcW w:w="1433" w:type="pct"/>
            <w:tcBorders>
              <w:bottom w:val="nil"/>
            </w:tcBorders>
          </w:tcPr>
          <w:p w:rsidR="00BE7C91" w:rsidRPr="00B73618" w:rsidRDefault="00BE7C91" w:rsidP="00B07EDE">
            <w:pPr>
              <w:jc w:val="left"/>
              <w:rPr>
                <w:rFonts w:ascii="Arial Narrow" w:hAnsi="Arial Narrow"/>
                <w:sz w:val="20"/>
              </w:rPr>
            </w:pPr>
            <w:r w:rsidRPr="00B73618">
              <w:rPr>
                <w:rFonts w:ascii="Arial Narrow" w:hAnsi="Arial Narrow"/>
                <w:sz w:val="20"/>
              </w:rPr>
              <w:t>Internal study report, October 2012</w:t>
            </w:r>
          </w:p>
        </w:tc>
      </w:tr>
      <w:tr w:rsidR="006E0A25" w:rsidRPr="00B73618" w:rsidTr="009847B1">
        <w:tc>
          <w:tcPr>
            <w:tcW w:w="596" w:type="pct"/>
            <w:tcBorders>
              <w:top w:val="nil"/>
              <w:bottom w:val="single" w:sz="4" w:space="0" w:color="auto"/>
            </w:tcBorders>
          </w:tcPr>
          <w:p w:rsidR="006E0A25" w:rsidRPr="00B73618" w:rsidRDefault="006E0A25" w:rsidP="00B07EDE">
            <w:pPr>
              <w:jc w:val="left"/>
              <w:rPr>
                <w:rFonts w:ascii="Arial Narrow" w:hAnsi="Arial Narrow"/>
                <w:sz w:val="20"/>
              </w:rPr>
            </w:pPr>
          </w:p>
        </w:tc>
        <w:tc>
          <w:tcPr>
            <w:tcW w:w="2971" w:type="pct"/>
            <w:tcBorders>
              <w:top w:val="nil"/>
              <w:bottom w:val="single" w:sz="4" w:space="0" w:color="auto"/>
            </w:tcBorders>
          </w:tcPr>
          <w:p w:rsidR="006E0A25" w:rsidRPr="00B73618" w:rsidRDefault="006E0A25" w:rsidP="00B07EDE">
            <w:pPr>
              <w:jc w:val="left"/>
              <w:rPr>
                <w:rFonts w:ascii="Arial Narrow" w:hAnsi="Arial Narrow"/>
                <w:sz w:val="20"/>
              </w:rPr>
            </w:pPr>
            <w:r w:rsidRPr="00B73618">
              <w:rPr>
                <w:rFonts w:ascii="Arial Narrow" w:hAnsi="Arial Narrow"/>
                <w:sz w:val="20"/>
              </w:rPr>
              <w:t>Wüthrich et al. Randomized Clinical Trial of the Iron-Based Phosphate Binder PA21 in Hemodialysis Patients.</w:t>
            </w:r>
          </w:p>
        </w:tc>
        <w:tc>
          <w:tcPr>
            <w:tcW w:w="1433" w:type="pct"/>
            <w:tcBorders>
              <w:top w:val="nil"/>
              <w:bottom w:val="single" w:sz="4" w:space="0" w:color="auto"/>
            </w:tcBorders>
          </w:tcPr>
          <w:p w:rsidR="006E0A25" w:rsidRPr="00B73618" w:rsidRDefault="006E0A25" w:rsidP="00B07EDE">
            <w:pPr>
              <w:jc w:val="left"/>
              <w:rPr>
                <w:rFonts w:ascii="Arial Narrow" w:hAnsi="Arial Narrow"/>
                <w:sz w:val="20"/>
              </w:rPr>
            </w:pPr>
            <w:r w:rsidRPr="00B73618">
              <w:rPr>
                <w:rFonts w:ascii="Arial Narrow" w:hAnsi="Arial Narrow"/>
                <w:sz w:val="20"/>
              </w:rPr>
              <w:t>Clinical Journal of the American Society of Nephrology. 2013 Feb</w:t>
            </w:r>
            <w:r w:rsidR="00BB55B4" w:rsidRPr="00B73618">
              <w:rPr>
                <w:rFonts w:ascii="Arial Narrow" w:hAnsi="Arial Narrow"/>
                <w:sz w:val="20"/>
              </w:rPr>
              <w:t>; 8</w:t>
            </w:r>
            <w:r w:rsidRPr="00B73618">
              <w:rPr>
                <w:rFonts w:ascii="Arial Narrow" w:hAnsi="Arial Narrow"/>
                <w:sz w:val="20"/>
              </w:rPr>
              <w:t>(2):280-9.</w:t>
            </w:r>
          </w:p>
        </w:tc>
      </w:tr>
      <w:tr w:rsidR="004E0A71" w:rsidRPr="00B73618" w:rsidTr="009847B1">
        <w:tc>
          <w:tcPr>
            <w:tcW w:w="596" w:type="pct"/>
            <w:tcBorders>
              <w:bottom w:val="nil"/>
            </w:tcBorders>
          </w:tcPr>
          <w:p w:rsidR="00BE7C91" w:rsidRPr="00B73618" w:rsidRDefault="00BE7C91" w:rsidP="00B07EDE">
            <w:pPr>
              <w:jc w:val="left"/>
              <w:rPr>
                <w:rFonts w:ascii="Arial Narrow" w:hAnsi="Arial Narrow"/>
                <w:sz w:val="20"/>
              </w:rPr>
            </w:pPr>
            <w:r w:rsidRPr="00B73618">
              <w:rPr>
                <w:rFonts w:ascii="Arial Narrow" w:hAnsi="Arial Narrow"/>
                <w:sz w:val="20"/>
              </w:rPr>
              <w:t>PA-CL-05A</w:t>
            </w:r>
          </w:p>
        </w:tc>
        <w:tc>
          <w:tcPr>
            <w:tcW w:w="2971" w:type="pct"/>
            <w:tcBorders>
              <w:bottom w:val="nil"/>
            </w:tcBorders>
          </w:tcPr>
          <w:p w:rsidR="00BE7C91" w:rsidRPr="00B73618" w:rsidRDefault="00BE7C91" w:rsidP="00B07EDE">
            <w:pPr>
              <w:jc w:val="left"/>
              <w:rPr>
                <w:rFonts w:ascii="Arial Narrow" w:hAnsi="Arial Narrow"/>
                <w:sz w:val="20"/>
              </w:rPr>
            </w:pPr>
            <w:r w:rsidRPr="00B73618">
              <w:rPr>
                <w:rFonts w:ascii="Arial Narrow" w:hAnsi="Arial Narrow"/>
                <w:sz w:val="20"/>
              </w:rPr>
              <w:t>An Open-label, Randomised, Active-controlled, Parallel Group, Multicentre, Phase 3 Study to Investigate the Safety and Efficacy of PA21 Compared with Sevelamer Carbonate Followed by a Randomised Comparison of PA21 Maintenance Dose Versus PA21 Low Dose in Dialysis Patients with Hyperphosphataemia.</w:t>
            </w:r>
          </w:p>
        </w:tc>
        <w:tc>
          <w:tcPr>
            <w:tcW w:w="1433" w:type="pct"/>
            <w:tcBorders>
              <w:bottom w:val="nil"/>
            </w:tcBorders>
          </w:tcPr>
          <w:p w:rsidR="00BE7C91" w:rsidRPr="00B73618" w:rsidRDefault="00BE7C91" w:rsidP="00B07EDE">
            <w:pPr>
              <w:jc w:val="left"/>
              <w:rPr>
                <w:rFonts w:ascii="Arial Narrow" w:hAnsi="Arial Narrow"/>
                <w:b/>
                <w:sz w:val="20"/>
              </w:rPr>
            </w:pPr>
            <w:r w:rsidRPr="00B73618">
              <w:rPr>
                <w:rFonts w:ascii="Arial Narrow" w:hAnsi="Arial Narrow"/>
                <w:sz w:val="20"/>
              </w:rPr>
              <w:t>Internal study report, October 2012</w:t>
            </w:r>
          </w:p>
        </w:tc>
      </w:tr>
      <w:tr w:rsidR="006E0A25" w:rsidRPr="00B73618" w:rsidTr="009847B1">
        <w:tc>
          <w:tcPr>
            <w:tcW w:w="596" w:type="pct"/>
            <w:tcBorders>
              <w:top w:val="nil"/>
            </w:tcBorders>
          </w:tcPr>
          <w:p w:rsidR="006E0A25" w:rsidRPr="00B73618" w:rsidRDefault="006E0A25" w:rsidP="00B07EDE">
            <w:pPr>
              <w:jc w:val="left"/>
              <w:rPr>
                <w:rFonts w:ascii="Arial Narrow" w:hAnsi="Arial Narrow"/>
                <w:sz w:val="20"/>
              </w:rPr>
            </w:pPr>
          </w:p>
        </w:tc>
        <w:tc>
          <w:tcPr>
            <w:tcW w:w="2971" w:type="pct"/>
            <w:tcBorders>
              <w:top w:val="nil"/>
            </w:tcBorders>
          </w:tcPr>
          <w:p w:rsidR="006E0A25" w:rsidRPr="00B73618" w:rsidRDefault="006E0A25" w:rsidP="00B07EDE">
            <w:pPr>
              <w:jc w:val="left"/>
              <w:rPr>
                <w:rFonts w:ascii="Arial Narrow" w:hAnsi="Arial Narrow"/>
                <w:sz w:val="20"/>
              </w:rPr>
            </w:pPr>
            <w:r w:rsidRPr="00B73618">
              <w:rPr>
                <w:rFonts w:ascii="Arial Narrow" w:hAnsi="Arial Narrow"/>
                <w:sz w:val="20"/>
              </w:rPr>
              <w:t>Floege, et al. A phase III study of the efficacy and safety of a novel iron-based phosphate binder in dialysis patients.</w:t>
            </w:r>
          </w:p>
        </w:tc>
        <w:tc>
          <w:tcPr>
            <w:tcW w:w="1433" w:type="pct"/>
            <w:tcBorders>
              <w:top w:val="nil"/>
            </w:tcBorders>
          </w:tcPr>
          <w:p w:rsidR="006E0A25" w:rsidRPr="00B73618" w:rsidRDefault="006E0A25" w:rsidP="00B07EDE">
            <w:pPr>
              <w:jc w:val="left"/>
              <w:rPr>
                <w:rFonts w:ascii="Arial Narrow" w:hAnsi="Arial Narrow"/>
                <w:sz w:val="20"/>
              </w:rPr>
            </w:pPr>
            <w:r w:rsidRPr="00B73618">
              <w:rPr>
                <w:rFonts w:ascii="Arial Narrow" w:hAnsi="Arial Narrow"/>
                <w:sz w:val="20"/>
              </w:rPr>
              <w:t>Kidney International, 2014 (advance online publication)</w:t>
            </w:r>
          </w:p>
        </w:tc>
      </w:tr>
      <w:tr w:rsidR="004E0A71" w:rsidRPr="00B73618" w:rsidTr="009847B1">
        <w:tc>
          <w:tcPr>
            <w:tcW w:w="596" w:type="pct"/>
          </w:tcPr>
          <w:p w:rsidR="00BE7C91" w:rsidRPr="00B73618" w:rsidRDefault="00BE7C91" w:rsidP="00B07EDE">
            <w:pPr>
              <w:jc w:val="left"/>
              <w:rPr>
                <w:rFonts w:ascii="Arial Narrow" w:hAnsi="Arial Narrow"/>
                <w:sz w:val="20"/>
              </w:rPr>
            </w:pPr>
            <w:r w:rsidRPr="00B73618">
              <w:rPr>
                <w:rFonts w:ascii="Arial Narrow" w:hAnsi="Arial Narrow"/>
                <w:sz w:val="20"/>
              </w:rPr>
              <w:t>PA-CL-05B</w:t>
            </w:r>
          </w:p>
        </w:tc>
        <w:tc>
          <w:tcPr>
            <w:tcW w:w="2971" w:type="pct"/>
          </w:tcPr>
          <w:p w:rsidR="00BE7C91" w:rsidRPr="00B73618" w:rsidRDefault="00BE7C91" w:rsidP="00B07EDE">
            <w:pPr>
              <w:jc w:val="left"/>
              <w:rPr>
                <w:rFonts w:ascii="Arial Narrow" w:hAnsi="Arial Narrow"/>
                <w:b/>
                <w:sz w:val="20"/>
              </w:rPr>
            </w:pPr>
            <w:r w:rsidRPr="00B73618">
              <w:rPr>
                <w:rFonts w:ascii="Arial Narrow" w:hAnsi="Arial Narrow"/>
                <w:sz w:val="20"/>
              </w:rPr>
              <w:t>An Open-label, Randomised, Active-controlled, Parallel Group, Multicentre Phase 3 Studies to Investigate the Long-term Safety, Tolerability and Efficacy of PA21 Compared with Sevelamer Carbonate in Dialysis Patients with Hyperphosphataemia.</w:t>
            </w:r>
          </w:p>
        </w:tc>
        <w:tc>
          <w:tcPr>
            <w:tcW w:w="1433" w:type="pct"/>
          </w:tcPr>
          <w:p w:rsidR="00BE7C91" w:rsidRPr="00B73618" w:rsidRDefault="00BE7C91" w:rsidP="00B07EDE">
            <w:pPr>
              <w:jc w:val="left"/>
              <w:rPr>
                <w:rFonts w:ascii="Arial Narrow" w:hAnsi="Arial Narrow"/>
                <w:sz w:val="20"/>
              </w:rPr>
            </w:pPr>
            <w:r w:rsidRPr="00B73618">
              <w:rPr>
                <w:rFonts w:ascii="Arial Narrow" w:hAnsi="Arial Narrow"/>
                <w:sz w:val="20"/>
              </w:rPr>
              <w:t>Internal study report, August 2013</w:t>
            </w:r>
          </w:p>
          <w:p w:rsidR="00BE7C91" w:rsidRPr="00B73618" w:rsidRDefault="00BE7C91" w:rsidP="00B07EDE">
            <w:pPr>
              <w:jc w:val="left"/>
              <w:rPr>
                <w:rFonts w:ascii="Arial Narrow" w:hAnsi="Arial Narrow"/>
                <w:b/>
                <w:sz w:val="20"/>
              </w:rPr>
            </w:pPr>
          </w:p>
        </w:tc>
      </w:tr>
    </w:tbl>
    <w:p w:rsidR="00BE7C91" w:rsidRPr="00B73618" w:rsidRDefault="00BE7C91" w:rsidP="004E0A71">
      <w:pPr>
        <w:pStyle w:val="TableFooter"/>
        <w:ind w:left="720"/>
      </w:pPr>
      <w:r w:rsidRPr="00B73618">
        <w:t>Source: Table B-</w:t>
      </w:r>
      <w:r w:rsidR="00D70AE7" w:rsidRPr="00B73618">
        <w:t>3 (p</w:t>
      </w:r>
      <w:r w:rsidRPr="00B73618">
        <w:t xml:space="preserve"> 27) of the submission, relevant references and Individual Clinical Study Report (CSR) as attachment to the submission.</w:t>
      </w:r>
    </w:p>
    <w:p w:rsidR="00862502" w:rsidRPr="00B73618" w:rsidRDefault="00862502" w:rsidP="008F120A">
      <w:pPr>
        <w:widowControl/>
        <w:rPr>
          <w:szCs w:val="22"/>
        </w:rPr>
      </w:pPr>
    </w:p>
    <w:p w:rsidR="00862502" w:rsidRPr="00B73618" w:rsidRDefault="008F120A" w:rsidP="008F13CD">
      <w:pPr>
        <w:pStyle w:val="ListParagraph"/>
        <w:numPr>
          <w:ilvl w:val="1"/>
          <w:numId w:val="8"/>
        </w:numPr>
        <w:rPr>
          <w:szCs w:val="22"/>
        </w:rPr>
      </w:pPr>
      <w:r w:rsidRPr="00B73618">
        <w:rPr>
          <w:szCs w:val="22"/>
        </w:rPr>
        <w:t xml:space="preserve">The key features of the direct randomised trials are summarised in the table below.  </w:t>
      </w:r>
    </w:p>
    <w:p w:rsidR="007F1017" w:rsidRPr="00B73618" w:rsidRDefault="007F1017" w:rsidP="007F1017">
      <w:pPr>
        <w:widowControl/>
        <w:rPr>
          <w:szCs w:val="22"/>
        </w:rPr>
      </w:pPr>
    </w:p>
    <w:p w:rsidR="007F1017" w:rsidRPr="00B73618" w:rsidRDefault="007F1017" w:rsidP="004E0A71">
      <w:pPr>
        <w:ind w:firstLine="720"/>
        <w:rPr>
          <w:rStyle w:val="CommentReference"/>
        </w:rPr>
      </w:pPr>
      <w:r w:rsidRPr="00B73618">
        <w:rPr>
          <w:rStyle w:val="CommentReference"/>
        </w:rPr>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5"/>
        <w:gridCol w:w="574"/>
        <w:gridCol w:w="1190"/>
        <w:gridCol w:w="699"/>
        <w:gridCol w:w="3206"/>
        <w:gridCol w:w="1691"/>
      </w:tblGrid>
      <w:tr w:rsidR="00840A8C" w:rsidRPr="00B73618" w:rsidTr="00840A8C">
        <w:tc>
          <w:tcPr>
            <w:tcW w:w="590" w:type="pct"/>
            <w:shd w:val="clear" w:color="auto" w:fill="auto"/>
            <w:vAlign w:val="center"/>
          </w:tcPr>
          <w:p w:rsidR="00840A8C" w:rsidRPr="00B73618" w:rsidRDefault="00840A8C" w:rsidP="007F1017">
            <w:pPr>
              <w:jc w:val="left"/>
              <w:rPr>
                <w:rFonts w:ascii="Arial Narrow" w:hAnsi="Arial Narrow"/>
                <w:b/>
                <w:sz w:val="20"/>
                <w:lang w:val="en-US"/>
              </w:rPr>
            </w:pPr>
            <w:r w:rsidRPr="00B73618">
              <w:rPr>
                <w:rFonts w:ascii="Arial Narrow" w:hAnsi="Arial Narrow"/>
                <w:b/>
                <w:sz w:val="20"/>
                <w:lang w:val="en-US"/>
              </w:rPr>
              <w:t>Trial</w:t>
            </w:r>
          </w:p>
        </w:tc>
        <w:tc>
          <w:tcPr>
            <w:tcW w:w="344" w:type="pct"/>
            <w:shd w:val="clear" w:color="auto" w:fill="auto"/>
            <w:vAlign w:val="center"/>
          </w:tcPr>
          <w:p w:rsidR="00840A8C" w:rsidRPr="00B73618" w:rsidRDefault="00840A8C" w:rsidP="007F1017">
            <w:pPr>
              <w:jc w:val="center"/>
              <w:rPr>
                <w:rFonts w:ascii="Arial Narrow" w:hAnsi="Arial Narrow"/>
                <w:b/>
                <w:sz w:val="20"/>
                <w:lang w:val="en-US"/>
              </w:rPr>
            </w:pPr>
            <w:r w:rsidRPr="00B73618">
              <w:rPr>
                <w:rFonts w:ascii="Arial Narrow" w:hAnsi="Arial Narrow"/>
                <w:b/>
                <w:sz w:val="20"/>
                <w:lang w:val="en-US"/>
              </w:rPr>
              <w:t>N</w:t>
            </w:r>
          </w:p>
        </w:tc>
        <w:tc>
          <w:tcPr>
            <w:tcW w:w="713" w:type="pct"/>
            <w:shd w:val="clear" w:color="auto" w:fill="auto"/>
            <w:vAlign w:val="center"/>
          </w:tcPr>
          <w:p w:rsidR="00840A8C" w:rsidRPr="00B73618" w:rsidRDefault="00840A8C" w:rsidP="007F1017">
            <w:pPr>
              <w:jc w:val="center"/>
              <w:rPr>
                <w:rFonts w:ascii="Arial Narrow" w:hAnsi="Arial Narrow"/>
                <w:b/>
                <w:sz w:val="20"/>
                <w:lang w:val="en-US"/>
              </w:rPr>
            </w:pPr>
            <w:r w:rsidRPr="00B73618">
              <w:rPr>
                <w:rFonts w:ascii="Arial Narrow" w:hAnsi="Arial Narrow"/>
                <w:b/>
                <w:sz w:val="20"/>
                <w:lang w:val="en-US"/>
              </w:rPr>
              <w:t>Design/ duration</w:t>
            </w:r>
          </w:p>
        </w:tc>
        <w:tc>
          <w:tcPr>
            <w:tcW w:w="419" w:type="pct"/>
            <w:shd w:val="clear" w:color="auto" w:fill="auto"/>
            <w:vAlign w:val="center"/>
          </w:tcPr>
          <w:p w:rsidR="00840A8C" w:rsidRPr="00B73618" w:rsidRDefault="00840A8C" w:rsidP="007F1017">
            <w:pPr>
              <w:jc w:val="center"/>
              <w:rPr>
                <w:rFonts w:ascii="Arial Narrow" w:hAnsi="Arial Narrow"/>
                <w:b/>
                <w:sz w:val="20"/>
                <w:lang w:val="en-US"/>
              </w:rPr>
            </w:pPr>
            <w:r w:rsidRPr="00B73618">
              <w:rPr>
                <w:rFonts w:ascii="Arial Narrow" w:hAnsi="Arial Narrow"/>
                <w:b/>
                <w:sz w:val="20"/>
                <w:lang w:val="en-US"/>
              </w:rPr>
              <w:t>Risk of bias</w:t>
            </w:r>
          </w:p>
        </w:tc>
        <w:tc>
          <w:tcPr>
            <w:tcW w:w="1921" w:type="pct"/>
            <w:shd w:val="clear" w:color="auto" w:fill="auto"/>
            <w:vAlign w:val="center"/>
          </w:tcPr>
          <w:p w:rsidR="00840A8C" w:rsidRPr="00B73618" w:rsidRDefault="00840A8C" w:rsidP="007F1017">
            <w:pPr>
              <w:jc w:val="center"/>
              <w:rPr>
                <w:rFonts w:ascii="Arial Narrow" w:hAnsi="Arial Narrow"/>
                <w:b/>
                <w:sz w:val="20"/>
                <w:lang w:val="en-US"/>
              </w:rPr>
            </w:pPr>
            <w:r w:rsidRPr="00B73618">
              <w:rPr>
                <w:rFonts w:ascii="Arial Narrow" w:hAnsi="Arial Narrow"/>
                <w:b/>
                <w:sz w:val="20"/>
                <w:lang w:val="en-US"/>
              </w:rPr>
              <w:t>Patient population</w:t>
            </w:r>
          </w:p>
        </w:tc>
        <w:tc>
          <w:tcPr>
            <w:tcW w:w="1013" w:type="pct"/>
            <w:shd w:val="clear" w:color="auto" w:fill="auto"/>
            <w:vAlign w:val="center"/>
          </w:tcPr>
          <w:p w:rsidR="00840A8C" w:rsidRPr="00B73618" w:rsidRDefault="00840A8C" w:rsidP="00840A8C">
            <w:pPr>
              <w:jc w:val="center"/>
              <w:rPr>
                <w:rFonts w:ascii="Arial Narrow" w:hAnsi="Arial Narrow"/>
                <w:b/>
                <w:sz w:val="20"/>
                <w:lang w:val="en-US"/>
              </w:rPr>
            </w:pPr>
            <w:r w:rsidRPr="00B73618">
              <w:rPr>
                <w:rFonts w:ascii="Arial Narrow" w:hAnsi="Arial Narrow"/>
                <w:b/>
                <w:sz w:val="20"/>
                <w:lang w:val="en-US"/>
              </w:rPr>
              <w:t>Outcomes</w:t>
            </w:r>
          </w:p>
        </w:tc>
      </w:tr>
      <w:tr w:rsidR="00D02E4D" w:rsidRPr="00B73618" w:rsidTr="004E0A71">
        <w:trPr>
          <w:trHeight w:val="58"/>
        </w:trPr>
        <w:tc>
          <w:tcPr>
            <w:tcW w:w="5000" w:type="pct"/>
            <w:gridSpan w:val="6"/>
            <w:shd w:val="clear" w:color="auto" w:fill="auto"/>
            <w:vAlign w:val="center"/>
          </w:tcPr>
          <w:p w:rsidR="007F1017" w:rsidRPr="00B73618" w:rsidRDefault="000D031B" w:rsidP="007F1017">
            <w:pPr>
              <w:jc w:val="left"/>
              <w:rPr>
                <w:rFonts w:ascii="Arial Narrow" w:hAnsi="Arial Narrow"/>
                <w:b/>
                <w:sz w:val="20"/>
              </w:rPr>
            </w:pPr>
            <w:r w:rsidRPr="00B73618">
              <w:rPr>
                <w:rFonts w:ascii="Arial Narrow" w:hAnsi="Arial Narrow"/>
                <w:b/>
                <w:sz w:val="20"/>
              </w:rPr>
              <w:t>S</w:t>
            </w:r>
            <w:r w:rsidR="00E575EC" w:rsidRPr="00B73618">
              <w:rPr>
                <w:rFonts w:ascii="Arial Narrow" w:hAnsi="Arial Narrow"/>
                <w:b/>
                <w:sz w:val="20"/>
              </w:rPr>
              <w:t xml:space="preserve">ucroferric oxyhydroxide </w:t>
            </w:r>
            <w:r w:rsidR="007F1017" w:rsidRPr="00B73618">
              <w:rPr>
                <w:rFonts w:ascii="Arial Narrow" w:hAnsi="Arial Narrow"/>
                <w:b/>
                <w:sz w:val="20"/>
                <w:lang w:val="en-US"/>
              </w:rPr>
              <w:t xml:space="preserve">vs. </w:t>
            </w:r>
            <w:r w:rsidR="00E575EC" w:rsidRPr="00B73618">
              <w:rPr>
                <w:rFonts w:ascii="Arial Narrow" w:hAnsi="Arial Narrow"/>
                <w:b/>
                <w:sz w:val="20"/>
              </w:rPr>
              <w:t xml:space="preserve">sevelamer </w:t>
            </w:r>
          </w:p>
        </w:tc>
      </w:tr>
      <w:tr w:rsidR="00840A8C" w:rsidRPr="00B73618" w:rsidTr="00840A8C">
        <w:tc>
          <w:tcPr>
            <w:tcW w:w="590" w:type="pct"/>
            <w:shd w:val="clear" w:color="auto" w:fill="auto"/>
            <w:vAlign w:val="center"/>
          </w:tcPr>
          <w:p w:rsidR="00840A8C" w:rsidRPr="00B73618" w:rsidRDefault="00840A8C" w:rsidP="007F1017">
            <w:pPr>
              <w:jc w:val="left"/>
              <w:rPr>
                <w:rFonts w:ascii="Arial Narrow" w:hAnsi="Arial Narrow"/>
                <w:sz w:val="20"/>
                <w:lang w:val="en-US"/>
              </w:rPr>
            </w:pPr>
            <w:r w:rsidRPr="00B73618">
              <w:rPr>
                <w:rFonts w:ascii="Arial Narrow" w:hAnsi="Arial Narrow"/>
                <w:sz w:val="20"/>
                <w:lang w:val="en-US"/>
              </w:rPr>
              <w:t>PA-CL-03A</w:t>
            </w:r>
          </w:p>
        </w:tc>
        <w:tc>
          <w:tcPr>
            <w:tcW w:w="344" w:type="pct"/>
            <w:shd w:val="clear" w:color="auto" w:fill="auto"/>
            <w:vAlign w:val="center"/>
          </w:tcPr>
          <w:p w:rsidR="00840A8C" w:rsidRPr="00B73618" w:rsidRDefault="00840A8C" w:rsidP="007F1017">
            <w:pPr>
              <w:jc w:val="center"/>
              <w:rPr>
                <w:rFonts w:ascii="Arial Narrow" w:hAnsi="Arial Narrow"/>
                <w:sz w:val="20"/>
                <w:lang w:val="en-US"/>
              </w:rPr>
            </w:pPr>
            <w:r w:rsidRPr="00B73618">
              <w:rPr>
                <w:rFonts w:ascii="Arial Narrow" w:hAnsi="Arial Narrow"/>
                <w:sz w:val="20"/>
                <w:lang w:val="en-US"/>
              </w:rPr>
              <w:t>150</w:t>
            </w:r>
          </w:p>
        </w:tc>
        <w:tc>
          <w:tcPr>
            <w:tcW w:w="713" w:type="pct"/>
            <w:shd w:val="clear" w:color="auto" w:fill="auto"/>
            <w:vAlign w:val="center"/>
          </w:tcPr>
          <w:p w:rsidR="00840A8C" w:rsidRPr="00B73618" w:rsidRDefault="00840A8C" w:rsidP="00B719AB">
            <w:pPr>
              <w:jc w:val="center"/>
              <w:rPr>
                <w:rFonts w:ascii="Arial Narrow" w:hAnsi="Arial Narrow"/>
                <w:sz w:val="20"/>
                <w:lang w:val="en-US"/>
              </w:rPr>
            </w:pPr>
            <w:r w:rsidRPr="00B73618">
              <w:rPr>
                <w:rFonts w:ascii="Arial Narrow" w:hAnsi="Arial Narrow"/>
                <w:sz w:val="20"/>
                <w:lang w:val="en-US"/>
              </w:rPr>
              <w:t>MC, R, OL</w:t>
            </w:r>
          </w:p>
          <w:p w:rsidR="00840A8C" w:rsidRPr="00B73618" w:rsidRDefault="00840A8C" w:rsidP="007F1017">
            <w:pPr>
              <w:jc w:val="center"/>
              <w:rPr>
                <w:rFonts w:ascii="Arial Narrow" w:hAnsi="Arial Narrow"/>
                <w:sz w:val="20"/>
                <w:lang w:val="en-US"/>
              </w:rPr>
            </w:pPr>
            <w:r w:rsidRPr="00B73618">
              <w:rPr>
                <w:rFonts w:ascii="Arial Narrow" w:hAnsi="Arial Narrow"/>
                <w:sz w:val="20"/>
                <w:lang w:val="en-US"/>
              </w:rPr>
              <w:t>6 weeks</w:t>
            </w:r>
          </w:p>
        </w:tc>
        <w:tc>
          <w:tcPr>
            <w:tcW w:w="419" w:type="pct"/>
            <w:shd w:val="clear" w:color="auto" w:fill="auto"/>
            <w:vAlign w:val="center"/>
          </w:tcPr>
          <w:p w:rsidR="00840A8C" w:rsidRPr="00B73618" w:rsidRDefault="00840A8C" w:rsidP="007F1017">
            <w:pPr>
              <w:jc w:val="center"/>
              <w:rPr>
                <w:rFonts w:ascii="Arial Narrow" w:hAnsi="Arial Narrow"/>
                <w:sz w:val="20"/>
                <w:lang w:val="en-US"/>
              </w:rPr>
            </w:pPr>
            <w:r w:rsidRPr="00B73618">
              <w:rPr>
                <w:rFonts w:ascii="Arial Narrow" w:hAnsi="Arial Narrow"/>
                <w:sz w:val="20"/>
                <w:lang w:val="en-US"/>
              </w:rPr>
              <w:t>Low</w:t>
            </w:r>
          </w:p>
        </w:tc>
        <w:tc>
          <w:tcPr>
            <w:tcW w:w="1921" w:type="pct"/>
            <w:shd w:val="clear" w:color="auto" w:fill="auto"/>
            <w:vAlign w:val="center"/>
          </w:tcPr>
          <w:p w:rsidR="00840A8C" w:rsidRPr="00B73618" w:rsidRDefault="00840A8C" w:rsidP="007F1017">
            <w:pPr>
              <w:jc w:val="center"/>
              <w:rPr>
                <w:rFonts w:ascii="Arial Narrow" w:hAnsi="Arial Narrow"/>
                <w:sz w:val="20"/>
                <w:lang w:val="en-US"/>
              </w:rPr>
            </w:pPr>
            <w:r w:rsidRPr="00B73618">
              <w:rPr>
                <w:rFonts w:ascii="Arial Narrow" w:hAnsi="Arial Narrow"/>
                <w:sz w:val="20"/>
                <w:lang w:val="en-US"/>
              </w:rPr>
              <w:t>CKD patients on maintenance haemodialysis with hyperphosphataemia receiving stable treatment with a phosphate binder</w:t>
            </w:r>
            <w:r w:rsidR="00C205C5" w:rsidRPr="00B73618">
              <w:rPr>
                <w:rFonts w:ascii="Arial Narrow" w:hAnsi="Arial Narrow"/>
                <w:sz w:val="20"/>
                <w:lang w:val="en-US"/>
              </w:rPr>
              <w:t>.</w:t>
            </w:r>
          </w:p>
        </w:tc>
        <w:tc>
          <w:tcPr>
            <w:tcW w:w="1013" w:type="pct"/>
            <w:shd w:val="clear" w:color="auto" w:fill="auto"/>
            <w:vAlign w:val="center"/>
          </w:tcPr>
          <w:p w:rsidR="00840A8C" w:rsidRPr="00B73618" w:rsidRDefault="00840A8C" w:rsidP="00840A8C">
            <w:pPr>
              <w:jc w:val="center"/>
              <w:rPr>
                <w:rFonts w:ascii="Arial Narrow" w:hAnsi="Arial Narrow"/>
                <w:sz w:val="20"/>
                <w:lang w:val="en-US"/>
              </w:rPr>
            </w:pPr>
            <w:r w:rsidRPr="00B73618">
              <w:rPr>
                <w:rFonts w:ascii="Arial Narrow" w:hAnsi="Arial Narrow"/>
                <w:sz w:val="20"/>
                <w:lang w:val="en-US"/>
              </w:rPr>
              <w:t>Change in serum phosphorus levels</w:t>
            </w:r>
          </w:p>
        </w:tc>
      </w:tr>
      <w:tr w:rsidR="00840A8C" w:rsidRPr="00B73618" w:rsidTr="00840A8C">
        <w:tc>
          <w:tcPr>
            <w:tcW w:w="590" w:type="pct"/>
            <w:shd w:val="clear" w:color="auto" w:fill="auto"/>
            <w:vAlign w:val="center"/>
          </w:tcPr>
          <w:p w:rsidR="00840A8C" w:rsidRPr="00B73618" w:rsidRDefault="00840A8C" w:rsidP="007F1017">
            <w:pPr>
              <w:jc w:val="left"/>
              <w:rPr>
                <w:rFonts w:ascii="Arial Narrow" w:hAnsi="Arial Narrow"/>
                <w:sz w:val="20"/>
                <w:lang w:val="en-US"/>
              </w:rPr>
            </w:pPr>
            <w:r w:rsidRPr="00B73618">
              <w:rPr>
                <w:rFonts w:ascii="Arial Narrow" w:hAnsi="Arial Narrow"/>
                <w:sz w:val="20"/>
                <w:lang w:val="en-US"/>
              </w:rPr>
              <w:t>PA-CL-05A</w:t>
            </w:r>
          </w:p>
        </w:tc>
        <w:tc>
          <w:tcPr>
            <w:tcW w:w="344" w:type="pct"/>
            <w:shd w:val="clear" w:color="auto" w:fill="auto"/>
            <w:vAlign w:val="center"/>
          </w:tcPr>
          <w:p w:rsidR="00840A8C" w:rsidRPr="00B73618" w:rsidRDefault="00840A8C" w:rsidP="007F1017">
            <w:pPr>
              <w:jc w:val="center"/>
              <w:rPr>
                <w:rFonts w:ascii="Arial Narrow" w:hAnsi="Arial Narrow"/>
                <w:sz w:val="20"/>
                <w:lang w:val="en-US"/>
              </w:rPr>
            </w:pPr>
            <w:r w:rsidRPr="00B73618">
              <w:rPr>
                <w:rFonts w:ascii="Arial Narrow" w:hAnsi="Arial Narrow"/>
                <w:sz w:val="20"/>
                <w:lang w:val="en-US"/>
              </w:rPr>
              <w:t>1059</w:t>
            </w:r>
          </w:p>
        </w:tc>
        <w:tc>
          <w:tcPr>
            <w:tcW w:w="713" w:type="pct"/>
            <w:shd w:val="clear" w:color="auto" w:fill="auto"/>
            <w:vAlign w:val="center"/>
          </w:tcPr>
          <w:p w:rsidR="00840A8C" w:rsidRPr="00B73618" w:rsidRDefault="00840A8C" w:rsidP="007F1017">
            <w:pPr>
              <w:jc w:val="center"/>
              <w:rPr>
                <w:rFonts w:ascii="Arial Narrow" w:hAnsi="Arial Narrow"/>
                <w:sz w:val="20"/>
                <w:lang w:val="en-US"/>
              </w:rPr>
            </w:pPr>
            <w:r w:rsidRPr="00B73618">
              <w:rPr>
                <w:rFonts w:ascii="Arial Narrow" w:hAnsi="Arial Narrow"/>
                <w:sz w:val="20"/>
                <w:lang w:val="en-US"/>
              </w:rPr>
              <w:t>MC, MS, R, OL</w:t>
            </w:r>
          </w:p>
          <w:p w:rsidR="00840A8C" w:rsidRPr="00B73618" w:rsidRDefault="00840A8C" w:rsidP="007F1017">
            <w:pPr>
              <w:jc w:val="center"/>
              <w:rPr>
                <w:rFonts w:ascii="Arial Narrow" w:hAnsi="Arial Narrow"/>
                <w:sz w:val="20"/>
                <w:lang w:val="en-US"/>
              </w:rPr>
            </w:pPr>
            <w:r w:rsidRPr="00B73618">
              <w:rPr>
                <w:rFonts w:ascii="Arial Narrow" w:hAnsi="Arial Narrow"/>
                <w:sz w:val="20"/>
                <w:lang w:val="en-US"/>
              </w:rPr>
              <w:t>24-27 weeks</w:t>
            </w:r>
          </w:p>
        </w:tc>
        <w:tc>
          <w:tcPr>
            <w:tcW w:w="419" w:type="pct"/>
            <w:shd w:val="clear" w:color="auto" w:fill="auto"/>
            <w:vAlign w:val="center"/>
          </w:tcPr>
          <w:p w:rsidR="00840A8C" w:rsidRPr="00B73618" w:rsidRDefault="00840A8C" w:rsidP="007F1017">
            <w:pPr>
              <w:jc w:val="center"/>
              <w:rPr>
                <w:rFonts w:ascii="Arial Narrow" w:hAnsi="Arial Narrow"/>
                <w:sz w:val="20"/>
                <w:lang w:val="en-US"/>
              </w:rPr>
            </w:pPr>
            <w:r w:rsidRPr="00B73618">
              <w:rPr>
                <w:rFonts w:ascii="Arial Narrow" w:hAnsi="Arial Narrow"/>
                <w:sz w:val="20"/>
                <w:lang w:val="en-US"/>
              </w:rPr>
              <w:t>Unclear</w:t>
            </w:r>
          </w:p>
        </w:tc>
        <w:tc>
          <w:tcPr>
            <w:tcW w:w="1921" w:type="pct"/>
            <w:shd w:val="clear" w:color="auto" w:fill="auto"/>
            <w:vAlign w:val="center"/>
          </w:tcPr>
          <w:p w:rsidR="00840A8C" w:rsidRPr="00B73618" w:rsidRDefault="00840A8C" w:rsidP="000D031B">
            <w:pPr>
              <w:jc w:val="center"/>
              <w:rPr>
                <w:rFonts w:ascii="Arial Narrow" w:hAnsi="Arial Narrow"/>
                <w:sz w:val="20"/>
                <w:lang w:val="en-US"/>
              </w:rPr>
            </w:pPr>
            <w:r w:rsidRPr="00B73618">
              <w:rPr>
                <w:rFonts w:ascii="Arial Narrow" w:hAnsi="Arial Narrow"/>
                <w:sz w:val="20"/>
                <w:lang w:val="en-US"/>
              </w:rPr>
              <w:t>CKD patients on maintenance haemodialysis or peritoneal dialysis with hyperphosphataemia, receiving stable treatment with a phosphate binder</w:t>
            </w:r>
            <w:r w:rsidR="00C205C5" w:rsidRPr="00B73618">
              <w:rPr>
                <w:rFonts w:ascii="Arial Narrow" w:hAnsi="Arial Narrow"/>
                <w:sz w:val="20"/>
                <w:lang w:val="en-US"/>
              </w:rPr>
              <w:t>.</w:t>
            </w:r>
          </w:p>
        </w:tc>
        <w:tc>
          <w:tcPr>
            <w:tcW w:w="1013" w:type="pct"/>
            <w:shd w:val="clear" w:color="auto" w:fill="auto"/>
            <w:vAlign w:val="center"/>
          </w:tcPr>
          <w:p w:rsidR="00840A8C" w:rsidRPr="00B73618" w:rsidRDefault="00840A8C" w:rsidP="00840A8C">
            <w:pPr>
              <w:jc w:val="center"/>
              <w:rPr>
                <w:rFonts w:ascii="Arial Narrow" w:hAnsi="Arial Narrow"/>
                <w:sz w:val="20"/>
                <w:lang w:val="en-US"/>
              </w:rPr>
            </w:pPr>
            <w:r w:rsidRPr="00B73618">
              <w:rPr>
                <w:rFonts w:ascii="Arial Narrow" w:hAnsi="Arial Narrow"/>
                <w:sz w:val="20"/>
                <w:lang w:val="en-US"/>
              </w:rPr>
              <w:t>Change in serum phosphorus levels</w:t>
            </w:r>
          </w:p>
        </w:tc>
      </w:tr>
      <w:tr w:rsidR="00840A8C" w:rsidRPr="00B73618" w:rsidTr="00840A8C">
        <w:tc>
          <w:tcPr>
            <w:tcW w:w="590" w:type="pct"/>
            <w:shd w:val="clear" w:color="auto" w:fill="auto"/>
            <w:vAlign w:val="center"/>
          </w:tcPr>
          <w:p w:rsidR="00840A8C" w:rsidRPr="00B73618" w:rsidRDefault="00840A8C" w:rsidP="007F1017">
            <w:pPr>
              <w:jc w:val="left"/>
              <w:rPr>
                <w:rFonts w:ascii="Arial Narrow" w:hAnsi="Arial Narrow"/>
                <w:sz w:val="20"/>
                <w:lang w:val="en-US"/>
              </w:rPr>
            </w:pPr>
            <w:r w:rsidRPr="00B73618">
              <w:rPr>
                <w:rFonts w:ascii="Arial Narrow" w:hAnsi="Arial Narrow"/>
                <w:sz w:val="20"/>
                <w:lang w:val="en-US"/>
              </w:rPr>
              <w:t>PA-CL-05B</w:t>
            </w:r>
          </w:p>
        </w:tc>
        <w:tc>
          <w:tcPr>
            <w:tcW w:w="344" w:type="pct"/>
            <w:shd w:val="clear" w:color="auto" w:fill="auto"/>
            <w:vAlign w:val="center"/>
          </w:tcPr>
          <w:p w:rsidR="00840A8C" w:rsidRPr="00B73618" w:rsidRDefault="00840A8C" w:rsidP="007F1017">
            <w:pPr>
              <w:jc w:val="center"/>
              <w:rPr>
                <w:rFonts w:ascii="Arial Narrow" w:hAnsi="Arial Narrow"/>
                <w:sz w:val="20"/>
                <w:lang w:val="en-US"/>
              </w:rPr>
            </w:pPr>
            <w:r w:rsidRPr="00B73618">
              <w:rPr>
                <w:rFonts w:ascii="Arial Narrow" w:hAnsi="Arial Narrow"/>
                <w:sz w:val="20"/>
                <w:lang w:val="en-US"/>
              </w:rPr>
              <w:t>659</w:t>
            </w:r>
          </w:p>
        </w:tc>
        <w:tc>
          <w:tcPr>
            <w:tcW w:w="713" w:type="pct"/>
            <w:shd w:val="clear" w:color="auto" w:fill="auto"/>
            <w:vAlign w:val="center"/>
          </w:tcPr>
          <w:p w:rsidR="00840A8C" w:rsidRPr="00B73618" w:rsidRDefault="00840A8C" w:rsidP="00B719AB">
            <w:pPr>
              <w:jc w:val="center"/>
              <w:rPr>
                <w:rFonts w:ascii="Arial Narrow" w:hAnsi="Arial Narrow"/>
                <w:sz w:val="20"/>
                <w:lang w:val="en-US"/>
              </w:rPr>
            </w:pPr>
            <w:r w:rsidRPr="00B73618">
              <w:rPr>
                <w:rFonts w:ascii="Arial Narrow" w:hAnsi="Arial Narrow"/>
                <w:sz w:val="20"/>
                <w:lang w:val="en-US"/>
              </w:rPr>
              <w:t>MC, R, OL</w:t>
            </w:r>
          </w:p>
          <w:p w:rsidR="00840A8C" w:rsidRPr="00B73618" w:rsidRDefault="00840A8C" w:rsidP="007F1017">
            <w:pPr>
              <w:jc w:val="center"/>
              <w:rPr>
                <w:rFonts w:ascii="Arial Narrow" w:hAnsi="Arial Narrow"/>
                <w:sz w:val="20"/>
                <w:lang w:val="en-US"/>
              </w:rPr>
            </w:pPr>
            <w:r w:rsidRPr="00B73618">
              <w:rPr>
                <w:rFonts w:ascii="Arial Narrow" w:hAnsi="Arial Narrow"/>
                <w:sz w:val="20"/>
                <w:lang w:val="en-US"/>
              </w:rPr>
              <w:t>28 weeks</w:t>
            </w:r>
          </w:p>
        </w:tc>
        <w:tc>
          <w:tcPr>
            <w:tcW w:w="419" w:type="pct"/>
            <w:shd w:val="clear" w:color="auto" w:fill="auto"/>
            <w:vAlign w:val="center"/>
          </w:tcPr>
          <w:p w:rsidR="00840A8C" w:rsidRPr="00B73618" w:rsidRDefault="00840A8C" w:rsidP="007F1017">
            <w:pPr>
              <w:jc w:val="center"/>
              <w:rPr>
                <w:rFonts w:ascii="Arial Narrow" w:hAnsi="Arial Narrow"/>
                <w:sz w:val="20"/>
                <w:lang w:val="en-US"/>
              </w:rPr>
            </w:pPr>
            <w:r w:rsidRPr="00B73618">
              <w:rPr>
                <w:rFonts w:ascii="Arial Narrow" w:hAnsi="Arial Narrow"/>
                <w:sz w:val="20"/>
                <w:lang w:val="en-US"/>
              </w:rPr>
              <w:t>Unclear</w:t>
            </w:r>
          </w:p>
        </w:tc>
        <w:tc>
          <w:tcPr>
            <w:tcW w:w="1921" w:type="pct"/>
            <w:shd w:val="clear" w:color="auto" w:fill="auto"/>
            <w:vAlign w:val="center"/>
          </w:tcPr>
          <w:p w:rsidR="00840A8C" w:rsidRPr="00B73618" w:rsidRDefault="00840A8C" w:rsidP="007F1017">
            <w:pPr>
              <w:jc w:val="center"/>
              <w:rPr>
                <w:rFonts w:ascii="Arial Narrow" w:hAnsi="Arial Narrow"/>
                <w:sz w:val="20"/>
                <w:lang w:val="en-US"/>
              </w:rPr>
            </w:pPr>
            <w:r w:rsidRPr="00B73618">
              <w:rPr>
                <w:rFonts w:ascii="Arial Narrow" w:hAnsi="Arial Narrow"/>
                <w:sz w:val="20"/>
                <w:lang w:val="en-US"/>
              </w:rPr>
              <w:t>Patients from PA-CL-05A completing the first 24 weeks of treatment.</w:t>
            </w:r>
          </w:p>
        </w:tc>
        <w:tc>
          <w:tcPr>
            <w:tcW w:w="1013" w:type="pct"/>
            <w:shd w:val="clear" w:color="auto" w:fill="auto"/>
            <w:vAlign w:val="center"/>
          </w:tcPr>
          <w:p w:rsidR="00840A8C" w:rsidRPr="00B73618" w:rsidRDefault="00840A8C" w:rsidP="00840A8C">
            <w:pPr>
              <w:jc w:val="center"/>
              <w:rPr>
                <w:rFonts w:ascii="Arial Narrow" w:hAnsi="Arial Narrow"/>
                <w:sz w:val="20"/>
                <w:lang w:val="en-US"/>
              </w:rPr>
            </w:pPr>
            <w:r w:rsidRPr="00B73618">
              <w:rPr>
                <w:rFonts w:ascii="Arial Narrow" w:hAnsi="Arial Narrow"/>
                <w:sz w:val="20"/>
                <w:lang w:val="en-US"/>
              </w:rPr>
              <w:t>Safety and tolerability</w:t>
            </w:r>
          </w:p>
        </w:tc>
      </w:tr>
    </w:tbl>
    <w:p w:rsidR="007F1017" w:rsidRPr="00B73618" w:rsidRDefault="005A1C6E" w:rsidP="004E0A71">
      <w:pPr>
        <w:pStyle w:val="TableFooter"/>
        <w:ind w:firstLine="720"/>
      </w:pPr>
      <w:r w:rsidRPr="00B73618">
        <w:t>Abbreviations:</w:t>
      </w:r>
      <w:r w:rsidR="00D70AE7" w:rsidRPr="00B73618">
        <w:t xml:space="preserve"> </w:t>
      </w:r>
      <w:r w:rsidR="00D02E4D" w:rsidRPr="00B73618">
        <w:t xml:space="preserve">CKD, chronic kidney disease; </w:t>
      </w:r>
      <w:r w:rsidR="007F1017" w:rsidRPr="00B73618">
        <w:t>MC</w:t>
      </w:r>
      <w:r w:rsidR="00D02E4D" w:rsidRPr="00B73618">
        <w:t xml:space="preserve">, </w:t>
      </w:r>
      <w:r w:rsidR="007F1017" w:rsidRPr="00B73618">
        <w:t>multi-centre;</w:t>
      </w:r>
      <w:r w:rsidR="00D02E4D" w:rsidRPr="00B73618">
        <w:t xml:space="preserve"> MS, multi-stage;</w:t>
      </w:r>
      <w:r w:rsidR="007F1017" w:rsidRPr="00B73618">
        <w:t xml:space="preserve"> OL</w:t>
      </w:r>
      <w:r w:rsidR="00D02E4D" w:rsidRPr="00B73618">
        <w:t xml:space="preserve">, </w:t>
      </w:r>
      <w:r w:rsidR="00C948FB" w:rsidRPr="00B73618">
        <w:t>open label</w:t>
      </w:r>
      <w:r w:rsidR="007F1017" w:rsidRPr="00B73618">
        <w:t>; R</w:t>
      </w:r>
      <w:r w:rsidR="00D02E4D" w:rsidRPr="00B73618">
        <w:t xml:space="preserve">, </w:t>
      </w:r>
      <w:r w:rsidR="007F1017" w:rsidRPr="00B73618">
        <w:t>randomised.</w:t>
      </w:r>
    </w:p>
    <w:p w:rsidR="007F1017" w:rsidRPr="00B73618" w:rsidRDefault="007F1017" w:rsidP="004E0A71">
      <w:pPr>
        <w:pStyle w:val="TableFooter"/>
        <w:ind w:firstLine="720"/>
      </w:pPr>
      <w:r w:rsidRPr="00B73618">
        <w:t>Source: compiled during the evaluation</w:t>
      </w:r>
      <w:r w:rsidR="0041040A" w:rsidRPr="00B73618">
        <w:t>.</w:t>
      </w:r>
    </w:p>
    <w:p w:rsidR="007F1017" w:rsidRPr="00B73618" w:rsidRDefault="007F1017" w:rsidP="007F1017"/>
    <w:p w:rsidR="007C6132" w:rsidRPr="00B73618" w:rsidRDefault="007C6132" w:rsidP="00990BFF">
      <w:pPr>
        <w:pStyle w:val="ListParagraph"/>
        <w:numPr>
          <w:ilvl w:val="1"/>
          <w:numId w:val="8"/>
        </w:numPr>
      </w:pPr>
      <w:r w:rsidRPr="00B73618">
        <w:t xml:space="preserve">Despite primarily relying on objective efficacy measures, the open-label design </w:t>
      </w:r>
      <w:r w:rsidR="00836C64" w:rsidRPr="00B73618">
        <w:t xml:space="preserve">of the pivotal trial PA-CL-05A/PA-CL-05B </w:t>
      </w:r>
      <w:r w:rsidRPr="00B73618">
        <w:t>has the potential to introduce bias as knowledge of treatment assignment may affect disease management decisions, patient expectations (including reporting of adverse events) and adherence.</w:t>
      </w:r>
      <w:r w:rsidR="00836C64" w:rsidRPr="00B73618">
        <w:t xml:space="preserve"> </w:t>
      </w:r>
      <w:r w:rsidR="00990BFF">
        <w:t xml:space="preserve"> </w:t>
      </w:r>
      <w:r w:rsidR="00836C64" w:rsidRPr="00B73618">
        <w:t>Further, the trial had a higher drop-out rate from the sucroferric oxyhydroxide arm compared to the sevelamer carbonate arm (27.0% vs 15.8%) and there were baseline imbalances in patient characteristics between treatment arms in gender and race.</w:t>
      </w:r>
      <w:r w:rsidR="00990BFF">
        <w:t xml:space="preserve"> </w:t>
      </w:r>
      <w:r w:rsidR="00990BFF" w:rsidRPr="00295FED">
        <w:t>The ESC considered the higher drop-out rate for the sucroferric oxyhydroxide arm supports the Pre-Sub-Committee Response (PSCR</w:t>
      </w:r>
      <w:r w:rsidR="00E6775E">
        <w:t xml:space="preserve">, </w:t>
      </w:r>
      <w:r w:rsidR="00990BFF" w:rsidRPr="00295FED">
        <w:t>p1) suggestion that bias introduced from the open-label design is most likely to favour sevelamer carbonate, given it is an established, safe and effective standard of care.</w:t>
      </w:r>
    </w:p>
    <w:p w:rsidR="007C6132" w:rsidRPr="00B73618" w:rsidRDefault="007C6132" w:rsidP="007C6132">
      <w:pPr>
        <w:ind w:left="720"/>
      </w:pPr>
    </w:p>
    <w:p w:rsidR="000A2F46" w:rsidRPr="000A2F46" w:rsidRDefault="006E0A25" w:rsidP="000A2F46">
      <w:pPr>
        <w:pStyle w:val="ListParagraph"/>
        <w:numPr>
          <w:ilvl w:val="1"/>
          <w:numId w:val="8"/>
        </w:numPr>
      </w:pPr>
      <w:r w:rsidRPr="00B73618">
        <w:t xml:space="preserve">The </w:t>
      </w:r>
      <w:r w:rsidR="00836C64" w:rsidRPr="00B73618">
        <w:t>results of the pivotal trial PA-CL-05A/PA-CL-05B may not be generalisable to th</w:t>
      </w:r>
      <w:r w:rsidR="007C6132" w:rsidRPr="00B73618">
        <w:t>e requested PBS population, given major differences in patient populations (patients stabilised on phosphate binders versus patients uncontrolled on calcium-based phosphate binders), comparator treatments (sevelamer carbonate versus sevelamer hydrochloride) and dosing regimens (low starting dose of sucroferric oxyhydroxide in the trial).</w:t>
      </w:r>
      <w:r w:rsidR="000A2F46">
        <w:t xml:space="preserve"> </w:t>
      </w:r>
      <w:r w:rsidR="000A2F46" w:rsidRPr="000A2F46">
        <w:t xml:space="preserve">The ESC noted the </w:t>
      </w:r>
      <w:r w:rsidR="00956EAB">
        <w:t xml:space="preserve">PSCR </w:t>
      </w:r>
      <w:r w:rsidR="000A2F46" w:rsidRPr="000A2F46">
        <w:t xml:space="preserve">(p3) suggests patients stabilised on phosphate binders are a relevant population for PBS listing as clinicians may choose to switch patients from currently available therapies. </w:t>
      </w:r>
      <w:r w:rsidR="000A2F46">
        <w:t xml:space="preserve">The </w:t>
      </w:r>
      <w:r w:rsidR="000A2F46" w:rsidRPr="000A2F46">
        <w:t>ESC noted this is not reflected in the proposed restriction which requires patients to be uncontrolled in relation to serum phosphate or serum calcium.</w:t>
      </w:r>
    </w:p>
    <w:p w:rsidR="00295FED" w:rsidRDefault="00295FED" w:rsidP="00295FED">
      <w:pPr>
        <w:pStyle w:val="PBACHeading1"/>
        <w:numPr>
          <w:ilvl w:val="0"/>
          <w:numId w:val="0"/>
        </w:numPr>
      </w:pPr>
    </w:p>
    <w:p w:rsidR="00295FED" w:rsidRPr="00295FED" w:rsidRDefault="00295FED" w:rsidP="00295FED">
      <w:pPr>
        <w:pStyle w:val="PBACHeading1"/>
        <w:numPr>
          <w:ilvl w:val="0"/>
          <w:numId w:val="0"/>
        </w:numPr>
        <w:ind w:firstLine="720"/>
        <w:rPr>
          <w:b w:val="0"/>
          <w:i/>
        </w:rPr>
      </w:pPr>
      <w:r w:rsidRPr="00295FED">
        <w:rPr>
          <w:b w:val="0"/>
          <w:i/>
        </w:rPr>
        <w:t>For more detail on PBAC’s view, see section 7 “PBAC outcome”</w:t>
      </w:r>
    </w:p>
    <w:p w:rsidR="00B60939" w:rsidRPr="00B73618" w:rsidRDefault="00B60939" w:rsidP="00B60939">
      <w:pPr>
        <w:rPr>
          <w:szCs w:val="22"/>
        </w:rPr>
      </w:pPr>
    </w:p>
    <w:p w:rsidR="00B60939" w:rsidRPr="008B6779" w:rsidRDefault="00B60939" w:rsidP="008B6779">
      <w:pPr>
        <w:rPr>
          <w:b/>
          <w:szCs w:val="22"/>
        </w:rPr>
      </w:pPr>
      <w:bookmarkStart w:id="9" w:name="_Toc398708606"/>
      <w:r w:rsidRPr="008B6779">
        <w:rPr>
          <w:b/>
          <w:szCs w:val="22"/>
        </w:rPr>
        <w:t>Comparative effectiveness</w:t>
      </w:r>
      <w:bookmarkEnd w:id="9"/>
    </w:p>
    <w:p w:rsidR="00B60939" w:rsidRPr="00B73618" w:rsidRDefault="00B60939" w:rsidP="00B60939">
      <w:pPr>
        <w:rPr>
          <w:szCs w:val="22"/>
        </w:rPr>
      </w:pPr>
    </w:p>
    <w:p w:rsidR="00E6775E" w:rsidRDefault="00E7247E" w:rsidP="00E7247E">
      <w:pPr>
        <w:pStyle w:val="ListParagraph"/>
        <w:widowControl/>
        <w:numPr>
          <w:ilvl w:val="1"/>
          <w:numId w:val="8"/>
        </w:numPr>
        <w:rPr>
          <w:szCs w:val="22"/>
        </w:rPr>
      </w:pPr>
      <w:r w:rsidRPr="00E6775E">
        <w:rPr>
          <w:szCs w:val="22"/>
        </w:rPr>
        <w:t xml:space="preserve">The submission presents biochemical outcomes (phosphate/phosphorus control, calcium control, and calcium-phosphate product control) and utility/quality of life outcomes as measured by the clinical trials. </w:t>
      </w:r>
    </w:p>
    <w:p w:rsidR="00E7247E" w:rsidRPr="00E6775E" w:rsidRDefault="00E7247E" w:rsidP="00E6775E">
      <w:pPr>
        <w:pStyle w:val="ListParagraph"/>
        <w:widowControl/>
        <w:rPr>
          <w:szCs w:val="22"/>
        </w:rPr>
      </w:pPr>
    </w:p>
    <w:p w:rsidR="005C11E5" w:rsidRPr="00B73618" w:rsidRDefault="005C11E5" w:rsidP="00A50D1E">
      <w:pPr>
        <w:pStyle w:val="ListParagraph"/>
        <w:widowControl/>
        <w:numPr>
          <w:ilvl w:val="1"/>
          <w:numId w:val="8"/>
        </w:numPr>
        <w:rPr>
          <w:szCs w:val="22"/>
        </w:rPr>
      </w:pPr>
      <w:r w:rsidRPr="00B73618">
        <w:lastRenderedPageBreak/>
        <w:t xml:space="preserve">The results of Trial PA-CL-03A show that sucroferric oxyhydroxide at doses of </w:t>
      </w:r>
      <w:r w:rsidRPr="00B73618">
        <w:rPr>
          <w:u w:val="single"/>
        </w:rPr>
        <w:t>&gt;</w:t>
      </w:r>
      <w:r w:rsidRPr="00B73618">
        <w:t xml:space="preserve">1000mg/day showed similar reductions in serum phosphorus levels compared to sevelamer hydrochloride 4800mg/day. However, given the short-term nature </w:t>
      </w:r>
      <w:r w:rsidR="009847B1">
        <w:br/>
      </w:r>
      <w:r w:rsidRPr="00B73618">
        <w:t xml:space="preserve">(6 weeks) and the use of fixed doses, Trial PA-CL-03A has limited applicability to the PBS population, </w:t>
      </w:r>
      <w:r w:rsidR="00F5404D">
        <w:t>who</w:t>
      </w:r>
      <w:r w:rsidRPr="00B73618">
        <w:t xml:space="preserve"> will use treatment long-term and in a titrate-to-effect manner.</w:t>
      </w:r>
    </w:p>
    <w:p w:rsidR="0002606A" w:rsidRPr="00B73618" w:rsidRDefault="0002606A" w:rsidP="0002606A">
      <w:pPr>
        <w:pStyle w:val="ListParagraph"/>
        <w:widowControl/>
        <w:rPr>
          <w:szCs w:val="22"/>
        </w:rPr>
      </w:pPr>
    </w:p>
    <w:p w:rsidR="0002606A" w:rsidRPr="00B73618" w:rsidRDefault="0002606A" w:rsidP="00B5316C">
      <w:pPr>
        <w:pStyle w:val="ListParagraph"/>
        <w:widowControl/>
        <w:numPr>
          <w:ilvl w:val="1"/>
          <w:numId w:val="8"/>
        </w:numPr>
        <w:rPr>
          <w:szCs w:val="22"/>
        </w:rPr>
      </w:pPr>
      <w:r w:rsidRPr="00B73618">
        <w:rPr>
          <w:szCs w:val="22"/>
        </w:rPr>
        <w:t>Trial PA-CL-05A</w:t>
      </w:r>
      <w:r w:rsidRPr="00B73618">
        <w:t xml:space="preserve"> was powered</w:t>
      </w:r>
      <w:r w:rsidR="00B24135">
        <w:t xml:space="preserve"> to</w:t>
      </w:r>
      <w:r w:rsidRPr="00B73618">
        <w:t xml:space="preserve"> demonstrate non-inferiority in change in mean phosphorus levels between sucroferric oxyhydroxide and sevelamer carbonate after 12 weeks in the per protocol set (this is a secondary objective of PA-CL-05A). The analysis used an ANCOVA model with a predefined non-inferiority margin for mean change difference in serum phosphorus of 0.19mmol/L between treatment groups.</w:t>
      </w:r>
      <w:r w:rsidR="00B5316C">
        <w:t xml:space="preserve"> </w:t>
      </w:r>
      <w:r w:rsidR="00B5316C" w:rsidRPr="00295FED">
        <w:t xml:space="preserve">The PSCR </w:t>
      </w:r>
      <w:r w:rsidR="00CB4DF3" w:rsidRPr="00295FED">
        <w:t>(</w:t>
      </w:r>
      <w:r w:rsidR="00B5316C" w:rsidRPr="00295FED">
        <w:t>p2</w:t>
      </w:r>
      <w:r w:rsidR="00CB4DF3" w:rsidRPr="00295FED">
        <w:t>)</w:t>
      </w:r>
      <w:r w:rsidR="00B5316C" w:rsidRPr="00295FED">
        <w:t xml:space="preserve"> states the choice of the non-inferiority margin (0.19 mmol/L) was at the more conservative end of the range used in previous studies (</w:t>
      </w:r>
      <w:r w:rsidR="00B5316C" w:rsidRPr="00295FED">
        <w:rPr>
          <w:iCs/>
          <w:szCs w:val="22"/>
        </w:rPr>
        <w:t>0.15mmol/L to 0.32mmol/L) and is within the diurnal variation of serum phosphorus concentrations seen in healthy human subjects and in patients on dialysis.</w:t>
      </w:r>
    </w:p>
    <w:p w:rsidR="00DD3599" w:rsidRPr="00B73618" w:rsidRDefault="00DD3599" w:rsidP="0002606A">
      <w:pPr>
        <w:pStyle w:val="PBACHeading1"/>
        <w:numPr>
          <w:ilvl w:val="0"/>
          <w:numId w:val="0"/>
        </w:numPr>
        <w:rPr>
          <w:b w:val="0"/>
        </w:rPr>
      </w:pPr>
    </w:p>
    <w:p w:rsidR="00380CE0" w:rsidRPr="00B73618" w:rsidRDefault="0002606A" w:rsidP="0002606A">
      <w:pPr>
        <w:pStyle w:val="ListParagraph"/>
        <w:rPr>
          <w:rFonts w:ascii="Arial Narrow" w:hAnsi="Arial Narrow"/>
          <w:b/>
          <w:sz w:val="20"/>
          <w:szCs w:val="22"/>
        </w:rPr>
      </w:pPr>
      <w:r w:rsidRPr="00B73618">
        <w:rPr>
          <w:rFonts w:ascii="Arial Narrow" w:hAnsi="Arial Narrow"/>
          <w:b/>
          <w:sz w:val="20"/>
          <w:szCs w:val="22"/>
        </w:rPr>
        <w:t>Least squares mean change from baseline in serum phosphorus levels at week 12; ANCOVA analysis</w:t>
      </w:r>
    </w:p>
    <w:tbl>
      <w:tblPr>
        <w:tblStyle w:val="TableGrid"/>
        <w:tblW w:w="0" w:type="auto"/>
        <w:tblInd w:w="720" w:type="dxa"/>
        <w:tblCellMar>
          <w:left w:w="57" w:type="dxa"/>
          <w:right w:w="57" w:type="dxa"/>
        </w:tblCellMar>
        <w:tblLook w:val="04A0" w:firstRow="1" w:lastRow="0" w:firstColumn="1" w:lastColumn="0" w:noHBand="0" w:noVBand="1"/>
      </w:tblPr>
      <w:tblGrid>
        <w:gridCol w:w="1408"/>
        <w:gridCol w:w="1403"/>
        <w:gridCol w:w="1389"/>
        <w:gridCol w:w="1404"/>
        <w:gridCol w:w="1389"/>
        <w:gridCol w:w="1427"/>
      </w:tblGrid>
      <w:tr w:rsidR="0002606A" w:rsidRPr="00B73618" w:rsidTr="00577ECD">
        <w:tc>
          <w:tcPr>
            <w:tcW w:w="1408" w:type="dxa"/>
            <w:vMerge w:val="restart"/>
            <w:vAlign w:val="center"/>
          </w:tcPr>
          <w:p w:rsidR="0002606A" w:rsidRPr="00B73618" w:rsidRDefault="0002606A" w:rsidP="0002606A">
            <w:pPr>
              <w:jc w:val="left"/>
              <w:rPr>
                <w:rFonts w:ascii="Arial Narrow" w:hAnsi="Arial Narrow"/>
                <w:b/>
                <w:sz w:val="20"/>
                <w:szCs w:val="22"/>
              </w:rPr>
            </w:pPr>
            <w:r w:rsidRPr="00B73618">
              <w:rPr>
                <w:rFonts w:ascii="Arial Narrow" w:hAnsi="Arial Narrow"/>
                <w:b/>
                <w:sz w:val="20"/>
                <w:szCs w:val="22"/>
              </w:rPr>
              <w:t>Analysis</w:t>
            </w:r>
          </w:p>
        </w:tc>
        <w:tc>
          <w:tcPr>
            <w:tcW w:w="2792" w:type="dxa"/>
            <w:gridSpan w:val="2"/>
            <w:vAlign w:val="center"/>
          </w:tcPr>
          <w:p w:rsidR="0002606A" w:rsidRPr="00B73618" w:rsidRDefault="0002606A" w:rsidP="0002606A">
            <w:pPr>
              <w:jc w:val="center"/>
              <w:rPr>
                <w:rFonts w:ascii="Arial Narrow" w:hAnsi="Arial Narrow"/>
                <w:b/>
                <w:sz w:val="20"/>
                <w:szCs w:val="22"/>
              </w:rPr>
            </w:pPr>
            <w:r w:rsidRPr="00B73618">
              <w:rPr>
                <w:rFonts w:ascii="Arial Narrow" w:hAnsi="Arial Narrow"/>
                <w:b/>
                <w:sz w:val="20"/>
                <w:szCs w:val="22"/>
              </w:rPr>
              <w:t>Sucroferric oxyhydroxide</w:t>
            </w:r>
          </w:p>
        </w:tc>
        <w:tc>
          <w:tcPr>
            <w:tcW w:w="2793" w:type="dxa"/>
            <w:gridSpan w:val="2"/>
            <w:vAlign w:val="center"/>
          </w:tcPr>
          <w:p w:rsidR="0002606A" w:rsidRPr="00B73618" w:rsidRDefault="0002606A" w:rsidP="0002606A">
            <w:pPr>
              <w:jc w:val="center"/>
              <w:rPr>
                <w:rFonts w:ascii="Arial Narrow" w:hAnsi="Arial Narrow"/>
                <w:b/>
                <w:sz w:val="20"/>
                <w:szCs w:val="22"/>
              </w:rPr>
            </w:pPr>
            <w:r w:rsidRPr="00B73618">
              <w:rPr>
                <w:rFonts w:ascii="Arial Narrow" w:hAnsi="Arial Narrow"/>
                <w:b/>
                <w:sz w:val="20"/>
                <w:szCs w:val="22"/>
              </w:rPr>
              <w:t>Sevelamer carbonate</w:t>
            </w:r>
          </w:p>
        </w:tc>
        <w:tc>
          <w:tcPr>
            <w:tcW w:w="1427" w:type="dxa"/>
            <w:vMerge w:val="restart"/>
            <w:vAlign w:val="center"/>
          </w:tcPr>
          <w:p w:rsidR="0002606A" w:rsidRPr="00B73618" w:rsidRDefault="0002606A" w:rsidP="0002606A">
            <w:pPr>
              <w:jc w:val="center"/>
              <w:rPr>
                <w:rFonts w:ascii="Arial Narrow" w:hAnsi="Arial Narrow"/>
                <w:b/>
                <w:sz w:val="20"/>
                <w:szCs w:val="22"/>
              </w:rPr>
            </w:pPr>
            <w:r w:rsidRPr="00B73618">
              <w:rPr>
                <w:rFonts w:ascii="Arial Narrow" w:hAnsi="Arial Narrow"/>
                <w:b/>
                <w:sz w:val="20"/>
                <w:szCs w:val="22"/>
              </w:rPr>
              <w:t>Mean difference (95% CI)</w:t>
            </w:r>
          </w:p>
        </w:tc>
      </w:tr>
      <w:tr w:rsidR="0002606A" w:rsidRPr="00B73618" w:rsidTr="00577ECD">
        <w:tc>
          <w:tcPr>
            <w:tcW w:w="1408" w:type="dxa"/>
            <w:vMerge/>
            <w:vAlign w:val="center"/>
          </w:tcPr>
          <w:p w:rsidR="0002606A" w:rsidRPr="00B73618" w:rsidRDefault="0002606A" w:rsidP="0002606A">
            <w:pPr>
              <w:jc w:val="left"/>
              <w:rPr>
                <w:rFonts w:ascii="Arial Narrow" w:hAnsi="Arial Narrow"/>
                <w:b/>
                <w:sz w:val="20"/>
                <w:szCs w:val="22"/>
              </w:rPr>
            </w:pPr>
          </w:p>
        </w:tc>
        <w:tc>
          <w:tcPr>
            <w:tcW w:w="1403" w:type="dxa"/>
            <w:vAlign w:val="center"/>
          </w:tcPr>
          <w:p w:rsidR="0002606A" w:rsidRPr="00B73618" w:rsidRDefault="0002606A" w:rsidP="0002606A">
            <w:pPr>
              <w:jc w:val="center"/>
              <w:rPr>
                <w:rFonts w:ascii="Arial Narrow" w:hAnsi="Arial Narrow"/>
                <w:b/>
                <w:sz w:val="20"/>
                <w:szCs w:val="22"/>
              </w:rPr>
            </w:pPr>
            <w:r w:rsidRPr="00B73618">
              <w:rPr>
                <w:rFonts w:ascii="Arial Narrow" w:hAnsi="Arial Narrow"/>
                <w:b/>
                <w:sz w:val="20"/>
                <w:szCs w:val="22"/>
              </w:rPr>
              <w:t>Mean (SD) baseline</w:t>
            </w:r>
          </w:p>
        </w:tc>
        <w:tc>
          <w:tcPr>
            <w:tcW w:w="1389" w:type="dxa"/>
            <w:vAlign w:val="center"/>
          </w:tcPr>
          <w:p w:rsidR="0002606A" w:rsidRPr="00B73618" w:rsidRDefault="0002606A" w:rsidP="0002606A">
            <w:pPr>
              <w:jc w:val="center"/>
              <w:rPr>
                <w:rFonts w:ascii="Arial Narrow" w:hAnsi="Arial Narrow"/>
                <w:b/>
                <w:sz w:val="20"/>
                <w:szCs w:val="22"/>
              </w:rPr>
            </w:pPr>
            <w:r w:rsidRPr="00B73618">
              <w:rPr>
                <w:rFonts w:ascii="Arial Narrow" w:hAnsi="Arial Narrow"/>
                <w:b/>
                <w:sz w:val="20"/>
                <w:szCs w:val="22"/>
              </w:rPr>
              <w:t>LS mean change (SE)</w:t>
            </w:r>
          </w:p>
        </w:tc>
        <w:tc>
          <w:tcPr>
            <w:tcW w:w="1404" w:type="dxa"/>
            <w:vAlign w:val="center"/>
          </w:tcPr>
          <w:p w:rsidR="0002606A" w:rsidRPr="00B73618" w:rsidRDefault="0002606A" w:rsidP="0002606A">
            <w:pPr>
              <w:jc w:val="center"/>
              <w:rPr>
                <w:rFonts w:ascii="Arial Narrow" w:hAnsi="Arial Narrow"/>
                <w:b/>
                <w:sz w:val="20"/>
                <w:szCs w:val="22"/>
              </w:rPr>
            </w:pPr>
            <w:r w:rsidRPr="00B73618">
              <w:rPr>
                <w:rFonts w:ascii="Arial Narrow" w:hAnsi="Arial Narrow"/>
                <w:b/>
                <w:sz w:val="20"/>
                <w:szCs w:val="22"/>
              </w:rPr>
              <w:t>Mean (SD) baseline</w:t>
            </w:r>
          </w:p>
        </w:tc>
        <w:tc>
          <w:tcPr>
            <w:tcW w:w="1389" w:type="dxa"/>
            <w:vAlign w:val="center"/>
          </w:tcPr>
          <w:p w:rsidR="0002606A" w:rsidRPr="00B73618" w:rsidRDefault="0002606A" w:rsidP="0002606A">
            <w:pPr>
              <w:jc w:val="center"/>
              <w:rPr>
                <w:rFonts w:ascii="Arial Narrow" w:hAnsi="Arial Narrow"/>
                <w:b/>
                <w:sz w:val="20"/>
                <w:szCs w:val="22"/>
              </w:rPr>
            </w:pPr>
            <w:r w:rsidRPr="00B73618">
              <w:rPr>
                <w:rFonts w:ascii="Arial Narrow" w:hAnsi="Arial Narrow"/>
                <w:b/>
                <w:sz w:val="20"/>
                <w:szCs w:val="22"/>
              </w:rPr>
              <w:t>LS mean change (SE)</w:t>
            </w:r>
          </w:p>
        </w:tc>
        <w:tc>
          <w:tcPr>
            <w:tcW w:w="1427" w:type="dxa"/>
            <w:vMerge/>
            <w:vAlign w:val="center"/>
          </w:tcPr>
          <w:p w:rsidR="0002606A" w:rsidRPr="00B73618" w:rsidRDefault="0002606A" w:rsidP="0002606A">
            <w:pPr>
              <w:jc w:val="center"/>
              <w:rPr>
                <w:rFonts w:ascii="Arial Narrow" w:hAnsi="Arial Narrow"/>
                <w:b/>
                <w:sz w:val="20"/>
                <w:szCs w:val="22"/>
              </w:rPr>
            </w:pPr>
          </w:p>
        </w:tc>
      </w:tr>
      <w:tr w:rsidR="0002606A" w:rsidRPr="00B73618" w:rsidTr="00577ECD">
        <w:tc>
          <w:tcPr>
            <w:tcW w:w="1408" w:type="dxa"/>
            <w:vAlign w:val="center"/>
          </w:tcPr>
          <w:p w:rsidR="0002606A" w:rsidRPr="00B73618" w:rsidRDefault="0002606A" w:rsidP="0002606A">
            <w:pPr>
              <w:jc w:val="left"/>
              <w:rPr>
                <w:rFonts w:ascii="Arial Narrow" w:hAnsi="Arial Narrow"/>
                <w:sz w:val="20"/>
                <w:szCs w:val="22"/>
              </w:rPr>
            </w:pPr>
            <w:r w:rsidRPr="00B73618">
              <w:rPr>
                <w:rFonts w:ascii="Arial Narrow" w:hAnsi="Arial Narrow"/>
                <w:sz w:val="20"/>
                <w:szCs w:val="22"/>
              </w:rPr>
              <w:t>Per protocol set (N=685)</w:t>
            </w:r>
          </w:p>
        </w:tc>
        <w:tc>
          <w:tcPr>
            <w:tcW w:w="1403" w:type="dxa"/>
            <w:vAlign w:val="center"/>
          </w:tcPr>
          <w:p w:rsidR="0002606A" w:rsidRPr="00B73618" w:rsidRDefault="0002606A" w:rsidP="0002606A">
            <w:pPr>
              <w:jc w:val="center"/>
              <w:rPr>
                <w:rFonts w:ascii="Arial Narrow" w:hAnsi="Arial Narrow"/>
                <w:sz w:val="20"/>
              </w:rPr>
            </w:pPr>
            <w:r w:rsidRPr="00B73618">
              <w:rPr>
                <w:rFonts w:ascii="Arial Narrow" w:hAnsi="Arial Narrow"/>
                <w:bCs/>
                <w:sz w:val="20"/>
              </w:rPr>
              <w:t>2.5 (7.7)</w:t>
            </w:r>
          </w:p>
        </w:tc>
        <w:tc>
          <w:tcPr>
            <w:tcW w:w="1389" w:type="dxa"/>
            <w:vAlign w:val="center"/>
          </w:tcPr>
          <w:p w:rsidR="0002606A" w:rsidRPr="00B73618" w:rsidRDefault="0002606A" w:rsidP="0002606A">
            <w:pPr>
              <w:jc w:val="center"/>
              <w:rPr>
                <w:rFonts w:ascii="Arial Narrow" w:hAnsi="Arial Narrow"/>
                <w:sz w:val="20"/>
              </w:rPr>
            </w:pPr>
            <w:r w:rsidRPr="00B73618">
              <w:rPr>
                <w:rFonts w:ascii="Arial Narrow" w:hAnsi="Arial Narrow"/>
                <w:sz w:val="20"/>
              </w:rPr>
              <w:t>-0.71 (0.03)</w:t>
            </w:r>
          </w:p>
        </w:tc>
        <w:tc>
          <w:tcPr>
            <w:tcW w:w="1404" w:type="dxa"/>
            <w:vAlign w:val="center"/>
          </w:tcPr>
          <w:p w:rsidR="0002606A" w:rsidRPr="00B73618" w:rsidRDefault="0002606A" w:rsidP="0002606A">
            <w:pPr>
              <w:jc w:val="center"/>
              <w:rPr>
                <w:rFonts w:ascii="Arial Narrow" w:hAnsi="Arial Narrow"/>
                <w:sz w:val="20"/>
              </w:rPr>
            </w:pPr>
            <w:r w:rsidRPr="00B73618">
              <w:rPr>
                <w:rFonts w:ascii="Arial Narrow" w:hAnsi="Arial Narrow"/>
                <w:bCs/>
                <w:sz w:val="20"/>
              </w:rPr>
              <w:t>2.4 (7.6)</w:t>
            </w:r>
          </w:p>
        </w:tc>
        <w:tc>
          <w:tcPr>
            <w:tcW w:w="1389" w:type="dxa"/>
            <w:vAlign w:val="center"/>
          </w:tcPr>
          <w:p w:rsidR="0002606A" w:rsidRPr="00B73618" w:rsidRDefault="0002606A" w:rsidP="0002606A">
            <w:pPr>
              <w:jc w:val="center"/>
              <w:rPr>
                <w:rFonts w:ascii="Arial Narrow" w:hAnsi="Arial Narrow"/>
                <w:sz w:val="20"/>
              </w:rPr>
            </w:pPr>
            <w:r w:rsidRPr="00B73618">
              <w:rPr>
                <w:rFonts w:ascii="Arial Narrow" w:hAnsi="Arial Narrow"/>
                <w:sz w:val="20"/>
              </w:rPr>
              <w:t>-0.79 (0.03)</w:t>
            </w:r>
          </w:p>
        </w:tc>
        <w:tc>
          <w:tcPr>
            <w:tcW w:w="1427" w:type="dxa"/>
            <w:vAlign w:val="center"/>
          </w:tcPr>
          <w:p w:rsidR="0002606A" w:rsidRPr="00B73618" w:rsidRDefault="0002606A" w:rsidP="0002606A">
            <w:pPr>
              <w:jc w:val="center"/>
              <w:rPr>
                <w:rFonts w:ascii="Arial Narrow" w:hAnsi="Arial Narrow"/>
                <w:sz w:val="20"/>
              </w:rPr>
            </w:pPr>
            <w:r w:rsidRPr="00B73618">
              <w:rPr>
                <w:rFonts w:ascii="Arial Narrow" w:hAnsi="Arial Narrow"/>
                <w:sz w:val="20"/>
              </w:rPr>
              <w:t>0.08 (-Inf, 0.15)</w:t>
            </w:r>
          </w:p>
        </w:tc>
      </w:tr>
      <w:tr w:rsidR="0002606A" w:rsidRPr="00B73618" w:rsidTr="00577ECD">
        <w:tc>
          <w:tcPr>
            <w:tcW w:w="1408" w:type="dxa"/>
            <w:vAlign w:val="center"/>
          </w:tcPr>
          <w:p w:rsidR="0002606A" w:rsidRPr="00B73618" w:rsidRDefault="0002606A" w:rsidP="0002606A">
            <w:pPr>
              <w:jc w:val="left"/>
              <w:rPr>
                <w:rFonts w:ascii="Arial Narrow" w:hAnsi="Arial Narrow"/>
                <w:sz w:val="20"/>
                <w:szCs w:val="22"/>
              </w:rPr>
            </w:pPr>
            <w:r w:rsidRPr="00B73618">
              <w:rPr>
                <w:rFonts w:ascii="Arial Narrow" w:hAnsi="Arial Narrow"/>
                <w:sz w:val="20"/>
                <w:szCs w:val="22"/>
              </w:rPr>
              <w:t>Full analysis set (N=1041)</w:t>
            </w:r>
          </w:p>
        </w:tc>
        <w:tc>
          <w:tcPr>
            <w:tcW w:w="1403" w:type="dxa"/>
            <w:vAlign w:val="center"/>
          </w:tcPr>
          <w:p w:rsidR="0002606A" w:rsidRPr="00B73618" w:rsidRDefault="0002606A" w:rsidP="0002606A">
            <w:pPr>
              <w:jc w:val="center"/>
              <w:rPr>
                <w:rFonts w:ascii="Arial Narrow" w:hAnsi="Arial Narrow"/>
                <w:sz w:val="20"/>
              </w:rPr>
            </w:pPr>
            <w:r w:rsidRPr="00640FEB">
              <w:rPr>
                <w:rFonts w:ascii="Arial Narrow" w:hAnsi="Arial Narrow"/>
                <w:sz w:val="20"/>
              </w:rPr>
              <w:t>2.5 (0.59)</w:t>
            </w:r>
          </w:p>
        </w:tc>
        <w:tc>
          <w:tcPr>
            <w:tcW w:w="1389" w:type="dxa"/>
            <w:vAlign w:val="center"/>
          </w:tcPr>
          <w:p w:rsidR="0002606A" w:rsidRPr="00B73618" w:rsidRDefault="0002606A" w:rsidP="0002606A">
            <w:pPr>
              <w:jc w:val="center"/>
              <w:rPr>
                <w:rFonts w:ascii="Arial Narrow" w:hAnsi="Arial Narrow"/>
                <w:sz w:val="20"/>
              </w:rPr>
            </w:pPr>
            <w:r w:rsidRPr="00640FEB">
              <w:rPr>
                <w:rFonts w:ascii="Arial Narrow" w:hAnsi="Arial Narrow"/>
                <w:sz w:val="20"/>
              </w:rPr>
              <w:t>-0.66 (0.03)</w:t>
            </w:r>
          </w:p>
        </w:tc>
        <w:tc>
          <w:tcPr>
            <w:tcW w:w="1404" w:type="dxa"/>
            <w:vAlign w:val="center"/>
          </w:tcPr>
          <w:p w:rsidR="0002606A" w:rsidRPr="00B73618" w:rsidRDefault="0002606A" w:rsidP="0002606A">
            <w:pPr>
              <w:jc w:val="center"/>
              <w:rPr>
                <w:rFonts w:ascii="Arial Narrow" w:hAnsi="Arial Narrow"/>
                <w:sz w:val="20"/>
              </w:rPr>
            </w:pPr>
            <w:r w:rsidRPr="00640FEB">
              <w:rPr>
                <w:rFonts w:ascii="Arial Narrow" w:hAnsi="Arial Narrow"/>
                <w:sz w:val="20"/>
              </w:rPr>
              <w:t>2.4 (4.7)</w:t>
            </w:r>
          </w:p>
        </w:tc>
        <w:tc>
          <w:tcPr>
            <w:tcW w:w="1389" w:type="dxa"/>
            <w:vAlign w:val="center"/>
          </w:tcPr>
          <w:p w:rsidR="0002606A" w:rsidRPr="00B73618" w:rsidRDefault="0002606A" w:rsidP="0002606A">
            <w:pPr>
              <w:jc w:val="center"/>
              <w:rPr>
                <w:rFonts w:ascii="Arial Narrow" w:hAnsi="Arial Narrow"/>
                <w:sz w:val="20"/>
              </w:rPr>
            </w:pPr>
            <w:r w:rsidRPr="00640FEB">
              <w:rPr>
                <w:rFonts w:ascii="Arial Narrow" w:hAnsi="Arial Narrow"/>
                <w:sz w:val="20"/>
              </w:rPr>
              <w:t>-0.76 (0.03)</w:t>
            </w:r>
          </w:p>
        </w:tc>
        <w:tc>
          <w:tcPr>
            <w:tcW w:w="1427" w:type="dxa"/>
            <w:vAlign w:val="center"/>
          </w:tcPr>
          <w:p w:rsidR="0002606A" w:rsidRPr="00B73618" w:rsidRDefault="0002606A" w:rsidP="0002606A">
            <w:pPr>
              <w:jc w:val="center"/>
              <w:rPr>
                <w:rFonts w:ascii="Arial Narrow" w:hAnsi="Arial Narrow"/>
                <w:sz w:val="20"/>
              </w:rPr>
            </w:pPr>
            <w:r w:rsidRPr="00B73618">
              <w:rPr>
                <w:rFonts w:ascii="Arial Narrow" w:hAnsi="Arial Narrow"/>
                <w:sz w:val="20"/>
              </w:rPr>
              <w:t>0.10 (-Inf, 0.16)</w:t>
            </w:r>
          </w:p>
        </w:tc>
      </w:tr>
    </w:tbl>
    <w:p w:rsidR="00380CE0" w:rsidRPr="00B73618" w:rsidRDefault="0002606A" w:rsidP="0002606A">
      <w:pPr>
        <w:ind w:left="720"/>
        <w:rPr>
          <w:rFonts w:ascii="Arial Narrow" w:hAnsi="Arial Narrow"/>
          <w:sz w:val="18"/>
          <w:szCs w:val="18"/>
        </w:rPr>
      </w:pPr>
      <w:r w:rsidRPr="00B73618">
        <w:rPr>
          <w:rFonts w:ascii="Arial Narrow" w:hAnsi="Arial Narrow"/>
          <w:sz w:val="18"/>
          <w:szCs w:val="18"/>
        </w:rPr>
        <w:t>Source: Tables 41 (p 181) and 42 (p 182) PA-CL-05A clinical study report.</w:t>
      </w:r>
    </w:p>
    <w:p w:rsidR="0002606A" w:rsidRPr="00B73618" w:rsidRDefault="0002606A" w:rsidP="0002606A">
      <w:pPr>
        <w:ind w:left="720"/>
        <w:rPr>
          <w:szCs w:val="22"/>
        </w:rPr>
      </w:pPr>
      <w:r w:rsidRPr="00B73618">
        <w:rPr>
          <w:rFonts w:ascii="Arial Narrow" w:hAnsi="Arial Narrow"/>
          <w:sz w:val="18"/>
          <w:szCs w:val="18"/>
        </w:rPr>
        <w:t>Abbreviations: confidence interval (CI), least squares (LS), standard deviation (SD), standard error (SE)</w:t>
      </w:r>
    </w:p>
    <w:p w:rsidR="0002606A" w:rsidRPr="00B73618" w:rsidRDefault="0002606A" w:rsidP="0002606A">
      <w:pPr>
        <w:ind w:left="720"/>
        <w:rPr>
          <w:szCs w:val="22"/>
        </w:rPr>
      </w:pPr>
    </w:p>
    <w:p w:rsidR="00DD3599" w:rsidRPr="00B73618" w:rsidRDefault="00DD3599" w:rsidP="00B24135">
      <w:pPr>
        <w:pStyle w:val="ListParagraph"/>
        <w:widowControl/>
        <w:numPr>
          <w:ilvl w:val="1"/>
          <w:numId w:val="8"/>
        </w:numPr>
        <w:rPr>
          <w:szCs w:val="22"/>
        </w:rPr>
      </w:pPr>
      <w:r w:rsidRPr="00B73618">
        <w:rPr>
          <w:szCs w:val="22"/>
        </w:rPr>
        <w:t xml:space="preserve">In the per-protocol </w:t>
      </w:r>
      <w:r w:rsidR="00F5404D">
        <w:rPr>
          <w:szCs w:val="22"/>
        </w:rPr>
        <w:t>population</w:t>
      </w:r>
      <w:r w:rsidRPr="00B73618">
        <w:rPr>
          <w:szCs w:val="22"/>
        </w:rPr>
        <w:t xml:space="preserve">, </w:t>
      </w:r>
      <w:r w:rsidR="00175034" w:rsidRPr="00B73618">
        <w:rPr>
          <w:szCs w:val="22"/>
        </w:rPr>
        <w:t>the upper bound of the confidence interval around the mean difference was 0.15mmol/L, below the 0.19mmol/L predefined margin, supporting the non-inferiority of sucroferric oxyhydroxide to sevelamer carbonate</w:t>
      </w:r>
      <w:r w:rsidRPr="00B73618">
        <w:rPr>
          <w:szCs w:val="22"/>
        </w:rPr>
        <w:t xml:space="preserve">. The results for the full analysis </w:t>
      </w:r>
      <w:r w:rsidR="00F5404D">
        <w:rPr>
          <w:szCs w:val="22"/>
        </w:rPr>
        <w:t>population</w:t>
      </w:r>
      <w:r w:rsidRPr="00B73618">
        <w:rPr>
          <w:szCs w:val="22"/>
        </w:rPr>
        <w:t xml:space="preserve"> are consistent with the per-protocol results and also support the non-inferiority of sucroferric oxyhydroxide versus sevelamer carbonate.</w:t>
      </w:r>
    </w:p>
    <w:p w:rsidR="00DD3599" w:rsidRPr="00B73618" w:rsidRDefault="00DD3599" w:rsidP="00175034">
      <w:pPr>
        <w:ind w:left="720"/>
      </w:pPr>
    </w:p>
    <w:p w:rsidR="00DD3599" w:rsidRPr="00B73618" w:rsidRDefault="0002606A" w:rsidP="00B24135">
      <w:pPr>
        <w:pStyle w:val="ListParagraph"/>
        <w:widowControl/>
        <w:numPr>
          <w:ilvl w:val="1"/>
          <w:numId w:val="8"/>
        </w:numPr>
      </w:pPr>
      <w:r w:rsidRPr="00B73618">
        <w:t>A</w:t>
      </w:r>
      <w:r w:rsidR="00DD3599" w:rsidRPr="00B73618">
        <w:t xml:space="preserve"> superiority comparison of sucroferric oxyhydroxide versus sevelamer carbonate after 12 weeks in the full analysis</w:t>
      </w:r>
      <w:r w:rsidR="00F5404D">
        <w:t xml:space="preserve"> </w:t>
      </w:r>
      <w:r w:rsidR="00DD3599" w:rsidRPr="00B73618">
        <w:t>population indicated that the result was statistically significant in favour of sevelamer (LS mean difference 0.08mmol/L; p=0.013).</w:t>
      </w:r>
    </w:p>
    <w:p w:rsidR="00DD3599" w:rsidRPr="00B73618" w:rsidRDefault="00DD3599" w:rsidP="00175034">
      <w:pPr>
        <w:ind w:left="720"/>
      </w:pPr>
    </w:p>
    <w:p w:rsidR="00771A54" w:rsidRPr="00B73618" w:rsidRDefault="00771A54" w:rsidP="00771A54">
      <w:pPr>
        <w:pStyle w:val="ListParagraph"/>
        <w:numPr>
          <w:ilvl w:val="1"/>
          <w:numId w:val="8"/>
        </w:numPr>
      </w:pPr>
      <w:r w:rsidRPr="00B73618">
        <w:t xml:space="preserve">The PA-CL-05A/PA-CL-05B trial measured the proportion of patients achieving serum phosphorus levels within target ranges. The Kidney Disease Outcomes Quality Initiative (KDOQI) Clinical Practice Guidelines recommend that controlled serum phosphate levels should be between 1.13 and 1.78mmol/L in patients with chronic kidney disease on dialysis. The upper limit of the KDOQI Guidelines target range (1.78mmol/L) was used as the titration target in the PA-CL-05A trial. </w:t>
      </w:r>
    </w:p>
    <w:p w:rsidR="00771A54" w:rsidRPr="00B73618" w:rsidRDefault="00771A54" w:rsidP="00771A54">
      <w:pPr>
        <w:ind w:left="720"/>
      </w:pPr>
    </w:p>
    <w:p w:rsidR="00DD3599" w:rsidRPr="00B73618" w:rsidRDefault="00771A54" w:rsidP="00956EAB">
      <w:pPr>
        <w:pStyle w:val="ListParagraph"/>
        <w:numPr>
          <w:ilvl w:val="1"/>
          <w:numId w:val="8"/>
        </w:numPr>
      </w:pPr>
      <w:r w:rsidRPr="00B73618">
        <w:t xml:space="preserve">The Kidney Disease Improving Global Outcomes (KDIGO) Clinical Practice Guidelines recommendation for patients on dialysis is </w:t>
      </w:r>
      <w:r w:rsidRPr="00B73618">
        <w:rPr>
          <w:u w:val="single"/>
        </w:rPr>
        <w:t>towards</w:t>
      </w:r>
      <w:r w:rsidRPr="00B73618">
        <w:t xml:space="preserve"> normophosphat</w:t>
      </w:r>
      <w:r w:rsidR="00BA6F29" w:rsidRPr="00B73618">
        <w:t>a</w:t>
      </w:r>
      <w:r w:rsidRPr="00B73618">
        <w:t>emia (0.81 to 1.45 mmol/L), because this goal can only be reached in a small proportion of this population.</w:t>
      </w:r>
    </w:p>
    <w:p w:rsidR="00771A54" w:rsidRPr="00B73618" w:rsidRDefault="00771A54" w:rsidP="00771A54">
      <w:pPr>
        <w:ind w:left="720"/>
      </w:pPr>
    </w:p>
    <w:p w:rsidR="00DD3599" w:rsidRPr="00B73618" w:rsidRDefault="00DD3599" w:rsidP="005C11E5">
      <w:pPr>
        <w:ind w:left="720"/>
        <w:rPr>
          <w:rFonts w:ascii="Arial Narrow" w:hAnsi="Arial Narrow"/>
          <w:b/>
          <w:bCs/>
          <w:sz w:val="20"/>
        </w:rPr>
      </w:pPr>
      <w:r w:rsidRPr="00B73618">
        <w:rPr>
          <w:rFonts w:ascii="Arial Narrow" w:hAnsi="Arial Narrow"/>
          <w:b/>
          <w:bCs/>
          <w:sz w:val="20"/>
        </w:rPr>
        <w:t>Serum phosphorus control by KDOQI &amp; KDIGO target range (FAS)</w:t>
      </w:r>
    </w:p>
    <w:tbl>
      <w:tblPr>
        <w:tblW w:w="460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98"/>
        <w:gridCol w:w="2122"/>
        <w:gridCol w:w="1842"/>
        <w:gridCol w:w="1847"/>
      </w:tblGrid>
      <w:tr w:rsidR="006925B1" w:rsidRPr="00B73618" w:rsidTr="006925B1">
        <w:trPr>
          <w:trHeight w:val="20"/>
        </w:trPr>
        <w:tc>
          <w:tcPr>
            <w:tcW w:w="1545" w:type="pct"/>
            <w:shd w:val="clear" w:color="auto" w:fill="auto"/>
            <w:vAlign w:val="center"/>
          </w:tcPr>
          <w:p w:rsidR="006925B1" w:rsidRPr="00B73618" w:rsidRDefault="006925B1" w:rsidP="006925B1">
            <w:pPr>
              <w:jc w:val="left"/>
              <w:rPr>
                <w:rFonts w:ascii="Arial Narrow" w:hAnsi="Arial Narrow"/>
                <w:b/>
                <w:bCs/>
                <w:sz w:val="20"/>
              </w:rPr>
            </w:pPr>
            <w:r w:rsidRPr="00B73618">
              <w:rPr>
                <w:rFonts w:ascii="Arial Narrow" w:hAnsi="Arial Narrow"/>
                <w:b/>
                <w:bCs/>
                <w:sz w:val="20"/>
              </w:rPr>
              <w:t>Patients achieving control</w:t>
            </w:r>
          </w:p>
          <w:p w:rsidR="006925B1" w:rsidRPr="00B73618" w:rsidRDefault="006925B1" w:rsidP="006925B1">
            <w:pPr>
              <w:jc w:val="left"/>
              <w:rPr>
                <w:rFonts w:ascii="Arial Narrow" w:hAnsi="Arial Narrow"/>
                <w:b/>
                <w:bCs/>
                <w:sz w:val="20"/>
              </w:rPr>
            </w:pPr>
            <w:r w:rsidRPr="00B73618">
              <w:rPr>
                <w:rFonts w:ascii="Arial Narrow" w:hAnsi="Arial Narrow"/>
                <w:b/>
                <w:bCs/>
                <w:sz w:val="20"/>
              </w:rPr>
              <w:lastRenderedPageBreak/>
              <w:t>n/N (%)</w:t>
            </w:r>
          </w:p>
        </w:tc>
        <w:tc>
          <w:tcPr>
            <w:tcW w:w="1262" w:type="pct"/>
            <w:shd w:val="clear" w:color="auto" w:fill="auto"/>
            <w:vAlign w:val="center"/>
          </w:tcPr>
          <w:p w:rsidR="006925B1" w:rsidRPr="00B73618" w:rsidRDefault="006925B1" w:rsidP="00676EEE">
            <w:pPr>
              <w:jc w:val="center"/>
              <w:rPr>
                <w:rFonts w:ascii="Arial Narrow" w:hAnsi="Arial Narrow"/>
                <w:b/>
                <w:bCs/>
                <w:sz w:val="20"/>
              </w:rPr>
            </w:pPr>
            <w:r w:rsidRPr="00B73618">
              <w:rPr>
                <w:rFonts w:ascii="Arial Narrow" w:hAnsi="Arial Narrow"/>
                <w:b/>
                <w:sz w:val="20"/>
              </w:rPr>
              <w:lastRenderedPageBreak/>
              <w:t>Sucroferric oxyhydroxide</w:t>
            </w:r>
            <w:r w:rsidRPr="00B73618">
              <w:rPr>
                <w:rFonts w:ascii="Arial Narrow" w:hAnsi="Arial Narrow"/>
                <w:b/>
                <w:bCs/>
                <w:sz w:val="20"/>
              </w:rPr>
              <w:t xml:space="preserve"> </w:t>
            </w:r>
            <w:r w:rsidRPr="00B73618">
              <w:rPr>
                <w:rFonts w:ascii="Arial Narrow" w:hAnsi="Arial Narrow"/>
                <w:b/>
                <w:bCs/>
                <w:sz w:val="20"/>
              </w:rPr>
              <w:lastRenderedPageBreak/>
              <w:t>(N=694)</w:t>
            </w:r>
          </w:p>
        </w:tc>
        <w:tc>
          <w:tcPr>
            <w:tcW w:w="1095" w:type="pct"/>
            <w:shd w:val="clear" w:color="auto" w:fill="auto"/>
            <w:vAlign w:val="center"/>
          </w:tcPr>
          <w:p w:rsidR="006925B1" w:rsidRPr="00B73618" w:rsidRDefault="006925B1" w:rsidP="00676EEE">
            <w:pPr>
              <w:jc w:val="center"/>
              <w:rPr>
                <w:rFonts w:ascii="Arial Narrow" w:hAnsi="Arial Narrow"/>
                <w:b/>
                <w:bCs/>
                <w:sz w:val="20"/>
              </w:rPr>
            </w:pPr>
            <w:r w:rsidRPr="00B73618">
              <w:rPr>
                <w:rFonts w:ascii="Arial Narrow" w:hAnsi="Arial Narrow"/>
                <w:b/>
                <w:bCs/>
                <w:sz w:val="20"/>
              </w:rPr>
              <w:lastRenderedPageBreak/>
              <w:t xml:space="preserve">Sevelamer carbonate </w:t>
            </w:r>
          </w:p>
          <w:p w:rsidR="006925B1" w:rsidRPr="00B73618" w:rsidRDefault="006925B1" w:rsidP="00676EEE">
            <w:pPr>
              <w:jc w:val="center"/>
              <w:rPr>
                <w:rFonts w:ascii="Arial Narrow" w:hAnsi="Arial Narrow"/>
                <w:b/>
                <w:bCs/>
                <w:sz w:val="20"/>
              </w:rPr>
            </w:pPr>
            <w:r w:rsidRPr="00B73618">
              <w:rPr>
                <w:rFonts w:ascii="Arial Narrow" w:hAnsi="Arial Narrow"/>
                <w:b/>
                <w:bCs/>
                <w:sz w:val="20"/>
              </w:rPr>
              <w:lastRenderedPageBreak/>
              <w:t>(N=347)</w:t>
            </w:r>
          </w:p>
        </w:tc>
        <w:tc>
          <w:tcPr>
            <w:tcW w:w="1098" w:type="pct"/>
            <w:vAlign w:val="center"/>
          </w:tcPr>
          <w:p w:rsidR="006925B1" w:rsidRPr="00B73618" w:rsidRDefault="006925B1" w:rsidP="00676EEE">
            <w:pPr>
              <w:jc w:val="center"/>
              <w:rPr>
                <w:rFonts w:ascii="Arial Narrow" w:hAnsi="Arial Narrow"/>
                <w:b/>
                <w:bCs/>
                <w:sz w:val="20"/>
              </w:rPr>
            </w:pPr>
            <w:r w:rsidRPr="00B73618">
              <w:rPr>
                <w:rFonts w:ascii="Arial Narrow" w:hAnsi="Arial Narrow"/>
                <w:b/>
                <w:bCs/>
                <w:sz w:val="20"/>
              </w:rPr>
              <w:lastRenderedPageBreak/>
              <w:t>Odds ratio (95% CI)</w:t>
            </w:r>
          </w:p>
        </w:tc>
      </w:tr>
      <w:tr w:rsidR="006925B1" w:rsidRPr="00B73618" w:rsidTr="006925B1">
        <w:trPr>
          <w:trHeight w:val="20"/>
        </w:trPr>
        <w:tc>
          <w:tcPr>
            <w:tcW w:w="5000" w:type="pct"/>
            <w:gridSpan w:val="4"/>
            <w:shd w:val="clear" w:color="auto" w:fill="auto"/>
            <w:vAlign w:val="center"/>
          </w:tcPr>
          <w:p w:rsidR="006925B1" w:rsidRPr="00B73618" w:rsidRDefault="006925B1" w:rsidP="006925B1">
            <w:pPr>
              <w:jc w:val="left"/>
              <w:rPr>
                <w:rFonts w:ascii="Arial Narrow" w:hAnsi="Arial Narrow"/>
                <w:b/>
                <w:bCs/>
                <w:sz w:val="20"/>
              </w:rPr>
            </w:pPr>
            <w:r w:rsidRPr="00B73618">
              <w:rPr>
                <w:rFonts w:ascii="Arial Narrow" w:hAnsi="Arial Narrow"/>
                <w:b/>
                <w:bCs/>
                <w:sz w:val="20"/>
              </w:rPr>
              <w:lastRenderedPageBreak/>
              <w:t>KDOQI target range (phosphorus levels 1.13-1.78mmol/L)</w:t>
            </w:r>
          </w:p>
        </w:tc>
      </w:tr>
      <w:tr w:rsidR="006925B1" w:rsidRPr="00B73618" w:rsidTr="006925B1">
        <w:trPr>
          <w:trHeight w:val="20"/>
        </w:trPr>
        <w:tc>
          <w:tcPr>
            <w:tcW w:w="1545" w:type="pct"/>
            <w:shd w:val="clear" w:color="auto" w:fill="auto"/>
            <w:vAlign w:val="center"/>
          </w:tcPr>
          <w:p w:rsidR="006925B1" w:rsidRPr="00B73618" w:rsidRDefault="006925B1" w:rsidP="006925B1">
            <w:pPr>
              <w:jc w:val="left"/>
              <w:rPr>
                <w:rFonts w:ascii="Arial Narrow" w:hAnsi="Arial Narrow"/>
                <w:bCs/>
                <w:sz w:val="20"/>
              </w:rPr>
            </w:pPr>
            <w:r w:rsidRPr="00B73618">
              <w:rPr>
                <w:rFonts w:ascii="Arial Narrow" w:hAnsi="Arial Narrow"/>
                <w:bCs/>
                <w:sz w:val="20"/>
              </w:rPr>
              <w:t>Baseline</w:t>
            </w:r>
          </w:p>
        </w:tc>
        <w:tc>
          <w:tcPr>
            <w:tcW w:w="1262" w:type="pct"/>
            <w:shd w:val="clear" w:color="auto" w:fill="auto"/>
            <w:vAlign w:val="center"/>
          </w:tcPr>
          <w:p w:rsidR="006925B1" w:rsidRPr="00B73618" w:rsidRDefault="006925B1" w:rsidP="00676EEE">
            <w:pPr>
              <w:jc w:val="center"/>
              <w:rPr>
                <w:rFonts w:ascii="Arial Narrow" w:hAnsi="Arial Narrow"/>
                <w:bCs/>
                <w:sz w:val="20"/>
              </w:rPr>
            </w:pPr>
            <w:r w:rsidRPr="00B73618">
              <w:rPr>
                <w:rFonts w:ascii="Arial Narrow" w:hAnsi="Arial Narrow"/>
                <w:bCs/>
                <w:sz w:val="20"/>
              </w:rPr>
              <w:t>42/694 (6.1)</w:t>
            </w:r>
          </w:p>
        </w:tc>
        <w:tc>
          <w:tcPr>
            <w:tcW w:w="1095" w:type="pct"/>
            <w:shd w:val="clear" w:color="auto" w:fill="auto"/>
            <w:vAlign w:val="center"/>
          </w:tcPr>
          <w:p w:rsidR="006925B1" w:rsidRPr="00B73618" w:rsidRDefault="006925B1" w:rsidP="00676EEE">
            <w:pPr>
              <w:jc w:val="center"/>
              <w:rPr>
                <w:rFonts w:ascii="Arial Narrow" w:hAnsi="Arial Narrow"/>
                <w:bCs/>
                <w:sz w:val="20"/>
              </w:rPr>
            </w:pPr>
            <w:r w:rsidRPr="00B73618">
              <w:rPr>
                <w:rFonts w:ascii="Arial Narrow" w:hAnsi="Arial Narrow"/>
                <w:bCs/>
                <w:sz w:val="20"/>
              </w:rPr>
              <w:t>29/347 (8.4)</w:t>
            </w:r>
          </w:p>
        </w:tc>
        <w:tc>
          <w:tcPr>
            <w:tcW w:w="1098" w:type="pct"/>
            <w:vAlign w:val="center"/>
          </w:tcPr>
          <w:p w:rsidR="006925B1" w:rsidRPr="00B73618" w:rsidRDefault="006925B1" w:rsidP="00676EEE">
            <w:pPr>
              <w:jc w:val="center"/>
              <w:rPr>
                <w:rFonts w:ascii="Arial Narrow" w:hAnsi="Arial Narrow"/>
                <w:bCs/>
                <w:sz w:val="20"/>
              </w:rPr>
            </w:pPr>
            <w:r w:rsidRPr="00B73618">
              <w:rPr>
                <w:rFonts w:ascii="Arial Narrow" w:hAnsi="Arial Narrow"/>
                <w:bCs/>
                <w:sz w:val="20"/>
              </w:rPr>
              <w:t>-</w:t>
            </w:r>
          </w:p>
        </w:tc>
      </w:tr>
      <w:tr w:rsidR="006925B1" w:rsidRPr="00B73618" w:rsidTr="006925B1">
        <w:trPr>
          <w:trHeight w:val="20"/>
        </w:trPr>
        <w:tc>
          <w:tcPr>
            <w:tcW w:w="1545" w:type="pct"/>
            <w:shd w:val="clear" w:color="auto" w:fill="auto"/>
            <w:vAlign w:val="center"/>
          </w:tcPr>
          <w:p w:rsidR="006925B1" w:rsidRPr="00B73618" w:rsidRDefault="006925B1" w:rsidP="006925B1">
            <w:pPr>
              <w:jc w:val="left"/>
              <w:rPr>
                <w:rFonts w:ascii="Arial Narrow" w:hAnsi="Arial Narrow"/>
                <w:bCs/>
                <w:sz w:val="20"/>
              </w:rPr>
            </w:pPr>
            <w:r w:rsidRPr="00B73618">
              <w:rPr>
                <w:rFonts w:ascii="Arial Narrow" w:hAnsi="Arial Narrow"/>
                <w:bCs/>
                <w:sz w:val="20"/>
              </w:rPr>
              <w:t>Week 12</w:t>
            </w:r>
          </w:p>
        </w:tc>
        <w:tc>
          <w:tcPr>
            <w:tcW w:w="1262" w:type="pct"/>
            <w:shd w:val="clear" w:color="auto" w:fill="auto"/>
            <w:vAlign w:val="center"/>
          </w:tcPr>
          <w:p w:rsidR="006925B1" w:rsidRPr="00B73618" w:rsidRDefault="006925B1" w:rsidP="00676EEE">
            <w:pPr>
              <w:jc w:val="center"/>
              <w:rPr>
                <w:rFonts w:ascii="Arial Narrow" w:hAnsi="Arial Narrow"/>
                <w:bCs/>
                <w:sz w:val="20"/>
              </w:rPr>
            </w:pPr>
            <w:r w:rsidRPr="00B73618">
              <w:rPr>
                <w:rFonts w:ascii="Arial Narrow" w:hAnsi="Arial Narrow"/>
                <w:bCs/>
                <w:sz w:val="20"/>
              </w:rPr>
              <w:t>264/589 (44.8)</w:t>
            </w:r>
          </w:p>
        </w:tc>
        <w:tc>
          <w:tcPr>
            <w:tcW w:w="1095" w:type="pct"/>
            <w:shd w:val="clear" w:color="auto" w:fill="auto"/>
            <w:vAlign w:val="center"/>
          </w:tcPr>
          <w:p w:rsidR="006925B1" w:rsidRPr="00B73618" w:rsidRDefault="006925B1" w:rsidP="00676EEE">
            <w:pPr>
              <w:jc w:val="center"/>
              <w:rPr>
                <w:rFonts w:ascii="Arial Narrow" w:hAnsi="Arial Narrow"/>
                <w:bCs/>
                <w:sz w:val="20"/>
              </w:rPr>
            </w:pPr>
            <w:r w:rsidRPr="00B73618">
              <w:rPr>
                <w:rFonts w:ascii="Arial Narrow" w:hAnsi="Arial Narrow"/>
                <w:bCs/>
                <w:sz w:val="20"/>
              </w:rPr>
              <w:t>174/318 (54.7)</w:t>
            </w:r>
          </w:p>
        </w:tc>
        <w:tc>
          <w:tcPr>
            <w:tcW w:w="1098" w:type="pct"/>
            <w:vAlign w:val="center"/>
          </w:tcPr>
          <w:p w:rsidR="006925B1" w:rsidRPr="00B73618" w:rsidRDefault="006925B1" w:rsidP="00676EEE">
            <w:pPr>
              <w:jc w:val="center"/>
              <w:rPr>
                <w:rFonts w:ascii="Arial Narrow" w:hAnsi="Arial Narrow"/>
                <w:bCs/>
                <w:sz w:val="20"/>
              </w:rPr>
            </w:pPr>
            <w:r w:rsidRPr="00B73618">
              <w:rPr>
                <w:rFonts w:ascii="Arial Narrow" w:hAnsi="Arial Narrow"/>
                <w:b/>
                <w:bCs/>
                <w:sz w:val="20"/>
              </w:rPr>
              <w:t>0.69 (0.52, 0.91)</w:t>
            </w:r>
          </w:p>
        </w:tc>
      </w:tr>
      <w:tr w:rsidR="006925B1" w:rsidRPr="00B73618" w:rsidTr="006925B1">
        <w:trPr>
          <w:trHeight w:val="20"/>
        </w:trPr>
        <w:tc>
          <w:tcPr>
            <w:tcW w:w="1545" w:type="pct"/>
            <w:shd w:val="clear" w:color="auto" w:fill="auto"/>
            <w:vAlign w:val="center"/>
          </w:tcPr>
          <w:p w:rsidR="006925B1" w:rsidRPr="00B73618" w:rsidRDefault="006925B1" w:rsidP="006925B1">
            <w:pPr>
              <w:jc w:val="left"/>
              <w:rPr>
                <w:rFonts w:ascii="Arial Narrow" w:hAnsi="Arial Narrow"/>
                <w:bCs/>
                <w:sz w:val="20"/>
              </w:rPr>
            </w:pPr>
            <w:r w:rsidRPr="00B73618">
              <w:rPr>
                <w:rFonts w:ascii="Arial Narrow" w:hAnsi="Arial Narrow"/>
                <w:bCs/>
                <w:sz w:val="20"/>
              </w:rPr>
              <w:t>Week 24</w:t>
            </w:r>
          </w:p>
        </w:tc>
        <w:tc>
          <w:tcPr>
            <w:tcW w:w="1262" w:type="pct"/>
            <w:shd w:val="clear" w:color="auto" w:fill="auto"/>
            <w:vAlign w:val="center"/>
          </w:tcPr>
          <w:p w:rsidR="006925B1" w:rsidRPr="00B73618" w:rsidRDefault="006925B1" w:rsidP="00676EEE">
            <w:pPr>
              <w:jc w:val="center"/>
              <w:rPr>
                <w:rFonts w:ascii="Arial Narrow" w:hAnsi="Arial Narrow"/>
                <w:bCs/>
                <w:sz w:val="20"/>
              </w:rPr>
            </w:pPr>
            <w:r w:rsidRPr="00B73618">
              <w:rPr>
                <w:rFonts w:ascii="Arial Narrow" w:hAnsi="Arial Narrow"/>
                <w:bCs/>
                <w:sz w:val="20"/>
              </w:rPr>
              <w:t>261/496 (52.6)</w:t>
            </w:r>
          </w:p>
        </w:tc>
        <w:tc>
          <w:tcPr>
            <w:tcW w:w="1095" w:type="pct"/>
            <w:shd w:val="clear" w:color="auto" w:fill="auto"/>
            <w:vAlign w:val="center"/>
          </w:tcPr>
          <w:p w:rsidR="006925B1" w:rsidRPr="00B73618" w:rsidRDefault="006925B1" w:rsidP="00676EEE">
            <w:pPr>
              <w:jc w:val="center"/>
              <w:rPr>
                <w:rFonts w:ascii="Arial Narrow" w:hAnsi="Arial Narrow"/>
                <w:bCs/>
                <w:sz w:val="20"/>
              </w:rPr>
            </w:pPr>
            <w:r w:rsidRPr="00B73618">
              <w:rPr>
                <w:rFonts w:ascii="Arial Narrow" w:hAnsi="Arial Narrow"/>
                <w:bCs/>
                <w:sz w:val="20"/>
              </w:rPr>
              <w:t>155/285 (54.4)</w:t>
            </w:r>
          </w:p>
        </w:tc>
        <w:tc>
          <w:tcPr>
            <w:tcW w:w="1098" w:type="pct"/>
            <w:vAlign w:val="center"/>
          </w:tcPr>
          <w:p w:rsidR="006925B1" w:rsidRPr="00B73618" w:rsidRDefault="006925B1" w:rsidP="00676EEE">
            <w:pPr>
              <w:jc w:val="center"/>
              <w:rPr>
                <w:rFonts w:ascii="Arial Narrow" w:hAnsi="Arial Narrow"/>
                <w:bCs/>
                <w:sz w:val="20"/>
              </w:rPr>
            </w:pPr>
            <w:r w:rsidRPr="00B73618">
              <w:rPr>
                <w:rFonts w:ascii="Arial Narrow" w:hAnsi="Arial Narrow"/>
                <w:bCs/>
                <w:sz w:val="20"/>
              </w:rPr>
              <w:t>0.99 (0.73, 1.34)</w:t>
            </w:r>
          </w:p>
        </w:tc>
      </w:tr>
      <w:tr w:rsidR="006925B1" w:rsidRPr="00B73618" w:rsidTr="006925B1">
        <w:trPr>
          <w:trHeight w:val="20"/>
        </w:trPr>
        <w:tc>
          <w:tcPr>
            <w:tcW w:w="1545" w:type="pct"/>
            <w:shd w:val="clear" w:color="auto" w:fill="auto"/>
            <w:vAlign w:val="center"/>
          </w:tcPr>
          <w:p w:rsidR="006925B1" w:rsidRPr="00B73618" w:rsidRDefault="006925B1" w:rsidP="006925B1">
            <w:pPr>
              <w:jc w:val="left"/>
              <w:rPr>
                <w:rFonts w:ascii="Arial Narrow" w:hAnsi="Arial Narrow"/>
                <w:bCs/>
                <w:sz w:val="20"/>
              </w:rPr>
            </w:pPr>
            <w:r w:rsidRPr="00B73618">
              <w:rPr>
                <w:rFonts w:ascii="Arial Narrow" w:hAnsi="Arial Narrow"/>
                <w:bCs/>
                <w:sz w:val="20"/>
              </w:rPr>
              <w:t>Week 52</w:t>
            </w:r>
          </w:p>
        </w:tc>
        <w:tc>
          <w:tcPr>
            <w:tcW w:w="1262" w:type="pct"/>
            <w:shd w:val="clear" w:color="auto" w:fill="auto"/>
            <w:vAlign w:val="center"/>
          </w:tcPr>
          <w:p w:rsidR="006925B1" w:rsidRPr="002872FE" w:rsidRDefault="002872FE" w:rsidP="00676EEE">
            <w:pPr>
              <w:jc w:val="center"/>
              <w:rPr>
                <w:rFonts w:ascii="Arial Narrow" w:hAnsi="Arial Narrow"/>
                <w:bCs/>
                <w:sz w:val="20"/>
                <w:highlight w:val="black"/>
              </w:rPr>
            </w:pPr>
            <w:r>
              <w:rPr>
                <w:rFonts w:ascii="Arial Narrow" w:hAnsi="Arial Narrow"/>
                <w:bCs/>
                <w:noProof/>
                <w:color w:val="000000"/>
                <w:sz w:val="20"/>
                <w:highlight w:val="black"/>
              </w:rPr>
              <w:t>''''''''''''''''''' '''''''''''''</w:t>
            </w:r>
          </w:p>
        </w:tc>
        <w:tc>
          <w:tcPr>
            <w:tcW w:w="1095" w:type="pct"/>
            <w:shd w:val="clear" w:color="auto" w:fill="auto"/>
            <w:vAlign w:val="center"/>
          </w:tcPr>
          <w:p w:rsidR="006925B1" w:rsidRPr="002872FE" w:rsidRDefault="002872FE" w:rsidP="00676EEE">
            <w:pPr>
              <w:jc w:val="center"/>
              <w:rPr>
                <w:rFonts w:ascii="Arial Narrow" w:hAnsi="Arial Narrow"/>
                <w:bCs/>
                <w:sz w:val="20"/>
                <w:highlight w:val="black"/>
              </w:rPr>
            </w:pPr>
            <w:r>
              <w:rPr>
                <w:rFonts w:ascii="Arial Narrow" w:hAnsi="Arial Narrow"/>
                <w:bCs/>
                <w:noProof/>
                <w:color w:val="000000"/>
                <w:sz w:val="20"/>
                <w:highlight w:val="black"/>
              </w:rPr>
              <w:t>'''''''''''''''''''' '''''''''''''''</w:t>
            </w:r>
          </w:p>
        </w:tc>
        <w:tc>
          <w:tcPr>
            <w:tcW w:w="1098" w:type="pct"/>
            <w:vAlign w:val="center"/>
          </w:tcPr>
          <w:p w:rsidR="006925B1" w:rsidRPr="002872FE" w:rsidRDefault="002872FE" w:rsidP="00676EEE">
            <w:pPr>
              <w:jc w:val="center"/>
              <w:rPr>
                <w:rFonts w:ascii="Arial Narrow" w:hAnsi="Arial Narrow"/>
                <w:bCs/>
                <w:sz w:val="20"/>
                <w:highlight w:val="black"/>
              </w:rPr>
            </w:pPr>
            <w:r>
              <w:rPr>
                <w:rFonts w:ascii="Arial Narrow" w:hAnsi="Arial Narrow"/>
                <w:bCs/>
                <w:noProof/>
                <w:color w:val="000000"/>
                <w:sz w:val="20"/>
                <w:highlight w:val="black"/>
              </w:rPr>
              <w:t>'''''''</w:t>
            </w:r>
          </w:p>
        </w:tc>
      </w:tr>
      <w:tr w:rsidR="006925B1" w:rsidRPr="00B73618" w:rsidTr="006925B1">
        <w:trPr>
          <w:trHeight w:val="20"/>
        </w:trPr>
        <w:tc>
          <w:tcPr>
            <w:tcW w:w="5000" w:type="pct"/>
            <w:gridSpan w:val="4"/>
            <w:shd w:val="clear" w:color="auto" w:fill="auto"/>
            <w:vAlign w:val="center"/>
          </w:tcPr>
          <w:p w:rsidR="006925B1" w:rsidRPr="00B73618" w:rsidRDefault="006925B1" w:rsidP="006925B1">
            <w:pPr>
              <w:jc w:val="left"/>
              <w:rPr>
                <w:rFonts w:ascii="Arial Narrow" w:hAnsi="Arial Narrow"/>
                <w:bCs/>
                <w:sz w:val="20"/>
              </w:rPr>
            </w:pPr>
            <w:r w:rsidRPr="00B73618">
              <w:rPr>
                <w:rFonts w:ascii="Arial Narrow" w:hAnsi="Arial Narrow"/>
                <w:b/>
                <w:bCs/>
                <w:sz w:val="20"/>
              </w:rPr>
              <w:t>KDIGO target range (phosphorus levels 0.81-1.45mmol/L)</w:t>
            </w:r>
          </w:p>
        </w:tc>
      </w:tr>
      <w:tr w:rsidR="006925B1" w:rsidRPr="00B73618" w:rsidTr="006925B1">
        <w:trPr>
          <w:trHeight w:val="20"/>
        </w:trPr>
        <w:tc>
          <w:tcPr>
            <w:tcW w:w="1545" w:type="pct"/>
            <w:shd w:val="clear" w:color="auto" w:fill="auto"/>
            <w:vAlign w:val="center"/>
          </w:tcPr>
          <w:p w:rsidR="006925B1" w:rsidRPr="00B73618" w:rsidRDefault="006925B1" w:rsidP="006925B1">
            <w:pPr>
              <w:jc w:val="left"/>
              <w:rPr>
                <w:rFonts w:ascii="Arial Narrow" w:hAnsi="Arial Narrow"/>
                <w:bCs/>
                <w:sz w:val="20"/>
              </w:rPr>
            </w:pPr>
            <w:r w:rsidRPr="00B73618">
              <w:rPr>
                <w:rFonts w:ascii="Arial Narrow" w:hAnsi="Arial Narrow"/>
                <w:bCs/>
                <w:sz w:val="20"/>
              </w:rPr>
              <w:t>Baseline</w:t>
            </w:r>
          </w:p>
        </w:tc>
        <w:tc>
          <w:tcPr>
            <w:tcW w:w="1262" w:type="pct"/>
            <w:shd w:val="clear" w:color="auto" w:fill="auto"/>
            <w:vAlign w:val="center"/>
          </w:tcPr>
          <w:p w:rsidR="006925B1" w:rsidRPr="002872FE" w:rsidRDefault="002872FE" w:rsidP="00676EEE">
            <w:pPr>
              <w:jc w:val="center"/>
              <w:rPr>
                <w:rFonts w:ascii="Arial Narrow" w:hAnsi="Arial Narrow"/>
                <w:bCs/>
                <w:sz w:val="20"/>
                <w:highlight w:val="black"/>
              </w:rPr>
            </w:pPr>
            <w:r>
              <w:rPr>
                <w:rFonts w:ascii="Arial Narrow" w:hAnsi="Arial Narrow"/>
                <w:bCs/>
                <w:noProof/>
                <w:color w:val="000000"/>
                <w:sz w:val="20"/>
                <w:highlight w:val="black"/>
              </w:rPr>
              <w:t>''''''''''''''' '''''''''''''''''</w:t>
            </w:r>
          </w:p>
        </w:tc>
        <w:tc>
          <w:tcPr>
            <w:tcW w:w="1095" w:type="pct"/>
            <w:shd w:val="clear" w:color="auto" w:fill="auto"/>
            <w:vAlign w:val="center"/>
          </w:tcPr>
          <w:p w:rsidR="006925B1" w:rsidRPr="002872FE" w:rsidRDefault="002872FE" w:rsidP="00676EEE">
            <w:pPr>
              <w:jc w:val="center"/>
              <w:rPr>
                <w:rFonts w:ascii="Arial Narrow" w:hAnsi="Arial Narrow"/>
                <w:bCs/>
                <w:sz w:val="20"/>
                <w:highlight w:val="black"/>
              </w:rPr>
            </w:pPr>
            <w:r>
              <w:rPr>
                <w:rFonts w:ascii="Arial Narrow" w:hAnsi="Arial Narrow"/>
                <w:bCs/>
                <w:noProof/>
                <w:color w:val="000000"/>
                <w:sz w:val="20"/>
                <w:highlight w:val="black"/>
              </w:rPr>
              <w:t>'''''''''''''' ''''''''''''''''</w:t>
            </w:r>
          </w:p>
        </w:tc>
        <w:tc>
          <w:tcPr>
            <w:tcW w:w="1098" w:type="pct"/>
            <w:vAlign w:val="center"/>
          </w:tcPr>
          <w:p w:rsidR="006925B1" w:rsidRPr="00B73618" w:rsidRDefault="006925B1" w:rsidP="00676EEE">
            <w:pPr>
              <w:jc w:val="center"/>
              <w:rPr>
                <w:rFonts w:ascii="Arial Narrow" w:hAnsi="Arial Narrow"/>
                <w:bCs/>
                <w:sz w:val="20"/>
              </w:rPr>
            </w:pPr>
            <w:r w:rsidRPr="00B73618">
              <w:rPr>
                <w:rFonts w:ascii="Arial Narrow" w:hAnsi="Arial Narrow"/>
                <w:bCs/>
                <w:sz w:val="20"/>
              </w:rPr>
              <w:t>-</w:t>
            </w:r>
          </w:p>
        </w:tc>
      </w:tr>
      <w:tr w:rsidR="006925B1" w:rsidRPr="00B73618" w:rsidTr="006925B1">
        <w:trPr>
          <w:trHeight w:val="20"/>
        </w:trPr>
        <w:tc>
          <w:tcPr>
            <w:tcW w:w="1545" w:type="pct"/>
            <w:shd w:val="clear" w:color="auto" w:fill="auto"/>
            <w:vAlign w:val="center"/>
          </w:tcPr>
          <w:p w:rsidR="006925B1" w:rsidRPr="00B73618" w:rsidRDefault="006925B1" w:rsidP="006925B1">
            <w:pPr>
              <w:jc w:val="left"/>
              <w:rPr>
                <w:rFonts w:ascii="Arial Narrow" w:hAnsi="Arial Narrow"/>
                <w:bCs/>
                <w:sz w:val="20"/>
              </w:rPr>
            </w:pPr>
            <w:r w:rsidRPr="00B73618">
              <w:rPr>
                <w:rFonts w:ascii="Arial Narrow" w:hAnsi="Arial Narrow"/>
                <w:bCs/>
                <w:sz w:val="20"/>
              </w:rPr>
              <w:t>Week 12</w:t>
            </w:r>
          </w:p>
        </w:tc>
        <w:tc>
          <w:tcPr>
            <w:tcW w:w="1262" w:type="pct"/>
            <w:shd w:val="clear" w:color="auto" w:fill="auto"/>
            <w:vAlign w:val="center"/>
          </w:tcPr>
          <w:p w:rsidR="006925B1" w:rsidRPr="002872FE" w:rsidRDefault="002872FE" w:rsidP="00676EEE">
            <w:pPr>
              <w:jc w:val="center"/>
              <w:rPr>
                <w:rFonts w:ascii="Arial Narrow" w:hAnsi="Arial Narrow"/>
                <w:bCs/>
                <w:sz w:val="20"/>
                <w:highlight w:val="black"/>
              </w:rPr>
            </w:pPr>
            <w:r>
              <w:rPr>
                <w:rFonts w:ascii="Arial Narrow" w:hAnsi="Arial Narrow"/>
                <w:bCs/>
                <w:noProof/>
                <w:color w:val="000000"/>
                <w:sz w:val="20"/>
                <w:highlight w:val="black"/>
              </w:rPr>
              <w:t>'''''''''''''''''''''' ''''''''''''''''''''</w:t>
            </w:r>
          </w:p>
        </w:tc>
        <w:tc>
          <w:tcPr>
            <w:tcW w:w="1095" w:type="pct"/>
            <w:shd w:val="clear" w:color="auto" w:fill="auto"/>
            <w:vAlign w:val="center"/>
          </w:tcPr>
          <w:p w:rsidR="006925B1" w:rsidRPr="002872FE" w:rsidRDefault="002872FE" w:rsidP="00676EEE">
            <w:pPr>
              <w:jc w:val="center"/>
              <w:rPr>
                <w:rFonts w:ascii="Arial Narrow" w:hAnsi="Arial Narrow"/>
                <w:bCs/>
                <w:sz w:val="20"/>
                <w:highlight w:val="black"/>
              </w:rPr>
            </w:pPr>
            <w:r>
              <w:rPr>
                <w:rFonts w:ascii="Arial Narrow" w:hAnsi="Arial Narrow"/>
                <w:bCs/>
                <w:noProof/>
                <w:color w:val="000000"/>
                <w:sz w:val="20"/>
                <w:highlight w:val="black"/>
              </w:rPr>
              <w:t>'''''''''''''''' '''''''''''''''''''</w:t>
            </w:r>
          </w:p>
        </w:tc>
        <w:tc>
          <w:tcPr>
            <w:tcW w:w="1098" w:type="pct"/>
            <w:vAlign w:val="center"/>
          </w:tcPr>
          <w:p w:rsidR="006925B1" w:rsidRPr="002872FE" w:rsidRDefault="002872FE" w:rsidP="00676EEE">
            <w:pPr>
              <w:jc w:val="center"/>
              <w:rPr>
                <w:rFonts w:ascii="Arial Narrow" w:hAnsi="Arial Narrow"/>
                <w:bCs/>
                <w:sz w:val="20"/>
                <w:highlight w:val="black"/>
              </w:rPr>
            </w:pPr>
            <w:r>
              <w:rPr>
                <w:rFonts w:ascii="Arial Narrow" w:hAnsi="Arial Narrow"/>
                <w:b/>
                <w:bCs/>
                <w:noProof/>
                <w:color w:val="000000"/>
                <w:sz w:val="20"/>
                <w:highlight w:val="black"/>
              </w:rPr>
              <w:t>'''''''' ''''''''''' '''''''''</w:t>
            </w:r>
          </w:p>
        </w:tc>
      </w:tr>
      <w:tr w:rsidR="006925B1" w:rsidRPr="00B73618" w:rsidTr="006925B1">
        <w:trPr>
          <w:trHeight w:val="20"/>
        </w:trPr>
        <w:tc>
          <w:tcPr>
            <w:tcW w:w="1545" w:type="pct"/>
            <w:shd w:val="clear" w:color="auto" w:fill="auto"/>
            <w:vAlign w:val="center"/>
          </w:tcPr>
          <w:p w:rsidR="006925B1" w:rsidRPr="00B73618" w:rsidRDefault="006925B1" w:rsidP="006925B1">
            <w:pPr>
              <w:jc w:val="left"/>
              <w:rPr>
                <w:rFonts w:ascii="Arial Narrow" w:hAnsi="Arial Narrow"/>
                <w:bCs/>
                <w:sz w:val="20"/>
              </w:rPr>
            </w:pPr>
            <w:r w:rsidRPr="00B73618">
              <w:rPr>
                <w:rFonts w:ascii="Arial Narrow" w:hAnsi="Arial Narrow"/>
                <w:bCs/>
                <w:sz w:val="20"/>
              </w:rPr>
              <w:t>Week 24</w:t>
            </w:r>
          </w:p>
        </w:tc>
        <w:tc>
          <w:tcPr>
            <w:tcW w:w="1262" w:type="pct"/>
            <w:shd w:val="clear" w:color="auto" w:fill="auto"/>
            <w:vAlign w:val="center"/>
          </w:tcPr>
          <w:p w:rsidR="006925B1" w:rsidRPr="002872FE" w:rsidRDefault="002872FE" w:rsidP="00676EEE">
            <w:pPr>
              <w:jc w:val="center"/>
              <w:rPr>
                <w:rFonts w:ascii="Arial Narrow" w:hAnsi="Arial Narrow"/>
                <w:bCs/>
                <w:sz w:val="20"/>
                <w:highlight w:val="black"/>
              </w:rPr>
            </w:pPr>
            <w:r>
              <w:rPr>
                <w:rFonts w:ascii="Arial Narrow" w:hAnsi="Arial Narrow"/>
                <w:bCs/>
                <w:noProof/>
                <w:color w:val="000000"/>
                <w:sz w:val="20"/>
                <w:highlight w:val="black"/>
              </w:rPr>
              <w:t>'''''''''''''''''' '''''''''''''''''''</w:t>
            </w:r>
          </w:p>
        </w:tc>
        <w:tc>
          <w:tcPr>
            <w:tcW w:w="1095" w:type="pct"/>
            <w:shd w:val="clear" w:color="auto" w:fill="auto"/>
            <w:vAlign w:val="center"/>
          </w:tcPr>
          <w:p w:rsidR="006925B1" w:rsidRPr="002872FE" w:rsidRDefault="002872FE" w:rsidP="00676EEE">
            <w:pPr>
              <w:jc w:val="center"/>
              <w:rPr>
                <w:rFonts w:ascii="Arial Narrow" w:hAnsi="Arial Narrow"/>
                <w:bCs/>
                <w:sz w:val="20"/>
                <w:highlight w:val="black"/>
              </w:rPr>
            </w:pPr>
            <w:r>
              <w:rPr>
                <w:rFonts w:ascii="Arial Narrow" w:hAnsi="Arial Narrow"/>
                <w:bCs/>
                <w:noProof/>
                <w:color w:val="000000"/>
                <w:sz w:val="20"/>
                <w:highlight w:val="black"/>
              </w:rPr>
              <w:t>''''''''''''''' '''''''''''''''''</w:t>
            </w:r>
          </w:p>
        </w:tc>
        <w:tc>
          <w:tcPr>
            <w:tcW w:w="1098" w:type="pct"/>
            <w:vAlign w:val="center"/>
          </w:tcPr>
          <w:p w:rsidR="006925B1" w:rsidRPr="002872FE" w:rsidRDefault="002872FE" w:rsidP="00676EEE">
            <w:pPr>
              <w:jc w:val="center"/>
              <w:rPr>
                <w:rFonts w:ascii="Arial Narrow" w:hAnsi="Arial Narrow"/>
                <w:bCs/>
                <w:sz w:val="20"/>
                <w:highlight w:val="black"/>
              </w:rPr>
            </w:pPr>
            <w:r>
              <w:rPr>
                <w:rFonts w:ascii="Arial Narrow" w:hAnsi="Arial Narrow"/>
                <w:bCs/>
                <w:noProof/>
                <w:color w:val="000000"/>
                <w:sz w:val="20"/>
                <w:highlight w:val="black"/>
              </w:rPr>
              <w:t>''''''''''' ''''''''''''''''''''''''''''</w:t>
            </w:r>
          </w:p>
        </w:tc>
      </w:tr>
      <w:tr w:rsidR="006925B1" w:rsidRPr="00B73618" w:rsidTr="006925B1">
        <w:trPr>
          <w:trHeight w:val="20"/>
        </w:trPr>
        <w:tc>
          <w:tcPr>
            <w:tcW w:w="1545" w:type="pct"/>
            <w:shd w:val="clear" w:color="auto" w:fill="auto"/>
            <w:vAlign w:val="center"/>
          </w:tcPr>
          <w:p w:rsidR="006925B1" w:rsidRPr="00B73618" w:rsidRDefault="006925B1" w:rsidP="006925B1">
            <w:pPr>
              <w:jc w:val="left"/>
              <w:rPr>
                <w:rFonts w:ascii="Arial Narrow" w:hAnsi="Arial Narrow"/>
                <w:bCs/>
                <w:sz w:val="20"/>
              </w:rPr>
            </w:pPr>
            <w:r w:rsidRPr="00B73618">
              <w:rPr>
                <w:rFonts w:ascii="Arial Narrow" w:hAnsi="Arial Narrow"/>
                <w:bCs/>
                <w:sz w:val="20"/>
              </w:rPr>
              <w:t>Week 52</w:t>
            </w:r>
          </w:p>
        </w:tc>
        <w:tc>
          <w:tcPr>
            <w:tcW w:w="1262" w:type="pct"/>
            <w:shd w:val="clear" w:color="auto" w:fill="auto"/>
            <w:vAlign w:val="center"/>
          </w:tcPr>
          <w:p w:rsidR="006925B1" w:rsidRPr="002872FE" w:rsidRDefault="002872FE" w:rsidP="00676EEE">
            <w:pPr>
              <w:jc w:val="center"/>
              <w:rPr>
                <w:rFonts w:ascii="Arial Narrow" w:hAnsi="Arial Narrow"/>
                <w:bCs/>
                <w:sz w:val="20"/>
                <w:highlight w:val="black"/>
              </w:rPr>
            </w:pPr>
            <w:r>
              <w:rPr>
                <w:rFonts w:ascii="Arial Narrow" w:hAnsi="Arial Narrow"/>
                <w:bCs/>
                <w:noProof/>
                <w:color w:val="000000"/>
                <w:sz w:val="20"/>
                <w:highlight w:val="black"/>
              </w:rPr>
              <w:t>''''''''</w:t>
            </w:r>
          </w:p>
        </w:tc>
        <w:tc>
          <w:tcPr>
            <w:tcW w:w="1095" w:type="pct"/>
            <w:shd w:val="clear" w:color="auto" w:fill="auto"/>
            <w:vAlign w:val="center"/>
          </w:tcPr>
          <w:p w:rsidR="006925B1" w:rsidRPr="002872FE" w:rsidRDefault="002872FE" w:rsidP="00676EEE">
            <w:pPr>
              <w:jc w:val="center"/>
              <w:rPr>
                <w:rFonts w:ascii="Arial Narrow" w:hAnsi="Arial Narrow"/>
                <w:bCs/>
                <w:sz w:val="20"/>
                <w:highlight w:val="black"/>
              </w:rPr>
            </w:pPr>
            <w:r>
              <w:rPr>
                <w:rFonts w:ascii="Arial Narrow" w:hAnsi="Arial Narrow"/>
                <w:bCs/>
                <w:noProof/>
                <w:color w:val="000000"/>
                <w:sz w:val="20"/>
                <w:highlight w:val="black"/>
              </w:rPr>
              <w:t>'''''''</w:t>
            </w:r>
          </w:p>
        </w:tc>
        <w:tc>
          <w:tcPr>
            <w:tcW w:w="1098" w:type="pct"/>
            <w:vAlign w:val="center"/>
          </w:tcPr>
          <w:p w:rsidR="006925B1" w:rsidRPr="002872FE" w:rsidRDefault="002872FE" w:rsidP="00676EEE">
            <w:pPr>
              <w:jc w:val="center"/>
              <w:rPr>
                <w:rFonts w:ascii="Arial Narrow" w:hAnsi="Arial Narrow"/>
                <w:bCs/>
                <w:sz w:val="20"/>
                <w:highlight w:val="black"/>
              </w:rPr>
            </w:pPr>
            <w:r>
              <w:rPr>
                <w:rFonts w:ascii="Arial Narrow" w:hAnsi="Arial Narrow"/>
                <w:bCs/>
                <w:noProof/>
                <w:color w:val="000000"/>
                <w:sz w:val="20"/>
                <w:highlight w:val="black"/>
              </w:rPr>
              <w:t>'''''''</w:t>
            </w:r>
          </w:p>
        </w:tc>
      </w:tr>
    </w:tbl>
    <w:p w:rsidR="00DD3599" w:rsidRPr="00B73618" w:rsidRDefault="00DD3599" w:rsidP="00A50D1E">
      <w:pPr>
        <w:ind w:left="720"/>
        <w:rPr>
          <w:rFonts w:ascii="Arial Narrow" w:hAnsi="Arial Narrow"/>
          <w:sz w:val="18"/>
          <w:szCs w:val="18"/>
        </w:rPr>
      </w:pPr>
      <w:r w:rsidRPr="00B73618">
        <w:rPr>
          <w:rFonts w:ascii="Arial Narrow" w:hAnsi="Arial Narrow"/>
          <w:sz w:val="18"/>
          <w:szCs w:val="18"/>
        </w:rPr>
        <w:t xml:space="preserve">Abbreviations: </w:t>
      </w:r>
      <w:r w:rsidR="006925B1" w:rsidRPr="00B73618">
        <w:rPr>
          <w:rFonts w:ascii="Arial Narrow" w:hAnsi="Arial Narrow"/>
          <w:sz w:val="18"/>
          <w:szCs w:val="18"/>
          <w:lang w:val="en-GB"/>
        </w:rPr>
        <w:t>f</w:t>
      </w:r>
      <w:r w:rsidRPr="00B73618">
        <w:rPr>
          <w:rFonts w:ascii="Arial Narrow" w:hAnsi="Arial Narrow"/>
          <w:sz w:val="18"/>
          <w:szCs w:val="18"/>
          <w:lang w:val="en-GB"/>
        </w:rPr>
        <w:t>ull analysis set (FAS),</w:t>
      </w:r>
      <w:r w:rsidR="00A50D1E" w:rsidRPr="00B73618">
        <w:rPr>
          <w:rFonts w:ascii="Arial Narrow" w:hAnsi="Arial Narrow"/>
          <w:sz w:val="18"/>
          <w:szCs w:val="18"/>
          <w:lang w:val="en-GB"/>
        </w:rPr>
        <w:t xml:space="preserve"> Kidney Disease Improving Global Outcomes (KDIGO),</w:t>
      </w:r>
      <w:r w:rsidR="00A50D1E" w:rsidRPr="00B73618">
        <w:rPr>
          <w:rFonts w:ascii="Arial Narrow" w:hAnsi="Arial Narrow"/>
          <w:sz w:val="18"/>
          <w:szCs w:val="18"/>
          <w:lang w:val="en-GB"/>
        </w:rPr>
        <w:tab/>
        <w:t>Kidney Disease Outcomes Quality Initiative (KDOQI),</w:t>
      </w:r>
      <w:r w:rsidR="00A50D1E" w:rsidRPr="00B73618">
        <w:rPr>
          <w:rFonts w:ascii="Arial Narrow" w:hAnsi="Arial Narrow"/>
          <w:sz w:val="18"/>
          <w:szCs w:val="18"/>
        </w:rPr>
        <w:t xml:space="preserve"> </w:t>
      </w:r>
      <w:r w:rsidR="006925B1" w:rsidRPr="00B73618">
        <w:rPr>
          <w:rFonts w:ascii="Arial Narrow" w:hAnsi="Arial Narrow"/>
          <w:sz w:val="18"/>
          <w:szCs w:val="18"/>
        </w:rPr>
        <w:t>no</w:t>
      </w:r>
      <w:r w:rsidRPr="00B73618">
        <w:rPr>
          <w:rFonts w:ascii="Arial Narrow" w:hAnsi="Arial Narrow"/>
          <w:sz w:val="18"/>
          <w:szCs w:val="18"/>
        </w:rPr>
        <w:t>t reported (NR)</w:t>
      </w:r>
      <w:r w:rsidR="00A50D1E" w:rsidRPr="00B73618">
        <w:rPr>
          <w:rFonts w:ascii="Arial Narrow" w:hAnsi="Arial Narrow"/>
          <w:sz w:val="18"/>
          <w:szCs w:val="18"/>
        </w:rPr>
        <w:t>,</w:t>
      </w:r>
      <w:r w:rsidR="00A50D1E" w:rsidRPr="00B73618">
        <w:rPr>
          <w:rFonts w:ascii="Arial Narrow" w:hAnsi="Arial Narrow"/>
          <w:sz w:val="18"/>
          <w:szCs w:val="18"/>
          <w:lang w:val="en-GB"/>
        </w:rPr>
        <w:t xml:space="preserve"> </w:t>
      </w:r>
      <w:r w:rsidR="00A50D1E" w:rsidRPr="00B73618">
        <w:rPr>
          <w:rFonts w:ascii="Arial Narrow" w:hAnsi="Arial Narrow"/>
          <w:sz w:val="18"/>
          <w:szCs w:val="18"/>
        </w:rPr>
        <w:t>standard deviation (SD)</w:t>
      </w:r>
    </w:p>
    <w:p w:rsidR="006925B1" w:rsidRPr="00B73618" w:rsidRDefault="006925B1" w:rsidP="005C11E5">
      <w:pPr>
        <w:ind w:left="720"/>
        <w:rPr>
          <w:rFonts w:ascii="Arial Narrow" w:hAnsi="Arial Narrow"/>
          <w:bCs/>
          <w:sz w:val="18"/>
          <w:szCs w:val="18"/>
        </w:rPr>
      </w:pPr>
      <w:r w:rsidRPr="00B73618">
        <w:rPr>
          <w:rFonts w:ascii="Arial Narrow" w:hAnsi="Arial Narrow"/>
          <w:sz w:val="18"/>
          <w:szCs w:val="18"/>
        </w:rPr>
        <w:t xml:space="preserve">Note: Results at baseline, week 12 and 24 are from </w:t>
      </w:r>
      <w:r w:rsidRPr="00B73618">
        <w:rPr>
          <w:rFonts w:ascii="Arial Narrow" w:hAnsi="Arial Narrow"/>
          <w:bCs/>
          <w:sz w:val="18"/>
          <w:szCs w:val="18"/>
        </w:rPr>
        <w:t>PA-CL-05A; results at week 52 are from combined PA-CL-05A/</w:t>
      </w:r>
      <w:r w:rsidRPr="00B73618">
        <w:rPr>
          <w:rFonts w:ascii="Arial Narrow" w:hAnsi="Arial Narrow"/>
          <w:sz w:val="18"/>
          <w:szCs w:val="18"/>
        </w:rPr>
        <w:t xml:space="preserve"> </w:t>
      </w:r>
      <w:r w:rsidRPr="00B73618">
        <w:rPr>
          <w:rFonts w:ascii="Arial Narrow" w:hAnsi="Arial Narrow"/>
          <w:bCs/>
          <w:sz w:val="18"/>
          <w:szCs w:val="18"/>
        </w:rPr>
        <w:t>PA-CL-05B.</w:t>
      </w:r>
    </w:p>
    <w:p w:rsidR="00DD3599" w:rsidRPr="00B73618" w:rsidRDefault="00DD3599" w:rsidP="005C11E5">
      <w:pPr>
        <w:ind w:left="720"/>
        <w:rPr>
          <w:color w:val="E36C0A" w:themeColor="accent6" w:themeShade="BF"/>
          <w:szCs w:val="22"/>
        </w:rPr>
      </w:pPr>
      <w:r w:rsidRPr="00B73618">
        <w:rPr>
          <w:rFonts w:ascii="Arial Narrow" w:hAnsi="Arial Narrow"/>
          <w:sz w:val="18"/>
          <w:szCs w:val="18"/>
        </w:rPr>
        <w:t>Note: Suc</w:t>
      </w:r>
      <w:r w:rsidR="009D6229" w:rsidRPr="00B73618">
        <w:rPr>
          <w:rFonts w:ascii="Arial Narrow" w:hAnsi="Arial Narrow"/>
          <w:sz w:val="18"/>
          <w:szCs w:val="18"/>
        </w:rPr>
        <w:t xml:space="preserve">roferric oxyhydroxide doses </w:t>
      </w:r>
      <w:r w:rsidRPr="00B73618">
        <w:rPr>
          <w:rFonts w:ascii="Arial Narrow" w:hAnsi="Arial Narrow"/>
          <w:sz w:val="18"/>
          <w:szCs w:val="18"/>
        </w:rPr>
        <w:t>expressed in terms of the iron content: 2.5g sucroferric oxyhydroxide = 500mg of iron.</w:t>
      </w:r>
    </w:p>
    <w:p w:rsidR="00DD3599" w:rsidRPr="00B73618" w:rsidRDefault="00DD3599" w:rsidP="00175034">
      <w:pPr>
        <w:ind w:left="720"/>
        <w:rPr>
          <w:color w:val="E36C0A" w:themeColor="accent6" w:themeShade="BF"/>
          <w:szCs w:val="22"/>
        </w:rPr>
      </w:pPr>
    </w:p>
    <w:p w:rsidR="00DD3599" w:rsidRPr="00B73618" w:rsidRDefault="00DD3599" w:rsidP="00B24135">
      <w:pPr>
        <w:pStyle w:val="ListParagraph"/>
        <w:widowControl/>
        <w:numPr>
          <w:ilvl w:val="1"/>
          <w:numId w:val="8"/>
        </w:numPr>
        <w:rPr>
          <w:szCs w:val="22"/>
        </w:rPr>
      </w:pPr>
      <w:r w:rsidRPr="00B73618">
        <w:t>A statistically significantly greater proportion of sevelamer carbonate patients had serum phosphorus levels within the KDOQI range at Week 12 compared with sucroferric oxyhydroxide patients (54.7% versus 44.8%, respectively). Similarly, the proportion of patients achieving serum phosphorus levels within the KDIGO range was statistically significantly greater in the sevelamer carbonate arm versus the sucroferric oxyhydroxide arm (</w:t>
      </w:r>
      <w:r w:rsidR="002872FE">
        <w:rPr>
          <w:noProof/>
          <w:color w:val="000000"/>
          <w:highlight w:val="black"/>
        </w:rPr>
        <w:t>'''''''''''</w:t>
      </w:r>
      <w:r w:rsidRPr="00B73618">
        <w:t xml:space="preserve">% versus </w:t>
      </w:r>
      <w:r w:rsidR="002872FE">
        <w:rPr>
          <w:noProof/>
          <w:color w:val="000000"/>
          <w:highlight w:val="black"/>
        </w:rPr>
        <w:t>''''''''''</w:t>
      </w:r>
      <w:r w:rsidRPr="00B73618">
        <w:t>%, respectively). However, by Week 24, the differences between treatments were not statistically significant</w:t>
      </w:r>
      <w:r w:rsidRPr="00B73618">
        <w:rPr>
          <w:szCs w:val="22"/>
        </w:rPr>
        <w:t>.</w:t>
      </w:r>
    </w:p>
    <w:p w:rsidR="00CB29D6" w:rsidRPr="00B73618" w:rsidRDefault="00CB29D6" w:rsidP="00175034">
      <w:pPr>
        <w:ind w:left="720"/>
        <w:rPr>
          <w:szCs w:val="22"/>
        </w:rPr>
      </w:pPr>
    </w:p>
    <w:p w:rsidR="00CB29D6" w:rsidRPr="00B73618" w:rsidRDefault="00CB29D6" w:rsidP="002D01C2">
      <w:pPr>
        <w:pStyle w:val="ListParagraph"/>
        <w:numPr>
          <w:ilvl w:val="1"/>
          <w:numId w:val="8"/>
        </w:numPr>
      </w:pPr>
      <w:r w:rsidRPr="00B73618">
        <w:t>Sevelamer carbonate appears to achieve serum phosphorus control faster than sucroferric oxyhydroxide. The median time for subjects to achieve control based on the KDOQI target range was 23.0 days with sucroferric oxyhydroxide and 18.6 days with sevelamer (p=0.0</w:t>
      </w:r>
      <w:r w:rsidR="00E326BF" w:rsidRPr="00B73618">
        <w:t>0</w:t>
      </w:r>
      <w:r w:rsidRPr="00B73618">
        <w:t>4). The time to control using the KDIGO normal range was notably longer with sucroferric oxyhydroxide compared to sevelamer (</w:t>
      </w:r>
      <w:r w:rsidR="002872FE">
        <w:rPr>
          <w:noProof/>
          <w:color w:val="000000"/>
          <w:highlight w:val="black"/>
        </w:rPr>
        <w:t>''''''''''' '''''''''''</w:t>
      </w:r>
      <w:r w:rsidRPr="00B73618">
        <w:t xml:space="preserve"> vs </w:t>
      </w:r>
      <w:r w:rsidR="002872FE">
        <w:rPr>
          <w:noProof/>
          <w:color w:val="000000"/>
          <w:highlight w:val="black"/>
        </w:rPr>
        <w:t>'''''''''' '''''''''''</w:t>
      </w:r>
      <w:r w:rsidRPr="00B73618">
        <w:t>, p=</w:t>
      </w:r>
      <w:r w:rsidR="002872FE">
        <w:rPr>
          <w:noProof/>
          <w:color w:val="000000"/>
          <w:highlight w:val="black"/>
        </w:rPr>
        <w:t>''''''''''''''</w:t>
      </w:r>
      <w:r w:rsidRPr="00B73618">
        <w:t>).</w:t>
      </w:r>
    </w:p>
    <w:p w:rsidR="00DD3599" w:rsidRPr="00B73618" w:rsidRDefault="00DD3599" w:rsidP="00771A54">
      <w:pPr>
        <w:ind w:left="720"/>
      </w:pPr>
    </w:p>
    <w:p w:rsidR="00DD3599" w:rsidRPr="00B73618" w:rsidRDefault="00DD3599" w:rsidP="002D01C2">
      <w:pPr>
        <w:pStyle w:val="ListParagraph"/>
        <w:numPr>
          <w:ilvl w:val="1"/>
          <w:numId w:val="8"/>
        </w:numPr>
      </w:pPr>
      <w:r w:rsidRPr="00B73618">
        <w:t xml:space="preserve">There were no statistically significant differences in other relevant biochemical measures </w:t>
      </w:r>
      <w:r w:rsidR="005C11E5" w:rsidRPr="00B73618">
        <w:t xml:space="preserve">(serum total calcium, calcium-phosphate product and serum intact parathyroid hormone) </w:t>
      </w:r>
      <w:r w:rsidRPr="00B73618">
        <w:t>between treatment arms at 24 weeks.</w:t>
      </w:r>
    </w:p>
    <w:p w:rsidR="00DD3599" w:rsidRPr="00B73618" w:rsidRDefault="00DD3599" w:rsidP="009847B1">
      <w:pPr>
        <w:ind w:left="720"/>
      </w:pPr>
    </w:p>
    <w:p w:rsidR="00DD3599" w:rsidRPr="00B73618" w:rsidRDefault="00DD3599" w:rsidP="002D01C2">
      <w:pPr>
        <w:pStyle w:val="ListParagraph"/>
        <w:numPr>
          <w:ilvl w:val="1"/>
          <w:numId w:val="8"/>
        </w:numPr>
      </w:pPr>
      <w:r w:rsidRPr="00B73618">
        <w:t>Patients in the sucroferric oxyhydroxide group had a lower pill burden compared with those in the sevelamer carbonate group</w:t>
      </w:r>
      <w:r w:rsidR="005C11E5" w:rsidRPr="00B73618">
        <w:t xml:space="preserve"> (3.3 versus 8.7 tablets per day in the PA-CL-05A/PA-CL-05B trial)</w:t>
      </w:r>
      <w:r w:rsidRPr="00B73618">
        <w:t>. The impact on patient adherence is unclear given that many haemodialysis patients will still have a high pill burden due to other treatments. Additionally, both treatments have the same recommended dosing frequency (three times daily) and therefore the main difference will be the number of tablets taken per dose. Other factors such as formulation (chewable vs. whole tablets), adverse events and product taste are also likely to be important factors in patient adherence.</w:t>
      </w:r>
    </w:p>
    <w:p w:rsidR="00DD3599" w:rsidRPr="00B73618" w:rsidRDefault="00DD3599" w:rsidP="009847B1">
      <w:pPr>
        <w:ind w:left="720"/>
      </w:pPr>
    </w:p>
    <w:p w:rsidR="00DD3599" w:rsidRPr="00B73618" w:rsidRDefault="00DD3599" w:rsidP="002D01C2">
      <w:pPr>
        <w:pStyle w:val="ListParagraph"/>
        <w:numPr>
          <w:ilvl w:val="1"/>
          <w:numId w:val="8"/>
        </w:numPr>
      </w:pPr>
      <w:r w:rsidRPr="00B73618">
        <w:t>There were no differences in SF-36 quality of life scores reported at 12 weeks (titration period) and 24 weeks (maintenance period) in the PA-CL-05A trial between sucroferric oxyhydroxide and sevelamer carbonate treatment groups.</w:t>
      </w:r>
    </w:p>
    <w:p w:rsidR="00DD3599" w:rsidRDefault="00DD3599" w:rsidP="009847B1">
      <w:pPr>
        <w:ind w:left="720"/>
        <w:rPr>
          <w:szCs w:val="22"/>
        </w:rPr>
      </w:pPr>
    </w:p>
    <w:p w:rsidR="00295FED" w:rsidRDefault="00295FED" w:rsidP="00295FED">
      <w:pPr>
        <w:pStyle w:val="ListParagraph"/>
        <w:ind w:left="709"/>
        <w:rPr>
          <w:i/>
          <w:szCs w:val="22"/>
        </w:rPr>
      </w:pPr>
      <w:r>
        <w:rPr>
          <w:i/>
          <w:szCs w:val="22"/>
        </w:rPr>
        <w:t>For more detail on PBAC’s view, see section 7 “PBAC outcome”</w:t>
      </w:r>
    </w:p>
    <w:p w:rsidR="00295FED" w:rsidRPr="00B73618" w:rsidRDefault="00295FED" w:rsidP="009847B1">
      <w:pPr>
        <w:ind w:left="720"/>
        <w:rPr>
          <w:szCs w:val="22"/>
        </w:rPr>
      </w:pPr>
    </w:p>
    <w:p w:rsidR="00B60939" w:rsidRPr="008B6779" w:rsidRDefault="00B60939" w:rsidP="008B6779">
      <w:pPr>
        <w:rPr>
          <w:b/>
          <w:szCs w:val="22"/>
        </w:rPr>
      </w:pPr>
      <w:bookmarkStart w:id="10" w:name="_Toc398708607"/>
      <w:r w:rsidRPr="008B6779">
        <w:rPr>
          <w:b/>
          <w:szCs w:val="22"/>
        </w:rPr>
        <w:t>Comparative harms</w:t>
      </w:r>
      <w:bookmarkEnd w:id="10"/>
    </w:p>
    <w:p w:rsidR="00B60939" w:rsidRPr="00B73618" w:rsidRDefault="00B60939" w:rsidP="00B60939">
      <w:pPr>
        <w:ind w:left="720" w:hanging="720"/>
        <w:rPr>
          <w:szCs w:val="22"/>
        </w:rPr>
      </w:pPr>
    </w:p>
    <w:p w:rsidR="00420EB5" w:rsidRPr="009847B1" w:rsidRDefault="00420EB5" w:rsidP="00420EB5">
      <w:pPr>
        <w:pStyle w:val="ListParagraph"/>
        <w:widowControl/>
        <w:numPr>
          <w:ilvl w:val="1"/>
          <w:numId w:val="8"/>
        </w:numPr>
        <w:rPr>
          <w:szCs w:val="22"/>
        </w:rPr>
      </w:pPr>
      <w:r w:rsidRPr="00B73618">
        <w:t>Adverse events during the titration and maintenance periods of the PA-CL-05A trial are summarised in the following table.</w:t>
      </w:r>
    </w:p>
    <w:p w:rsidR="009847B1" w:rsidRPr="009847B1" w:rsidRDefault="009847B1" w:rsidP="009847B1">
      <w:pPr>
        <w:pStyle w:val="ListParagraph"/>
        <w:widowControl/>
        <w:rPr>
          <w:szCs w:val="22"/>
        </w:rPr>
      </w:pPr>
    </w:p>
    <w:p w:rsidR="00EE7E7C" w:rsidRPr="00B73618" w:rsidRDefault="00EE7E7C" w:rsidP="00EE7E7C">
      <w:pPr>
        <w:pStyle w:val="ListParagraph"/>
        <w:rPr>
          <w:rFonts w:ascii="Arial Narrow" w:hAnsi="Arial Narrow"/>
          <w:b/>
          <w:sz w:val="20"/>
          <w:szCs w:val="22"/>
        </w:rPr>
      </w:pPr>
      <w:r w:rsidRPr="00B73618">
        <w:rPr>
          <w:rFonts w:ascii="Arial Narrow" w:hAnsi="Arial Narrow"/>
          <w:b/>
          <w:sz w:val="20"/>
          <w:szCs w:val="22"/>
        </w:rPr>
        <w:t>Adverse events in the titration and maintenance periods of trial PA-</w:t>
      </w:r>
      <w:r w:rsidR="00420EB5" w:rsidRPr="00B73618">
        <w:rPr>
          <w:rFonts w:ascii="Arial Narrow" w:hAnsi="Arial Narrow"/>
          <w:b/>
          <w:sz w:val="20"/>
          <w:szCs w:val="22"/>
        </w:rPr>
        <w:t>CL</w:t>
      </w:r>
      <w:r w:rsidRPr="00B73618">
        <w:rPr>
          <w:rFonts w:ascii="Arial Narrow" w:hAnsi="Arial Narrow"/>
          <w:b/>
          <w:sz w:val="20"/>
          <w:szCs w:val="22"/>
        </w:rPr>
        <w:t>-05A</w:t>
      </w:r>
    </w:p>
    <w:tbl>
      <w:tblPr>
        <w:tblW w:w="4614"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73"/>
        <w:gridCol w:w="1651"/>
        <w:gridCol w:w="1653"/>
        <w:gridCol w:w="1653"/>
        <w:gridCol w:w="1651"/>
      </w:tblGrid>
      <w:tr w:rsidR="004E7C8F" w:rsidRPr="00B73618" w:rsidTr="004E7C8F">
        <w:tc>
          <w:tcPr>
            <w:tcW w:w="1058" w:type="pct"/>
            <w:vMerge w:val="restart"/>
            <w:vAlign w:val="center"/>
          </w:tcPr>
          <w:p w:rsidR="004E7C8F" w:rsidRPr="00B73618" w:rsidRDefault="004E7C8F" w:rsidP="004E7C8F">
            <w:pPr>
              <w:tabs>
                <w:tab w:val="left" w:pos="720"/>
              </w:tabs>
              <w:jc w:val="left"/>
              <w:rPr>
                <w:rFonts w:ascii="Arial Narrow" w:hAnsi="Arial Narrow"/>
                <w:b/>
                <w:sz w:val="20"/>
              </w:rPr>
            </w:pPr>
            <w:r w:rsidRPr="00B73618">
              <w:rPr>
                <w:rFonts w:ascii="Arial Narrow" w:hAnsi="Arial Narrow"/>
                <w:b/>
                <w:sz w:val="20"/>
              </w:rPr>
              <w:t>Adverse event</w:t>
            </w:r>
          </w:p>
        </w:tc>
        <w:tc>
          <w:tcPr>
            <w:tcW w:w="1971" w:type="pct"/>
            <w:gridSpan w:val="2"/>
            <w:vAlign w:val="center"/>
          </w:tcPr>
          <w:p w:rsidR="004E7C8F" w:rsidRPr="00B73618" w:rsidRDefault="004E7C8F" w:rsidP="004E7C8F">
            <w:pPr>
              <w:tabs>
                <w:tab w:val="left" w:pos="720"/>
              </w:tabs>
              <w:jc w:val="center"/>
              <w:rPr>
                <w:rFonts w:ascii="Arial Narrow" w:hAnsi="Arial Narrow"/>
                <w:b/>
                <w:sz w:val="20"/>
                <w:lang w:eastAsia="en-AU"/>
              </w:rPr>
            </w:pPr>
            <w:r w:rsidRPr="00B73618">
              <w:rPr>
                <w:rFonts w:ascii="Arial Narrow" w:hAnsi="Arial Narrow"/>
                <w:b/>
                <w:sz w:val="20"/>
                <w:lang w:eastAsia="en-AU"/>
              </w:rPr>
              <w:t>Trial PA-CL-05A</w:t>
            </w:r>
          </w:p>
          <w:p w:rsidR="004E7C8F" w:rsidRPr="00B73618" w:rsidRDefault="004E7C8F" w:rsidP="004E7C8F">
            <w:pPr>
              <w:tabs>
                <w:tab w:val="left" w:pos="720"/>
              </w:tabs>
              <w:jc w:val="center"/>
              <w:rPr>
                <w:rFonts w:ascii="Arial Narrow" w:hAnsi="Arial Narrow"/>
                <w:b/>
                <w:sz w:val="20"/>
                <w:lang w:eastAsia="en-AU"/>
              </w:rPr>
            </w:pPr>
            <w:r w:rsidRPr="00B73618">
              <w:rPr>
                <w:rFonts w:ascii="Arial Narrow" w:hAnsi="Arial Narrow"/>
                <w:b/>
                <w:sz w:val="20"/>
                <w:lang w:eastAsia="en-AU"/>
              </w:rPr>
              <w:t>Titration period, 0-12 weeks</w:t>
            </w:r>
          </w:p>
        </w:tc>
        <w:tc>
          <w:tcPr>
            <w:tcW w:w="1971" w:type="pct"/>
            <w:gridSpan w:val="2"/>
            <w:vAlign w:val="center"/>
          </w:tcPr>
          <w:p w:rsidR="004E7C8F" w:rsidRPr="00B73618" w:rsidRDefault="004E7C8F" w:rsidP="004E7C8F">
            <w:pPr>
              <w:tabs>
                <w:tab w:val="left" w:pos="720"/>
              </w:tabs>
              <w:jc w:val="center"/>
              <w:rPr>
                <w:rFonts w:ascii="Arial Narrow" w:hAnsi="Arial Narrow"/>
                <w:b/>
                <w:sz w:val="20"/>
                <w:lang w:eastAsia="en-AU"/>
              </w:rPr>
            </w:pPr>
            <w:r w:rsidRPr="00B73618">
              <w:rPr>
                <w:rFonts w:ascii="Arial Narrow" w:hAnsi="Arial Narrow"/>
                <w:b/>
                <w:sz w:val="20"/>
                <w:lang w:eastAsia="en-AU"/>
              </w:rPr>
              <w:t>Trial PA-CL-05A</w:t>
            </w:r>
          </w:p>
          <w:p w:rsidR="004E7C8F" w:rsidRPr="00B73618" w:rsidRDefault="004E7C8F" w:rsidP="004E7C8F">
            <w:pPr>
              <w:tabs>
                <w:tab w:val="left" w:pos="720"/>
              </w:tabs>
              <w:jc w:val="center"/>
              <w:rPr>
                <w:rFonts w:ascii="Arial Narrow" w:hAnsi="Arial Narrow"/>
                <w:b/>
                <w:sz w:val="20"/>
                <w:lang w:eastAsia="en-AU"/>
              </w:rPr>
            </w:pPr>
            <w:r w:rsidRPr="00B73618">
              <w:rPr>
                <w:rFonts w:ascii="Arial Narrow" w:hAnsi="Arial Narrow"/>
                <w:b/>
                <w:sz w:val="20"/>
                <w:lang w:eastAsia="en-AU"/>
              </w:rPr>
              <w:t>Maintenance period, 12-24 weeks</w:t>
            </w:r>
          </w:p>
        </w:tc>
      </w:tr>
      <w:tr w:rsidR="004E7C8F" w:rsidRPr="00B73618" w:rsidTr="00420EB5">
        <w:tc>
          <w:tcPr>
            <w:tcW w:w="1058" w:type="pct"/>
            <w:vMerge/>
            <w:vAlign w:val="center"/>
          </w:tcPr>
          <w:p w:rsidR="004E7C8F" w:rsidRPr="00B73618" w:rsidRDefault="004E7C8F" w:rsidP="004E7C8F">
            <w:pPr>
              <w:tabs>
                <w:tab w:val="left" w:pos="720"/>
              </w:tabs>
              <w:jc w:val="left"/>
              <w:rPr>
                <w:rFonts w:ascii="Arial Narrow" w:hAnsi="Arial Narrow"/>
                <w:b/>
                <w:sz w:val="20"/>
              </w:rPr>
            </w:pPr>
          </w:p>
        </w:tc>
        <w:tc>
          <w:tcPr>
            <w:tcW w:w="985" w:type="pct"/>
            <w:vAlign w:val="center"/>
          </w:tcPr>
          <w:p w:rsidR="004E7C8F" w:rsidRPr="00B73618" w:rsidRDefault="004E7C8F" w:rsidP="004E7C8F">
            <w:pPr>
              <w:tabs>
                <w:tab w:val="left" w:pos="720"/>
              </w:tabs>
              <w:jc w:val="center"/>
              <w:rPr>
                <w:rFonts w:ascii="Arial Narrow" w:hAnsi="Arial Narrow"/>
                <w:b/>
                <w:sz w:val="20"/>
              </w:rPr>
            </w:pPr>
            <w:r w:rsidRPr="00B73618">
              <w:rPr>
                <w:rFonts w:ascii="Arial Narrow" w:hAnsi="Arial Narrow"/>
                <w:b/>
                <w:sz w:val="20"/>
              </w:rPr>
              <w:t>Sucroferric oxyhydroxide</w:t>
            </w:r>
          </w:p>
          <w:p w:rsidR="004E7C8F" w:rsidRPr="00B73618" w:rsidRDefault="004E7C8F" w:rsidP="004E7C8F">
            <w:pPr>
              <w:tabs>
                <w:tab w:val="left" w:pos="720"/>
              </w:tabs>
              <w:jc w:val="center"/>
              <w:rPr>
                <w:rFonts w:ascii="Arial Narrow" w:hAnsi="Arial Narrow"/>
                <w:b/>
                <w:sz w:val="20"/>
              </w:rPr>
            </w:pPr>
            <w:r w:rsidRPr="00B73618">
              <w:rPr>
                <w:rFonts w:ascii="Arial Narrow" w:hAnsi="Arial Narrow"/>
                <w:b/>
                <w:sz w:val="20"/>
              </w:rPr>
              <w:t>N=707</w:t>
            </w:r>
          </w:p>
        </w:tc>
        <w:tc>
          <w:tcPr>
            <w:tcW w:w="986" w:type="pct"/>
            <w:vAlign w:val="center"/>
          </w:tcPr>
          <w:p w:rsidR="004E7C8F" w:rsidRPr="00B73618" w:rsidRDefault="004E7C8F" w:rsidP="004E7C8F">
            <w:pPr>
              <w:tabs>
                <w:tab w:val="left" w:pos="720"/>
              </w:tabs>
              <w:jc w:val="center"/>
              <w:rPr>
                <w:rFonts w:ascii="Arial Narrow" w:hAnsi="Arial Narrow"/>
                <w:b/>
                <w:sz w:val="20"/>
              </w:rPr>
            </w:pPr>
            <w:r w:rsidRPr="00B73618">
              <w:rPr>
                <w:rFonts w:ascii="Arial Narrow" w:hAnsi="Arial Narrow"/>
                <w:b/>
                <w:sz w:val="20"/>
              </w:rPr>
              <w:t>Sevelamer carbonate</w:t>
            </w:r>
          </w:p>
          <w:p w:rsidR="004E7C8F" w:rsidRPr="00B73618" w:rsidRDefault="004E7C8F" w:rsidP="004E7C8F">
            <w:pPr>
              <w:tabs>
                <w:tab w:val="left" w:pos="720"/>
              </w:tabs>
              <w:jc w:val="center"/>
              <w:rPr>
                <w:rFonts w:ascii="Arial Narrow" w:hAnsi="Arial Narrow"/>
                <w:b/>
                <w:sz w:val="20"/>
              </w:rPr>
            </w:pPr>
            <w:r w:rsidRPr="00B73618">
              <w:rPr>
                <w:rFonts w:ascii="Arial Narrow" w:hAnsi="Arial Narrow"/>
                <w:b/>
                <w:sz w:val="20"/>
              </w:rPr>
              <w:t>N=348</w:t>
            </w:r>
          </w:p>
        </w:tc>
        <w:tc>
          <w:tcPr>
            <w:tcW w:w="986" w:type="pct"/>
            <w:vAlign w:val="center"/>
          </w:tcPr>
          <w:p w:rsidR="004E7C8F" w:rsidRPr="00B73618" w:rsidRDefault="004E7C8F" w:rsidP="004E7C8F">
            <w:pPr>
              <w:tabs>
                <w:tab w:val="left" w:pos="720"/>
              </w:tabs>
              <w:jc w:val="center"/>
              <w:rPr>
                <w:rFonts w:ascii="Arial Narrow" w:hAnsi="Arial Narrow"/>
                <w:b/>
                <w:sz w:val="20"/>
              </w:rPr>
            </w:pPr>
            <w:r w:rsidRPr="00B73618">
              <w:rPr>
                <w:rFonts w:ascii="Arial Narrow" w:hAnsi="Arial Narrow"/>
                <w:b/>
                <w:sz w:val="20"/>
              </w:rPr>
              <w:t>Sucroferric oxyhydroxide</w:t>
            </w:r>
          </w:p>
          <w:p w:rsidR="004E7C8F" w:rsidRPr="00B73618" w:rsidRDefault="004E7C8F" w:rsidP="004E7C8F">
            <w:pPr>
              <w:tabs>
                <w:tab w:val="left" w:pos="720"/>
              </w:tabs>
              <w:jc w:val="center"/>
              <w:rPr>
                <w:rFonts w:ascii="Arial Narrow" w:hAnsi="Arial Narrow"/>
                <w:b/>
                <w:sz w:val="20"/>
              </w:rPr>
            </w:pPr>
            <w:r w:rsidRPr="00B73618">
              <w:rPr>
                <w:rFonts w:ascii="Arial Narrow" w:hAnsi="Arial Narrow"/>
                <w:b/>
                <w:sz w:val="20"/>
              </w:rPr>
              <w:t>N=581</w:t>
            </w:r>
          </w:p>
        </w:tc>
        <w:tc>
          <w:tcPr>
            <w:tcW w:w="985" w:type="pct"/>
            <w:vAlign w:val="center"/>
          </w:tcPr>
          <w:p w:rsidR="004E7C8F" w:rsidRPr="00B73618" w:rsidRDefault="004E7C8F" w:rsidP="004E7C8F">
            <w:pPr>
              <w:tabs>
                <w:tab w:val="left" w:pos="720"/>
              </w:tabs>
              <w:jc w:val="center"/>
              <w:rPr>
                <w:rFonts w:ascii="Arial Narrow" w:hAnsi="Arial Narrow"/>
                <w:b/>
                <w:sz w:val="20"/>
              </w:rPr>
            </w:pPr>
            <w:r w:rsidRPr="00B73618">
              <w:rPr>
                <w:rFonts w:ascii="Arial Narrow" w:hAnsi="Arial Narrow"/>
                <w:b/>
                <w:sz w:val="20"/>
              </w:rPr>
              <w:t>Sevelamer carbonate</w:t>
            </w:r>
          </w:p>
          <w:p w:rsidR="004E7C8F" w:rsidRPr="00B73618" w:rsidRDefault="004E7C8F" w:rsidP="004E7C8F">
            <w:pPr>
              <w:tabs>
                <w:tab w:val="left" w:pos="720"/>
              </w:tabs>
              <w:jc w:val="center"/>
              <w:rPr>
                <w:rFonts w:ascii="Arial Narrow" w:hAnsi="Arial Narrow"/>
                <w:b/>
                <w:sz w:val="20"/>
              </w:rPr>
            </w:pPr>
            <w:r w:rsidRPr="00B73618">
              <w:rPr>
                <w:rFonts w:ascii="Arial Narrow" w:hAnsi="Arial Narrow"/>
                <w:b/>
                <w:sz w:val="20"/>
              </w:rPr>
              <w:t>N=311</w:t>
            </w:r>
          </w:p>
        </w:tc>
      </w:tr>
      <w:tr w:rsidR="004E7C8F" w:rsidRPr="00B73618" w:rsidTr="004E7C8F">
        <w:tc>
          <w:tcPr>
            <w:tcW w:w="5000" w:type="pct"/>
            <w:gridSpan w:val="5"/>
            <w:vAlign w:val="center"/>
          </w:tcPr>
          <w:p w:rsidR="004E7C8F" w:rsidRPr="00B73618" w:rsidRDefault="004E7C8F" w:rsidP="004E7C8F">
            <w:pPr>
              <w:tabs>
                <w:tab w:val="left" w:pos="720"/>
              </w:tabs>
              <w:jc w:val="left"/>
              <w:rPr>
                <w:rFonts w:ascii="Arial Narrow" w:hAnsi="Arial Narrow"/>
                <w:b/>
                <w:sz w:val="20"/>
              </w:rPr>
            </w:pPr>
            <w:r w:rsidRPr="00B73618">
              <w:rPr>
                <w:rFonts w:ascii="Arial Narrow" w:hAnsi="Arial Narrow"/>
                <w:b/>
                <w:sz w:val="20"/>
              </w:rPr>
              <w:t>Proportion of patients, n (%) [no. events]</w:t>
            </w:r>
          </w:p>
        </w:tc>
      </w:tr>
      <w:tr w:rsidR="004E7C8F" w:rsidRPr="00B73618" w:rsidTr="00420EB5">
        <w:tc>
          <w:tcPr>
            <w:tcW w:w="1058" w:type="pct"/>
            <w:vAlign w:val="center"/>
          </w:tcPr>
          <w:p w:rsidR="004E7C8F" w:rsidRPr="00B73618" w:rsidRDefault="004E7C8F" w:rsidP="004E7C8F">
            <w:pPr>
              <w:tabs>
                <w:tab w:val="left" w:pos="720"/>
              </w:tabs>
              <w:jc w:val="left"/>
              <w:rPr>
                <w:rFonts w:ascii="Arial Narrow" w:hAnsi="Arial Narrow"/>
                <w:sz w:val="20"/>
              </w:rPr>
            </w:pPr>
            <w:r w:rsidRPr="00B73618">
              <w:rPr>
                <w:rFonts w:ascii="Arial Narrow" w:hAnsi="Arial Narrow"/>
                <w:sz w:val="20"/>
              </w:rPr>
              <w:t>Any AE</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r>
      <w:tr w:rsidR="004E7C8F" w:rsidRPr="00B73618" w:rsidTr="00420EB5">
        <w:tc>
          <w:tcPr>
            <w:tcW w:w="1058" w:type="pct"/>
            <w:vAlign w:val="center"/>
          </w:tcPr>
          <w:p w:rsidR="004E7C8F" w:rsidRPr="00B73618" w:rsidRDefault="004E7C8F" w:rsidP="004E7C8F">
            <w:pPr>
              <w:tabs>
                <w:tab w:val="left" w:pos="720"/>
              </w:tabs>
              <w:jc w:val="left"/>
              <w:rPr>
                <w:rFonts w:ascii="Arial Narrow" w:hAnsi="Arial Narrow"/>
                <w:sz w:val="20"/>
              </w:rPr>
            </w:pPr>
            <w:r w:rsidRPr="00B73618">
              <w:rPr>
                <w:rFonts w:ascii="Arial Narrow" w:hAnsi="Arial Narrow"/>
                <w:sz w:val="20"/>
              </w:rPr>
              <w:t>- Diarrhoea</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r>
      <w:tr w:rsidR="004E7C8F" w:rsidRPr="00B73618" w:rsidTr="00420EB5">
        <w:tc>
          <w:tcPr>
            <w:tcW w:w="1058" w:type="pct"/>
            <w:vAlign w:val="center"/>
          </w:tcPr>
          <w:p w:rsidR="004E7C8F" w:rsidRPr="00B73618" w:rsidRDefault="004E7C8F" w:rsidP="004E7C8F">
            <w:pPr>
              <w:tabs>
                <w:tab w:val="left" w:pos="720"/>
              </w:tabs>
              <w:jc w:val="left"/>
              <w:rPr>
                <w:rFonts w:ascii="Arial Narrow" w:hAnsi="Arial Narrow"/>
                <w:sz w:val="20"/>
              </w:rPr>
            </w:pPr>
            <w:r w:rsidRPr="00B73618">
              <w:rPr>
                <w:rFonts w:ascii="Arial Narrow" w:hAnsi="Arial Narrow"/>
                <w:sz w:val="20"/>
              </w:rPr>
              <w:t>- Discoloured faeces</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w:t>
            </w:r>
          </w:p>
        </w:tc>
      </w:tr>
      <w:tr w:rsidR="004E7C8F" w:rsidRPr="00B73618" w:rsidTr="00420EB5">
        <w:tc>
          <w:tcPr>
            <w:tcW w:w="1058" w:type="pct"/>
            <w:vAlign w:val="center"/>
          </w:tcPr>
          <w:p w:rsidR="004E7C8F" w:rsidRPr="00B73618" w:rsidRDefault="004E7C8F" w:rsidP="004E7C8F">
            <w:pPr>
              <w:tabs>
                <w:tab w:val="left" w:pos="720"/>
              </w:tabs>
              <w:jc w:val="left"/>
              <w:rPr>
                <w:rFonts w:ascii="Arial Narrow" w:hAnsi="Arial Narrow"/>
                <w:sz w:val="20"/>
              </w:rPr>
            </w:pPr>
            <w:r w:rsidRPr="00B73618">
              <w:rPr>
                <w:rFonts w:ascii="Arial Narrow" w:hAnsi="Arial Narrow"/>
                <w:sz w:val="20"/>
              </w:rPr>
              <w:t>- Nausea</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r>
      <w:tr w:rsidR="004E7C8F" w:rsidRPr="00B73618" w:rsidTr="00420EB5">
        <w:tc>
          <w:tcPr>
            <w:tcW w:w="1058" w:type="pct"/>
            <w:vAlign w:val="center"/>
          </w:tcPr>
          <w:p w:rsidR="004E7C8F" w:rsidRPr="00B73618" w:rsidRDefault="004E7C8F" w:rsidP="004E7C8F">
            <w:pPr>
              <w:tabs>
                <w:tab w:val="left" w:pos="720"/>
              </w:tabs>
              <w:jc w:val="left"/>
              <w:rPr>
                <w:rFonts w:ascii="Arial Narrow" w:hAnsi="Arial Narrow"/>
                <w:sz w:val="20"/>
              </w:rPr>
            </w:pPr>
            <w:r w:rsidRPr="00B73618">
              <w:rPr>
                <w:rFonts w:ascii="Arial Narrow" w:hAnsi="Arial Narrow"/>
                <w:sz w:val="20"/>
              </w:rPr>
              <w:t>- Vomiting</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r>
      <w:tr w:rsidR="004E7C8F" w:rsidRPr="00B73618" w:rsidTr="00420EB5">
        <w:tc>
          <w:tcPr>
            <w:tcW w:w="1058" w:type="pct"/>
            <w:vAlign w:val="center"/>
          </w:tcPr>
          <w:p w:rsidR="004E7C8F" w:rsidRPr="00B73618" w:rsidRDefault="004E7C8F" w:rsidP="004E7C8F">
            <w:pPr>
              <w:tabs>
                <w:tab w:val="left" w:pos="720"/>
              </w:tabs>
              <w:jc w:val="left"/>
              <w:rPr>
                <w:rFonts w:ascii="Arial Narrow" w:hAnsi="Arial Narrow"/>
                <w:sz w:val="20"/>
              </w:rPr>
            </w:pPr>
            <w:r w:rsidRPr="00B73618">
              <w:rPr>
                <w:rFonts w:ascii="Arial Narrow" w:hAnsi="Arial Narrow"/>
                <w:sz w:val="20"/>
              </w:rPr>
              <w:t>- Constipation</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r>
      <w:tr w:rsidR="004E7C8F" w:rsidRPr="00B73618" w:rsidTr="00420EB5">
        <w:tc>
          <w:tcPr>
            <w:tcW w:w="1058" w:type="pct"/>
            <w:vAlign w:val="center"/>
          </w:tcPr>
          <w:p w:rsidR="004E7C8F" w:rsidRPr="00B73618" w:rsidRDefault="004E7C8F" w:rsidP="004E7C8F">
            <w:pPr>
              <w:tabs>
                <w:tab w:val="left" w:pos="720"/>
              </w:tabs>
              <w:jc w:val="left"/>
              <w:rPr>
                <w:rFonts w:ascii="Arial Narrow" w:hAnsi="Arial Narrow"/>
                <w:sz w:val="20"/>
              </w:rPr>
            </w:pPr>
            <w:r w:rsidRPr="00B73618">
              <w:rPr>
                <w:rFonts w:ascii="Arial Narrow" w:hAnsi="Arial Narrow"/>
                <w:sz w:val="20"/>
              </w:rPr>
              <w:t>- Dyspepsia</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r>
      <w:tr w:rsidR="004E7C8F" w:rsidRPr="00B73618" w:rsidTr="00420EB5">
        <w:tc>
          <w:tcPr>
            <w:tcW w:w="1058" w:type="pct"/>
            <w:vAlign w:val="center"/>
          </w:tcPr>
          <w:p w:rsidR="004E7C8F" w:rsidRPr="00112B4D" w:rsidRDefault="004E7C8F" w:rsidP="004E7C8F">
            <w:pPr>
              <w:tabs>
                <w:tab w:val="left" w:pos="720"/>
              </w:tabs>
              <w:jc w:val="left"/>
              <w:rPr>
                <w:rFonts w:ascii="Arial Narrow" w:hAnsi="Arial Narrow"/>
                <w:sz w:val="20"/>
              </w:rPr>
            </w:pPr>
            <w:r w:rsidRPr="00112B4D">
              <w:rPr>
                <w:rFonts w:ascii="Arial Narrow" w:hAnsi="Arial Narrow"/>
                <w:sz w:val="20"/>
              </w:rPr>
              <w:t>- Taste abnormalities</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w:t>
            </w:r>
          </w:p>
        </w:tc>
      </w:tr>
      <w:tr w:rsidR="004E7C8F" w:rsidRPr="00B73618" w:rsidTr="00420EB5">
        <w:tc>
          <w:tcPr>
            <w:tcW w:w="1058" w:type="pct"/>
            <w:vAlign w:val="center"/>
          </w:tcPr>
          <w:p w:rsidR="004E7C8F" w:rsidRPr="00112B4D" w:rsidRDefault="004E7C8F" w:rsidP="004E7C8F">
            <w:pPr>
              <w:tabs>
                <w:tab w:val="left" w:pos="720"/>
              </w:tabs>
              <w:jc w:val="left"/>
              <w:rPr>
                <w:rFonts w:ascii="Arial Narrow" w:hAnsi="Arial Narrow"/>
                <w:sz w:val="20"/>
              </w:rPr>
            </w:pPr>
            <w:r w:rsidRPr="00112B4D">
              <w:rPr>
                <w:rFonts w:ascii="Arial Narrow" w:hAnsi="Arial Narrow"/>
                <w:sz w:val="20"/>
              </w:rPr>
              <w:t>- Hyperphosphataemia</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r>
      <w:tr w:rsidR="004E7C8F" w:rsidRPr="00B73618" w:rsidTr="00420EB5">
        <w:tc>
          <w:tcPr>
            <w:tcW w:w="1058" w:type="pct"/>
            <w:vAlign w:val="center"/>
          </w:tcPr>
          <w:p w:rsidR="004E7C8F" w:rsidRPr="00112B4D" w:rsidRDefault="004E7C8F" w:rsidP="004E7C8F">
            <w:pPr>
              <w:tabs>
                <w:tab w:val="left" w:pos="720"/>
              </w:tabs>
              <w:jc w:val="left"/>
              <w:rPr>
                <w:rFonts w:ascii="Arial Narrow" w:hAnsi="Arial Narrow"/>
                <w:sz w:val="20"/>
              </w:rPr>
            </w:pPr>
            <w:r w:rsidRPr="00112B4D">
              <w:rPr>
                <w:rFonts w:ascii="Arial Narrow" w:hAnsi="Arial Narrow"/>
                <w:sz w:val="20"/>
              </w:rPr>
              <w:t>- Hypophosphataemia</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r>
      <w:tr w:rsidR="004E7C8F" w:rsidRPr="00B73618" w:rsidTr="004E7C8F">
        <w:tc>
          <w:tcPr>
            <w:tcW w:w="1058" w:type="pct"/>
            <w:vAlign w:val="center"/>
          </w:tcPr>
          <w:p w:rsidR="004E7C8F" w:rsidRPr="00112B4D" w:rsidRDefault="004E7C8F" w:rsidP="004E7C8F">
            <w:pPr>
              <w:tabs>
                <w:tab w:val="left" w:pos="720"/>
              </w:tabs>
              <w:jc w:val="left"/>
              <w:rPr>
                <w:rFonts w:ascii="Arial Narrow" w:hAnsi="Arial Narrow"/>
                <w:sz w:val="20"/>
              </w:rPr>
            </w:pPr>
            <w:r w:rsidRPr="00112B4D">
              <w:rPr>
                <w:rFonts w:ascii="Arial Narrow" w:hAnsi="Arial Narrow"/>
                <w:sz w:val="20"/>
              </w:rPr>
              <w:t>Treatment-related AE</w:t>
            </w:r>
          </w:p>
        </w:tc>
        <w:tc>
          <w:tcPr>
            <w:tcW w:w="3942" w:type="pct"/>
            <w:gridSpan w:val="4"/>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 '''''''''''''''' ''''''''' ''''''''''''' '''''''''''</w:t>
            </w:r>
          </w:p>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 ''''''''''''''''' '''''' ''''''''''''' '''''''''''</w:t>
            </w:r>
          </w:p>
        </w:tc>
      </w:tr>
      <w:tr w:rsidR="004E7C8F" w:rsidRPr="00B73618" w:rsidTr="00420EB5">
        <w:tc>
          <w:tcPr>
            <w:tcW w:w="1058" w:type="pct"/>
            <w:vAlign w:val="center"/>
          </w:tcPr>
          <w:p w:rsidR="004E7C8F" w:rsidRPr="00112B4D" w:rsidRDefault="004E7C8F" w:rsidP="004E7C8F">
            <w:pPr>
              <w:tabs>
                <w:tab w:val="left" w:pos="720"/>
              </w:tabs>
              <w:jc w:val="left"/>
              <w:rPr>
                <w:rFonts w:ascii="Arial Narrow" w:hAnsi="Arial Narrow"/>
                <w:sz w:val="20"/>
              </w:rPr>
            </w:pPr>
            <w:r w:rsidRPr="00112B4D">
              <w:rPr>
                <w:rFonts w:ascii="Arial Narrow" w:hAnsi="Arial Narrow"/>
                <w:sz w:val="20"/>
              </w:rPr>
              <w:t>Serious AE</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 ''''''''''</w:t>
            </w:r>
          </w:p>
        </w:tc>
      </w:tr>
      <w:tr w:rsidR="004E7C8F" w:rsidRPr="00B73618" w:rsidTr="00420EB5">
        <w:tc>
          <w:tcPr>
            <w:tcW w:w="1058" w:type="pct"/>
            <w:vAlign w:val="center"/>
          </w:tcPr>
          <w:p w:rsidR="004E7C8F" w:rsidRPr="00112B4D" w:rsidRDefault="004E7C8F" w:rsidP="004E7C8F">
            <w:pPr>
              <w:tabs>
                <w:tab w:val="left" w:pos="720"/>
              </w:tabs>
              <w:jc w:val="left"/>
              <w:rPr>
                <w:rFonts w:ascii="Arial Narrow" w:hAnsi="Arial Narrow"/>
                <w:sz w:val="20"/>
              </w:rPr>
            </w:pPr>
            <w:r w:rsidRPr="00112B4D">
              <w:rPr>
                <w:rFonts w:ascii="Arial Narrow" w:hAnsi="Arial Narrow"/>
                <w:sz w:val="20"/>
              </w:rPr>
              <w:t>Treatment withdrawal</w:t>
            </w:r>
          </w:p>
          <w:p w:rsidR="004E7C8F" w:rsidRPr="00112B4D" w:rsidRDefault="004E7C8F" w:rsidP="004E7C8F">
            <w:pPr>
              <w:tabs>
                <w:tab w:val="left" w:pos="720"/>
              </w:tabs>
              <w:jc w:val="left"/>
              <w:rPr>
                <w:rFonts w:ascii="Arial Narrow" w:hAnsi="Arial Narrow"/>
                <w:sz w:val="20"/>
              </w:rPr>
            </w:pPr>
            <w:r w:rsidRPr="00112B4D">
              <w:rPr>
                <w:rFonts w:ascii="Arial Narrow" w:hAnsi="Arial Narrow"/>
                <w:sz w:val="20"/>
              </w:rPr>
              <w:t>due to AE</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w:t>
            </w:r>
          </w:p>
        </w:tc>
      </w:tr>
      <w:tr w:rsidR="004E7C8F" w:rsidRPr="00B73618" w:rsidTr="00420EB5">
        <w:tc>
          <w:tcPr>
            <w:tcW w:w="1058" w:type="pct"/>
            <w:vAlign w:val="center"/>
          </w:tcPr>
          <w:p w:rsidR="004E7C8F" w:rsidRPr="00B73618" w:rsidRDefault="004E7C8F" w:rsidP="004E7C8F">
            <w:pPr>
              <w:tabs>
                <w:tab w:val="left" w:pos="720"/>
              </w:tabs>
              <w:jc w:val="left"/>
              <w:rPr>
                <w:rFonts w:ascii="Arial Narrow" w:hAnsi="Arial Narrow"/>
                <w:sz w:val="20"/>
              </w:rPr>
            </w:pPr>
            <w:r w:rsidRPr="00B73618">
              <w:rPr>
                <w:rFonts w:ascii="Arial Narrow" w:hAnsi="Arial Narrow"/>
                <w:sz w:val="20"/>
              </w:rPr>
              <w:t>Deaths</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w:t>
            </w:r>
          </w:p>
        </w:tc>
        <w:tc>
          <w:tcPr>
            <w:tcW w:w="986"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w:t>
            </w:r>
          </w:p>
        </w:tc>
        <w:tc>
          <w:tcPr>
            <w:tcW w:w="985" w:type="pct"/>
            <w:vAlign w:val="center"/>
          </w:tcPr>
          <w:p w:rsidR="004E7C8F" w:rsidRPr="002872FE" w:rsidRDefault="002872FE" w:rsidP="004E7C8F">
            <w:pPr>
              <w:tabs>
                <w:tab w:val="left" w:pos="720"/>
              </w:tabs>
              <w:jc w:val="center"/>
              <w:rPr>
                <w:rFonts w:ascii="Arial Narrow" w:hAnsi="Arial Narrow"/>
                <w:sz w:val="20"/>
                <w:highlight w:val="black"/>
              </w:rPr>
            </w:pPr>
            <w:r>
              <w:rPr>
                <w:rFonts w:ascii="Arial Narrow" w:hAnsi="Arial Narrow"/>
                <w:noProof/>
                <w:color w:val="000000"/>
                <w:sz w:val="20"/>
                <w:highlight w:val="black"/>
              </w:rPr>
              <w:t>'''' '''''''''''</w:t>
            </w:r>
          </w:p>
        </w:tc>
      </w:tr>
    </w:tbl>
    <w:p w:rsidR="00420EB5" w:rsidRDefault="00420EB5" w:rsidP="00420EB5">
      <w:pPr>
        <w:ind w:left="720"/>
        <w:rPr>
          <w:rFonts w:ascii="Arial Narrow" w:hAnsi="Arial Narrow"/>
          <w:sz w:val="18"/>
          <w:szCs w:val="18"/>
        </w:rPr>
      </w:pPr>
      <w:r w:rsidRPr="00B73618">
        <w:rPr>
          <w:rFonts w:ascii="Arial Narrow" w:hAnsi="Arial Narrow"/>
          <w:sz w:val="18"/>
          <w:szCs w:val="18"/>
        </w:rPr>
        <w:t>Source: Tables 92 (p 270) and 94 (p 273) PA-CL-05A clinical trial report, Tables 45 (p 212) and 48 (p 221) integrated PA-CL-05A/B clinical trial report. Abbreviations: adverse event (AE), not reported (NR).</w:t>
      </w:r>
    </w:p>
    <w:p w:rsidR="00112B4D" w:rsidRPr="00B73618" w:rsidRDefault="00112B4D" w:rsidP="00420EB5">
      <w:pPr>
        <w:ind w:left="720"/>
        <w:rPr>
          <w:rFonts w:ascii="Arial Narrow" w:hAnsi="Arial Narrow"/>
          <w:sz w:val="18"/>
          <w:szCs w:val="18"/>
        </w:rPr>
      </w:pPr>
    </w:p>
    <w:p w:rsidR="00112B4D" w:rsidRPr="00295FED" w:rsidRDefault="00032F9F" w:rsidP="002D01C2">
      <w:pPr>
        <w:pStyle w:val="ListParagraph"/>
        <w:numPr>
          <w:ilvl w:val="1"/>
          <w:numId w:val="8"/>
        </w:numPr>
      </w:pPr>
      <w:r w:rsidRPr="00295FED">
        <w:t>The ESC noted a higher rate of hyperphosphataemia was experienced in the sucroferric oxyhydroxide group than the sevelamer group during the titration phase (7.5% versus 4.6%), supporting the conclusion that in the first 12 weeks of treatment sucroferric oxyhydroxide may be inferior to sevelamer.</w:t>
      </w:r>
    </w:p>
    <w:p w:rsidR="00CB2A04" w:rsidRPr="00295FED" w:rsidRDefault="00CB2A04" w:rsidP="00CB2A04">
      <w:pPr>
        <w:pStyle w:val="ListParagraph"/>
      </w:pPr>
    </w:p>
    <w:p w:rsidR="00ED77CC" w:rsidRPr="00295FED" w:rsidRDefault="00C23E52" w:rsidP="009847B1">
      <w:pPr>
        <w:pStyle w:val="ListParagraph"/>
        <w:numPr>
          <w:ilvl w:val="1"/>
          <w:numId w:val="8"/>
        </w:numPr>
      </w:pPr>
      <w:r w:rsidRPr="00295FED">
        <w:t xml:space="preserve">The ESC also noted the rate of </w:t>
      </w:r>
      <w:r w:rsidR="00CB2A04" w:rsidRPr="00295FED">
        <w:t>withdrawals</w:t>
      </w:r>
      <w:r w:rsidRPr="00295FED">
        <w:t xml:space="preserve"> due to adverse events was higher for sucroferric oxyhydroxide in the titration phase</w:t>
      </w:r>
      <w:r w:rsidR="00ED77CC" w:rsidRPr="00295FED">
        <w:t>.</w:t>
      </w:r>
      <w:r w:rsidRPr="00295FED">
        <w:t xml:space="preserve"> </w:t>
      </w:r>
      <w:r w:rsidR="00ED77CC" w:rsidRPr="00295FED">
        <w:rPr>
          <w:szCs w:val="22"/>
          <w:lang w:val="en-US"/>
        </w:rPr>
        <w:t xml:space="preserve">A breakdown of AEs that lead to withdrawal is presented in </w:t>
      </w:r>
      <w:r w:rsidR="009A099C" w:rsidRPr="00295FED">
        <w:rPr>
          <w:szCs w:val="22"/>
          <w:lang w:val="en-US"/>
        </w:rPr>
        <w:t>the</w:t>
      </w:r>
      <w:r w:rsidR="00ED77CC" w:rsidRPr="00295FED">
        <w:rPr>
          <w:szCs w:val="22"/>
          <w:lang w:val="en-US"/>
        </w:rPr>
        <w:t xml:space="preserve"> table below.</w:t>
      </w:r>
      <w:r w:rsidR="00ED77CC" w:rsidRPr="00295FED" w:rsidDel="00ED77CC">
        <w:t xml:space="preserve"> </w:t>
      </w:r>
    </w:p>
    <w:p w:rsidR="002F7D38" w:rsidRPr="00ED77CC" w:rsidRDefault="002F7D38" w:rsidP="00ED77CC">
      <w:pPr>
        <w:pStyle w:val="ListParagraph"/>
        <w:rPr>
          <w:i/>
        </w:rPr>
      </w:pPr>
    </w:p>
    <w:p w:rsidR="00ED77CC" w:rsidRPr="00295FED" w:rsidRDefault="00ED77CC" w:rsidP="00ED77CC">
      <w:pPr>
        <w:pStyle w:val="PBACHeading1"/>
        <w:numPr>
          <w:ilvl w:val="0"/>
          <w:numId w:val="0"/>
        </w:numPr>
        <w:ind w:left="720"/>
        <w:rPr>
          <w:rFonts w:ascii="Arial Narrow" w:hAnsi="Arial Narrow"/>
          <w:sz w:val="20"/>
          <w:szCs w:val="20"/>
        </w:rPr>
      </w:pPr>
      <w:bookmarkStart w:id="11" w:name="_Toc391566835"/>
      <w:r w:rsidRPr="00295FED">
        <w:rPr>
          <w:rFonts w:ascii="Arial Narrow" w:hAnsi="Arial Narrow"/>
          <w:sz w:val="20"/>
          <w:szCs w:val="20"/>
        </w:rPr>
        <w:t xml:space="preserve">Summary of treatment related adverse events leading to withdrawal </w:t>
      </w:r>
      <w:bookmarkEnd w:id="11"/>
      <w:r w:rsidRPr="00295FED">
        <w:rPr>
          <w:rFonts w:ascii="Arial Narrow" w:hAnsi="Arial Narrow"/>
          <w:sz w:val="20"/>
          <w:szCs w:val="20"/>
        </w:rPr>
        <w:t>(</w:t>
      </w:r>
      <w:r w:rsidRPr="00295FED">
        <w:rPr>
          <w:rFonts w:ascii="Arial Narrow" w:hAnsi="Arial Narrow"/>
          <w:sz w:val="20"/>
          <w:szCs w:val="20"/>
          <w:lang w:eastAsia="en-AU"/>
        </w:rPr>
        <w:t>Trial PA-CL-05A)</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512"/>
        <w:gridCol w:w="2306"/>
      </w:tblGrid>
      <w:tr w:rsidR="00ED77CC" w:rsidRPr="00295FED" w:rsidTr="00577ECD">
        <w:tc>
          <w:tcPr>
            <w:tcW w:w="2119" w:type="pct"/>
            <w:vMerge w:val="restart"/>
            <w:shd w:val="clear" w:color="auto" w:fill="FFFFFF" w:themeFill="background1"/>
            <w:noWrap/>
            <w:hideMark/>
          </w:tcPr>
          <w:p w:rsidR="00ED77CC" w:rsidRPr="00295FED" w:rsidRDefault="00ED77CC" w:rsidP="00660286">
            <w:pPr>
              <w:pStyle w:val="Table"/>
              <w:rPr>
                <w:rStyle w:val="TableBold"/>
                <w:rFonts w:ascii="Arial Narrow" w:hAnsi="Arial Narrow" w:cs="Arial"/>
                <w:b w:val="0"/>
                <w:bCs/>
                <w:noProof/>
                <w:szCs w:val="20"/>
              </w:rPr>
            </w:pPr>
          </w:p>
        </w:tc>
        <w:tc>
          <w:tcPr>
            <w:tcW w:w="1502" w:type="pct"/>
            <w:shd w:val="clear" w:color="auto" w:fill="FFFFFF" w:themeFill="background1"/>
            <w:noWrap/>
            <w:hideMark/>
          </w:tcPr>
          <w:p w:rsidR="00ED77CC" w:rsidRPr="00295FED" w:rsidRDefault="00ED77CC" w:rsidP="00660286">
            <w:pPr>
              <w:pStyle w:val="TableCentre"/>
              <w:rPr>
                <w:rStyle w:val="TableBold"/>
                <w:rFonts w:ascii="Arial Narrow" w:hAnsi="Arial Narrow" w:cs="Arial"/>
                <w:szCs w:val="20"/>
              </w:rPr>
            </w:pPr>
            <w:r w:rsidRPr="00295FED">
              <w:rPr>
                <w:rStyle w:val="TableBold"/>
                <w:rFonts w:ascii="Arial Narrow" w:hAnsi="Arial Narrow" w:cs="Arial"/>
                <w:szCs w:val="20"/>
              </w:rPr>
              <w:t>Sucroferric oxyhydroxide (N=707)</w:t>
            </w:r>
          </w:p>
        </w:tc>
        <w:tc>
          <w:tcPr>
            <w:tcW w:w="1379" w:type="pct"/>
            <w:shd w:val="clear" w:color="auto" w:fill="FFFFFF" w:themeFill="background1"/>
            <w:noWrap/>
            <w:hideMark/>
          </w:tcPr>
          <w:p w:rsidR="00ED77CC" w:rsidRPr="00295FED" w:rsidRDefault="00ED77CC" w:rsidP="00660286">
            <w:pPr>
              <w:pStyle w:val="TableCentre"/>
              <w:rPr>
                <w:rStyle w:val="TableBold"/>
                <w:rFonts w:ascii="Arial Narrow" w:hAnsi="Arial Narrow" w:cs="Arial"/>
                <w:szCs w:val="20"/>
              </w:rPr>
            </w:pPr>
            <w:r w:rsidRPr="00295FED">
              <w:rPr>
                <w:rStyle w:val="TableBold"/>
                <w:rFonts w:ascii="Arial Narrow" w:hAnsi="Arial Narrow" w:cs="Arial"/>
                <w:szCs w:val="20"/>
              </w:rPr>
              <w:t>Sevelamer carbonate (N=348)</w:t>
            </w:r>
          </w:p>
        </w:tc>
      </w:tr>
      <w:tr w:rsidR="00ED77CC" w:rsidRPr="00295FED" w:rsidTr="00577ECD">
        <w:tc>
          <w:tcPr>
            <w:tcW w:w="2119" w:type="pct"/>
            <w:vMerge/>
            <w:shd w:val="clear" w:color="auto" w:fill="FFFFFF" w:themeFill="background1"/>
            <w:noWrap/>
            <w:hideMark/>
          </w:tcPr>
          <w:p w:rsidR="00ED77CC" w:rsidRPr="00295FED" w:rsidRDefault="00ED77CC" w:rsidP="00660286">
            <w:pPr>
              <w:pStyle w:val="Table"/>
              <w:rPr>
                <w:rStyle w:val="TableBold"/>
                <w:rFonts w:ascii="Arial Narrow" w:hAnsi="Arial Narrow" w:cs="Arial"/>
                <w:szCs w:val="20"/>
              </w:rPr>
            </w:pPr>
          </w:p>
        </w:tc>
        <w:tc>
          <w:tcPr>
            <w:tcW w:w="1502" w:type="pct"/>
            <w:shd w:val="clear" w:color="auto" w:fill="FFFFFF" w:themeFill="background1"/>
            <w:noWrap/>
            <w:hideMark/>
          </w:tcPr>
          <w:p w:rsidR="00ED77CC" w:rsidRPr="00295FED" w:rsidRDefault="00ED77CC" w:rsidP="00660286">
            <w:pPr>
              <w:pStyle w:val="TableCentre"/>
              <w:rPr>
                <w:rStyle w:val="TableBold"/>
                <w:rFonts w:ascii="Arial Narrow" w:hAnsi="Arial Narrow" w:cs="Arial"/>
                <w:szCs w:val="20"/>
              </w:rPr>
            </w:pPr>
            <w:r w:rsidRPr="00295FED">
              <w:rPr>
                <w:rStyle w:val="TableBold"/>
                <w:rFonts w:ascii="Arial Narrow" w:hAnsi="Arial Narrow" w:cs="Arial"/>
                <w:szCs w:val="20"/>
              </w:rPr>
              <w:t>n (%)</w:t>
            </w:r>
          </w:p>
        </w:tc>
        <w:tc>
          <w:tcPr>
            <w:tcW w:w="1379" w:type="pct"/>
            <w:shd w:val="clear" w:color="auto" w:fill="FFFFFF" w:themeFill="background1"/>
            <w:noWrap/>
            <w:hideMark/>
          </w:tcPr>
          <w:p w:rsidR="00ED77CC" w:rsidRPr="00295FED" w:rsidRDefault="00ED77CC" w:rsidP="00660286">
            <w:pPr>
              <w:pStyle w:val="TableCentre"/>
              <w:rPr>
                <w:rStyle w:val="TableBold"/>
                <w:rFonts w:ascii="Arial Narrow" w:hAnsi="Arial Narrow" w:cs="Arial"/>
                <w:szCs w:val="20"/>
              </w:rPr>
            </w:pPr>
            <w:r w:rsidRPr="00295FED">
              <w:rPr>
                <w:rStyle w:val="TableBold"/>
                <w:rFonts w:ascii="Arial Narrow" w:hAnsi="Arial Narrow" w:cs="Arial"/>
                <w:szCs w:val="20"/>
              </w:rPr>
              <w:t>n (%)</w:t>
            </w:r>
          </w:p>
        </w:tc>
      </w:tr>
      <w:tr w:rsidR="00ED77CC" w:rsidRPr="00295FED" w:rsidTr="00577ECD">
        <w:tc>
          <w:tcPr>
            <w:tcW w:w="2119" w:type="pct"/>
            <w:noWrap/>
            <w:hideMark/>
          </w:tcPr>
          <w:p w:rsidR="00ED77CC" w:rsidRPr="00295FED" w:rsidRDefault="00ED77CC" w:rsidP="00660286">
            <w:pPr>
              <w:pStyle w:val="Table"/>
              <w:rPr>
                <w:rFonts w:ascii="Arial Narrow" w:hAnsi="Arial Narrow" w:cs="Arial"/>
                <w:szCs w:val="20"/>
              </w:rPr>
            </w:pPr>
            <w:r w:rsidRPr="00295FED">
              <w:rPr>
                <w:rFonts w:ascii="Arial Narrow" w:hAnsi="Arial Narrow" w:cs="Arial"/>
                <w:szCs w:val="20"/>
              </w:rPr>
              <w:t>Any withdrawal due to TEAE</w:t>
            </w:r>
          </w:p>
        </w:tc>
        <w:tc>
          <w:tcPr>
            <w:tcW w:w="1502" w:type="pct"/>
            <w:noWrap/>
            <w:hideMark/>
          </w:tcPr>
          <w:p w:rsidR="00ED77CC" w:rsidRPr="00295FED" w:rsidRDefault="00ED77CC" w:rsidP="00660286">
            <w:pPr>
              <w:pStyle w:val="TableCentre"/>
              <w:rPr>
                <w:rFonts w:ascii="Arial Narrow" w:hAnsi="Arial Narrow" w:cs="Arial"/>
                <w:szCs w:val="20"/>
              </w:rPr>
            </w:pPr>
            <w:r w:rsidRPr="00295FED">
              <w:rPr>
                <w:rFonts w:ascii="Arial Narrow" w:hAnsi="Arial Narrow" w:cs="Arial"/>
                <w:szCs w:val="20"/>
              </w:rPr>
              <w:t>111 (15.7%)</w:t>
            </w:r>
          </w:p>
        </w:tc>
        <w:tc>
          <w:tcPr>
            <w:tcW w:w="1379" w:type="pct"/>
            <w:noWrap/>
            <w:hideMark/>
          </w:tcPr>
          <w:p w:rsidR="00ED77CC" w:rsidRPr="00295FED" w:rsidRDefault="00ED77CC" w:rsidP="00660286">
            <w:pPr>
              <w:pStyle w:val="TableCentre"/>
              <w:rPr>
                <w:rFonts w:ascii="Arial Narrow" w:hAnsi="Arial Narrow" w:cs="Arial"/>
                <w:szCs w:val="20"/>
              </w:rPr>
            </w:pPr>
            <w:r w:rsidRPr="00295FED">
              <w:rPr>
                <w:rFonts w:ascii="Arial Narrow" w:hAnsi="Arial Narrow" w:cs="Arial"/>
                <w:szCs w:val="20"/>
              </w:rPr>
              <w:t>23 (6.6%)</w:t>
            </w:r>
          </w:p>
        </w:tc>
      </w:tr>
      <w:tr w:rsidR="00ED77CC" w:rsidRPr="00295FED" w:rsidTr="00577ECD">
        <w:tc>
          <w:tcPr>
            <w:tcW w:w="2119" w:type="pct"/>
            <w:noWrap/>
            <w:hideMark/>
          </w:tcPr>
          <w:p w:rsidR="00ED77CC" w:rsidRPr="00295FED" w:rsidRDefault="00ED77CC" w:rsidP="00660286">
            <w:pPr>
              <w:pStyle w:val="Table"/>
              <w:rPr>
                <w:rFonts w:ascii="Arial Narrow" w:hAnsi="Arial Narrow" w:cs="Arial"/>
                <w:szCs w:val="20"/>
              </w:rPr>
            </w:pPr>
            <w:r w:rsidRPr="00295FED">
              <w:rPr>
                <w:rFonts w:ascii="Arial Narrow" w:hAnsi="Arial Narrow" w:cs="Arial"/>
                <w:szCs w:val="20"/>
              </w:rPr>
              <w:t>Gastrointestinal disorders</w:t>
            </w:r>
          </w:p>
        </w:tc>
        <w:tc>
          <w:tcPr>
            <w:tcW w:w="1502" w:type="pct"/>
            <w:noWrap/>
            <w:hideMark/>
          </w:tcPr>
          <w:p w:rsidR="00ED77CC" w:rsidRPr="002872FE" w:rsidRDefault="002872FE" w:rsidP="00660286">
            <w:pPr>
              <w:pStyle w:val="TableCentre"/>
              <w:rPr>
                <w:rFonts w:ascii="Arial Narrow" w:hAnsi="Arial Narrow" w:cs="Arial"/>
                <w:szCs w:val="20"/>
                <w:highlight w:val="black"/>
              </w:rPr>
            </w:pPr>
            <w:r>
              <w:rPr>
                <w:rFonts w:ascii="Arial Narrow" w:hAnsi="Arial Narrow" w:cs="Arial"/>
                <w:noProof/>
                <w:color w:val="000000"/>
                <w:szCs w:val="20"/>
                <w:highlight w:val="black"/>
              </w:rPr>
              <w:t>'''''' ''''''''''''''</w:t>
            </w:r>
          </w:p>
        </w:tc>
        <w:tc>
          <w:tcPr>
            <w:tcW w:w="1379" w:type="pct"/>
            <w:noWrap/>
            <w:hideMark/>
          </w:tcPr>
          <w:p w:rsidR="00ED77CC" w:rsidRPr="002872FE" w:rsidRDefault="002872FE" w:rsidP="00660286">
            <w:pPr>
              <w:pStyle w:val="TableCentre"/>
              <w:rPr>
                <w:rFonts w:ascii="Arial Narrow" w:hAnsi="Arial Narrow" w:cs="Arial"/>
                <w:szCs w:val="20"/>
                <w:highlight w:val="black"/>
              </w:rPr>
            </w:pPr>
            <w:r>
              <w:rPr>
                <w:rFonts w:ascii="Arial Narrow" w:hAnsi="Arial Narrow" w:cs="Arial"/>
                <w:noProof/>
                <w:color w:val="000000"/>
                <w:szCs w:val="20"/>
                <w:highlight w:val="black"/>
              </w:rPr>
              <w:t>''''' '''''''''''''''''</w:t>
            </w:r>
          </w:p>
        </w:tc>
      </w:tr>
      <w:tr w:rsidR="00ED77CC" w:rsidRPr="00295FED" w:rsidTr="00577ECD">
        <w:tc>
          <w:tcPr>
            <w:tcW w:w="2119" w:type="pct"/>
            <w:noWrap/>
            <w:hideMark/>
          </w:tcPr>
          <w:p w:rsidR="00ED77CC" w:rsidRPr="00295FED" w:rsidRDefault="00ED77CC" w:rsidP="00660286">
            <w:pPr>
              <w:pStyle w:val="Table"/>
              <w:ind w:left="142"/>
              <w:rPr>
                <w:rFonts w:ascii="Arial Narrow" w:hAnsi="Arial Narrow" w:cs="Arial"/>
                <w:szCs w:val="20"/>
              </w:rPr>
            </w:pPr>
            <w:r w:rsidRPr="00295FED">
              <w:rPr>
                <w:rFonts w:ascii="Arial Narrow" w:hAnsi="Arial Narrow" w:cs="Arial"/>
                <w:szCs w:val="20"/>
              </w:rPr>
              <w:t>Diarrhoea</w:t>
            </w:r>
          </w:p>
        </w:tc>
        <w:tc>
          <w:tcPr>
            <w:tcW w:w="1502" w:type="pct"/>
            <w:noWrap/>
            <w:hideMark/>
          </w:tcPr>
          <w:p w:rsidR="00ED77CC" w:rsidRPr="00295FED" w:rsidRDefault="00ED77CC" w:rsidP="00660286">
            <w:pPr>
              <w:pStyle w:val="TableCentre"/>
              <w:rPr>
                <w:rFonts w:ascii="Arial Narrow" w:hAnsi="Arial Narrow" w:cs="Arial"/>
                <w:szCs w:val="20"/>
              </w:rPr>
            </w:pPr>
            <w:r w:rsidRPr="00295FED">
              <w:rPr>
                <w:rFonts w:ascii="Arial Narrow" w:hAnsi="Arial Narrow" w:cs="Arial"/>
                <w:szCs w:val="20"/>
              </w:rPr>
              <w:t>20 (2.8%)</w:t>
            </w:r>
          </w:p>
        </w:tc>
        <w:tc>
          <w:tcPr>
            <w:tcW w:w="1379" w:type="pct"/>
            <w:noWrap/>
            <w:hideMark/>
          </w:tcPr>
          <w:p w:rsidR="00ED77CC" w:rsidRPr="00295FED" w:rsidRDefault="00ED77CC" w:rsidP="00660286">
            <w:pPr>
              <w:pStyle w:val="TableCentre"/>
              <w:rPr>
                <w:rFonts w:ascii="Arial Narrow" w:hAnsi="Arial Narrow" w:cs="Arial"/>
                <w:szCs w:val="20"/>
              </w:rPr>
            </w:pPr>
            <w:r w:rsidRPr="00295FED">
              <w:rPr>
                <w:rFonts w:ascii="Arial Narrow" w:hAnsi="Arial Narrow" w:cs="Arial"/>
                <w:szCs w:val="20"/>
              </w:rPr>
              <w:t>2 (0.6%)</w:t>
            </w:r>
          </w:p>
        </w:tc>
      </w:tr>
      <w:tr w:rsidR="00ED77CC" w:rsidRPr="00295FED" w:rsidTr="00577ECD">
        <w:tc>
          <w:tcPr>
            <w:tcW w:w="2119" w:type="pct"/>
            <w:noWrap/>
            <w:hideMark/>
          </w:tcPr>
          <w:p w:rsidR="00ED77CC" w:rsidRPr="00295FED" w:rsidRDefault="00ED77CC" w:rsidP="00660286">
            <w:pPr>
              <w:pStyle w:val="Table"/>
              <w:ind w:left="142"/>
              <w:rPr>
                <w:rFonts w:ascii="Arial Narrow" w:hAnsi="Arial Narrow" w:cs="Arial"/>
                <w:szCs w:val="20"/>
              </w:rPr>
            </w:pPr>
            <w:r w:rsidRPr="00295FED">
              <w:rPr>
                <w:rFonts w:ascii="Arial Narrow" w:hAnsi="Arial Narrow" w:cs="Arial"/>
                <w:szCs w:val="20"/>
              </w:rPr>
              <w:t>Nausea</w:t>
            </w:r>
          </w:p>
        </w:tc>
        <w:tc>
          <w:tcPr>
            <w:tcW w:w="1502" w:type="pct"/>
            <w:noWrap/>
            <w:hideMark/>
          </w:tcPr>
          <w:p w:rsidR="00ED77CC" w:rsidRPr="00295FED" w:rsidRDefault="00ED77CC" w:rsidP="00660286">
            <w:pPr>
              <w:pStyle w:val="TableCentre"/>
              <w:rPr>
                <w:rFonts w:ascii="Arial Narrow" w:hAnsi="Arial Narrow" w:cs="Arial"/>
                <w:szCs w:val="20"/>
              </w:rPr>
            </w:pPr>
            <w:r w:rsidRPr="00295FED">
              <w:rPr>
                <w:rFonts w:ascii="Arial Narrow" w:hAnsi="Arial Narrow" w:cs="Arial"/>
                <w:szCs w:val="20"/>
              </w:rPr>
              <w:t>11 (1.6%)</w:t>
            </w:r>
          </w:p>
        </w:tc>
        <w:tc>
          <w:tcPr>
            <w:tcW w:w="1379" w:type="pct"/>
            <w:noWrap/>
            <w:hideMark/>
          </w:tcPr>
          <w:p w:rsidR="00ED77CC" w:rsidRPr="00295FED" w:rsidRDefault="00ED77CC" w:rsidP="00660286">
            <w:pPr>
              <w:pStyle w:val="TableCentre"/>
              <w:rPr>
                <w:rFonts w:ascii="Arial Narrow" w:hAnsi="Arial Narrow" w:cs="Arial"/>
                <w:szCs w:val="20"/>
              </w:rPr>
            </w:pPr>
            <w:r w:rsidRPr="00295FED">
              <w:rPr>
                <w:rFonts w:ascii="Arial Narrow" w:hAnsi="Arial Narrow" w:cs="Arial"/>
                <w:szCs w:val="20"/>
              </w:rPr>
              <w:t>2 (0.6%)</w:t>
            </w:r>
          </w:p>
        </w:tc>
      </w:tr>
      <w:tr w:rsidR="00ED77CC" w:rsidRPr="00295FED" w:rsidTr="00577ECD">
        <w:tc>
          <w:tcPr>
            <w:tcW w:w="2119" w:type="pct"/>
            <w:noWrap/>
            <w:hideMark/>
          </w:tcPr>
          <w:p w:rsidR="00ED77CC" w:rsidRPr="00295FED" w:rsidRDefault="00ED77CC" w:rsidP="00660286">
            <w:pPr>
              <w:pStyle w:val="Table"/>
              <w:ind w:left="142"/>
              <w:rPr>
                <w:rFonts w:ascii="Arial Narrow" w:hAnsi="Arial Narrow" w:cs="Arial"/>
                <w:szCs w:val="20"/>
              </w:rPr>
            </w:pPr>
            <w:r w:rsidRPr="00295FED">
              <w:rPr>
                <w:rFonts w:ascii="Arial Narrow" w:hAnsi="Arial Narrow" w:cs="Arial"/>
                <w:szCs w:val="20"/>
              </w:rPr>
              <w:t>Constipation</w:t>
            </w:r>
          </w:p>
        </w:tc>
        <w:tc>
          <w:tcPr>
            <w:tcW w:w="1502" w:type="pct"/>
            <w:noWrap/>
            <w:hideMark/>
          </w:tcPr>
          <w:p w:rsidR="00ED77CC" w:rsidRPr="00295FED" w:rsidRDefault="00ED77CC" w:rsidP="00660286">
            <w:pPr>
              <w:pStyle w:val="TableCentre"/>
              <w:rPr>
                <w:rFonts w:ascii="Arial Narrow" w:hAnsi="Arial Narrow" w:cs="Arial"/>
                <w:szCs w:val="20"/>
              </w:rPr>
            </w:pPr>
            <w:r w:rsidRPr="00295FED">
              <w:rPr>
                <w:rFonts w:ascii="Arial Narrow" w:hAnsi="Arial Narrow" w:cs="Arial"/>
                <w:szCs w:val="20"/>
              </w:rPr>
              <w:t>7 (1.0%)</w:t>
            </w:r>
          </w:p>
        </w:tc>
        <w:tc>
          <w:tcPr>
            <w:tcW w:w="1379" w:type="pct"/>
            <w:noWrap/>
            <w:hideMark/>
          </w:tcPr>
          <w:p w:rsidR="00ED77CC" w:rsidRPr="00295FED" w:rsidRDefault="00ED77CC" w:rsidP="00660286">
            <w:pPr>
              <w:pStyle w:val="TableCentre"/>
              <w:rPr>
                <w:rFonts w:ascii="Arial Narrow" w:hAnsi="Arial Narrow" w:cs="Arial"/>
                <w:szCs w:val="20"/>
              </w:rPr>
            </w:pPr>
            <w:r w:rsidRPr="00295FED">
              <w:rPr>
                <w:rFonts w:ascii="Arial Narrow" w:hAnsi="Arial Narrow" w:cs="Arial"/>
                <w:szCs w:val="20"/>
              </w:rPr>
              <w:t>5 (1.4%)</w:t>
            </w:r>
          </w:p>
        </w:tc>
      </w:tr>
      <w:tr w:rsidR="00ED77CC" w:rsidRPr="00295FED" w:rsidTr="00577ECD">
        <w:tc>
          <w:tcPr>
            <w:tcW w:w="2119" w:type="pct"/>
            <w:noWrap/>
            <w:hideMark/>
          </w:tcPr>
          <w:p w:rsidR="00ED77CC" w:rsidRPr="00295FED" w:rsidRDefault="00ED77CC" w:rsidP="00660286">
            <w:pPr>
              <w:pStyle w:val="Table"/>
              <w:ind w:left="142"/>
              <w:rPr>
                <w:rFonts w:ascii="Arial Narrow" w:hAnsi="Arial Narrow" w:cs="Arial"/>
                <w:szCs w:val="20"/>
              </w:rPr>
            </w:pPr>
            <w:r w:rsidRPr="00295FED">
              <w:rPr>
                <w:rFonts w:ascii="Arial Narrow" w:hAnsi="Arial Narrow" w:cs="Arial"/>
                <w:szCs w:val="20"/>
              </w:rPr>
              <w:t>Vomiting</w:t>
            </w:r>
          </w:p>
        </w:tc>
        <w:tc>
          <w:tcPr>
            <w:tcW w:w="1502" w:type="pct"/>
            <w:noWrap/>
            <w:hideMark/>
          </w:tcPr>
          <w:p w:rsidR="00ED77CC" w:rsidRPr="00295FED" w:rsidRDefault="00ED77CC" w:rsidP="00660286">
            <w:pPr>
              <w:pStyle w:val="TableCentre"/>
              <w:rPr>
                <w:rFonts w:ascii="Arial Narrow" w:hAnsi="Arial Narrow" w:cs="Arial"/>
                <w:szCs w:val="20"/>
              </w:rPr>
            </w:pPr>
            <w:r w:rsidRPr="00295FED">
              <w:rPr>
                <w:rFonts w:ascii="Arial Narrow" w:hAnsi="Arial Narrow" w:cs="Arial"/>
                <w:szCs w:val="20"/>
              </w:rPr>
              <w:t>7 (1.0%)</w:t>
            </w:r>
          </w:p>
        </w:tc>
        <w:tc>
          <w:tcPr>
            <w:tcW w:w="1379" w:type="pct"/>
            <w:noWrap/>
            <w:hideMark/>
          </w:tcPr>
          <w:p w:rsidR="00ED77CC" w:rsidRPr="00295FED" w:rsidRDefault="00ED77CC" w:rsidP="00660286">
            <w:pPr>
              <w:pStyle w:val="TableCentre"/>
              <w:rPr>
                <w:rFonts w:ascii="Arial Narrow" w:hAnsi="Arial Narrow" w:cs="Arial"/>
                <w:szCs w:val="20"/>
              </w:rPr>
            </w:pPr>
            <w:r w:rsidRPr="00295FED">
              <w:rPr>
                <w:rFonts w:ascii="Arial Narrow" w:hAnsi="Arial Narrow" w:cs="Arial"/>
                <w:szCs w:val="20"/>
              </w:rPr>
              <w:t>2 (0.6%)</w:t>
            </w:r>
          </w:p>
        </w:tc>
      </w:tr>
      <w:tr w:rsidR="00ED77CC" w:rsidRPr="00295FED" w:rsidTr="00577ECD">
        <w:tc>
          <w:tcPr>
            <w:tcW w:w="2119" w:type="pct"/>
            <w:noWrap/>
            <w:hideMark/>
          </w:tcPr>
          <w:p w:rsidR="00ED77CC" w:rsidRPr="00295FED" w:rsidRDefault="00ED77CC" w:rsidP="00660286">
            <w:pPr>
              <w:pStyle w:val="Table"/>
              <w:rPr>
                <w:rFonts w:ascii="Arial Narrow" w:hAnsi="Arial Narrow" w:cs="Arial"/>
                <w:szCs w:val="20"/>
              </w:rPr>
            </w:pPr>
            <w:r w:rsidRPr="00295FED">
              <w:rPr>
                <w:rFonts w:ascii="Arial Narrow" w:hAnsi="Arial Narrow" w:cs="Arial"/>
                <w:szCs w:val="20"/>
              </w:rPr>
              <w:t>General Disorders and Administration Site</w:t>
            </w:r>
          </w:p>
        </w:tc>
        <w:tc>
          <w:tcPr>
            <w:tcW w:w="1502" w:type="pct"/>
            <w:noWrap/>
            <w:hideMark/>
          </w:tcPr>
          <w:p w:rsidR="00ED77CC" w:rsidRPr="002872FE" w:rsidRDefault="002872FE" w:rsidP="00660286">
            <w:pPr>
              <w:pStyle w:val="TableCentre"/>
              <w:rPr>
                <w:rFonts w:ascii="Arial Narrow" w:hAnsi="Arial Narrow" w:cs="Arial"/>
                <w:szCs w:val="20"/>
                <w:highlight w:val="black"/>
              </w:rPr>
            </w:pPr>
            <w:r>
              <w:rPr>
                <w:rFonts w:ascii="Arial Narrow" w:hAnsi="Arial Narrow" w:cs="Arial"/>
                <w:noProof/>
                <w:color w:val="000000"/>
                <w:szCs w:val="20"/>
                <w:highlight w:val="black"/>
              </w:rPr>
              <w:t>''''''' ''''''''''''''''</w:t>
            </w:r>
          </w:p>
        </w:tc>
        <w:tc>
          <w:tcPr>
            <w:tcW w:w="1379" w:type="pct"/>
            <w:noWrap/>
            <w:hideMark/>
          </w:tcPr>
          <w:p w:rsidR="00ED77CC" w:rsidRPr="002872FE" w:rsidRDefault="002872FE" w:rsidP="00660286">
            <w:pPr>
              <w:pStyle w:val="TableCentre"/>
              <w:rPr>
                <w:rFonts w:ascii="Arial Narrow" w:hAnsi="Arial Narrow" w:cs="Arial"/>
                <w:szCs w:val="20"/>
                <w:highlight w:val="black"/>
              </w:rPr>
            </w:pPr>
            <w:r>
              <w:rPr>
                <w:rFonts w:ascii="Arial Narrow" w:hAnsi="Arial Narrow" w:cs="Arial"/>
                <w:noProof/>
                <w:color w:val="000000"/>
                <w:szCs w:val="20"/>
                <w:highlight w:val="black"/>
              </w:rPr>
              <w:t>''' ''''''''''''''''</w:t>
            </w:r>
          </w:p>
        </w:tc>
      </w:tr>
      <w:tr w:rsidR="00ED77CC" w:rsidRPr="00295FED" w:rsidTr="00577ECD">
        <w:tc>
          <w:tcPr>
            <w:tcW w:w="2119" w:type="pct"/>
            <w:noWrap/>
            <w:hideMark/>
          </w:tcPr>
          <w:p w:rsidR="00ED77CC" w:rsidRPr="00295FED" w:rsidRDefault="00ED77CC" w:rsidP="00660286">
            <w:pPr>
              <w:pStyle w:val="Table"/>
              <w:ind w:left="142"/>
              <w:rPr>
                <w:rFonts w:ascii="Arial Narrow" w:hAnsi="Arial Narrow" w:cs="Arial"/>
                <w:szCs w:val="20"/>
              </w:rPr>
            </w:pPr>
            <w:r w:rsidRPr="00295FED">
              <w:rPr>
                <w:rFonts w:ascii="Arial Narrow" w:hAnsi="Arial Narrow" w:cs="Arial"/>
                <w:szCs w:val="20"/>
              </w:rPr>
              <w:t>Product taste abnormal</w:t>
            </w:r>
          </w:p>
        </w:tc>
        <w:tc>
          <w:tcPr>
            <w:tcW w:w="1502" w:type="pct"/>
            <w:noWrap/>
            <w:hideMark/>
          </w:tcPr>
          <w:p w:rsidR="00ED77CC" w:rsidRPr="00295FED" w:rsidRDefault="00ED77CC" w:rsidP="00660286">
            <w:pPr>
              <w:pStyle w:val="TableCentre"/>
              <w:rPr>
                <w:rFonts w:ascii="Arial Narrow" w:hAnsi="Arial Narrow" w:cs="Arial"/>
                <w:szCs w:val="20"/>
              </w:rPr>
            </w:pPr>
            <w:r w:rsidRPr="00295FED">
              <w:rPr>
                <w:rFonts w:ascii="Arial Narrow" w:hAnsi="Arial Narrow" w:cs="Arial"/>
                <w:szCs w:val="20"/>
              </w:rPr>
              <w:t>11 (1.6%)</w:t>
            </w:r>
          </w:p>
        </w:tc>
        <w:tc>
          <w:tcPr>
            <w:tcW w:w="1379" w:type="pct"/>
            <w:noWrap/>
            <w:hideMark/>
          </w:tcPr>
          <w:p w:rsidR="00ED77CC" w:rsidRPr="00295FED" w:rsidRDefault="00ED77CC" w:rsidP="00660286">
            <w:pPr>
              <w:pStyle w:val="TableCentre"/>
              <w:rPr>
                <w:rFonts w:ascii="Arial Narrow" w:hAnsi="Arial Narrow" w:cs="Arial"/>
                <w:szCs w:val="20"/>
              </w:rPr>
            </w:pPr>
            <w:r w:rsidRPr="00295FED">
              <w:rPr>
                <w:rFonts w:ascii="Arial Narrow" w:hAnsi="Arial Narrow" w:cs="Arial"/>
                <w:szCs w:val="20"/>
              </w:rPr>
              <w:t>1 (0.3%)</w:t>
            </w:r>
          </w:p>
        </w:tc>
      </w:tr>
      <w:tr w:rsidR="00ED77CC" w:rsidRPr="00295FED" w:rsidTr="00577ECD">
        <w:tc>
          <w:tcPr>
            <w:tcW w:w="2119" w:type="pct"/>
            <w:noWrap/>
            <w:hideMark/>
          </w:tcPr>
          <w:p w:rsidR="00ED77CC" w:rsidRPr="00295FED" w:rsidRDefault="00ED77CC" w:rsidP="00660286">
            <w:pPr>
              <w:pStyle w:val="Table"/>
              <w:rPr>
                <w:rFonts w:ascii="Arial Narrow" w:hAnsi="Arial Narrow" w:cs="Arial"/>
                <w:szCs w:val="20"/>
              </w:rPr>
            </w:pPr>
            <w:r w:rsidRPr="00295FED">
              <w:rPr>
                <w:rFonts w:ascii="Arial Narrow" w:hAnsi="Arial Narrow" w:cs="Arial"/>
                <w:szCs w:val="20"/>
              </w:rPr>
              <w:t>Metabolism and Nutrition Disorders</w:t>
            </w:r>
          </w:p>
        </w:tc>
        <w:tc>
          <w:tcPr>
            <w:tcW w:w="1502" w:type="pct"/>
            <w:noWrap/>
            <w:hideMark/>
          </w:tcPr>
          <w:p w:rsidR="00ED77CC" w:rsidRPr="002872FE" w:rsidRDefault="002872FE" w:rsidP="00660286">
            <w:pPr>
              <w:pStyle w:val="TableCentre"/>
              <w:rPr>
                <w:rFonts w:ascii="Arial Narrow" w:hAnsi="Arial Narrow" w:cs="Arial"/>
                <w:szCs w:val="20"/>
                <w:highlight w:val="black"/>
              </w:rPr>
            </w:pPr>
            <w:r>
              <w:rPr>
                <w:rFonts w:ascii="Arial Narrow" w:hAnsi="Arial Narrow" w:cs="Arial"/>
                <w:noProof/>
                <w:color w:val="000000"/>
                <w:szCs w:val="20"/>
                <w:highlight w:val="black"/>
              </w:rPr>
              <w:t>''''' '''''''''''''''''</w:t>
            </w:r>
          </w:p>
        </w:tc>
        <w:tc>
          <w:tcPr>
            <w:tcW w:w="1379" w:type="pct"/>
            <w:noWrap/>
            <w:hideMark/>
          </w:tcPr>
          <w:p w:rsidR="00ED77CC" w:rsidRPr="002872FE" w:rsidRDefault="002872FE" w:rsidP="00660286">
            <w:pPr>
              <w:pStyle w:val="TableCentre"/>
              <w:rPr>
                <w:rFonts w:ascii="Arial Narrow" w:hAnsi="Arial Narrow" w:cs="Arial"/>
                <w:szCs w:val="20"/>
                <w:highlight w:val="black"/>
              </w:rPr>
            </w:pPr>
            <w:r>
              <w:rPr>
                <w:rFonts w:ascii="Arial Narrow" w:hAnsi="Arial Narrow" w:cs="Arial"/>
                <w:noProof/>
                <w:color w:val="000000"/>
                <w:szCs w:val="20"/>
                <w:highlight w:val="black"/>
              </w:rPr>
              <w:t>'''' ''''''''''''''''</w:t>
            </w:r>
          </w:p>
        </w:tc>
      </w:tr>
      <w:tr w:rsidR="00ED77CC" w:rsidRPr="00295FED" w:rsidTr="00577ECD">
        <w:tc>
          <w:tcPr>
            <w:tcW w:w="2119" w:type="pct"/>
            <w:noWrap/>
            <w:hideMark/>
          </w:tcPr>
          <w:p w:rsidR="00ED77CC" w:rsidRPr="00295FED" w:rsidRDefault="00032F9F" w:rsidP="00660286">
            <w:pPr>
              <w:pStyle w:val="Table"/>
              <w:ind w:left="142"/>
              <w:rPr>
                <w:rFonts w:ascii="Arial Narrow" w:hAnsi="Arial Narrow" w:cs="Arial"/>
                <w:szCs w:val="20"/>
              </w:rPr>
            </w:pPr>
            <w:r w:rsidRPr="00295FED">
              <w:rPr>
                <w:rFonts w:ascii="Arial Narrow" w:hAnsi="Arial Narrow" w:cs="Arial"/>
                <w:szCs w:val="20"/>
              </w:rPr>
              <w:t>Hyperphosphataemia</w:t>
            </w:r>
          </w:p>
        </w:tc>
        <w:tc>
          <w:tcPr>
            <w:tcW w:w="1502" w:type="pct"/>
            <w:noWrap/>
            <w:hideMark/>
          </w:tcPr>
          <w:p w:rsidR="00ED77CC" w:rsidRPr="00295FED" w:rsidRDefault="00ED77CC" w:rsidP="00660286">
            <w:pPr>
              <w:pStyle w:val="TableCentre"/>
              <w:rPr>
                <w:rFonts w:ascii="Arial Narrow" w:hAnsi="Arial Narrow" w:cs="Arial"/>
                <w:szCs w:val="20"/>
              </w:rPr>
            </w:pPr>
            <w:r w:rsidRPr="00295FED">
              <w:rPr>
                <w:rFonts w:ascii="Arial Narrow" w:hAnsi="Arial Narrow" w:cs="Arial"/>
                <w:szCs w:val="20"/>
              </w:rPr>
              <w:t>10 (1.4%)</w:t>
            </w:r>
          </w:p>
        </w:tc>
        <w:tc>
          <w:tcPr>
            <w:tcW w:w="1379" w:type="pct"/>
            <w:noWrap/>
            <w:hideMark/>
          </w:tcPr>
          <w:p w:rsidR="00ED77CC" w:rsidRPr="00295FED" w:rsidRDefault="00ED77CC" w:rsidP="00660286">
            <w:pPr>
              <w:pStyle w:val="TableCentre"/>
              <w:rPr>
                <w:rFonts w:ascii="Arial Narrow" w:hAnsi="Arial Narrow" w:cs="Arial"/>
                <w:szCs w:val="20"/>
              </w:rPr>
            </w:pPr>
            <w:r w:rsidRPr="00295FED">
              <w:rPr>
                <w:rFonts w:ascii="Arial Narrow" w:hAnsi="Arial Narrow" w:cs="Arial"/>
                <w:szCs w:val="20"/>
              </w:rPr>
              <w:t>0 (0.0%)</w:t>
            </w:r>
          </w:p>
        </w:tc>
      </w:tr>
    </w:tbl>
    <w:p w:rsidR="00ED77CC" w:rsidRPr="00295FED" w:rsidRDefault="00ED77CC" w:rsidP="00ED77CC">
      <w:pPr>
        <w:pStyle w:val="ListParagraph"/>
        <w:rPr>
          <w:rFonts w:ascii="Arial Narrow" w:hAnsi="Arial Narrow"/>
          <w:sz w:val="20"/>
        </w:rPr>
      </w:pPr>
      <w:r w:rsidRPr="00295FED">
        <w:rPr>
          <w:rFonts w:ascii="Arial Narrow" w:hAnsi="Arial Narrow"/>
          <w:sz w:val="20"/>
        </w:rPr>
        <w:t>Source: Table 111 of CSR</w:t>
      </w:r>
    </w:p>
    <w:p w:rsidR="00112B4D" w:rsidRDefault="00112B4D" w:rsidP="00ED77CC">
      <w:pPr>
        <w:pStyle w:val="ListParagraph"/>
      </w:pPr>
    </w:p>
    <w:p w:rsidR="00420EB5" w:rsidRPr="00B73618" w:rsidRDefault="00420EB5" w:rsidP="002D01C2">
      <w:pPr>
        <w:pStyle w:val="ListParagraph"/>
        <w:numPr>
          <w:ilvl w:val="1"/>
          <w:numId w:val="8"/>
        </w:numPr>
      </w:pPr>
      <w:r w:rsidRPr="00B73618">
        <w:t xml:space="preserve">Subjects experienced a lower overall incidence of adverse events in the maintenance phase of PA-CL-05A compared to the titration phase. </w:t>
      </w:r>
    </w:p>
    <w:p w:rsidR="00420EB5" w:rsidRPr="00B73618" w:rsidRDefault="00420EB5" w:rsidP="00420EB5">
      <w:pPr>
        <w:pStyle w:val="PBACHeading1"/>
        <w:numPr>
          <w:ilvl w:val="0"/>
          <w:numId w:val="0"/>
        </w:numPr>
        <w:ind w:left="720"/>
        <w:jc w:val="both"/>
        <w:rPr>
          <w:b w:val="0"/>
        </w:rPr>
      </w:pPr>
    </w:p>
    <w:p w:rsidR="00420EB5" w:rsidRPr="00B73618" w:rsidRDefault="00420EB5" w:rsidP="002D01C2">
      <w:pPr>
        <w:pStyle w:val="ListParagraph"/>
        <w:numPr>
          <w:ilvl w:val="1"/>
          <w:numId w:val="8"/>
        </w:numPr>
      </w:pPr>
      <w:r w:rsidRPr="00B73618">
        <w:t>The most common adverse events for both the sucroferric oxyhydroxide and sevelamer groups were gastrointestinal disorders. Gastrointestinal adverse events (primarily diarrhoea and discoloured faeces) were reported in a higher proportion of subjects in the sucroferric oxyhydroxide group compared with the sevelamer carbonate group. The submission notes that the higher rates of discontinuation reported with sucroferric oxyhydroxide were largely driven by gastrointestinal adverse events.</w:t>
      </w:r>
    </w:p>
    <w:p w:rsidR="00420EB5" w:rsidRPr="00B73618" w:rsidRDefault="00420EB5" w:rsidP="00420EB5">
      <w:pPr>
        <w:pStyle w:val="ListParagraph"/>
      </w:pPr>
    </w:p>
    <w:p w:rsidR="00420EB5" w:rsidRPr="00B73618" w:rsidRDefault="00420EB5" w:rsidP="002D01C2">
      <w:pPr>
        <w:pStyle w:val="ListParagraph"/>
        <w:numPr>
          <w:ilvl w:val="1"/>
          <w:numId w:val="8"/>
        </w:numPr>
      </w:pPr>
      <w:r w:rsidRPr="00B73618">
        <w:t xml:space="preserve">Sucroferric oxyhydroxide appears to have a poorer gastrointestinal tolerability profile compared to sevelamer carbonate. </w:t>
      </w:r>
      <w:r w:rsidR="00BB55B4" w:rsidRPr="00B73618">
        <w:t>However, the formulation of seve</w:t>
      </w:r>
      <w:r w:rsidRPr="00B73618">
        <w:t>lamer available in Australia (sevelamer hydrochloride) may also have a poorer gastrointestinal tolerability profile compared to sevelamer carbonate.</w:t>
      </w:r>
    </w:p>
    <w:p w:rsidR="004E7C8F" w:rsidRDefault="004E7C8F" w:rsidP="00420EB5">
      <w:pPr>
        <w:pStyle w:val="ListParagraph"/>
        <w:rPr>
          <w:szCs w:val="22"/>
        </w:rPr>
      </w:pPr>
    </w:p>
    <w:p w:rsidR="00295FED" w:rsidRDefault="00295FED" w:rsidP="00295FED">
      <w:pPr>
        <w:pStyle w:val="ListParagraph"/>
        <w:ind w:left="709"/>
        <w:rPr>
          <w:i/>
          <w:szCs w:val="22"/>
        </w:rPr>
      </w:pPr>
      <w:r>
        <w:rPr>
          <w:i/>
          <w:szCs w:val="22"/>
        </w:rPr>
        <w:t>For more detail on PBAC’s view, see section 7 “PBAC outcome”</w:t>
      </w:r>
    </w:p>
    <w:p w:rsidR="00295FED" w:rsidRPr="00B73618" w:rsidRDefault="00295FED" w:rsidP="00420EB5">
      <w:pPr>
        <w:pStyle w:val="ListParagraph"/>
        <w:rPr>
          <w:szCs w:val="22"/>
        </w:rPr>
      </w:pPr>
    </w:p>
    <w:p w:rsidR="007F1017" w:rsidRPr="008B6779" w:rsidRDefault="007F1017" w:rsidP="008B6779">
      <w:pPr>
        <w:rPr>
          <w:b/>
          <w:szCs w:val="22"/>
        </w:rPr>
      </w:pPr>
      <w:bookmarkStart w:id="12" w:name="_Toc398708608"/>
      <w:r w:rsidRPr="008B6779">
        <w:rPr>
          <w:b/>
          <w:szCs w:val="22"/>
        </w:rPr>
        <w:t>Benefits/harms</w:t>
      </w:r>
      <w:bookmarkEnd w:id="12"/>
    </w:p>
    <w:p w:rsidR="007F1017" w:rsidRPr="00B73618" w:rsidRDefault="007F1017" w:rsidP="007F1017">
      <w:pPr>
        <w:pStyle w:val="ListParagraph"/>
        <w:ind w:left="0"/>
        <w:rPr>
          <w:szCs w:val="22"/>
        </w:rPr>
      </w:pPr>
    </w:p>
    <w:p w:rsidR="00EC00C9" w:rsidRPr="00B73618" w:rsidRDefault="00EC00C9" w:rsidP="00EE7E7C">
      <w:pPr>
        <w:pStyle w:val="ListParagraph"/>
        <w:widowControl/>
        <w:numPr>
          <w:ilvl w:val="1"/>
          <w:numId w:val="8"/>
        </w:numPr>
        <w:ind w:left="709"/>
        <w:rPr>
          <w:szCs w:val="22"/>
        </w:rPr>
      </w:pPr>
      <w:r w:rsidRPr="00B73618">
        <w:rPr>
          <w:szCs w:val="22"/>
        </w:rPr>
        <w:t xml:space="preserve">A summary of the comparative benefits and harms for </w:t>
      </w:r>
      <w:r w:rsidR="0041040A" w:rsidRPr="00B73618">
        <w:rPr>
          <w:szCs w:val="22"/>
        </w:rPr>
        <w:t xml:space="preserve">sucroferric oxyhydroxide </w:t>
      </w:r>
      <w:r w:rsidRPr="00B73618">
        <w:rPr>
          <w:szCs w:val="22"/>
        </w:rPr>
        <w:t xml:space="preserve">versus </w:t>
      </w:r>
      <w:r w:rsidR="0041040A" w:rsidRPr="00B73618">
        <w:rPr>
          <w:szCs w:val="22"/>
        </w:rPr>
        <w:t>sevelamer</w:t>
      </w:r>
      <w:r w:rsidR="000B656A" w:rsidRPr="00B73618">
        <w:rPr>
          <w:szCs w:val="22"/>
        </w:rPr>
        <w:t xml:space="preserve"> </w:t>
      </w:r>
      <w:r w:rsidRPr="00B73618">
        <w:rPr>
          <w:szCs w:val="22"/>
        </w:rPr>
        <w:t>is presented in the table below.</w:t>
      </w:r>
      <w:r w:rsidR="00410708" w:rsidRPr="00B73618">
        <w:rPr>
          <w:szCs w:val="22"/>
        </w:rPr>
        <w:t xml:space="preserve"> </w:t>
      </w:r>
    </w:p>
    <w:p w:rsidR="007430E5" w:rsidRPr="00B73618" w:rsidRDefault="007430E5" w:rsidP="007430E5">
      <w:pPr>
        <w:pStyle w:val="PBACHeading1"/>
        <w:numPr>
          <w:ilvl w:val="0"/>
          <w:numId w:val="0"/>
        </w:numPr>
        <w:ind w:left="720"/>
      </w:pPr>
    </w:p>
    <w:p w:rsidR="00162913" w:rsidRPr="00B73618" w:rsidRDefault="007430E5" w:rsidP="007430E5">
      <w:pPr>
        <w:ind w:left="720"/>
      </w:pPr>
      <w:r w:rsidRPr="00B73618">
        <w:rPr>
          <w:rStyle w:val="CommentReference"/>
        </w:rPr>
        <w:t xml:space="preserve">Summary of comparative benefits and harms for </w:t>
      </w:r>
      <w:r w:rsidRPr="00B73618">
        <w:rPr>
          <w:rFonts w:ascii="Arial Narrow" w:hAnsi="Arial Narrow"/>
          <w:b/>
          <w:sz w:val="20"/>
          <w:szCs w:val="16"/>
        </w:rPr>
        <w:t xml:space="preserve">sucroferric oxyhydroxide </w:t>
      </w:r>
      <w:r w:rsidRPr="00B73618">
        <w:rPr>
          <w:rStyle w:val="CommentReference"/>
        </w:rPr>
        <w:t xml:space="preserve">and </w:t>
      </w:r>
      <w:r w:rsidRPr="00B73618">
        <w:rPr>
          <w:rFonts w:ascii="Arial Narrow" w:hAnsi="Arial Narrow"/>
          <w:b/>
          <w:sz w:val="20"/>
          <w:szCs w:val="16"/>
        </w:rPr>
        <w:t>sevelamer</w:t>
      </w:r>
      <w:r w:rsidR="00D44578" w:rsidRPr="00B73618">
        <w:rPr>
          <w:rFonts w:ascii="Arial Narrow" w:hAnsi="Arial Narrow"/>
          <w:b/>
          <w:sz w:val="20"/>
          <w:szCs w:val="16"/>
        </w:rPr>
        <w:t xml:space="preserve"> (trial PA-CL-05A)</w:t>
      </w:r>
      <w:r w:rsidRPr="00B73618">
        <w:rPr>
          <w:rFonts w:ascii="Arial Narrow" w:hAnsi="Arial Narrow"/>
          <w:b/>
          <w:sz w:val="20"/>
          <w:szCs w:val="16"/>
        </w:rPr>
        <w:t>.</w:t>
      </w:r>
    </w:p>
    <w:tbl>
      <w:tblPr>
        <w:tblStyle w:val="TableGrid"/>
        <w:tblW w:w="4614" w:type="pct"/>
        <w:tblInd w:w="720" w:type="dxa"/>
        <w:tblLayout w:type="fixed"/>
        <w:tblCellMar>
          <w:left w:w="28" w:type="dxa"/>
          <w:right w:w="28" w:type="dxa"/>
        </w:tblCellMar>
        <w:tblLook w:val="04A0" w:firstRow="1" w:lastRow="0" w:firstColumn="1" w:lastColumn="0" w:noHBand="0" w:noVBand="1"/>
      </w:tblPr>
      <w:tblGrid>
        <w:gridCol w:w="1164"/>
        <w:gridCol w:w="583"/>
        <w:gridCol w:w="637"/>
        <w:gridCol w:w="1204"/>
        <w:gridCol w:w="119"/>
        <w:gridCol w:w="655"/>
        <w:gridCol w:w="355"/>
        <w:gridCol w:w="1349"/>
        <w:gridCol w:w="334"/>
        <w:gridCol w:w="578"/>
        <w:gridCol w:w="441"/>
        <w:gridCol w:w="962"/>
      </w:tblGrid>
      <w:tr w:rsidR="00D44578" w:rsidRPr="00B73618" w:rsidTr="00836C64">
        <w:trPr>
          <w:trHeight w:val="225"/>
        </w:trPr>
        <w:tc>
          <w:tcPr>
            <w:tcW w:w="694" w:type="pct"/>
            <w:vMerge w:val="restart"/>
            <w:shd w:val="clear" w:color="auto" w:fill="auto"/>
            <w:vAlign w:val="center"/>
          </w:tcPr>
          <w:p w:rsidR="007430E5" w:rsidRPr="00B73618" w:rsidRDefault="00D44578" w:rsidP="007430E5">
            <w:pPr>
              <w:rPr>
                <w:rFonts w:ascii="Arial Narrow" w:hAnsi="Arial Narrow"/>
                <w:sz w:val="20"/>
              </w:rPr>
            </w:pPr>
            <w:r w:rsidRPr="00B73618">
              <w:rPr>
                <w:rFonts w:ascii="Arial Narrow" w:hAnsi="Arial Narrow"/>
                <w:b/>
                <w:color w:val="000000"/>
                <w:sz w:val="20"/>
                <w:szCs w:val="18"/>
              </w:rPr>
              <w:t>Outcome</w:t>
            </w:r>
          </w:p>
        </w:tc>
        <w:tc>
          <w:tcPr>
            <w:tcW w:w="348" w:type="pct"/>
            <w:vMerge w:val="restart"/>
            <w:vAlign w:val="center"/>
          </w:tcPr>
          <w:p w:rsidR="007430E5" w:rsidRPr="00B73618" w:rsidRDefault="007430E5" w:rsidP="007430E5">
            <w:pPr>
              <w:jc w:val="center"/>
              <w:rPr>
                <w:rFonts w:ascii="Arial Narrow" w:hAnsi="Arial Narrow"/>
                <w:sz w:val="20"/>
              </w:rPr>
            </w:pPr>
            <w:r w:rsidRPr="00B73618">
              <w:rPr>
                <w:rFonts w:ascii="Arial Narrow" w:hAnsi="Arial Narrow"/>
                <w:b/>
                <w:sz w:val="20"/>
              </w:rPr>
              <w:t>N</w:t>
            </w:r>
          </w:p>
        </w:tc>
        <w:tc>
          <w:tcPr>
            <w:tcW w:w="1560" w:type="pct"/>
            <w:gridSpan w:val="4"/>
            <w:vAlign w:val="center"/>
          </w:tcPr>
          <w:p w:rsidR="007430E5" w:rsidRPr="00B73618" w:rsidRDefault="007430E5" w:rsidP="007430E5">
            <w:pPr>
              <w:jc w:val="center"/>
              <w:rPr>
                <w:rFonts w:ascii="Arial Narrow" w:hAnsi="Arial Narrow"/>
                <w:sz w:val="20"/>
              </w:rPr>
            </w:pPr>
            <w:r w:rsidRPr="00B73618">
              <w:rPr>
                <w:rFonts w:ascii="Arial Narrow" w:hAnsi="Arial Narrow"/>
                <w:b/>
                <w:sz w:val="20"/>
              </w:rPr>
              <w:t>Sucroferric oxyhydroxide</w:t>
            </w:r>
          </w:p>
        </w:tc>
        <w:tc>
          <w:tcPr>
            <w:tcW w:w="1561" w:type="pct"/>
            <w:gridSpan w:val="4"/>
            <w:vAlign w:val="center"/>
          </w:tcPr>
          <w:p w:rsidR="007430E5" w:rsidRPr="00B73618" w:rsidRDefault="007430E5" w:rsidP="007430E5">
            <w:pPr>
              <w:jc w:val="center"/>
              <w:rPr>
                <w:rFonts w:ascii="Arial Narrow" w:hAnsi="Arial Narrow"/>
                <w:sz w:val="20"/>
              </w:rPr>
            </w:pPr>
            <w:r w:rsidRPr="00B73618">
              <w:rPr>
                <w:rFonts w:ascii="Arial Narrow" w:hAnsi="Arial Narrow"/>
                <w:b/>
                <w:sz w:val="20"/>
              </w:rPr>
              <w:t>Sevelamer carbonate</w:t>
            </w:r>
          </w:p>
        </w:tc>
        <w:tc>
          <w:tcPr>
            <w:tcW w:w="837" w:type="pct"/>
            <w:gridSpan w:val="2"/>
            <w:vMerge w:val="restart"/>
            <w:vAlign w:val="center"/>
          </w:tcPr>
          <w:p w:rsidR="007430E5" w:rsidRPr="00B73618" w:rsidRDefault="007430E5" w:rsidP="007430E5">
            <w:pPr>
              <w:jc w:val="center"/>
              <w:rPr>
                <w:rFonts w:ascii="Arial Narrow" w:hAnsi="Arial Narrow"/>
                <w:b/>
                <w:sz w:val="20"/>
              </w:rPr>
            </w:pPr>
            <w:r w:rsidRPr="00B73618">
              <w:rPr>
                <w:rFonts w:ascii="Arial Narrow" w:hAnsi="Arial Narrow"/>
                <w:b/>
                <w:sz w:val="20"/>
              </w:rPr>
              <w:t>Mean difference:</w:t>
            </w:r>
          </w:p>
          <w:p w:rsidR="007430E5" w:rsidRPr="00B73618" w:rsidRDefault="007430E5" w:rsidP="007430E5">
            <w:pPr>
              <w:jc w:val="center"/>
              <w:rPr>
                <w:rFonts w:ascii="Arial Narrow" w:hAnsi="Arial Narrow"/>
                <w:b/>
                <w:sz w:val="20"/>
              </w:rPr>
            </w:pPr>
            <w:r w:rsidRPr="00B73618">
              <w:rPr>
                <w:rFonts w:ascii="Arial Narrow" w:hAnsi="Arial Narrow"/>
                <w:b/>
                <w:sz w:val="20"/>
              </w:rPr>
              <w:t>(95% CI)</w:t>
            </w:r>
          </w:p>
        </w:tc>
      </w:tr>
      <w:tr w:rsidR="00D44578" w:rsidRPr="00B73618" w:rsidTr="00836C64">
        <w:trPr>
          <w:trHeight w:val="225"/>
        </w:trPr>
        <w:tc>
          <w:tcPr>
            <w:tcW w:w="694" w:type="pct"/>
            <w:vMerge/>
            <w:shd w:val="clear" w:color="auto" w:fill="auto"/>
            <w:vAlign w:val="center"/>
          </w:tcPr>
          <w:p w:rsidR="007430E5" w:rsidRPr="00B73618" w:rsidRDefault="007430E5" w:rsidP="007430E5">
            <w:pPr>
              <w:rPr>
                <w:rFonts w:ascii="Arial Narrow" w:hAnsi="Arial Narrow"/>
                <w:sz w:val="20"/>
              </w:rPr>
            </w:pPr>
          </w:p>
        </w:tc>
        <w:tc>
          <w:tcPr>
            <w:tcW w:w="348" w:type="pct"/>
            <w:vMerge/>
            <w:vAlign w:val="center"/>
          </w:tcPr>
          <w:p w:rsidR="007430E5" w:rsidRPr="00B73618" w:rsidRDefault="007430E5" w:rsidP="007430E5">
            <w:pPr>
              <w:jc w:val="center"/>
              <w:rPr>
                <w:rFonts w:ascii="Arial Narrow" w:hAnsi="Arial Narrow"/>
                <w:b/>
                <w:sz w:val="20"/>
              </w:rPr>
            </w:pPr>
          </w:p>
        </w:tc>
        <w:tc>
          <w:tcPr>
            <w:tcW w:w="1169" w:type="pct"/>
            <w:gridSpan w:val="3"/>
            <w:vAlign w:val="center"/>
          </w:tcPr>
          <w:p w:rsidR="007430E5" w:rsidRPr="00B73618" w:rsidRDefault="007430E5" w:rsidP="007430E5">
            <w:pPr>
              <w:jc w:val="center"/>
              <w:rPr>
                <w:rFonts w:ascii="Arial Narrow" w:hAnsi="Arial Narrow"/>
                <w:b/>
                <w:sz w:val="20"/>
              </w:rPr>
            </w:pPr>
            <w:r w:rsidRPr="00B73618">
              <w:rPr>
                <w:rFonts w:ascii="Arial Narrow" w:hAnsi="Arial Narrow"/>
                <w:b/>
                <w:sz w:val="20"/>
              </w:rPr>
              <w:t>LS mean change serum phosphorus</w:t>
            </w:r>
          </w:p>
        </w:tc>
        <w:tc>
          <w:tcPr>
            <w:tcW w:w="391" w:type="pct"/>
            <w:vAlign w:val="center"/>
          </w:tcPr>
          <w:p w:rsidR="007430E5" w:rsidRPr="00B73618" w:rsidRDefault="007430E5" w:rsidP="007430E5">
            <w:pPr>
              <w:jc w:val="center"/>
              <w:rPr>
                <w:rFonts w:ascii="Arial Narrow" w:hAnsi="Arial Narrow"/>
                <w:b/>
                <w:sz w:val="20"/>
              </w:rPr>
            </w:pPr>
            <w:r w:rsidRPr="00B73618">
              <w:rPr>
                <w:rFonts w:ascii="Arial Narrow" w:hAnsi="Arial Narrow"/>
                <w:b/>
                <w:sz w:val="20"/>
              </w:rPr>
              <w:t>SE</w:t>
            </w:r>
          </w:p>
        </w:tc>
        <w:tc>
          <w:tcPr>
            <w:tcW w:w="1216" w:type="pct"/>
            <w:gridSpan w:val="3"/>
            <w:vAlign w:val="center"/>
          </w:tcPr>
          <w:p w:rsidR="007430E5" w:rsidRPr="00B73618" w:rsidRDefault="007430E5" w:rsidP="007430E5">
            <w:pPr>
              <w:jc w:val="center"/>
              <w:rPr>
                <w:rFonts w:ascii="Arial Narrow" w:hAnsi="Arial Narrow"/>
                <w:b/>
                <w:sz w:val="20"/>
              </w:rPr>
            </w:pPr>
            <w:r w:rsidRPr="00B73618">
              <w:rPr>
                <w:rFonts w:ascii="Arial Narrow" w:hAnsi="Arial Narrow"/>
                <w:b/>
                <w:sz w:val="20"/>
              </w:rPr>
              <w:t>LS mean change serum phosphorus</w:t>
            </w:r>
          </w:p>
        </w:tc>
        <w:tc>
          <w:tcPr>
            <w:tcW w:w="345" w:type="pct"/>
            <w:vAlign w:val="center"/>
          </w:tcPr>
          <w:p w:rsidR="007430E5" w:rsidRPr="00B73618" w:rsidRDefault="007430E5" w:rsidP="007430E5">
            <w:pPr>
              <w:jc w:val="center"/>
              <w:rPr>
                <w:rFonts w:ascii="Arial Narrow" w:hAnsi="Arial Narrow"/>
                <w:b/>
                <w:sz w:val="20"/>
              </w:rPr>
            </w:pPr>
            <w:r w:rsidRPr="00B73618">
              <w:rPr>
                <w:rFonts w:ascii="Arial Narrow" w:hAnsi="Arial Narrow"/>
                <w:b/>
                <w:sz w:val="20"/>
              </w:rPr>
              <w:t>SE</w:t>
            </w:r>
          </w:p>
        </w:tc>
        <w:tc>
          <w:tcPr>
            <w:tcW w:w="837" w:type="pct"/>
            <w:gridSpan w:val="2"/>
            <w:vMerge/>
            <w:vAlign w:val="center"/>
          </w:tcPr>
          <w:p w:rsidR="007430E5" w:rsidRPr="00B73618" w:rsidRDefault="007430E5" w:rsidP="007430E5">
            <w:pPr>
              <w:jc w:val="center"/>
              <w:rPr>
                <w:rFonts w:ascii="Arial Narrow" w:hAnsi="Arial Narrow"/>
                <w:b/>
                <w:sz w:val="20"/>
              </w:rPr>
            </w:pPr>
          </w:p>
        </w:tc>
      </w:tr>
      <w:tr w:rsidR="007430E5" w:rsidRPr="00B73618" w:rsidTr="007430E5">
        <w:tc>
          <w:tcPr>
            <w:tcW w:w="5000" w:type="pct"/>
            <w:gridSpan w:val="12"/>
            <w:shd w:val="clear" w:color="auto" w:fill="auto"/>
            <w:vAlign w:val="center"/>
          </w:tcPr>
          <w:p w:rsidR="007430E5" w:rsidRPr="00B73618" w:rsidRDefault="007430E5" w:rsidP="007430E5">
            <w:pPr>
              <w:jc w:val="left"/>
              <w:rPr>
                <w:rFonts w:ascii="Arial Narrow" w:hAnsi="Arial Narrow"/>
                <w:sz w:val="20"/>
              </w:rPr>
            </w:pPr>
            <w:r w:rsidRPr="00B73618">
              <w:rPr>
                <w:rFonts w:ascii="Arial Narrow" w:hAnsi="Arial Narrow"/>
                <w:b/>
                <w:color w:val="000000"/>
                <w:sz w:val="20"/>
                <w:szCs w:val="18"/>
              </w:rPr>
              <w:t>Benefits</w:t>
            </w:r>
          </w:p>
        </w:tc>
      </w:tr>
      <w:tr w:rsidR="007430E5" w:rsidRPr="00B73618" w:rsidTr="007430E5">
        <w:tc>
          <w:tcPr>
            <w:tcW w:w="5000" w:type="pct"/>
            <w:gridSpan w:val="12"/>
            <w:tcBorders>
              <w:bottom w:val="single" w:sz="4" w:space="0" w:color="auto"/>
            </w:tcBorders>
            <w:shd w:val="clear" w:color="auto" w:fill="auto"/>
            <w:vAlign w:val="center"/>
          </w:tcPr>
          <w:p w:rsidR="007430E5" w:rsidRPr="00B73618" w:rsidRDefault="007430E5" w:rsidP="0033597B">
            <w:pPr>
              <w:jc w:val="left"/>
              <w:rPr>
                <w:rFonts w:ascii="Arial Narrow" w:hAnsi="Arial Narrow"/>
                <w:sz w:val="20"/>
              </w:rPr>
            </w:pPr>
            <w:r w:rsidRPr="00B73618">
              <w:rPr>
                <w:rFonts w:ascii="Arial Narrow" w:hAnsi="Arial Narrow"/>
                <w:b/>
                <w:color w:val="000000"/>
                <w:sz w:val="20"/>
                <w:szCs w:val="18"/>
              </w:rPr>
              <w:t>L</w:t>
            </w:r>
            <w:r w:rsidR="0033597B" w:rsidRPr="00B73618">
              <w:rPr>
                <w:rFonts w:ascii="Arial Narrow" w:hAnsi="Arial Narrow"/>
                <w:b/>
                <w:color w:val="000000"/>
                <w:sz w:val="20"/>
                <w:szCs w:val="18"/>
              </w:rPr>
              <w:t>east squares</w:t>
            </w:r>
            <w:r w:rsidRPr="00B73618">
              <w:rPr>
                <w:rFonts w:ascii="Arial Narrow" w:hAnsi="Arial Narrow"/>
                <w:b/>
                <w:color w:val="000000"/>
                <w:sz w:val="20"/>
                <w:szCs w:val="18"/>
              </w:rPr>
              <w:t xml:space="preserve"> mean change in serum phosphorus levels (mmol/L) from baseline to week 12</w:t>
            </w:r>
          </w:p>
        </w:tc>
      </w:tr>
      <w:tr w:rsidR="00EF1172" w:rsidRPr="00B73618" w:rsidTr="00836C64">
        <w:tc>
          <w:tcPr>
            <w:tcW w:w="694" w:type="pct"/>
            <w:tcBorders>
              <w:bottom w:val="double" w:sz="4" w:space="0" w:color="auto"/>
            </w:tcBorders>
            <w:shd w:val="clear" w:color="auto" w:fill="auto"/>
            <w:vAlign w:val="center"/>
          </w:tcPr>
          <w:p w:rsidR="007430E5" w:rsidRPr="00B73618" w:rsidRDefault="007430E5" w:rsidP="00D44578">
            <w:pPr>
              <w:jc w:val="left"/>
              <w:rPr>
                <w:rFonts w:ascii="Arial Narrow" w:hAnsi="Arial Narrow"/>
                <w:sz w:val="20"/>
              </w:rPr>
            </w:pPr>
            <w:r w:rsidRPr="00B73618">
              <w:rPr>
                <w:rFonts w:ascii="Arial Narrow" w:hAnsi="Arial Narrow"/>
                <w:sz w:val="20"/>
              </w:rPr>
              <w:t>Per protocol</w:t>
            </w:r>
            <w:r w:rsidR="00D44578" w:rsidRPr="00B73618">
              <w:rPr>
                <w:rFonts w:ascii="Arial Narrow" w:hAnsi="Arial Narrow"/>
                <w:sz w:val="20"/>
              </w:rPr>
              <w:t xml:space="preserve"> set</w:t>
            </w:r>
          </w:p>
        </w:tc>
        <w:tc>
          <w:tcPr>
            <w:tcW w:w="348" w:type="pct"/>
            <w:tcBorders>
              <w:bottom w:val="double" w:sz="4" w:space="0" w:color="auto"/>
            </w:tcBorders>
            <w:vAlign w:val="center"/>
          </w:tcPr>
          <w:p w:rsidR="007430E5" w:rsidRPr="00B73618" w:rsidRDefault="007430E5" w:rsidP="007430E5">
            <w:pPr>
              <w:jc w:val="center"/>
              <w:rPr>
                <w:rFonts w:ascii="Arial Narrow" w:hAnsi="Arial Narrow"/>
                <w:sz w:val="20"/>
              </w:rPr>
            </w:pPr>
            <w:r w:rsidRPr="00B73618">
              <w:rPr>
                <w:rFonts w:ascii="Arial Narrow" w:hAnsi="Arial Narrow"/>
                <w:sz w:val="20"/>
              </w:rPr>
              <w:t>685</w:t>
            </w:r>
          </w:p>
        </w:tc>
        <w:tc>
          <w:tcPr>
            <w:tcW w:w="1169" w:type="pct"/>
            <w:gridSpan w:val="3"/>
            <w:tcBorders>
              <w:bottom w:val="double" w:sz="4" w:space="0" w:color="auto"/>
            </w:tcBorders>
            <w:vAlign w:val="center"/>
          </w:tcPr>
          <w:p w:rsidR="007430E5" w:rsidRPr="00B73618" w:rsidRDefault="007430E5" w:rsidP="007430E5">
            <w:pPr>
              <w:jc w:val="center"/>
              <w:rPr>
                <w:rFonts w:ascii="Arial Narrow" w:hAnsi="Arial Narrow"/>
                <w:sz w:val="20"/>
              </w:rPr>
            </w:pPr>
            <w:r w:rsidRPr="00B73618">
              <w:rPr>
                <w:rFonts w:ascii="Arial Narrow" w:hAnsi="Arial Narrow"/>
                <w:sz w:val="20"/>
              </w:rPr>
              <w:t>-0.71</w:t>
            </w:r>
          </w:p>
        </w:tc>
        <w:tc>
          <w:tcPr>
            <w:tcW w:w="391" w:type="pct"/>
            <w:tcBorders>
              <w:bottom w:val="double" w:sz="4" w:space="0" w:color="auto"/>
            </w:tcBorders>
            <w:vAlign w:val="center"/>
          </w:tcPr>
          <w:p w:rsidR="007430E5" w:rsidRPr="00B73618" w:rsidRDefault="007430E5" w:rsidP="007430E5">
            <w:pPr>
              <w:jc w:val="center"/>
              <w:rPr>
                <w:rFonts w:ascii="Arial Narrow" w:hAnsi="Arial Narrow"/>
                <w:sz w:val="20"/>
              </w:rPr>
            </w:pPr>
            <w:r w:rsidRPr="00B73618">
              <w:rPr>
                <w:rFonts w:ascii="Arial Narrow" w:hAnsi="Arial Narrow"/>
                <w:sz w:val="20"/>
              </w:rPr>
              <w:t>0.03</w:t>
            </w:r>
          </w:p>
        </w:tc>
        <w:tc>
          <w:tcPr>
            <w:tcW w:w="1216" w:type="pct"/>
            <w:gridSpan w:val="3"/>
            <w:tcBorders>
              <w:bottom w:val="double" w:sz="4" w:space="0" w:color="auto"/>
            </w:tcBorders>
            <w:vAlign w:val="center"/>
          </w:tcPr>
          <w:p w:rsidR="007430E5" w:rsidRPr="00B73618" w:rsidRDefault="007430E5" w:rsidP="007430E5">
            <w:pPr>
              <w:jc w:val="center"/>
              <w:rPr>
                <w:rFonts w:ascii="Arial Narrow" w:hAnsi="Arial Narrow"/>
                <w:sz w:val="20"/>
              </w:rPr>
            </w:pPr>
            <w:r w:rsidRPr="00B73618">
              <w:rPr>
                <w:rFonts w:ascii="Arial Narrow" w:hAnsi="Arial Narrow"/>
                <w:sz w:val="20"/>
              </w:rPr>
              <w:t>-0.79</w:t>
            </w:r>
          </w:p>
        </w:tc>
        <w:tc>
          <w:tcPr>
            <w:tcW w:w="345" w:type="pct"/>
            <w:tcBorders>
              <w:bottom w:val="double" w:sz="4" w:space="0" w:color="auto"/>
            </w:tcBorders>
            <w:vAlign w:val="center"/>
          </w:tcPr>
          <w:p w:rsidR="007430E5" w:rsidRPr="00B73618" w:rsidRDefault="007430E5" w:rsidP="007430E5">
            <w:pPr>
              <w:jc w:val="center"/>
              <w:rPr>
                <w:rFonts w:ascii="Arial Narrow" w:hAnsi="Arial Narrow"/>
                <w:sz w:val="20"/>
              </w:rPr>
            </w:pPr>
            <w:r w:rsidRPr="00B73618">
              <w:rPr>
                <w:rFonts w:ascii="Arial Narrow" w:hAnsi="Arial Narrow"/>
                <w:sz w:val="20"/>
              </w:rPr>
              <w:t>0.03</w:t>
            </w:r>
          </w:p>
        </w:tc>
        <w:tc>
          <w:tcPr>
            <w:tcW w:w="837" w:type="pct"/>
            <w:gridSpan w:val="2"/>
            <w:tcBorders>
              <w:bottom w:val="double" w:sz="4" w:space="0" w:color="auto"/>
            </w:tcBorders>
            <w:vAlign w:val="center"/>
          </w:tcPr>
          <w:p w:rsidR="007430E5" w:rsidRPr="00B73618" w:rsidRDefault="007430E5" w:rsidP="007430E5">
            <w:pPr>
              <w:jc w:val="center"/>
              <w:rPr>
                <w:rFonts w:ascii="Arial Narrow" w:hAnsi="Arial Narrow"/>
                <w:sz w:val="20"/>
              </w:rPr>
            </w:pPr>
            <w:r w:rsidRPr="00B73618">
              <w:rPr>
                <w:rFonts w:ascii="Arial Narrow" w:hAnsi="Arial Narrow"/>
                <w:sz w:val="20"/>
              </w:rPr>
              <w:t>0.08 (-Inf, 0.15)</w:t>
            </w:r>
          </w:p>
        </w:tc>
      </w:tr>
      <w:tr w:rsidR="00EF1172" w:rsidRPr="00B73618" w:rsidTr="009C6311">
        <w:trPr>
          <w:trHeight w:val="150"/>
        </w:trPr>
        <w:tc>
          <w:tcPr>
            <w:tcW w:w="694" w:type="pct"/>
            <w:vMerge w:val="restart"/>
            <w:tcBorders>
              <w:top w:val="double" w:sz="4" w:space="0" w:color="auto"/>
            </w:tcBorders>
            <w:shd w:val="clear" w:color="auto" w:fill="auto"/>
            <w:vAlign w:val="center"/>
          </w:tcPr>
          <w:p w:rsidR="00B62715" w:rsidRPr="00B73618" w:rsidRDefault="00EF1172" w:rsidP="00EC00C9">
            <w:pPr>
              <w:rPr>
                <w:rFonts w:ascii="Arial Narrow" w:hAnsi="Arial Narrow"/>
                <w:b/>
                <w:color w:val="000000"/>
                <w:sz w:val="20"/>
                <w:szCs w:val="18"/>
              </w:rPr>
            </w:pPr>
            <w:r w:rsidRPr="00B73618">
              <w:rPr>
                <w:rFonts w:ascii="Arial Narrow" w:hAnsi="Arial Narrow"/>
                <w:b/>
                <w:color w:val="000000"/>
                <w:sz w:val="20"/>
                <w:szCs w:val="18"/>
              </w:rPr>
              <w:t>Outcome</w:t>
            </w:r>
          </w:p>
        </w:tc>
        <w:tc>
          <w:tcPr>
            <w:tcW w:w="728" w:type="pct"/>
            <w:gridSpan w:val="2"/>
            <w:vMerge w:val="restart"/>
            <w:tcBorders>
              <w:top w:val="double" w:sz="4" w:space="0" w:color="auto"/>
            </w:tcBorders>
            <w:vAlign w:val="center"/>
          </w:tcPr>
          <w:p w:rsidR="00B62715" w:rsidRPr="00B73618" w:rsidRDefault="007430E5" w:rsidP="00EC00C9">
            <w:pPr>
              <w:jc w:val="center"/>
              <w:rPr>
                <w:rFonts w:ascii="Arial Narrow" w:hAnsi="Arial Narrow"/>
                <w:b/>
                <w:color w:val="000000"/>
                <w:sz w:val="20"/>
                <w:szCs w:val="18"/>
              </w:rPr>
            </w:pPr>
            <w:r w:rsidRPr="00B73618">
              <w:rPr>
                <w:rFonts w:ascii="Arial Narrow" w:hAnsi="Arial Narrow"/>
                <w:b/>
                <w:color w:val="000000"/>
                <w:sz w:val="20"/>
                <w:szCs w:val="18"/>
              </w:rPr>
              <w:t>S</w:t>
            </w:r>
            <w:r w:rsidR="00165B50" w:rsidRPr="00B73618">
              <w:rPr>
                <w:rFonts w:ascii="Arial Narrow" w:hAnsi="Arial Narrow"/>
                <w:b/>
                <w:color w:val="000000"/>
                <w:sz w:val="20"/>
                <w:szCs w:val="18"/>
              </w:rPr>
              <w:t>ucroferric oxyhydroxide</w:t>
            </w:r>
          </w:p>
        </w:tc>
        <w:tc>
          <w:tcPr>
            <w:tcW w:w="718" w:type="pct"/>
            <w:vMerge w:val="restart"/>
            <w:tcBorders>
              <w:top w:val="double" w:sz="4" w:space="0" w:color="auto"/>
            </w:tcBorders>
            <w:vAlign w:val="center"/>
          </w:tcPr>
          <w:p w:rsidR="00B62715" w:rsidRPr="00B73618" w:rsidRDefault="007430E5" w:rsidP="0088500F">
            <w:pPr>
              <w:jc w:val="center"/>
              <w:rPr>
                <w:rFonts w:ascii="Arial Narrow" w:hAnsi="Arial Narrow"/>
                <w:b/>
                <w:color w:val="000000"/>
                <w:sz w:val="20"/>
                <w:szCs w:val="18"/>
              </w:rPr>
            </w:pPr>
            <w:r w:rsidRPr="00B73618">
              <w:rPr>
                <w:rFonts w:ascii="Arial Narrow" w:hAnsi="Arial Narrow"/>
                <w:b/>
                <w:color w:val="000000"/>
                <w:sz w:val="20"/>
                <w:szCs w:val="18"/>
              </w:rPr>
              <w:t>S</w:t>
            </w:r>
            <w:r w:rsidR="00165B50" w:rsidRPr="00B73618">
              <w:rPr>
                <w:rFonts w:ascii="Arial Narrow" w:hAnsi="Arial Narrow"/>
                <w:b/>
                <w:color w:val="000000"/>
                <w:sz w:val="20"/>
                <w:szCs w:val="18"/>
              </w:rPr>
              <w:t>evelamer</w:t>
            </w:r>
            <w:r w:rsidRPr="00B73618">
              <w:rPr>
                <w:rFonts w:ascii="Arial Narrow" w:hAnsi="Arial Narrow"/>
                <w:b/>
                <w:color w:val="000000"/>
                <w:sz w:val="20"/>
                <w:szCs w:val="18"/>
              </w:rPr>
              <w:t xml:space="preserve"> </w:t>
            </w:r>
            <w:r w:rsidR="0088500F" w:rsidRPr="00B73618">
              <w:rPr>
                <w:rFonts w:ascii="Arial Narrow" w:hAnsi="Arial Narrow"/>
                <w:b/>
                <w:color w:val="000000"/>
                <w:sz w:val="20"/>
                <w:szCs w:val="18"/>
              </w:rPr>
              <w:t>carbonate</w:t>
            </w:r>
          </w:p>
        </w:tc>
        <w:tc>
          <w:tcPr>
            <w:tcW w:w="674" w:type="pct"/>
            <w:gridSpan w:val="3"/>
            <w:vMerge w:val="restart"/>
            <w:tcBorders>
              <w:top w:val="double" w:sz="4" w:space="0" w:color="auto"/>
            </w:tcBorders>
            <w:vAlign w:val="center"/>
          </w:tcPr>
          <w:p w:rsidR="00B62715" w:rsidRPr="00B73618" w:rsidRDefault="00D44578" w:rsidP="00EC00C9">
            <w:pPr>
              <w:jc w:val="center"/>
              <w:rPr>
                <w:rFonts w:ascii="Arial Narrow" w:hAnsi="Arial Narrow"/>
                <w:b/>
                <w:color w:val="000000"/>
                <w:sz w:val="20"/>
                <w:szCs w:val="18"/>
              </w:rPr>
            </w:pPr>
            <w:r w:rsidRPr="00B73618">
              <w:rPr>
                <w:rFonts w:ascii="Arial Narrow" w:hAnsi="Arial Narrow"/>
                <w:b/>
                <w:color w:val="000000"/>
                <w:sz w:val="20"/>
                <w:szCs w:val="18"/>
              </w:rPr>
              <w:t>Odds ratio</w:t>
            </w:r>
          </w:p>
          <w:p w:rsidR="00B62715" w:rsidRPr="00B73618" w:rsidRDefault="00B62715" w:rsidP="00EC00C9">
            <w:pPr>
              <w:jc w:val="center"/>
              <w:rPr>
                <w:rFonts w:ascii="Arial Narrow" w:hAnsi="Arial Narrow"/>
                <w:b/>
                <w:color w:val="000000"/>
                <w:sz w:val="20"/>
                <w:szCs w:val="18"/>
              </w:rPr>
            </w:pPr>
            <w:r w:rsidRPr="00B73618">
              <w:rPr>
                <w:rFonts w:ascii="Arial Narrow" w:hAnsi="Arial Narrow"/>
                <w:b/>
                <w:color w:val="000000"/>
                <w:sz w:val="20"/>
                <w:szCs w:val="18"/>
              </w:rPr>
              <w:t>(95% CI)</w:t>
            </w:r>
          </w:p>
        </w:tc>
        <w:tc>
          <w:tcPr>
            <w:tcW w:w="1612" w:type="pct"/>
            <w:gridSpan w:val="4"/>
            <w:tcBorders>
              <w:top w:val="double" w:sz="4" w:space="0" w:color="auto"/>
            </w:tcBorders>
            <w:vAlign w:val="center"/>
          </w:tcPr>
          <w:p w:rsidR="00B62715" w:rsidRPr="00B73618" w:rsidRDefault="00D44578" w:rsidP="00EC00C9">
            <w:pPr>
              <w:jc w:val="center"/>
              <w:rPr>
                <w:rFonts w:ascii="Arial Narrow" w:hAnsi="Arial Narrow"/>
                <w:b/>
                <w:color w:val="000000"/>
                <w:sz w:val="20"/>
                <w:szCs w:val="18"/>
              </w:rPr>
            </w:pPr>
            <w:r w:rsidRPr="00B73618">
              <w:rPr>
                <w:rFonts w:ascii="Arial Narrow" w:hAnsi="Arial Narrow"/>
                <w:b/>
                <w:color w:val="000000"/>
                <w:sz w:val="20"/>
                <w:szCs w:val="18"/>
              </w:rPr>
              <w:t>Event rate/100 patients</w:t>
            </w:r>
            <w:r w:rsidR="00B62715" w:rsidRPr="00B73618">
              <w:rPr>
                <w:rFonts w:ascii="Arial Narrow" w:hAnsi="Arial Narrow"/>
                <w:b/>
                <w:color w:val="000000"/>
                <w:sz w:val="20"/>
                <w:szCs w:val="18"/>
              </w:rPr>
              <w:t xml:space="preserve"> </w:t>
            </w:r>
          </w:p>
        </w:tc>
        <w:tc>
          <w:tcPr>
            <w:tcW w:w="574" w:type="pct"/>
            <w:vMerge w:val="restart"/>
            <w:tcBorders>
              <w:top w:val="double" w:sz="4" w:space="0" w:color="auto"/>
            </w:tcBorders>
            <w:vAlign w:val="center"/>
          </w:tcPr>
          <w:p w:rsidR="00B62715" w:rsidRPr="00B73618" w:rsidRDefault="00B62715" w:rsidP="00EC00C9">
            <w:pPr>
              <w:jc w:val="center"/>
              <w:rPr>
                <w:rFonts w:ascii="Arial Narrow" w:hAnsi="Arial Narrow"/>
                <w:b/>
                <w:color w:val="000000"/>
                <w:sz w:val="20"/>
                <w:szCs w:val="18"/>
              </w:rPr>
            </w:pPr>
            <w:r w:rsidRPr="00B73618">
              <w:rPr>
                <w:rFonts w:ascii="Arial Narrow" w:hAnsi="Arial Narrow"/>
                <w:b/>
                <w:color w:val="000000"/>
                <w:sz w:val="20"/>
                <w:szCs w:val="18"/>
              </w:rPr>
              <w:t>RD</w:t>
            </w:r>
          </w:p>
          <w:p w:rsidR="00B62715" w:rsidRPr="00B73618" w:rsidRDefault="00B62715" w:rsidP="00EC00C9">
            <w:pPr>
              <w:jc w:val="center"/>
              <w:rPr>
                <w:rFonts w:ascii="Arial Narrow" w:hAnsi="Arial Narrow"/>
                <w:b/>
                <w:color w:val="000000"/>
                <w:sz w:val="20"/>
                <w:szCs w:val="18"/>
              </w:rPr>
            </w:pPr>
            <w:r w:rsidRPr="00B73618">
              <w:rPr>
                <w:rFonts w:ascii="Arial Narrow" w:hAnsi="Arial Narrow"/>
                <w:b/>
                <w:color w:val="000000"/>
                <w:sz w:val="20"/>
                <w:szCs w:val="18"/>
              </w:rPr>
              <w:t>(95% CI)</w:t>
            </w:r>
          </w:p>
        </w:tc>
      </w:tr>
      <w:tr w:rsidR="00EF1172" w:rsidRPr="00B73618" w:rsidTr="009C6311">
        <w:trPr>
          <w:trHeight w:val="315"/>
        </w:trPr>
        <w:tc>
          <w:tcPr>
            <w:tcW w:w="694" w:type="pct"/>
            <w:vMerge/>
            <w:shd w:val="clear" w:color="auto" w:fill="auto"/>
            <w:vAlign w:val="center"/>
          </w:tcPr>
          <w:p w:rsidR="00B62715" w:rsidRPr="00B73618" w:rsidRDefault="00B62715" w:rsidP="00EC00C9">
            <w:pPr>
              <w:rPr>
                <w:rFonts w:ascii="Arial Narrow" w:hAnsi="Arial Narrow"/>
                <w:b/>
                <w:color w:val="000000"/>
                <w:sz w:val="20"/>
                <w:szCs w:val="18"/>
              </w:rPr>
            </w:pPr>
          </w:p>
        </w:tc>
        <w:tc>
          <w:tcPr>
            <w:tcW w:w="728" w:type="pct"/>
            <w:gridSpan w:val="2"/>
            <w:vMerge/>
            <w:vAlign w:val="center"/>
          </w:tcPr>
          <w:p w:rsidR="00B62715" w:rsidRPr="00B73618" w:rsidRDefault="00B62715" w:rsidP="00EC00C9">
            <w:pPr>
              <w:jc w:val="center"/>
              <w:rPr>
                <w:rFonts w:ascii="Arial Narrow" w:hAnsi="Arial Narrow"/>
                <w:b/>
                <w:color w:val="000000"/>
                <w:sz w:val="20"/>
                <w:szCs w:val="18"/>
              </w:rPr>
            </w:pPr>
          </w:p>
        </w:tc>
        <w:tc>
          <w:tcPr>
            <w:tcW w:w="718" w:type="pct"/>
            <w:vMerge/>
            <w:vAlign w:val="center"/>
          </w:tcPr>
          <w:p w:rsidR="00B62715" w:rsidRPr="00B73618" w:rsidRDefault="00B62715" w:rsidP="00EC00C9">
            <w:pPr>
              <w:jc w:val="center"/>
              <w:rPr>
                <w:rFonts w:ascii="Arial Narrow" w:hAnsi="Arial Narrow"/>
                <w:b/>
                <w:color w:val="000000"/>
                <w:sz w:val="20"/>
                <w:szCs w:val="18"/>
              </w:rPr>
            </w:pPr>
          </w:p>
        </w:tc>
        <w:tc>
          <w:tcPr>
            <w:tcW w:w="674" w:type="pct"/>
            <w:gridSpan w:val="3"/>
            <w:vMerge/>
            <w:vAlign w:val="center"/>
          </w:tcPr>
          <w:p w:rsidR="00B62715" w:rsidRPr="00B73618" w:rsidRDefault="00B62715" w:rsidP="00EC00C9">
            <w:pPr>
              <w:jc w:val="center"/>
              <w:rPr>
                <w:rFonts w:ascii="Arial Narrow" w:hAnsi="Arial Narrow"/>
                <w:b/>
                <w:color w:val="000000"/>
                <w:sz w:val="20"/>
                <w:szCs w:val="18"/>
              </w:rPr>
            </w:pPr>
          </w:p>
        </w:tc>
        <w:tc>
          <w:tcPr>
            <w:tcW w:w="805" w:type="pct"/>
            <w:vAlign w:val="center"/>
          </w:tcPr>
          <w:p w:rsidR="00B62715" w:rsidRPr="00B73618" w:rsidRDefault="00D44578" w:rsidP="00EC00C9">
            <w:pPr>
              <w:jc w:val="center"/>
              <w:rPr>
                <w:rFonts w:ascii="Arial Narrow" w:hAnsi="Arial Narrow"/>
                <w:b/>
                <w:color w:val="000000"/>
                <w:sz w:val="20"/>
                <w:szCs w:val="18"/>
              </w:rPr>
            </w:pPr>
            <w:r w:rsidRPr="00B73618">
              <w:rPr>
                <w:rFonts w:ascii="Arial Narrow" w:hAnsi="Arial Narrow"/>
                <w:b/>
                <w:color w:val="000000"/>
                <w:sz w:val="20"/>
                <w:szCs w:val="18"/>
              </w:rPr>
              <w:t>S</w:t>
            </w:r>
            <w:r w:rsidR="00165B50" w:rsidRPr="00B73618">
              <w:rPr>
                <w:rFonts w:ascii="Arial Narrow" w:hAnsi="Arial Narrow"/>
                <w:b/>
                <w:color w:val="000000"/>
                <w:sz w:val="20"/>
                <w:szCs w:val="18"/>
              </w:rPr>
              <w:t>ucroferric oxyhydroxide</w:t>
            </w:r>
          </w:p>
        </w:tc>
        <w:tc>
          <w:tcPr>
            <w:tcW w:w="807" w:type="pct"/>
            <w:gridSpan w:val="3"/>
            <w:vAlign w:val="center"/>
          </w:tcPr>
          <w:p w:rsidR="00B62715" w:rsidRPr="00B73618" w:rsidRDefault="00D44578" w:rsidP="0088500F">
            <w:pPr>
              <w:jc w:val="center"/>
              <w:rPr>
                <w:rFonts w:ascii="Arial Narrow" w:hAnsi="Arial Narrow"/>
                <w:b/>
                <w:color w:val="000000"/>
                <w:sz w:val="20"/>
                <w:szCs w:val="18"/>
              </w:rPr>
            </w:pPr>
            <w:r w:rsidRPr="00B73618">
              <w:rPr>
                <w:rFonts w:ascii="Arial Narrow" w:hAnsi="Arial Narrow"/>
                <w:b/>
                <w:color w:val="000000"/>
                <w:sz w:val="20"/>
                <w:szCs w:val="18"/>
              </w:rPr>
              <w:t>S</w:t>
            </w:r>
            <w:r w:rsidR="00165B50" w:rsidRPr="00B73618">
              <w:rPr>
                <w:rFonts w:ascii="Arial Narrow" w:hAnsi="Arial Narrow"/>
                <w:b/>
                <w:color w:val="000000"/>
                <w:sz w:val="20"/>
                <w:szCs w:val="18"/>
              </w:rPr>
              <w:t>evelamer</w:t>
            </w:r>
            <w:r w:rsidR="007430E5" w:rsidRPr="00B73618">
              <w:rPr>
                <w:rFonts w:ascii="Arial Narrow" w:hAnsi="Arial Narrow"/>
                <w:b/>
                <w:color w:val="000000"/>
                <w:sz w:val="20"/>
                <w:szCs w:val="18"/>
              </w:rPr>
              <w:t xml:space="preserve"> </w:t>
            </w:r>
            <w:r w:rsidR="0088500F" w:rsidRPr="00B73618">
              <w:rPr>
                <w:rFonts w:ascii="Arial Narrow" w:hAnsi="Arial Narrow"/>
                <w:b/>
                <w:color w:val="000000"/>
                <w:sz w:val="20"/>
                <w:szCs w:val="18"/>
              </w:rPr>
              <w:t>carbonate</w:t>
            </w:r>
          </w:p>
        </w:tc>
        <w:tc>
          <w:tcPr>
            <w:tcW w:w="574" w:type="pct"/>
            <w:vMerge/>
            <w:vAlign w:val="center"/>
          </w:tcPr>
          <w:p w:rsidR="00B62715" w:rsidRPr="00B73618" w:rsidRDefault="00B62715" w:rsidP="00EC00C9">
            <w:pPr>
              <w:jc w:val="center"/>
              <w:rPr>
                <w:rFonts w:ascii="Arial Narrow" w:hAnsi="Arial Narrow"/>
                <w:b/>
                <w:color w:val="000000"/>
                <w:sz w:val="20"/>
                <w:szCs w:val="18"/>
              </w:rPr>
            </w:pPr>
          </w:p>
        </w:tc>
      </w:tr>
      <w:tr w:rsidR="007430E5" w:rsidRPr="00B73618" w:rsidTr="000527ED">
        <w:tc>
          <w:tcPr>
            <w:tcW w:w="5000" w:type="pct"/>
            <w:gridSpan w:val="12"/>
            <w:shd w:val="clear" w:color="auto" w:fill="auto"/>
            <w:vAlign w:val="center"/>
          </w:tcPr>
          <w:p w:rsidR="007430E5" w:rsidRPr="00B73618" w:rsidRDefault="007430E5" w:rsidP="000527ED">
            <w:pPr>
              <w:jc w:val="left"/>
              <w:rPr>
                <w:rFonts w:ascii="Arial Narrow" w:hAnsi="Arial Narrow"/>
                <w:sz w:val="20"/>
              </w:rPr>
            </w:pPr>
            <w:r w:rsidRPr="00B73618">
              <w:rPr>
                <w:rFonts w:ascii="Arial Narrow" w:hAnsi="Arial Narrow"/>
                <w:b/>
                <w:color w:val="000000"/>
                <w:sz w:val="20"/>
                <w:szCs w:val="18"/>
              </w:rPr>
              <w:t>Proportion of patients achieving serum phosphorus control</w:t>
            </w:r>
          </w:p>
        </w:tc>
      </w:tr>
      <w:tr w:rsidR="00D44578" w:rsidRPr="00B73618" w:rsidTr="00D44578">
        <w:tc>
          <w:tcPr>
            <w:tcW w:w="5000" w:type="pct"/>
            <w:gridSpan w:val="12"/>
            <w:shd w:val="clear" w:color="auto" w:fill="auto"/>
            <w:vAlign w:val="center"/>
          </w:tcPr>
          <w:p w:rsidR="00D44578" w:rsidRPr="00B73618" w:rsidRDefault="00D44578" w:rsidP="00D44578">
            <w:pPr>
              <w:jc w:val="left"/>
              <w:rPr>
                <w:rFonts w:ascii="Arial Narrow" w:hAnsi="Arial Narrow"/>
                <w:smallCaps/>
                <w:color w:val="000000"/>
                <w:sz w:val="20"/>
                <w:szCs w:val="18"/>
              </w:rPr>
            </w:pPr>
            <w:r w:rsidRPr="00B73618">
              <w:rPr>
                <w:rFonts w:ascii="Arial Narrow" w:hAnsi="Arial Narrow"/>
                <w:smallCaps/>
                <w:color w:val="000000"/>
                <w:sz w:val="20"/>
                <w:szCs w:val="18"/>
              </w:rPr>
              <w:t>KDOQI target</w:t>
            </w:r>
          </w:p>
        </w:tc>
      </w:tr>
      <w:tr w:rsidR="00EF1172" w:rsidRPr="00B73618" w:rsidTr="009C6311">
        <w:tc>
          <w:tcPr>
            <w:tcW w:w="694" w:type="pct"/>
            <w:shd w:val="clear" w:color="auto" w:fill="auto"/>
            <w:vAlign w:val="center"/>
          </w:tcPr>
          <w:p w:rsidR="00B62715" w:rsidRPr="00B73618" w:rsidRDefault="00D44578" w:rsidP="00EC00C9">
            <w:pPr>
              <w:rPr>
                <w:rFonts w:ascii="Arial Narrow" w:hAnsi="Arial Narrow"/>
                <w:color w:val="000000"/>
                <w:sz w:val="20"/>
                <w:szCs w:val="18"/>
              </w:rPr>
            </w:pPr>
            <w:r w:rsidRPr="00B73618">
              <w:rPr>
                <w:rFonts w:ascii="Arial Narrow" w:hAnsi="Arial Narrow"/>
                <w:color w:val="000000"/>
                <w:sz w:val="20"/>
                <w:szCs w:val="18"/>
              </w:rPr>
              <w:t>W</w:t>
            </w:r>
            <w:r w:rsidR="007430E5" w:rsidRPr="00B73618">
              <w:rPr>
                <w:rFonts w:ascii="Arial Narrow" w:hAnsi="Arial Narrow"/>
                <w:color w:val="000000"/>
                <w:sz w:val="20"/>
                <w:szCs w:val="18"/>
              </w:rPr>
              <w:t>eek 12</w:t>
            </w:r>
          </w:p>
        </w:tc>
        <w:tc>
          <w:tcPr>
            <w:tcW w:w="728" w:type="pct"/>
            <w:gridSpan w:val="2"/>
            <w:vAlign w:val="center"/>
          </w:tcPr>
          <w:p w:rsidR="00B62715" w:rsidRPr="00B73618" w:rsidRDefault="00D44578" w:rsidP="00EC00C9">
            <w:pPr>
              <w:jc w:val="center"/>
              <w:rPr>
                <w:rFonts w:ascii="Arial Narrow" w:hAnsi="Arial Narrow"/>
                <w:color w:val="000000"/>
                <w:sz w:val="20"/>
                <w:szCs w:val="18"/>
              </w:rPr>
            </w:pPr>
            <w:r w:rsidRPr="00B73618">
              <w:rPr>
                <w:rFonts w:ascii="Arial Narrow" w:hAnsi="Arial Narrow"/>
                <w:color w:val="000000"/>
                <w:sz w:val="20"/>
                <w:szCs w:val="18"/>
              </w:rPr>
              <w:t>265/589</w:t>
            </w:r>
          </w:p>
        </w:tc>
        <w:tc>
          <w:tcPr>
            <w:tcW w:w="718" w:type="pct"/>
            <w:vAlign w:val="center"/>
          </w:tcPr>
          <w:p w:rsidR="00B62715" w:rsidRPr="00B73618" w:rsidRDefault="00D44578" w:rsidP="00EC00C9">
            <w:pPr>
              <w:jc w:val="center"/>
              <w:rPr>
                <w:rFonts w:ascii="Arial Narrow" w:hAnsi="Arial Narrow"/>
                <w:color w:val="000000"/>
                <w:sz w:val="20"/>
                <w:szCs w:val="18"/>
              </w:rPr>
            </w:pPr>
            <w:r w:rsidRPr="00B73618">
              <w:rPr>
                <w:rFonts w:ascii="Arial Narrow" w:hAnsi="Arial Narrow"/>
                <w:color w:val="000000"/>
                <w:sz w:val="20"/>
                <w:szCs w:val="18"/>
              </w:rPr>
              <w:t>174/318</w:t>
            </w:r>
          </w:p>
        </w:tc>
        <w:tc>
          <w:tcPr>
            <w:tcW w:w="674" w:type="pct"/>
            <w:gridSpan w:val="3"/>
            <w:vAlign w:val="center"/>
          </w:tcPr>
          <w:p w:rsidR="00D44578" w:rsidRPr="00B73618" w:rsidRDefault="00D44578" w:rsidP="00D44578">
            <w:pPr>
              <w:jc w:val="center"/>
              <w:rPr>
                <w:rFonts w:ascii="Arial Narrow" w:hAnsi="Arial Narrow"/>
                <w:color w:val="000000"/>
                <w:sz w:val="20"/>
                <w:szCs w:val="18"/>
              </w:rPr>
            </w:pPr>
            <w:r w:rsidRPr="00B73618">
              <w:rPr>
                <w:rFonts w:ascii="Arial Narrow" w:hAnsi="Arial Narrow"/>
                <w:color w:val="000000"/>
                <w:sz w:val="20"/>
                <w:szCs w:val="18"/>
              </w:rPr>
              <w:t>0.69</w:t>
            </w:r>
          </w:p>
          <w:p w:rsidR="00B62715" w:rsidRPr="00B73618" w:rsidRDefault="00D44578" w:rsidP="00D44578">
            <w:pPr>
              <w:jc w:val="center"/>
              <w:rPr>
                <w:rFonts w:ascii="Arial Narrow" w:hAnsi="Arial Narrow"/>
                <w:color w:val="000000"/>
                <w:sz w:val="20"/>
                <w:szCs w:val="18"/>
              </w:rPr>
            </w:pPr>
            <w:r w:rsidRPr="00B73618">
              <w:rPr>
                <w:rFonts w:ascii="Arial Narrow" w:hAnsi="Arial Narrow"/>
                <w:color w:val="000000"/>
                <w:sz w:val="20"/>
                <w:szCs w:val="18"/>
              </w:rPr>
              <w:t>(0.52, 0.91)</w:t>
            </w:r>
          </w:p>
        </w:tc>
        <w:tc>
          <w:tcPr>
            <w:tcW w:w="805" w:type="pct"/>
            <w:vAlign w:val="center"/>
          </w:tcPr>
          <w:p w:rsidR="00B62715" w:rsidRPr="002872FE" w:rsidRDefault="002872FE" w:rsidP="00EC00C9">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07" w:type="pct"/>
            <w:gridSpan w:val="3"/>
            <w:vAlign w:val="center"/>
          </w:tcPr>
          <w:p w:rsidR="00B62715" w:rsidRPr="002872FE" w:rsidRDefault="002872FE" w:rsidP="00EC00C9">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74" w:type="pct"/>
            <w:vAlign w:val="center"/>
          </w:tcPr>
          <w:p w:rsidR="00B62715" w:rsidRPr="002872FE" w:rsidRDefault="002872FE" w:rsidP="0033597B">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r>
      <w:tr w:rsidR="00D44578" w:rsidRPr="00B73618" w:rsidTr="009C6311">
        <w:tc>
          <w:tcPr>
            <w:tcW w:w="694" w:type="pct"/>
            <w:shd w:val="clear" w:color="auto" w:fill="auto"/>
            <w:vAlign w:val="center"/>
          </w:tcPr>
          <w:p w:rsidR="007430E5" w:rsidRPr="00B73618" w:rsidRDefault="00D44578" w:rsidP="00027D5E">
            <w:pPr>
              <w:rPr>
                <w:rFonts w:ascii="Arial Narrow" w:hAnsi="Arial Narrow"/>
                <w:color w:val="000000"/>
                <w:sz w:val="20"/>
                <w:szCs w:val="18"/>
              </w:rPr>
            </w:pPr>
            <w:r w:rsidRPr="00B73618">
              <w:rPr>
                <w:rFonts w:ascii="Arial Narrow" w:hAnsi="Arial Narrow"/>
                <w:color w:val="000000"/>
                <w:sz w:val="20"/>
                <w:szCs w:val="18"/>
              </w:rPr>
              <w:t>W</w:t>
            </w:r>
            <w:r w:rsidR="007430E5" w:rsidRPr="00B73618">
              <w:rPr>
                <w:rFonts w:ascii="Arial Narrow" w:hAnsi="Arial Narrow"/>
                <w:color w:val="000000"/>
                <w:sz w:val="20"/>
                <w:szCs w:val="18"/>
              </w:rPr>
              <w:t>eek 24</w:t>
            </w:r>
          </w:p>
        </w:tc>
        <w:tc>
          <w:tcPr>
            <w:tcW w:w="728" w:type="pct"/>
            <w:gridSpan w:val="2"/>
            <w:vAlign w:val="center"/>
          </w:tcPr>
          <w:p w:rsidR="007430E5" w:rsidRPr="00B73618" w:rsidRDefault="00D44578" w:rsidP="00027D5E">
            <w:pPr>
              <w:jc w:val="center"/>
              <w:rPr>
                <w:rFonts w:ascii="Arial Narrow" w:hAnsi="Arial Narrow"/>
                <w:color w:val="000000"/>
                <w:sz w:val="20"/>
                <w:szCs w:val="18"/>
              </w:rPr>
            </w:pPr>
            <w:r w:rsidRPr="00B73618">
              <w:rPr>
                <w:rFonts w:ascii="Arial Narrow" w:hAnsi="Arial Narrow"/>
                <w:color w:val="000000"/>
                <w:sz w:val="20"/>
                <w:szCs w:val="18"/>
              </w:rPr>
              <w:t>261/496</w:t>
            </w:r>
          </w:p>
        </w:tc>
        <w:tc>
          <w:tcPr>
            <w:tcW w:w="718" w:type="pct"/>
            <w:vAlign w:val="center"/>
          </w:tcPr>
          <w:p w:rsidR="007430E5" w:rsidRPr="00B73618" w:rsidRDefault="00D44578" w:rsidP="00027D5E">
            <w:pPr>
              <w:jc w:val="center"/>
              <w:rPr>
                <w:rFonts w:ascii="Arial Narrow" w:hAnsi="Arial Narrow"/>
                <w:color w:val="000000"/>
                <w:sz w:val="20"/>
                <w:szCs w:val="18"/>
              </w:rPr>
            </w:pPr>
            <w:r w:rsidRPr="00B73618">
              <w:rPr>
                <w:rFonts w:ascii="Arial Narrow" w:hAnsi="Arial Narrow"/>
                <w:color w:val="000000"/>
                <w:sz w:val="20"/>
                <w:szCs w:val="18"/>
              </w:rPr>
              <w:t>155/285</w:t>
            </w:r>
          </w:p>
        </w:tc>
        <w:tc>
          <w:tcPr>
            <w:tcW w:w="674" w:type="pct"/>
            <w:gridSpan w:val="3"/>
            <w:vAlign w:val="center"/>
          </w:tcPr>
          <w:p w:rsidR="00D44578" w:rsidRPr="00B73618" w:rsidRDefault="00D44578" w:rsidP="00027D5E">
            <w:pPr>
              <w:jc w:val="center"/>
              <w:rPr>
                <w:rFonts w:ascii="Arial Narrow" w:hAnsi="Arial Narrow"/>
                <w:color w:val="000000"/>
                <w:sz w:val="20"/>
                <w:szCs w:val="18"/>
              </w:rPr>
            </w:pPr>
            <w:r w:rsidRPr="00B73618">
              <w:rPr>
                <w:rFonts w:ascii="Arial Narrow" w:hAnsi="Arial Narrow"/>
                <w:color w:val="000000"/>
                <w:sz w:val="20"/>
                <w:szCs w:val="18"/>
              </w:rPr>
              <w:t>0.99</w:t>
            </w:r>
          </w:p>
          <w:p w:rsidR="007430E5" w:rsidRPr="00B73618" w:rsidRDefault="00D44578" w:rsidP="00027D5E">
            <w:pPr>
              <w:jc w:val="center"/>
              <w:rPr>
                <w:rFonts w:ascii="Arial Narrow" w:hAnsi="Arial Narrow"/>
                <w:color w:val="000000"/>
                <w:sz w:val="20"/>
                <w:szCs w:val="18"/>
              </w:rPr>
            </w:pPr>
            <w:r w:rsidRPr="00B73618">
              <w:rPr>
                <w:rFonts w:ascii="Arial Narrow" w:hAnsi="Arial Narrow"/>
                <w:color w:val="000000"/>
                <w:sz w:val="20"/>
                <w:szCs w:val="18"/>
              </w:rPr>
              <w:t>(0.73, 1.34)</w:t>
            </w:r>
          </w:p>
        </w:tc>
        <w:tc>
          <w:tcPr>
            <w:tcW w:w="805" w:type="pct"/>
            <w:vAlign w:val="center"/>
          </w:tcPr>
          <w:p w:rsidR="007430E5" w:rsidRPr="002872FE" w:rsidRDefault="002872FE" w:rsidP="00027D5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07" w:type="pct"/>
            <w:gridSpan w:val="3"/>
            <w:vAlign w:val="center"/>
          </w:tcPr>
          <w:p w:rsidR="007430E5" w:rsidRPr="002872FE" w:rsidRDefault="002872FE" w:rsidP="00027D5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74" w:type="pct"/>
            <w:vAlign w:val="center"/>
          </w:tcPr>
          <w:p w:rsidR="007430E5" w:rsidRPr="002872FE" w:rsidRDefault="002872FE" w:rsidP="00027D5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r>
    </w:tbl>
    <w:tbl>
      <w:tblPr>
        <w:tblStyle w:val="TableGrid"/>
        <w:tblpPr w:leftFromText="180" w:rightFromText="180" w:vertAnchor="text" w:horzAnchor="margin" w:tblpXSpec="right" w:tblpY="33"/>
        <w:tblW w:w="4599" w:type="pct"/>
        <w:tblLayout w:type="fixed"/>
        <w:tblCellMar>
          <w:left w:w="28" w:type="dxa"/>
          <w:right w:w="28" w:type="dxa"/>
        </w:tblCellMar>
        <w:tblLook w:val="04A0" w:firstRow="1" w:lastRow="0" w:firstColumn="1" w:lastColumn="0" w:noHBand="0" w:noVBand="1"/>
      </w:tblPr>
      <w:tblGrid>
        <w:gridCol w:w="1135"/>
        <w:gridCol w:w="35"/>
        <w:gridCol w:w="18"/>
        <w:gridCol w:w="1143"/>
        <w:gridCol w:w="32"/>
        <w:gridCol w:w="1188"/>
        <w:gridCol w:w="17"/>
        <w:gridCol w:w="1131"/>
        <w:gridCol w:w="1348"/>
        <w:gridCol w:w="1353"/>
        <w:gridCol w:w="954"/>
      </w:tblGrid>
      <w:tr w:rsidR="00B669DE" w:rsidRPr="00B73618" w:rsidDel="002B0524" w:rsidTr="006969DD">
        <w:tc>
          <w:tcPr>
            <w:tcW w:w="5000" w:type="pct"/>
            <w:gridSpan w:val="11"/>
            <w:shd w:val="clear" w:color="auto" w:fill="auto"/>
            <w:vAlign w:val="center"/>
          </w:tcPr>
          <w:p w:rsidR="00B669DE" w:rsidRPr="00B73618" w:rsidDel="002B0524" w:rsidRDefault="00B669DE" w:rsidP="00027D5E">
            <w:pPr>
              <w:jc w:val="left"/>
              <w:rPr>
                <w:rFonts w:ascii="Arial Narrow" w:hAnsi="Arial Narrow"/>
                <w:smallCaps/>
                <w:color w:val="000000"/>
                <w:sz w:val="20"/>
                <w:szCs w:val="18"/>
              </w:rPr>
            </w:pPr>
            <w:r w:rsidRPr="00B73618" w:rsidDel="002B0524">
              <w:rPr>
                <w:rFonts w:ascii="Arial Narrow" w:hAnsi="Arial Narrow"/>
                <w:smallCaps/>
                <w:color w:val="000000"/>
                <w:sz w:val="20"/>
                <w:szCs w:val="18"/>
              </w:rPr>
              <w:t>KDIGO target</w:t>
            </w:r>
          </w:p>
        </w:tc>
      </w:tr>
      <w:tr w:rsidR="00B669DE" w:rsidRPr="00B73618" w:rsidDel="002B0524" w:rsidTr="002B0524">
        <w:tc>
          <w:tcPr>
            <w:tcW w:w="679" w:type="pct"/>
            <w:shd w:val="clear" w:color="auto" w:fill="auto"/>
            <w:vAlign w:val="center"/>
          </w:tcPr>
          <w:p w:rsidR="00B669DE" w:rsidRPr="00B73618" w:rsidDel="002B0524" w:rsidRDefault="00B669DE" w:rsidP="00027D5E">
            <w:pPr>
              <w:rPr>
                <w:rFonts w:ascii="Arial Narrow" w:hAnsi="Arial Narrow"/>
                <w:color w:val="000000"/>
                <w:sz w:val="20"/>
                <w:szCs w:val="18"/>
              </w:rPr>
            </w:pPr>
            <w:r w:rsidRPr="00B73618" w:rsidDel="002B0524">
              <w:rPr>
                <w:rFonts w:ascii="Arial Narrow" w:hAnsi="Arial Narrow"/>
                <w:color w:val="000000"/>
                <w:sz w:val="20"/>
                <w:szCs w:val="18"/>
              </w:rPr>
              <w:t>Week 12</w:t>
            </w:r>
          </w:p>
        </w:tc>
        <w:tc>
          <w:tcPr>
            <w:tcW w:w="735" w:type="pct"/>
            <w:gridSpan w:val="4"/>
            <w:vAlign w:val="center"/>
          </w:tcPr>
          <w:p w:rsidR="00B669DE" w:rsidRPr="002872FE" w:rsidDel="002B0524" w:rsidRDefault="002872FE" w:rsidP="00027D5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721" w:type="pct"/>
            <w:gridSpan w:val="2"/>
            <w:vAlign w:val="center"/>
          </w:tcPr>
          <w:p w:rsidR="00B669DE" w:rsidRPr="002872FE" w:rsidDel="002B0524" w:rsidRDefault="002872FE" w:rsidP="00027D5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77" w:type="pct"/>
            <w:vAlign w:val="center"/>
          </w:tcPr>
          <w:p w:rsidR="00B669DE" w:rsidRPr="002872FE" w:rsidDel="002B0524" w:rsidRDefault="002872FE" w:rsidP="00027D5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B669DE" w:rsidRPr="002872FE" w:rsidDel="002B0524" w:rsidRDefault="002872FE" w:rsidP="00027D5E">
            <w:pPr>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807" w:type="pct"/>
            <w:vAlign w:val="center"/>
          </w:tcPr>
          <w:p w:rsidR="00B669DE" w:rsidRPr="002872FE" w:rsidDel="002B0524" w:rsidRDefault="002872FE" w:rsidP="00027D5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10" w:type="pct"/>
            <w:vAlign w:val="center"/>
          </w:tcPr>
          <w:p w:rsidR="00B669DE" w:rsidRPr="002872FE" w:rsidDel="002B0524" w:rsidRDefault="002872FE" w:rsidP="00027D5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71" w:type="pct"/>
            <w:vAlign w:val="center"/>
          </w:tcPr>
          <w:p w:rsidR="00B669DE" w:rsidRPr="002872FE" w:rsidDel="002B0524" w:rsidRDefault="002872FE" w:rsidP="00027D5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r>
      <w:tr w:rsidR="00B669DE" w:rsidRPr="00B73618" w:rsidDel="002B0524" w:rsidTr="002B0524">
        <w:tc>
          <w:tcPr>
            <w:tcW w:w="679" w:type="pct"/>
            <w:shd w:val="clear" w:color="auto" w:fill="auto"/>
            <w:vAlign w:val="center"/>
          </w:tcPr>
          <w:p w:rsidR="00B669DE" w:rsidRPr="00B73618" w:rsidDel="002B0524" w:rsidRDefault="00B669DE" w:rsidP="00027D5E">
            <w:pPr>
              <w:rPr>
                <w:rFonts w:ascii="Arial Narrow" w:hAnsi="Arial Narrow"/>
                <w:color w:val="000000"/>
                <w:sz w:val="20"/>
                <w:szCs w:val="18"/>
              </w:rPr>
            </w:pPr>
            <w:r w:rsidRPr="00B73618" w:rsidDel="002B0524">
              <w:rPr>
                <w:rFonts w:ascii="Arial Narrow" w:hAnsi="Arial Narrow"/>
                <w:color w:val="000000"/>
                <w:sz w:val="20"/>
                <w:szCs w:val="18"/>
              </w:rPr>
              <w:t>Week 24</w:t>
            </w:r>
          </w:p>
        </w:tc>
        <w:tc>
          <w:tcPr>
            <w:tcW w:w="735" w:type="pct"/>
            <w:gridSpan w:val="4"/>
            <w:vAlign w:val="center"/>
          </w:tcPr>
          <w:p w:rsidR="00B669DE" w:rsidRPr="002872FE" w:rsidDel="002B0524" w:rsidRDefault="002872FE" w:rsidP="00027D5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721" w:type="pct"/>
            <w:gridSpan w:val="2"/>
            <w:vAlign w:val="center"/>
          </w:tcPr>
          <w:p w:rsidR="00B669DE" w:rsidRPr="002872FE" w:rsidDel="002B0524" w:rsidRDefault="002872FE" w:rsidP="00027D5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77" w:type="pct"/>
            <w:vAlign w:val="center"/>
          </w:tcPr>
          <w:p w:rsidR="00B669DE" w:rsidRPr="002872FE" w:rsidDel="002B0524" w:rsidRDefault="002872FE" w:rsidP="00027D5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B669DE" w:rsidRPr="002872FE" w:rsidDel="002B0524" w:rsidRDefault="002872FE" w:rsidP="00027D5E">
            <w:pPr>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807" w:type="pct"/>
            <w:vAlign w:val="center"/>
          </w:tcPr>
          <w:p w:rsidR="00B669DE" w:rsidRPr="002872FE" w:rsidDel="002B0524" w:rsidRDefault="002872FE" w:rsidP="00027D5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10" w:type="pct"/>
            <w:vAlign w:val="center"/>
          </w:tcPr>
          <w:p w:rsidR="00B669DE" w:rsidRPr="002872FE" w:rsidDel="002B0524" w:rsidRDefault="002872FE" w:rsidP="00027D5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71" w:type="pct"/>
            <w:vAlign w:val="center"/>
          </w:tcPr>
          <w:p w:rsidR="00B669DE" w:rsidRPr="002872FE" w:rsidDel="002B0524" w:rsidRDefault="002872FE" w:rsidP="00027D5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r>
      <w:tr w:rsidR="00B669DE" w:rsidRPr="00B73618" w:rsidDel="002B0524" w:rsidTr="006969DD">
        <w:tc>
          <w:tcPr>
            <w:tcW w:w="5000" w:type="pct"/>
            <w:gridSpan w:val="11"/>
            <w:tcBorders>
              <w:top w:val="double" w:sz="4" w:space="0" w:color="auto"/>
            </w:tcBorders>
            <w:shd w:val="clear" w:color="auto" w:fill="auto"/>
            <w:vAlign w:val="center"/>
          </w:tcPr>
          <w:p w:rsidR="00B669DE" w:rsidRPr="00B73618" w:rsidDel="002B0524" w:rsidRDefault="00B669DE" w:rsidP="00027D5E">
            <w:pPr>
              <w:rPr>
                <w:rFonts w:ascii="Arial Narrow" w:hAnsi="Arial Narrow"/>
                <w:b/>
                <w:color w:val="000000"/>
                <w:sz w:val="20"/>
                <w:szCs w:val="18"/>
              </w:rPr>
            </w:pPr>
            <w:r w:rsidRPr="00B73618" w:rsidDel="002B0524">
              <w:rPr>
                <w:rFonts w:ascii="Arial Narrow" w:hAnsi="Arial Narrow"/>
                <w:b/>
                <w:color w:val="000000"/>
                <w:sz w:val="20"/>
                <w:szCs w:val="18"/>
              </w:rPr>
              <w:t xml:space="preserve">Harms </w:t>
            </w:r>
          </w:p>
        </w:tc>
      </w:tr>
      <w:tr w:rsidR="00B669DE" w:rsidRPr="00B73618" w:rsidDel="002B0524" w:rsidTr="002B0524">
        <w:trPr>
          <w:trHeight w:val="70"/>
        </w:trPr>
        <w:tc>
          <w:tcPr>
            <w:tcW w:w="700" w:type="pct"/>
            <w:gridSpan w:val="2"/>
            <w:vMerge w:val="restart"/>
            <w:shd w:val="clear" w:color="auto" w:fill="auto"/>
            <w:vAlign w:val="center"/>
          </w:tcPr>
          <w:p w:rsidR="00B669DE" w:rsidRPr="00B73618" w:rsidDel="002B0524" w:rsidRDefault="00B669DE" w:rsidP="00027D5E">
            <w:pPr>
              <w:rPr>
                <w:rFonts w:ascii="Arial Narrow" w:hAnsi="Arial Narrow"/>
                <w:b/>
                <w:sz w:val="20"/>
                <w:szCs w:val="18"/>
              </w:rPr>
            </w:pPr>
            <w:r w:rsidRPr="00B73618" w:rsidDel="002B0524">
              <w:rPr>
                <w:rFonts w:ascii="Arial Narrow" w:hAnsi="Arial Narrow"/>
                <w:b/>
                <w:sz w:val="20"/>
                <w:szCs w:val="18"/>
              </w:rPr>
              <w:t>Outcome</w:t>
            </w:r>
          </w:p>
        </w:tc>
        <w:tc>
          <w:tcPr>
            <w:tcW w:w="714" w:type="pct"/>
            <w:gridSpan w:val="3"/>
            <w:vMerge w:val="restart"/>
            <w:vAlign w:val="center"/>
          </w:tcPr>
          <w:p w:rsidR="00B669DE" w:rsidRPr="00B73618" w:rsidDel="002B0524" w:rsidRDefault="00B669DE" w:rsidP="00027D5E">
            <w:pPr>
              <w:jc w:val="center"/>
              <w:rPr>
                <w:rFonts w:ascii="Arial Narrow" w:hAnsi="Arial Narrow"/>
                <w:b/>
                <w:sz w:val="20"/>
                <w:szCs w:val="18"/>
              </w:rPr>
            </w:pPr>
            <w:r w:rsidRPr="00B73618" w:rsidDel="002B0524">
              <w:rPr>
                <w:rFonts w:ascii="Arial Narrow" w:hAnsi="Arial Narrow"/>
                <w:b/>
                <w:sz w:val="20"/>
                <w:szCs w:val="18"/>
              </w:rPr>
              <w:t>Sucroferric oxyhydroxide</w:t>
            </w:r>
          </w:p>
        </w:tc>
        <w:tc>
          <w:tcPr>
            <w:tcW w:w="711" w:type="pct"/>
            <w:vMerge w:val="restart"/>
            <w:vAlign w:val="center"/>
          </w:tcPr>
          <w:p w:rsidR="00B669DE" w:rsidRPr="00B73618" w:rsidDel="002B0524" w:rsidRDefault="00B669DE" w:rsidP="00027D5E">
            <w:pPr>
              <w:jc w:val="center"/>
              <w:rPr>
                <w:rFonts w:ascii="Arial Narrow" w:hAnsi="Arial Narrow"/>
                <w:b/>
                <w:sz w:val="20"/>
                <w:szCs w:val="18"/>
              </w:rPr>
            </w:pPr>
            <w:r w:rsidRPr="00B73618" w:rsidDel="002B0524">
              <w:rPr>
                <w:rFonts w:ascii="Arial Narrow" w:hAnsi="Arial Narrow"/>
                <w:b/>
                <w:sz w:val="20"/>
                <w:szCs w:val="18"/>
              </w:rPr>
              <w:t>Sevelamer carbonate</w:t>
            </w:r>
          </w:p>
        </w:tc>
        <w:tc>
          <w:tcPr>
            <w:tcW w:w="687" w:type="pct"/>
            <w:gridSpan w:val="2"/>
            <w:vMerge w:val="restart"/>
            <w:vAlign w:val="center"/>
          </w:tcPr>
          <w:p w:rsidR="00B669DE" w:rsidRPr="00B73618" w:rsidDel="002B0524" w:rsidRDefault="00B669DE" w:rsidP="00027D5E">
            <w:pPr>
              <w:jc w:val="center"/>
              <w:rPr>
                <w:rFonts w:ascii="Arial Narrow" w:hAnsi="Arial Narrow"/>
                <w:b/>
                <w:sz w:val="20"/>
                <w:szCs w:val="18"/>
              </w:rPr>
            </w:pPr>
            <w:r w:rsidRPr="00B73618" w:rsidDel="002B0524">
              <w:rPr>
                <w:rFonts w:ascii="Arial Narrow" w:hAnsi="Arial Narrow"/>
                <w:b/>
                <w:sz w:val="20"/>
                <w:szCs w:val="18"/>
              </w:rPr>
              <w:t>RR</w:t>
            </w:r>
          </w:p>
          <w:p w:rsidR="00B669DE" w:rsidRPr="00B73618" w:rsidDel="002B0524" w:rsidRDefault="00B669DE" w:rsidP="00027D5E">
            <w:pPr>
              <w:jc w:val="center"/>
              <w:rPr>
                <w:rFonts w:ascii="Arial Narrow" w:hAnsi="Arial Narrow"/>
                <w:b/>
                <w:sz w:val="20"/>
                <w:szCs w:val="18"/>
              </w:rPr>
            </w:pPr>
            <w:r w:rsidRPr="00B73618" w:rsidDel="002B0524">
              <w:rPr>
                <w:rFonts w:ascii="Arial Narrow" w:hAnsi="Arial Narrow"/>
                <w:b/>
                <w:sz w:val="20"/>
                <w:szCs w:val="18"/>
              </w:rPr>
              <w:t>(95% CI)</w:t>
            </w:r>
          </w:p>
        </w:tc>
        <w:tc>
          <w:tcPr>
            <w:tcW w:w="1617" w:type="pct"/>
            <w:gridSpan w:val="2"/>
            <w:vAlign w:val="center"/>
          </w:tcPr>
          <w:p w:rsidR="00B669DE" w:rsidRPr="00B73618" w:rsidDel="002B0524" w:rsidRDefault="00B669DE" w:rsidP="00027D5E">
            <w:pPr>
              <w:jc w:val="center"/>
              <w:rPr>
                <w:rFonts w:ascii="Arial Narrow" w:hAnsi="Arial Narrow"/>
                <w:b/>
                <w:sz w:val="20"/>
                <w:szCs w:val="18"/>
              </w:rPr>
            </w:pPr>
            <w:r w:rsidRPr="00B73618" w:rsidDel="002B0524">
              <w:rPr>
                <w:rFonts w:ascii="Arial Narrow" w:hAnsi="Arial Narrow"/>
                <w:b/>
                <w:sz w:val="20"/>
                <w:szCs w:val="18"/>
              </w:rPr>
              <w:t>Event rate/100 patients</w:t>
            </w:r>
          </w:p>
        </w:tc>
        <w:tc>
          <w:tcPr>
            <w:tcW w:w="571" w:type="pct"/>
            <w:vMerge w:val="restart"/>
            <w:vAlign w:val="center"/>
          </w:tcPr>
          <w:p w:rsidR="00B669DE" w:rsidRPr="00B73618" w:rsidDel="002B0524" w:rsidRDefault="00B669DE" w:rsidP="00027D5E">
            <w:pPr>
              <w:jc w:val="center"/>
              <w:rPr>
                <w:rFonts w:ascii="Arial Narrow" w:hAnsi="Arial Narrow"/>
                <w:b/>
                <w:sz w:val="20"/>
                <w:szCs w:val="18"/>
              </w:rPr>
            </w:pPr>
            <w:r w:rsidRPr="00B73618" w:rsidDel="002B0524">
              <w:rPr>
                <w:rFonts w:ascii="Arial Narrow" w:hAnsi="Arial Narrow"/>
                <w:b/>
                <w:sz w:val="20"/>
                <w:szCs w:val="18"/>
              </w:rPr>
              <w:t>RD</w:t>
            </w:r>
          </w:p>
          <w:p w:rsidR="00B669DE" w:rsidRPr="00B73618" w:rsidDel="002B0524" w:rsidRDefault="00B669DE" w:rsidP="00027D5E">
            <w:pPr>
              <w:jc w:val="center"/>
              <w:rPr>
                <w:rFonts w:ascii="Arial Narrow" w:hAnsi="Arial Narrow"/>
                <w:b/>
                <w:sz w:val="20"/>
                <w:szCs w:val="18"/>
              </w:rPr>
            </w:pPr>
            <w:r w:rsidRPr="00B73618" w:rsidDel="002B0524">
              <w:rPr>
                <w:rFonts w:ascii="Arial Narrow" w:hAnsi="Arial Narrow"/>
                <w:b/>
                <w:sz w:val="20"/>
                <w:szCs w:val="18"/>
              </w:rPr>
              <w:t>(95% CI)</w:t>
            </w:r>
          </w:p>
        </w:tc>
      </w:tr>
      <w:tr w:rsidR="00B669DE" w:rsidRPr="00B73618" w:rsidDel="002B0524" w:rsidTr="002B0524">
        <w:trPr>
          <w:trHeight w:val="390"/>
        </w:trPr>
        <w:tc>
          <w:tcPr>
            <w:tcW w:w="700" w:type="pct"/>
            <w:gridSpan w:val="2"/>
            <w:vMerge/>
            <w:shd w:val="clear" w:color="auto" w:fill="auto"/>
            <w:vAlign w:val="center"/>
          </w:tcPr>
          <w:p w:rsidR="00B669DE" w:rsidRPr="00B73618" w:rsidDel="002B0524" w:rsidRDefault="00B669DE" w:rsidP="00027D5E">
            <w:pPr>
              <w:rPr>
                <w:rFonts w:ascii="Arial Narrow" w:hAnsi="Arial Narrow"/>
                <w:b/>
                <w:sz w:val="20"/>
                <w:szCs w:val="18"/>
              </w:rPr>
            </w:pPr>
          </w:p>
        </w:tc>
        <w:tc>
          <w:tcPr>
            <w:tcW w:w="714" w:type="pct"/>
            <w:gridSpan w:val="3"/>
            <w:vMerge/>
            <w:vAlign w:val="center"/>
          </w:tcPr>
          <w:p w:rsidR="00B669DE" w:rsidRPr="00B73618" w:rsidDel="002B0524" w:rsidRDefault="00B669DE" w:rsidP="00027D5E">
            <w:pPr>
              <w:jc w:val="center"/>
              <w:rPr>
                <w:rFonts w:ascii="Arial Narrow" w:hAnsi="Arial Narrow"/>
                <w:b/>
                <w:sz w:val="20"/>
                <w:szCs w:val="18"/>
              </w:rPr>
            </w:pPr>
          </w:p>
        </w:tc>
        <w:tc>
          <w:tcPr>
            <w:tcW w:w="711" w:type="pct"/>
            <w:vMerge/>
            <w:vAlign w:val="center"/>
          </w:tcPr>
          <w:p w:rsidR="00B669DE" w:rsidRPr="00B73618" w:rsidDel="002B0524" w:rsidRDefault="00B669DE" w:rsidP="00027D5E">
            <w:pPr>
              <w:jc w:val="center"/>
              <w:rPr>
                <w:rFonts w:ascii="Arial Narrow" w:hAnsi="Arial Narrow"/>
                <w:b/>
                <w:sz w:val="20"/>
                <w:szCs w:val="18"/>
              </w:rPr>
            </w:pPr>
          </w:p>
        </w:tc>
        <w:tc>
          <w:tcPr>
            <w:tcW w:w="687" w:type="pct"/>
            <w:gridSpan w:val="2"/>
            <w:vMerge/>
            <w:vAlign w:val="center"/>
          </w:tcPr>
          <w:p w:rsidR="00B669DE" w:rsidRPr="00B73618" w:rsidDel="002B0524" w:rsidRDefault="00B669DE" w:rsidP="00027D5E">
            <w:pPr>
              <w:jc w:val="center"/>
              <w:rPr>
                <w:rFonts w:ascii="Arial Narrow" w:hAnsi="Arial Narrow"/>
                <w:b/>
                <w:sz w:val="20"/>
                <w:szCs w:val="18"/>
              </w:rPr>
            </w:pPr>
          </w:p>
        </w:tc>
        <w:tc>
          <w:tcPr>
            <w:tcW w:w="807" w:type="pct"/>
            <w:vAlign w:val="center"/>
          </w:tcPr>
          <w:p w:rsidR="00B669DE" w:rsidRPr="00B73618" w:rsidDel="002B0524" w:rsidRDefault="00B669DE" w:rsidP="00027D5E">
            <w:pPr>
              <w:jc w:val="center"/>
              <w:rPr>
                <w:rFonts w:ascii="Arial Narrow" w:hAnsi="Arial Narrow"/>
                <w:b/>
                <w:sz w:val="20"/>
                <w:szCs w:val="18"/>
              </w:rPr>
            </w:pPr>
            <w:r w:rsidRPr="00B73618" w:rsidDel="002B0524">
              <w:rPr>
                <w:rFonts w:ascii="Arial Narrow" w:hAnsi="Arial Narrow"/>
                <w:b/>
                <w:sz w:val="20"/>
                <w:szCs w:val="18"/>
              </w:rPr>
              <w:t>Sucroferric oxyhydroxide</w:t>
            </w:r>
          </w:p>
        </w:tc>
        <w:tc>
          <w:tcPr>
            <w:tcW w:w="810" w:type="pct"/>
            <w:vAlign w:val="center"/>
          </w:tcPr>
          <w:p w:rsidR="00B669DE" w:rsidRPr="00B73618" w:rsidDel="002B0524" w:rsidRDefault="00B669DE" w:rsidP="00027D5E">
            <w:pPr>
              <w:jc w:val="center"/>
              <w:rPr>
                <w:rFonts w:ascii="Arial Narrow" w:hAnsi="Arial Narrow"/>
                <w:b/>
                <w:sz w:val="20"/>
                <w:szCs w:val="18"/>
              </w:rPr>
            </w:pPr>
            <w:r w:rsidRPr="00B73618" w:rsidDel="002B0524">
              <w:rPr>
                <w:rFonts w:ascii="Arial Narrow" w:hAnsi="Arial Narrow"/>
                <w:b/>
                <w:sz w:val="20"/>
                <w:szCs w:val="18"/>
              </w:rPr>
              <w:t>Sevelamer carbonate</w:t>
            </w:r>
          </w:p>
        </w:tc>
        <w:tc>
          <w:tcPr>
            <w:tcW w:w="571" w:type="pct"/>
            <w:vMerge/>
            <w:vAlign w:val="center"/>
          </w:tcPr>
          <w:p w:rsidR="00B669DE" w:rsidRPr="00B73618" w:rsidDel="002B0524" w:rsidRDefault="00B669DE" w:rsidP="00027D5E">
            <w:pPr>
              <w:jc w:val="center"/>
              <w:rPr>
                <w:rFonts w:ascii="Arial Narrow" w:hAnsi="Arial Narrow"/>
                <w:b/>
                <w:sz w:val="20"/>
                <w:szCs w:val="18"/>
              </w:rPr>
            </w:pPr>
          </w:p>
        </w:tc>
      </w:tr>
      <w:tr w:rsidR="00B669DE" w:rsidRPr="00B73618" w:rsidDel="002B0524" w:rsidTr="006969DD">
        <w:tc>
          <w:tcPr>
            <w:tcW w:w="5000" w:type="pct"/>
            <w:gridSpan w:val="11"/>
            <w:shd w:val="clear" w:color="auto" w:fill="auto"/>
            <w:vAlign w:val="center"/>
          </w:tcPr>
          <w:p w:rsidR="00B669DE" w:rsidRPr="00B73618" w:rsidDel="002B0524" w:rsidRDefault="00B669DE" w:rsidP="00027D5E">
            <w:pPr>
              <w:rPr>
                <w:rFonts w:ascii="Arial Narrow" w:hAnsi="Arial Narrow"/>
                <w:b/>
                <w:sz w:val="20"/>
                <w:szCs w:val="18"/>
              </w:rPr>
            </w:pPr>
            <w:r w:rsidRPr="00B73618" w:rsidDel="002B0524">
              <w:rPr>
                <w:rFonts w:ascii="Arial Narrow" w:hAnsi="Arial Narrow"/>
                <w:b/>
                <w:sz w:val="20"/>
                <w:szCs w:val="18"/>
              </w:rPr>
              <w:t>Diarrhoea</w:t>
            </w:r>
          </w:p>
        </w:tc>
      </w:tr>
      <w:tr w:rsidR="00B669DE" w:rsidRPr="00B73618" w:rsidDel="002B0524" w:rsidTr="002B0524">
        <w:tc>
          <w:tcPr>
            <w:tcW w:w="711" w:type="pct"/>
            <w:gridSpan w:val="3"/>
            <w:shd w:val="clear" w:color="auto" w:fill="auto"/>
            <w:vAlign w:val="center"/>
          </w:tcPr>
          <w:p w:rsidR="00B669DE" w:rsidRPr="00B73618" w:rsidDel="002B0524" w:rsidRDefault="00B669DE" w:rsidP="00027D5E">
            <w:pPr>
              <w:rPr>
                <w:rFonts w:ascii="Arial Narrow" w:hAnsi="Arial Narrow"/>
                <w:sz w:val="20"/>
                <w:szCs w:val="18"/>
              </w:rPr>
            </w:pPr>
            <w:r w:rsidRPr="00B73618" w:rsidDel="002B0524">
              <w:rPr>
                <w:rFonts w:ascii="Arial Narrow" w:hAnsi="Arial Narrow"/>
                <w:sz w:val="20"/>
                <w:szCs w:val="18"/>
              </w:rPr>
              <w:lastRenderedPageBreak/>
              <w:t>PA-CL-05A titration</w:t>
            </w:r>
          </w:p>
        </w:tc>
        <w:tc>
          <w:tcPr>
            <w:tcW w:w="684" w:type="pct"/>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730" w:type="pct"/>
            <w:gridSpan w:val="2"/>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687" w:type="pct"/>
            <w:gridSpan w:val="2"/>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807" w:type="pct"/>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810" w:type="pct"/>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571" w:type="pct"/>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r>
      <w:tr w:rsidR="00B669DE" w:rsidRPr="00B73618" w:rsidDel="002B0524" w:rsidTr="002B0524">
        <w:tc>
          <w:tcPr>
            <w:tcW w:w="711" w:type="pct"/>
            <w:gridSpan w:val="3"/>
            <w:shd w:val="clear" w:color="auto" w:fill="auto"/>
            <w:vAlign w:val="center"/>
          </w:tcPr>
          <w:p w:rsidR="00B669DE" w:rsidRPr="00B73618" w:rsidDel="002B0524" w:rsidRDefault="00B669DE" w:rsidP="00027D5E">
            <w:pPr>
              <w:rPr>
                <w:rFonts w:ascii="Arial Narrow" w:hAnsi="Arial Narrow"/>
                <w:sz w:val="20"/>
                <w:szCs w:val="18"/>
              </w:rPr>
            </w:pPr>
            <w:r w:rsidRPr="00B73618" w:rsidDel="002B0524">
              <w:rPr>
                <w:rFonts w:ascii="Arial Narrow" w:hAnsi="Arial Narrow"/>
                <w:sz w:val="20"/>
                <w:szCs w:val="18"/>
              </w:rPr>
              <w:t>PA-CL-05A maintenance</w:t>
            </w:r>
          </w:p>
        </w:tc>
        <w:tc>
          <w:tcPr>
            <w:tcW w:w="684" w:type="pct"/>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730" w:type="pct"/>
            <w:gridSpan w:val="2"/>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687" w:type="pct"/>
            <w:gridSpan w:val="2"/>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807" w:type="pct"/>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810" w:type="pct"/>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571" w:type="pct"/>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r>
      <w:tr w:rsidR="00B669DE" w:rsidRPr="00B73618" w:rsidDel="002B0524" w:rsidTr="006969DD">
        <w:tc>
          <w:tcPr>
            <w:tcW w:w="5000" w:type="pct"/>
            <w:gridSpan w:val="11"/>
            <w:shd w:val="clear" w:color="auto" w:fill="auto"/>
            <w:vAlign w:val="center"/>
          </w:tcPr>
          <w:p w:rsidR="00B669DE" w:rsidRPr="00B73618" w:rsidDel="002B0524" w:rsidRDefault="00B669DE" w:rsidP="00027D5E">
            <w:pPr>
              <w:rPr>
                <w:rFonts w:ascii="Arial Narrow" w:hAnsi="Arial Narrow"/>
                <w:b/>
                <w:sz w:val="20"/>
                <w:szCs w:val="18"/>
              </w:rPr>
            </w:pPr>
            <w:r w:rsidRPr="00B73618" w:rsidDel="002B0524">
              <w:rPr>
                <w:rFonts w:ascii="Arial Narrow" w:hAnsi="Arial Narrow"/>
                <w:b/>
                <w:sz w:val="20"/>
                <w:szCs w:val="18"/>
              </w:rPr>
              <w:t>Discoloured faeces</w:t>
            </w:r>
          </w:p>
        </w:tc>
      </w:tr>
      <w:tr w:rsidR="00B669DE" w:rsidRPr="00B73618" w:rsidDel="002B0524" w:rsidTr="002B0524">
        <w:tc>
          <w:tcPr>
            <w:tcW w:w="711" w:type="pct"/>
            <w:gridSpan w:val="3"/>
            <w:shd w:val="clear" w:color="auto" w:fill="auto"/>
            <w:vAlign w:val="center"/>
          </w:tcPr>
          <w:p w:rsidR="00B669DE" w:rsidRPr="00B73618" w:rsidDel="002B0524" w:rsidRDefault="00B669DE" w:rsidP="00027D5E">
            <w:pPr>
              <w:rPr>
                <w:rFonts w:ascii="Arial Narrow" w:hAnsi="Arial Narrow"/>
                <w:sz w:val="20"/>
                <w:szCs w:val="18"/>
              </w:rPr>
            </w:pPr>
            <w:r w:rsidRPr="00B73618" w:rsidDel="002B0524">
              <w:rPr>
                <w:rFonts w:ascii="Arial Narrow" w:hAnsi="Arial Narrow"/>
                <w:sz w:val="20"/>
                <w:szCs w:val="18"/>
              </w:rPr>
              <w:t>PA-CL-05A titration</w:t>
            </w:r>
          </w:p>
        </w:tc>
        <w:tc>
          <w:tcPr>
            <w:tcW w:w="703" w:type="pct"/>
            <w:gridSpan w:val="2"/>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711" w:type="pct"/>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687" w:type="pct"/>
            <w:gridSpan w:val="2"/>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807" w:type="pct"/>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810" w:type="pct"/>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571" w:type="pct"/>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r>
      <w:tr w:rsidR="00B669DE" w:rsidRPr="00B73618" w:rsidDel="002B0524" w:rsidTr="002B0524">
        <w:tc>
          <w:tcPr>
            <w:tcW w:w="711" w:type="pct"/>
            <w:gridSpan w:val="3"/>
            <w:shd w:val="clear" w:color="auto" w:fill="auto"/>
            <w:vAlign w:val="center"/>
          </w:tcPr>
          <w:p w:rsidR="00B669DE" w:rsidRPr="00B73618" w:rsidDel="002B0524" w:rsidRDefault="00B669DE" w:rsidP="00027D5E">
            <w:pPr>
              <w:rPr>
                <w:rFonts w:ascii="Arial Narrow" w:hAnsi="Arial Narrow"/>
                <w:sz w:val="20"/>
                <w:szCs w:val="18"/>
              </w:rPr>
            </w:pPr>
            <w:r w:rsidRPr="00B73618" w:rsidDel="002B0524">
              <w:rPr>
                <w:rFonts w:ascii="Arial Narrow" w:hAnsi="Arial Narrow"/>
                <w:sz w:val="20"/>
                <w:szCs w:val="18"/>
              </w:rPr>
              <w:t>PA-CL-05A maintenance</w:t>
            </w:r>
          </w:p>
        </w:tc>
        <w:tc>
          <w:tcPr>
            <w:tcW w:w="703" w:type="pct"/>
            <w:gridSpan w:val="2"/>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711" w:type="pct"/>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687" w:type="pct"/>
            <w:gridSpan w:val="2"/>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807" w:type="pct"/>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810" w:type="pct"/>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571" w:type="pct"/>
            <w:vAlign w:val="center"/>
          </w:tcPr>
          <w:p w:rsidR="00B669DE" w:rsidRPr="002872FE" w:rsidDel="002B0524" w:rsidRDefault="002872FE" w:rsidP="00027D5E">
            <w:pPr>
              <w:jc w:val="center"/>
              <w:rPr>
                <w:rFonts w:ascii="Arial Narrow" w:hAnsi="Arial Narrow"/>
                <w:sz w:val="20"/>
                <w:szCs w:val="18"/>
                <w:highlight w:val="black"/>
              </w:rPr>
            </w:pPr>
            <w:r>
              <w:rPr>
                <w:rFonts w:ascii="Arial Narrow" w:hAnsi="Arial Narrow"/>
                <w:noProof/>
                <w:color w:val="000000"/>
                <w:sz w:val="20"/>
                <w:szCs w:val="18"/>
                <w:highlight w:val="black"/>
              </w:rPr>
              <w:t>''''''''</w:t>
            </w:r>
          </w:p>
        </w:tc>
      </w:tr>
      <w:tr w:rsidR="00B669DE" w:rsidRPr="00B73618" w:rsidDel="002B0524" w:rsidTr="006969DD">
        <w:tc>
          <w:tcPr>
            <w:tcW w:w="5000" w:type="pct"/>
            <w:gridSpan w:val="11"/>
            <w:shd w:val="clear" w:color="auto" w:fill="auto"/>
            <w:vAlign w:val="center"/>
          </w:tcPr>
          <w:p w:rsidR="00B669DE" w:rsidRPr="00B73618" w:rsidDel="002B0524" w:rsidRDefault="00B669DE" w:rsidP="00027D5E">
            <w:pPr>
              <w:rPr>
                <w:rFonts w:ascii="Arial Narrow" w:hAnsi="Arial Narrow"/>
                <w:sz w:val="20"/>
                <w:szCs w:val="18"/>
              </w:rPr>
            </w:pPr>
            <w:r w:rsidRPr="00B73618" w:rsidDel="002B0524">
              <w:rPr>
                <w:rFonts w:ascii="Arial Narrow" w:hAnsi="Arial Narrow"/>
                <w:b/>
                <w:sz w:val="20"/>
                <w:szCs w:val="18"/>
              </w:rPr>
              <w:t>Hyperphosphataemia</w:t>
            </w:r>
          </w:p>
        </w:tc>
      </w:tr>
      <w:tr w:rsidR="00B669DE" w:rsidRPr="00B73618" w:rsidDel="002B0524" w:rsidTr="002B0524">
        <w:tc>
          <w:tcPr>
            <w:tcW w:w="700" w:type="pct"/>
            <w:gridSpan w:val="2"/>
            <w:shd w:val="clear" w:color="auto" w:fill="auto"/>
            <w:vAlign w:val="center"/>
          </w:tcPr>
          <w:p w:rsidR="00B669DE" w:rsidRPr="00B73618" w:rsidDel="002B0524" w:rsidRDefault="00B669DE" w:rsidP="00027D5E">
            <w:pPr>
              <w:rPr>
                <w:rFonts w:ascii="Arial Narrow" w:hAnsi="Arial Narrow"/>
                <w:sz w:val="20"/>
                <w:szCs w:val="18"/>
              </w:rPr>
            </w:pPr>
            <w:r w:rsidRPr="00B73618" w:rsidDel="002B0524">
              <w:rPr>
                <w:rFonts w:ascii="Arial Narrow" w:hAnsi="Arial Narrow"/>
                <w:sz w:val="20"/>
                <w:szCs w:val="18"/>
              </w:rPr>
              <w:t>PA-CL-05A titration</w:t>
            </w:r>
          </w:p>
        </w:tc>
        <w:tc>
          <w:tcPr>
            <w:tcW w:w="714" w:type="pct"/>
            <w:gridSpan w:val="3"/>
            <w:vAlign w:val="center"/>
          </w:tcPr>
          <w:p w:rsidR="00B669DE" w:rsidRPr="002872FE" w:rsidDel="002B0524" w:rsidRDefault="002872FE" w:rsidP="00027D5E">
            <w:pPr>
              <w:jc w:val="center"/>
              <w:rPr>
                <w:rFonts w:ascii="Arial Narrow" w:hAnsi="Arial Narrow"/>
                <w:sz w:val="20"/>
                <w:highlight w:val="black"/>
              </w:rPr>
            </w:pPr>
            <w:r>
              <w:rPr>
                <w:rFonts w:ascii="Arial Narrow" w:hAnsi="Arial Narrow"/>
                <w:noProof/>
                <w:color w:val="000000"/>
                <w:sz w:val="20"/>
                <w:highlight w:val="black"/>
              </w:rPr>
              <w:t>''''''''''''''''</w:t>
            </w:r>
          </w:p>
        </w:tc>
        <w:tc>
          <w:tcPr>
            <w:tcW w:w="711" w:type="pct"/>
            <w:vAlign w:val="center"/>
          </w:tcPr>
          <w:p w:rsidR="00B669DE" w:rsidRPr="002872FE" w:rsidDel="002B0524" w:rsidRDefault="002872FE" w:rsidP="00027D5E">
            <w:pPr>
              <w:jc w:val="center"/>
              <w:rPr>
                <w:rFonts w:ascii="Arial Narrow" w:hAnsi="Arial Narrow"/>
                <w:sz w:val="20"/>
                <w:highlight w:val="black"/>
              </w:rPr>
            </w:pPr>
            <w:r>
              <w:rPr>
                <w:rFonts w:ascii="Arial Narrow" w:hAnsi="Arial Narrow"/>
                <w:noProof/>
                <w:color w:val="000000"/>
                <w:sz w:val="20"/>
                <w:highlight w:val="black"/>
              </w:rPr>
              <w:t>'''''''''''''''</w:t>
            </w:r>
          </w:p>
        </w:tc>
        <w:tc>
          <w:tcPr>
            <w:tcW w:w="687" w:type="pct"/>
            <w:gridSpan w:val="2"/>
            <w:vAlign w:val="center"/>
          </w:tcPr>
          <w:p w:rsidR="00B669DE" w:rsidRPr="002872FE" w:rsidDel="002B0524" w:rsidRDefault="002872FE" w:rsidP="00027D5E">
            <w:pPr>
              <w:jc w:val="center"/>
              <w:rPr>
                <w:rFonts w:ascii="Arial Narrow" w:hAnsi="Arial Narrow"/>
                <w:sz w:val="20"/>
                <w:highlight w:val="black"/>
              </w:rPr>
            </w:pPr>
            <w:r>
              <w:rPr>
                <w:rFonts w:ascii="Arial Narrow" w:hAnsi="Arial Narrow"/>
                <w:noProof/>
                <w:color w:val="000000"/>
                <w:sz w:val="20"/>
                <w:highlight w:val="black"/>
              </w:rPr>
              <w:t>'''''''</w:t>
            </w:r>
          </w:p>
        </w:tc>
        <w:tc>
          <w:tcPr>
            <w:tcW w:w="807" w:type="pct"/>
            <w:vAlign w:val="center"/>
          </w:tcPr>
          <w:p w:rsidR="00B669DE" w:rsidRPr="002872FE" w:rsidDel="002B0524" w:rsidRDefault="002872FE" w:rsidP="00027D5E">
            <w:pPr>
              <w:jc w:val="center"/>
              <w:rPr>
                <w:rFonts w:ascii="Arial Narrow" w:hAnsi="Arial Narrow"/>
                <w:sz w:val="20"/>
                <w:highlight w:val="black"/>
              </w:rPr>
            </w:pPr>
            <w:r>
              <w:rPr>
                <w:rFonts w:ascii="Arial Narrow" w:hAnsi="Arial Narrow"/>
                <w:noProof/>
                <w:color w:val="000000"/>
                <w:sz w:val="20"/>
                <w:highlight w:val="black"/>
              </w:rPr>
              <w:t>''''</w:t>
            </w:r>
          </w:p>
        </w:tc>
        <w:tc>
          <w:tcPr>
            <w:tcW w:w="810" w:type="pct"/>
            <w:vAlign w:val="center"/>
          </w:tcPr>
          <w:p w:rsidR="00B669DE" w:rsidRPr="002872FE" w:rsidDel="002B0524" w:rsidRDefault="002872FE" w:rsidP="00027D5E">
            <w:pPr>
              <w:jc w:val="center"/>
              <w:rPr>
                <w:rFonts w:ascii="Arial Narrow" w:hAnsi="Arial Narrow"/>
                <w:sz w:val="20"/>
                <w:highlight w:val="black"/>
              </w:rPr>
            </w:pPr>
            <w:r>
              <w:rPr>
                <w:rFonts w:ascii="Arial Narrow" w:hAnsi="Arial Narrow"/>
                <w:noProof/>
                <w:color w:val="000000"/>
                <w:sz w:val="20"/>
                <w:highlight w:val="black"/>
              </w:rPr>
              <w:t>'''</w:t>
            </w:r>
          </w:p>
        </w:tc>
        <w:tc>
          <w:tcPr>
            <w:tcW w:w="571" w:type="pct"/>
            <w:vAlign w:val="center"/>
          </w:tcPr>
          <w:p w:rsidR="00B669DE" w:rsidRPr="002872FE" w:rsidDel="002B0524" w:rsidRDefault="002872FE" w:rsidP="00027D5E">
            <w:pPr>
              <w:jc w:val="center"/>
              <w:rPr>
                <w:rFonts w:ascii="Arial Narrow" w:hAnsi="Arial Narrow"/>
                <w:sz w:val="20"/>
                <w:highlight w:val="black"/>
              </w:rPr>
            </w:pPr>
            <w:r>
              <w:rPr>
                <w:rFonts w:ascii="Arial Narrow" w:hAnsi="Arial Narrow"/>
                <w:noProof/>
                <w:color w:val="000000"/>
                <w:sz w:val="20"/>
                <w:highlight w:val="black"/>
              </w:rPr>
              <w:t>''''''''</w:t>
            </w:r>
          </w:p>
        </w:tc>
      </w:tr>
      <w:tr w:rsidR="00B669DE" w:rsidRPr="00B73618" w:rsidDel="002B0524" w:rsidTr="002B0524">
        <w:tc>
          <w:tcPr>
            <w:tcW w:w="700" w:type="pct"/>
            <w:gridSpan w:val="2"/>
            <w:shd w:val="clear" w:color="auto" w:fill="auto"/>
            <w:vAlign w:val="center"/>
          </w:tcPr>
          <w:p w:rsidR="00B669DE" w:rsidRPr="00B73618" w:rsidDel="002B0524" w:rsidRDefault="00B669DE" w:rsidP="00027D5E">
            <w:pPr>
              <w:contextualSpacing/>
              <w:rPr>
                <w:rFonts w:ascii="Arial Narrow" w:hAnsi="Arial Narrow"/>
                <w:sz w:val="20"/>
                <w:szCs w:val="18"/>
              </w:rPr>
            </w:pPr>
            <w:r w:rsidRPr="00B73618" w:rsidDel="002B0524">
              <w:rPr>
                <w:rFonts w:ascii="Arial Narrow" w:hAnsi="Arial Narrow"/>
                <w:sz w:val="20"/>
                <w:szCs w:val="18"/>
              </w:rPr>
              <w:t>PA-CL-05A maintenance</w:t>
            </w:r>
          </w:p>
        </w:tc>
        <w:tc>
          <w:tcPr>
            <w:tcW w:w="714" w:type="pct"/>
            <w:gridSpan w:val="3"/>
            <w:vAlign w:val="center"/>
          </w:tcPr>
          <w:p w:rsidR="00B669DE" w:rsidRPr="002872FE" w:rsidDel="002B0524" w:rsidRDefault="002872FE" w:rsidP="00027D5E">
            <w:pPr>
              <w:contextualSpacing/>
              <w:jc w:val="center"/>
              <w:rPr>
                <w:rFonts w:ascii="Arial Narrow" w:hAnsi="Arial Narrow"/>
                <w:sz w:val="20"/>
                <w:highlight w:val="black"/>
              </w:rPr>
            </w:pPr>
            <w:r>
              <w:rPr>
                <w:rFonts w:ascii="Arial Narrow" w:hAnsi="Arial Narrow"/>
                <w:noProof/>
                <w:color w:val="000000"/>
                <w:sz w:val="20"/>
                <w:highlight w:val="black"/>
              </w:rPr>
              <w:t>'''''''''''''''''</w:t>
            </w:r>
          </w:p>
        </w:tc>
        <w:tc>
          <w:tcPr>
            <w:tcW w:w="711" w:type="pct"/>
            <w:vAlign w:val="center"/>
          </w:tcPr>
          <w:p w:rsidR="00B669DE" w:rsidRPr="002872FE" w:rsidDel="002B0524" w:rsidRDefault="002872FE" w:rsidP="00027D5E">
            <w:pPr>
              <w:contextualSpacing/>
              <w:jc w:val="center"/>
              <w:rPr>
                <w:rFonts w:ascii="Arial Narrow" w:hAnsi="Arial Narrow"/>
                <w:sz w:val="20"/>
                <w:highlight w:val="black"/>
              </w:rPr>
            </w:pPr>
            <w:r>
              <w:rPr>
                <w:rFonts w:ascii="Arial Narrow" w:hAnsi="Arial Narrow"/>
                <w:noProof/>
                <w:color w:val="000000"/>
                <w:sz w:val="20"/>
                <w:highlight w:val="black"/>
              </w:rPr>
              <w:t>''''''''''''''''''</w:t>
            </w:r>
          </w:p>
        </w:tc>
        <w:tc>
          <w:tcPr>
            <w:tcW w:w="687" w:type="pct"/>
            <w:gridSpan w:val="2"/>
            <w:vAlign w:val="center"/>
          </w:tcPr>
          <w:p w:rsidR="00B669DE" w:rsidRPr="002872FE" w:rsidDel="002B0524" w:rsidRDefault="002872FE" w:rsidP="00027D5E">
            <w:pPr>
              <w:contextualSpacing/>
              <w:jc w:val="center"/>
              <w:rPr>
                <w:rFonts w:ascii="Arial Narrow" w:hAnsi="Arial Narrow"/>
                <w:sz w:val="20"/>
                <w:highlight w:val="black"/>
              </w:rPr>
            </w:pPr>
            <w:r>
              <w:rPr>
                <w:rFonts w:ascii="Arial Narrow" w:hAnsi="Arial Narrow"/>
                <w:noProof/>
                <w:color w:val="000000"/>
                <w:sz w:val="20"/>
                <w:highlight w:val="black"/>
              </w:rPr>
              <w:t>''''''''</w:t>
            </w:r>
          </w:p>
        </w:tc>
        <w:tc>
          <w:tcPr>
            <w:tcW w:w="807" w:type="pct"/>
            <w:vAlign w:val="center"/>
          </w:tcPr>
          <w:p w:rsidR="00B669DE" w:rsidRPr="002872FE" w:rsidDel="002B0524" w:rsidRDefault="002872FE" w:rsidP="00027D5E">
            <w:pPr>
              <w:contextualSpacing/>
              <w:jc w:val="center"/>
              <w:rPr>
                <w:rFonts w:ascii="Arial Narrow" w:hAnsi="Arial Narrow"/>
                <w:sz w:val="20"/>
                <w:highlight w:val="black"/>
              </w:rPr>
            </w:pPr>
            <w:r>
              <w:rPr>
                <w:rFonts w:ascii="Arial Narrow" w:hAnsi="Arial Narrow"/>
                <w:noProof/>
                <w:color w:val="000000"/>
                <w:sz w:val="20"/>
                <w:highlight w:val="black"/>
              </w:rPr>
              <w:t>'''</w:t>
            </w:r>
          </w:p>
        </w:tc>
        <w:tc>
          <w:tcPr>
            <w:tcW w:w="810" w:type="pct"/>
            <w:vAlign w:val="center"/>
          </w:tcPr>
          <w:p w:rsidR="00B669DE" w:rsidRPr="002872FE" w:rsidDel="002B0524" w:rsidRDefault="002872FE" w:rsidP="00027D5E">
            <w:pPr>
              <w:contextualSpacing/>
              <w:jc w:val="center"/>
              <w:rPr>
                <w:rFonts w:ascii="Arial Narrow" w:hAnsi="Arial Narrow"/>
                <w:sz w:val="20"/>
                <w:highlight w:val="black"/>
              </w:rPr>
            </w:pPr>
            <w:r>
              <w:rPr>
                <w:rFonts w:ascii="Arial Narrow" w:hAnsi="Arial Narrow"/>
                <w:noProof/>
                <w:color w:val="000000"/>
                <w:sz w:val="20"/>
                <w:highlight w:val="black"/>
              </w:rPr>
              <w:t>'''</w:t>
            </w:r>
          </w:p>
        </w:tc>
        <w:tc>
          <w:tcPr>
            <w:tcW w:w="571" w:type="pct"/>
            <w:vAlign w:val="center"/>
          </w:tcPr>
          <w:p w:rsidR="00B669DE" w:rsidRPr="002872FE" w:rsidDel="002B0524" w:rsidRDefault="002872FE" w:rsidP="00027D5E">
            <w:pPr>
              <w:contextualSpacing/>
              <w:jc w:val="center"/>
              <w:rPr>
                <w:rFonts w:ascii="Arial Narrow" w:hAnsi="Arial Narrow"/>
                <w:sz w:val="20"/>
                <w:highlight w:val="black"/>
              </w:rPr>
            </w:pPr>
            <w:r>
              <w:rPr>
                <w:rFonts w:ascii="Arial Narrow" w:hAnsi="Arial Narrow"/>
                <w:noProof/>
                <w:color w:val="000000"/>
                <w:sz w:val="20"/>
                <w:highlight w:val="black"/>
              </w:rPr>
              <w:t>'''''''</w:t>
            </w:r>
          </w:p>
        </w:tc>
      </w:tr>
    </w:tbl>
    <w:p w:rsidR="009C6311" w:rsidRPr="00B73618" w:rsidRDefault="009C6311" w:rsidP="00027D5E">
      <w:pPr>
        <w:contextualSpacing/>
      </w:pPr>
    </w:p>
    <w:p w:rsidR="002B0524" w:rsidRDefault="002B0524" w:rsidP="00027D5E">
      <w:pPr>
        <w:pStyle w:val="TableFooter"/>
        <w:ind w:firstLine="720"/>
        <w:contextualSpacing/>
      </w:pPr>
    </w:p>
    <w:p w:rsidR="002B0524" w:rsidRDefault="002B0524" w:rsidP="00027D5E">
      <w:pPr>
        <w:pStyle w:val="TableFooter"/>
        <w:ind w:firstLine="720"/>
        <w:contextualSpacing/>
      </w:pPr>
    </w:p>
    <w:p w:rsidR="002B0524" w:rsidRDefault="002B0524" w:rsidP="00027D5E">
      <w:pPr>
        <w:pStyle w:val="TableFooter"/>
        <w:ind w:firstLine="720"/>
        <w:contextualSpacing/>
      </w:pPr>
    </w:p>
    <w:p w:rsidR="002B0524" w:rsidRDefault="002B0524" w:rsidP="00027D5E">
      <w:pPr>
        <w:pStyle w:val="TableFooter"/>
        <w:ind w:firstLine="720"/>
        <w:contextualSpacing/>
      </w:pPr>
    </w:p>
    <w:p w:rsidR="002B0524" w:rsidRDefault="002B0524" w:rsidP="00027D5E">
      <w:pPr>
        <w:pStyle w:val="TableFooter"/>
        <w:ind w:firstLine="720"/>
        <w:contextualSpacing/>
      </w:pPr>
    </w:p>
    <w:p w:rsidR="00027D5E" w:rsidRDefault="00027D5E" w:rsidP="00027D5E">
      <w:pPr>
        <w:pStyle w:val="TableFooter"/>
        <w:ind w:left="720"/>
        <w:contextualSpacing/>
      </w:pPr>
      <w:r>
        <w:t>A</w:t>
      </w:r>
      <w:r w:rsidRPr="00FF38E4">
        <w:t>bbreviations: least squares (LS), not reported (NR), risk difference (RD), standard error (SE)</w:t>
      </w:r>
    </w:p>
    <w:p w:rsidR="00027D5E" w:rsidRPr="00B73618" w:rsidRDefault="00027D5E" w:rsidP="00027D5E">
      <w:pPr>
        <w:pStyle w:val="TableFooter"/>
        <w:ind w:firstLine="720"/>
        <w:contextualSpacing/>
      </w:pPr>
      <w:r w:rsidRPr="00B73618">
        <w:t>Source: Compiled during the evaluation</w:t>
      </w:r>
    </w:p>
    <w:p w:rsidR="00027D5E" w:rsidRPr="00B73618" w:rsidRDefault="00027D5E" w:rsidP="00027D5E">
      <w:pPr>
        <w:pStyle w:val="TableFooter"/>
        <w:ind w:firstLine="720"/>
        <w:rPr>
          <w:bCs/>
          <w:color w:val="E36C0A" w:themeColor="accent6" w:themeShade="BF"/>
        </w:rPr>
      </w:pPr>
      <w:r w:rsidRPr="00B73618">
        <w:t>Note: Event rates per 100 patients rounded up to the nearest whole number</w:t>
      </w:r>
    </w:p>
    <w:p w:rsidR="00B60939" w:rsidRPr="00B73618" w:rsidRDefault="00B60939" w:rsidP="0033597B"/>
    <w:p w:rsidR="00DF16E3" w:rsidRPr="00027D5E" w:rsidRDefault="00F643B9" w:rsidP="00DF16E3">
      <w:pPr>
        <w:pStyle w:val="ListParagraph"/>
        <w:numPr>
          <w:ilvl w:val="1"/>
          <w:numId w:val="8"/>
        </w:numPr>
        <w:rPr>
          <w:lang w:val="en-US"/>
        </w:rPr>
      </w:pPr>
      <w:r w:rsidRPr="00027D5E">
        <w:rPr>
          <w:lang w:val="en-US"/>
        </w:rPr>
        <w:t>On the basis of the head to head trials, sucroferric oxyhydroxide appears to have the same effect as sevelamer in the treatment of hyperphosphataemia at 24 weeks</w:t>
      </w:r>
      <w:r w:rsidR="00E233AF" w:rsidRPr="00027D5E">
        <w:rPr>
          <w:lang w:val="en-US"/>
        </w:rPr>
        <w:t xml:space="preserve"> ie there would be no difference in the number of patients achieving serum phosphate targets at 24 weeks, based on the KDOQI and KDIGO targets</w:t>
      </w:r>
      <w:r w:rsidRPr="00027D5E">
        <w:rPr>
          <w:lang w:val="en-US"/>
        </w:rPr>
        <w:t>. However, s</w:t>
      </w:r>
      <w:r w:rsidRPr="00295FED">
        <w:t>evelamer carbonate appears to achieve serum phosphorus control faster than sucroferric oxyhydroxide.</w:t>
      </w:r>
      <w:r w:rsidR="00463551">
        <w:t xml:space="preserve"> </w:t>
      </w:r>
      <w:r w:rsidR="00DF16E3" w:rsidRPr="00027D5E">
        <w:rPr>
          <w:lang w:val="en-US"/>
        </w:rPr>
        <w:t xml:space="preserve">The pre-PBAC response (p2) argued that the inferior results seen at week 12 are due to a sub-optimal starting dose of 1000mg/day being used in the trial, which has since been recognised by the TGA in recommending a starting dose of 1500mg/day in the product information. The applicability of 12 week outcomes is therefore argued to be questionable. </w:t>
      </w:r>
    </w:p>
    <w:p w:rsidR="00027D5E" w:rsidRPr="00027D5E" w:rsidRDefault="00027D5E" w:rsidP="00027D5E">
      <w:pPr>
        <w:pStyle w:val="ListParagraph"/>
        <w:rPr>
          <w:lang w:val="en-US"/>
        </w:rPr>
      </w:pPr>
    </w:p>
    <w:p w:rsidR="0033597B" w:rsidRPr="00F643B9" w:rsidRDefault="00F643B9" w:rsidP="002D01C2">
      <w:pPr>
        <w:pStyle w:val="ListParagraph"/>
        <w:numPr>
          <w:ilvl w:val="1"/>
          <w:numId w:val="8"/>
        </w:numPr>
        <w:rPr>
          <w:lang w:val="en-US"/>
        </w:rPr>
      </w:pPr>
      <w:r w:rsidRPr="00295FED">
        <w:rPr>
          <w:lang w:val="en-US"/>
        </w:rPr>
        <w:t>At</w:t>
      </w:r>
      <w:r w:rsidR="005F2FC8" w:rsidRPr="00295FED">
        <w:rPr>
          <w:lang w:val="en-US"/>
        </w:rPr>
        <w:t xml:space="preserve"> 12 w</w:t>
      </w:r>
      <w:r w:rsidRPr="00295FED">
        <w:rPr>
          <w:lang w:val="en-US"/>
        </w:rPr>
        <w:t>ee</w:t>
      </w:r>
      <w:r w:rsidR="005F2FC8" w:rsidRPr="00295FED">
        <w:rPr>
          <w:lang w:val="en-US"/>
        </w:rPr>
        <w:t>ks</w:t>
      </w:r>
      <w:r w:rsidRPr="00F643B9">
        <w:rPr>
          <w:lang w:val="en-US"/>
        </w:rPr>
        <w:t>,</w:t>
      </w:r>
      <w:r>
        <w:rPr>
          <w:lang w:val="en-US"/>
        </w:rPr>
        <w:t xml:space="preserve"> o</w:t>
      </w:r>
      <w:r w:rsidR="0033597B" w:rsidRPr="00F643B9">
        <w:rPr>
          <w:lang w:val="en-US"/>
        </w:rPr>
        <w:t>n the basis of direct evidence presented in the submission, the comparison of sucroferric oxyhydroxide and sevelamer resulted in:</w:t>
      </w:r>
    </w:p>
    <w:p w:rsidR="0033597B" w:rsidRDefault="0033597B" w:rsidP="002D01C2">
      <w:pPr>
        <w:pStyle w:val="ListParagraph"/>
        <w:numPr>
          <w:ilvl w:val="0"/>
          <w:numId w:val="24"/>
        </w:numPr>
        <w:rPr>
          <w:lang w:val="en-US"/>
        </w:rPr>
      </w:pPr>
      <w:r w:rsidRPr="00B73618">
        <w:rPr>
          <w:lang w:val="en-US"/>
        </w:rPr>
        <w:t>Approximately a 0.08mmol/L smaller reduction from baseline in mean serum phosphorus with sucroferric oxyhydroxide versus sevelamer at 12 weeks.</w:t>
      </w:r>
    </w:p>
    <w:p w:rsidR="00027D5E" w:rsidRPr="00B73618" w:rsidRDefault="00027D5E" w:rsidP="00027D5E">
      <w:pPr>
        <w:pStyle w:val="ListParagraph"/>
        <w:ind w:left="1080"/>
        <w:rPr>
          <w:lang w:val="en-US"/>
        </w:rPr>
      </w:pPr>
    </w:p>
    <w:p w:rsidR="00FC1884" w:rsidRPr="00B73618" w:rsidRDefault="00EC00C9" w:rsidP="00B24135">
      <w:pPr>
        <w:pStyle w:val="ListParagraph"/>
        <w:widowControl/>
        <w:numPr>
          <w:ilvl w:val="1"/>
          <w:numId w:val="8"/>
        </w:numPr>
        <w:rPr>
          <w:szCs w:val="22"/>
        </w:rPr>
      </w:pPr>
      <w:r w:rsidRPr="00B73618">
        <w:t xml:space="preserve">On the basis of direct evidence presented </w:t>
      </w:r>
      <w:r w:rsidR="00345149" w:rsidRPr="00B73618">
        <w:t>in</w:t>
      </w:r>
      <w:r w:rsidRPr="00B73618">
        <w:t xml:space="preserve"> the submission, for every 100 patients treated with </w:t>
      </w:r>
      <w:r w:rsidR="00345149" w:rsidRPr="00B73618">
        <w:t xml:space="preserve">sucroferric oxyhydroxide </w:t>
      </w:r>
      <w:r w:rsidRPr="00B73618">
        <w:t xml:space="preserve">in comparison to </w:t>
      </w:r>
      <w:r w:rsidR="00345149" w:rsidRPr="00B73618">
        <w:t>sevelamer</w:t>
      </w:r>
      <w:r w:rsidRPr="00B73618">
        <w:t>;</w:t>
      </w:r>
    </w:p>
    <w:p w:rsidR="00345149" w:rsidRPr="00B73618" w:rsidRDefault="00FC1884" w:rsidP="00AC0F0B">
      <w:pPr>
        <w:pStyle w:val="ListParagraph"/>
        <w:widowControl/>
        <w:numPr>
          <w:ilvl w:val="0"/>
          <w:numId w:val="7"/>
        </w:numPr>
        <w:ind w:left="1004" w:hanging="284"/>
      </w:pPr>
      <w:r w:rsidRPr="00B73618">
        <w:t>Approximately 1</w:t>
      </w:r>
      <w:r w:rsidR="00345149" w:rsidRPr="00B73618">
        <w:t>0 fewer patients would achieve serum phosphate control at 12 weeks, based on the KDOQI target range</w:t>
      </w:r>
      <w:r w:rsidR="00AC0F0B">
        <w:t>, and a</w:t>
      </w:r>
      <w:r w:rsidR="00345149" w:rsidRPr="00B73618">
        <w:t>pproximately 8 fewer patients would achieve serum phosphate control at 12 weeks, based on the KDIGO normal range;</w:t>
      </w:r>
    </w:p>
    <w:p w:rsidR="00B60939" w:rsidRPr="002F7D38" w:rsidRDefault="00EF1172" w:rsidP="0033597B">
      <w:pPr>
        <w:pStyle w:val="ListParagraph"/>
        <w:widowControl/>
        <w:numPr>
          <w:ilvl w:val="0"/>
          <w:numId w:val="7"/>
        </w:numPr>
        <w:ind w:left="1004" w:hanging="284"/>
        <w:rPr>
          <w:szCs w:val="22"/>
        </w:rPr>
      </w:pPr>
      <w:r w:rsidRPr="00B73618">
        <w:t xml:space="preserve">Approximately </w:t>
      </w:r>
      <w:r w:rsidR="00836C64" w:rsidRPr="00B73618">
        <w:t xml:space="preserve">12 </w:t>
      </w:r>
      <w:r w:rsidRPr="00B73618">
        <w:t>additional patients would experience diarrhoea</w:t>
      </w:r>
      <w:r w:rsidR="00836C64" w:rsidRPr="00B73618">
        <w:t xml:space="preserve"> during titration and 3 additional patients would experience diarrhoea during maintenance therapy</w:t>
      </w:r>
      <w:r w:rsidRPr="00B73618">
        <w:t>;</w:t>
      </w:r>
    </w:p>
    <w:p w:rsidR="00EF1172" w:rsidRPr="00B73618" w:rsidRDefault="00EF1172" w:rsidP="0033597B">
      <w:pPr>
        <w:pStyle w:val="ListParagraph"/>
        <w:widowControl/>
        <w:numPr>
          <w:ilvl w:val="0"/>
          <w:numId w:val="7"/>
        </w:numPr>
        <w:ind w:left="1004" w:hanging="284"/>
        <w:rPr>
          <w:szCs w:val="22"/>
        </w:rPr>
      </w:pPr>
      <w:r w:rsidRPr="00B73618">
        <w:rPr>
          <w:szCs w:val="22"/>
        </w:rPr>
        <w:t xml:space="preserve">Approximately </w:t>
      </w:r>
      <w:r w:rsidR="00836C64" w:rsidRPr="00B73618">
        <w:rPr>
          <w:szCs w:val="22"/>
        </w:rPr>
        <w:t>15</w:t>
      </w:r>
      <w:r w:rsidRPr="00B73618">
        <w:rPr>
          <w:szCs w:val="22"/>
        </w:rPr>
        <w:t xml:space="preserve"> additional patient</w:t>
      </w:r>
      <w:r w:rsidR="00836C64" w:rsidRPr="00B73618">
        <w:rPr>
          <w:szCs w:val="22"/>
        </w:rPr>
        <w:t>s</w:t>
      </w:r>
      <w:r w:rsidRPr="00B73618">
        <w:rPr>
          <w:szCs w:val="22"/>
        </w:rPr>
        <w:t xml:space="preserve"> would experience </w:t>
      </w:r>
      <w:r w:rsidR="00836C64" w:rsidRPr="00B73618">
        <w:rPr>
          <w:szCs w:val="22"/>
        </w:rPr>
        <w:t xml:space="preserve">discoloured faeces during </w:t>
      </w:r>
      <w:r w:rsidR="00715C5B" w:rsidRPr="00B73618">
        <w:rPr>
          <w:szCs w:val="22"/>
        </w:rPr>
        <w:t>titra</w:t>
      </w:r>
      <w:r w:rsidR="00836C64" w:rsidRPr="00B73618">
        <w:rPr>
          <w:szCs w:val="22"/>
        </w:rPr>
        <w:t>tion</w:t>
      </w:r>
      <w:r w:rsidR="007757B2" w:rsidRPr="00B73618">
        <w:rPr>
          <w:szCs w:val="22"/>
        </w:rPr>
        <w:t xml:space="preserve"> of therapy</w:t>
      </w:r>
      <w:r w:rsidRPr="00B73618">
        <w:rPr>
          <w:szCs w:val="22"/>
        </w:rPr>
        <w:t>;</w:t>
      </w:r>
    </w:p>
    <w:p w:rsidR="00B60939" w:rsidRPr="00B73618" w:rsidRDefault="00EF1172" w:rsidP="00345149">
      <w:pPr>
        <w:pStyle w:val="ListParagraph"/>
        <w:widowControl/>
        <w:numPr>
          <w:ilvl w:val="0"/>
          <w:numId w:val="7"/>
        </w:numPr>
        <w:ind w:left="1004" w:hanging="284"/>
        <w:rPr>
          <w:szCs w:val="22"/>
        </w:rPr>
      </w:pPr>
      <w:r w:rsidRPr="00B73618">
        <w:rPr>
          <w:szCs w:val="22"/>
        </w:rPr>
        <w:t xml:space="preserve">Approximately </w:t>
      </w:r>
      <w:r w:rsidR="007757B2" w:rsidRPr="00B73618">
        <w:rPr>
          <w:szCs w:val="22"/>
        </w:rPr>
        <w:t xml:space="preserve">3 additional patients would experience hyperphosphataemia during titration and </w:t>
      </w:r>
      <w:r w:rsidRPr="00B73618">
        <w:rPr>
          <w:szCs w:val="22"/>
        </w:rPr>
        <w:t>2 additional patients would experience hyperphosphataemia</w:t>
      </w:r>
      <w:r w:rsidR="007757B2" w:rsidRPr="00B73618">
        <w:rPr>
          <w:szCs w:val="22"/>
        </w:rPr>
        <w:t xml:space="preserve"> during maintenance therapy</w:t>
      </w:r>
      <w:r w:rsidRPr="00B73618">
        <w:rPr>
          <w:szCs w:val="22"/>
        </w:rPr>
        <w:t>.</w:t>
      </w:r>
    </w:p>
    <w:p w:rsidR="003D3B22" w:rsidRDefault="003D3B22" w:rsidP="00295FED">
      <w:pPr>
        <w:widowControl/>
        <w:ind w:left="1004"/>
        <w:jc w:val="left"/>
        <w:rPr>
          <w:b/>
        </w:rPr>
      </w:pPr>
    </w:p>
    <w:p w:rsidR="00295FED" w:rsidRPr="00B97359" w:rsidRDefault="00295FED" w:rsidP="00295FED">
      <w:pPr>
        <w:pStyle w:val="ListParagraph"/>
        <w:ind w:left="709"/>
        <w:rPr>
          <w:i/>
          <w:szCs w:val="22"/>
        </w:rPr>
      </w:pPr>
      <w:r w:rsidRPr="00B97359">
        <w:rPr>
          <w:i/>
          <w:szCs w:val="22"/>
        </w:rPr>
        <w:t>For more detail on PBAC’s view, see section 7 “PBAC outcome”</w:t>
      </w:r>
    </w:p>
    <w:p w:rsidR="00295FED" w:rsidRPr="00B97359" w:rsidRDefault="00295FED" w:rsidP="00295FED">
      <w:pPr>
        <w:widowControl/>
        <w:ind w:left="1004"/>
        <w:jc w:val="left"/>
        <w:rPr>
          <w:b/>
        </w:rPr>
      </w:pPr>
    </w:p>
    <w:p w:rsidR="00B60939" w:rsidRPr="008B6779" w:rsidRDefault="00B60939" w:rsidP="008B6779">
      <w:pPr>
        <w:rPr>
          <w:b/>
          <w:szCs w:val="22"/>
        </w:rPr>
      </w:pPr>
      <w:bookmarkStart w:id="13" w:name="_Toc398708609"/>
      <w:r w:rsidRPr="008B6779">
        <w:rPr>
          <w:b/>
          <w:szCs w:val="22"/>
        </w:rPr>
        <w:t>Clinical claim</w:t>
      </w:r>
      <w:bookmarkEnd w:id="13"/>
    </w:p>
    <w:p w:rsidR="00B60939" w:rsidRPr="00B97359" w:rsidRDefault="00B60939" w:rsidP="00B60939">
      <w:pPr>
        <w:ind w:left="720" w:hanging="720"/>
        <w:rPr>
          <w:color w:val="E36C0A" w:themeColor="accent6" w:themeShade="BF"/>
          <w:szCs w:val="22"/>
        </w:rPr>
      </w:pPr>
    </w:p>
    <w:p w:rsidR="008C0592" w:rsidRPr="00B97359" w:rsidRDefault="00AB4DAF" w:rsidP="00D247D9">
      <w:pPr>
        <w:pStyle w:val="ListParagraph"/>
        <w:widowControl/>
        <w:numPr>
          <w:ilvl w:val="1"/>
          <w:numId w:val="8"/>
        </w:numPr>
      </w:pPr>
      <w:r w:rsidRPr="00B97359">
        <w:lastRenderedPageBreak/>
        <w:t>The submission describes sucroferric oxyhydroxide as non-inferior in terms of efficacy and safety compared to sevelamer</w:t>
      </w:r>
      <w:r w:rsidR="003813DB" w:rsidRPr="00B97359">
        <w:t xml:space="preserve"> hydrochloride</w:t>
      </w:r>
      <w:r w:rsidRPr="00B97359">
        <w:t xml:space="preserve">. This claim may </w:t>
      </w:r>
      <w:r w:rsidR="000527ED" w:rsidRPr="00B97359">
        <w:t xml:space="preserve">not be </w:t>
      </w:r>
      <w:r w:rsidRPr="00B97359">
        <w:t>reasonable</w:t>
      </w:r>
      <w:r w:rsidR="008C0592" w:rsidRPr="00B97359">
        <w:t>:</w:t>
      </w:r>
    </w:p>
    <w:p w:rsidR="000527ED" w:rsidRPr="00B73618" w:rsidRDefault="0088500F" w:rsidP="000527ED">
      <w:pPr>
        <w:pStyle w:val="ListParagraph"/>
        <w:widowControl/>
        <w:numPr>
          <w:ilvl w:val="0"/>
          <w:numId w:val="20"/>
        </w:numPr>
        <w:ind w:left="1004" w:hanging="284"/>
      </w:pPr>
      <w:r w:rsidRPr="00B97359">
        <w:t>T</w:t>
      </w:r>
      <w:r w:rsidR="000527ED" w:rsidRPr="00B97359">
        <w:t>he results</w:t>
      </w:r>
      <w:r w:rsidR="000527ED" w:rsidRPr="00B73618">
        <w:t xml:space="preserve"> of the pivotal trial PA-CL-05A/PA-CL-05B may not be generalisable to the requested PBS population, given the differences in patient populations (patients stabilised on phosphate binders versus patients uncontrolled on calcium-based phosphate binders), comparator treatments (sevelamer carbonate versus sevelamer hydrochloride) and dosing regimens (low starting dose of sucroferric oxyhydroxide in the trial).</w:t>
      </w:r>
    </w:p>
    <w:p w:rsidR="00EE7E7C" w:rsidRPr="00B73618" w:rsidRDefault="00B31A33" w:rsidP="000527ED">
      <w:pPr>
        <w:pStyle w:val="ListParagraph"/>
        <w:widowControl/>
        <w:numPr>
          <w:ilvl w:val="0"/>
          <w:numId w:val="20"/>
        </w:numPr>
        <w:ind w:left="1004" w:hanging="284"/>
      </w:pPr>
      <w:r>
        <w:t>No clinical outcomes we</w:t>
      </w:r>
      <w:r w:rsidR="00EE7E7C" w:rsidRPr="00B73618">
        <w:t>re presented. The results of surrogate outcomes generally favour sevelamer carbonate compared to sucroferric oxyhydroxide. The robustness of the results is difficult to assess given the complexity/limitations of the trial design (open-label, baseline imbalances, differential discontinuations).</w:t>
      </w:r>
    </w:p>
    <w:p w:rsidR="000270E1" w:rsidRPr="00B73618" w:rsidRDefault="000270E1" w:rsidP="000527ED">
      <w:pPr>
        <w:pStyle w:val="ListParagraph"/>
        <w:widowControl/>
        <w:numPr>
          <w:ilvl w:val="0"/>
          <w:numId w:val="20"/>
        </w:numPr>
        <w:ind w:left="1004" w:hanging="284"/>
      </w:pPr>
      <w:r w:rsidRPr="00B73618">
        <w:t>The nominated non-inferiority margin of 0.19mmol/L for mean change in serum phosphorus levels may not be appropriate, given there is no widely accepted non-inferiority margin for change in serum phosphorus levels in haemodialysis patients with hyperphosphataemia and given a superiority comparison of sucroferric oxyhydroxide versus sevelamer carbonate (following demonstration of non-inferiority) indicated that the result was statistically significant in favour of sevelamer.</w:t>
      </w:r>
    </w:p>
    <w:p w:rsidR="00EE7E7C" w:rsidRPr="00B73618" w:rsidRDefault="00EE7E7C" w:rsidP="000527ED">
      <w:pPr>
        <w:pStyle w:val="ListParagraph"/>
        <w:widowControl/>
        <w:numPr>
          <w:ilvl w:val="0"/>
          <w:numId w:val="20"/>
        </w:numPr>
        <w:ind w:left="1004" w:hanging="284"/>
      </w:pPr>
      <w:r w:rsidRPr="00B73618">
        <w:t>Sucroferric oxyhydroxide appears to have a poorer gastrointestinal tolerability profile compared to sevelamer carbonate. However, the formulation of sevelamer available in Australia (sevelamer hydrochloride) may have a poorer gastrointestinal tolerability profile compared to sevelamer carbonate.</w:t>
      </w:r>
    </w:p>
    <w:p w:rsidR="00B60939" w:rsidRDefault="00B60939" w:rsidP="008C0592">
      <w:pPr>
        <w:rPr>
          <w:szCs w:val="22"/>
        </w:rPr>
      </w:pPr>
    </w:p>
    <w:p w:rsidR="00295FED" w:rsidRDefault="00295FED" w:rsidP="00295FED">
      <w:pPr>
        <w:pStyle w:val="ListParagraph"/>
        <w:ind w:left="709"/>
        <w:rPr>
          <w:i/>
          <w:szCs w:val="22"/>
        </w:rPr>
      </w:pPr>
      <w:r>
        <w:rPr>
          <w:i/>
          <w:szCs w:val="22"/>
        </w:rPr>
        <w:t>For more detail on PBAC’s view, see section 7 “PBAC outcome”</w:t>
      </w:r>
    </w:p>
    <w:p w:rsidR="00295FED" w:rsidRPr="00B73618" w:rsidRDefault="00295FED" w:rsidP="00295FED">
      <w:pPr>
        <w:ind w:left="720"/>
        <w:rPr>
          <w:szCs w:val="22"/>
        </w:rPr>
      </w:pPr>
    </w:p>
    <w:p w:rsidR="00B60939" w:rsidRPr="008B6779" w:rsidRDefault="00B60939" w:rsidP="008B6779">
      <w:pPr>
        <w:rPr>
          <w:b/>
          <w:szCs w:val="22"/>
        </w:rPr>
      </w:pPr>
      <w:bookmarkStart w:id="14" w:name="_Toc398708610"/>
      <w:r w:rsidRPr="008B6779">
        <w:rPr>
          <w:b/>
          <w:szCs w:val="22"/>
        </w:rPr>
        <w:t>Economic analysis</w:t>
      </w:r>
      <w:bookmarkEnd w:id="14"/>
      <w:r w:rsidR="00491B3A" w:rsidRPr="008B6779">
        <w:rPr>
          <w:b/>
          <w:szCs w:val="22"/>
        </w:rPr>
        <w:t xml:space="preserve"> </w:t>
      </w:r>
    </w:p>
    <w:p w:rsidR="00B60939" w:rsidRPr="00B73618" w:rsidRDefault="00B60939" w:rsidP="00B60939">
      <w:pPr>
        <w:ind w:left="720" w:hanging="720"/>
        <w:rPr>
          <w:szCs w:val="22"/>
        </w:rPr>
      </w:pPr>
    </w:p>
    <w:p w:rsidR="00DE4C47" w:rsidRPr="00B73618" w:rsidRDefault="00DE4C47" w:rsidP="00D247D9">
      <w:pPr>
        <w:pStyle w:val="ListParagraph"/>
        <w:widowControl/>
        <w:numPr>
          <w:ilvl w:val="1"/>
          <w:numId w:val="8"/>
        </w:numPr>
        <w:rPr>
          <w:szCs w:val="22"/>
        </w:rPr>
      </w:pPr>
      <w:r w:rsidRPr="00B73618">
        <w:rPr>
          <w:szCs w:val="22"/>
        </w:rPr>
        <w:t>The submission present</w:t>
      </w:r>
      <w:r w:rsidR="00B31A33">
        <w:rPr>
          <w:szCs w:val="22"/>
        </w:rPr>
        <w:t>ed</w:t>
      </w:r>
      <w:r w:rsidRPr="00B73618">
        <w:rPr>
          <w:szCs w:val="22"/>
        </w:rPr>
        <w:t xml:space="preserve"> a cost minimisation analysis.</w:t>
      </w:r>
    </w:p>
    <w:p w:rsidR="00A86E8B" w:rsidRPr="00B73618" w:rsidRDefault="00A86E8B" w:rsidP="00A86E8B">
      <w:pPr>
        <w:widowControl/>
        <w:rPr>
          <w:szCs w:val="22"/>
        </w:rPr>
      </w:pPr>
    </w:p>
    <w:p w:rsidR="00EE7E7C" w:rsidRPr="00B73618" w:rsidRDefault="00B31A33" w:rsidP="00B91632">
      <w:pPr>
        <w:pStyle w:val="ListParagraph"/>
        <w:widowControl/>
        <w:numPr>
          <w:ilvl w:val="1"/>
          <w:numId w:val="8"/>
        </w:numPr>
      </w:pPr>
      <w:r>
        <w:t>The equi-effective doses we</w:t>
      </w:r>
      <w:r w:rsidR="00A86E8B" w:rsidRPr="00B73618">
        <w:t>re estimated as</w:t>
      </w:r>
      <w:r w:rsidR="00DE4C47" w:rsidRPr="00B73618">
        <w:t>: 1.8mg of sucroferric oxyhydroxide is equivalent to 7mg sevelamer</w:t>
      </w:r>
      <w:r w:rsidR="00AB4DAF" w:rsidRPr="00B73618">
        <w:t xml:space="preserve"> </w:t>
      </w:r>
      <w:r w:rsidR="00175034" w:rsidRPr="00B73618">
        <w:t xml:space="preserve">hydrochloride </w:t>
      </w:r>
      <w:r w:rsidR="00AB4DAF" w:rsidRPr="00B73618">
        <w:t xml:space="preserve">based on the </w:t>
      </w:r>
      <w:r w:rsidR="00836C64" w:rsidRPr="00B73618">
        <w:t>maintenance</w:t>
      </w:r>
      <w:r w:rsidR="00AB4DAF" w:rsidRPr="00B73618">
        <w:t xml:space="preserve"> phase (Week 12 to Week 24) of the PA-CL-05A </w:t>
      </w:r>
      <w:r w:rsidR="00A50D1E" w:rsidRPr="00B73618">
        <w:t>trial</w:t>
      </w:r>
      <w:r w:rsidR="00175034" w:rsidRPr="00B73618">
        <w:t xml:space="preserve"> and the assumption that sevelamer carbonate is equivalent to sevelamer hydrochloride</w:t>
      </w:r>
      <w:r w:rsidR="00EE7E7C" w:rsidRPr="00B73618">
        <w:t>.</w:t>
      </w:r>
    </w:p>
    <w:p w:rsidR="00EE7E7C" w:rsidRPr="00B73618" w:rsidRDefault="00EE7E7C" w:rsidP="00EE7E7C">
      <w:pPr>
        <w:pStyle w:val="ListParagraph"/>
      </w:pPr>
    </w:p>
    <w:p w:rsidR="00B91632" w:rsidRPr="00B73618" w:rsidRDefault="00B91632" w:rsidP="00B91632">
      <w:pPr>
        <w:pStyle w:val="ListParagraph"/>
        <w:widowControl/>
        <w:numPr>
          <w:ilvl w:val="1"/>
          <w:numId w:val="8"/>
        </w:numPr>
      </w:pPr>
      <w:r w:rsidRPr="00B73618">
        <w:t>The estimated equi-effective doses</w:t>
      </w:r>
      <w:r w:rsidR="00AB4DAF" w:rsidRPr="00B73618">
        <w:t xml:space="preserve"> </w:t>
      </w:r>
      <w:r w:rsidRPr="00B73618">
        <w:t xml:space="preserve">in the clinical trials may not be </w:t>
      </w:r>
      <w:r w:rsidR="004E7C8F" w:rsidRPr="00B73618">
        <w:t xml:space="preserve">applicable to clinical practice </w:t>
      </w:r>
      <w:r w:rsidR="003813DB" w:rsidRPr="00B73618">
        <w:t>due to differences between the trial population (stabilised on phosphate binders) and the requested PBS population (uncontrolled by calcium-based phosphate binders); and the</w:t>
      </w:r>
      <w:r w:rsidRPr="00B73618">
        <w:t xml:space="preserve"> lower</w:t>
      </w:r>
      <w:r w:rsidR="00175034" w:rsidRPr="00B73618">
        <w:t xml:space="preserve"> </w:t>
      </w:r>
      <w:r w:rsidRPr="00B73618">
        <w:t xml:space="preserve">sucroferric oxyhydroxide </w:t>
      </w:r>
      <w:r w:rsidR="00175034" w:rsidRPr="00B73618">
        <w:t xml:space="preserve">starting </w:t>
      </w:r>
      <w:r w:rsidRPr="00B73618">
        <w:t xml:space="preserve">dose </w:t>
      </w:r>
      <w:r w:rsidR="003813DB" w:rsidRPr="00B73618">
        <w:t>(</w:t>
      </w:r>
      <w:r w:rsidR="00175034" w:rsidRPr="00B73618">
        <w:t>1000mg</w:t>
      </w:r>
      <w:r w:rsidR="003813DB" w:rsidRPr="00B73618">
        <w:t>)</w:t>
      </w:r>
      <w:r w:rsidR="00175034" w:rsidRPr="00B73618">
        <w:t xml:space="preserve"> </w:t>
      </w:r>
      <w:r w:rsidRPr="00B73618">
        <w:t xml:space="preserve">compared to the </w:t>
      </w:r>
      <w:r w:rsidR="00175034" w:rsidRPr="00B73618">
        <w:t xml:space="preserve">draft Product Information document </w:t>
      </w:r>
      <w:r w:rsidR="003813DB" w:rsidRPr="00B73618">
        <w:t>(</w:t>
      </w:r>
      <w:r w:rsidR="00175034" w:rsidRPr="00B73618">
        <w:t>1500mg)</w:t>
      </w:r>
      <w:r w:rsidRPr="00B73618">
        <w:t>.</w:t>
      </w:r>
      <w:r w:rsidR="00E30F32">
        <w:t xml:space="preserve"> The pre-PBAC response (p2) argued that these factors are not likely to impact significantly on the equi-effective titrated doses as they are considered reasonably conservative and evidence based. </w:t>
      </w:r>
    </w:p>
    <w:p w:rsidR="003813DB" w:rsidRPr="00B73618" w:rsidRDefault="003813DB" w:rsidP="003813DB">
      <w:pPr>
        <w:pStyle w:val="ListParagraph"/>
      </w:pPr>
    </w:p>
    <w:p w:rsidR="003813DB" w:rsidRPr="00B73618" w:rsidRDefault="003813DB" w:rsidP="00B91632">
      <w:pPr>
        <w:pStyle w:val="ListParagraph"/>
        <w:widowControl/>
        <w:numPr>
          <w:ilvl w:val="1"/>
          <w:numId w:val="8"/>
        </w:numPr>
      </w:pPr>
      <w:r w:rsidRPr="00B73618">
        <w:t>The cost minimisation analysis does not take into account the more frequent gastrointestinal adverse events in the sucroferric oxyhydroxide group.</w:t>
      </w:r>
    </w:p>
    <w:p w:rsidR="00A86E8B" w:rsidRDefault="00A86E8B" w:rsidP="00AB4DAF">
      <w:pPr>
        <w:rPr>
          <w:szCs w:val="22"/>
        </w:rPr>
      </w:pPr>
    </w:p>
    <w:p w:rsidR="00295FED" w:rsidRDefault="00295FED" w:rsidP="00295FED">
      <w:pPr>
        <w:pStyle w:val="ListParagraph"/>
        <w:ind w:left="709"/>
        <w:rPr>
          <w:i/>
          <w:szCs w:val="22"/>
        </w:rPr>
      </w:pPr>
      <w:r>
        <w:rPr>
          <w:i/>
          <w:szCs w:val="22"/>
        </w:rPr>
        <w:t>For more detail on PBAC’s view, see section 7 “PBAC outcome”</w:t>
      </w:r>
    </w:p>
    <w:p w:rsidR="00295FED" w:rsidRPr="00B73618" w:rsidRDefault="00295FED" w:rsidP="00295FED">
      <w:pPr>
        <w:ind w:left="720"/>
        <w:rPr>
          <w:szCs w:val="22"/>
        </w:rPr>
      </w:pPr>
    </w:p>
    <w:p w:rsidR="00C25D9C" w:rsidRPr="008B6779" w:rsidRDefault="00C25D9C" w:rsidP="008B6779">
      <w:bookmarkStart w:id="15" w:name="_Toc398708611"/>
      <w:r w:rsidRPr="008B6779">
        <w:rPr>
          <w:b/>
          <w:szCs w:val="22"/>
        </w:rPr>
        <w:lastRenderedPageBreak/>
        <w:t>Drug cost/patient/year:</w:t>
      </w:r>
      <w:bookmarkEnd w:id="15"/>
      <w:r w:rsidR="008B6779">
        <w:rPr>
          <w:b/>
          <w:szCs w:val="22"/>
        </w:rPr>
        <w:t xml:space="preserve"> </w:t>
      </w:r>
      <w:r w:rsidR="002872FE">
        <w:rPr>
          <w:noProof/>
          <w:color w:val="000000"/>
          <w:highlight w:val="black"/>
        </w:rPr>
        <w:t>'''''''''''''''''''''''''</w:t>
      </w:r>
      <w:r w:rsidR="00E30F32" w:rsidRPr="008B6779">
        <w:t xml:space="preserve"> to </w:t>
      </w:r>
      <w:r w:rsidR="002872FE">
        <w:rPr>
          <w:noProof/>
          <w:color w:val="000000"/>
          <w:highlight w:val="black"/>
        </w:rPr>
        <w:t>'''''''''''''''''''''''''''''</w:t>
      </w:r>
      <w:r w:rsidR="00E30F32" w:rsidRPr="008B6779">
        <w:t xml:space="preserve"> dependent upon dose and dosing frequency</w:t>
      </w:r>
    </w:p>
    <w:p w:rsidR="00C25D9C" w:rsidRPr="00F055D9" w:rsidRDefault="00C25D9C" w:rsidP="00C25D9C">
      <w:pPr>
        <w:widowControl/>
        <w:rPr>
          <w:szCs w:val="22"/>
        </w:rPr>
      </w:pPr>
    </w:p>
    <w:p w:rsidR="004D63F9" w:rsidRPr="00B73618" w:rsidRDefault="00282B24" w:rsidP="00B71B32">
      <w:pPr>
        <w:pStyle w:val="ListParagraph"/>
        <w:numPr>
          <w:ilvl w:val="1"/>
          <w:numId w:val="8"/>
        </w:numPr>
      </w:pPr>
      <w:r w:rsidRPr="00F055D9">
        <w:t>S</w:t>
      </w:r>
      <w:r w:rsidRPr="00F055D9">
        <w:rPr>
          <w:bCs/>
        </w:rPr>
        <w:t>ucroferric</w:t>
      </w:r>
      <w:r w:rsidRPr="00B73618">
        <w:rPr>
          <w:bCs/>
        </w:rPr>
        <w:t xml:space="preserve"> oxyhydroxide </w:t>
      </w:r>
      <w:r w:rsidR="00B71B32" w:rsidRPr="00B73618">
        <w:t>is a long term treatment for a chronic disease. The drug costs per patient per year are tabulated below, assuming full compliance. The doses presented in the table are based on the doses as per the draft Product Information document.</w:t>
      </w:r>
    </w:p>
    <w:p w:rsidR="00282B24" w:rsidRPr="00B73618" w:rsidRDefault="00282B24" w:rsidP="004D63F9">
      <w:pPr>
        <w:pStyle w:val="ListParagraph"/>
        <w:widowControl/>
        <w:rPr>
          <w:szCs w:val="22"/>
        </w:rPr>
      </w:pPr>
    </w:p>
    <w:p w:rsidR="004D63F9" w:rsidRPr="00B73618" w:rsidRDefault="004D63F9" w:rsidP="004D63F9">
      <w:pPr>
        <w:ind w:left="720"/>
        <w:rPr>
          <w:rFonts w:ascii="Arial Narrow" w:hAnsi="Arial Narrow"/>
          <w:b/>
          <w:sz w:val="20"/>
        </w:rPr>
      </w:pPr>
      <w:r w:rsidRPr="00B73618">
        <w:rPr>
          <w:rFonts w:ascii="Arial Narrow" w:hAnsi="Arial Narrow"/>
          <w:b/>
          <w:sz w:val="20"/>
        </w:rPr>
        <w:t>Drug cost per patient/year</w:t>
      </w:r>
    </w:p>
    <w:tbl>
      <w:tblPr>
        <w:tblStyle w:val="TableGrid"/>
        <w:tblW w:w="8363" w:type="dxa"/>
        <w:tblInd w:w="766" w:type="dxa"/>
        <w:tblLayout w:type="fixed"/>
        <w:tblCellMar>
          <w:left w:w="57" w:type="dxa"/>
          <w:right w:w="57" w:type="dxa"/>
        </w:tblCellMar>
        <w:tblLook w:val="04A0" w:firstRow="1" w:lastRow="0" w:firstColumn="1" w:lastColumn="0" w:noHBand="0" w:noVBand="1"/>
      </w:tblPr>
      <w:tblGrid>
        <w:gridCol w:w="1701"/>
        <w:gridCol w:w="1637"/>
        <w:gridCol w:w="1692"/>
        <w:gridCol w:w="1692"/>
        <w:gridCol w:w="1641"/>
      </w:tblGrid>
      <w:tr w:rsidR="00B71B32" w:rsidRPr="00B73618" w:rsidTr="00156A98">
        <w:tc>
          <w:tcPr>
            <w:tcW w:w="1701" w:type="dxa"/>
            <w:vAlign w:val="center"/>
          </w:tcPr>
          <w:p w:rsidR="004D63F9" w:rsidRPr="00B73618" w:rsidRDefault="004D63F9" w:rsidP="00676EEE">
            <w:pPr>
              <w:jc w:val="left"/>
              <w:rPr>
                <w:rFonts w:ascii="Arial Narrow" w:hAnsi="Arial Narrow"/>
                <w:b/>
                <w:sz w:val="20"/>
              </w:rPr>
            </w:pPr>
          </w:p>
        </w:tc>
        <w:tc>
          <w:tcPr>
            <w:tcW w:w="1637" w:type="dxa"/>
            <w:vAlign w:val="center"/>
          </w:tcPr>
          <w:p w:rsidR="004D63F9" w:rsidRPr="00B73618" w:rsidRDefault="004D63F9" w:rsidP="00676EEE">
            <w:pPr>
              <w:jc w:val="center"/>
              <w:rPr>
                <w:rFonts w:ascii="Arial Narrow" w:hAnsi="Arial Narrow"/>
                <w:b/>
                <w:sz w:val="20"/>
              </w:rPr>
            </w:pPr>
            <w:r w:rsidRPr="00B73618">
              <w:rPr>
                <w:rFonts w:ascii="Arial Narrow" w:hAnsi="Arial Narrow"/>
                <w:b/>
                <w:sz w:val="20"/>
              </w:rPr>
              <w:t>Min dose: 1500g</w:t>
            </w:r>
          </w:p>
          <w:p w:rsidR="004D63F9" w:rsidRPr="00B73618" w:rsidRDefault="004D63F9" w:rsidP="00676EEE">
            <w:pPr>
              <w:jc w:val="center"/>
              <w:rPr>
                <w:rFonts w:ascii="Arial Narrow" w:hAnsi="Arial Narrow"/>
                <w:b/>
                <w:sz w:val="20"/>
              </w:rPr>
            </w:pPr>
            <w:r w:rsidRPr="00B73618">
              <w:rPr>
                <w:rFonts w:ascii="Arial Narrow" w:hAnsi="Arial Narrow"/>
                <w:b/>
                <w:sz w:val="20"/>
              </w:rPr>
              <w:t>3 tablets/day</w:t>
            </w:r>
          </w:p>
        </w:tc>
        <w:tc>
          <w:tcPr>
            <w:tcW w:w="1692" w:type="dxa"/>
            <w:vAlign w:val="center"/>
          </w:tcPr>
          <w:p w:rsidR="004D63F9" w:rsidRPr="00B73618" w:rsidRDefault="004D63F9" w:rsidP="00676EEE">
            <w:pPr>
              <w:jc w:val="center"/>
              <w:rPr>
                <w:rFonts w:ascii="Arial Narrow" w:hAnsi="Arial Narrow"/>
                <w:b/>
                <w:sz w:val="20"/>
              </w:rPr>
            </w:pPr>
            <w:r w:rsidRPr="00B73618">
              <w:rPr>
                <w:rFonts w:ascii="Arial Narrow" w:hAnsi="Arial Narrow"/>
                <w:b/>
                <w:sz w:val="20"/>
              </w:rPr>
              <w:t>2000g</w:t>
            </w:r>
          </w:p>
          <w:p w:rsidR="004D63F9" w:rsidRPr="00B73618" w:rsidRDefault="004D63F9" w:rsidP="00676EEE">
            <w:pPr>
              <w:jc w:val="center"/>
              <w:rPr>
                <w:rFonts w:ascii="Arial Narrow" w:hAnsi="Arial Narrow"/>
                <w:b/>
                <w:sz w:val="20"/>
              </w:rPr>
            </w:pPr>
            <w:r w:rsidRPr="00B73618">
              <w:rPr>
                <w:rFonts w:ascii="Arial Narrow" w:hAnsi="Arial Narrow"/>
                <w:b/>
                <w:sz w:val="20"/>
              </w:rPr>
              <w:t>4 tablets/day</w:t>
            </w:r>
          </w:p>
        </w:tc>
        <w:tc>
          <w:tcPr>
            <w:tcW w:w="1692" w:type="dxa"/>
            <w:vAlign w:val="center"/>
          </w:tcPr>
          <w:p w:rsidR="004D63F9" w:rsidRPr="00B73618" w:rsidRDefault="004D63F9" w:rsidP="00676EEE">
            <w:pPr>
              <w:jc w:val="center"/>
              <w:rPr>
                <w:rFonts w:ascii="Arial Narrow" w:hAnsi="Arial Narrow"/>
                <w:b/>
                <w:sz w:val="20"/>
              </w:rPr>
            </w:pPr>
            <w:r w:rsidRPr="00B73618">
              <w:rPr>
                <w:rFonts w:ascii="Arial Narrow" w:hAnsi="Arial Narrow"/>
                <w:b/>
                <w:sz w:val="20"/>
              </w:rPr>
              <w:t>2500g</w:t>
            </w:r>
          </w:p>
          <w:p w:rsidR="004D63F9" w:rsidRPr="00B73618" w:rsidRDefault="004D63F9" w:rsidP="00676EEE">
            <w:pPr>
              <w:jc w:val="center"/>
              <w:rPr>
                <w:rFonts w:ascii="Arial Narrow" w:hAnsi="Arial Narrow"/>
                <w:b/>
                <w:sz w:val="20"/>
              </w:rPr>
            </w:pPr>
            <w:r w:rsidRPr="00B73618">
              <w:rPr>
                <w:rFonts w:ascii="Arial Narrow" w:hAnsi="Arial Narrow"/>
                <w:b/>
                <w:sz w:val="20"/>
              </w:rPr>
              <w:t>5 tablets/day</w:t>
            </w:r>
          </w:p>
        </w:tc>
        <w:tc>
          <w:tcPr>
            <w:tcW w:w="1641" w:type="dxa"/>
            <w:vAlign w:val="center"/>
          </w:tcPr>
          <w:p w:rsidR="004D63F9" w:rsidRPr="00B73618" w:rsidRDefault="004D63F9" w:rsidP="00676EEE">
            <w:pPr>
              <w:jc w:val="center"/>
              <w:rPr>
                <w:rFonts w:ascii="Arial Narrow" w:hAnsi="Arial Narrow"/>
                <w:b/>
                <w:sz w:val="20"/>
              </w:rPr>
            </w:pPr>
            <w:r w:rsidRPr="00B73618">
              <w:rPr>
                <w:rFonts w:ascii="Arial Narrow" w:hAnsi="Arial Narrow"/>
                <w:b/>
                <w:sz w:val="20"/>
              </w:rPr>
              <w:t>Max dose: 3000g</w:t>
            </w:r>
          </w:p>
          <w:p w:rsidR="004D63F9" w:rsidRPr="00B73618" w:rsidRDefault="004D63F9" w:rsidP="00676EEE">
            <w:pPr>
              <w:jc w:val="center"/>
              <w:rPr>
                <w:rFonts w:ascii="Arial Narrow" w:hAnsi="Arial Narrow"/>
                <w:b/>
                <w:sz w:val="20"/>
              </w:rPr>
            </w:pPr>
            <w:r w:rsidRPr="00B73618">
              <w:rPr>
                <w:rFonts w:ascii="Arial Narrow" w:hAnsi="Arial Narrow"/>
                <w:b/>
                <w:sz w:val="20"/>
              </w:rPr>
              <w:t>6 tablets/day</w:t>
            </w:r>
          </w:p>
        </w:tc>
      </w:tr>
      <w:tr w:rsidR="00B71B32" w:rsidRPr="00B73618" w:rsidTr="00156A98">
        <w:tc>
          <w:tcPr>
            <w:tcW w:w="1701" w:type="dxa"/>
            <w:vAlign w:val="center"/>
          </w:tcPr>
          <w:p w:rsidR="004D63F9" w:rsidRPr="00B73618" w:rsidRDefault="004D63F9" w:rsidP="00676EEE">
            <w:pPr>
              <w:jc w:val="left"/>
              <w:rPr>
                <w:rFonts w:ascii="Arial Narrow" w:hAnsi="Arial Narrow"/>
                <w:sz w:val="20"/>
              </w:rPr>
            </w:pPr>
            <w:r w:rsidRPr="00B73618">
              <w:rPr>
                <w:rFonts w:ascii="Arial Narrow" w:hAnsi="Arial Narrow"/>
                <w:sz w:val="20"/>
              </w:rPr>
              <w:t>Section 85</w:t>
            </w:r>
          </w:p>
          <w:p w:rsidR="004D63F9" w:rsidRPr="00B73618" w:rsidRDefault="004D63F9" w:rsidP="00676EEE">
            <w:pPr>
              <w:jc w:val="left"/>
              <w:rPr>
                <w:rFonts w:ascii="Arial Narrow" w:hAnsi="Arial Narrow"/>
                <w:sz w:val="20"/>
              </w:rPr>
            </w:pPr>
            <w:r w:rsidRPr="00B73618">
              <w:rPr>
                <w:rFonts w:ascii="Arial Narrow" w:hAnsi="Arial Narrow"/>
                <w:sz w:val="20"/>
              </w:rPr>
              <w:t>$</w:t>
            </w:r>
            <w:r w:rsidR="002872FE">
              <w:rPr>
                <w:rFonts w:ascii="Arial Narrow" w:hAnsi="Arial Narrow"/>
                <w:noProof/>
                <w:color w:val="000000"/>
                <w:sz w:val="20"/>
                <w:highlight w:val="black"/>
              </w:rPr>
              <w:t>'''''''''''''''''</w:t>
            </w:r>
            <w:r w:rsidRPr="00B73618">
              <w:rPr>
                <w:rFonts w:ascii="Arial Narrow" w:hAnsi="Arial Narrow"/>
                <w:sz w:val="20"/>
              </w:rPr>
              <w:t xml:space="preserve"> (90 tablets)</w:t>
            </w:r>
          </w:p>
        </w:tc>
        <w:tc>
          <w:tcPr>
            <w:tcW w:w="1637" w:type="dxa"/>
            <w:vAlign w:val="center"/>
          </w:tcPr>
          <w:p w:rsidR="004D63F9" w:rsidRPr="002872FE" w:rsidRDefault="002872FE" w:rsidP="00676EEE">
            <w:pPr>
              <w:jc w:val="center"/>
              <w:rPr>
                <w:rFonts w:ascii="Arial Narrow" w:hAnsi="Arial Narrow"/>
                <w:sz w:val="20"/>
                <w:highlight w:val="black"/>
              </w:rPr>
            </w:pPr>
            <w:r>
              <w:rPr>
                <w:rFonts w:ascii="Arial Narrow" w:hAnsi="Arial Narrow"/>
                <w:noProof/>
                <w:color w:val="000000"/>
                <w:sz w:val="20"/>
                <w:highlight w:val="black"/>
              </w:rPr>
              <w:t>''''''''''''''''''''''''''</w:t>
            </w:r>
          </w:p>
        </w:tc>
        <w:tc>
          <w:tcPr>
            <w:tcW w:w="1692" w:type="dxa"/>
            <w:vAlign w:val="center"/>
          </w:tcPr>
          <w:p w:rsidR="004D63F9" w:rsidRPr="002872FE" w:rsidRDefault="002872FE" w:rsidP="00676EEE">
            <w:pPr>
              <w:jc w:val="center"/>
              <w:rPr>
                <w:rFonts w:ascii="Arial Narrow" w:hAnsi="Arial Narrow"/>
                <w:sz w:val="20"/>
                <w:highlight w:val="black"/>
              </w:rPr>
            </w:pPr>
            <w:r>
              <w:rPr>
                <w:rFonts w:ascii="Arial Narrow" w:hAnsi="Arial Narrow"/>
                <w:noProof/>
                <w:color w:val="000000"/>
                <w:sz w:val="20"/>
                <w:highlight w:val="black"/>
              </w:rPr>
              <w:t>'''''''''''''''''''''''</w:t>
            </w:r>
          </w:p>
        </w:tc>
        <w:tc>
          <w:tcPr>
            <w:tcW w:w="1692" w:type="dxa"/>
            <w:vAlign w:val="center"/>
          </w:tcPr>
          <w:p w:rsidR="004D63F9" w:rsidRPr="002872FE" w:rsidRDefault="002872FE" w:rsidP="00676EEE">
            <w:pPr>
              <w:jc w:val="center"/>
              <w:rPr>
                <w:rFonts w:ascii="Arial Narrow" w:hAnsi="Arial Narrow"/>
                <w:sz w:val="20"/>
                <w:highlight w:val="black"/>
              </w:rPr>
            </w:pPr>
            <w:r>
              <w:rPr>
                <w:rFonts w:ascii="Arial Narrow" w:hAnsi="Arial Narrow"/>
                <w:noProof/>
                <w:color w:val="000000"/>
                <w:sz w:val="20"/>
                <w:highlight w:val="black"/>
              </w:rPr>
              <w:t>''''''''''''''''''''''''</w:t>
            </w:r>
          </w:p>
        </w:tc>
        <w:tc>
          <w:tcPr>
            <w:tcW w:w="1641" w:type="dxa"/>
            <w:vAlign w:val="center"/>
          </w:tcPr>
          <w:p w:rsidR="004D63F9" w:rsidRPr="002872FE" w:rsidRDefault="002872FE" w:rsidP="00676EEE">
            <w:pPr>
              <w:jc w:val="center"/>
              <w:rPr>
                <w:rFonts w:ascii="Arial Narrow" w:hAnsi="Arial Narrow"/>
                <w:sz w:val="20"/>
                <w:highlight w:val="black"/>
              </w:rPr>
            </w:pPr>
            <w:r>
              <w:rPr>
                <w:rFonts w:ascii="Arial Narrow" w:hAnsi="Arial Narrow"/>
                <w:noProof/>
                <w:color w:val="000000"/>
                <w:sz w:val="20"/>
                <w:highlight w:val="black"/>
              </w:rPr>
              <w:t>'''''''''''''''''''''''''''''</w:t>
            </w:r>
          </w:p>
        </w:tc>
      </w:tr>
      <w:tr w:rsidR="00B71B32" w:rsidRPr="00B73618" w:rsidTr="00156A98">
        <w:tc>
          <w:tcPr>
            <w:tcW w:w="1701" w:type="dxa"/>
            <w:vAlign w:val="center"/>
          </w:tcPr>
          <w:p w:rsidR="004D63F9" w:rsidRPr="00B73618" w:rsidRDefault="004D63F9" w:rsidP="00676EEE">
            <w:pPr>
              <w:jc w:val="left"/>
              <w:rPr>
                <w:rFonts w:ascii="Arial Narrow" w:hAnsi="Arial Narrow"/>
                <w:sz w:val="20"/>
              </w:rPr>
            </w:pPr>
            <w:r w:rsidRPr="00B73618">
              <w:rPr>
                <w:rFonts w:ascii="Arial Narrow" w:hAnsi="Arial Narrow"/>
                <w:sz w:val="20"/>
              </w:rPr>
              <w:t>Section 100 (Public) $</w:t>
            </w:r>
            <w:r w:rsidR="002872FE">
              <w:rPr>
                <w:rFonts w:ascii="Arial Narrow" w:hAnsi="Arial Narrow"/>
                <w:noProof/>
                <w:color w:val="000000"/>
                <w:sz w:val="20"/>
                <w:highlight w:val="black"/>
              </w:rPr>
              <w:t>''''''''''''''''</w:t>
            </w:r>
            <w:r w:rsidRPr="00B73618">
              <w:rPr>
                <w:rFonts w:ascii="Arial Narrow" w:hAnsi="Arial Narrow"/>
                <w:sz w:val="20"/>
              </w:rPr>
              <w:t xml:space="preserve"> (180 tablets)</w:t>
            </w:r>
          </w:p>
        </w:tc>
        <w:tc>
          <w:tcPr>
            <w:tcW w:w="1637" w:type="dxa"/>
            <w:vAlign w:val="center"/>
          </w:tcPr>
          <w:p w:rsidR="004D63F9" w:rsidRPr="002872FE" w:rsidRDefault="002872FE" w:rsidP="00676EEE">
            <w:pPr>
              <w:jc w:val="center"/>
              <w:rPr>
                <w:rFonts w:ascii="Arial Narrow" w:hAnsi="Arial Narrow"/>
                <w:sz w:val="20"/>
                <w:highlight w:val="black"/>
              </w:rPr>
            </w:pPr>
            <w:r>
              <w:rPr>
                <w:rFonts w:ascii="Arial Narrow" w:hAnsi="Arial Narrow"/>
                <w:noProof/>
                <w:color w:val="000000"/>
                <w:sz w:val="20"/>
                <w:highlight w:val="black"/>
              </w:rPr>
              <w:t>''''''''''''''''''''''''</w:t>
            </w:r>
          </w:p>
        </w:tc>
        <w:tc>
          <w:tcPr>
            <w:tcW w:w="1692" w:type="dxa"/>
            <w:vAlign w:val="center"/>
          </w:tcPr>
          <w:p w:rsidR="004D63F9" w:rsidRPr="002872FE" w:rsidRDefault="002872FE" w:rsidP="00676EEE">
            <w:pPr>
              <w:jc w:val="center"/>
              <w:rPr>
                <w:rFonts w:ascii="Arial Narrow" w:hAnsi="Arial Narrow"/>
                <w:sz w:val="20"/>
                <w:highlight w:val="black"/>
              </w:rPr>
            </w:pPr>
            <w:r>
              <w:rPr>
                <w:rFonts w:ascii="Arial Narrow" w:hAnsi="Arial Narrow"/>
                <w:noProof/>
                <w:color w:val="000000"/>
                <w:sz w:val="20"/>
                <w:highlight w:val="black"/>
              </w:rPr>
              <w:t>'''''''''''''''''''''''</w:t>
            </w:r>
          </w:p>
        </w:tc>
        <w:tc>
          <w:tcPr>
            <w:tcW w:w="1692" w:type="dxa"/>
            <w:vAlign w:val="center"/>
          </w:tcPr>
          <w:p w:rsidR="004D63F9" w:rsidRPr="002872FE" w:rsidRDefault="002872FE" w:rsidP="00676EEE">
            <w:pPr>
              <w:jc w:val="center"/>
              <w:rPr>
                <w:rFonts w:ascii="Arial Narrow" w:hAnsi="Arial Narrow"/>
                <w:sz w:val="20"/>
                <w:highlight w:val="black"/>
              </w:rPr>
            </w:pPr>
            <w:r>
              <w:rPr>
                <w:rFonts w:ascii="Arial Narrow" w:hAnsi="Arial Narrow"/>
                <w:noProof/>
                <w:color w:val="000000"/>
                <w:sz w:val="20"/>
                <w:highlight w:val="black"/>
              </w:rPr>
              <w:t>'''''''''''''''''''''''</w:t>
            </w:r>
          </w:p>
        </w:tc>
        <w:tc>
          <w:tcPr>
            <w:tcW w:w="1641" w:type="dxa"/>
            <w:vAlign w:val="center"/>
          </w:tcPr>
          <w:p w:rsidR="004D63F9" w:rsidRPr="002872FE" w:rsidRDefault="002872FE" w:rsidP="00676EEE">
            <w:pPr>
              <w:jc w:val="center"/>
              <w:rPr>
                <w:rFonts w:ascii="Arial Narrow" w:hAnsi="Arial Narrow"/>
                <w:sz w:val="20"/>
                <w:highlight w:val="black"/>
              </w:rPr>
            </w:pPr>
            <w:r>
              <w:rPr>
                <w:rFonts w:ascii="Arial Narrow" w:hAnsi="Arial Narrow"/>
                <w:noProof/>
                <w:color w:val="000000"/>
                <w:sz w:val="20"/>
                <w:highlight w:val="black"/>
              </w:rPr>
              <w:t>''''''''''''''''''''''</w:t>
            </w:r>
          </w:p>
        </w:tc>
      </w:tr>
      <w:tr w:rsidR="00B71B32" w:rsidRPr="00B73618" w:rsidTr="00156A98">
        <w:tc>
          <w:tcPr>
            <w:tcW w:w="1701" w:type="dxa"/>
            <w:vAlign w:val="center"/>
          </w:tcPr>
          <w:p w:rsidR="004D63F9" w:rsidRPr="00B73618" w:rsidRDefault="004D63F9" w:rsidP="00676EEE">
            <w:pPr>
              <w:jc w:val="left"/>
              <w:rPr>
                <w:rFonts w:ascii="Arial Narrow" w:hAnsi="Arial Narrow"/>
                <w:sz w:val="20"/>
              </w:rPr>
            </w:pPr>
            <w:r w:rsidRPr="00B73618">
              <w:rPr>
                <w:rFonts w:ascii="Arial Narrow" w:hAnsi="Arial Narrow"/>
                <w:sz w:val="20"/>
              </w:rPr>
              <w:t>Section 100 (Private) $</w:t>
            </w:r>
            <w:r w:rsidR="002872FE">
              <w:rPr>
                <w:rFonts w:ascii="Arial Narrow" w:hAnsi="Arial Narrow"/>
                <w:noProof/>
                <w:color w:val="000000"/>
                <w:sz w:val="20"/>
                <w:highlight w:val="black"/>
              </w:rPr>
              <w:t>''''''''''''''''</w:t>
            </w:r>
            <w:r w:rsidRPr="00B73618">
              <w:rPr>
                <w:rFonts w:ascii="Arial Narrow" w:hAnsi="Arial Narrow"/>
                <w:sz w:val="20"/>
              </w:rPr>
              <w:t xml:space="preserve"> (180 tablets)</w:t>
            </w:r>
          </w:p>
        </w:tc>
        <w:tc>
          <w:tcPr>
            <w:tcW w:w="1637" w:type="dxa"/>
            <w:vAlign w:val="center"/>
          </w:tcPr>
          <w:p w:rsidR="004D63F9" w:rsidRPr="002872FE" w:rsidRDefault="002872FE" w:rsidP="00676EEE">
            <w:pPr>
              <w:jc w:val="center"/>
              <w:rPr>
                <w:rFonts w:ascii="Arial Narrow" w:hAnsi="Arial Narrow"/>
                <w:sz w:val="20"/>
                <w:highlight w:val="black"/>
              </w:rPr>
            </w:pPr>
            <w:r>
              <w:rPr>
                <w:rFonts w:ascii="Arial Narrow" w:hAnsi="Arial Narrow"/>
                <w:noProof/>
                <w:color w:val="000000"/>
                <w:sz w:val="20"/>
                <w:highlight w:val="black"/>
              </w:rPr>
              <w:t>'''''''''''''''''''''''''</w:t>
            </w:r>
          </w:p>
        </w:tc>
        <w:tc>
          <w:tcPr>
            <w:tcW w:w="1692" w:type="dxa"/>
            <w:vAlign w:val="center"/>
          </w:tcPr>
          <w:p w:rsidR="004D63F9" w:rsidRPr="002872FE" w:rsidRDefault="002872FE" w:rsidP="00676EEE">
            <w:pPr>
              <w:jc w:val="center"/>
              <w:rPr>
                <w:rFonts w:ascii="Arial Narrow" w:hAnsi="Arial Narrow"/>
                <w:sz w:val="20"/>
                <w:highlight w:val="black"/>
              </w:rPr>
            </w:pPr>
            <w:r>
              <w:rPr>
                <w:rFonts w:ascii="Arial Narrow" w:hAnsi="Arial Narrow"/>
                <w:noProof/>
                <w:color w:val="000000"/>
                <w:sz w:val="20"/>
                <w:highlight w:val="black"/>
              </w:rPr>
              <w:t>'''''''''''''''''''''</w:t>
            </w:r>
          </w:p>
        </w:tc>
        <w:tc>
          <w:tcPr>
            <w:tcW w:w="1692" w:type="dxa"/>
            <w:vAlign w:val="center"/>
          </w:tcPr>
          <w:p w:rsidR="004D63F9" w:rsidRPr="002872FE" w:rsidRDefault="002872FE" w:rsidP="00676EEE">
            <w:pPr>
              <w:jc w:val="center"/>
              <w:rPr>
                <w:rFonts w:ascii="Arial Narrow" w:hAnsi="Arial Narrow"/>
                <w:sz w:val="20"/>
                <w:highlight w:val="black"/>
              </w:rPr>
            </w:pPr>
            <w:r>
              <w:rPr>
                <w:rFonts w:ascii="Arial Narrow" w:hAnsi="Arial Narrow"/>
                <w:noProof/>
                <w:color w:val="000000"/>
                <w:sz w:val="20"/>
                <w:highlight w:val="black"/>
              </w:rPr>
              <w:t>''''''''''''''''''''''''</w:t>
            </w:r>
          </w:p>
        </w:tc>
        <w:tc>
          <w:tcPr>
            <w:tcW w:w="1641" w:type="dxa"/>
            <w:vAlign w:val="center"/>
          </w:tcPr>
          <w:p w:rsidR="004D63F9" w:rsidRPr="002872FE" w:rsidRDefault="002872FE" w:rsidP="00676EEE">
            <w:pPr>
              <w:jc w:val="center"/>
              <w:rPr>
                <w:rFonts w:ascii="Arial Narrow" w:hAnsi="Arial Narrow"/>
                <w:sz w:val="20"/>
                <w:highlight w:val="black"/>
              </w:rPr>
            </w:pPr>
            <w:r>
              <w:rPr>
                <w:rFonts w:ascii="Arial Narrow" w:hAnsi="Arial Narrow"/>
                <w:noProof/>
                <w:color w:val="000000"/>
                <w:sz w:val="20"/>
                <w:highlight w:val="black"/>
              </w:rPr>
              <w:t>'''''''''''''''''''''''''</w:t>
            </w:r>
          </w:p>
        </w:tc>
      </w:tr>
    </w:tbl>
    <w:p w:rsidR="004D63F9" w:rsidRPr="00B73618" w:rsidRDefault="004D63F9" w:rsidP="004D63F9">
      <w:pPr>
        <w:ind w:left="720"/>
        <w:rPr>
          <w:rFonts w:ascii="Arial Narrow" w:hAnsi="Arial Narrow"/>
          <w:sz w:val="18"/>
        </w:rPr>
      </w:pPr>
      <w:r w:rsidRPr="00B73618">
        <w:rPr>
          <w:rFonts w:ascii="Arial Narrow" w:hAnsi="Arial Narrow"/>
          <w:sz w:val="18"/>
        </w:rPr>
        <w:t>Source: compiled during the evaluation</w:t>
      </w:r>
    </w:p>
    <w:p w:rsidR="00B60939" w:rsidRPr="00B73618" w:rsidRDefault="00B60939" w:rsidP="001456B0">
      <w:pPr>
        <w:rPr>
          <w:szCs w:val="22"/>
        </w:rPr>
      </w:pPr>
    </w:p>
    <w:p w:rsidR="00B60939" w:rsidRPr="008B6779" w:rsidRDefault="00B60939" w:rsidP="008B6779">
      <w:pPr>
        <w:rPr>
          <w:b/>
          <w:szCs w:val="22"/>
        </w:rPr>
      </w:pPr>
      <w:bookmarkStart w:id="16" w:name="_Toc398708612"/>
      <w:r w:rsidRPr="008B6779">
        <w:rPr>
          <w:b/>
          <w:szCs w:val="22"/>
        </w:rPr>
        <w:t>Estimated PBS usage &amp; financial implications</w:t>
      </w:r>
      <w:bookmarkEnd w:id="16"/>
    </w:p>
    <w:p w:rsidR="00B60939" w:rsidRPr="00B73618" w:rsidRDefault="00B60939" w:rsidP="00B60939">
      <w:pPr>
        <w:ind w:left="720" w:hanging="720"/>
        <w:rPr>
          <w:b/>
          <w:szCs w:val="22"/>
        </w:rPr>
      </w:pPr>
    </w:p>
    <w:p w:rsidR="00282B24" w:rsidRPr="00B73618" w:rsidRDefault="00C25D9C" w:rsidP="00D247D9">
      <w:pPr>
        <w:pStyle w:val="ListParagraph"/>
        <w:widowControl/>
        <w:numPr>
          <w:ilvl w:val="1"/>
          <w:numId w:val="8"/>
        </w:numPr>
        <w:rPr>
          <w:szCs w:val="22"/>
        </w:rPr>
      </w:pPr>
      <w:r w:rsidRPr="00B73618">
        <w:t>This submission</w:t>
      </w:r>
      <w:r w:rsidR="00B73618">
        <w:t xml:space="preserve"> was not</w:t>
      </w:r>
      <w:r w:rsidRPr="00B73618">
        <w:t xml:space="preserve"> considered by DUSC.  </w:t>
      </w:r>
    </w:p>
    <w:p w:rsidR="00282B24" w:rsidRPr="00B73618" w:rsidRDefault="00282B24" w:rsidP="00282B24">
      <w:pPr>
        <w:pStyle w:val="ListParagraph"/>
        <w:widowControl/>
        <w:rPr>
          <w:szCs w:val="22"/>
        </w:rPr>
      </w:pPr>
    </w:p>
    <w:p w:rsidR="00282B24" w:rsidRPr="00B73618" w:rsidRDefault="00282B24" w:rsidP="00D27CEF">
      <w:pPr>
        <w:pStyle w:val="ListParagraph"/>
        <w:widowControl/>
        <w:numPr>
          <w:ilvl w:val="1"/>
          <w:numId w:val="8"/>
        </w:numPr>
        <w:rPr>
          <w:szCs w:val="22"/>
        </w:rPr>
      </w:pPr>
      <w:r w:rsidRPr="00B73618">
        <w:rPr>
          <w:szCs w:val="22"/>
        </w:rPr>
        <w:t>A market share a</w:t>
      </w:r>
      <w:r w:rsidR="006C1982">
        <w:rPr>
          <w:szCs w:val="22"/>
        </w:rPr>
        <w:t>pproach wa</w:t>
      </w:r>
      <w:r w:rsidRPr="00B73618">
        <w:rPr>
          <w:szCs w:val="22"/>
        </w:rPr>
        <w:t>s used to estimate the financial implications of listing s</w:t>
      </w:r>
      <w:r w:rsidRPr="00B73618">
        <w:rPr>
          <w:bCs/>
          <w:szCs w:val="22"/>
        </w:rPr>
        <w:t>ucroferric oxyhydroxide</w:t>
      </w:r>
      <w:r w:rsidRPr="00B73618">
        <w:rPr>
          <w:szCs w:val="22"/>
        </w:rPr>
        <w:t xml:space="preserve">. The submission assumes that </w:t>
      </w:r>
      <w:r w:rsidR="002872FE">
        <w:rPr>
          <w:noProof/>
          <w:color w:val="000000"/>
          <w:szCs w:val="22"/>
          <w:highlight w:val="black"/>
        </w:rPr>
        <w:t>'''''''</w:t>
      </w:r>
      <w:r w:rsidR="00B71B32" w:rsidRPr="00B73618">
        <w:rPr>
          <w:szCs w:val="22"/>
        </w:rPr>
        <w:t>%</w:t>
      </w:r>
      <w:r w:rsidRPr="00B73618">
        <w:rPr>
          <w:szCs w:val="22"/>
        </w:rPr>
        <w:t xml:space="preserve"> of </w:t>
      </w:r>
      <w:r w:rsidR="00B71B32" w:rsidRPr="00B73618">
        <w:rPr>
          <w:szCs w:val="22"/>
        </w:rPr>
        <w:t xml:space="preserve">the market share for </w:t>
      </w:r>
      <w:r w:rsidRPr="00B73618">
        <w:rPr>
          <w:szCs w:val="22"/>
        </w:rPr>
        <w:t>s</w:t>
      </w:r>
      <w:r w:rsidRPr="00B73618">
        <w:rPr>
          <w:bCs/>
          <w:szCs w:val="22"/>
        </w:rPr>
        <w:t>ucroferric oxyhydroxide</w:t>
      </w:r>
      <w:r w:rsidRPr="00B73618">
        <w:rPr>
          <w:szCs w:val="22"/>
        </w:rPr>
        <w:t xml:space="preserve"> will come from sevelamer</w:t>
      </w:r>
      <w:r w:rsidR="00B71B32" w:rsidRPr="00B73618">
        <w:rPr>
          <w:szCs w:val="22"/>
        </w:rPr>
        <w:t xml:space="preserve"> hydrochloride, with </w:t>
      </w:r>
      <w:r w:rsidR="002872FE">
        <w:rPr>
          <w:noProof/>
          <w:color w:val="000000"/>
          <w:szCs w:val="22"/>
          <w:highlight w:val="black"/>
        </w:rPr>
        <w:t>''''''</w:t>
      </w:r>
      <w:r w:rsidR="00B71B32" w:rsidRPr="00B73618">
        <w:rPr>
          <w:szCs w:val="22"/>
        </w:rPr>
        <w:t>% from</w:t>
      </w:r>
      <w:r w:rsidRPr="00B73618">
        <w:rPr>
          <w:szCs w:val="22"/>
        </w:rPr>
        <w:t xml:space="preserve"> lanthanum</w:t>
      </w:r>
      <w:r w:rsidR="00B71B32" w:rsidRPr="00B73618">
        <w:rPr>
          <w:szCs w:val="22"/>
        </w:rPr>
        <w:t xml:space="preserve"> carbonate</w:t>
      </w:r>
      <w:r w:rsidRPr="00B73618">
        <w:rPr>
          <w:szCs w:val="22"/>
        </w:rPr>
        <w:t>. The submission assumes that PBS listing of s</w:t>
      </w:r>
      <w:r w:rsidRPr="00B73618">
        <w:rPr>
          <w:bCs/>
          <w:szCs w:val="22"/>
        </w:rPr>
        <w:t>ucroferric oxyhydroxide</w:t>
      </w:r>
      <w:r w:rsidRPr="00B73618">
        <w:rPr>
          <w:szCs w:val="22"/>
        </w:rPr>
        <w:t xml:space="preserve"> will not increase the overall market for phosphate binders.</w:t>
      </w:r>
    </w:p>
    <w:p w:rsidR="00C25D9C" w:rsidRPr="00B73618" w:rsidRDefault="00C25D9C" w:rsidP="00C25D9C">
      <w:pPr>
        <w:widowControl/>
        <w:rPr>
          <w:szCs w:val="22"/>
        </w:rPr>
      </w:pPr>
    </w:p>
    <w:p w:rsidR="00C25D9C" w:rsidRPr="00B73618" w:rsidRDefault="00C25D9C" w:rsidP="005D044D">
      <w:pPr>
        <w:ind w:firstLine="709"/>
        <w:rPr>
          <w:rStyle w:val="CommentReference"/>
        </w:rPr>
      </w:pPr>
      <w:r w:rsidRPr="00B73618">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3"/>
        <w:gridCol w:w="1275"/>
        <w:gridCol w:w="1275"/>
        <w:gridCol w:w="1260"/>
      </w:tblGrid>
      <w:tr w:rsidR="00676EEE" w:rsidRPr="00B73618" w:rsidTr="00156A98">
        <w:trPr>
          <w:tblHeader/>
        </w:trPr>
        <w:tc>
          <w:tcPr>
            <w:tcW w:w="1359" w:type="pct"/>
            <w:shd w:val="clear" w:color="auto" w:fill="auto"/>
            <w:vAlign w:val="center"/>
          </w:tcPr>
          <w:p w:rsidR="00C25D9C" w:rsidRPr="00B73618" w:rsidRDefault="00C25D9C" w:rsidP="00B8649C">
            <w:pPr>
              <w:tabs>
                <w:tab w:val="left" w:pos="142"/>
              </w:tabs>
              <w:jc w:val="left"/>
              <w:rPr>
                <w:rFonts w:ascii="Arial Narrow" w:hAnsi="Arial Narrow"/>
                <w:b/>
                <w:sz w:val="20"/>
              </w:rPr>
            </w:pPr>
          </w:p>
        </w:tc>
        <w:tc>
          <w:tcPr>
            <w:tcW w:w="679" w:type="pct"/>
            <w:shd w:val="clear" w:color="auto" w:fill="auto"/>
            <w:vAlign w:val="center"/>
          </w:tcPr>
          <w:p w:rsidR="00C25D9C" w:rsidRPr="00B73618" w:rsidRDefault="00C25D9C" w:rsidP="00B8649C">
            <w:pPr>
              <w:jc w:val="center"/>
              <w:rPr>
                <w:rFonts w:ascii="Arial Narrow" w:hAnsi="Arial Narrow"/>
                <w:b/>
                <w:sz w:val="20"/>
              </w:rPr>
            </w:pPr>
            <w:r w:rsidRPr="00B73618">
              <w:rPr>
                <w:rFonts w:ascii="Arial Narrow" w:hAnsi="Arial Narrow"/>
                <w:b/>
                <w:sz w:val="20"/>
              </w:rPr>
              <w:t>Year 1</w:t>
            </w:r>
          </w:p>
        </w:tc>
        <w:tc>
          <w:tcPr>
            <w:tcW w:w="679" w:type="pct"/>
            <w:shd w:val="clear" w:color="auto" w:fill="auto"/>
            <w:vAlign w:val="center"/>
          </w:tcPr>
          <w:p w:rsidR="00C25D9C" w:rsidRPr="00B73618" w:rsidRDefault="00C25D9C" w:rsidP="00B8649C">
            <w:pPr>
              <w:jc w:val="center"/>
              <w:rPr>
                <w:rFonts w:ascii="Arial Narrow" w:hAnsi="Arial Narrow"/>
                <w:b/>
                <w:sz w:val="20"/>
              </w:rPr>
            </w:pPr>
            <w:r w:rsidRPr="00B73618">
              <w:rPr>
                <w:rFonts w:ascii="Arial Narrow" w:hAnsi="Arial Narrow"/>
                <w:b/>
                <w:sz w:val="20"/>
              </w:rPr>
              <w:t>Year 2</w:t>
            </w:r>
          </w:p>
        </w:tc>
        <w:tc>
          <w:tcPr>
            <w:tcW w:w="764" w:type="pct"/>
            <w:shd w:val="clear" w:color="auto" w:fill="auto"/>
            <w:vAlign w:val="center"/>
          </w:tcPr>
          <w:p w:rsidR="00C25D9C" w:rsidRPr="00B73618" w:rsidRDefault="00C25D9C" w:rsidP="00B8649C">
            <w:pPr>
              <w:jc w:val="center"/>
              <w:rPr>
                <w:rFonts w:ascii="Arial Narrow" w:hAnsi="Arial Narrow"/>
                <w:b/>
                <w:sz w:val="20"/>
              </w:rPr>
            </w:pPr>
            <w:r w:rsidRPr="00B73618">
              <w:rPr>
                <w:rFonts w:ascii="Arial Narrow" w:hAnsi="Arial Narrow"/>
                <w:b/>
                <w:sz w:val="20"/>
              </w:rPr>
              <w:t>Year 3</w:t>
            </w:r>
          </w:p>
        </w:tc>
        <w:tc>
          <w:tcPr>
            <w:tcW w:w="764" w:type="pct"/>
            <w:shd w:val="clear" w:color="auto" w:fill="auto"/>
            <w:vAlign w:val="center"/>
          </w:tcPr>
          <w:p w:rsidR="00C25D9C" w:rsidRPr="00B73618" w:rsidRDefault="00C25D9C" w:rsidP="00B8649C">
            <w:pPr>
              <w:jc w:val="center"/>
              <w:rPr>
                <w:rFonts w:ascii="Arial Narrow" w:hAnsi="Arial Narrow"/>
                <w:b/>
                <w:sz w:val="20"/>
              </w:rPr>
            </w:pPr>
            <w:r w:rsidRPr="00B73618">
              <w:rPr>
                <w:rFonts w:ascii="Arial Narrow" w:hAnsi="Arial Narrow"/>
                <w:b/>
                <w:sz w:val="20"/>
              </w:rPr>
              <w:t>Year 4</w:t>
            </w:r>
          </w:p>
        </w:tc>
        <w:tc>
          <w:tcPr>
            <w:tcW w:w="755" w:type="pct"/>
            <w:shd w:val="clear" w:color="auto" w:fill="auto"/>
            <w:vAlign w:val="center"/>
          </w:tcPr>
          <w:p w:rsidR="00C25D9C" w:rsidRPr="00B73618" w:rsidRDefault="00C25D9C" w:rsidP="00B8649C">
            <w:pPr>
              <w:jc w:val="center"/>
              <w:rPr>
                <w:rFonts w:ascii="Arial Narrow" w:hAnsi="Arial Narrow"/>
                <w:b/>
                <w:sz w:val="20"/>
              </w:rPr>
            </w:pPr>
            <w:r w:rsidRPr="00B73618">
              <w:rPr>
                <w:rFonts w:ascii="Arial Narrow" w:hAnsi="Arial Narrow"/>
                <w:b/>
                <w:sz w:val="20"/>
              </w:rPr>
              <w:t>Year 5</w:t>
            </w:r>
          </w:p>
        </w:tc>
      </w:tr>
      <w:tr w:rsidR="00676EEE" w:rsidRPr="00B73618" w:rsidTr="00156A98">
        <w:tc>
          <w:tcPr>
            <w:tcW w:w="5000" w:type="pct"/>
            <w:gridSpan w:val="6"/>
            <w:shd w:val="clear" w:color="auto" w:fill="auto"/>
            <w:vAlign w:val="center"/>
          </w:tcPr>
          <w:p w:rsidR="00C25D9C" w:rsidRPr="00B73618" w:rsidRDefault="00C25D9C" w:rsidP="00B8649C">
            <w:pPr>
              <w:jc w:val="left"/>
              <w:rPr>
                <w:rFonts w:ascii="Arial Narrow" w:hAnsi="Arial Narrow"/>
                <w:b/>
                <w:bCs/>
                <w:sz w:val="20"/>
              </w:rPr>
            </w:pPr>
            <w:r w:rsidRPr="00B73618">
              <w:rPr>
                <w:rFonts w:ascii="Arial Narrow" w:hAnsi="Arial Narrow"/>
                <w:b/>
                <w:bCs/>
                <w:sz w:val="20"/>
              </w:rPr>
              <w:t>Estimated extent of use</w:t>
            </w:r>
          </w:p>
        </w:tc>
      </w:tr>
      <w:tr w:rsidR="00676EEE" w:rsidRPr="00B73618" w:rsidTr="00156A98">
        <w:tc>
          <w:tcPr>
            <w:tcW w:w="1359" w:type="pct"/>
            <w:shd w:val="clear" w:color="auto" w:fill="auto"/>
            <w:vAlign w:val="center"/>
          </w:tcPr>
          <w:p w:rsidR="00676EEE" w:rsidRPr="00B73618" w:rsidRDefault="00676EEE" w:rsidP="00676EEE">
            <w:pPr>
              <w:tabs>
                <w:tab w:val="left" w:pos="142"/>
              </w:tabs>
              <w:jc w:val="left"/>
              <w:rPr>
                <w:rFonts w:ascii="Arial Narrow" w:hAnsi="Arial Narrow"/>
                <w:sz w:val="20"/>
              </w:rPr>
            </w:pPr>
            <w:r w:rsidRPr="00B73618">
              <w:rPr>
                <w:rFonts w:ascii="Arial Narrow" w:hAnsi="Arial Narrow"/>
                <w:sz w:val="20"/>
              </w:rPr>
              <w:t>Market share</w:t>
            </w:r>
          </w:p>
        </w:tc>
        <w:tc>
          <w:tcPr>
            <w:tcW w:w="679" w:type="pct"/>
            <w:shd w:val="clear" w:color="auto" w:fill="auto"/>
            <w:vAlign w:val="center"/>
          </w:tcPr>
          <w:p w:rsidR="00676EEE" w:rsidRPr="002872FE" w:rsidRDefault="002872FE" w:rsidP="00B8649C">
            <w:pPr>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676EEE" w:rsidRPr="002872FE" w:rsidRDefault="002872FE" w:rsidP="00B8649C">
            <w:pPr>
              <w:jc w:val="center"/>
              <w:rPr>
                <w:rFonts w:ascii="Arial Narrow" w:hAnsi="Arial Narrow"/>
                <w:bCs/>
                <w:sz w:val="20"/>
                <w:highlight w:val="black"/>
              </w:rPr>
            </w:pPr>
            <w:r>
              <w:rPr>
                <w:rFonts w:ascii="Arial Narrow" w:hAnsi="Arial Narrow"/>
                <w:noProof/>
                <w:color w:val="000000"/>
                <w:sz w:val="20"/>
                <w:highlight w:val="black"/>
              </w:rPr>
              <w:t>'''''''</w:t>
            </w:r>
          </w:p>
        </w:tc>
        <w:tc>
          <w:tcPr>
            <w:tcW w:w="764" w:type="pct"/>
            <w:shd w:val="clear" w:color="auto" w:fill="auto"/>
            <w:vAlign w:val="center"/>
          </w:tcPr>
          <w:p w:rsidR="00676EEE" w:rsidRPr="002872FE" w:rsidRDefault="002872FE" w:rsidP="00B8649C">
            <w:pPr>
              <w:jc w:val="center"/>
              <w:rPr>
                <w:rFonts w:ascii="Arial Narrow" w:hAnsi="Arial Narrow"/>
                <w:bCs/>
                <w:sz w:val="20"/>
                <w:highlight w:val="black"/>
              </w:rPr>
            </w:pPr>
            <w:r>
              <w:rPr>
                <w:rFonts w:ascii="Arial Narrow" w:hAnsi="Arial Narrow"/>
                <w:noProof/>
                <w:color w:val="000000"/>
                <w:sz w:val="20"/>
                <w:highlight w:val="black"/>
              </w:rPr>
              <w:t>''''''''''''</w:t>
            </w:r>
          </w:p>
        </w:tc>
        <w:tc>
          <w:tcPr>
            <w:tcW w:w="764" w:type="pct"/>
            <w:shd w:val="clear" w:color="auto" w:fill="auto"/>
            <w:vAlign w:val="center"/>
          </w:tcPr>
          <w:p w:rsidR="00676EEE" w:rsidRPr="002872FE" w:rsidRDefault="002872FE" w:rsidP="00B8649C">
            <w:pPr>
              <w:jc w:val="center"/>
              <w:rPr>
                <w:rFonts w:ascii="Arial Narrow" w:hAnsi="Arial Narrow"/>
                <w:bCs/>
                <w:sz w:val="20"/>
                <w:highlight w:val="black"/>
              </w:rPr>
            </w:pPr>
            <w:r>
              <w:rPr>
                <w:rFonts w:ascii="Arial Narrow" w:hAnsi="Arial Narrow"/>
                <w:noProof/>
                <w:color w:val="000000"/>
                <w:sz w:val="20"/>
                <w:highlight w:val="black"/>
              </w:rPr>
              <w:t>''''''''''</w:t>
            </w:r>
          </w:p>
        </w:tc>
        <w:tc>
          <w:tcPr>
            <w:tcW w:w="755" w:type="pct"/>
            <w:shd w:val="clear" w:color="auto" w:fill="auto"/>
            <w:vAlign w:val="center"/>
          </w:tcPr>
          <w:p w:rsidR="00676EEE" w:rsidRPr="002872FE" w:rsidRDefault="002872FE" w:rsidP="00B8649C">
            <w:pPr>
              <w:jc w:val="center"/>
              <w:rPr>
                <w:rFonts w:ascii="Arial Narrow" w:hAnsi="Arial Narrow"/>
                <w:bCs/>
                <w:sz w:val="20"/>
                <w:highlight w:val="black"/>
              </w:rPr>
            </w:pPr>
            <w:r>
              <w:rPr>
                <w:rFonts w:ascii="Arial Narrow" w:hAnsi="Arial Narrow"/>
                <w:noProof/>
                <w:color w:val="000000"/>
                <w:sz w:val="20"/>
                <w:highlight w:val="black"/>
              </w:rPr>
              <w:t>''''''''''''</w:t>
            </w:r>
          </w:p>
        </w:tc>
      </w:tr>
      <w:tr w:rsidR="00676EEE" w:rsidRPr="00B73618" w:rsidTr="00156A98">
        <w:tc>
          <w:tcPr>
            <w:tcW w:w="1359" w:type="pct"/>
            <w:shd w:val="clear" w:color="auto" w:fill="auto"/>
            <w:vAlign w:val="center"/>
          </w:tcPr>
          <w:p w:rsidR="00676EEE" w:rsidRPr="00B73618" w:rsidRDefault="00676EEE" w:rsidP="00B8649C">
            <w:pPr>
              <w:tabs>
                <w:tab w:val="left" w:pos="142"/>
              </w:tabs>
              <w:jc w:val="left"/>
              <w:rPr>
                <w:rFonts w:ascii="Arial Narrow" w:hAnsi="Arial Narrow"/>
                <w:sz w:val="20"/>
              </w:rPr>
            </w:pPr>
            <w:r w:rsidRPr="00B73618">
              <w:rPr>
                <w:rFonts w:ascii="Arial Narrow" w:hAnsi="Arial Narrow"/>
                <w:sz w:val="20"/>
              </w:rPr>
              <w:t>Scripts</w:t>
            </w:r>
          </w:p>
        </w:tc>
        <w:tc>
          <w:tcPr>
            <w:tcW w:w="679" w:type="pct"/>
            <w:shd w:val="clear" w:color="auto" w:fill="auto"/>
            <w:vAlign w:val="center"/>
          </w:tcPr>
          <w:p w:rsidR="00676EEE" w:rsidRPr="002872FE" w:rsidRDefault="002872FE" w:rsidP="00B8649C">
            <w:pPr>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676EEE" w:rsidRPr="002872FE" w:rsidRDefault="002872FE" w:rsidP="00B8649C">
            <w:pPr>
              <w:jc w:val="center"/>
              <w:rPr>
                <w:rFonts w:ascii="Arial Narrow" w:hAnsi="Arial Narrow"/>
                <w:bCs/>
                <w:sz w:val="20"/>
                <w:highlight w:val="black"/>
              </w:rPr>
            </w:pPr>
            <w:r>
              <w:rPr>
                <w:rFonts w:ascii="Arial Narrow" w:hAnsi="Arial Narrow"/>
                <w:noProof/>
                <w:color w:val="000000"/>
                <w:sz w:val="20"/>
                <w:highlight w:val="black"/>
              </w:rPr>
              <w:t>''''''''''''''</w:t>
            </w:r>
          </w:p>
        </w:tc>
        <w:tc>
          <w:tcPr>
            <w:tcW w:w="764" w:type="pct"/>
            <w:shd w:val="clear" w:color="auto" w:fill="auto"/>
            <w:vAlign w:val="center"/>
          </w:tcPr>
          <w:p w:rsidR="00676EEE" w:rsidRPr="002872FE" w:rsidRDefault="002872FE" w:rsidP="00B8649C">
            <w:pPr>
              <w:jc w:val="center"/>
              <w:rPr>
                <w:rFonts w:ascii="Arial Narrow" w:hAnsi="Arial Narrow"/>
                <w:bCs/>
                <w:sz w:val="20"/>
                <w:highlight w:val="black"/>
              </w:rPr>
            </w:pPr>
            <w:r>
              <w:rPr>
                <w:rFonts w:ascii="Arial Narrow" w:hAnsi="Arial Narrow"/>
                <w:noProof/>
                <w:color w:val="000000"/>
                <w:sz w:val="20"/>
                <w:highlight w:val="black"/>
              </w:rPr>
              <w:t>'''''''''''''</w:t>
            </w:r>
          </w:p>
        </w:tc>
        <w:tc>
          <w:tcPr>
            <w:tcW w:w="764" w:type="pct"/>
            <w:shd w:val="clear" w:color="auto" w:fill="auto"/>
            <w:vAlign w:val="center"/>
          </w:tcPr>
          <w:p w:rsidR="00676EEE" w:rsidRPr="002872FE" w:rsidRDefault="002872FE" w:rsidP="00B8649C">
            <w:pPr>
              <w:jc w:val="center"/>
              <w:rPr>
                <w:rFonts w:ascii="Arial Narrow" w:hAnsi="Arial Narrow"/>
                <w:bCs/>
                <w:sz w:val="20"/>
                <w:highlight w:val="black"/>
              </w:rPr>
            </w:pPr>
            <w:r>
              <w:rPr>
                <w:rFonts w:ascii="Arial Narrow" w:hAnsi="Arial Narrow"/>
                <w:noProof/>
                <w:color w:val="000000"/>
                <w:sz w:val="20"/>
                <w:highlight w:val="black"/>
              </w:rPr>
              <w:t>'''''''''''''</w:t>
            </w:r>
          </w:p>
        </w:tc>
        <w:tc>
          <w:tcPr>
            <w:tcW w:w="755" w:type="pct"/>
            <w:shd w:val="clear" w:color="auto" w:fill="auto"/>
            <w:vAlign w:val="center"/>
          </w:tcPr>
          <w:p w:rsidR="00676EEE" w:rsidRPr="002872FE" w:rsidRDefault="002872FE" w:rsidP="00B8649C">
            <w:pPr>
              <w:jc w:val="center"/>
              <w:rPr>
                <w:rFonts w:ascii="Arial Narrow" w:hAnsi="Arial Narrow"/>
                <w:bCs/>
                <w:sz w:val="20"/>
                <w:highlight w:val="black"/>
              </w:rPr>
            </w:pPr>
            <w:r>
              <w:rPr>
                <w:rFonts w:ascii="Arial Narrow" w:hAnsi="Arial Narrow"/>
                <w:noProof/>
                <w:color w:val="000000"/>
                <w:sz w:val="20"/>
                <w:highlight w:val="black"/>
              </w:rPr>
              <w:t>''''''''''''''''''</w:t>
            </w:r>
          </w:p>
        </w:tc>
      </w:tr>
      <w:tr w:rsidR="00676EEE" w:rsidRPr="00B73618" w:rsidTr="00156A98">
        <w:tc>
          <w:tcPr>
            <w:tcW w:w="5000" w:type="pct"/>
            <w:gridSpan w:val="6"/>
            <w:shd w:val="clear" w:color="auto" w:fill="auto"/>
            <w:vAlign w:val="center"/>
          </w:tcPr>
          <w:p w:rsidR="00676EEE" w:rsidRPr="00B73618" w:rsidRDefault="00676EEE" w:rsidP="00B8649C">
            <w:pPr>
              <w:jc w:val="left"/>
              <w:rPr>
                <w:rFonts w:ascii="Arial Narrow" w:hAnsi="Arial Narrow"/>
                <w:b/>
                <w:bCs/>
                <w:sz w:val="20"/>
              </w:rPr>
            </w:pPr>
            <w:r w:rsidRPr="00B73618">
              <w:rPr>
                <w:rFonts w:ascii="Arial Narrow" w:hAnsi="Arial Narrow"/>
                <w:b/>
                <w:bCs/>
                <w:sz w:val="20"/>
              </w:rPr>
              <w:t>Estimated net cost to PBS/RPBS/MBS</w:t>
            </w:r>
          </w:p>
        </w:tc>
      </w:tr>
      <w:tr w:rsidR="00380CE0" w:rsidRPr="00B73618" w:rsidTr="00156A98">
        <w:tc>
          <w:tcPr>
            <w:tcW w:w="1359" w:type="pct"/>
            <w:shd w:val="clear" w:color="auto" w:fill="auto"/>
            <w:vAlign w:val="center"/>
          </w:tcPr>
          <w:p w:rsidR="00380CE0" w:rsidRPr="00B73618" w:rsidRDefault="00380CE0" w:rsidP="00B8649C">
            <w:pPr>
              <w:tabs>
                <w:tab w:val="left" w:pos="142"/>
              </w:tabs>
              <w:jc w:val="left"/>
              <w:rPr>
                <w:rFonts w:ascii="Arial Narrow" w:hAnsi="Arial Narrow"/>
                <w:sz w:val="20"/>
              </w:rPr>
            </w:pPr>
            <w:r w:rsidRPr="00B73618">
              <w:rPr>
                <w:rFonts w:ascii="Arial Narrow" w:hAnsi="Arial Narrow"/>
                <w:sz w:val="20"/>
              </w:rPr>
              <w:t>Cost to PBS (excl copay)</w:t>
            </w:r>
          </w:p>
        </w:tc>
        <w:tc>
          <w:tcPr>
            <w:tcW w:w="679" w:type="pct"/>
            <w:shd w:val="clear" w:color="auto" w:fill="auto"/>
            <w:vAlign w:val="center"/>
          </w:tcPr>
          <w:p w:rsidR="00380CE0" w:rsidRPr="002872FE" w:rsidRDefault="002872FE" w:rsidP="00B8649C">
            <w:pPr>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380CE0" w:rsidRPr="002872FE" w:rsidRDefault="002872FE" w:rsidP="00B8649C">
            <w:pPr>
              <w:jc w:val="center"/>
              <w:rPr>
                <w:rFonts w:ascii="Arial Narrow" w:hAnsi="Arial Narrow"/>
                <w:bCs/>
                <w:sz w:val="20"/>
                <w:highlight w:val="black"/>
              </w:rPr>
            </w:pPr>
            <w:r>
              <w:rPr>
                <w:rFonts w:ascii="Arial Narrow" w:hAnsi="Arial Narrow"/>
                <w:noProof/>
                <w:color w:val="000000"/>
                <w:sz w:val="20"/>
                <w:highlight w:val="black"/>
              </w:rPr>
              <w:t>''''''''''''''''''''''''</w:t>
            </w:r>
          </w:p>
        </w:tc>
        <w:tc>
          <w:tcPr>
            <w:tcW w:w="764" w:type="pct"/>
            <w:shd w:val="clear" w:color="auto" w:fill="auto"/>
            <w:vAlign w:val="center"/>
          </w:tcPr>
          <w:p w:rsidR="00380CE0" w:rsidRPr="002872FE" w:rsidRDefault="002872FE" w:rsidP="00B8649C">
            <w:pPr>
              <w:jc w:val="center"/>
              <w:rPr>
                <w:rFonts w:ascii="Arial Narrow" w:hAnsi="Arial Narrow"/>
                <w:bCs/>
                <w:sz w:val="20"/>
                <w:highlight w:val="black"/>
              </w:rPr>
            </w:pPr>
            <w:r>
              <w:rPr>
                <w:rFonts w:ascii="Arial Narrow" w:hAnsi="Arial Narrow"/>
                <w:noProof/>
                <w:color w:val="000000"/>
                <w:sz w:val="20"/>
                <w:highlight w:val="black"/>
              </w:rPr>
              <w:t>'''''''''''''''''''''''''''</w:t>
            </w:r>
          </w:p>
        </w:tc>
        <w:tc>
          <w:tcPr>
            <w:tcW w:w="764" w:type="pct"/>
            <w:shd w:val="clear" w:color="auto" w:fill="auto"/>
            <w:vAlign w:val="center"/>
          </w:tcPr>
          <w:p w:rsidR="00380CE0" w:rsidRPr="002872FE" w:rsidRDefault="002872FE" w:rsidP="00B8649C">
            <w:pPr>
              <w:jc w:val="center"/>
              <w:rPr>
                <w:rFonts w:ascii="Arial Narrow" w:hAnsi="Arial Narrow"/>
                <w:bCs/>
                <w:sz w:val="20"/>
                <w:highlight w:val="black"/>
              </w:rPr>
            </w:pPr>
            <w:r>
              <w:rPr>
                <w:rFonts w:ascii="Arial Narrow" w:hAnsi="Arial Narrow"/>
                <w:noProof/>
                <w:color w:val="000000"/>
                <w:sz w:val="20"/>
                <w:highlight w:val="black"/>
              </w:rPr>
              <w:t>''''''''''''''''''''''''''''</w:t>
            </w:r>
          </w:p>
        </w:tc>
        <w:tc>
          <w:tcPr>
            <w:tcW w:w="755" w:type="pct"/>
            <w:shd w:val="clear" w:color="auto" w:fill="auto"/>
            <w:vAlign w:val="center"/>
          </w:tcPr>
          <w:p w:rsidR="00380CE0" w:rsidRPr="002872FE" w:rsidRDefault="002872FE" w:rsidP="00B8649C">
            <w:pPr>
              <w:jc w:val="center"/>
              <w:rPr>
                <w:rFonts w:ascii="Arial Narrow" w:hAnsi="Arial Narrow"/>
                <w:bCs/>
                <w:sz w:val="20"/>
                <w:highlight w:val="black"/>
              </w:rPr>
            </w:pPr>
            <w:r>
              <w:rPr>
                <w:rFonts w:ascii="Arial Narrow" w:hAnsi="Arial Narrow"/>
                <w:noProof/>
                <w:color w:val="000000"/>
                <w:sz w:val="20"/>
                <w:highlight w:val="black"/>
              </w:rPr>
              <w:t>''''''''''''''''''''''''''</w:t>
            </w:r>
          </w:p>
        </w:tc>
      </w:tr>
      <w:tr w:rsidR="00380CE0" w:rsidRPr="00B73618" w:rsidTr="00156A98">
        <w:tc>
          <w:tcPr>
            <w:tcW w:w="1359" w:type="pct"/>
            <w:shd w:val="clear" w:color="auto" w:fill="auto"/>
            <w:vAlign w:val="center"/>
          </w:tcPr>
          <w:p w:rsidR="00380CE0" w:rsidRPr="00B73618" w:rsidRDefault="00380CE0" w:rsidP="00B8649C">
            <w:pPr>
              <w:tabs>
                <w:tab w:val="left" w:pos="142"/>
              </w:tabs>
              <w:jc w:val="left"/>
              <w:rPr>
                <w:rFonts w:ascii="Arial Narrow" w:hAnsi="Arial Narrow"/>
                <w:sz w:val="19"/>
                <w:szCs w:val="19"/>
              </w:rPr>
            </w:pPr>
            <w:r w:rsidRPr="00B73618">
              <w:rPr>
                <w:rFonts w:ascii="Arial Narrow" w:hAnsi="Arial Narrow"/>
                <w:sz w:val="20"/>
              </w:rPr>
              <w:t>Substituted therapies</w:t>
            </w:r>
          </w:p>
        </w:tc>
        <w:tc>
          <w:tcPr>
            <w:tcW w:w="679"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r>
      <w:tr w:rsidR="00380CE0" w:rsidRPr="00B73618" w:rsidTr="00156A98">
        <w:tc>
          <w:tcPr>
            <w:tcW w:w="1359" w:type="pct"/>
            <w:shd w:val="clear" w:color="auto" w:fill="auto"/>
            <w:vAlign w:val="center"/>
          </w:tcPr>
          <w:p w:rsidR="00380CE0" w:rsidRPr="00B73618" w:rsidRDefault="00380CE0" w:rsidP="00B8649C">
            <w:pPr>
              <w:tabs>
                <w:tab w:val="left" w:pos="142"/>
              </w:tabs>
              <w:jc w:val="left"/>
              <w:rPr>
                <w:rFonts w:ascii="Arial Narrow" w:hAnsi="Arial Narrow"/>
                <w:sz w:val="19"/>
                <w:szCs w:val="19"/>
              </w:rPr>
            </w:pPr>
            <w:r w:rsidRPr="00B73618">
              <w:rPr>
                <w:rFonts w:ascii="Arial Narrow" w:hAnsi="Arial Narrow"/>
                <w:sz w:val="20"/>
              </w:rPr>
              <w:t>- sevelamer hydrochloride</w:t>
            </w:r>
          </w:p>
        </w:tc>
        <w:tc>
          <w:tcPr>
            <w:tcW w:w="679"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r>
      <w:tr w:rsidR="00380CE0" w:rsidRPr="00B73618" w:rsidTr="00156A98">
        <w:tc>
          <w:tcPr>
            <w:tcW w:w="1359" w:type="pct"/>
            <w:shd w:val="clear" w:color="auto" w:fill="auto"/>
            <w:vAlign w:val="center"/>
          </w:tcPr>
          <w:p w:rsidR="00380CE0" w:rsidRPr="00B73618" w:rsidRDefault="00380CE0" w:rsidP="00B8649C">
            <w:pPr>
              <w:tabs>
                <w:tab w:val="left" w:pos="142"/>
              </w:tabs>
              <w:jc w:val="left"/>
              <w:rPr>
                <w:rFonts w:ascii="Arial Narrow" w:hAnsi="Arial Narrow"/>
                <w:sz w:val="19"/>
                <w:szCs w:val="19"/>
              </w:rPr>
            </w:pPr>
            <w:r w:rsidRPr="00B73618">
              <w:rPr>
                <w:rFonts w:ascii="Arial Narrow" w:hAnsi="Arial Narrow"/>
                <w:sz w:val="20"/>
              </w:rPr>
              <w:t>- lanthanum carbonate</w:t>
            </w:r>
          </w:p>
        </w:tc>
        <w:tc>
          <w:tcPr>
            <w:tcW w:w="679"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r>
      <w:tr w:rsidR="00380CE0" w:rsidRPr="00B73618" w:rsidTr="00156A98">
        <w:tc>
          <w:tcPr>
            <w:tcW w:w="1359" w:type="pct"/>
            <w:shd w:val="clear" w:color="auto" w:fill="auto"/>
            <w:vAlign w:val="center"/>
          </w:tcPr>
          <w:p w:rsidR="00380CE0" w:rsidRPr="00B73618" w:rsidRDefault="00380CE0" w:rsidP="00B8649C">
            <w:pPr>
              <w:tabs>
                <w:tab w:val="left" w:pos="142"/>
              </w:tabs>
              <w:jc w:val="left"/>
              <w:rPr>
                <w:rFonts w:ascii="Arial Narrow" w:hAnsi="Arial Narrow"/>
                <w:sz w:val="19"/>
                <w:szCs w:val="19"/>
              </w:rPr>
            </w:pPr>
            <w:r w:rsidRPr="00B73618">
              <w:rPr>
                <w:rFonts w:ascii="Arial Narrow" w:hAnsi="Arial Narrow"/>
                <w:sz w:val="19"/>
                <w:szCs w:val="19"/>
              </w:rPr>
              <w:t>Net cost to PBS/RPBS</w:t>
            </w:r>
          </w:p>
        </w:tc>
        <w:tc>
          <w:tcPr>
            <w:tcW w:w="679"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noProof/>
                <w:color w:val="000000"/>
                <w:sz w:val="20"/>
                <w:highlight w:val="black"/>
              </w:rPr>
              <w:t>''''''''''''''''</w:t>
            </w:r>
          </w:p>
        </w:tc>
      </w:tr>
      <w:tr w:rsidR="00380CE0" w:rsidRPr="00B73618" w:rsidTr="00156A98">
        <w:tc>
          <w:tcPr>
            <w:tcW w:w="1359" w:type="pct"/>
            <w:shd w:val="clear" w:color="auto" w:fill="auto"/>
            <w:vAlign w:val="center"/>
          </w:tcPr>
          <w:p w:rsidR="00380CE0" w:rsidRPr="00B73618" w:rsidRDefault="00380CE0" w:rsidP="00B8649C">
            <w:pPr>
              <w:tabs>
                <w:tab w:val="left" w:pos="142"/>
              </w:tabs>
              <w:jc w:val="left"/>
              <w:rPr>
                <w:rFonts w:ascii="Arial Narrow" w:hAnsi="Arial Narrow"/>
                <w:sz w:val="20"/>
              </w:rPr>
            </w:pPr>
            <w:r w:rsidRPr="00B73618">
              <w:rPr>
                <w:rFonts w:ascii="Arial Narrow" w:hAnsi="Arial Narrow"/>
                <w:sz w:val="19"/>
                <w:szCs w:val="19"/>
              </w:rPr>
              <w:t>Net cost to MBS</w:t>
            </w:r>
          </w:p>
        </w:tc>
        <w:tc>
          <w:tcPr>
            <w:tcW w:w="679" w:type="pct"/>
            <w:shd w:val="clear" w:color="auto" w:fill="auto"/>
            <w:vAlign w:val="center"/>
          </w:tcPr>
          <w:p w:rsidR="00380CE0" w:rsidRPr="002872FE" w:rsidRDefault="002872FE" w:rsidP="00B8649C">
            <w:pPr>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380CE0" w:rsidRPr="002872FE" w:rsidRDefault="002872FE" w:rsidP="00B8649C">
            <w:pPr>
              <w:jc w:val="center"/>
              <w:rPr>
                <w:rFonts w:ascii="Arial Narrow" w:hAnsi="Arial Narrow"/>
                <w:bCs/>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380CE0" w:rsidRPr="002872FE" w:rsidRDefault="002872FE" w:rsidP="00B8649C">
            <w:pPr>
              <w:jc w:val="center"/>
              <w:rPr>
                <w:rFonts w:ascii="Arial Narrow" w:hAnsi="Arial Narrow"/>
                <w:bCs/>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380CE0" w:rsidRPr="002872FE" w:rsidRDefault="002872FE" w:rsidP="00B8649C">
            <w:pPr>
              <w:jc w:val="center"/>
              <w:rPr>
                <w:rFonts w:ascii="Arial Narrow" w:hAnsi="Arial Narrow"/>
                <w:bCs/>
                <w:sz w:val="20"/>
                <w:highlight w:val="black"/>
              </w:rPr>
            </w:pPr>
            <w:r>
              <w:rPr>
                <w:rFonts w:ascii="Arial Narrow" w:hAnsi="Arial Narrow"/>
                <w:bCs/>
                <w:noProof/>
                <w:color w:val="000000"/>
                <w:sz w:val="20"/>
                <w:highlight w:val="black"/>
              </w:rPr>
              <w:t>''</w:t>
            </w:r>
          </w:p>
        </w:tc>
        <w:tc>
          <w:tcPr>
            <w:tcW w:w="755" w:type="pct"/>
            <w:shd w:val="clear" w:color="auto" w:fill="auto"/>
            <w:vAlign w:val="center"/>
          </w:tcPr>
          <w:p w:rsidR="00380CE0" w:rsidRPr="002872FE" w:rsidRDefault="002872FE" w:rsidP="00B8649C">
            <w:pPr>
              <w:jc w:val="center"/>
              <w:rPr>
                <w:rFonts w:ascii="Arial Narrow" w:hAnsi="Arial Narrow"/>
                <w:bCs/>
                <w:sz w:val="20"/>
                <w:highlight w:val="black"/>
              </w:rPr>
            </w:pPr>
            <w:r>
              <w:rPr>
                <w:rFonts w:ascii="Arial Narrow" w:hAnsi="Arial Narrow"/>
                <w:bCs/>
                <w:noProof/>
                <w:color w:val="000000"/>
                <w:sz w:val="20"/>
                <w:highlight w:val="black"/>
              </w:rPr>
              <w:t>''</w:t>
            </w:r>
          </w:p>
        </w:tc>
      </w:tr>
      <w:tr w:rsidR="00380CE0" w:rsidRPr="00B73618" w:rsidTr="00156A98">
        <w:tc>
          <w:tcPr>
            <w:tcW w:w="5000" w:type="pct"/>
            <w:gridSpan w:val="6"/>
            <w:shd w:val="clear" w:color="auto" w:fill="auto"/>
            <w:vAlign w:val="center"/>
          </w:tcPr>
          <w:p w:rsidR="00380CE0" w:rsidRPr="00B73618" w:rsidRDefault="00380CE0" w:rsidP="00B8649C">
            <w:pPr>
              <w:jc w:val="left"/>
              <w:rPr>
                <w:rFonts w:ascii="Arial Narrow" w:hAnsi="Arial Narrow"/>
                <w:b/>
                <w:sz w:val="20"/>
              </w:rPr>
            </w:pPr>
            <w:r w:rsidRPr="00B73618">
              <w:rPr>
                <w:rFonts w:ascii="Arial Narrow" w:hAnsi="Arial Narrow"/>
                <w:b/>
                <w:sz w:val="20"/>
              </w:rPr>
              <w:t>Estimated total net cost</w:t>
            </w:r>
          </w:p>
        </w:tc>
      </w:tr>
      <w:tr w:rsidR="00380CE0" w:rsidRPr="00B73618" w:rsidTr="00156A98">
        <w:tc>
          <w:tcPr>
            <w:tcW w:w="1359" w:type="pct"/>
            <w:shd w:val="clear" w:color="auto" w:fill="auto"/>
            <w:vAlign w:val="center"/>
          </w:tcPr>
          <w:p w:rsidR="00380CE0" w:rsidRPr="00B73618" w:rsidRDefault="00380CE0" w:rsidP="00380CE0">
            <w:pPr>
              <w:tabs>
                <w:tab w:val="left" w:pos="142"/>
              </w:tabs>
              <w:jc w:val="left"/>
              <w:rPr>
                <w:rFonts w:ascii="Arial Narrow" w:hAnsi="Arial Narrow"/>
                <w:b/>
                <w:sz w:val="20"/>
              </w:rPr>
            </w:pPr>
            <w:r w:rsidRPr="00B73618">
              <w:rPr>
                <w:rFonts w:ascii="Arial Narrow" w:hAnsi="Arial Narrow"/>
                <w:b/>
                <w:bCs/>
                <w:sz w:val="20"/>
              </w:rPr>
              <w:t>Net savings to PBS</w:t>
            </w:r>
          </w:p>
        </w:tc>
        <w:tc>
          <w:tcPr>
            <w:tcW w:w="679"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b/>
                <w:noProof/>
                <w:color w:val="000000"/>
                <w:sz w:val="20"/>
                <w:highlight w:val="black"/>
              </w:rPr>
              <w:t>''''''''''''</w:t>
            </w:r>
          </w:p>
        </w:tc>
        <w:tc>
          <w:tcPr>
            <w:tcW w:w="679"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b/>
                <w:noProof/>
                <w:color w:val="000000"/>
                <w:sz w:val="20"/>
                <w:highlight w:val="black"/>
              </w:rPr>
              <w:t>''''''''''''''</w:t>
            </w:r>
          </w:p>
        </w:tc>
        <w:tc>
          <w:tcPr>
            <w:tcW w:w="764"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b/>
                <w:noProof/>
                <w:color w:val="000000"/>
                <w:sz w:val="20"/>
                <w:highlight w:val="black"/>
              </w:rPr>
              <w:t>''''''''''''''</w:t>
            </w:r>
          </w:p>
        </w:tc>
        <w:tc>
          <w:tcPr>
            <w:tcW w:w="764"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b/>
                <w:noProof/>
                <w:color w:val="000000"/>
                <w:sz w:val="20"/>
                <w:highlight w:val="black"/>
              </w:rPr>
              <w:t>''''''''''''''''</w:t>
            </w:r>
          </w:p>
        </w:tc>
        <w:tc>
          <w:tcPr>
            <w:tcW w:w="755" w:type="pct"/>
            <w:shd w:val="clear" w:color="auto" w:fill="auto"/>
            <w:vAlign w:val="bottom"/>
          </w:tcPr>
          <w:p w:rsidR="00380CE0" w:rsidRPr="002872FE" w:rsidRDefault="002872FE" w:rsidP="00B8649C">
            <w:pPr>
              <w:jc w:val="center"/>
              <w:rPr>
                <w:rFonts w:ascii="Arial Narrow" w:hAnsi="Arial Narrow"/>
                <w:sz w:val="20"/>
                <w:highlight w:val="black"/>
              </w:rPr>
            </w:pPr>
            <w:r>
              <w:rPr>
                <w:rFonts w:ascii="Arial Narrow" w:hAnsi="Arial Narrow"/>
                <w:b/>
                <w:noProof/>
                <w:color w:val="000000"/>
                <w:sz w:val="20"/>
                <w:highlight w:val="black"/>
              </w:rPr>
              <w:t>''''''''''''''''</w:t>
            </w:r>
          </w:p>
        </w:tc>
      </w:tr>
    </w:tbl>
    <w:p w:rsidR="00C25D9C" w:rsidRPr="00B73618" w:rsidRDefault="00C25D9C" w:rsidP="005D044D">
      <w:pPr>
        <w:pStyle w:val="TableFooter"/>
        <w:ind w:firstLine="720"/>
        <w:rPr>
          <w:szCs w:val="22"/>
        </w:rPr>
      </w:pPr>
      <w:r w:rsidRPr="00B73618">
        <w:rPr>
          <w:sz w:val="16"/>
          <w:szCs w:val="18"/>
        </w:rPr>
        <w:t xml:space="preserve">Source: </w:t>
      </w:r>
      <w:r w:rsidR="00380CE0" w:rsidRPr="00B73618">
        <w:rPr>
          <w:sz w:val="16"/>
          <w:szCs w:val="18"/>
        </w:rPr>
        <w:t xml:space="preserve">Tables E-2 (p 99), E-3 (p 100) and E-4 (p 101) </w:t>
      </w:r>
      <w:r w:rsidRPr="00B73618">
        <w:rPr>
          <w:szCs w:val="18"/>
        </w:rPr>
        <w:t>of the submission</w:t>
      </w:r>
    </w:p>
    <w:p w:rsidR="00676EEE" w:rsidRDefault="00676EEE" w:rsidP="00C25D9C">
      <w:pPr>
        <w:widowControl/>
        <w:rPr>
          <w:szCs w:val="22"/>
        </w:rPr>
      </w:pPr>
    </w:p>
    <w:p w:rsidR="00817DA9" w:rsidRPr="00817DA9" w:rsidRDefault="00817DA9" w:rsidP="00817DA9">
      <w:pPr>
        <w:pStyle w:val="ListParagraph"/>
        <w:widowControl/>
        <w:rPr>
          <w:i/>
          <w:szCs w:val="22"/>
        </w:rPr>
      </w:pPr>
      <w:r w:rsidRPr="00817DA9">
        <w:rPr>
          <w:i/>
        </w:rPr>
        <w:t xml:space="preserve">The redacted table </w:t>
      </w:r>
      <w:r>
        <w:rPr>
          <w:i/>
        </w:rPr>
        <w:t xml:space="preserve">above </w:t>
      </w:r>
      <w:r w:rsidRPr="00817DA9">
        <w:rPr>
          <w:i/>
        </w:rPr>
        <w:t>shows that at Year 5, the estimated scripts supplied to be 10,000 – 50,000, and the net savings to the PBS to be less than $10 million.</w:t>
      </w:r>
    </w:p>
    <w:p w:rsidR="00817DA9" w:rsidRPr="00B73618" w:rsidRDefault="00817DA9" w:rsidP="00C25D9C">
      <w:pPr>
        <w:widowControl/>
        <w:rPr>
          <w:szCs w:val="22"/>
        </w:rPr>
      </w:pPr>
    </w:p>
    <w:p w:rsidR="00C25D9C" w:rsidRPr="000A2F46" w:rsidRDefault="00380CE0" w:rsidP="00D247D9">
      <w:pPr>
        <w:pStyle w:val="ListParagraph"/>
        <w:widowControl/>
        <w:numPr>
          <w:ilvl w:val="1"/>
          <w:numId w:val="8"/>
        </w:numPr>
        <w:rPr>
          <w:szCs w:val="22"/>
        </w:rPr>
      </w:pPr>
      <w:r w:rsidRPr="00B73618">
        <w:t>The estimated savings to the PBS are likely overestimates, due to a number of uncertainties with the budget impact estimates, including underestimates in market size and growth rates</w:t>
      </w:r>
      <w:r w:rsidR="0088500F" w:rsidRPr="00B73618">
        <w:t>, the potential impact of requests for increased maximum quantities of sevelamer per script</w:t>
      </w:r>
      <w:r w:rsidRPr="00B73618">
        <w:t xml:space="preserve"> and the possibility of sucroferric oxyhydroxide </w:t>
      </w:r>
      <w:r w:rsidRPr="00B73618">
        <w:lastRenderedPageBreak/>
        <w:t>being used in combination with sevelamer hydrochloride or lanthanum carbonate.</w:t>
      </w:r>
      <w:r w:rsidR="00E30F32">
        <w:t xml:space="preserve"> The PSCR (p1) agreed that the financial uncertainties associated with using sucroferric oxyhydroxide in combination with other phosphate binders can be addressed by modifying the restriction to exclude concomitant use with sevelamer or lanthanum as proposed by the Secretariat. </w:t>
      </w:r>
    </w:p>
    <w:p w:rsidR="000A2F46" w:rsidRPr="000A2F46" w:rsidRDefault="000A2F46" w:rsidP="000A2F46">
      <w:pPr>
        <w:pStyle w:val="ListParagraph"/>
        <w:widowControl/>
        <w:rPr>
          <w:szCs w:val="22"/>
        </w:rPr>
      </w:pPr>
    </w:p>
    <w:p w:rsidR="000A2F46" w:rsidRPr="00213351" w:rsidRDefault="000A2F46" w:rsidP="00D247D9">
      <w:pPr>
        <w:pStyle w:val="ListParagraph"/>
        <w:widowControl/>
        <w:numPr>
          <w:ilvl w:val="1"/>
          <w:numId w:val="8"/>
        </w:numPr>
        <w:rPr>
          <w:szCs w:val="22"/>
        </w:rPr>
      </w:pPr>
      <w:r w:rsidRPr="00B73618">
        <w:t>The claimed cost savings associated with sucroferric oxyhydroxide are primarily driven by a reduction in Section 85 scripts (due to a difference in average script duration), resulting in a lower cost to government due to less mark-ups/dispensing fees. However, this approach assumes that only one pack is dispensed per Section 85 script (consistent with the maximum quantity listed in the relevant restrictions) which may not be reasonable, particularly if physicians request increased maximum quantities for sevelamer hydrochloride, given the short average duration per pack.</w:t>
      </w:r>
    </w:p>
    <w:p w:rsidR="00213351" w:rsidRDefault="00213351" w:rsidP="00213351">
      <w:pPr>
        <w:pStyle w:val="ListParagraph"/>
        <w:widowControl/>
        <w:rPr>
          <w:i/>
          <w:szCs w:val="22"/>
        </w:rPr>
      </w:pPr>
    </w:p>
    <w:p w:rsidR="00213351" w:rsidRDefault="00213351" w:rsidP="00213351">
      <w:pPr>
        <w:pStyle w:val="ListParagraph"/>
        <w:widowControl/>
        <w:rPr>
          <w:i/>
          <w:szCs w:val="22"/>
        </w:rPr>
      </w:pPr>
      <w:r>
        <w:rPr>
          <w:i/>
          <w:szCs w:val="22"/>
        </w:rPr>
        <w:t>For more detail on PBAC’s view, see section 7 “PBAC outcome”</w:t>
      </w:r>
    </w:p>
    <w:p w:rsidR="00213351" w:rsidRPr="00213351" w:rsidRDefault="00213351" w:rsidP="00213351">
      <w:pPr>
        <w:pStyle w:val="ListParagraph"/>
        <w:widowControl/>
        <w:rPr>
          <w:szCs w:val="22"/>
        </w:rPr>
      </w:pPr>
    </w:p>
    <w:p w:rsidR="0076590B" w:rsidRPr="00457F73" w:rsidRDefault="0076590B" w:rsidP="0076590B">
      <w:pPr>
        <w:pStyle w:val="ListParagraph"/>
        <w:rPr>
          <w:szCs w:val="22"/>
        </w:rPr>
      </w:pPr>
    </w:p>
    <w:p w:rsidR="0076590B" w:rsidRPr="00F4321A" w:rsidRDefault="0076590B" w:rsidP="0076590B">
      <w:pPr>
        <w:pStyle w:val="Header"/>
        <w:widowControl/>
        <w:numPr>
          <w:ilvl w:val="0"/>
          <w:numId w:val="8"/>
        </w:numPr>
        <w:tabs>
          <w:tab w:val="clear" w:pos="4513"/>
          <w:tab w:val="clear" w:pos="9026"/>
        </w:tabs>
        <w:rPr>
          <w:b/>
          <w:szCs w:val="22"/>
        </w:rPr>
      </w:pPr>
      <w:r w:rsidRPr="00F4321A">
        <w:rPr>
          <w:b/>
          <w:szCs w:val="22"/>
        </w:rPr>
        <w:t xml:space="preserve">PBAC Outcome </w:t>
      </w:r>
    </w:p>
    <w:p w:rsidR="0076590B" w:rsidRDefault="0076590B" w:rsidP="0076590B">
      <w:pPr>
        <w:rPr>
          <w:b/>
          <w:szCs w:val="22"/>
        </w:rPr>
      </w:pPr>
    </w:p>
    <w:p w:rsidR="005E0FB2" w:rsidRPr="005E0FB2" w:rsidRDefault="0076590B" w:rsidP="0076590B">
      <w:pPr>
        <w:pStyle w:val="ListParagraph"/>
        <w:widowControl/>
        <w:numPr>
          <w:ilvl w:val="1"/>
          <w:numId w:val="8"/>
        </w:numPr>
        <w:rPr>
          <w:szCs w:val="22"/>
        </w:rPr>
      </w:pPr>
      <w:r w:rsidRPr="005E0FB2">
        <w:rPr>
          <w:szCs w:val="22"/>
        </w:rPr>
        <w:t xml:space="preserve">The PBAC recommended the listing of </w:t>
      </w:r>
      <w:r w:rsidR="00E30F32" w:rsidRPr="005E0FB2">
        <w:rPr>
          <w:szCs w:val="22"/>
        </w:rPr>
        <w:t>sucroferric oxyhydroxide under Section 100 and Section 85 for</w:t>
      </w:r>
      <w:r w:rsidR="00E74236" w:rsidRPr="005E0FB2">
        <w:rPr>
          <w:szCs w:val="22"/>
        </w:rPr>
        <w:t xml:space="preserve"> the treatment of</w:t>
      </w:r>
      <w:r w:rsidR="00E30F32" w:rsidRPr="005E0FB2">
        <w:rPr>
          <w:szCs w:val="22"/>
        </w:rPr>
        <w:t xml:space="preserve"> hyperphosphataemia in patients</w:t>
      </w:r>
      <w:r w:rsidR="00E74236" w:rsidRPr="005E0FB2">
        <w:rPr>
          <w:szCs w:val="22"/>
        </w:rPr>
        <w:t xml:space="preserve"> with chronic kidney disease</w:t>
      </w:r>
      <w:r w:rsidR="00E30F32" w:rsidRPr="005E0FB2">
        <w:rPr>
          <w:szCs w:val="22"/>
        </w:rPr>
        <w:t xml:space="preserve"> undergoing dialysis. The recommendation was made on a cost minimisation basis with sevelamer. </w:t>
      </w:r>
      <w:r w:rsidR="006A0BCD" w:rsidRPr="005E0FB2">
        <w:rPr>
          <w:szCs w:val="22"/>
        </w:rPr>
        <w:t xml:space="preserve"> </w:t>
      </w:r>
      <w:r w:rsidR="005E0FB2" w:rsidRPr="00E74236">
        <w:rPr>
          <w:szCs w:val="22"/>
        </w:rPr>
        <w:t xml:space="preserve">The equi-effective doses of sucroferric oxyhydroxide </w:t>
      </w:r>
      <w:r w:rsidR="005E0FB2">
        <w:rPr>
          <w:szCs w:val="22"/>
        </w:rPr>
        <w:t xml:space="preserve">to sevelamer are estimated </w:t>
      </w:r>
      <w:r w:rsidR="0015080E">
        <w:rPr>
          <w:szCs w:val="22"/>
        </w:rPr>
        <w:t>to be</w:t>
      </w:r>
      <w:r w:rsidR="005E0FB2">
        <w:rPr>
          <w:szCs w:val="22"/>
        </w:rPr>
        <w:t xml:space="preserve"> 1.8:7</w:t>
      </w:r>
      <w:r w:rsidR="0015080E">
        <w:rPr>
          <w:szCs w:val="22"/>
        </w:rPr>
        <w:t xml:space="preserve"> (grams of iron per day)</w:t>
      </w:r>
      <w:r w:rsidR="005E0FB2">
        <w:rPr>
          <w:szCs w:val="22"/>
        </w:rPr>
        <w:t xml:space="preserve">, based on the maintenance doses from weeks 12-24 </w:t>
      </w:r>
      <w:r w:rsidR="005E0FB2" w:rsidRPr="00496A68">
        <w:t>across the PA-CL-05A/PA-CL-05B trial phases</w:t>
      </w:r>
      <w:r w:rsidR="005E0FB2">
        <w:t>.</w:t>
      </w:r>
    </w:p>
    <w:p w:rsidR="0076590B" w:rsidRPr="005E0FB2" w:rsidRDefault="0076590B" w:rsidP="005E0FB2">
      <w:pPr>
        <w:pStyle w:val="ListParagraph"/>
        <w:widowControl/>
        <w:rPr>
          <w:szCs w:val="22"/>
        </w:rPr>
      </w:pPr>
    </w:p>
    <w:p w:rsidR="00AE0F0C" w:rsidRDefault="00AE0F0C" w:rsidP="00AE0F0C">
      <w:pPr>
        <w:pStyle w:val="ListParagraph"/>
        <w:widowControl/>
        <w:numPr>
          <w:ilvl w:val="1"/>
          <w:numId w:val="8"/>
        </w:numPr>
        <w:rPr>
          <w:szCs w:val="22"/>
        </w:rPr>
      </w:pPr>
      <w:r>
        <w:rPr>
          <w:szCs w:val="22"/>
        </w:rPr>
        <w:t xml:space="preserve">The PBAC recommended that the restriction should be </w:t>
      </w:r>
      <w:r>
        <w:t xml:space="preserve">modelled on that currently applying to the main comparator sevelamer. The PBAC also </w:t>
      </w:r>
      <w:r w:rsidR="00743B02">
        <w:t>agre</w:t>
      </w:r>
      <w:r>
        <w:t xml:space="preserve">ed </w:t>
      </w:r>
      <w:r w:rsidR="00743B02">
        <w:t xml:space="preserve">with the ESC </w:t>
      </w:r>
      <w:r>
        <w:t>that the restriction</w:t>
      </w:r>
      <w:r>
        <w:rPr>
          <w:szCs w:val="22"/>
        </w:rPr>
        <w:t xml:space="preserve"> </w:t>
      </w:r>
      <w:r w:rsidR="00743B02">
        <w:rPr>
          <w:szCs w:val="22"/>
        </w:rPr>
        <w:t xml:space="preserve">should </w:t>
      </w:r>
      <w:r>
        <w:rPr>
          <w:szCs w:val="22"/>
        </w:rPr>
        <w:t xml:space="preserve">specify that sucroferric oxyhydroxide should not be used in combination with sevelamer or lanthanum, but requested this be extended further to include any other phosphate binder. This restriction should also apply to sevelamer and lanthanum. </w:t>
      </w:r>
    </w:p>
    <w:p w:rsidR="00AE0F0C" w:rsidRPr="005C720A" w:rsidRDefault="00AE0F0C" w:rsidP="00AE0F0C">
      <w:pPr>
        <w:pStyle w:val="ListParagraph"/>
        <w:rPr>
          <w:szCs w:val="22"/>
        </w:rPr>
      </w:pPr>
    </w:p>
    <w:p w:rsidR="00AE0F0C" w:rsidRDefault="00AE0F0C" w:rsidP="00AE0F0C">
      <w:pPr>
        <w:pStyle w:val="ListParagraph"/>
        <w:widowControl/>
        <w:numPr>
          <w:ilvl w:val="1"/>
          <w:numId w:val="8"/>
        </w:numPr>
        <w:rPr>
          <w:szCs w:val="22"/>
        </w:rPr>
      </w:pPr>
      <w:r w:rsidRPr="00330D70">
        <w:rPr>
          <w:szCs w:val="22"/>
        </w:rPr>
        <w:t>The PBAC considered that an Authority Required (STREAMLINED) listing may lead to use of non-calcium phosphate binders first line without first trialling calcium-based phosphate binders</w:t>
      </w:r>
      <w:r>
        <w:rPr>
          <w:szCs w:val="22"/>
        </w:rPr>
        <w:t xml:space="preserve">, however this is consistent with the comparators. </w:t>
      </w:r>
    </w:p>
    <w:p w:rsidR="00AE0F0C" w:rsidRPr="00BB7EC3" w:rsidRDefault="00AE0F0C" w:rsidP="00AE0F0C">
      <w:pPr>
        <w:pStyle w:val="ListParagraph"/>
        <w:rPr>
          <w:szCs w:val="22"/>
        </w:rPr>
      </w:pPr>
      <w:r w:rsidRPr="00BB7EC3" w:rsidDel="00330D70">
        <w:rPr>
          <w:szCs w:val="22"/>
        </w:rPr>
        <w:t xml:space="preserve"> </w:t>
      </w:r>
    </w:p>
    <w:p w:rsidR="00AE0F0C" w:rsidRDefault="00AE0F0C" w:rsidP="00AE0F0C">
      <w:pPr>
        <w:pStyle w:val="ListParagraph"/>
        <w:widowControl/>
        <w:numPr>
          <w:ilvl w:val="1"/>
          <w:numId w:val="8"/>
        </w:numPr>
        <w:rPr>
          <w:szCs w:val="22"/>
        </w:rPr>
      </w:pPr>
      <w:r>
        <w:rPr>
          <w:szCs w:val="22"/>
        </w:rPr>
        <w:t xml:space="preserve">While the PBAC recognised the need for effective non-calcium phosphate binders, the clinical need for an additional agent is unclear. </w:t>
      </w:r>
    </w:p>
    <w:p w:rsidR="00AE0F0C" w:rsidRPr="00AE0F0C" w:rsidRDefault="00AE0F0C" w:rsidP="00585874">
      <w:pPr>
        <w:pStyle w:val="ListParagraph"/>
        <w:jc w:val="center"/>
        <w:rPr>
          <w:szCs w:val="22"/>
        </w:rPr>
      </w:pPr>
    </w:p>
    <w:p w:rsidR="00743B02" w:rsidRDefault="00743B02" w:rsidP="00743B02">
      <w:pPr>
        <w:pStyle w:val="ListParagraph"/>
        <w:widowControl/>
        <w:numPr>
          <w:ilvl w:val="1"/>
          <w:numId w:val="8"/>
        </w:numPr>
        <w:rPr>
          <w:szCs w:val="22"/>
        </w:rPr>
      </w:pPr>
      <w:r>
        <w:rPr>
          <w:szCs w:val="22"/>
        </w:rPr>
        <w:t xml:space="preserve">The PBAC accepted sevelamer as the comparator but also considered lanthanum to be a relevant comparator. </w:t>
      </w:r>
    </w:p>
    <w:p w:rsidR="00743B02" w:rsidRDefault="00743B02" w:rsidP="00743B02">
      <w:pPr>
        <w:pStyle w:val="ListParagraph"/>
        <w:widowControl/>
        <w:rPr>
          <w:szCs w:val="22"/>
        </w:rPr>
      </w:pPr>
    </w:p>
    <w:p w:rsidR="00743B02" w:rsidRDefault="00743B02" w:rsidP="00743B02">
      <w:pPr>
        <w:pStyle w:val="ListParagraph"/>
        <w:widowControl/>
        <w:numPr>
          <w:ilvl w:val="1"/>
          <w:numId w:val="8"/>
        </w:numPr>
        <w:rPr>
          <w:szCs w:val="22"/>
        </w:rPr>
      </w:pPr>
      <w:r>
        <w:rPr>
          <w:szCs w:val="22"/>
        </w:rPr>
        <w:t xml:space="preserve">The PBAC noted that in the key clinical trial, </w:t>
      </w:r>
      <w:r w:rsidRPr="00D952BA">
        <w:rPr>
          <w:szCs w:val="22"/>
        </w:rPr>
        <w:t>PA-CL-05A</w:t>
      </w:r>
      <w:r>
        <w:rPr>
          <w:szCs w:val="22"/>
        </w:rPr>
        <w:t xml:space="preserve">, only biochemical outcomes </w:t>
      </w:r>
      <w:r w:rsidRPr="00B73618">
        <w:rPr>
          <w:szCs w:val="22"/>
        </w:rPr>
        <w:t>(phosphate/phosphorus control, calcium control, and calcium-phosphate product control)</w:t>
      </w:r>
      <w:r>
        <w:rPr>
          <w:szCs w:val="22"/>
        </w:rPr>
        <w:t xml:space="preserve"> were presented and </w:t>
      </w:r>
      <w:r w:rsidR="00D21531">
        <w:rPr>
          <w:szCs w:val="22"/>
        </w:rPr>
        <w:t>t</w:t>
      </w:r>
      <w:r>
        <w:rPr>
          <w:szCs w:val="22"/>
        </w:rPr>
        <w:t xml:space="preserve">hat long term clinical outcomes </w:t>
      </w:r>
      <w:r w:rsidR="00D21531">
        <w:rPr>
          <w:szCs w:val="22"/>
        </w:rPr>
        <w:t>are</w:t>
      </w:r>
      <w:r>
        <w:rPr>
          <w:szCs w:val="22"/>
        </w:rPr>
        <w:t xml:space="preserve"> more </w:t>
      </w:r>
      <w:r w:rsidR="00D21531">
        <w:rPr>
          <w:szCs w:val="22"/>
        </w:rPr>
        <w:t xml:space="preserve">patient </w:t>
      </w:r>
      <w:r>
        <w:rPr>
          <w:szCs w:val="22"/>
        </w:rPr>
        <w:t xml:space="preserve">relevant and should also </w:t>
      </w:r>
      <w:r w:rsidR="00D21531">
        <w:rPr>
          <w:szCs w:val="22"/>
        </w:rPr>
        <w:t xml:space="preserve">have </w:t>
      </w:r>
      <w:r>
        <w:rPr>
          <w:szCs w:val="22"/>
        </w:rPr>
        <w:t>be</w:t>
      </w:r>
      <w:r w:rsidR="00D21531">
        <w:rPr>
          <w:szCs w:val="22"/>
        </w:rPr>
        <w:t>en</w:t>
      </w:r>
      <w:r>
        <w:rPr>
          <w:szCs w:val="22"/>
        </w:rPr>
        <w:t xml:space="preserve"> considered.</w:t>
      </w:r>
    </w:p>
    <w:p w:rsidR="00743B02" w:rsidRPr="005C720A" w:rsidRDefault="00743B02" w:rsidP="00743B02">
      <w:pPr>
        <w:pStyle w:val="ListParagraph"/>
        <w:rPr>
          <w:szCs w:val="22"/>
        </w:rPr>
      </w:pPr>
    </w:p>
    <w:p w:rsidR="00743B02" w:rsidRDefault="00743B02" w:rsidP="00743B02">
      <w:pPr>
        <w:pStyle w:val="ListParagraph"/>
        <w:widowControl/>
        <w:numPr>
          <w:ilvl w:val="1"/>
          <w:numId w:val="8"/>
        </w:numPr>
        <w:rPr>
          <w:szCs w:val="22"/>
        </w:rPr>
      </w:pPr>
      <w:r>
        <w:rPr>
          <w:szCs w:val="22"/>
        </w:rPr>
        <w:t>The PBAC raised concerns that the trial population may not be representative of the PBS population, particularly as the majority of trial patients were Caucasian</w:t>
      </w:r>
      <w:r w:rsidR="00D21531">
        <w:rPr>
          <w:szCs w:val="22"/>
        </w:rPr>
        <w:t>,</w:t>
      </w:r>
      <w:r>
        <w:rPr>
          <w:szCs w:val="22"/>
        </w:rPr>
        <w:t xml:space="preserve"> while in </w:t>
      </w:r>
      <w:r>
        <w:rPr>
          <w:szCs w:val="22"/>
        </w:rPr>
        <w:lastRenderedPageBreak/>
        <w:t xml:space="preserve">the Australian population there is likely to be high use of phosphate binders among Aboriginal and Torres Strait Islander populations. </w:t>
      </w:r>
    </w:p>
    <w:p w:rsidR="00743B02" w:rsidRPr="00BB7EC3" w:rsidRDefault="00743B02" w:rsidP="00743B02">
      <w:pPr>
        <w:pStyle w:val="ListParagraph"/>
        <w:rPr>
          <w:szCs w:val="22"/>
        </w:rPr>
      </w:pPr>
    </w:p>
    <w:p w:rsidR="00743B02" w:rsidRPr="00094F85" w:rsidRDefault="00743B02" w:rsidP="00743B02">
      <w:pPr>
        <w:pStyle w:val="ListParagraph"/>
        <w:widowControl/>
        <w:numPr>
          <w:ilvl w:val="1"/>
          <w:numId w:val="8"/>
        </w:numPr>
        <w:rPr>
          <w:szCs w:val="22"/>
        </w:rPr>
      </w:pPr>
      <w:r>
        <w:rPr>
          <w:szCs w:val="22"/>
        </w:rPr>
        <w:t xml:space="preserve">The PBAC noted that </w:t>
      </w:r>
      <w:r w:rsidR="00D21531">
        <w:rPr>
          <w:szCs w:val="22"/>
        </w:rPr>
        <w:t>although</w:t>
      </w:r>
      <w:r>
        <w:rPr>
          <w:szCs w:val="22"/>
        </w:rPr>
        <w:t xml:space="preserve"> data from Trial </w:t>
      </w:r>
      <w:r w:rsidRPr="00D952BA">
        <w:rPr>
          <w:szCs w:val="22"/>
        </w:rPr>
        <w:t>PA-CL-05A</w:t>
      </w:r>
      <w:r w:rsidRPr="00B1400B">
        <w:rPr>
          <w:szCs w:val="22"/>
        </w:rPr>
        <w:t xml:space="preserve"> </w:t>
      </w:r>
      <w:r>
        <w:rPr>
          <w:szCs w:val="22"/>
        </w:rPr>
        <w:t>indicate that sucroferric oxyhydroxide appears to be inferior to sevelamer at 12 weeks, the lack of widely accepted non-inferiority margins make this difficult to interpret</w:t>
      </w:r>
      <w:r w:rsidR="00D21531">
        <w:rPr>
          <w:szCs w:val="22"/>
        </w:rPr>
        <w:t>. The PBAC</w:t>
      </w:r>
      <w:r>
        <w:rPr>
          <w:szCs w:val="22"/>
        </w:rPr>
        <w:t xml:space="preserve"> </w:t>
      </w:r>
      <w:r w:rsidR="00D21531">
        <w:rPr>
          <w:szCs w:val="22"/>
        </w:rPr>
        <w:t xml:space="preserve">agreed </w:t>
      </w:r>
      <w:r>
        <w:rPr>
          <w:szCs w:val="22"/>
        </w:rPr>
        <w:t>that the two agents appear similar at 24 weeks</w:t>
      </w:r>
      <w:r w:rsidR="00D21531">
        <w:rPr>
          <w:szCs w:val="22"/>
        </w:rPr>
        <w:t xml:space="preserve"> and that t</w:t>
      </w:r>
      <w:r>
        <w:rPr>
          <w:szCs w:val="22"/>
        </w:rPr>
        <w:t xml:space="preserve">his is a more relevant endpoint as treatment is likely to be chronic. </w:t>
      </w:r>
      <w:r w:rsidRPr="00094F85">
        <w:rPr>
          <w:szCs w:val="22"/>
        </w:rPr>
        <w:t>No comparison was presented to lanthanum.</w:t>
      </w:r>
    </w:p>
    <w:p w:rsidR="00743B02" w:rsidRDefault="00743B02" w:rsidP="00743B02">
      <w:pPr>
        <w:pStyle w:val="ListParagraph"/>
        <w:widowControl/>
        <w:rPr>
          <w:szCs w:val="22"/>
        </w:rPr>
      </w:pPr>
    </w:p>
    <w:p w:rsidR="00B1400B" w:rsidRDefault="00B1400B" w:rsidP="00B1400B">
      <w:pPr>
        <w:pStyle w:val="ListParagraph"/>
        <w:widowControl/>
        <w:numPr>
          <w:ilvl w:val="1"/>
          <w:numId w:val="8"/>
        </w:numPr>
        <w:rPr>
          <w:szCs w:val="22"/>
        </w:rPr>
      </w:pPr>
      <w:r w:rsidRPr="00743B02">
        <w:rPr>
          <w:szCs w:val="22"/>
        </w:rPr>
        <w:t xml:space="preserve">The PBAC </w:t>
      </w:r>
      <w:r w:rsidR="00743B02" w:rsidRPr="00743B02">
        <w:rPr>
          <w:szCs w:val="22"/>
        </w:rPr>
        <w:t>not</w:t>
      </w:r>
      <w:r w:rsidRPr="00743B02">
        <w:rPr>
          <w:szCs w:val="22"/>
        </w:rPr>
        <w:t>ed the Pre-PBAC response (p</w:t>
      </w:r>
      <w:r w:rsidR="00D952BA" w:rsidRPr="00743B02">
        <w:rPr>
          <w:szCs w:val="22"/>
        </w:rPr>
        <w:t>2)</w:t>
      </w:r>
      <w:r w:rsidRPr="00743B02">
        <w:rPr>
          <w:szCs w:val="22"/>
        </w:rPr>
        <w:t xml:space="preserve"> explanation </w:t>
      </w:r>
      <w:r w:rsidR="00D952BA" w:rsidRPr="00743B02">
        <w:rPr>
          <w:szCs w:val="22"/>
        </w:rPr>
        <w:t xml:space="preserve">that </w:t>
      </w:r>
      <w:r w:rsidRPr="00743B02">
        <w:rPr>
          <w:szCs w:val="22"/>
        </w:rPr>
        <w:t xml:space="preserve">the inferior outcome at 12 weeks may have been due to </w:t>
      </w:r>
      <w:r w:rsidR="00743B02" w:rsidRPr="00743B02">
        <w:rPr>
          <w:szCs w:val="22"/>
        </w:rPr>
        <w:t xml:space="preserve">a </w:t>
      </w:r>
      <w:r w:rsidRPr="00743B02">
        <w:rPr>
          <w:szCs w:val="22"/>
        </w:rPr>
        <w:t>sub</w:t>
      </w:r>
      <w:r w:rsidR="00D952BA" w:rsidRPr="00743B02">
        <w:rPr>
          <w:szCs w:val="22"/>
        </w:rPr>
        <w:t>-</w:t>
      </w:r>
      <w:r w:rsidRPr="00743B02">
        <w:rPr>
          <w:szCs w:val="22"/>
        </w:rPr>
        <w:t xml:space="preserve">optimal </w:t>
      </w:r>
      <w:r w:rsidR="00D952BA" w:rsidRPr="00743B02">
        <w:rPr>
          <w:szCs w:val="22"/>
        </w:rPr>
        <w:t>starting dose in Trial PA-CL-05A</w:t>
      </w:r>
      <w:r w:rsidRPr="00743B02">
        <w:rPr>
          <w:szCs w:val="22"/>
        </w:rPr>
        <w:t xml:space="preserve"> </w:t>
      </w:r>
      <w:r w:rsidR="00D952BA" w:rsidRPr="00743B02">
        <w:rPr>
          <w:szCs w:val="22"/>
        </w:rPr>
        <w:t>which had patients initiating</w:t>
      </w:r>
      <w:r w:rsidRPr="00743B02">
        <w:rPr>
          <w:szCs w:val="22"/>
        </w:rPr>
        <w:t xml:space="preserve"> at 1000mg/day</w:t>
      </w:r>
      <w:r w:rsidR="00D952BA" w:rsidRPr="00743B02">
        <w:rPr>
          <w:szCs w:val="22"/>
        </w:rPr>
        <w:t>.</w:t>
      </w:r>
      <w:r w:rsidR="00743B02">
        <w:rPr>
          <w:szCs w:val="22"/>
        </w:rPr>
        <w:t xml:space="preserve"> The TGA has recommended a starting dose of 1500mg/day.</w:t>
      </w:r>
      <w:r w:rsidR="00D952BA" w:rsidRPr="00743B02">
        <w:rPr>
          <w:szCs w:val="22"/>
        </w:rPr>
        <w:t xml:space="preserve"> </w:t>
      </w:r>
    </w:p>
    <w:p w:rsidR="00743B02" w:rsidRPr="00743B02" w:rsidRDefault="00743B02" w:rsidP="00743B02">
      <w:pPr>
        <w:pStyle w:val="ListParagraph"/>
        <w:rPr>
          <w:szCs w:val="22"/>
        </w:rPr>
      </w:pPr>
    </w:p>
    <w:p w:rsidR="00743B02" w:rsidRDefault="00743B02" w:rsidP="00743B02">
      <w:pPr>
        <w:pStyle w:val="ListParagraph"/>
        <w:widowControl/>
        <w:numPr>
          <w:ilvl w:val="1"/>
          <w:numId w:val="8"/>
        </w:numPr>
        <w:rPr>
          <w:szCs w:val="22"/>
        </w:rPr>
      </w:pPr>
      <w:r>
        <w:rPr>
          <w:szCs w:val="22"/>
        </w:rPr>
        <w:t xml:space="preserve">The PBAC noted increased gastrointestinal adverse effects with sucroferric oxyhydroxide compared to sevelamer, which may lead to treatment withdrawal. While gastrointestinal adverse events are typically associated with iron-based products, the PBAC considered that initiation on a lower dose may be necessary in order to manage these adverse events, despite the trial based dosing already being lower than the TGA approved Product Information. It was noted that the form of sevelamer available on the Australian market (hydrochloride) may have a poorer gastrointestinal tolerability than the form used in the trial (carbonate) therefore making the comparison of harms uncertain. On balance, the PBAC considered the side effect profile of sucroferric oxyhydroxide to be different but non-inferior to the comparators. </w:t>
      </w:r>
    </w:p>
    <w:p w:rsidR="00743B02" w:rsidRDefault="00743B02" w:rsidP="00743B02">
      <w:pPr>
        <w:pStyle w:val="ListParagraph"/>
        <w:widowControl/>
        <w:rPr>
          <w:szCs w:val="22"/>
        </w:rPr>
      </w:pPr>
    </w:p>
    <w:p w:rsidR="0076590B" w:rsidRDefault="00964A60" w:rsidP="0076590B">
      <w:pPr>
        <w:pStyle w:val="ListParagraph"/>
        <w:widowControl/>
        <w:numPr>
          <w:ilvl w:val="1"/>
          <w:numId w:val="8"/>
        </w:numPr>
        <w:rPr>
          <w:szCs w:val="22"/>
        </w:rPr>
      </w:pPr>
      <w:r>
        <w:rPr>
          <w:szCs w:val="22"/>
        </w:rPr>
        <w:t>Overall, t</w:t>
      </w:r>
      <w:r w:rsidR="006C1982">
        <w:rPr>
          <w:szCs w:val="22"/>
        </w:rPr>
        <w:t>he PBAC wa</w:t>
      </w:r>
      <w:r w:rsidR="0076590B">
        <w:rPr>
          <w:szCs w:val="22"/>
        </w:rPr>
        <w:t xml:space="preserve">s satisfied that </w:t>
      </w:r>
      <w:r w:rsidR="00E30F32" w:rsidRPr="00F055D9">
        <w:rPr>
          <w:szCs w:val="22"/>
        </w:rPr>
        <w:t>sucroferric oxyhydroxide</w:t>
      </w:r>
      <w:r w:rsidR="0076590B">
        <w:rPr>
          <w:szCs w:val="22"/>
        </w:rPr>
        <w:t xml:space="preserve"> </w:t>
      </w:r>
      <w:r w:rsidR="00651111">
        <w:rPr>
          <w:szCs w:val="22"/>
        </w:rPr>
        <w:t xml:space="preserve">will </w:t>
      </w:r>
      <w:r w:rsidR="0076590B">
        <w:rPr>
          <w:szCs w:val="22"/>
        </w:rPr>
        <w:t xml:space="preserve">provide </w:t>
      </w:r>
      <w:r w:rsidR="00E30F32">
        <w:rPr>
          <w:szCs w:val="22"/>
        </w:rPr>
        <w:t xml:space="preserve">similar </w:t>
      </w:r>
      <w:r w:rsidR="0076590B">
        <w:rPr>
          <w:szCs w:val="22"/>
        </w:rPr>
        <w:t xml:space="preserve">efficacy </w:t>
      </w:r>
      <w:r w:rsidR="00E30F32">
        <w:rPr>
          <w:szCs w:val="22"/>
        </w:rPr>
        <w:t>to sevelamer and lanthanum</w:t>
      </w:r>
      <w:r w:rsidR="00E74236">
        <w:rPr>
          <w:szCs w:val="22"/>
        </w:rPr>
        <w:t xml:space="preserve"> in lowering serum phosphate levels</w:t>
      </w:r>
      <w:r w:rsidR="00330D70">
        <w:rPr>
          <w:szCs w:val="22"/>
        </w:rPr>
        <w:t xml:space="preserve"> with a different safety profile</w:t>
      </w:r>
      <w:r w:rsidR="00E74236">
        <w:rPr>
          <w:szCs w:val="22"/>
        </w:rPr>
        <w:t xml:space="preserve">. </w:t>
      </w:r>
    </w:p>
    <w:p w:rsidR="0076590B" w:rsidRDefault="0076590B" w:rsidP="0076590B">
      <w:pPr>
        <w:pStyle w:val="ListParagraph"/>
        <w:ind w:left="709"/>
        <w:rPr>
          <w:szCs w:val="22"/>
        </w:rPr>
      </w:pPr>
    </w:p>
    <w:p w:rsidR="0076590B" w:rsidRDefault="005C720A" w:rsidP="0076590B">
      <w:pPr>
        <w:pStyle w:val="ListParagraph"/>
        <w:widowControl/>
        <w:numPr>
          <w:ilvl w:val="1"/>
          <w:numId w:val="8"/>
        </w:numPr>
        <w:rPr>
          <w:szCs w:val="22"/>
        </w:rPr>
      </w:pPr>
      <w:r>
        <w:rPr>
          <w:szCs w:val="22"/>
        </w:rPr>
        <w:t>The PBAC considered that a cost-minimisation analysis compar</w:t>
      </w:r>
      <w:r w:rsidR="0015080E">
        <w:rPr>
          <w:szCs w:val="22"/>
        </w:rPr>
        <w:t>ed to sevelamer was appropriate</w:t>
      </w:r>
      <w:r>
        <w:rPr>
          <w:szCs w:val="22"/>
        </w:rPr>
        <w:t xml:space="preserve">. </w:t>
      </w:r>
      <w:r w:rsidR="004E1EBD">
        <w:rPr>
          <w:szCs w:val="22"/>
        </w:rPr>
        <w:t xml:space="preserve">The PBAC noted that no costs of adverse events in the sucroferric oxyhydroxide group were considered in the analysis but considered this to have minimal impact. </w:t>
      </w:r>
    </w:p>
    <w:p w:rsidR="00964A60" w:rsidRPr="00964A60" w:rsidRDefault="00964A60" w:rsidP="00964A60">
      <w:pPr>
        <w:pStyle w:val="ListParagraph"/>
        <w:rPr>
          <w:szCs w:val="22"/>
        </w:rPr>
      </w:pPr>
    </w:p>
    <w:p w:rsidR="00964A60" w:rsidRPr="00E74236" w:rsidRDefault="00964A60" w:rsidP="00964A60">
      <w:pPr>
        <w:pStyle w:val="ListParagraph"/>
        <w:widowControl/>
        <w:numPr>
          <w:ilvl w:val="1"/>
          <w:numId w:val="8"/>
        </w:numPr>
        <w:rPr>
          <w:szCs w:val="22"/>
        </w:rPr>
      </w:pPr>
      <w:r w:rsidRPr="00E74236">
        <w:rPr>
          <w:szCs w:val="22"/>
        </w:rPr>
        <w:t xml:space="preserve">The equi-effective doses of sucroferric oxyhydroxide </w:t>
      </w:r>
      <w:r>
        <w:rPr>
          <w:szCs w:val="22"/>
        </w:rPr>
        <w:t xml:space="preserve">to sevelamer are estimated in the submission as 1.8:7, with the assumption that both forms of sevelamer are equivalent. </w:t>
      </w:r>
      <w:r w:rsidR="005E0FB2">
        <w:t>T</w:t>
      </w:r>
      <w:r w:rsidR="005E0FB2" w:rsidRPr="00496A68">
        <w:t>h</w:t>
      </w:r>
      <w:r w:rsidR="005E0FB2">
        <w:t xml:space="preserve">ese estimates </w:t>
      </w:r>
      <w:r w:rsidR="0015080E">
        <w:t>use</w:t>
      </w:r>
      <w:r w:rsidR="005E0FB2">
        <w:t xml:space="preserve"> the maintenance doses</w:t>
      </w:r>
      <w:r w:rsidR="005E0FB2" w:rsidRPr="00496A68">
        <w:t xml:space="preserve"> </w:t>
      </w:r>
      <w:r w:rsidR="005E0FB2">
        <w:t xml:space="preserve">from weeks 12-24 </w:t>
      </w:r>
      <w:r w:rsidR="005E0FB2" w:rsidRPr="00496A68">
        <w:t>across the PA-CL-05A/PA-CL-05B trial phases</w:t>
      </w:r>
      <w:r w:rsidR="005E0FB2">
        <w:t xml:space="preserve"> which results in</w:t>
      </w:r>
      <w:r w:rsidR="005E0FB2" w:rsidRPr="00496A68">
        <w:t xml:space="preserve"> the most conservative of the relative doses observed</w:t>
      </w:r>
      <w:r w:rsidR="005E0FB2">
        <w:t>. The PBAC considered this appropriate, particularly</w:t>
      </w:r>
      <w:r w:rsidR="005E0FB2" w:rsidRPr="00496A68">
        <w:t xml:space="preserve"> </w:t>
      </w:r>
      <w:r w:rsidR="005E0FB2">
        <w:t xml:space="preserve">given </w:t>
      </w:r>
      <w:r w:rsidR="005E0FB2">
        <w:rPr>
          <w:szCs w:val="22"/>
        </w:rPr>
        <w:t>the</w:t>
      </w:r>
      <w:r>
        <w:rPr>
          <w:szCs w:val="22"/>
        </w:rPr>
        <w:t xml:space="preserve"> sub-optimal starting dose in the trials. </w:t>
      </w:r>
    </w:p>
    <w:p w:rsidR="0076590B" w:rsidRPr="00BB7EC3" w:rsidRDefault="0076590B" w:rsidP="0076590B">
      <w:pPr>
        <w:pStyle w:val="ListParagraph"/>
        <w:rPr>
          <w:szCs w:val="22"/>
        </w:rPr>
      </w:pPr>
    </w:p>
    <w:p w:rsidR="0076590B" w:rsidRPr="00C018F7" w:rsidRDefault="004E1EBD" w:rsidP="0076590B">
      <w:pPr>
        <w:pStyle w:val="ListParagraph"/>
        <w:widowControl/>
        <w:numPr>
          <w:ilvl w:val="1"/>
          <w:numId w:val="8"/>
        </w:numPr>
        <w:rPr>
          <w:szCs w:val="22"/>
        </w:rPr>
      </w:pPr>
      <w:r w:rsidRPr="00C018F7">
        <w:rPr>
          <w:szCs w:val="22"/>
        </w:rPr>
        <w:t xml:space="preserve">The PBAC </w:t>
      </w:r>
      <w:r w:rsidR="00C018F7" w:rsidRPr="00C018F7">
        <w:rPr>
          <w:szCs w:val="22"/>
        </w:rPr>
        <w:t>n</w:t>
      </w:r>
      <w:r w:rsidRPr="00C018F7">
        <w:rPr>
          <w:szCs w:val="22"/>
        </w:rPr>
        <w:t xml:space="preserve">oted that the proposed savings </w:t>
      </w:r>
      <w:r w:rsidR="00964A60" w:rsidRPr="00C018F7">
        <w:rPr>
          <w:szCs w:val="22"/>
        </w:rPr>
        <w:t xml:space="preserve">to the PBS </w:t>
      </w:r>
      <w:r w:rsidRPr="00C018F7">
        <w:rPr>
          <w:szCs w:val="22"/>
        </w:rPr>
        <w:t xml:space="preserve">are likely to be overestimates </w:t>
      </w:r>
      <w:r w:rsidR="00C018F7" w:rsidRPr="00C018F7">
        <w:rPr>
          <w:szCs w:val="22"/>
        </w:rPr>
        <w:t xml:space="preserve">given the </w:t>
      </w:r>
      <w:r w:rsidR="00C018F7" w:rsidRPr="00B73618">
        <w:t>assum</w:t>
      </w:r>
      <w:r w:rsidR="00C018F7">
        <w:t>ption</w:t>
      </w:r>
      <w:r w:rsidR="00C018F7" w:rsidRPr="00B73618">
        <w:t xml:space="preserve"> that only one pack </w:t>
      </w:r>
      <w:r w:rsidR="00C018F7">
        <w:t xml:space="preserve">of sevelamer </w:t>
      </w:r>
      <w:r w:rsidR="00C018F7" w:rsidRPr="00B73618">
        <w:t>is dispensed per Section 85 script (consistent with the maximum quantity listed in the relevant restrictio</w:t>
      </w:r>
      <w:r w:rsidR="00C018F7">
        <w:t>ns) which may not be reasonable</w:t>
      </w:r>
      <w:r w:rsidR="00C018F7" w:rsidRPr="00B73618">
        <w:t xml:space="preserve"> if physicians request increased maximum quantities given the short average duration per pack.</w:t>
      </w:r>
      <w:r w:rsidR="00C018F7">
        <w:t xml:space="preserve"> </w:t>
      </w:r>
      <w:r w:rsidR="00C018F7">
        <w:rPr>
          <w:szCs w:val="22"/>
        </w:rPr>
        <w:t>T</w:t>
      </w:r>
      <w:r w:rsidRPr="00C018F7">
        <w:rPr>
          <w:szCs w:val="22"/>
        </w:rPr>
        <w:t xml:space="preserve">he possibility of using sucroferric oxyhydroxide concurrently with sevelamer or lanthanum </w:t>
      </w:r>
      <w:r w:rsidR="00C018F7">
        <w:rPr>
          <w:szCs w:val="22"/>
        </w:rPr>
        <w:t>can</w:t>
      </w:r>
      <w:r w:rsidRPr="00C018F7">
        <w:rPr>
          <w:szCs w:val="22"/>
        </w:rPr>
        <w:t xml:space="preserve"> be managed through modifying the restriction as proposed. </w:t>
      </w:r>
    </w:p>
    <w:p w:rsidR="001F535A" w:rsidRPr="001F535A" w:rsidRDefault="001F535A" w:rsidP="001F535A">
      <w:pPr>
        <w:widowControl/>
        <w:rPr>
          <w:szCs w:val="22"/>
        </w:rPr>
      </w:pPr>
    </w:p>
    <w:p w:rsidR="001F535A" w:rsidRPr="00DB496E" w:rsidRDefault="001F535A" w:rsidP="001F535A">
      <w:pPr>
        <w:pStyle w:val="ListParagraph"/>
        <w:widowControl/>
        <w:numPr>
          <w:ilvl w:val="1"/>
          <w:numId w:val="8"/>
        </w:numPr>
        <w:rPr>
          <w:szCs w:val="22"/>
          <w:u w:val="single"/>
        </w:rPr>
      </w:pPr>
      <w:r w:rsidRPr="00DB496E">
        <w:rPr>
          <w:szCs w:val="22"/>
          <w:u w:val="single"/>
        </w:rPr>
        <w:t>Advice to the Minister under subsection 101(3BA) of the National Health Act</w:t>
      </w:r>
      <w:r>
        <w:rPr>
          <w:szCs w:val="22"/>
          <w:u w:val="single"/>
        </w:rPr>
        <w:t xml:space="preserve"> 1953</w:t>
      </w:r>
    </w:p>
    <w:p w:rsidR="0076590B" w:rsidRPr="001F535A" w:rsidRDefault="001F535A" w:rsidP="001F535A">
      <w:pPr>
        <w:widowControl/>
        <w:ind w:left="720"/>
        <w:rPr>
          <w:szCs w:val="22"/>
        </w:rPr>
      </w:pPr>
      <w:r>
        <w:rPr>
          <w:szCs w:val="22"/>
        </w:rPr>
        <w:lastRenderedPageBreak/>
        <w:t>In accordance with subsection 101(3BA) of the National Health Act 1953, t</w:t>
      </w:r>
      <w:r w:rsidR="0076590B" w:rsidRPr="001F535A">
        <w:rPr>
          <w:szCs w:val="22"/>
        </w:rPr>
        <w:t>he PBAC</w:t>
      </w:r>
      <w:r>
        <w:rPr>
          <w:szCs w:val="22"/>
        </w:rPr>
        <w:t xml:space="preserve"> advised that it is of the opinion that, on the basis of the material available to it, </w:t>
      </w:r>
      <w:r w:rsidR="005C720A" w:rsidRPr="00C018F7">
        <w:rPr>
          <w:szCs w:val="22"/>
        </w:rPr>
        <w:t xml:space="preserve">sucroferric oxyhydroxide </w:t>
      </w:r>
      <w:r w:rsidR="0076590B" w:rsidRPr="00C018F7">
        <w:rPr>
          <w:szCs w:val="22"/>
        </w:rPr>
        <w:t xml:space="preserve">should </w:t>
      </w:r>
      <w:r w:rsidR="005C720A" w:rsidRPr="00C018F7">
        <w:rPr>
          <w:szCs w:val="22"/>
        </w:rPr>
        <w:t xml:space="preserve">not </w:t>
      </w:r>
      <w:r w:rsidR="0076590B" w:rsidRPr="00C018F7">
        <w:rPr>
          <w:szCs w:val="22"/>
        </w:rPr>
        <w:t xml:space="preserve">be treated as interchangeable on an individual patient basis with </w:t>
      </w:r>
      <w:r w:rsidR="005C720A" w:rsidRPr="00C018F7">
        <w:rPr>
          <w:szCs w:val="22"/>
        </w:rPr>
        <w:t>any other drugs</w:t>
      </w:r>
      <w:r w:rsidRPr="00C018F7">
        <w:rPr>
          <w:szCs w:val="22"/>
        </w:rPr>
        <w:t>(s) or medicinal preparation(s).</w:t>
      </w:r>
    </w:p>
    <w:p w:rsidR="0076590B" w:rsidRPr="00BB7EC3" w:rsidRDefault="0076590B" w:rsidP="0076590B">
      <w:pPr>
        <w:pStyle w:val="ListParagraph"/>
        <w:rPr>
          <w:szCs w:val="22"/>
        </w:rPr>
      </w:pPr>
    </w:p>
    <w:p w:rsidR="0076590B" w:rsidRDefault="0076590B" w:rsidP="0076590B">
      <w:pPr>
        <w:pStyle w:val="ListParagraph"/>
        <w:widowControl/>
        <w:numPr>
          <w:ilvl w:val="1"/>
          <w:numId w:val="8"/>
        </w:numPr>
        <w:rPr>
          <w:szCs w:val="22"/>
        </w:rPr>
      </w:pPr>
      <w:r>
        <w:rPr>
          <w:szCs w:val="22"/>
        </w:rPr>
        <w:t xml:space="preserve">The PBAC advised that </w:t>
      </w:r>
      <w:r w:rsidR="004E1EBD">
        <w:rPr>
          <w:szCs w:val="22"/>
        </w:rPr>
        <w:t>sucroferric oxyhydroxide</w:t>
      </w:r>
      <w:r>
        <w:rPr>
          <w:szCs w:val="22"/>
        </w:rPr>
        <w:t xml:space="preserve"> is suitable for prescribing by </w:t>
      </w:r>
      <w:r w:rsidRPr="00882085">
        <w:rPr>
          <w:szCs w:val="22"/>
        </w:rPr>
        <w:t>nurse practitioner</w:t>
      </w:r>
      <w:r>
        <w:rPr>
          <w:szCs w:val="22"/>
        </w:rPr>
        <w:t>s</w:t>
      </w:r>
      <w:r w:rsidR="004E1EBD">
        <w:rPr>
          <w:szCs w:val="22"/>
        </w:rPr>
        <w:t xml:space="preserve"> as continuing treatment only under a shared care model. </w:t>
      </w:r>
    </w:p>
    <w:p w:rsidR="0076590B" w:rsidRPr="00BB7EC3" w:rsidRDefault="0076590B" w:rsidP="0076590B">
      <w:pPr>
        <w:pStyle w:val="ListParagraph"/>
        <w:rPr>
          <w:szCs w:val="22"/>
        </w:rPr>
      </w:pPr>
    </w:p>
    <w:p w:rsidR="0076590B" w:rsidRDefault="0076590B" w:rsidP="0076590B">
      <w:pPr>
        <w:pStyle w:val="ListParagraph"/>
        <w:widowControl/>
        <w:numPr>
          <w:ilvl w:val="1"/>
          <w:numId w:val="8"/>
        </w:numPr>
        <w:rPr>
          <w:szCs w:val="22"/>
        </w:rPr>
      </w:pPr>
      <w:r>
        <w:rPr>
          <w:szCs w:val="22"/>
        </w:rPr>
        <w:t>The PBAC recommended that the Safety Net 20 Day Rule should not apply.</w:t>
      </w:r>
      <w:r w:rsidRPr="00882085">
        <w:rPr>
          <w:szCs w:val="22"/>
        </w:rPr>
        <w:t xml:space="preserve"> </w:t>
      </w:r>
    </w:p>
    <w:p w:rsidR="0076590B" w:rsidRPr="00882085" w:rsidRDefault="0076590B" w:rsidP="0076590B">
      <w:pPr>
        <w:rPr>
          <w:szCs w:val="22"/>
        </w:rPr>
      </w:pPr>
    </w:p>
    <w:p w:rsidR="0076590B" w:rsidRPr="00882085" w:rsidRDefault="0076590B" w:rsidP="0076590B">
      <w:pPr>
        <w:rPr>
          <w:b/>
          <w:szCs w:val="22"/>
        </w:rPr>
      </w:pPr>
      <w:r w:rsidRPr="00882085">
        <w:rPr>
          <w:b/>
          <w:szCs w:val="22"/>
        </w:rPr>
        <w:t>Outcome:</w:t>
      </w:r>
    </w:p>
    <w:p w:rsidR="0076590B" w:rsidRDefault="0076590B" w:rsidP="00E74236">
      <w:pPr>
        <w:rPr>
          <w:szCs w:val="22"/>
        </w:rPr>
      </w:pPr>
      <w:r w:rsidRPr="00882085">
        <w:rPr>
          <w:szCs w:val="22"/>
        </w:rPr>
        <w:t xml:space="preserve">Recommended </w:t>
      </w:r>
    </w:p>
    <w:p w:rsidR="00B62CCA" w:rsidRDefault="00B62CCA" w:rsidP="00E74236">
      <w:pPr>
        <w:rPr>
          <w:szCs w:val="22"/>
        </w:rPr>
      </w:pPr>
    </w:p>
    <w:p w:rsidR="0076590B" w:rsidRPr="00882085" w:rsidRDefault="0076590B" w:rsidP="0076590B">
      <w:pPr>
        <w:rPr>
          <w:szCs w:val="22"/>
        </w:rPr>
      </w:pPr>
    </w:p>
    <w:p w:rsidR="0076590B" w:rsidRPr="00F4321A" w:rsidRDefault="0076590B" w:rsidP="0076590B">
      <w:pPr>
        <w:pStyle w:val="Header"/>
        <w:widowControl/>
        <w:numPr>
          <w:ilvl w:val="0"/>
          <w:numId w:val="8"/>
        </w:numPr>
        <w:tabs>
          <w:tab w:val="clear" w:pos="4513"/>
          <w:tab w:val="clear" w:pos="9026"/>
        </w:tabs>
        <w:rPr>
          <w:b/>
          <w:i/>
          <w:szCs w:val="22"/>
        </w:rPr>
      </w:pPr>
      <w:r w:rsidRPr="00882085">
        <w:rPr>
          <w:b/>
          <w:szCs w:val="22"/>
        </w:rPr>
        <w:t>Recommended listing</w:t>
      </w:r>
    </w:p>
    <w:p w:rsidR="0076590B" w:rsidRPr="00F4321A" w:rsidRDefault="0076590B" w:rsidP="0076590B">
      <w:pPr>
        <w:pStyle w:val="Header"/>
        <w:ind w:left="720"/>
        <w:rPr>
          <w:b/>
          <w:i/>
          <w:szCs w:val="22"/>
        </w:rPr>
      </w:pPr>
    </w:p>
    <w:p w:rsidR="0076590B" w:rsidRPr="006C263A" w:rsidRDefault="0076590B" w:rsidP="006C263A">
      <w:pPr>
        <w:pStyle w:val="Header"/>
        <w:widowControl/>
        <w:numPr>
          <w:ilvl w:val="1"/>
          <w:numId w:val="8"/>
        </w:numPr>
        <w:tabs>
          <w:tab w:val="clear" w:pos="4513"/>
          <w:tab w:val="clear" w:pos="9026"/>
        </w:tabs>
        <w:rPr>
          <w:szCs w:val="22"/>
        </w:rPr>
      </w:pPr>
      <w:r w:rsidRPr="006C263A">
        <w:rPr>
          <w:szCs w:val="22"/>
        </w:rPr>
        <w:t>Add new item</w:t>
      </w:r>
      <w:r w:rsidR="006C263A">
        <w:rPr>
          <w:szCs w:val="22"/>
        </w:rPr>
        <w:t>:</w:t>
      </w:r>
    </w:p>
    <w:p w:rsidR="0076590B" w:rsidRDefault="0076590B" w:rsidP="0076590B">
      <w:pPr>
        <w:pStyle w:val="ListParagraph"/>
        <w:ind w:left="709"/>
        <w:rPr>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559"/>
        <w:gridCol w:w="1276"/>
        <w:gridCol w:w="1701"/>
      </w:tblGrid>
      <w:tr w:rsidR="00585874" w:rsidRPr="00260CE3" w:rsidTr="00956EAB">
        <w:trPr>
          <w:gridAfter w:val="1"/>
          <w:wAfter w:w="1701" w:type="dxa"/>
          <w:cantSplit/>
          <w:trHeight w:val="471"/>
        </w:trPr>
        <w:tc>
          <w:tcPr>
            <w:tcW w:w="3261" w:type="dxa"/>
            <w:gridSpan w:val="2"/>
            <w:tcBorders>
              <w:bottom w:val="single" w:sz="4" w:space="0" w:color="auto"/>
            </w:tcBorders>
          </w:tcPr>
          <w:p w:rsidR="00585874" w:rsidRPr="00260CE3" w:rsidRDefault="00585874" w:rsidP="00956EAB">
            <w:pPr>
              <w:keepNext/>
              <w:ind w:left="-108"/>
              <w:rPr>
                <w:rFonts w:ascii="Arial Narrow" w:hAnsi="Arial Narrow"/>
                <w:sz w:val="20"/>
              </w:rPr>
            </w:pPr>
            <w:r w:rsidRPr="00260CE3">
              <w:rPr>
                <w:rFonts w:ascii="Arial Narrow" w:hAnsi="Arial Narrow"/>
                <w:sz w:val="20"/>
              </w:rPr>
              <w:t>Name, Restriction,</w:t>
            </w:r>
          </w:p>
          <w:p w:rsidR="00585874" w:rsidRPr="00260CE3" w:rsidRDefault="00585874" w:rsidP="00956EAB">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585874" w:rsidRPr="00260CE3" w:rsidRDefault="00585874" w:rsidP="00956EAB">
            <w:pPr>
              <w:keepNext/>
              <w:ind w:left="-108"/>
              <w:rPr>
                <w:rFonts w:ascii="Arial Narrow" w:hAnsi="Arial Narrow"/>
                <w:sz w:val="20"/>
              </w:rPr>
            </w:pPr>
            <w:r w:rsidRPr="00260CE3">
              <w:rPr>
                <w:rFonts w:ascii="Arial Narrow" w:hAnsi="Arial Narrow"/>
                <w:sz w:val="20"/>
              </w:rPr>
              <w:t>Max.</w:t>
            </w:r>
          </w:p>
          <w:p w:rsidR="00585874" w:rsidRPr="00260CE3" w:rsidRDefault="00585874" w:rsidP="00956EAB">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585874" w:rsidRPr="00260CE3" w:rsidRDefault="00585874" w:rsidP="00956EAB">
            <w:pPr>
              <w:keepNext/>
              <w:ind w:left="-108"/>
              <w:rPr>
                <w:rFonts w:ascii="Arial Narrow" w:hAnsi="Arial Narrow"/>
                <w:sz w:val="20"/>
              </w:rPr>
            </w:pPr>
            <w:r w:rsidRPr="00260CE3">
              <w:rPr>
                <w:rFonts w:ascii="Arial Narrow" w:hAnsi="Arial Narrow"/>
                <w:sz w:val="20"/>
              </w:rPr>
              <w:t>№.of</w:t>
            </w:r>
          </w:p>
          <w:p w:rsidR="00585874" w:rsidRPr="00260CE3" w:rsidRDefault="00585874" w:rsidP="00956EAB">
            <w:pPr>
              <w:keepNext/>
              <w:ind w:left="-108"/>
              <w:rPr>
                <w:rFonts w:ascii="Arial Narrow" w:hAnsi="Arial Narrow"/>
                <w:sz w:val="20"/>
              </w:rPr>
            </w:pPr>
            <w:r w:rsidRPr="00260CE3">
              <w:rPr>
                <w:rFonts w:ascii="Arial Narrow" w:hAnsi="Arial Narrow"/>
                <w:sz w:val="20"/>
              </w:rPr>
              <w:t>Rpts</w:t>
            </w:r>
          </w:p>
        </w:tc>
        <w:tc>
          <w:tcPr>
            <w:tcW w:w="2835" w:type="dxa"/>
            <w:gridSpan w:val="2"/>
            <w:tcBorders>
              <w:bottom w:val="single" w:sz="4" w:space="0" w:color="auto"/>
            </w:tcBorders>
          </w:tcPr>
          <w:p w:rsidR="00585874" w:rsidRPr="00260CE3" w:rsidRDefault="00585874" w:rsidP="00956EAB">
            <w:pPr>
              <w:keepNext/>
              <w:rPr>
                <w:rFonts w:ascii="Arial Narrow" w:hAnsi="Arial Narrow"/>
                <w:sz w:val="20"/>
                <w:lang w:val="fr-FR"/>
              </w:rPr>
            </w:pPr>
            <w:r w:rsidRPr="00260CE3">
              <w:rPr>
                <w:rFonts w:ascii="Arial Narrow" w:hAnsi="Arial Narrow"/>
                <w:sz w:val="20"/>
              </w:rPr>
              <w:t>Proprietary Name and Manufacturer</w:t>
            </w:r>
          </w:p>
        </w:tc>
      </w:tr>
      <w:tr w:rsidR="00585874" w:rsidRPr="00260CE3" w:rsidTr="00956EAB">
        <w:trPr>
          <w:gridAfter w:val="1"/>
          <w:wAfter w:w="1701" w:type="dxa"/>
          <w:cantSplit/>
          <w:trHeight w:val="577"/>
        </w:trPr>
        <w:tc>
          <w:tcPr>
            <w:tcW w:w="3261" w:type="dxa"/>
            <w:gridSpan w:val="2"/>
          </w:tcPr>
          <w:p w:rsidR="00585874" w:rsidRPr="00260CE3" w:rsidRDefault="00585874" w:rsidP="00956EAB">
            <w:pPr>
              <w:keepNext/>
              <w:ind w:left="-108"/>
              <w:rPr>
                <w:rFonts w:ascii="Arial Narrow" w:hAnsi="Arial Narrow"/>
                <w:sz w:val="20"/>
              </w:rPr>
            </w:pPr>
            <w:r>
              <w:rPr>
                <w:rFonts w:ascii="Arial Narrow" w:hAnsi="Arial Narrow"/>
                <w:smallCaps/>
                <w:sz w:val="20"/>
              </w:rPr>
              <w:t xml:space="preserve">sucroferric oxyhydroxide </w:t>
            </w:r>
          </w:p>
          <w:p w:rsidR="00585874" w:rsidRPr="00260CE3" w:rsidRDefault="00585874" w:rsidP="00956EAB">
            <w:pPr>
              <w:keepNext/>
              <w:ind w:left="-108"/>
              <w:rPr>
                <w:rFonts w:ascii="Arial Narrow" w:hAnsi="Arial Narrow"/>
                <w:sz w:val="20"/>
              </w:rPr>
            </w:pPr>
            <w:r>
              <w:rPr>
                <w:rFonts w:ascii="Arial Narrow" w:hAnsi="Arial Narrow"/>
                <w:sz w:val="20"/>
              </w:rPr>
              <w:t>Iron (as sucroferric oxyhydroxide), 500mg tablet: chewable, 90</w:t>
            </w:r>
          </w:p>
        </w:tc>
        <w:tc>
          <w:tcPr>
            <w:tcW w:w="567" w:type="dxa"/>
          </w:tcPr>
          <w:p w:rsidR="00585874" w:rsidRPr="00260CE3" w:rsidRDefault="00585874" w:rsidP="00956EAB">
            <w:pPr>
              <w:keepNext/>
              <w:ind w:left="-108"/>
              <w:rPr>
                <w:rFonts w:ascii="Arial Narrow" w:hAnsi="Arial Narrow"/>
                <w:sz w:val="20"/>
              </w:rPr>
            </w:pPr>
          </w:p>
          <w:p w:rsidR="00585874" w:rsidRPr="00260CE3" w:rsidRDefault="00585874" w:rsidP="006C263A">
            <w:pPr>
              <w:keepNext/>
              <w:ind w:left="-108"/>
              <w:rPr>
                <w:rFonts w:ascii="Arial Narrow" w:hAnsi="Arial Narrow"/>
                <w:sz w:val="20"/>
              </w:rPr>
            </w:pPr>
            <w:r>
              <w:rPr>
                <w:rFonts w:ascii="Arial Narrow" w:hAnsi="Arial Narrow"/>
                <w:sz w:val="20"/>
              </w:rPr>
              <w:t>2</w:t>
            </w:r>
          </w:p>
        </w:tc>
        <w:tc>
          <w:tcPr>
            <w:tcW w:w="850" w:type="dxa"/>
          </w:tcPr>
          <w:p w:rsidR="00585874" w:rsidRPr="00260CE3" w:rsidRDefault="00585874" w:rsidP="00956EAB">
            <w:pPr>
              <w:keepNext/>
              <w:ind w:left="-108"/>
              <w:rPr>
                <w:rFonts w:ascii="Arial Narrow" w:hAnsi="Arial Narrow"/>
                <w:sz w:val="20"/>
              </w:rPr>
            </w:pPr>
          </w:p>
          <w:p w:rsidR="00585874" w:rsidRPr="00260CE3" w:rsidRDefault="00585874" w:rsidP="00956EAB">
            <w:pPr>
              <w:keepNext/>
              <w:ind w:left="-108"/>
              <w:rPr>
                <w:rFonts w:ascii="Arial Narrow" w:hAnsi="Arial Narrow"/>
                <w:sz w:val="20"/>
              </w:rPr>
            </w:pPr>
            <w:r>
              <w:rPr>
                <w:rFonts w:ascii="Arial Narrow" w:hAnsi="Arial Narrow"/>
                <w:sz w:val="20"/>
              </w:rPr>
              <w:t>5</w:t>
            </w:r>
          </w:p>
        </w:tc>
        <w:tc>
          <w:tcPr>
            <w:tcW w:w="1559" w:type="dxa"/>
          </w:tcPr>
          <w:p w:rsidR="00585874" w:rsidRPr="00260CE3" w:rsidRDefault="00585874" w:rsidP="00956EAB">
            <w:pPr>
              <w:keepNext/>
              <w:rPr>
                <w:rFonts w:ascii="Arial Narrow" w:hAnsi="Arial Narrow"/>
                <w:sz w:val="20"/>
              </w:rPr>
            </w:pPr>
            <w:r>
              <w:rPr>
                <w:rFonts w:ascii="Arial Narrow" w:hAnsi="Arial Narrow"/>
                <w:sz w:val="20"/>
              </w:rPr>
              <w:t>Velphoro</w:t>
            </w:r>
            <w:r>
              <w:rPr>
                <w:rFonts w:ascii="Arial Narrow" w:hAnsi="Arial Narrow"/>
                <w:sz w:val="20"/>
                <w:vertAlign w:val="superscript"/>
              </w:rPr>
              <w:t>®</w:t>
            </w:r>
          </w:p>
        </w:tc>
        <w:tc>
          <w:tcPr>
            <w:tcW w:w="1276" w:type="dxa"/>
          </w:tcPr>
          <w:p w:rsidR="00585874" w:rsidRPr="00260CE3" w:rsidRDefault="00585874" w:rsidP="00956EAB">
            <w:pPr>
              <w:keepNext/>
              <w:rPr>
                <w:rFonts w:ascii="Arial Narrow" w:hAnsi="Arial Narrow"/>
                <w:sz w:val="20"/>
              </w:rPr>
            </w:pPr>
            <w:r>
              <w:rPr>
                <w:rFonts w:ascii="Arial Narrow" w:hAnsi="Arial Narrow"/>
                <w:sz w:val="20"/>
              </w:rPr>
              <w:t>Vifor Pharma</w:t>
            </w:r>
          </w:p>
        </w:tc>
      </w:tr>
      <w:tr w:rsidR="006C263A" w:rsidRPr="00260CE3" w:rsidTr="00956EAB">
        <w:trPr>
          <w:cantSplit/>
          <w:trHeight w:val="360"/>
        </w:trPr>
        <w:tc>
          <w:tcPr>
            <w:tcW w:w="9214" w:type="dxa"/>
            <w:gridSpan w:val="7"/>
            <w:tcBorders>
              <w:bottom w:val="single" w:sz="4" w:space="0" w:color="auto"/>
            </w:tcBorders>
          </w:tcPr>
          <w:p w:rsidR="006C263A" w:rsidRPr="00260CE3" w:rsidRDefault="006C263A" w:rsidP="00956EAB">
            <w:pPr>
              <w:rPr>
                <w:rFonts w:ascii="Arial Narrow" w:hAnsi="Arial Narrow"/>
                <w:sz w:val="20"/>
              </w:rPr>
            </w:pPr>
          </w:p>
        </w:tc>
      </w:tr>
      <w:tr w:rsidR="006C263A"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b/>
                <w:sz w:val="20"/>
              </w:rPr>
            </w:pPr>
            <w:r w:rsidRPr="00260CE3">
              <w:rPr>
                <w:rFonts w:ascii="Arial Narrow" w:hAnsi="Arial Narrow"/>
                <w:b/>
                <w:sz w:val="20"/>
              </w:rPr>
              <w:t xml:space="preserve">Category / </w:t>
            </w:r>
          </w:p>
          <w:p w:rsidR="006C263A" w:rsidRPr="00260CE3" w:rsidRDefault="006C263A" w:rsidP="00956EAB">
            <w:pPr>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sz w:val="20"/>
              </w:rPr>
            </w:pPr>
            <w:r w:rsidRPr="00260CE3">
              <w:rPr>
                <w:rFonts w:ascii="Arial Narrow" w:hAnsi="Arial Narrow"/>
                <w:sz w:val="20"/>
              </w:rPr>
              <w:t>Section 100 – Highly Specialised Drugs Program</w:t>
            </w:r>
            <w:r>
              <w:rPr>
                <w:rFonts w:ascii="Arial Narrow" w:hAnsi="Arial Narrow"/>
                <w:sz w:val="20"/>
              </w:rPr>
              <w:t xml:space="preserve"> (Public)</w:t>
            </w:r>
          </w:p>
        </w:tc>
      </w:tr>
      <w:tr w:rsidR="006C263A"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6C263A" w:rsidRPr="00260CE3" w:rsidRDefault="006C263A" w:rsidP="00956EAB">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6C263A"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b/>
                <w:sz w:val="20"/>
              </w:rPr>
            </w:pPr>
            <w:r w:rsidRPr="00260CE3">
              <w:rPr>
                <w:rFonts w:ascii="Arial Narrow" w:hAnsi="Arial Narrow"/>
                <w:b/>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sz w:val="20"/>
              </w:rPr>
            </w:pPr>
            <w:r>
              <w:rPr>
                <w:rFonts w:ascii="Arial Narrow" w:hAnsi="Arial Narrow"/>
                <w:sz w:val="20"/>
              </w:rPr>
              <w:t>-</w:t>
            </w:r>
          </w:p>
        </w:tc>
      </w:tr>
      <w:tr w:rsidR="006C263A"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sz w:val="20"/>
              </w:rPr>
            </w:pPr>
            <w:r>
              <w:rPr>
                <w:rFonts w:ascii="Arial Narrow" w:hAnsi="Arial Narrow"/>
                <w:sz w:val="20"/>
              </w:rPr>
              <w:t>-</w:t>
            </w:r>
          </w:p>
        </w:tc>
      </w:tr>
      <w:tr w:rsidR="006C263A"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sz w:val="20"/>
              </w:rPr>
            </w:pPr>
            <w:r>
              <w:rPr>
                <w:rFonts w:ascii="Arial Narrow" w:hAnsi="Arial Narrow"/>
                <w:sz w:val="20"/>
              </w:rPr>
              <w:t>Hyperphosphataemia</w:t>
            </w:r>
          </w:p>
        </w:tc>
      </w:tr>
      <w:tr w:rsidR="006C263A"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sz w:val="20"/>
              </w:rPr>
            </w:pPr>
            <w:r>
              <w:rPr>
                <w:rFonts w:ascii="Arial Narrow" w:hAnsi="Arial Narrow"/>
                <w:sz w:val="20"/>
              </w:rPr>
              <w:t>Hyperphosphataemia</w:t>
            </w:r>
          </w:p>
        </w:tc>
      </w:tr>
      <w:tr w:rsidR="006C263A"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b/>
                <w:sz w:val="20"/>
              </w:rPr>
            </w:pPr>
            <w:r w:rsidRPr="00260CE3">
              <w:rPr>
                <w:rFonts w:ascii="Arial Narrow" w:hAnsi="Arial Narrow"/>
                <w:b/>
                <w:sz w:val="20"/>
              </w:rPr>
              <w:t>Treatment phase:</w:t>
            </w:r>
          </w:p>
          <w:p w:rsidR="006C263A" w:rsidRPr="00260CE3" w:rsidRDefault="006C263A" w:rsidP="00956EA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C263A" w:rsidRPr="00260CE3" w:rsidRDefault="001862C7" w:rsidP="00956EAB">
            <w:pPr>
              <w:rPr>
                <w:rFonts w:ascii="Arial Narrow" w:hAnsi="Arial Narrow"/>
                <w:sz w:val="20"/>
              </w:rPr>
            </w:pPr>
            <w:r>
              <w:rPr>
                <w:rFonts w:ascii="Arial Narrow" w:hAnsi="Arial Narrow"/>
                <w:sz w:val="20"/>
              </w:rPr>
              <w:t>Initi</w:t>
            </w:r>
            <w:r w:rsidR="00B1316C">
              <w:rPr>
                <w:rFonts w:ascii="Arial Narrow" w:hAnsi="Arial Narrow"/>
                <w:sz w:val="20"/>
              </w:rPr>
              <w:t xml:space="preserve">ation and stabilisation </w:t>
            </w:r>
          </w:p>
        </w:tc>
      </w:tr>
      <w:tr w:rsidR="006C263A"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6C263A" w:rsidRPr="00260CE3" w:rsidRDefault="006C263A" w:rsidP="00956EA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C263A" w:rsidRPr="00106BCF" w:rsidRDefault="006C263A" w:rsidP="00956EAB">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6C263A" w:rsidRPr="00106BCF" w:rsidRDefault="006C263A" w:rsidP="00956EAB">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6C263A" w:rsidRPr="00106BCF" w:rsidRDefault="006C263A" w:rsidP="00956EAB">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6C263A" w:rsidRPr="00106BCF" w:rsidRDefault="006C263A" w:rsidP="00956EAB">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6C263A" w:rsidRPr="00106BCF" w:rsidRDefault="006C263A" w:rsidP="00956EAB">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6C263A" w:rsidRPr="00260CE3" w:rsidRDefault="001862C7" w:rsidP="00956EAB">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17" w:name="Check5"/>
            <w:r>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Pr>
                <w:rFonts w:ascii="Arial Narrow" w:hAnsi="Arial Narrow"/>
                <w:sz w:val="20"/>
              </w:rPr>
              <w:fldChar w:fldCharType="end"/>
            </w:r>
            <w:bookmarkEnd w:id="17"/>
            <w:r w:rsidR="006C263A" w:rsidRPr="00106BCF">
              <w:rPr>
                <w:rFonts w:ascii="Arial Narrow" w:hAnsi="Arial Narrow"/>
                <w:sz w:val="20"/>
              </w:rPr>
              <w:t>Streamlined</w:t>
            </w:r>
          </w:p>
        </w:tc>
      </w:tr>
      <w:tr w:rsidR="006C263A"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C263A" w:rsidRPr="001862C7" w:rsidRDefault="006C263A" w:rsidP="001862C7">
            <w:pPr>
              <w:rPr>
                <w:rFonts w:ascii="Arial Narrow" w:hAnsi="Arial Narrow"/>
                <w:b/>
                <w:sz w:val="20"/>
              </w:rPr>
            </w:pPr>
            <w:r w:rsidRPr="00260CE3">
              <w:rPr>
                <w:rFonts w:ascii="Arial Narrow" w:hAnsi="Arial Narrow"/>
                <w:b/>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6C263A" w:rsidRPr="00260CE3" w:rsidRDefault="001862C7" w:rsidP="00956EAB">
            <w:pPr>
              <w:rPr>
                <w:rFonts w:ascii="Arial Narrow" w:hAnsi="Arial Narrow"/>
                <w:sz w:val="20"/>
              </w:rPr>
            </w:pPr>
            <w:r w:rsidRPr="00B57F51">
              <w:rPr>
                <w:rFonts w:ascii="Arial Narrow" w:hAnsi="Arial Narrow"/>
                <w:sz w:val="20"/>
              </w:rPr>
              <w:t>Patient must be undergoing dialysis for chronic kidney disease</w:t>
            </w:r>
          </w:p>
          <w:p w:rsidR="006C263A" w:rsidRPr="00260CE3" w:rsidRDefault="006C263A" w:rsidP="00956EAB">
            <w:pPr>
              <w:rPr>
                <w:rFonts w:ascii="Arial Narrow" w:hAnsi="Arial Narrow"/>
                <w:sz w:val="20"/>
              </w:rPr>
            </w:pPr>
          </w:p>
        </w:tc>
      </w:tr>
      <w:tr w:rsidR="006C263A"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b/>
                <w:sz w:val="20"/>
              </w:rPr>
            </w:pPr>
            <w:r w:rsidRPr="00260CE3">
              <w:rPr>
                <w:rFonts w:ascii="Arial Narrow" w:hAnsi="Arial Narrow"/>
                <w:b/>
                <w:sz w:val="20"/>
              </w:rPr>
              <w:lastRenderedPageBreak/>
              <w:t>Clinical criteria:</w:t>
            </w:r>
          </w:p>
          <w:p w:rsidR="006C263A" w:rsidRPr="00260CE3" w:rsidRDefault="006C263A" w:rsidP="00956EAB">
            <w:pPr>
              <w:rPr>
                <w:rFonts w:ascii="Arial Narrow" w:hAnsi="Arial Narrow"/>
                <w:i/>
                <w:sz w:val="20"/>
              </w:rPr>
            </w:pPr>
          </w:p>
          <w:p w:rsidR="006C263A" w:rsidRPr="00260CE3" w:rsidRDefault="006C263A" w:rsidP="001862C7">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862C7" w:rsidRPr="00B57F51" w:rsidRDefault="001862C7" w:rsidP="001862C7">
            <w:pPr>
              <w:jc w:val="left"/>
              <w:rPr>
                <w:rFonts w:ascii="Arial Narrow" w:hAnsi="Arial Narrow"/>
                <w:sz w:val="20"/>
              </w:rPr>
            </w:pPr>
            <w:r w:rsidRPr="00B57F51">
              <w:rPr>
                <w:rFonts w:ascii="Arial Narrow" w:hAnsi="Arial Narrow"/>
                <w:sz w:val="20"/>
              </w:rPr>
              <w:t>The condition must not be adequately controlled by calcium</w:t>
            </w:r>
          </w:p>
          <w:p w:rsidR="001862C7" w:rsidRPr="00B57F51" w:rsidRDefault="001862C7" w:rsidP="001862C7">
            <w:pPr>
              <w:jc w:val="left"/>
              <w:rPr>
                <w:rFonts w:ascii="Arial Narrow" w:hAnsi="Arial Narrow"/>
                <w:sz w:val="20"/>
              </w:rPr>
            </w:pPr>
          </w:p>
          <w:p w:rsidR="001862C7" w:rsidRPr="00B57F51" w:rsidRDefault="001862C7" w:rsidP="001862C7">
            <w:pPr>
              <w:jc w:val="left"/>
              <w:rPr>
                <w:rFonts w:ascii="Arial Narrow" w:hAnsi="Arial Narrow"/>
                <w:sz w:val="20"/>
              </w:rPr>
            </w:pPr>
            <w:r w:rsidRPr="00B57F51">
              <w:rPr>
                <w:rFonts w:ascii="Arial Narrow" w:hAnsi="Arial Narrow"/>
                <w:sz w:val="20"/>
              </w:rPr>
              <w:t>AND</w:t>
            </w:r>
          </w:p>
          <w:p w:rsidR="001862C7" w:rsidRPr="00B57F51" w:rsidRDefault="001862C7" w:rsidP="001862C7">
            <w:pPr>
              <w:jc w:val="left"/>
              <w:rPr>
                <w:rFonts w:ascii="Arial Narrow" w:hAnsi="Arial Narrow"/>
                <w:sz w:val="20"/>
              </w:rPr>
            </w:pPr>
          </w:p>
          <w:p w:rsidR="001862C7" w:rsidRPr="00B57F51" w:rsidRDefault="001862C7" w:rsidP="001862C7">
            <w:pPr>
              <w:jc w:val="left"/>
              <w:rPr>
                <w:rFonts w:ascii="Arial Narrow" w:hAnsi="Arial Narrow"/>
                <w:sz w:val="20"/>
              </w:rPr>
            </w:pPr>
            <w:r w:rsidRPr="00B57F51">
              <w:rPr>
                <w:rFonts w:ascii="Arial Narrow" w:hAnsi="Arial Narrow"/>
                <w:sz w:val="20"/>
              </w:rPr>
              <w:t>The patient must have serum phosphate greater than</w:t>
            </w:r>
            <w:r w:rsidR="00C5598A">
              <w:rPr>
                <w:rFonts w:ascii="Arial Narrow" w:hAnsi="Arial Narrow"/>
                <w:sz w:val="20"/>
              </w:rPr>
              <w:t xml:space="preserve"> </w:t>
            </w:r>
            <w:r w:rsidRPr="00B57F51">
              <w:rPr>
                <w:rFonts w:ascii="Arial Narrow" w:hAnsi="Arial Narrow"/>
                <w:sz w:val="20"/>
              </w:rPr>
              <w:t>1.6 mmol per L at the commencement of therapy</w:t>
            </w:r>
          </w:p>
          <w:p w:rsidR="001862C7" w:rsidRPr="00B57F51" w:rsidRDefault="001862C7" w:rsidP="001862C7">
            <w:pPr>
              <w:jc w:val="left"/>
              <w:rPr>
                <w:rFonts w:ascii="Arial Narrow" w:hAnsi="Arial Narrow"/>
                <w:sz w:val="20"/>
              </w:rPr>
            </w:pPr>
          </w:p>
          <w:p w:rsidR="001862C7" w:rsidRPr="00B57F51" w:rsidRDefault="001862C7" w:rsidP="001862C7">
            <w:pPr>
              <w:jc w:val="left"/>
              <w:rPr>
                <w:rFonts w:ascii="Arial Narrow" w:hAnsi="Arial Narrow"/>
                <w:sz w:val="20"/>
              </w:rPr>
            </w:pPr>
            <w:r w:rsidRPr="00B57F51">
              <w:rPr>
                <w:rFonts w:ascii="Arial Narrow" w:hAnsi="Arial Narrow"/>
                <w:sz w:val="20"/>
              </w:rPr>
              <w:t>OR</w:t>
            </w:r>
          </w:p>
          <w:p w:rsidR="001862C7" w:rsidRPr="00B57F51" w:rsidRDefault="001862C7" w:rsidP="001862C7">
            <w:pPr>
              <w:jc w:val="left"/>
              <w:rPr>
                <w:rFonts w:ascii="Arial Narrow" w:hAnsi="Arial Narrow"/>
                <w:sz w:val="20"/>
              </w:rPr>
            </w:pPr>
          </w:p>
          <w:p w:rsidR="001862C7" w:rsidRPr="00B57F51" w:rsidRDefault="001862C7" w:rsidP="001862C7">
            <w:pPr>
              <w:jc w:val="left"/>
              <w:rPr>
                <w:rFonts w:ascii="Arial Narrow" w:hAnsi="Arial Narrow"/>
                <w:sz w:val="20"/>
              </w:rPr>
            </w:pPr>
            <w:r w:rsidRPr="00B57F51">
              <w:rPr>
                <w:rFonts w:ascii="Arial Narrow" w:hAnsi="Arial Narrow"/>
                <w:sz w:val="20"/>
              </w:rPr>
              <w:t xml:space="preserve">The </w:t>
            </w:r>
            <w:r w:rsidR="00600EC6">
              <w:rPr>
                <w:rFonts w:ascii="Arial Narrow" w:hAnsi="Arial Narrow"/>
                <w:sz w:val="20"/>
              </w:rPr>
              <w:t xml:space="preserve">condition must be where </w:t>
            </w:r>
            <w:r w:rsidRPr="00B57F51">
              <w:rPr>
                <w:rFonts w:ascii="Arial Narrow" w:hAnsi="Arial Narrow"/>
                <w:sz w:val="20"/>
              </w:rPr>
              <w:t xml:space="preserve">a serum calcium times phosphate product </w:t>
            </w:r>
            <w:r w:rsidR="00600EC6">
              <w:rPr>
                <w:rFonts w:ascii="Arial Narrow" w:hAnsi="Arial Narrow"/>
                <w:sz w:val="20"/>
              </w:rPr>
              <w:t>is greater than 4</w:t>
            </w:r>
            <w:r w:rsidRPr="00B57F51">
              <w:rPr>
                <w:rFonts w:ascii="Arial Narrow" w:hAnsi="Arial Narrow"/>
                <w:sz w:val="20"/>
              </w:rPr>
              <w:t xml:space="preserve"> at the commencement of therapy</w:t>
            </w:r>
          </w:p>
          <w:p w:rsidR="001862C7" w:rsidRPr="00B57F51" w:rsidRDefault="001862C7" w:rsidP="001862C7">
            <w:pPr>
              <w:jc w:val="left"/>
              <w:rPr>
                <w:rFonts w:ascii="Arial Narrow" w:hAnsi="Arial Narrow"/>
                <w:sz w:val="20"/>
              </w:rPr>
            </w:pPr>
          </w:p>
          <w:p w:rsidR="001862C7" w:rsidRPr="00B57F51" w:rsidRDefault="001862C7" w:rsidP="001862C7">
            <w:pPr>
              <w:jc w:val="left"/>
              <w:rPr>
                <w:rFonts w:ascii="Arial Narrow" w:hAnsi="Arial Narrow"/>
                <w:sz w:val="20"/>
              </w:rPr>
            </w:pPr>
            <w:r w:rsidRPr="00B57F51">
              <w:rPr>
                <w:rFonts w:ascii="Arial Narrow" w:hAnsi="Arial Narrow"/>
                <w:sz w:val="20"/>
              </w:rPr>
              <w:t>AND</w:t>
            </w:r>
          </w:p>
          <w:p w:rsidR="001862C7" w:rsidRPr="00B57F51" w:rsidRDefault="001862C7" w:rsidP="001862C7">
            <w:pPr>
              <w:jc w:val="left"/>
              <w:rPr>
                <w:rFonts w:ascii="Arial Narrow" w:hAnsi="Arial Narrow"/>
                <w:sz w:val="20"/>
              </w:rPr>
            </w:pPr>
          </w:p>
          <w:p w:rsidR="006C263A" w:rsidRPr="001862C7" w:rsidRDefault="001862C7" w:rsidP="001862C7">
            <w:pPr>
              <w:rPr>
                <w:rFonts w:ascii="Arial Narrow" w:hAnsi="Arial Narrow"/>
                <w:sz w:val="20"/>
              </w:rPr>
            </w:pPr>
            <w:r w:rsidRPr="001862C7">
              <w:rPr>
                <w:rFonts w:ascii="Arial Narrow" w:hAnsi="Arial Narrow"/>
                <w:sz w:val="20"/>
              </w:rPr>
              <w:t>The treatment must not be used in combination with any other phosphate binding agents.</w:t>
            </w:r>
          </w:p>
          <w:p w:rsidR="006C263A" w:rsidRPr="00260CE3" w:rsidRDefault="006C263A" w:rsidP="00956EAB">
            <w:pPr>
              <w:rPr>
                <w:rFonts w:ascii="Arial Narrow" w:hAnsi="Arial Narrow"/>
                <w:sz w:val="20"/>
              </w:rPr>
            </w:pPr>
          </w:p>
        </w:tc>
      </w:tr>
      <w:tr w:rsidR="006C263A"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b/>
                <w:sz w:val="20"/>
              </w:rPr>
            </w:pPr>
            <w:r w:rsidRPr="00260CE3">
              <w:rPr>
                <w:rFonts w:ascii="Arial Narrow" w:hAnsi="Arial Narrow"/>
                <w:b/>
                <w:sz w:val="20"/>
              </w:rPr>
              <w:t>Population criteria:</w:t>
            </w:r>
          </w:p>
          <w:p w:rsidR="006C263A" w:rsidRPr="00260CE3" w:rsidRDefault="006C263A" w:rsidP="001862C7">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C263A" w:rsidRPr="00260CE3" w:rsidRDefault="001862C7" w:rsidP="001862C7">
            <w:pPr>
              <w:rPr>
                <w:rFonts w:ascii="Arial Narrow" w:hAnsi="Arial Narrow"/>
                <w:sz w:val="20"/>
              </w:rPr>
            </w:pPr>
            <w:r>
              <w:rPr>
                <w:rFonts w:ascii="Arial Narrow" w:hAnsi="Arial Narrow"/>
                <w:sz w:val="20"/>
              </w:rPr>
              <w:t>-</w:t>
            </w:r>
          </w:p>
        </w:tc>
      </w:tr>
      <w:tr w:rsidR="006C263A"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b/>
                <w:sz w:val="20"/>
              </w:rPr>
            </w:pPr>
            <w:r w:rsidRPr="00260CE3">
              <w:rPr>
                <w:rFonts w:ascii="Arial Narrow" w:hAnsi="Arial Narrow"/>
                <w:b/>
                <w:sz w:val="20"/>
              </w:rPr>
              <w:t>Foreword</w:t>
            </w:r>
          </w:p>
          <w:p w:rsidR="006C263A" w:rsidRPr="00260CE3" w:rsidRDefault="006C263A" w:rsidP="001862C7">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C263A" w:rsidRPr="00260CE3" w:rsidRDefault="001862C7" w:rsidP="00956EAB">
            <w:pPr>
              <w:rPr>
                <w:rFonts w:ascii="Arial Narrow" w:hAnsi="Arial Narrow"/>
                <w:sz w:val="20"/>
              </w:rPr>
            </w:pPr>
            <w:r>
              <w:rPr>
                <w:rFonts w:ascii="Arial Narrow" w:hAnsi="Arial Narrow"/>
                <w:sz w:val="20"/>
              </w:rPr>
              <w:t>-</w:t>
            </w:r>
          </w:p>
        </w:tc>
      </w:tr>
      <w:tr w:rsidR="006C263A"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b/>
                <w:sz w:val="20"/>
              </w:rPr>
            </w:pPr>
            <w:r w:rsidRPr="00260CE3">
              <w:rPr>
                <w:rFonts w:ascii="Arial Narrow" w:hAnsi="Arial Narrow"/>
                <w:b/>
                <w:sz w:val="20"/>
              </w:rPr>
              <w:t>Definitions</w:t>
            </w:r>
          </w:p>
          <w:p w:rsidR="006C263A" w:rsidRPr="00260CE3" w:rsidRDefault="006C263A" w:rsidP="001862C7">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C263A" w:rsidRPr="00260CE3" w:rsidRDefault="001862C7" w:rsidP="00956EAB">
            <w:pPr>
              <w:rPr>
                <w:rFonts w:ascii="Arial Narrow" w:hAnsi="Arial Narrow"/>
                <w:sz w:val="20"/>
              </w:rPr>
            </w:pPr>
            <w:r>
              <w:rPr>
                <w:rFonts w:ascii="Arial Narrow" w:hAnsi="Arial Narrow"/>
                <w:sz w:val="20"/>
              </w:rPr>
              <w:t>-</w:t>
            </w:r>
          </w:p>
        </w:tc>
      </w:tr>
      <w:tr w:rsidR="006C263A"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b/>
                <w:sz w:val="20"/>
              </w:rPr>
            </w:pPr>
            <w:r w:rsidRPr="00260CE3">
              <w:rPr>
                <w:rFonts w:ascii="Arial Narrow" w:hAnsi="Arial Narrow"/>
                <w:b/>
                <w:sz w:val="20"/>
              </w:rPr>
              <w:t>Prescriber Instructions</w:t>
            </w:r>
          </w:p>
          <w:p w:rsidR="006C263A" w:rsidRPr="00260CE3" w:rsidRDefault="006C263A" w:rsidP="001862C7">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C263A" w:rsidRPr="00260CE3" w:rsidRDefault="001862C7" w:rsidP="00956EAB">
            <w:pPr>
              <w:rPr>
                <w:rFonts w:ascii="Arial Narrow" w:hAnsi="Arial Narrow"/>
                <w:sz w:val="20"/>
              </w:rPr>
            </w:pPr>
            <w:r>
              <w:rPr>
                <w:rFonts w:ascii="Arial Narrow" w:hAnsi="Arial Narrow"/>
                <w:sz w:val="20"/>
              </w:rPr>
              <w:t>-</w:t>
            </w:r>
          </w:p>
        </w:tc>
      </w:tr>
      <w:tr w:rsidR="006C263A"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b/>
                <w:sz w:val="20"/>
              </w:rPr>
            </w:pPr>
            <w:r w:rsidRPr="00260CE3">
              <w:rPr>
                <w:rFonts w:ascii="Arial Narrow" w:hAnsi="Arial Narrow"/>
                <w:b/>
                <w:sz w:val="20"/>
              </w:rPr>
              <w:t>Administrative Advice</w:t>
            </w:r>
          </w:p>
          <w:p w:rsidR="006C263A" w:rsidRPr="00260CE3" w:rsidRDefault="006C263A" w:rsidP="001862C7">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C263A" w:rsidRPr="00260CE3" w:rsidRDefault="001862C7" w:rsidP="00956EAB">
            <w:pPr>
              <w:rPr>
                <w:rFonts w:ascii="Arial Narrow" w:hAnsi="Arial Narrow"/>
                <w:sz w:val="20"/>
              </w:rPr>
            </w:pPr>
            <w:r>
              <w:rPr>
                <w:rFonts w:ascii="Arial Narrow" w:hAnsi="Arial Narrow"/>
                <w:sz w:val="20"/>
              </w:rPr>
              <w:t>-</w:t>
            </w:r>
          </w:p>
        </w:tc>
      </w:tr>
      <w:tr w:rsidR="006C263A"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C263A" w:rsidRPr="00260CE3" w:rsidRDefault="006C263A" w:rsidP="00956EAB">
            <w:pPr>
              <w:rPr>
                <w:rFonts w:ascii="Arial Narrow" w:hAnsi="Arial Narrow"/>
                <w:b/>
                <w:sz w:val="20"/>
              </w:rPr>
            </w:pPr>
            <w:r w:rsidRPr="00260CE3">
              <w:rPr>
                <w:rFonts w:ascii="Arial Narrow" w:hAnsi="Arial Narrow"/>
                <w:b/>
                <w:sz w:val="20"/>
              </w:rPr>
              <w:t>Cautions</w:t>
            </w:r>
          </w:p>
          <w:p w:rsidR="006C263A" w:rsidRPr="00260CE3" w:rsidRDefault="006C263A" w:rsidP="001862C7">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C263A" w:rsidRPr="00260CE3" w:rsidRDefault="001862C7" w:rsidP="00956EAB">
            <w:pPr>
              <w:rPr>
                <w:rFonts w:ascii="Arial Narrow" w:hAnsi="Arial Narrow"/>
                <w:sz w:val="20"/>
              </w:rPr>
            </w:pPr>
            <w:r>
              <w:rPr>
                <w:rFonts w:ascii="Arial Narrow" w:hAnsi="Arial Narrow"/>
                <w:sz w:val="20"/>
              </w:rPr>
              <w:t>-</w:t>
            </w:r>
          </w:p>
        </w:tc>
      </w:tr>
    </w:tbl>
    <w:p w:rsidR="0076590B" w:rsidRDefault="0076590B" w:rsidP="0076590B"/>
    <w:p w:rsidR="001862C7" w:rsidRDefault="001862C7" w:rsidP="0076590B"/>
    <w:tbl>
      <w:tblPr>
        <w:tblW w:w="9214" w:type="dxa"/>
        <w:tblInd w:w="108" w:type="dxa"/>
        <w:tblLayout w:type="fixed"/>
        <w:tblLook w:val="0000" w:firstRow="0" w:lastRow="0" w:firstColumn="0" w:lastColumn="0" w:noHBand="0" w:noVBand="0"/>
      </w:tblPr>
      <w:tblGrid>
        <w:gridCol w:w="2835"/>
        <w:gridCol w:w="426"/>
        <w:gridCol w:w="567"/>
        <w:gridCol w:w="850"/>
        <w:gridCol w:w="1559"/>
        <w:gridCol w:w="1276"/>
        <w:gridCol w:w="1701"/>
      </w:tblGrid>
      <w:tr w:rsidR="00585874" w:rsidRPr="00260CE3" w:rsidTr="00956EAB">
        <w:trPr>
          <w:gridAfter w:val="1"/>
          <w:wAfter w:w="1701" w:type="dxa"/>
          <w:cantSplit/>
          <w:trHeight w:val="471"/>
        </w:trPr>
        <w:tc>
          <w:tcPr>
            <w:tcW w:w="3261" w:type="dxa"/>
            <w:gridSpan w:val="2"/>
            <w:tcBorders>
              <w:bottom w:val="single" w:sz="4" w:space="0" w:color="auto"/>
            </w:tcBorders>
          </w:tcPr>
          <w:p w:rsidR="00585874" w:rsidRPr="00260CE3" w:rsidRDefault="00585874" w:rsidP="00956EAB">
            <w:pPr>
              <w:keepNext/>
              <w:ind w:left="-108"/>
              <w:rPr>
                <w:rFonts w:ascii="Arial Narrow" w:hAnsi="Arial Narrow"/>
                <w:sz w:val="20"/>
              </w:rPr>
            </w:pPr>
            <w:r w:rsidRPr="00260CE3">
              <w:rPr>
                <w:rFonts w:ascii="Arial Narrow" w:hAnsi="Arial Narrow"/>
                <w:sz w:val="20"/>
              </w:rPr>
              <w:t>Name, Restriction,</w:t>
            </w:r>
          </w:p>
          <w:p w:rsidR="00585874" w:rsidRPr="00260CE3" w:rsidRDefault="00585874" w:rsidP="00956EAB">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585874" w:rsidRPr="00260CE3" w:rsidRDefault="00585874" w:rsidP="00956EAB">
            <w:pPr>
              <w:keepNext/>
              <w:ind w:left="-108"/>
              <w:rPr>
                <w:rFonts w:ascii="Arial Narrow" w:hAnsi="Arial Narrow"/>
                <w:sz w:val="20"/>
              </w:rPr>
            </w:pPr>
            <w:r w:rsidRPr="00260CE3">
              <w:rPr>
                <w:rFonts w:ascii="Arial Narrow" w:hAnsi="Arial Narrow"/>
                <w:sz w:val="20"/>
              </w:rPr>
              <w:t>Max.</w:t>
            </w:r>
          </w:p>
          <w:p w:rsidR="00585874" w:rsidRPr="00260CE3" w:rsidRDefault="00585874" w:rsidP="00956EAB">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585874" w:rsidRPr="00260CE3" w:rsidRDefault="00585874" w:rsidP="00956EAB">
            <w:pPr>
              <w:keepNext/>
              <w:ind w:left="-108"/>
              <w:rPr>
                <w:rFonts w:ascii="Arial Narrow" w:hAnsi="Arial Narrow"/>
                <w:sz w:val="20"/>
              </w:rPr>
            </w:pPr>
            <w:r w:rsidRPr="00260CE3">
              <w:rPr>
                <w:rFonts w:ascii="Arial Narrow" w:hAnsi="Arial Narrow"/>
                <w:sz w:val="20"/>
              </w:rPr>
              <w:t>№.of</w:t>
            </w:r>
          </w:p>
          <w:p w:rsidR="00585874" w:rsidRPr="00260CE3" w:rsidRDefault="00585874" w:rsidP="00956EAB">
            <w:pPr>
              <w:keepNext/>
              <w:ind w:left="-108"/>
              <w:rPr>
                <w:rFonts w:ascii="Arial Narrow" w:hAnsi="Arial Narrow"/>
                <w:sz w:val="20"/>
              </w:rPr>
            </w:pPr>
            <w:r w:rsidRPr="00260CE3">
              <w:rPr>
                <w:rFonts w:ascii="Arial Narrow" w:hAnsi="Arial Narrow"/>
                <w:sz w:val="20"/>
              </w:rPr>
              <w:t>Rpts</w:t>
            </w:r>
          </w:p>
        </w:tc>
        <w:tc>
          <w:tcPr>
            <w:tcW w:w="2835" w:type="dxa"/>
            <w:gridSpan w:val="2"/>
            <w:tcBorders>
              <w:bottom w:val="single" w:sz="4" w:space="0" w:color="auto"/>
            </w:tcBorders>
          </w:tcPr>
          <w:p w:rsidR="00585874" w:rsidRPr="00260CE3" w:rsidRDefault="00585874" w:rsidP="00956EAB">
            <w:pPr>
              <w:keepNext/>
              <w:rPr>
                <w:rFonts w:ascii="Arial Narrow" w:hAnsi="Arial Narrow"/>
                <w:sz w:val="20"/>
                <w:lang w:val="fr-FR"/>
              </w:rPr>
            </w:pPr>
            <w:r w:rsidRPr="00260CE3">
              <w:rPr>
                <w:rFonts w:ascii="Arial Narrow" w:hAnsi="Arial Narrow"/>
                <w:sz w:val="20"/>
              </w:rPr>
              <w:t>Proprietary Name and Manufacturer</w:t>
            </w:r>
          </w:p>
        </w:tc>
      </w:tr>
      <w:tr w:rsidR="00585874" w:rsidRPr="00260CE3" w:rsidTr="00956EAB">
        <w:trPr>
          <w:gridAfter w:val="1"/>
          <w:wAfter w:w="1701" w:type="dxa"/>
          <w:cantSplit/>
          <w:trHeight w:val="577"/>
        </w:trPr>
        <w:tc>
          <w:tcPr>
            <w:tcW w:w="3261" w:type="dxa"/>
            <w:gridSpan w:val="2"/>
          </w:tcPr>
          <w:p w:rsidR="00585874" w:rsidRPr="00260CE3" w:rsidRDefault="00585874" w:rsidP="00956EAB">
            <w:pPr>
              <w:keepNext/>
              <w:ind w:left="-108"/>
              <w:rPr>
                <w:rFonts w:ascii="Arial Narrow" w:hAnsi="Arial Narrow"/>
                <w:sz w:val="20"/>
              </w:rPr>
            </w:pPr>
            <w:r>
              <w:rPr>
                <w:rFonts w:ascii="Arial Narrow" w:hAnsi="Arial Narrow"/>
                <w:smallCaps/>
                <w:sz w:val="20"/>
              </w:rPr>
              <w:t xml:space="preserve">sucroferric oxyhydroxide </w:t>
            </w:r>
          </w:p>
          <w:p w:rsidR="00585874" w:rsidRPr="00260CE3" w:rsidRDefault="00585874" w:rsidP="00956EAB">
            <w:pPr>
              <w:keepNext/>
              <w:ind w:left="-108"/>
              <w:rPr>
                <w:rFonts w:ascii="Arial Narrow" w:hAnsi="Arial Narrow"/>
                <w:sz w:val="20"/>
              </w:rPr>
            </w:pPr>
            <w:r>
              <w:rPr>
                <w:rFonts w:ascii="Arial Narrow" w:hAnsi="Arial Narrow"/>
                <w:sz w:val="20"/>
              </w:rPr>
              <w:t>Iron (as sucroferric oxyhydroxide), 500mg tablet: chewable, 90</w:t>
            </w:r>
          </w:p>
        </w:tc>
        <w:tc>
          <w:tcPr>
            <w:tcW w:w="567" w:type="dxa"/>
          </w:tcPr>
          <w:p w:rsidR="00585874" w:rsidRPr="00260CE3" w:rsidRDefault="00585874" w:rsidP="00956EAB">
            <w:pPr>
              <w:keepNext/>
              <w:ind w:left="-108"/>
              <w:rPr>
                <w:rFonts w:ascii="Arial Narrow" w:hAnsi="Arial Narrow"/>
                <w:sz w:val="20"/>
              </w:rPr>
            </w:pPr>
          </w:p>
          <w:p w:rsidR="00585874" w:rsidRPr="00260CE3" w:rsidRDefault="00585874" w:rsidP="00956EAB">
            <w:pPr>
              <w:keepNext/>
              <w:ind w:left="-108"/>
              <w:rPr>
                <w:rFonts w:ascii="Arial Narrow" w:hAnsi="Arial Narrow"/>
                <w:sz w:val="20"/>
              </w:rPr>
            </w:pPr>
            <w:r>
              <w:rPr>
                <w:rFonts w:ascii="Arial Narrow" w:hAnsi="Arial Narrow"/>
                <w:sz w:val="20"/>
              </w:rPr>
              <w:t>2</w:t>
            </w:r>
          </w:p>
        </w:tc>
        <w:tc>
          <w:tcPr>
            <w:tcW w:w="850" w:type="dxa"/>
          </w:tcPr>
          <w:p w:rsidR="00585874" w:rsidRPr="00260CE3" w:rsidRDefault="00585874" w:rsidP="00956EAB">
            <w:pPr>
              <w:keepNext/>
              <w:ind w:left="-108"/>
              <w:rPr>
                <w:rFonts w:ascii="Arial Narrow" w:hAnsi="Arial Narrow"/>
                <w:sz w:val="20"/>
              </w:rPr>
            </w:pPr>
          </w:p>
          <w:p w:rsidR="00585874" w:rsidRPr="00260CE3" w:rsidRDefault="00585874" w:rsidP="00956EAB">
            <w:pPr>
              <w:keepNext/>
              <w:ind w:left="-108"/>
              <w:rPr>
                <w:rFonts w:ascii="Arial Narrow" w:hAnsi="Arial Narrow"/>
                <w:sz w:val="20"/>
              </w:rPr>
            </w:pPr>
            <w:r>
              <w:rPr>
                <w:rFonts w:ascii="Arial Narrow" w:hAnsi="Arial Narrow"/>
                <w:sz w:val="20"/>
              </w:rPr>
              <w:t>5</w:t>
            </w:r>
          </w:p>
        </w:tc>
        <w:tc>
          <w:tcPr>
            <w:tcW w:w="1559" w:type="dxa"/>
          </w:tcPr>
          <w:p w:rsidR="00585874" w:rsidRPr="00260CE3" w:rsidRDefault="00585874" w:rsidP="00956EAB">
            <w:pPr>
              <w:keepNext/>
              <w:rPr>
                <w:rFonts w:ascii="Arial Narrow" w:hAnsi="Arial Narrow"/>
                <w:sz w:val="20"/>
              </w:rPr>
            </w:pPr>
            <w:r>
              <w:rPr>
                <w:rFonts w:ascii="Arial Narrow" w:hAnsi="Arial Narrow"/>
                <w:sz w:val="20"/>
              </w:rPr>
              <w:t>Velphoro</w:t>
            </w:r>
            <w:r>
              <w:rPr>
                <w:rFonts w:ascii="Arial Narrow" w:hAnsi="Arial Narrow"/>
                <w:sz w:val="20"/>
                <w:vertAlign w:val="superscript"/>
              </w:rPr>
              <w:t>®</w:t>
            </w:r>
          </w:p>
        </w:tc>
        <w:tc>
          <w:tcPr>
            <w:tcW w:w="1276" w:type="dxa"/>
          </w:tcPr>
          <w:p w:rsidR="00585874" w:rsidRPr="00260CE3" w:rsidRDefault="00585874" w:rsidP="00956EAB">
            <w:pPr>
              <w:keepNext/>
              <w:rPr>
                <w:rFonts w:ascii="Arial Narrow" w:hAnsi="Arial Narrow"/>
                <w:sz w:val="20"/>
              </w:rPr>
            </w:pPr>
            <w:r>
              <w:rPr>
                <w:rFonts w:ascii="Arial Narrow" w:hAnsi="Arial Narrow"/>
                <w:sz w:val="20"/>
              </w:rPr>
              <w:t>Vifor Pharma</w:t>
            </w:r>
          </w:p>
        </w:tc>
      </w:tr>
      <w:tr w:rsidR="001862C7" w:rsidRPr="00260CE3" w:rsidTr="00956EAB">
        <w:trPr>
          <w:cantSplit/>
          <w:trHeight w:val="360"/>
        </w:trPr>
        <w:tc>
          <w:tcPr>
            <w:tcW w:w="9214" w:type="dxa"/>
            <w:gridSpan w:val="7"/>
            <w:tcBorders>
              <w:bottom w:val="single" w:sz="4" w:space="0" w:color="auto"/>
            </w:tcBorders>
          </w:tcPr>
          <w:p w:rsidR="001862C7" w:rsidRPr="00260CE3" w:rsidRDefault="001862C7" w:rsidP="00956EAB">
            <w:pPr>
              <w:rPr>
                <w:rFonts w:ascii="Arial Narrow" w:hAnsi="Arial Narrow"/>
                <w:sz w:val="20"/>
              </w:rPr>
            </w:pP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 xml:space="preserve">Category / </w:t>
            </w:r>
          </w:p>
          <w:p w:rsidR="001862C7" w:rsidRPr="00260CE3" w:rsidRDefault="001862C7" w:rsidP="00956EAB">
            <w:pPr>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sidRPr="00260CE3">
              <w:rPr>
                <w:rFonts w:ascii="Arial Narrow" w:hAnsi="Arial Narrow"/>
                <w:sz w:val="20"/>
              </w:rPr>
              <w:t>Section 100 – Highly Specialised Drugs Program</w:t>
            </w:r>
            <w:r>
              <w:rPr>
                <w:rFonts w:ascii="Arial Narrow" w:hAnsi="Arial Narrow"/>
                <w:sz w:val="20"/>
              </w:rPr>
              <w:t xml:space="preserve"> (Private)</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1862C7" w:rsidRPr="00260CE3" w:rsidRDefault="001862C7" w:rsidP="00956EAB">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Hyperphosphataemia</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Hyperphosphataemia</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Treatment phase:</w:t>
            </w:r>
          </w:p>
          <w:p w:rsidR="001862C7" w:rsidRPr="00260CE3" w:rsidRDefault="001862C7" w:rsidP="00956EA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Initi</w:t>
            </w:r>
            <w:r w:rsidR="00B1316C">
              <w:rPr>
                <w:rFonts w:ascii="Arial Narrow" w:hAnsi="Arial Narrow"/>
                <w:sz w:val="20"/>
              </w:rPr>
              <w:t xml:space="preserve">ation and stabilisation </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lastRenderedPageBreak/>
              <w:t>Restriction</w:t>
            </w:r>
            <w:r>
              <w:rPr>
                <w:rFonts w:ascii="Arial Narrow" w:hAnsi="Arial Narrow"/>
                <w:b/>
                <w:sz w:val="20"/>
              </w:rPr>
              <w:t xml:space="preserve"> Level / Method</w:t>
            </w:r>
            <w:r w:rsidRPr="00260CE3">
              <w:rPr>
                <w:rFonts w:ascii="Arial Narrow" w:hAnsi="Arial Narrow"/>
                <w:b/>
                <w:sz w:val="20"/>
              </w:rPr>
              <w:t>:</w:t>
            </w:r>
          </w:p>
          <w:p w:rsidR="001862C7" w:rsidRPr="00260CE3" w:rsidRDefault="001862C7" w:rsidP="00956EA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862C7" w:rsidRPr="00106BCF" w:rsidRDefault="001862C7" w:rsidP="00956EAB">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1862C7" w:rsidRPr="00106BCF" w:rsidRDefault="001862C7" w:rsidP="00956EAB">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1862C7" w:rsidRPr="00106BCF" w:rsidRDefault="001862C7" w:rsidP="00956EAB">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1862C7" w:rsidRPr="00106BCF" w:rsidRDefault="001862C7" w:rsidP="00956EAB">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Emergency</w:t>
            </w:r>
          </w:p>
          <w:p w:rsidR="001862C7" w:rsidRPr="00106BCF" w:rsidRDefault="001862C7" w:rsidP="00956EAB">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1862C7" w:rsidRPr="00260CE3" w:rsidRDefault="001862C7" w:rsidP="00956EAB">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1862C7" w:rsidRDefault="001862C7" w:rsidP="00956EAB">
            <w:pPr>
              <w:rPr>
                <w:rFonts w:ascii="Arial Narrow" w:hAnsi="Arial Narrow"/>
                <w:b/>
                <w:sz w:val="20"/>
              </w:rPr>
            </w:pPr>
            <w:r w:rsidRPr="00260CE3">
              <w:rPr>
                <w:rFonts w:ascii="Arial Narrow" w:hAnsi="Arial Narrow"/>
                <w:b/>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sidRPr="00B57F51">
              <w:rPr>
                <w:rFonts w:ascii="Arial Narrow" w:hAnsi="Arial Narrow"/>
                <w:sz w:val="20"/>
              </w:rPr>
              <w:t>Patient must be undergoing dialysis for chronic kidney disease</w:t>
            </w:r>
          </w:p>
          <w:p w:rsidR="001862C7" w:rsidRPr="00260CE3" w:rsidRDefault="001862C7" w:rsidP="00956EAB">
            <w:pPr>
              <w:rPr>
                <w:rFonts w:ascii="Arial Narrow" w:hAnsi="Arial Narrow"/>
                <w:sz w:val="20"/>
              </w:rPr>
            </w:pP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Clinical criteria:</w:t>
            </w:r>
          </w:p>
          <w:p w:rsidR="001862C7" w:rsidRPr="00260CE3" w:rsidRDefault="001862C7" w:rsidP="00956EAB">
            <w:pPr>
              <w:rPr>
                <w:rFonts w:ascii="Arial Narrow" w:hAnsi="Arial Narrow"/>
                <w:i/>
                <w:sz w:val="20"/>
              </w:rPr>
            </w:pPr>
          </w:p>
          <w:p w:rsidR="001862C7" w:rsidRPr="00260CE3" w:rsidRDefault="001862C7" w:rsidP="001862C7">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862C7" w:rsidRPr="00B57F51" w:rsidRDefault="001862C7" w:rsidP="00956EAB">
            <w:pPr>
              <w:jc w:val="left"/>
              <w:rPr>
                <w:rFonts w:ascii="Arial Narrow" w:hAnsi="Arial Narrow"/>
                <w:sz w:val="20"/>
              </w:rPr>
            </w:pPr>
            <w:r w:rsidRPr="00B57F51">
              <w:rPr>
                <w:rFonts w:ascii="Arial Narrow" w:hAnsi="Arial Narrow"/>
                <w:sz w:val="20"/>
              </w:rPr>
              <w:t>The condition must not be adequately controlled by calcium</w:t>
            </w:r>
          </w:p>
          <w:p w:rsidR="001862C7" w:rsidRPr="00B57F51" w:rsidRDefault="001862C7" w:rsidP="00956EAB">
            <w:pPr>
              <w:jc w:val="left"/>
              <w:rPr>
                <w:rFonts w:ascii="Arial Narrow" w:hAnsi="Arial Narrow"/>
                <w:sz w:val="20"/>
              </w:rPr>
            </w:pPr>
          </w:p>
          <w:p w:rsidR="001862C7" w:rsidRPr="00B57F51" w:rsidRDefault="001862C7" w:rsidP="00956EAB">
            <w:pPr>
              <w:jc w:val="left"/>
              <w:rPr>
                <w:rFonts w:ascii="Arial Narrow" w:hAnsi="Arial Narrow"/>
                <w:sz w:val="20"/>
              </w:rPr>
            </w:pPr>
            <w:r w:rsidRPr="00B57F51">
              <w:rPr>
                <w:rFonts w:ascii="Arial Narrow" w:hAnsi="Arial Narrow"/>
                <w:sz w:val="20"/>
              </w:rPr>
              <w:t>AND</w:t>
            </w:r>
          </w:p>
          <w:p w:rsidR="001862C7" w:rsidRPr="00B57F51" w:rsidRDefault="001862C7" w:rsidP="00956EAB">
            <w:pPr>
              <w:jc w:val="left"/>
              <w:rPr>
                <w:rFonts w:ascii="Arial Narrow" w:hAnsi="Arial Narrow"/>
                <w:sz w:val="20"/>
              </w:rPr>
            </w:pPr>
          </w:p>
          <w:p w:rsidR="001862C7" w:rsidRPr="00B57F51" w:rsidRDefault="001862C7" w:rsidP="00956EAB">
            <w:pPr>
              <w:jc w:val="left"/>
              <w:rPr>
                <w:rFonts w:ascii="Arial Narrow" w:hAnsi="Arial Narrow"/>
                <w:sz w:val="20"/>
              </w:rPr>
            </w:pPr>
            <w:r w:rsidRPr="00B57F51">
              <w:rPr>
                <w:rFonts w:ascii="Arial Narrow" w:hAnsi="Arial Narrow"/>
                <w:sz w:val="20"/>
              </w:rPr>
              <w:t>The patient must have serum phosphate greater than1.6 mmol per L at the commencement of therapy</w:t>
            </w:r>
          </w:p>
          <w:p w:rsidR="001862C7" w:rsidRPr="00B57F51" w:rsidRDefault="001862C7" w:rsidP="00956EAB">
            <w:pPr>
              <w:jc w:val="left"/>
              <w:rPr>
                <w:rFonts w:ascii="Arial Narrow" w:hAnsi="Arial Narrow"/>
                <w:sz w:val="20"/>
              </w:rPr>
            </w:pPr>
          </w:p>
          <w:p w:rsidR="001862C7" w:rsidRPr="00B57F51" w:rsidRDefault="001862C7" w:rsidP="00956EAB">
            <w:pPr>
              <w:jc w:val="left"/>
              <w:rPr>
                <w:rFonts w:ascii="Arial Narrow" w:hAnsi="Arial Narrow"/>
                <w:sz w:val="20"/>
              </w:rPr>
            </w:pPr>
            <w:r w:rsidRPr="00B57F51">
              <w:rPr>
                <w:rFonts w:ascii="Arial Narrow" w:hAnsi="Arial Narrow"/>
                <w:sz w:val="20"/>
              </w:rPr>
              <w:t>OR</w:t>
            </w:r>
          </w:p>
          <w:p w:rsidR="001862C7" w:rsidRPr="00B57F51" w:rsidRDefault="001862C7" w:rsidP="00956EAB">
            <w:pPr>
              <w:jc w:val="left"/>
              <w:rPr>
                <w:rFonts w:ascii="Arial Narrow" w:hAnsi="Arial Narrow"/>
                <w:sz w:val="20"/>
              </w:rPr>
            </w:pPr>
          </w:p>
          <w:p w:rsidR="00600EC6" w:rsidRPr="00B57F51" w:rsidRDefault="00600EC6" w:rsidP="00600EC6">
            <w:pPr>
              <w:jc w:val="left"/>
              <w:rPr>
                <w:rFonts w:ascii="Arial Narrow" w:hAnsi="Arial Narrow"/>
                <w:sz w:val="20"/>
              </w:rPr>
            </w:pPr>
            <w:r w:rsidRPr="00B57F51">
              <w:rPr>
                <w:rFonts w:ascii="Arial Narrow" w:hAnsi="Arial Narrow"/>
                <w:sz w:val="20"/>
              </w:rPr>
              <w:t xml:space="preserve">The </w:t>
            </w:r>
            <w:r>
              <w:rPr>
                <w:rFonts w:ascii="Arial Narrow" w:hAnsi="Arial Narrow"/>
                <w:sz w:val="20"/>
              </w:rPr>
              <w:t xml:space="preserve">condition must be where </w:t>
            </w:r>
            <w:r w:rsidRPr="00B57F51">
              <w:rPr>
                <w:rFonts w:ascii="Arial Narrow" w:hAnsi="Arial Narrow"/>
                <w:sz w:val="20"/>
              </w:rPr>
              <w:t xml:space="preserve">a serum calcium times phosphate product </w:t>
            </w:r>
            <w:r>
              <w:rPr>
                <w:rFonts w:ascii="Arial Narrow" w:hAnsi="Arial Narrow"/>
                <w:sz w:val="20"/>
              </w:rPr>
              <w:t>is greater than 4</w:t>
            </w:r>
            <w:r w:rsidRPr="00B57F51">
              <w:rPr>
                <w:rFonts w:ascii="Arial Narrow" w:hAnsi="Arial Narrow"/>
                <w:sz w:val="20"/>
              </w:rPr>
              <w:t xml:space="preserve"> at the commencement of therapy</w:t>
            </w:r>
          </w:p>
          <w:p w:rsidR="001862C7" w:rsidRPr="00B57F51" w:rsidRDefault="001862C7" w:rsidP="00956EAB">
            <w:pPr>
              <w:jc w:val="left"/>
              <w:rPr>
                <w:rFonts w:ascii="Arial Narrow" w:hAnsi="Arial Narrow"/>
                <w:sz w:val="20"/>
              </w:rPr>
            </w:pPr>
          </w:p>
          <w:p w:rsidR="001862C7" w:rsidRPr="00B57F51" w:rsidRDefault="001862C7" w:rsidP="00956EAB">
            <w:pPr>
              <w:jc w:val="left"/>
              <w:rPr>
                <w:rFonts w:ascii="Arial Narrow" w:hAnsi="Arial Narrow"/>
                <w:sz w:val="20"/>
              </w:rPr>
            </w:pPr>
            <w:r w:rsidRPr="00B57F51">
              <w:rPr>
                <w:rFonts w:ascii="Arial Narrow" w:hAnsi="Arial Narrow"/>
                <w:sz w:val="20"/>
              </w:rPr>
              <w:t>AND</w:t>
            </w:r>
          </w:p>
          <w:p w:rsidR="001862C7" w:rsidRPr="00B57F51" w:rsidRDefault="001862C7" w:rsidP="00956EAB">
            <w:pPr>
              <w:jc w:val="left"/>
              <w:rPr>
                <w:rFonts w:ascii="Arial Narrow" w:hAnsi="Arial Narrow"/>
                <w:sz w:val="20"/>
              </w:rPr>
            </w:pPr>
          </w:p>
          <w:p w:rsidR="001862C7" w:rsidRPr="001862C7" w:rsidRDefault="001862C7" w:rsidP="00956EAB">
            <w:pPr>
              <w:rPr>
                <w:rFonts w:ascii="Arial Narrow" w:hAnsi="Arial Narrow"/>
                <w:sz w:val="20"/>
              </w:rPr>
            </w:pPr>
            <w:r w:rsidRPr="001862C7">
              <w:rPr>
                <w:rFonts w:ascii="Arial Narrow" w:hAnsi="Arial Narrow"/>
                <w:sz w:val="20"/>
              </w:rPr>
              <w:t>The treatment must not be used in combination with any other phosphate binding agents.</w:t>
            </w:r>
          </w:p>
          <w:p w:rsidR="001862C7" w:rsidRPr="00260CE3" w:rsidRDefault="001862C7" w:rsidP="00956EAB">
            <w:pPr>
              <w:rPr>
                <w:rFonts w:ascii="Arial Narrow" w:hAnsi="Arial Narrow"/>
                <w:sz w:val="20"/>
              </w:rPr>
            </w:pP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Population criteria:</w:t>
            </w:r>
          </w:p>
          <w:p w:rsidR="001862C7" w:rsidRPr="00260CE3" w:rsidRDefault="001862C7" w:rsidP="00956EAB">
            <w:pPr>
              <w:rPr>
                <w:rFonts w:ascii="Arial Narrow" w:hAnsi="Arial Narrow"/>
                <w:i/>
                <w:sz w:val="20"/>
              </w:rPr>
            </w:pPr>
          </w:p>
          <w:p w:rsidR="001862C7" w:rsidRPr="00260CE3" w:rsidRDefault="001862C7" w:rsidP="00956EA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Foreword</w:t>
            </w:r>
          </w:p>
          <w:p w:rsidR="001862C7" w:rsidRPr="00260CE3" w:rsidRDefault="001862C7" w:rsidP="00956EA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Definitions</w:t>
            </w:r>
          </w:p>
          <w:p w:rsidR="001862C7" w:rsidRPr="00260CE3" w:rsidRDefault="001862C7" w:rsidP="00956EA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Prescriber Instructions</w:t>
            </w:r>
          </w:p>
          <w:p w:rsidR="001862C7" w:rsidRPr="00260CE3" w:rsidRDefault="001862C7" w:rsidP="00956EA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Administrative Advice</w:t>
            </w:r>
          </w:p>
          <w:p w:rsidR="001862C7" w:rsidRPr="00260CE3" w:rsidRDefault="001862C7" w:rsidP="00956EA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Cautions</w:t>
            </w:r>
          </w:p>
          <w:p w:rsidR="001862C7" w:rsidRPr="00260CE3" w:rsidRDefault="001862C7" w:rsidP="00956EA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w:t>
            </w:r>
          </w:p>
        </w:tc>
      </w:tr>
    </w:tbl>
    <w:p w:rsidR="0076590B" w:rsidRDefault="0076590B" w:rsidP="0076590B"/>
    <w:tbl>
      <w:tblPr>
        <w:tblW w:w="9214" w:type="dxa"/>
        <w:tblInd w:w="108" w:type="dxa"/>
        <w:tblLayout w:type="fixed"/>
        <w:tblLook w:val="0000" w:firstRow="0" w:lastRow="0" w:firstColumn="0" w:lastColumn="0" w:noHBand="0" w:noVBand="0"/>
      </w:tblPr>
      <w:tblGrid>
        <w:gridCol w:w="2835"/>
        <w:gridCol w:w="426"/>
        <w:gridCol w:w="567"/>
        <w:gridCol w:w="850"/>
        <w:gridCol w:w="1559"/>
        <w:gridCol w:w="1276"/>
        <w:gridCol w:w="1701"/>
      </w:tblGrid>
      <w:tr w:rsidR="00585874" w:rsidRPr="00260CE3" w:rsidTr="00956EAB">
        <w:trPr>
          <w:gridAfter w:val="1"/>
          <w:wAfter w:w="1701" w:type="dxa"/>
          <w:cantSplit/>
          <w:trHeight w:val="471"/>
        </w:trPr>
        <w:tc>
          <w:tcPr>
            <w:tcW w:w="3261" w:type="dxa"/>
            <w:gridSpan w:val="2"/>
            <w:tcBorders>
              <w:bottom w:val="single" w:sz="4" w:space="0" w:color="auto"/>
            </w:tcBorders>
          </w:tcPr>
          <w:p w:rsidR="00585874" w:rsidRPr="00260CE3" w:rsidRDefault="00585874" w:rsidP="00956EAB">
            <w:pPr>
              <w:keepNext/>
              <w:ind w:left="-108"/>
              <w:rPr>
                <w:rFonts w:ascii="Arial Narrow" w:hAnsi="Arial Narrow"/>
                <w:sz w:val="20"/>
              </w:rPr>
            </w:pPr>
            <w:r w:rsidRPr="00260CE3">
              <w:rPr>
                <w:rFonts w:ascii="Arial Narrow" w:hAnsi="Arial Narrow"/>
                <w:sz w:val="20"/>
              </w:rPr>
              <w:t>Name, Restriction,</w:t>
            </w:r>
          </w:p>
          <w:p w:rsidR="00585874" w:rsidRPr="00260CE3" w:rsidRDefault="00585874" w:rsidP="00956EAB">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585874" w:rsidRPr="00260CE3" w:rsidRDefault="00585874" w:rsidP="00956EAB">
            <w:pPr>
              <w:keepNext/>
              <w:ind w:left="-108"/>
              <w:rPr>
                <w:rFonts w:ascii="Arial Narrow" w:hAnsi="Arial Narrow"/>
                <w:sz w:val="20"/>
              </w:rPr>
            </w:pPr>
            <w:r w:rsidRPr="00260CE3">
              <w:rPr>
                <w:rFonts w:ascii="Arial Narrow" w:hAnsi="Arial Narrow"/>
                <w:sz w:val="20"/>
              </w:rPr>
              <w:t>Max.</w:t>
            </w:r>
          </w:p>
          <w:p w:rsidR="00585874" w:rsidRPr="00260CE3" w:rsidRDefault="00585874" w:rsidP="00956EAB">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585874" w:rsidRPr="00260CE3" w:rsidRDefault="00585874" w:rsidP="00956EAB">
            <w:pPr>
              <w:keepNext/>
              <w:ind w:left="-108"/>
              <w:rPr>
                <w:rFonts w:ascii="Arial Narrow" w:hAnsi="Arial Narrow"/>
                <w:sz w:val="20"/>
              </w:rPr>
            </w:pPr>
            <w:r w:rsidRPr="00260CE3">
              <w:rPr>
                <w:rFonts w:ascii="Arial Narrow" w:hAnsi="Arial Narrow"/>
                <w:sz w:val="20"/>
              </w:rPr>
              <w:t>№.of</w:t>
            </w:r>
          </w:p>
          <w:p w:rsidR="00585874" w:rsidRPr="00260CE3" w:rsidRDefault="00585874" w:rsidP="00956EAB">
            <w:pPr>
              <w:keepNext/>
              <w:ind w:left="-108"/>
              <w:rPr>
                <w:rFonts w:ascii="Arial Narrow" w:hAnsi="Arial Narrow"/>
                <w:sz w:val="20"/>
              </w:rPr>
            </w:pPr>
            <w:r w:rsidRPr="00260CE3">
              <w:rPr>
                <w:rFonts w:ascii="Arial Narrow" w:hAnsi="Arial Narrow"/>
                <w:sz w:val="20"/>
              </w:rPr>
              <w:t>Rpts</w:t>
            </w:r>
          </w:p>
        </w:tc>
        <w:tc>
          <w:tcPr>
            <w:tcW w:w="2835" w:type="dxa"/>
            <w:gridSpan w:val="2"/>
            <w:tcBorders>
              <w:bottom w:val="single" w:sz="4" w:space="0" w:color="auto"/>
            </w:tcBorders>
          </w:tcPr>
          <w:p w:rsidR="00585874" w:rsidRPr="00260CE3" w:rsidRDefault="00585874" w:rsidP="00956EAB">
            <w:pPr>
              <w:keepNext/>
              <w:rPr>
                <w:rFonts w:ascii="Arial Narrow" w:hAnsi="Arial Narrow"/>
                <w:sz w:val="20"/>
                <w:lang w:val="fr-FR"/>
              </w:rPr>
            </w:pPr>
            <w:r w:rsidRPr="00260CE3">
              <w:rPr>
                <w:rFonts w:ascii="Arial Narrow" w:hAnsi="Arial Narrow"/>
                <w:sz w:val="20"/>
              </w:rPr>
              <w:t>Proprietary Name and Manufacturer</w:t>
            </w:r>
          </w:p>
        </w:tc>
      </w:tr>
      <w:tr w:rsidR="00585874" w:rsidRPr="00260CE3" w:rsidTr="00956EAB">
        <w:trPr>
          <w:gridAfter w:val="1"/>
          <w:wAfter w:w="1701" w:type="dxa"/>
          <w:cantSplit/>
          <w:trHeight w:val="577"/>
        </w:trPr>
        <w:tc>
          <w:tcPr>
            <w:tcW w:w="3261" w:type="dxa"/>
            <w:gridSpan w:val="2"/>
          </w:tcPr>
          <w:p w:rsidR="00585874" w:rsidRPr="00260CE3" w:rsidRDefault="00585874" w:rsidP="00956EAB">
            <w:pPr>
              <w:keepNext/>
              <w:ind w:left="-108"/>
              <w:rPr>
                <w:rFonts w:ascii="Arial Narrow" w:hAnsi="Arial Narrow"/>
                <w:sz w:val="20"/>
              </w:rPr>
            </w:pPr>
            <w:r>
              <w:rPr>
                <w:rFonts w:ascii="Arial Narrow" w:hAnsi="Arial Narrow"/>
                <w:smallCaps/>
                <w:sz w:val="20"/>
              </w:rPr>
              <w:t xml:space="preserve">sucroferric oxyhydroxide </w:t>
            </w:r>
          </w:p>
          <w:p w:rsidR="00585874" w:rsidRPr="00260CE3" w:rsidRDefault="00585874" w:rsidP="00956EAB">
            <w:pPr>
              <w:keepNext/>
              <w:ind w:left="-108"/>
              <w:rPr>
                <w:rFonts w:ascii="Arial Narrow" w:hAnsi="Arial Narrow"/>
                <w:sz w:val="20"/>
              </w:rPr>
            </w:pPr>
            <w:r>
              <w:rPr>
                <w:rFonts w:ascii="Arial Narrow" w:hAnsi="Arial Narrow"/>
                <w:sz w:val="20"/>
              </w:rPr>
              <w:t>Iron (as sucroferric oxyhydroxide), 500mg tablet: chewable, 90</w:t>
            </w:r>
          </w:p>
        </w:tc>
        <w:tc>
          <w:tcPr>
            <w:tcW w:w="567" w:type="dxa"/>
          </w:tcPr>
          <w:p w:rsidR="00585874" w:rsidRPr="00260CE3" w:rsidRDefault="00585874" w:rsidP="00956EAB">
            <w:pPr>
              <w:keepNext/>
              <w:ind w:left="-108"/>
              <w:rPr>
                <w:rFonts w:ascii="Arial Narrow" w:hAnsi="Arial Narrow"/>
                <w:sz w:val="20"/>
              </w:rPr>
            </w:pPr>
          </w:p>
          <w:p w:rsidR="00585874" w:rsidRPr="00260CE3" w:rsidRDefault="00585874" w:rsidP="00956EAB">
            <w:pPr>
              <w:keepNext/>
              <w:ind w:left="-108"/>
              <w:rPr>
                <w:rFonts w:ascii="Arial Narrow" w:hAnsi="Arial Narrow"/>
                <w:sz w:val="20"/>
              </w:rPr>
            </w:pPr>
            <w:r>
              <w:rPr>
                <w:rFonts w:ascii="Arial Narrow" w:hAnsi="Arial Narrow"/>
                <w:sz w:val="20"/>
              </w:rPr>
              <w:t>1</w:t>
            </w:r>
          </w:p>
        </w:tc>
        <w:tc>
          <w:tcPr>
            <w:tcW w:w="850" w:type="dxa"/>
          </w:tcPr>
          <w:p w:rsidR="00585874" w:rsidRPr="00260CE3" w:rsidRDefault="00585874" w:rsidP="00956EAB">
            <w:pPr>
              <w:keepNext/>
              <w:ind w:left="-108"/>
              <w:rPr>
                <w:rFonts w:ascii="Arial Narrow" w:hAnsi="Arial Narrow"/>
                <w:sz w:val="20"/>
              </w:rPr>
            </w:pPr>
          </w:p>
          <w:p w:rsidR="00585874" w:rsidRPr="00260CE3" w:rsidRDefault="00585874" w:rsidP="00956EAB">
            <w:pPr>
              <w:keepNext/>
              <w:ind w:left="-108"/>
              <w:rPr>
                <w:rFonts w:ascii="Arial Narrow" w:hAnsi="Arial Narrow"/>
                <w:sz w:val="20"/>
              </w:rPr>
            </w:pPr>
            <w:r>
              <w:rPr>
                <w:rFonts w:ascii="Arial Narrow" w:hAnsi="Arial Narrow"/>
                <w:sz w:val="20"/>
              </w:rPr>
              <w:t>5</w:t>
            </w:r>
          </w:p>
        </w:tc>
        <w:tc>
          <w:tcPr>
            <w:tcW w:w="1559" w:type="dxa"/>
          </w:tcPr>
          <w:p w:rsidR="00585874" w:rsidRPr="00260CE3" w:rsidRDefault="00585874" w:rsidP="00956EAB">
            <w:pPr>
              <w:keepNext/>
              <w:rPr>
                <w:rFonts w:ascii="Arial Narrow" w:hAnsi="Arial Narrow"/>
                <w:sz w:val="20"/>
              </w:rPr>
            </w:pPr>
            <w:r>
              <w:rPr>
                <w:rFonts w:ascii="Arial Narrow" w:hAnsi="Arial Narrow"/>
                <w:sz w:val="20"/>
              </w:rPr>
              <w:t>Velphoro</w:t>
            </w:r>
            <w:r>
              <w:rPr>
                <w:rFonts w:ascii="Arial Narrow" w:hAnsi="Arial Narrow"/>
                <w:sz w:val="20"/>
                <w:vertAlign w:val="superscript"/>
              </w:rPr>
              <w:t>®</w:t>
            </w:r>
          </w:p>
        </w:tc>
        <w:tc>
          <w:tcPr>
            <w:tcW w:w="1276" w:type="dxa"/>
          </w:tcPr>
          <w:p w:rsidR="00585874" w:rsidRPr="00260CE3" w:rsidRDefault="00585874" w:rsidP="00956EAB">
            <w:pPr>
              <w:keepNext/>
              <w:rPr>
                <w:rFonts w:ascii="Arial Narrow" w:hAnsi="Arial Narrow"/>
                <w:sz w:val="20"/>
              </w:rPr>
            </w:pPr>
            <w:r>
              <w:rPr>
                <w:rFonts w:ascii="Arial Narrow" w:hAnsi="Arial Narrow"/>
                <w:sz w:val="20"/>
              </w:rPr>
              <w:t>VL</w:t>
            </w:r>
          </w:p>
        </w:tc>
      </w:tr>
      <w:tr w:rsidR="001862C7" w:rsidRPr="00260CE3" w:rsidTr="00956EAB">
        <w:trPr>
          <w:cantSplit/>
          <w:trHeight w:val="360"/>
        </w:trPr>
        <w:tc>
          <w:tcPr>
            <w:tcW w:w="9214" w:type="dxa"/>
            <w:gridSpan w:val="7"/>
            <w:tcBorders>
              <w:bottom w:val="single" w:sz="4" w:space="0" w:color="auto"/>
            </w:tcBorders>
          </w:tcPr>
          <w:p w:rsidR="001862C7" w:rsidRPr="00260CE3" w:rsidRDefault="001862C7" w:rsidP="00956EAB">
            <w:pPr>
              <w:rPr>
                <w:rFonts w:ascii="Arial Narrow" w:hAnsi="Arial Narrow"/>
                <w:sz w:val="20"/>
              </w:rPr>
            </w:pP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 xml:space="preserve">Category / </w:t>
            </w:r>
          </w:p>
          <w:p w:rsidR="001862C7" w:rsidRPr="00260CE3" w:rsidRDefault="001862C7" w:rsidP="00956EAB">
            <w:pPr>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233C00" w:rsidP="00956EAB">
            <w:pPr>
              <w:rPr>
                <w:rFonts w:ascii="Arial Narrow" w:hAnsi="Arial Narrow"/>
                <w:sz w:val="20"/>
              </w:rPr>
            </w:pPr>
            <w:r>
              <w:rPr>
                <w:rFonts w:ascii="Arial Narrow" w:hAnsi="Arial Narrow"/>
                <w:sz w:val="20"/>
              </w:rPr>
              <w:t xml:space="preserve">Section 85 – General Schedule </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00CA7DA3">
              <w:rPr>
                <w:rFonts w:ascii="Arial Narrow" w:hAnsi="Arial Narrow"/>
                <w:sz w:val="20"/>
              </w:rPr>
              <w:fldChar w:fldCharType="begin">
                <w:ffData>
                  <w:name w:val=""/>
                  <w:enabled/>
                  <w:calcOnExit w:val="0"/>
                  <w:checkBox>
                    <w:sizeAuto/>
                    <w:default w:val="1"/>
                  </w:checkBox>
                </w:ffData>
              </w:fldChar>
            </w:r>
            <w:r w:rsidR="00CA7DA3">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00CA7DA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1862C7" w:rsidRPr="00260CE3" w:rsidRDefault="001862C7" w:rsidP="00956EAB">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Hyperphosphataemia</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lastRenderedPageBreak/>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Hyperphosphataemia</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Treatment phase:</w:t>
            </w:r>
          </w:p>
          <w:p w:rsidR="001862C7" w:rsidRPr="00260CE3" w:rsidRDefault="001862C7" w:rsidP="00956EA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CA7DA3" w:rsidP="00956EAB">
            <w:pPr>
              <w:rPr>
                <w:rFonts w:ascii="Arial Narrow" w:hAnsi="Arial Narrow"/>
                <w:sz w:val="20"/>
              </w:rPr>
            </w:pPr>
            <w:r>
              <w:rPr>
                <w:rFonts w:ascii="Arial Narrow" w:hAnsi="Arial Narrow"/>
                <w:sz w:val="20"/>
              </w:rPr>
              <w:t xml:space="preserve">Maintenance </w:t>
            </w:r>
            <w:r w:rsidR="005B7F38">
              <w:rPr>
                <w:rFonts w:ascii="Arial Narrow" w:hAnsi="Arial Narrow"/>
                <w:sz w:val="20"/>
              </w:rPr>
              <w:t>phase following initiation and stabilisation</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1862C7" w:rsidRPr="00260CE3" w:rsidRDefault="001862C7" w:rsidP="00956EAB">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862C7" w:rsidRPr="00106BCF" w:rsidRDefault="001862C7" w:rsidP="00956EAB">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1862C7" w:rsidRPr="00106BCF" w:rsidRDefault="001862C7" w:rsidP="00956EAB">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1862C7" w:rsidRPr="00106BCF" w:rsidRDefault="001862C7" w:rsidP="00956EAB">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1862C7" w:rsidRPr="00106BCF" w:rsidRDefault="001862C7" w:rsidP="00956EAB">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1862C7" w:rsidRPr="00106BCF" w:rsidRDefault="001862C7" w:rsidP="00956EAB">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1862C7" w:rsidRPr="00260CE3" w:rsidRDefault="001862C7" w:rsidP="00956EAB">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C45E44">
              <w:rPr>
                <w:rFonts w:ascii="Arial Narrow" w:hAnsi="Arial Narrow"/>
                <w:sz w:val="20"/>
              </w:rPr>
            </w:r>
            <w:r w:rsidR="00C45E4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1862C7" w:rsidRDefault="001862C7" w:rsidP="00956EAB">
            <w:pPr>
              <w:rPr>
                <w:rFonts w:ascii="Arial Narrow" w:hAnsi="Arial Narrow"/>
                <w:b/>
                <w:sz w:val="20"/>
              </w:rPr>
            </w:pPr>
            <w:r w:rsidRPr="00260CE3">
              <w:rPr>
                <w:rFonts w:ascii="Arial Narrow" w:hAnsi="Arial Narrow"/>
                <w:b/>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sidRPr="00B57F51">
              <w:rPr>
                <w:rFonts w:ascii="Arial Narrow" w:hAnsi="Arial Narrow"/>
                <w:sz w:val="20"/>
              </w:rPr>
              <w:t>Patient must be undergoing dialysis for chronic kidney disease</w:t>
            </w:r>
          </w:p>
          <w:p w:rsidR="001862C7" w:rsidRPr="00260CE3" w:rsidRDefault="001862C7" w:rsidP="00956EAB">
            <w:pPr>
              <w:rPr>
                <w:rFonts w:ascii="Arial Narrow" w:hAnsi="Arial Narrow"/>
                <w:sz w:val="20"/>
              </w:rPr>
            </w:pP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Clinical criteria:</w:t>
            </w:r>
          </w:p>
          <w:p w:rsidR="001862C7" w:rsidRPr="00260CE3" w:rsidRDefault="001862C7" w:rsidP="00956EAB">
            <w:pPr>
              <w:rPr>
                <w:rFonts w:ascii="Arial Narrow" w:hAnsi="Arial Narrow"/>
                <w:i/>
                <w:sz w:val="20"/>
              </w:rPr>
            </w:pPr>
          </w:p>
          <w:p w:rsidR="001862C7" w:rsidRPr="00260CE3" w:rsidRDefault="001862C7" w:rsidP="00CA7DA3">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862C7" w:rsidRPr="00B57F51" w:rsidRDefault="001862C7" w:rsidP="00956EAB">
            <w:pPr>
              <w:jc w:val="left"/>
              <w:rPr>
                <w:rFonts w:ascii="Arial Narrow" w:hAnsi="Arial Narrow"/>
                <w:sz w:val="20"/>
              </w:rPr>
            </w:pPr>
            <w:r w:rsidRPr="00B57F51">
              <w:rPr>
                <w:rFonts w:ascii="Arial Narrow" w:hAnsi="Arial Narrow"/>
                <w:sz w:val="20"/>
              </w:rPr>
              <w:t>The condition must not be adequately controlled by calcium</w:t>
            </w:r>
          </w:p>
          <w:p w:rsidR="001862C7" w:rsidRPr="00B57F51" w:rsidRDefault="001862C7" w:rsidP="00956EAB">
            <w:pPr>
              <w:jc w:val="left"/>
              <w:rPr>
                <w:rFonts w:ascii="Arial Narrow" w:hAnsi="Arial Narrow"/>
                <w:sz w:val="20"/>
              </w:rPr>
            </w:pPr>
          </w:p>
          <w:p w:rsidR="001862C7" w:rsidRPr="00B57F51" w:rsidRDefault="001862C7" w:rsidP="00956EAB">
            <w:pPr>
              <w:jc w:val="left"/>
              <w:rPr>
                <w:rFonts w:ascii="Arial Narrow" w:hAnsi="Arial Narrow"/>
                <w:sz w:val="20"/>
              </w:rPr>
            </w:pPr>
            <w:r w:rsidRPr="00B57F51">
              <w:rPr>
                <w:rFonts w:ascii="Arial Narrow" w:hAnsi="Arial Narrow"/>
                <w:sz w:val="20"/>
              </w:rPr>
              <w:t>AND</w:t>
            </w:r>
          </w:p>
          <w:p w:rsidR="001862C7" w:rsidRPr="00B57F51" w:rsidRDefault="001862C7" w:rsidP="00956EAB">
            <w:pPr>
              <w:jc w:val="left"/>
              <w:rPr>
                <w:rFonts w:ascii="Arial Narrow" w:hAnsi="Arial Narrow"/>
                <w:sz w:val="20"/>
              </w:rPr>
            </w:pPr>
          </w:p>
          <w:p w:rsidR="001862C7" w:rsidRPr="00B57F51" w:rsidRDefault="001862C7" w:rsidP="00956EAB">
            <w:pPr>
              <w:jc w:val="left"/>
              <w:rPr>
                <w:rFonts w:ascii="Arial Narrow" w:hAnsi="Arial Narrow"/>
                <w:sz w:val="20"/>
              </w:rPr>
            </w:pPr>
            <w:r w:rsidRPr="00B57F51">
              <w:rPr>
                <w:rFonts w:ascii="Arial Narrow" w:hAnsi="Arial Narrow"/>
                <w:sz w:val="20"/>
              </w:rPr>
              <w:t>The patient must have serum phosphate greater than1.6 mmol per L at the commencement of therapy</w:t>
            </w:r>
          </w:p>
          <w:p w:rsidR="001862C7" w:rsidRPr="00B57F51" w:rsidRDefault="001862C7" w:rsidP="00956EAB">
            <w:pPr>
              <w:jc w:val="left"/>
              <w:rPr>
                <w:rFonts w:ascii="Arial Narrow" w:hAnsi="Arial Narrow"/>
                <w:sz w:val="20"/>
              </w:rPr>
            </w:pPr>
          </w:p>
          <w:p w:rsidR="001862C7" w:rsidRPr="00B57F51" w:rsidRDefault="001862C7" w:rsidP="00956EAB">
            <w:pPr>
              <w:jc w:val="left"/>
              <w:rPr>
                <w:rFonts w:ascii="Arial Narrow" w:hAnsi="Arial Narrow"/>
                <w:sz w:val="20"/>
              </w:rPr>
            </w:pPr>
            <w:r w:rsidRPr="00B57F51">
              <w:rPr>
                <w:rFonts w:ascii="Arial Narrow" w:hAnsi="Arial Narrow"/>
                <w:sz w:val="20"/>
              </w:rPr>
              <w:t>OR</w:t>
            </w:r>
          </w:p>
          <w:p w:rsidR="001862C7" w:rsidRPr="00B57F51" w:rsidRDefault="001862C7" w:rsidP="00956EAB">
            <w:pPr>
              <w:jc w:val="left"/>
              <w:rPr>
                <w:rFonts w:ascii="Arial Narrow" w:hAnsi="Arial Narrow"/>
                <w:sz w:val="20"/>
              </w:rPr>
            </w:pPr>
          </w:p>
          <w:p w:rsidR="00600EC6" w:rsidRPr="00B57F51" w:rsidRDefault="00600EC6" w:rsidP="00600EC6">
            <w:pPr>
              <w:jc w:val="left"/>
              <w:rPr>
                <w:rFonts w:ascii="Arial Narrow" w:hAnsi="Arial Narrow"/>
                <w:sz w:val="20"/>
              </w:rPr>
            </w:pPr>
            <w:r w:rsidRPr="00B57F51">
              <w:rPr>
                <w:rFonts w:ascii="Arial Narrow" w:hAnsi="Arial Narrow"/>
                <w:sz w:val="20"/>
              </w:rPr>
              <w:t xml:space="preserve">The </w:t>
            </w:r>
            <w:r>
              <w:rPr>
                <w:rFonts w:ascii="Arial Narrow" w:hAnsi="Arial Narrow"/>
                <w:sz w:val="20"/>
              </w:rPr>
              <w:t xml:space="preserve">condition must be where </w:t>
            </w:r>
            <w:r w:rsidRPr="00B57F51">
              <w:rPr>
                <w:rFonts w:ascii="Arial Narrow" w:hAnsi="Arial Narrow"/>
                <w:sz w:val="20"/>
              </w:rPr>
              <w:t xml:space="preserve">a serum calcium times phosphate product </w:t>
            </w:r>
            <w:r>
              <w:rPr>
                <w:rFonts w:ascii="Arial Narrow" w:hAnsi="Arial Narrow"/>
                <w:sz w:val="20"/>
              </w:rPr>
              <w:t>is greater than 4</w:t>
            </w:r>
            <w:r w:rsidRPr="00B57F51">
              <w:rPr>
                <w:rFonts w:ascii="Arial Narrow" w:hAnsi="Arial Narrow"/>
                <w:sz w:val="20"/>
              </w:rPr>
              <w:t xml:space="preserve"> at the commencement of therapy</w:t>
            </w:r>
          </w:p>
          <w:p w:rsidR="001862C7" w:rsidRPr="00B57F51" w:rsidRDefault="001862C7" w:rsidP="00956EAB">
            <w:pPr>
              <w:jc w:val="left"/>
              <w:rPr>
                <w:rFonts w:ascii="Arial Narrow" w:hAnsi="Arial Narrow"/>
                <w:sz w:val="20"/>
              </w:rPr>
            </w:pPr>
          </w:p>
          <w:p w:rsidR="001862C7" w:rsidRPr="00B57F51" w:rsidRDefault="001862C7" w:rsidP="00956EAB">
            <w:pPr>
              <w:jc w:val="left"/>
              <w:rPr>
                <w:rFonts w:ascii="Arial Narrow" w:hAnsi="Arial Narrow"/>
                <w:sz w:val="20"/>
              </w:rPr>
            </w:pPr>
            <w:r w:rsidRPr="00B57F51">
              <w:rPr>
                <w:rFonts w:ascii="Arial Narrow" w:hAnsi="Arial Narrow"/>
                <w:sz w:val="20"/>
              </w:rPr>
              <w:t>AND</w:t>
            </w:r>
          </w:p>
          <w:p w:rsidR="001862C7" w:rsidRPr="00B57F51" w:rsidRDefault="001862C7" w:rsidP="00956EAB">
            <w:pPr>
              <w:jc w:val="left"/>
              <w:rPr>
                <w:rFonts w:ascii="Arial Narrow" w:hAnsi="Arial Narrow"/>
                <w:sz w:val="20"/>
              </w:rPr>
            </w:pPr>
          </w:p>
          <w:p w:rsidR="001862C7" w:rsidRPr="001862C7" w:rsidRDefault="001862C7" w:rsidP="00956EAB">
            <w:pPr>
              <w:rPr>
                <w:rFonts w:ascii="Arial Narrow" w:hAnsi="Arial Narrow"/>
                <w:sz w:val="20"/>
              </w:rPr>
            </w:pPr>
            <w:r w:rsidRPr="001862C7">
              <w:rPr>
                <w:rFonts w:ascii="Arial Narrow" w:hAnsi="Arial Narrow"/>
                <w:sz w:val="20"/>
              </w:rPr>
              <w:t>The treatment must not be used in combination with any other phosphate binding agents.</w:t>
            </w:r>
          </w:p>
          <w:p w:rsidR="001862C7" w:rsidRPr="00260CE3" w:rsidRDefault="001862C7" w:rsidP="00956EAB">
            <w:pPr>
              <w:rPr>
                <w:rFonts w:ascii="Arial Narrow" w:hAnsi="Arial Narrow"/>
                <w:sz w:val="20"/>
              </w:rPr>
            </w:pP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33C00" w:rsidRDefault="001862C7" w:rsidP="00956EAB">
            <w:pPr>
              <w:rPr>
                <w:rFonts w:ascii="Arial Narrow" w:hAnsi="Arial Narrow"/>
                <w:b/>
                <w:sz w:val="20"/>
              </w:rPr>
            </w:pPr>
            <w:r w:rsidRPr="00260CE3">
              <w:rPr>
                <w:rFonts w:ascii="Arial Narrow" w:hAnsi="Arial Narrow"/>
                <w:b/>
                <w:sz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33C00" w:rsidRDefault="001862C7" w:rsidP="00956EAB">
            <w:pPr>
              <w:rPr>
                <w:rFonts w:ascii="Arial Narrow" w:hAnsi="Arial Narrow"/>
                <w:b/>
                <w:sz w:val="20"/>
              </w:rPr>
            </w:pPr>
            <w:r w:rsidRPr="00260CE3">
              <w:rPr>
                <w:rFonts w:ascii="Arial Narrow" w:hAnsi="Arial Narrow"/>
                <w:b/>
                <w:sz w:val="20"/>
              </w:rPr>
              <w:t>Foreword</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33C00" w:rsidRDefault="001862C7" w:rsidP="00956EAB">
            <w:pPr>
              <w:rPr>
                <w:rFonts w:ascii="Arial Narrow" w:hAnsi="Arial Narrow"/>
                <w:b/>
                <w:sz w:val="20"/>
              </w:rPr>
            </w:pPr>
            <w:r w:rsidRPr="00260CE3">
              <w:rPr>
                <w:rFonts w:ascii="Arial Narrow" w:hAnsi="Arial Narrow"/>
                <w:b/>
                <w:sz w:val="20"/>
              </w:rPr>
              <w:t>Definitions</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33C00" w:rsidRDefault="001862C7" w:rsidP="00956EAB">
            <w:pPr>
              <w:rPr>
                <w:rFonts w:ascii="Arial Narrow" w:hAnsi="Arial Narrow"/>
                <w:b/>
                <w:sz w:val="20"/>
              </w:rPr>
            </w:pPr>
            <w:r w:rsidRPr="00260CE3">
              <w:rPr>
                <w:rFonts w:ascii="Arial Narrow" w:hAnsi="Arial Narrow"/>
                <w:b/>
                <w:sz w:val="20"/>
              </w:rPr>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b/>
                <w:sz w:val="20"/>
              </w:rPr>
            </w:pPr>
            <w:r w:rsidRPr="00260CE3">
              <w:rPr>
                <w:rFonts w:ascii="Arial Narrow" w:hAnsi="Arial Narrow"/>
                <w:b/>
                <w:sz w:val="20"/>
              </w:rPr>
              <w:t>Administrative Advice</w:t>
            </w:r>
          </w:p>
          <w:p w:rsidR="001862C7" w:rsidRPr="00260CE3" w:rsidRDefault="001862C7" w:rsidP="00956EAB">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CA7DA3" w:rsidRPr="0022214F" w:rsidRDefault="00CA7DA3" w:rsidP="00CA7DA3">
            <w:pPr>
              <w:rPr>
                <w:rFonts w:ascii="Arial Narrow" w:hAnsi="Arial Narrow"/>
                <w:sz w:val="20"/>
                <w:u w:val="single"/>
              </w:rPr>
            </w:pPr>
            <w:r w:rsidRPr="0022214F">
              <w:rPr>
                <w:rFonts w:ascii="Arial Narrow" w:hAnsi="Arial Narrow"/>
                <w:sz w:val="20"/>
                <w:u w:val="single"/>
              </w:rPr>
              <w:t>Note</w:t>
            </w:r>
          </w:p>
          <w:p w:rsidR="00CA7DA3" w:rsidRPr="0022214F" w:rsidRDefault="00CA7DA3" w:rsidP="00CA7DA3">
            <w:pPr>
              <w:rPr>
                <w:rFonts w:ascii="Arial Narrow" w:hAnsi="Arial Narrow"/>
                <w:sz w:val="20"/>
              </w:rPr>
            </w:pPr>
            <w:r w:rsidRPr="0022214F">
              <w:rPr>
                <w:rFonts w:ascii="Arial Narrow" w:hAnsi="Arial Narrow"/>
                <w:sz w:val="20"/>
              </w:rPr>
              <w:t xml:space="preserve">Shared care model: </w:t>
            </w:r>
          </w:p>
          <w:p w:rsidR="001862C7" w:rsidRPr="00260CE3" w:rsidRDefault="00CA7DA3" w:rsidP="00CA7DA3">
            <w:pPr>
              <w:rPr>
                <w:rFonts w:ascii="Arial Narrow" w:hAnsi="Arial Narrow"/>
                <w:sz w:val="20"/>
              </w:rPr>
            </w:pPr>
            <w:r w:rsidRPr="00734FE8">
              <w:rPr>
                <w:rFonts w:ascii="Arial Narrow" w:hAnsi="Arial Narrow"/>
                <w:sz w:val="20"/>
              </w:rPr>
              <w:t>For prescribing by nurse practitioners where care of a patient is shared between a nurse practitioner and medical practitioner in a formalised arrangement with an agreed management plan. Further information can be found in the Explanator</w:t>
            </w:r>
            <w:r>
              <w:rPr>
                <w:rFonts w:ascii="Arial Narrow" w:hAnsi="Arial Narrow"/>
                <w:sz w:val="20"/>
              </w:rPr>
              <w:t>y Notes for Nurse Practitioners</w:t>
            </w:r>
            <w:r w:rsidRPr="0022214F">
              <w:rPr>
                <w:rFonts w:ascii="Arial Narrow" w:hAnsi="Arial Narrow"/>
                <w:sz w:val="20"/>
              </w:rPr>
              <w:t>.</w:t>
            </w:r>
          </w:p>
        </w:tc>
      </w:tr>
      <w:tr w:rsidR="001862C7" w:rsidRPr="00260CE3" w:rsidTr="00956EAB">
        <w:trPr>
          <w:cantSplit/>
          <w:trHeight w:val="360"/>
        </w:trPr>
        <w:tc>
          <w:tcPr>
            <w:tcW w:w="2835" w:type="dxa"/>
            <w:tcBorders>
              <w:top w:val="single" w:sz="4" w:space="0" w:color="auto"/>
              <w:left w:val="single" w:sz="4" w:space="0" w:color="auto"/>
              <w:bottom w:val="single" w:sz="4" w:space="0" w:color="auto"/>
              <w:right w:val="single" w:sz="4" w:space="0" w:color="auto"/>
            </w:tcBorders>
          </w:tcPr>
          <w:p w:rsidR="001862C7" w:rsidRPr="00233C00" w:rsidRDefault="001862C7" w:rsidP="00956EAB">
            <w:pPr>
              <w:rPr>
                <w:rFonts w:ascii="Arial Narrow" w:hAnsi="Arial Narrow"/>
                <w:b/>
                <w:sz w:val="20"/>
              </w:rPr>
            </w:pPr>
            <w:r w:rsidRPr="00260CE3">
              <w:rPr>
                <w:rFonts w:ascii="Arial Narrow" w:hAnsi="Arial Narrow"/>
                <w:b/>
                <w:sz w:val="20"/>
              </w:rPr>
              <w:t>Cautions</w:t>
            </w:r>
          </w:p>
        </w:tc>
        <w:tc>
          <w:tcPr>
            <w:tcW w:w="6379" w:type="dxa"/>
            <w:gridSpan w:val="6"/>
            <w:tcBorders>
              <w:top w:val="single" w:sz="4" w:space="0" w:color="auto"/>
              <w:left w:val="single" w:sz="4" w:space="0" w:color="auto"/>
              <w:bottom w:val="single" w:sz="4" w:space="0" w:color="auto"/>
              <w:right w:val="single" w:sz="4" w:space="0" w:color="auto"/>
            </w:tcBorders>
          </w:tcPr>
          <w:p w:rsidR="001862C7" w:rsidRPr="00260CE3" w:rsidRDefault="001862C7" w:rsidP="00956EAB">
            <w:pPr>
              <w:rPr>
                <w:rFonts w:ascii="Arial Narrow" w:hAnsi="Arial Narrow"/>
                <w:sz w:val="20"/>
              </w:rPr>
            </w:pPr>
            <w:r>
              <w:rPr>
                <w:rFonts w:ascii="Arial Narrow" w:hAnsi="Arial Narrow"/>
                <w:sz w:val="20"/>
              </w:rPr>
              <w:t>-</w:t>
            </w:r>
          </w:p>
        </w:tc>
      </w:tr>
    </w:tbl>
    <w:p w:rsidR="0076590B" w:rsidRDefault="0076590B" w:rsidP="0076590B"/>
    <w:p w:rsidR="00B31CFF" w:rsidRDefault="00B31CFF" w:rsidP="00B31CFF">
      <w:pPr>
        <w:pStyle w:val="Header"/>
        <w:widowControl/>
        <w:numPr>
          <w:ilvl w:val="1"/>
          <w:numId w:val="8"/>
        </w:numPr>
        <w:tabs>
          <w:tab w:val="clear" w:pos="4513"/>
          <w:tab w:val="clear" w:pos="9026"/>
        </w:tabs>
      </w:pPr>
      <w:r w:rsidRPr="00B31CFF">
        <w:rPr>
          <w:szCs w:val="22"/>
        </w:rPr>
        <w:t>Amend</w:t>
      </w:r>
      <w:r>
        <w:t xml:space="preserve"> r</w:t>
      </w:r>
      <w:r w:rsidR="00C33323">
        <w:t>e</w:t>
      </w:r>
      <w:r>
        <w:t>strictions for sevelamer and lanthanum from legacy format and include note “</w:t>
      </w:r>
      <w:r w:rsidRPr="00B31CFF">
        <w:t>The treatment must not be used in combination with any other phosphate binding agents</w:t>
      </w:r>
      <w:r>
        <w:t>”</w:t>
      </w:r>
      <w:r w:rsidRPr="00B31CFF">
        <w:t>.</w:t>
      </w:r>
    </w:p>
    <w:p w:rsidR="0076590B" w:rsidRDefault="0076590B" w:rsidP="0076590B"/>
    <w:p w:rsidR="00640FEB" w:rsidRPr="006D6EC7" w:rsidRDefault="00640FEB" w:rsidP="0076590B"/>
    <w:p w:rsidR="005B4E0E" w:rsidRDefault="005B4E0E" w:rsidP="005B4E0E">
      <w:pPr>
        <w:pStyle w:val="ListParagraph"/>
        <w:widowControl/>
        <w:numPr>
          <w:ilvl w:val="0"/>
          <w:numId w:val="8"/>
        </w:numPr>
        <w:rPr>
          <w:b/>
        </w:rPr>
      </w:pPr>
      <w:r w:rsidRPr="00D4420F">
        <w:rPr>
          <w:b/>
        </w:rPr>
        <w:t>Context for Decision</w:t>
      </w:r>
    </w:p>
    <w:p w:rsidR="005B4E0E" w:rsidRPr="00D4420F" w:rsidRDefault="005B4E0E" w:rsidP="005B4E0E">
      <w:pPr>
        <w:pStyle w:val="ListParagraph"/>
        <w:rPr>
          <w:b/>
        </w:rPr>
      </w:pPr>
    </w:p>
    <w:p w:rsidR="005B4E0E" w:rsidRPr="00D4420F" w:rsidRDefault="005B4E0E" w:rsidP="005B4E0E">
      <w:pPr>
        <w:ind w:left="720"/>
      </w:pPr>
      <w:r w:rsidRPr="00D4420F">
        <w:t xml:space="preserve">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w:t>
      </w:r>
      <w:r w:rsidRPr="00D4420F">
        <w:lastRenderedPageBreak/>
        <w:t>or seek independent review of the PBAC decision.</w:t>
      </w:r>
    </w:p>
    <w:p w:rsidR="005B4E0E" w:rsidRDefault="005B4E0E" w:rsidP="005B4E0E"/>
    <w:p w:rsidR="00640FEB" w:rsidRPr="00D4420F" w:rsidRDefault="00640FEB" w:rsidP="005B4E0E"/>
    <w:p w:rsidR="005B4E0E" w:rsidRDefault="005B4E0E" w:rsidP="005B4E0E">
      <w:pPr>
        <w:pStyle w:val="ListParagraph"/>
        <w:widowControl/>
        <w:numPr>
          <w:ilvl w:val="0"/>
          <w:numId w:val="8"/>
        </w:numPr>
        <w:rPr>
          <w:b/>
        </w:rPr>
      </w:pPr>
      <w:r w:rsidRPr="00D4420F">
        <w:rPr>
          <w:b/>
        </w:rPr>
        <w:t>Sponsor’s Comment</w:t>
      </w:r>
    </w:p>
    <w:p w:rsidR="00C33323" w:rsidRPr="00640FEB" w:rsidRDefault="00C33323" w:rsidP="00640FEB">
      <w:pPr>
        <w:ind w:left="720"/>
      </w:pPr>
    </w:p>
    <w:p w:rsidR="00640FEB" w:rsidRPr="00640FEB" w:rsidRDefault="00640FEB" w:rsidP="00640FEB">
      <w:pPr>
        <w:ind w:left="720"/>
      </w:pPr>
      <w:r w:rsidRPr="00640FEB">
        <w:t xml:space="preserve">Fresenius Medical Care welcomes the PBAC recommendation for the listing of Velphoro®.  </w:t>
      </w:r>
    </w:p>
    <w:sectPr w:rsidR="00640FEB" w:rsidRPr="00640FEB" w:rsidSect="00B73618">
      <w:headerReference w:type="default" r:id="rId9"/>
      <w:footerReference w:type="default" r:id="rId10"/>
      <w:footnotePr>
        <w:pos w:val="beneathText"/>
        <w:numRestart w:val="eachPage"/>
      </w:footnotePr>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2FE" w:rsidRDefault="002872FE" w:rsidP="00124A51">
      <w:r>
        <w:separator/>
      </w:r>
    </w:p>
  </w:endnote>
  <w:endnote w:type="continuationSeparator" w:id="0">
    <w:p w:rsidR="002872FE" w:rsidRDefault="002872FE"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829378"/>
      <w:docPartObj>
        <w:docPartGallery w:val="Page Numbers (Bottom of Page)"/>
        <w:docPartUnique/>
      </w:docPartObj>
    </w:sdtPr>
    <w:sdtEndPr>
      <w:rPr>
        <w:noProof/>
      </w:rPr>
    </w:sdtEndPr>
    <w:sdtContent>
      <w:p w:rsidR="00C5120E" w:rsidRDefault="00C5120E" w:rsidP="00C5120E">
        <w:pPr>
          <w:pStyle w:val="Footer"/>
          <w:jc w:val="center"/>
        </w:pPr>
      </w:p>
      <w:p w:rsidR="00652FFF" w:rsidRDefault="00652FFF" w:rsidP="00C5120E">
        <w:pPr>
          <w:pStyle w:val="Footer"/>
          <w:jc w:val="center"/>
        </w:pPr>
        <w:r>
          <w:fldChar w:fldCharType="begin"/>
        </w:r>
        <w:r>
          <w:instrText xml:space="preserve"> PAGE   \* MERGEFORMAT </w:instrText>
        </w:r>
        <w:r>
          <w:fldChar w:fldCharType="separate"/>
        </w:r>
        <w:r w:rsidR="00C45E4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2FE" w:rsidRDefault="002872FE" w:rsidP="00124A51">
      <w:r>
        <w:separator/>
      </w:r>
    </w:p>
  </w:footnote>
  <w:footnote w:type="continuationSeparator" w:id="0">
    <w:p w:rsidR="002872FE" w:rsidRDefault="002872FE"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FF" w:rsidRPr="00DF217D" w:rsidRDefault="00652FFF" w:rsidP="00295FED">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2014 </w:t>
    </w:r>
    <w:r w:rsidRPr="00DF217D">
      <w:rPr>
        <w:i/>
        <w:color w:val="808080"/>
      </w:rPr>
      <w:t>PBAC</w:t>
    </w:r>
    <w:r>
      <w:rPr>
        <w:i/>
        <w:color w:val="808080"/>
      </w:rPr>
      <w:t xml:space="preserve"> </w:t>
    </w:r>
    <w:r w:rsidRPr="00DF217D">
      <w:rPr>
        <w:i/>
        <w:color w:val="808080"/>
      </w:rPr>
      <w:t>Meeting</w:t>
    </w:r>
  </w:p>
  <w:p w:rsidR="00652FFF" w:rsidRDefault="00652F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4762CBFE"/>
    <w:lvl w:ilvl="0" w:tplc="04090001">
      <w:start w:val="1"/>
      <w:numFmt w:val="bullet"/>
      <w:lvlText w:val=""/>
      <w:lvlJc w:val="left"/>
      <w:pPr>
        <w:ind w:left="720"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85E5F"/>
    <w:multiLevelType w:val="hybridMultilevel"/>
    <w:tmpl w:val="690EBFA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2E7592C"/>
    <w:multiLevelType w:val="hybridMultilevel"/>
    <w:tmpl w:val="D08E634C"/>
    <w:lvl w:ilvl="0" w:tplc="C0FC225C">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5A04F9A"/>
    <w:multiLevelType w:val="hybridMultilevel"/>
    <w:tmpl w:val="1D6C09F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C2609E5"/>
    <w:multiLevelType w:val="hybridMultilevel"/>
    <w:tmpl w:val="8E7EE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D06323E"/>
    <w:multiLevelType w:val="hybridMultilevel"/>
    <w:tmpl w:val="451A6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7">
    <w:nsid w:val="21840193"/>
    <w:multiLevelType w:val="multilevel"/>
    <w:tmpl w:val="3E4A061E"/>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ascii="Arial" w:hAnsi="Arial" w:cs="Arial" w:hint="default"/>
        <w:i w:val="0"/>
        <w:color w:val="auto"/>
        <w:sz w:val="22"/>
        <w:szCs w:val="22"/>
      </w:rPr>
    </w:lvl>
    <w:lvl w:ilvl="2">
      <w:numFmt w:val="bullet"/>
      <w:lvlText w:val="-"/>
      <w:lvlJc w:val="left"/>
      <w:pPr>
        <w:ind w:left="720" w:hanging="720"/>
      </w:pPr>
      <w:rPr>
        <w:rFonts w:ascii="Arial" w:eastAsia="Times New Roman" w:hAnsi="Arial" w:cs="Arial" w:hint="default"/>
        <w:color w:val="auto"/>
      </w:rPr>
    </w:lvl>
    <w:lvl w:ilvl="3">
      <w:numFmt w:val="bullet"/>
      <w:lvlText w:val="-"/>
      <w:lvlJc w:val="left"/>
      <w:pPr>
        <w:ind w:left="1080" w:hanging="1080"/>
      </w:pPr>
      <w:rPr>
        <w:rFonts w:ascii="Calibri" w:eastAsiaTheme="minorHAnsi" w:hAnsi="Calibri" w:cs="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75244E"/>
    <w:multiLevelType w:val="hybridMultilevel"/>
    <w:tmpl w:val="1FB6EC34"/>
    <w:lvl w:ilvl="0" w:tplc="F488CFD6">
      <w:numFmt w:val="bullet"/>
      <w:lvlText w:val="-"/>
      <w:lvlJc w:val="left"/>
      <w:pPr>
        <w:tabs>
          <w:tab w:val="num" w:pos="1440"/>
        </w:tabs>
        <w:ind w:left="144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A6112FD"/>
    <w:multiLevelType w:val="hybridMultilevel"/>
    <w:tmpl w:val="DC449E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33E34434"/>
    <w:multiLevelType w:val="hybridMultilevel"/>
    <w:tmpl w:val="8F309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A516EF8"/>
    <w:multiLevelType w:val="hybridMultilevel"/>
    <w:tmpl w:val="A8E25652"/>
    <w:lvl w:ilvl="0" w:tplc="6902F65C">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nsid w:val="3A7D1F6A"/>
    <w:multiLevelType w:val="hybridMultilevel"/>
    <w:tmpl w:val="91CCCE62"/>
    <w:lvl w:ilvl="0" w:tplc="0E425610">
      <w:start w:val="1"/>
      <w:numFmt w:val="decimal"/>
      <w:lvlText w:val="%1.1"/>
      <w:lvlJc w:val="left"/>
      <w:pPr>
        <w:ind w:left="1440" w:hanging="360"/>
      </w:pPr>
      <w:rPr>
        <w:rFonts w:hint="default"/>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3B7C34E2"/>
    <w:multiLevelType w:val="hybridMultilevel"/>
    <w:tmpl w:val="FA6A7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5">
    <w:nsid w:val="420B6ECC"/>
    <w:multiLevelType w:val="hybridMultilevel"/>
    <w:tmpl w:val="F9F82FCC"/>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1376186E">
      <w:numFmt w:val="bullet"/>
      <w:lvlText w:val="−"/>
      <w:lvlJc w:val="left"/>
      <w:pPr>
        <w:ind w:left="2160" w:hanging="360"/>
      </w:pPr>
      <w:rPr>
        <w:rFonts w:ascii="Candara" w:eastAsiaTheme="majorEastAsia" w:hAnsi="Candara" w:cstheme="majorBidi"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6">
    <w:nsid w:val="46F73ACD"/>
    <w:multiLevelType w:val="hybridMultilevel"/>
    <w:tmpl w:val="F0C8F3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7AB310A"/>
    <w:multiLevelType w:val="hybridMultilevel"/>
    <w:tmpl w:val="3412F4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nsid w:val="49C3041D"/>
    <w:multiLevelType w:val="hybridMultilevel"/>
    <w:tmpl w:val="E9D656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ACA7D19"/>
    <w:multiLevelType w:val="hybridMultilevel"/>
    <w:tmpl w:val="F7B80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ED00A85"/>
    <w:multiLevelType w:val="hybridMultilevel"/>
    <w:tmpl w:val="35D0E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7A742DE"/>
    <w:multiLevelType w:val="hybridMultilevel"/>
    <w:tmpl w:val="E1D427A8"/>
    <w:lvl w:ilvl="0" w:tplc="4E0EF81C">
      <w:start w:val="5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AE80777"/>
    <w:multiLevelType w:val="hybridMultilevel"/>
    <w:tmpl w:val="289E8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3596831"/>
    <w:multiLevelType w:val="hybridMultilevel"/>
    <w:tmpl w:val="F8126C0E"/>
    <w:lvl w:ilvl="0" w:tplc="0AEE949E">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9">
    <w:nsid w:val="784D033C"/>
    <w:multiLevelType w:val="multilevel"/>
    <w:tmpl w:val="2BB66CE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88423AD"/>
    <w:multiLevelType w:val="hybridMultilevel"/>
    <w:tmpl w:val="D5DCF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2">
    <w:nsid w:val="7F94329D"/>
    <w:multiLevelType w:val="hybridMultilevel"/>
    <w:tmpl w:val="BB042468"/>
    <w:lvl w:ilvl="0" w:tplc="F514CC2E">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3"/>
  </w:num>
  <w:num w:numId="2">
    <w:abstractNumId w:val="16"/>
  </w:num>
  <w:num w:numId="3">
    <w:abstractNumId w:val="24"/>
  </w:num>
  <w:num w:numId="4">
    <w:abstractNumId w:val="14"/>
  </w:num>
  <w:num w:numId="5">
    <w:abstractNumId w:val="18"/>
  </w:num>
  <w:num w:numId="6">
    <w:abstractNumId w:val="13"/>
  </w:num>
  <w:num w:numId="7">
    <w:abstractNumId w:val="0"/>
  </w:num>
  <w:num w:numId="8">
    <w:abstractNumId w:val="29"/>
  </w:num>
  <w:num w:numId="9">
    <w:abstractNumId w:val="15"/>
  </w:num>
  <w:num w:numId="10">
    <w:abstractNumId w:val="26"/>
  </w:num>
  <w:num w:numId="11">
    <w:abstractNumId w:val="32"/>
  </w:num>
  <w:num w:numId="12">
    <w:abstractNumId w:val="11"/>
  </w:num>
  <w:num w:numId="13">
    <w:abstractNumId w:val="27"/>
  </w:num>
  <w:num w:numId="14">
    <w:abstractNumId w:val="30"/>
  </w:num>
  <w:num w:numId="15">
    <w:abstractNumId w:val="25"/>
  </w:num>
  <w:num w:numId="16">
    <w:abstractNumId w:val="8"/>
  </w:num>
  <w:num w:numId="17">
    <w:abstractNumId w:val="13"/>
  </w:num>
  <w:num w:numId="18">
    <w:abstractNumId w:val="12"/>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4"/>
  </w:num>
  <w:num w:numId="22">
    <w:abstractNumId w:val="5"/>
  </w:num>
  <w:num w:numId="23">
    <w:abstractNumId w:val="20"/>
  </w:num>
  <w:num w:numId="24">
    <w:abstractNumId w:val="1"/>
  </w:num>
  <w:num w:numId="25">
    <w:abstractNumId w:val="10"/>
  </w:num>
  <w:num w:numId="26">
    <w:abstractNumId w:val="17"/>
  </w:num>
  <w:num w:numId="27">
    <w:abstractNumId w:val="19"/>
  </w:num>
  <w:num w:numId="28">
    <w:abstractNumId w:val="2"/>
  </w:num>
  <w:num w:numId="29">
    <w:abstractNumId w:val="23"/>
  </w:num>
  <w:num w:numId="30">
    <w:abstractNumId w:val="21"/>
  </w:num>
  <w:num w:numId="31">
    <w:abstractNumId w:val="22"/>
  </w:num>
  <w:num w:numId="32">
    <w:abstractNumId w:val="28"/>
  </w:num>
  <w:num w:numId="33">
    <w:abstractNumId w:val="31"/>
  </w:num>
  <w:num w:numId="34">
    <w:abstractNumId w:val="6"/>
  </w:num>
  <w:num w:numId="3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pos w:val="beneathText"/>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FE0"/>
    <w:rsid w:val="000025D1"/>
    <w:rsid w:val="00003499"/>
    <w:rsid w:val="00006E7D"/>
    <w:rsid w:val="00007869"/>
    <w:rsid w:val="00012283"/>
    <w:rsid w:val="00013247"/>
    <w:rsid w:val="0001399E"/>
    <w:rsid w:val="00015886"/>
    <w:rsid w:val="000162EF"/>
    <w:rsid w:val="00017E01"/>
    <w:rsid w:val="0002225F"/>
    <w:rsid w:val="00023763"/>
    <w:rsid w:val="00025E9A"/>
    <w:rsid w:val="0002606A"/>
    <w:rsid w:val="00026975"/>
    <w:rsid w:val="000270E1"/>
    <w:rsid w:val="00027ABA"/>
    <w:rsid w:val="00027D5E"/>
    <w:rsid w:val="00030F25"/>
    <w:rsid w:val="00032131"/>
    <w:rsid w:val="00032F9F"/>
    <w:rsid w:val="00033E0D"/>
    <w:rsid w:val="00033E2D"/>
    <w:rsid w:val="000342A4"/>
    <w:rsid w:val="00040895"/>
    <w:rsid w:val="0004227B"/>
    <w:rsid w:val="00043C37"/>
    <w:rsid w:val="000441C6"/>
    <w:rsid w:val="000473E0"/>
    <w:rsid w:val="000523D5"/>
    <w:rsid w:val="000527ED"/>
    <w:rsid w:val="00053914"/>
    <w:rsid w:val="000546D7"/>
    <w:rsid w:val="00066401"/>
    <w:rsid w:val="0006714D"/>
    <w:rsid w:val="0006721D"/>
    <w:rsid w:val="0007054E"/>
    <w:rsid w:val="00071248"/>
    <w:rsid w:val="000718D2"/>
    <w:rsid w:val="000720B9"/>
    <w:rsid w:val="0007709A"/>
    <w:rsid w:val="000812CA"/>
    <w:rsid w:val="0008678B"/>
    <w:rsid w:val="00087A86"/>
    <w:rsid w:val="00090AF7"/>
    <w:rsid w:val="00090C7E"/>
    <w:rsid w:val="00094F85"/>
    <w:rsid w:val="00095D8A"/>
    <w:rsid w:val="000A0AFA"/>
    <w:rsid w:val="000A2F46"/>
    <w:rsid w:val="000A4920"/>
    <w:rsid w:val="000A6AE0"/>
    <w:rsid w:val="000B2CDF"/>
    <w:rsid w:val="000B656A"/>
    <w:rsid w:val="000B7DF2"/>
    <w:rsid w:val="000C1DFF"/>
    <w:rsid w:val="000C274D"/>
    <w:rsid w:val="000C2CEB"/>
    <w:rsid w:val="000C385C"/>
    <w:rsid w:val="000D031B"/>
    <w:rsid w:val="000D1BFC"/>
    <w:rsid w:val="000D4308"/>
    <w:rsid w:val="000D5463"/>
    <w:rsid w:val="000D685B"/>
    <w:rsid w:val="000E34CD"/>
    <w:rsid w:val="000E3DBD"/>
    <w:rsid w:val="000E7B75"/>
    <w:rsid w:val="000F1F74"/>
    <w:rsid w:val="000F4006"/>
    <w:rsid w:val="000F4BB8"/>
    <w:rsid w:val="000F52AE"/>
    <w:rsid w:val="000F654C"/>
    <w:rsid w:val="000F7127"/>
    <w:rsid w:val="00100F8A"/>
    <w:rsid w:val="001032CC"/>
    <w:rsid w:val="0011032E"/>
    <w:rsid w:val="00112B4D"/>
    <w:rsid w:val="0011348B"/>
    <w:rsid w:val="00120ABD"/>
    <w:rsid w:val="00121799"/>
    <w:rsid w:val="00121E71"/>
    <w:rsid w:val="001222FC"/>
    <w:rsid w:val="001225FA"/>
    <w:rsid w:val="00124A51"/>
    <w:rsid w:val="00125BB8"/>
    <w:rsid w:val="00125EFB"/>
    <w:rsid w:val="00126621"/>
    <w:rsid w:val="00127A87"/>
    <w:rsid w:val="001301E9"/>
    <w:rsid w:val="00130432"/>
    <w:rsid w:val="00131771"/>
    <w:rsid w:val="00136A89"/>
    <w:rsid w:val="00137645"/>
    <w:rsid w:val="0014015A"/>
    <w:rsid w:val="00140B8E"/>
    <w:rsid w:val="00140E99"/>
    <w:rsid w:val="0014100F"/>
    <w:rsid w:val="0014503C"/>
    <w:rsid w:val="00145540"/>
    <w:rsid w:val="001456B0"/>
    <w:rsid w:val="0015080E"/>
    <w:rsid w:val="00152CEF"/>
    <w:rsid w:val="00156A98"/>
    <w:rsid w:val="00156E1F"/>
    <w:rsid w:val="00157130"/>
    <w:rsid w:val="001575C5"/>
    <w:rsid w:val="00162913"/>
    <w:rsid w:val="00163EFF"/>
    <w:rsid w:val="001646CF"/>
    <w:rsid w:val="00165B50"/>
    <w:rsid w:val="001661FB"/>
    <w:rsid w:val="001702FD"/>
    <w:rsid w:val="00170E67"/>
    <w:rsid w:val="00173327"/>
    <w:rsid w:val="00175034"/>
    <w:rsid w:val="00176B6D"/>
    <w:rsid w:val="00180BE8"/>
    <w:rsid w:val="00181FA7"/>
    <w:rsid w:val="0018541D"/>
    <w:rsid w:val="001862C7"/>
    <w:rsid w:val="0018752F"/>
    <w:rsid w:val="00187917"/>
    <w:rsid w:val="001904BB"/>
    <w:rsid w:val="00191B25"/>
    <w:rsid w:val="00195222"/>
    <w:rsid w:val="00196BF1"/>
    <w:rsid w:val="001975D8"/>
    <w:rsid w:val="0019769C"/>
    <w:rsid w:val="001A02B8"/>
    <w:rsid w:val="001A49D5"/>
    <w:rsid w:val="001B2987"/>
    <w:rsid w:val="001B3443"/>
    <w:rsid w:val="001B38F2"/>
    <w:rsid w:val="001B45BC"/>
    <w:rsid w:val="001B5B58"/>
    <w:rsid w:val="001B67B5"/>
    <w:rsid w:val="001C075A"/>
    <w:rsid w:val="001C2C3F"/>
    <w:rsid w:val="001C3C19"/>
    <w:rsid w:val="001C69B2"/>
    <w:rsid w:val="001C6E66"/>
    <w:rsid w:val="001D2647"/>
    <w:rsid w:val="001E13FA"/>
    <w:rsid w:val="001E238E"/>
    <w:rsid w:val="001E2B1E"/>
    <w:rsid w:val="001E3D6E"/>
    <w:rsid w:val="001E4727"/>
    <w:rsid w:val="001E52EB"/>
    <w:rsid w:val="001E6101"/>
    <w:rsid w:val="001E6768"/>
    <w:rsid w:val="001E6984"/>
    <w:rsid w:val="001E6DB8"/>
    <w:rsid w:val="001E740C"/>
    <w:rsid w:val="001F03BF"/>
    <w:rsid w:val="001F1235"/>
    <w:rsid w:val="001F1CB3"/>
    <w:rsid w:val="001F4EEE"/>
    <w:rsid w:val="001F535A"/>
    <w:rsid w:val="001F6337"/>
    <w:rsid w:val="001F6F52"/>
    <w:rsid w:val="001F7361"/>
    <w:rsid w:val="00201148"/>
    <w:rsid w:val="0020274D"/>
    <w:rsid w:val="0020385F"/>
    <w:rsid w:val="00207021"/>
    <w:rsid w:val="00207D00"/>
    <w:rsid w:val="002105C1"/>
    <w:rsid w:val="00212E76"/>
    <w:rsid w:val="00213351"/>
    <w:rsid w:val="00214602"/>
    <w:rsid w:val="00216154"/>
    <w:rsid w:val="002164AD"/>
    <w:rsid w:val="00220C6B"/>
    <w:rsid w:val="00223B49"/>
    <w:rsid w:val="00224109"/>
    <w:rsid w:val="00224DD4"/>
    <w:rsid w:val="00225EB6"/>
    <w:rsid w:val="002309CC"/>
    <w:rsid w:val="0023194F"/>
    <w:rsid w:val="00233C00"/>
    <w:rsid w:val="002363B3"/>
    <w:rsid w:val="0023651C"/>
    <w:rsid w:val="00242513"/>
    <w:rsid w:val="002467A2"/>
    <w:rsid w:val="0024780F"/>
    <w:rsid w:val="0025164D"/>
    <w:rsid w:val="0025181F"/>
    <w:rsid w:val="00254DCF"/>
    <w:rsid w:val="0025534B"/>
    <w:rsid w:val="00255BB7"/>
    <w:rsid w:val="00257B3B"/>
    <w:rsid w:val="00262A87"/>
    <w:rsid w:val="00263B79"/>
    <w:rsid w:val="00272814"/>
    <w:rsid w:val="00274D0C"/>
    <w:rsid w:val="00275C5A"/>
    <w:rsid w:val="00276CD1"/>
    <w:rsid w:val="00280B14"/>
    <w:rsid w:val="00281014"/>
    <w:rsid w:val="00282B24"/>
    <w:rsid w:val="002872FE"/>
    <w:rsid w:val="00287AEA"/>
    <w:rsid w:val="002912BF"/>
    <w:rsid w:val="002940B0"/>
    <w:rsid w:val="00294472"/>
    <w:rsid w:val="00295FED"/>
    <w:rsid w:val="002970E4"/>
    <w:rsid w:val="002A14AB"/>
    <w:rsid w:val="002A27CE"/>
    <w:rsid w:val="002A2A8C"/>
    <w:rsid w:val="002A5720"/>
    <w:rsid w:val="002A6F9C"/>
    <w:rsid w:val="002B0284"/>
    <w:rsid w:val="002B0524"/>
    <w:rsid w:val="002B1C1F"/>
    <w:rsid w:val="002B432F"/>
    <w:rsid w:val="002B6CCE"/>
    <w:rsid w:val="002B7DE3"/>
    <w:rsid w:val="002C0C34"/>
    <w:rsid w:val="002C1B9E"/>
    <w:rsid w:val="002C2775"/>
    <w:rsid w:val="002C27C1"/>
    <w:rsid w:val="002C2960"/>
    <w:rsid w:val="002C53EA"/>
    <w:rsid w:val="002C6603"/>
    <w:rsid w:val="002C6E83"/>
    <w:rsid w:val="002C7DE9"/>
    <w:rsid w:val="002D01C2"/>
    <w:rsid w:val="002D58A2"/>
    <w:rsid w:val="002E45E3"/>
    <w:rsid w:val="002F03C6"/>
    <w:rsid w:val="002F4393"/>
    <w:rsid w:val="002F7D38"/>
    <w:rsid w:val="00300C56"/>
    <w:rsid w:val="00300D46"/>
    <w:rsid w:val="00301017"/>
    <w:rsid w:val="00301492"/>
    <w:rsid w:val="00304CA1"/>
    <w:rsid w:val="0030786C"/>
    <w:rsid w:val="0031031A"/>
    <w:rsid w:val="00310981"/>
    <w:rsid w:val="00314E84"/>
    <w:rsid w:val="00315498"/>
    <w:rsid w:val="00323EB1"/>
    <w:rsid w:val="0032746A"/>
    <w:rsid w:val="00327554"/>
    <w:rsid w:val="00330D70"/>
    <w:rsid w:val="003346E0"/>
    <w:rsid w:val="003349F5"/>
    <w:rsid w:val="0033597B"/>
    <w:rsid w:val="003366C9"/>
    <w:rsid w:val="003371B0"/>
    <w:rsid w:val="0034454D"/>
    <w:rsid w:val="00345149"/>
    <w:rsid w:val="00346167"/>
    <w:rsid w:val="003463B9"/>
    <w:rsid w:val="00347766"/>
    <w:rsid w:val="003539BA"/>
    <w:rsid w:val="00353C87"/>
    <w:rsid w:val="0035620E"/>
    <w:rsid w:val="003578AB"/>
    <w:rsid w:val="003620F7"/>
    <w:rsid w:val="00370271"/>
    <w:rsid w:val="00371F07"/>
    <w:rsid w:val="00374026"/>
    <w:rsid w:val="00377823"/>
    <w:rsid w:val="00380CE0"/>
    <w:rsid w:val="00380D61"/>
    <w:rsid w:val="003813DB"/>
    <w:rsid w:val="0038365C"/>
    <w:rsid w:val="00396FD0"/>
    <w:rsid w:val="003A1A7A"/>
    <w:rsid w:val="003A44D6"/>
    <w:rsid w:val="003A4EB1"/>
    <w:rsid w:val="003A555A"/>
    <w:rsid w:val="003A65B3"/>
    <w:rsid w:val="003A6F60"/>
    <w:rsid w:val="003B24D4"/>
    <w:rsid w:val="003B2A2A"/>
    <w:rsid w:val="003B470F"/>
    <w:rsid w:val="003C3892"/>
    <w:rsid w:val="003C4F32"/>
    <w:rsid w:val="003D1379"/>
    <w:rsid w:val="003D1828"/>
    <w:rsid w:val="003D2422"/>
    <w:rsid w:val="003D27C7"/>
    <w:rsid w:val="003D3B22"/>
    <w:rsid w:val="003D3F21"/>
    <w:rsid w:val="003E0943"/>
    <w:rsid w:val="003E2722"/>
    <w:rsid w:val="003E5A2A"/>
    <w:rsid w:val="003F4156"/>
    <w:rsid w:val="003F6809"/>
    <w:rsid w:val="00400AD5"/>
    <w:rsid w:val="0040119E"/>
    <w:rsid w:val="00402431"/>
    <w:rsid w:val="004054C9"/>
    <w:rsid w:val="00406BA7"/>
    <w:rsid w:val="00406BD7"/>
    <w:rsid w:val="00406C72"/>
    <w:rsid w:val="0041040A"/>
    <w:rsid w:val="00410708"/>
    <w:rsid w:val="00410EC7"/>
    <w:rsid w:val="00412074"/>
    <w:rsid w:val="00413B7E"/>
    <w:rsid w:val="00414476"/>
    <w:rsid w:val="004153BC"/>
    <w:rsid w:val="00420B9F"/>
    <w:rsid w:val="00420EB5"/>
    <w:rsid w:val="00423D5E"/>
    <w:rsid w:val="004256AA"/>
    <w:rsid w:val="0042796F"/>
    <w:rsid w:val="004319F8"/>
    <w:rsid w:val="00433044"/>
    <w:rsid w:val="00443194"/>
    <w:rsid w:val="004443A7"/>
    <w:rsid w:val="004464EB"/>
    <w:rsid w:val="004500C0"/>
    <w:rsid w:val="004513C4"/>
    <w:rsid w:val="00451E4C"/>
    <w:rsid w:val="00452465"/>
    <w:rsid w:val="00454871"/>
    <w:rsid w:val="004558F6"/>
    <w:rsid w:val="00455D45"/>
    <w:rsid w:val="00456BC7"/>
    <w:rsid w:val="00456BD8"/>
    <w:rsid w:val="00462CFC"/>
    <w:rsid w:val="00463551"/>
    <w:rsid w:val="00464595"/>
    <w:rsid w:val="00467A16"/>
    <w:rsid w:val="0047196D"/>
    <w:rsid w:val="004737F8"/>
    <w:rsid w:val="00476938"/>
    <w:rsid w:val="00477E77"/>
    <w:rsid w:val="004867E2"/>
    <w:rsid w:val="00490601"/>
    <w:rsid w:val="00491B3A"/>
    <w:rsid w:val="004929FC"/>
    <w:rsid w:val="00492CFD"/>
    <w:rsid w:val="004962D2"/>
    <w:rsid w:val="00496A68"/>
    <w:rsid w:val="0049749E"/>
    <w:rsid w:val="00497A28"/>
    <w:rsid w:val="004A0DA1"/>
    <w:rsid w:val="004A25C5"/>
    <w:rsid w:val="004A43E4"/>
    <w:rsid w:val="004A6597"/>
    <w:rsid w:val="004B0606"/>
    <w:rsid w:val="004B1CB4"/>
    <w:rsid w:val="004B2F18"/>
    <w:rsid w:val="004B3DDB"/>
    <w:rsid w:val="004B44FD"/>
    <w:rsid w:val="004B5CFC"/>
    <w:rsid w:val="004C23F2"/>
    <w:rsid w:val="004C302B"/>
    <w:rsid w:val="004C4AED"/>
    <w:rsid w:val="004D2784"/>
    <w:rsid w:val="004D63F9"/>
    <w:rsid w:val="004D7C4A"/>
    <w:rsid w:val="004E0A71"/>
    <w:rsid w:val="004E0EB8"/>
    <w:rsid w:val="004E1EBD"/>
    <w:rsid w:val="004E2ADC"/>
    <w:rsid w:val="004E43B2"/>
    <w:rsid w:val="004E7C8F"/>
    <w:rsid w:val="004F0F8E"/>
    <w:rsid w:val="004F142C"/>
    <w:rsid w:val="004F1D02"/>
    <w:rsid w:val="004F2679"/>
    <w:rsid w:val="004F38CA"/>
    <w:rsid w:val="004F4677"/>
    <w:rsid w:val="004F7865"/>
    <w:rsid w:val="004F7FA1"/>
    <w:rsid w:val="00500161"/>
    <w:rsid w:val="00503F94"/>
    <w:rsid w:val="0050463C"/>
    <w:rsid w:val="00505A62"/>
    <w:rsid w:val="00506928"/>
    <w:rsid w:val="00507104"/>
    <w:rsid w:val="005076B5"/>
    <w:rsid w:val="0051017B"/>
    <w:rsid w:val="00512270"/>
    <w:rsid w:val="005123CE"/>
    <w:rsid w:val="005152B5"/>
    <w:rsid w:val="005152CB"/>
    <w:rsid w:val="00515697"/>
    <w:rsid w:val="00521319"/>
    <w:rsid w:val="00521A45"/>
    <w:rsid w:val="00523C28"/>
    <w:rsid w:val="00531C34"/>
    <w:rsid w:val="00543B94"/>
    <w:rsid w:val="0054419D"/>
    <w:rsid w:val="0055055C"/>
    <w:rsid w:val="00552BD3"/>
    <w:rsid w:val="00552D0D"/>
    <w:rsid w:val="005532D7"/>
    <w:rsid w:val="00555109"/>
    <w:rsid w:val="00557662"/>
    <w:rsid w:val="0056157F"/>
    <w:rsid w:val="00565E76"/>
    <w:rsid w:val="0056696F"/>
    <w:rsid w:val="005726E1"/>
    <w:rsid w:val="005743F2"/>
    <w:rsid w:val="00575D8D"/>
    <w:rsid w:val="00576972"/>
    <w:rsid w:val="00577ECD"/>
    <w:rsid w:val="00581991"/>
    <w:rsid w:val="005823FE"/>
    <w:rsid w:val="0058295C"/>
    <w:rsid w:val="00583699"/>
    <w:rsid w:val="00583D9E"/>
    <w:rsid w:val="00585874"/>
    <w:rsid w:val="00590669"/>
    <w:rsid w:val="00591973"/>
    <w:rsid w:val="00593641"/>
    <w:rsid w:val="00597C39"/>
    <w:rsid w:val="005A1C6E"/>
    <w:rsid w:val="005A3D48"/>
    <w:rsid w:val="005A4C29"/>
    <w:rsid w:val="005A6989"/>
    <w:rsid w:val="005A79DC"/>
    <w:rsid w:val="005B43C2"/>
    <w:rsid w:val="005B4E0E"/>
    <w:rsid w:val="005B5526"/>
    <w:rsid w:val="005B5857"/>
    <w:rsid w:val="005B638A"/>
    <w:rsid w:val="005B73D6"/>
    <w:rsid w:val="005B7F38"/>
    <w:rsid w:val="005C11E5"/>
    <w:rsid w:val="005C1B83"/>
    <w:rsid w:val="005C346B"/>
    <w:rsid w:val="005C720A"/>
    <w:rsid w:val="005C7B6B"/>
    <w:rsid w:val="005D044D"/>
    <w:rsid w:val="005D18AD"/>
    <w:rsid w:val="005D44E2"/>
    <w:rsid w:val="005D542F"/>
    <w:rsid w:val="005D5DD1"/>
    <w:rsid w:val="005E014F"/>
    <w:rsid w:val="005E0D62"/>
    <w:rsid w:val="005E0FB2"/>
    <w:rsid w:val="005E4387"/>
    <w:rsid w:val="005E73C0"/>
    <w:rsid w:val="005F1399"/>
    <w:rsid w:val="005F26E6"/>
    <w:rsid w:val="005F2706"/>
    <w:rsid w:val="005F2FC8"/>
    <w:rsid w:val="005F40D7"/>
    <w:rsid w:val="005F6A8F"/>
    <w:rsid w:val="00600EC6"/>
    <w:rsid w:val="0060213F"/>
    <w:rsid w:val="00604102"/>
    <w:rsid w:val="00607669"/>
    <w:rsid w:val="00612F97"/>
    <w:rsid w:val="00615B3F"/>
    <w:rsid w:val="00616802"/>
    <w:rsid w:val="00617DF4"/>
    <w:rsid w:val="00617E12"/>
    <w:rsid w:val="00621477"/>
    <w:rsid w:val="00624255"/>
    <w:rsid w:val="00631D6B"/>
    <w:rsid w:val="0063205B"/>
    <w:rsid w:val="0063231B"/>
    <w:rsid w:val="006331C8"/>
    <w:rsid w:val="0063479F"/>
    <w:rsid w:val="00635B67"/>
    <w:rsid w:val="006364A1"/>
    <w:rsid w:val="00637BFD"/>
    <w:rsid w:val="00640FEB"/>
    <w:rsid w:val="00642383"/>
    <w:rsid w:val="00642524"/>
    <w:rsid w:val="006471CC"/>
    <w:rsid w:val="0065079F"/>
    <w:rsid w:val="00651111"/>
    <w:rsid w:val="00652FFF"/>
    <w:rsid w:val="006568D7"/>
    <w:rsid w:val="00660286"/>
    <w:rsid w:val="00662543"/>
    <w:rsid w:val="00665445"/>
    <w:rsid w:val="00666794"/>
    <w:rsid w:val="00666BC5"/>
    <w:rsid w:val="00674E42"/>
    <w:rsid w:val="00676EEE"/>
    <w:rsid w:val="00682112"/>
    <w:rsid w:val="006872BA"/>
    <w:rsid w:val="00690D62"/>
    <w:rsid w:val="006917D7"/>
    <w:rsid w:val="006925B1"/>
    <w:rsid w:val="00694F44"/>
    <w:rsid w:val="00695B03"/>
    <w:rsid w:val="006969DD"/>
    <w:rsid w:val="00696A9B"/>
    <w:rsid w:val="00697F2A"/>
    <w:rsid w:val="006A0BCD"/>
    <w:rsid w:val="006A313D"/>
    <w:rsid w:val="006A3B30"/>
    <w:rsid w:val="006B5646"/>
    <w:rsid w:val="006C05B7"/>
    <w:rsid w:val="006C0F91"/>
    <w:rsid w:val="006C1982"/>
    <w:rsid w:val="006C263A"/>
    <w:rsid w:val="006C29B6"/>
    <w:rsid w:val="006C2A8E"/>
    <w:rsid w:val="006C338A"/>
    <w:rsid w:val="006C3F7E"/>
    <w:rsid w:val="006C565F"/>
    <w:rsid w:val="006D0FAD"/>
    <w:rsid w:val="006D2089"/>
    <w:rsid w:val="006D3C7D"/>
    <w:rsid w:val="006D470D"/>
    <w:rsid w:val="006D5D5F"/>
    <w:rsid w:val="006D6341"/>
    <w:rsid w:val="006E0A25"/>
    <w:rsid w:val="006E226C"/>
    <w:rsid w:val="006E6FD2"/>
    <w:rsid w:val="006E7252"/>
    <w:rsid w:val="006F4907"/>
    <w:rsid w:val="006F63A5"/>
    <w:rsid w:val="006F735E"/>
    <w:rsid w:val="007010F0"/>
    <w:rsid w:val="0070276E"/>
    <w:rsid w:val="00702F8F"/>
    <w:rsid w:val="007061F6"/>
    <w:rsid w:val="00707C93"/>
    <w:rsid w:val="0071165C"/>
    <w:rsid w:val="00711A36"/>
    <w:rsid w:val="0071236F"/>
    <w:rsid w:val="00713EEB"/>
    <w:rsid w:val="00713FA2"/>
    <w:rsid w:val="00714D55"/>
    <w:rsid w:val="007155AF"/>
    <w:rsid w:val="00715C5B"/>
    <w:rsid w:val="00715F89"/>
    <w:rsid w:val="007172AD"/>
    <w:rsid w:val="007208F1"/>
    <w:rsid w:val="007213DB"/>
    <w:rsid w:val="00722226"/>
    <w:rsid w:val="007225FD"/>
    <w:rsid w:val="0072416F"/>
    <w:rsid w:val="00724739"/>
    <w:rsid w:val="007265A1"/>
    <w:rsid w:val="00730E37"/>
    <w:rsid w:val="00735328"/>
    <w:rsid w:val="0073685B"/>
    <w:rsid w:val="007403F1"/>
    <w:rsid w:val="007430E5"/>
    <w:rsid w:val="00743B02"/>
    <w:rsid w:val="00743F83"/>
    <w:rsid w:val="00744762"/>
    <w:rsid w:val="0074525E"/>
    <w:rsid w:val="00747A46"/>
    <w:rsid w:val="00753E21"/>
    <w:rsid w:val="00754434"/>
    <w:rsid w:val="0076590B"/>
    <w:rsid w:val="00771A54"/>
    <w:rsid w:val="00772FB8"/>
    <w:rsid w:val="007757B2"/>
    <w:rsid w:val="007815D8"/>
    <w:rsid w:val="007917D4"/>
    <w:rsid w:val="007A0A12"/>
    <w:rsid w:val="007A10E3"/>
    <w:rsid w:val="007A17D1"/>
    <w:rsid w:val="007A2B22"/>
    <w:rsid w:val="007A5474"/>
    <w:rsid w:val="007A64E4"/>
    <w:rsid w:val="007B1C82"/>
    <w:rsid w:val="007B251D"/>
    <w:rsid w:val="007B29EB"/>
    <w:rsid w:val="007B38E7"/>
    <w:rsid w:val="007B63AE"/>
    <w:rsid w:val="007B77D1"/>
    <w:rsid w:val="007C151C"/>
    <w:rsid w:val="007C1FE2"/>
    <w:rsid w:val="007C2180"/>
    <w:rsid w:val="007C361D"/>
    <w:rsid w:val="007C6132"/>
    <w:rsid w:val="007D0B38"/>
    <w:rsid w:val="007E12CF"/>
    <w:rsid w:val="007E3037"/>
    <w:rsid w:val="007E7884"/>
    <w:rsid w:val="007E7ED9"/>
    <w:rsid w:val="007F0F28"/>
    <w:rsid w:val="007F1017"/>
    <w:rsid w:val="007F4A3F"/>
    <w:rsid w:val="007F6537"/>
    <w:rsid w:val="0080167D"/>
    <w:rsid w:val="00803DD7"/>
    <w:rsid w:val="00805142"/>
    <w:rsid w:val="00807A8B"/>
    <w:rsid w:val="008119AB"/>
    <w:rsid w:val="00812149"/>
    <w:rsid w:val="008166EF"/>
    <w:rsid w:val="0081687B"/>
    <w:rsid w:val="008169D0"/>
    <w:rsid w:val="00817077"/>
    <w:rsid w:val="00817DA9"/>
    <w:rsid w:val="00822D7B"/>
    <w:rsid w:val="008264EB"/>
    <w:rsid w:val="0082779F"/>
    <w:rsid w:val="00831115"/>
    <w:rsid w:val="00833B05"/>
    <w:rsid w:val="00835722"/>
    <w:rsid w:val="00836C64"/>
    <w:rsid w:val="00840A8C"/>
    <w:rsid w:val="00840CA2"/>
    <w:rsid w:val="00844028"/>
    <w:rsid w:val="008445D8"/>
    <w:rsid w:val="008505F8"/>
    <w:rsid w:val="00850774"/>
    <w:rsid w:val="00850A1D"/>
    <w:rsid w:val="00850A44"/>
    <w:rsid w:val="00855BC5"/>
    <w:rsid w:val="00855E6C"/>
    <w:rsid w:val="00856E9A"/>
    <w:rsid w:val="00862502"/>
    <w:rsid w:val="00865939"/>
    <w:rsid w:val="0086719D"/>
    <w:rsid w:val="00867496"/>
    <w:rsid w:val="008756C3"/>
    <w:rsid w:val="008758FF"/>
    <w:rsid w:val="00881E19"/>
    <w:rsid w:val="00882874"/>
    <w:rsid w:val="00883787"/>
    <w:rsid w:val="00884D3F"/>
    <w:rsid w:val="00884DCC"/>
    <w:rsid w:val="0088500F"/>
    <w:rsid w:val="00893909"/>
    <w:rsid w:val="00893A24"/>
    <w:rsid w:val="00894489"/>
    <w:rsid w:val="008954EC"/>
    <w:rsid w:val="008963A5"/>
    <w:rsid w:val="00896425"/>
    <w:rsid w:val="008A3C3E"/>
    <w:rsid w:val="008A6359"/>
    <w:rsid w:val="008A6A2A"/>
    <w:rsid w:val="008A79DE"/>
    <w:rsid w:val="008B089B"/>
    <w:rsid w:val="008B6779"/>
    <w:rsid w:val="008B7D7E"/>
    <w:rsid w:val="008C0592"/>
    <w:rsid w:val="008C1C5F"/>
    <w:rsid w:val="008C2CDB"/>
    <w:rsid w:val="008C60E2"/>
    <w:rsid w:val="008C7ECB"/>
    <w:rsid w:val="008D1898"/>
    <w:rsid w:val="008D783A"/>
    <w:rsid w:val="008E04B0"/>
    <w:rsid w:val="008E0629"/>
    <w:rsid w:val="008E1B9E"/>
    <w:rsid w:val="008E24D3"/>
    <w:rsid w:val="008E25EE"/>
    <w:rsid w:val="008E2CE5"/>
    <w:rsid w:val="008E4AA7"/>
    <w:rsid w:val="008E5997"/>
    <w:rsid w:val="008F120A"/>
    <w:rsid w:val="008F13CD"/>
    <w:rsid w:val="008F4588"/>
    <w:rsid w:val="008F48EB"/>
    <w:rsid w:val="008F4F0B"/>
    <w:rsid w:val="008F6327"/>
    <w:rsid w:val="00901659"/>
    <w:rsid w:val="00901FF2"/>
    <w:rsid w:val="009044E5"/>
    <w:rsid w:val="009058B3"/>
    <w:rsid w:val="009062A5"/>
    <w:rsid w:val="00911272"/>
    <w:rsid w:val="009112C0"/>
    <w:rsid w:val="0091146A"/>
    <w:rsid w:val="0091572A"/>
    <w:rsid w:val="00916EB6"/>
    <w:rsid w:val="00923135"/>
    <w:rsid w:val="0094385D"/>
    <w:rsid w:val="00943FC8"/>
    <w:rsid w:val="00944C87"/>
    <w:rsid w:val="00945719"/>
    <w:rsid w:val="0095295C"/>
    <w:rsid w:val="00953540"/>
    <w:rsid w:val="00953FA0"/>
    <w:rsid w:val="0095628C"/>
    <w:rsid w:val="00956EAB"/>
    <w:rsid w:val="00962CB9"/>
    <w:rsid w:val="00964312"/>
    <w:rsid w:val="00964A60"/>
    <w:rsid w:val="0096538E"/>
    <w:rsid w:val="00965753"/>
    <w:rsid w:val="00972CCA"/>
    <w:rsid w:val="00974229"/>
    <w:rsid w:val="00975D12"/>
    <w:rsid w:val="0098135D"/>
    <w:rsid w:val="00981996"/>
    <w:rsid w:val="00983E57"/>
    <w:rsid w:val="009847B1"/>
    <w:rsid w:val="00984D98"/>
    <w:rsid w:val="00986AA5"/>
    <w:rsid w:val="0098759F"/>
    <w:rsid w:val="009905EE"/>
    <w:rsid w:val="00990BFF"/>
    <w:rsid w:val="009918FF"/>
    <w:rsid w:val="00993828"/>
    <w:rsid w:val="00994FEC"/>
    <w:rsid w:val="00996B1A"/>
    <w:rsid w:val="009A099C"/>
    <w:rsid w:val="009A6F76"/>
    <w:rsid w:val="009B0300"/>
    <w:rsid w:val="009B3320"/>
    <w:rsid w:val="009B3E26"/>
    <w:rsid w:val="009B4B56"/>
    <w:rsid w:val="009B4B8E"/>
    <w:rsid w:val="009B7A35"/>
    <w:rsid w:val="009C2079"/>
    <w:rsid w:val="009C348F"/>
    <w:rsid w:val="009C5770"/>
    <w:rsid w:val="009C6311"/>
    <w:rsid w:val="009C68B4"/>
    <w:rsid w:val="009D09E1"/>
    <w:rsid w:val="009D5352"/>
    <w:rsid w:val="009D5B91"/>
    <w:rsid w:val="009D6229"/>
    <w:rsid w:val="009D7D66"/>
    <w:rsid w:val="009E138C"/>
    <w:rsid w:val="009E370E"/>
    <w:rsid w:val="009E4C07"/>
    <w:rsid w:val="009F108F"/>
    <w:rsid w:val="009F2B8A"/>
    <w:rsid w:val="009F66AC"/>
    <w:rsid w:val="00A01347"/>
    <w:rsid w:val="00A02F5C"/>
    <w:rsid w:val="00A03D43"/>
    <w:rsid w:val="00A04380"/>
    <w:rsid w:val="00A13948"/>
    <w:rsid w:val="00A163A4"/>
    <w:rsid w:val="00A2178E"/>
    <w:rsid w:val="00A23F09"/>
    <w:rsid w:val="00A240D5"/>
    <w:rsid w:val="00A246F2"/>
    <w:rsid w:val="00A27AEC"/>
    <w:rsid w:val="00A35D16"/>
    <w:rsid w:val="00A43C59"/>
    <w:rsid w:val="00A44522"/>
    <w:rsid w:val="00A462AD"/>
    <w:rsid w:val="00A471C7"/>
    <w:rsid w:val="00A50D1E"/>
    <w:rsid w:val="00A50ECD"/>
    <w:rsid w:val="00A52729"/>
    <w:rsid w:val="00A52992"/>
    <w:rsid w:val="00A5347F"/>
    <w:rsid w:val="00A53675"/>
    <w:rsid w:val="00A558A7"/>
    <w:rsid w:val="00A56B6A"/>
    <w:rsid w:val="00A5731E"/>
    <w:rsid w:val="00A578DC"/>
    <w:rsid w:val="00A603E9"/>
    <w:rsid w:val="00A61537"/>
    <w:rsid w:val="00A639B0"/>
    <w:rsid w:val="00A6725B"/>
    <w:rsid w:val="00A672E7"/>
    <w:rsid w:val="00A67810"/>
    <w:rsid w:val="00A702EE"/>
    <w:rsid w:val="00A74936"/>
    <w:rsid w:val="00A77A1B"/>
    <w:rsid w:val="00A80713"/>
    <w:rsid w:val="00A82266"/>
    <w:rsid w:val="00A82A82"/>
    <w:rsid w:val="00A834E1"/>
    <w:rsid w:val="00A847DC"/>
    <w:rsid w:val="00A84CC6"/>
    <w:rsid w:val="00A84EA0"/>
    <w:rsid w:val="00A853A3"/>
    <w:rsid w:val="00A86E8B"/>
    <w:rsid w:val="00A877C5"/>
    <w:rsid w:val="00A93072"/>
    <w:rsid w:val="00A959D8"/>
    <w:rsid w:val="00AA260B"/>
    <w:rsid w:val="00AA2A89"/>
    <w:rsid w:val="00AA3282"/>
    <w:rsid w:val="00AB042A"/>
    <w:rsid w:val="00AB281E"/>
    <w:rsid w:val="00AB2D34"/>
    <w:rsid w:val="00AB3430"/>
    <w:rsid w:val="00AB42FB"/>
    <w:rsid w:val="00AB4DAF"/>
    <w:rsid w:val="00AB4E23"/>
    <w:rsid w:val="00AB7CFA"/>
    <w:rsid w:val="00AC0F0B"/>
    <w:rsid w:val="00AC3E2A"/>
    <w:rsid w:val="00AD091D"/>
    <w:rsid w:val="00AD0D7E"/>
    <w:rsid w:val="00AD3BCA"/>
    <w:rsid w:val="00AD4008"/>
    <w:rsid w:val="00AD48CE"/>
    <w:rsid w:val="00AE0F0C"/>
    <w:rsid w:val="00AE12F1"/>
    <w:rsid w:val="00AE3C6B"/>
    <w:rsid w:val="00AE69A8"/>
    <w:rsid w:val="00AE7967"/>
    <w:rsid w:val="00AF09D0"/>
    <w:rsid w:val="00AF14CA"/>
    <w:rsid w:val="00AF1FCF"/>
    <w:rsid w:val="00AF44C1"/>
    <w:rsid w:val="00AF64AD"/>
    <w:rsid w:val="00AF70A1"/>
    <w:rsid w:val="00B04031"/>
    <w:rsid w:val="00B04595"/>
    <w:rsid w:val="00B07BC4"/>
    <w:rsid w:val="00B07EDE"/>
    <w:rsid w:val="00B1316C"/>
    <w:rsid w:val="00B1400B"/>
    <w:rsid w:val="00B14DD7"/>
    <w:rsid w:val="00B160F8"/>
    <w:rsid w:val="00B209EA"/>
    <w:rsid w:val="00B21A78"/>
    <w:rsid w:val="00B21AB7"/>
    <w:rsid w:val="00B24135"/>
    <w:rsid w:val="00B25BE1"/>
    <w:rsid w:val="00B30054"/>
    <w:rsid w:val="00B31950"/>
    <w:rsid w:val="00B31A33"/>
    <w:rsid w:val="00B31CFF"/>
    <w:rsid w:val="00B37393"/>
    <w:rsid w:val="00B42851"/>
    <w:rsid w:val="00B45402"/>
    <w:rsid w:val="00B47DA6"/>
    <w:rsid w:val="00B50DB8"/>
    <w:rsid w:val="00B5316C"/>
    <w:rsid w:val="00B53905"/>
    <w:rsid w:val="00B53C4F"/>
    <w:rsid w:val="00B54B5B"/>
    <w:rsid w:val="00B5562E"/>
    <w:rsid w:val="00B55DFA"/>
    <w:rsid w:val="00B57000"/>
    <w:rsid w:val="00B60939"/>
    <w:rsid w:val="00B60974"/>
    <w:rsid w:val="00B60AFD"/>
    <w:rsid w:val="00B61A8B"/>
    <w:rsid w:val="00B61E19"/>
    <w:rsid w:val="00B62715"/>
    <w:rsid w:val="00B62CCA"/>
    <w:rsid w:val="00B65A95"/>
    <w:rsid w:val="00B669DE"/>
    <w:rsid w:val="00B67473"/>
    <w:rsid w:val="00B719AB"/>
    <w:rsid w:val="00B71B32"/>
    <w:rsid w:val="00B73618"/>
    <w:rsid w:val="00B75650"/>
    <w:rsid w:val="00B818A4"/>
    <w:rsid w:val="00B84EC6"/>
    <w:rsid w:val="00B8649C"/>
    <w:rsid w:val="00B91632"/>
    <w:rsid w:val="00B91BC9"/>
    <w:rsid w:val="00B92D0B"/>
    <w:rsid w:val="00B94945"/>
    <w:rsid w:val="00B970D7"/>
    <w:rsid w:val="00B97359"/>
    <w:rsid w:val="00BA0EEF"/>
    <w:rsid w:val="00BA0F26"/>
    <w:rsid w:val="00BA15D4"/>
    <w:rsid w:val="00BA3481"/>
    <w:rsid w:val="00BA6F29"/>
    <w:rsid w:val="00BB0F15"/>
    <w:rsid w:val="00BB1F34"/>
    <w:rsid w:val="00BB4CA6"/>
    <w:rsid w:val="00BB55B4"/>
    <w:rsid w:val="00BB5BF5"/>
    <w:rsid w:val="00BB68C7"/>
    <w:rsid w:val="00BB7405"/>
    <w:rsid w:val="00BC1573"/>
    <w:rsid w:val="00BC2D16"/>
    <w:rsid w:val="00BC3C8B"/>
    <w:rsid w:val="00BC4DAF"/>
    <w:rsid w:val="00BC66AD"/>
    <w:rsid w:val="00BC6EB6"/>
    <w:rsid w:val="00BD0725"/>
    <w:rsid w:val="00BD29DD"/>
    <w:rsid w:val="00BD5EF7"/>
    <w:rsid w:val="00BD6CF3"/>
    <w:rsid w:val="00BE2180"/>
    <w:rsid w:val="00BE31FC"/>
    <w:rsid w:val="00BE3E4C"/>
    <w:rsid w:val="00BE4275"/>
    <w:rsid w:val="00BE5303"/>
    <w:rsid w:val="00BE5375"/>
    <w:rsid w:val="00BE6013"/>
    <w:rsid w:val="00BE7B84"/>
    <w:rsid w:val="00BE7C91"/>
    <w:rsid w:val="00BF0BEF"/>
    <w:rsid w:val="00BF2433"/>
    <w:rsid w:val="00BF24B5"/>
    <w:rsid w:val="00BF5113"/>
    <w:rsid w:val="00BF61C9"/>
    <w:rsid w:val="00C018F7"/>
    <w:rsid w:val="00C02A3D"/>
    <w:rsid w:val="00C0406D"/>
    <w:rsid w:val="00C05495"/>
    <w:rsid w:val="00C10254"/>
    <w:rsid w:val="00C10AF8"/>
    <w:rsid w:val="00C1195C"/>
    <w:rsid w:val="00C11B63"/>
    <w:rsid w:val="00C205C5"/>
    <w:rsid w:val="00C23E52"/>
    <w:rsid w:val="00C25418"/>
    <w:rsid w:val="00C25D9C"/>
    <w:rsid w:val="00C26CA6"/>
    <w:rsid w:val="00C2726B"/>
    <w:rsid w:val="00C3009D"/>
    <w:rsid w:val="00C3105B"/>
    <w:rsid w:val="00C31649"/>
    <w:rsid w:val="00C33323"/>
    <w:rsid w:val="00C367BF"/>
    <w:rsid w:val="00C40004"/>
    <w:rsid w:val="00C40385"/>
    <w:rsid w:val="00C40A3B"/>
    <w:rsid w:val="00C40CDE"/>
    <w:rsid w:val="00C45BE0"/>
    <w:rsid w:val="00C45E44"/>
    <w:rsid w:val="00C5075C"/>
    <w:rsid w:val="00C5120E"/>
    <w:rsid w:val="00C52225"/>
    <w:rsid w:val="00C537F1"/>
    <w:rsid w:val="00C5598A"/>
    <w:rsid w:val="00C55D92"/>
    <w:rsid w:val="00C57FA8"/>
    <w:rsid w:val="00C60E4C"/>
    <w:rsid w:val="00C6455C"/>
    <w:rsid w:val="00C646F1"/>
    <w:rsid w:val="00C65576"/>
    <w:rsid w:val="00C66165"/>
    <w:rsid w:val="00C66A81"/>
    <w:rsid w:val="00C7001F"/>
    <w:rsid w:val="00C74913"/>
    <w:rsid w:val="00C74AF1"/>
    <w:rsid w:val="00C74B6C"/>
    <w:rsid w:val="00C750C8"/>
    <w:rsid w:val="00C75427"/>
    <w:rsid w:val="00C76D32"/>
    <w:rsid w:val="00C8213F"/>
    <w:rsid w:val="00C875BD"/>
    <w:rsid w:val="00C8797A"/>
    <w:rsid w:val="00C9252A"/>
    <w:rsid w:val="00C92E67"/>
    <w:rsid w:val="00C938CF"/>
    <w:rsid w:val="00C948FB"/>
    <w:rsid w:val="00CA5245"/>
    <w:rsid w:val="00CA728D"/>
    <w:rsid w:val="00CA7B09"/>
    <w:rsid w:val="00CA7DA3"/>
    <w:rsid w:val="00CB0FD9"/>
    <w:rsid w:val="00CB29D6"/>
    <w:rsid w:val="00CB2A04"/>
    <w:rsid w:val="00CB3608"/>
    <w:rsid w:val="00CB4DF3"/>
    <w:rsid w:val="00CB5340"/>
    <w:rsid w:val="00CB5B1A"/>
    <w:rsid w:val="00CC0FDE"/>
    <w:rsid w:val="00CC372E"/>
    <w:rsid w:val="00CD6ADC"/>
    <w:rsid w:val="00CD7378"/>
    <w:rsid w:val="00CD7D98"/>
    <w:rsid w:val="00CE2901"/>
    <w:rsid w:val="00CE4709"/>
    <w:rsid w:val="00CE5037"/>
    <w:rsid w:val="00CE6274"/>
    <w:rsid w:val="00CE65C1"/>
    <w:rsid w:val="00CE70EC"/>
    <w:rsid w:val="00CF456B"/>
    <w:rsid w:val="00CF5A22"/>
    <w:rsid w:val="00D0107E"/>
    <w:rsid w:val="00D0262E"/>
    <w:rsid w:val="00D02E4D"/>
    <w:rsid w:val="00D07075"/>
    <w:rsid w:val="00D07DF8"/>
    <w:rsid w:val="00D10493"/>
    <w:rsid w:val="00D110BD"/>
    <w:rsid w:val="00D11EFF"/>
    <w:rsid w:val="00D16679"/>
    <w:rsid w:val="00D17D6C"/>
    <w:rsid w:val="00D20FB7"/>
    <w:rsid w:val="00D21531"/>
    <w:rsid w:val="00D247D9"/>
    <w:rsid w:val="00D24E90"/>
    <w:rsid w:val="00D2564C"/>
    <w:rsid w:val="00D27CEF"/>
    <w:rsid w:val="00D27E4A"/>
    <w:rsid w:val="00D30294"/>
    <w:rsid w:val="00D30AEA"/>
    <w:rsid w:val="00D33270"/>
    <w:rsid w:val="00D357FF"/>
    <w:rsid w:val="00D35B97"/>
    <w:rsid w:val="00D37945"/>
    <w:rsid w:val="00D41419"/>
    <w:rsid w:val="00D44578"/>
    <w:rsid w:val="00D460C1"/>
    <w:rsid w:val="00D5079E"/>
    <w:rsid w:val="00D57BFD"/>
    <w:rsid w:val="00D6131E"/>
    <w:rsid w:val="00D640BC"/>
    <w:rsid w:val="00D673CD"/>
    <w:rsid w:val="00D70A9D"/>
    <w:rsid w:val="00D70AE7"/>
    <w:rsid w:val="00D737C2"/>
    <w:rsid w:val="00D73839"/>
    <w:rsid w:val="00D73EFD"/>
    <w:rsid w:val="00D74DB3"/>
    <w:rsid w:val="00D76A44"/>
    <w:rsid w:val="00D83163"/>
    <w:rsid w:val="00D912FE"/>
    <w:rsid w:val="00D91424"/>
    <w:rsid w:val="00D91462"/>
    <w:rsid w:val="00D92AC7"/>
    <w:rsid w:val="00D93753"/>
    <w:rsid w:val="00D952BA"/>
    <w:rsid w:val="00D95B59"/>
    <w:rsid w:val="00DA1347"/>
    <w:rsid w:val="00DA2996"/>
    <w:rsid w:val="00DA4B2F"/>
    <w:rsid w:val="00DA51B8"/>
    <w:rsid w:val="00DA53EA"/>
    <w:rsid w:val="00DA77A5"/>
    <w:rsid w:val="00DB454A"/>
    <w:rsid w:val="00DB5B65"/>
    <w:rsid w:val="00DC5501"/>
    <w:rsid w:val="00DC6103"/>
    <w:rsid w:val="00DC7BC5"/>
    <w:rsid w:val="00DD3599"/>
    <w:rsid w:val="00DD3F28"/>
    <w:rsid w:val="00DD4537"/>
    <w:rsid w:val="00DD4E15"/>
    <w:rsid w:val="00DD5802"/>
    <w:rsid w:val="00DE13FE"/>
    <w:rsid w:val="00DE2861"/>
    <w:rsid w:val="00DE2BF9"/>
    <w:rsid w:val="00DE4669"/>
    <w:rsid w:val="00DE4C47"/>
    <w:rsid w:val="00DE4FCB"/>
    <w:rsid w:val="00DE612F"/>
    <w:rsid w:val="00DF16E3"/>
    <w:rsid w:val="00DF2956"/>
    <w:rsid w:val="00DF3FE5"/>
    <w:rsid w:val="00DF5D2B"/>
    <w:rsid w:val="00E05E32"/>
    <w:rsid w:val="00E10149"/>
    <w:rsid w:val="00E13020"/>
    <w:rsid w:val="00E143C9"/>
    <w:rsid w:val="00E15C15"/>
    <w:rsid w:val="00E16372"/>
    <w:rsid w:val="00E17549"/>
    <w:rsid w:val="00E20C33"/>
    <w:rsid w:val="00E20ED6"/>
    <w:rsid w:val="00E20FB4"/>
    <w:rsid w:val="00E21064"/>
    <w:rsid w:val="00E21358"/>
    <w:rsid w:val="00E2249B"/>
    <w:rsid w:val="00E22A0D"/>
    <w:rsid w:val="00E233AF"/>
    <w:rsid w:val="00E24D3F"/>
    <w:rsid w:val="00E25F94"/>
    <w:rsid w:val="00E2771E"/>
    <w:rsid w:val="00E30F32"/>
    <w:rsid w:val="00E326BF"/>
    <w:rsid w:val="00E34223"/>
    <w:rsid w:val="00E358C3"/>
    <w:rsid w:val="00E37569"/>
    <w:rsid w:val="00E40647"/>
    <w:rsid w:val="00E41E30"/>
    <w:rsid w:val="00E42E0E"/>
    <w:rsid w:val="00E43D70"/>
    <w:rsid w:val="00E47B2C"/>
    <w:rsid w:val="00E512CD"/>
    <w:rsid w:val="00E51560"/>
    <w:rsid w:val="00E5198D"/>
    <w:rsid w:val="00E55424"/>
    <w:rsid w:val="00E556D4"/>
    <w:rsid w:val="00E55BB5"/>
    <w:rsid w:val="00E575EC"/>
    <w:rsid w:val="00E605DB"/>
    <w:rsid w:val="00E60ECD"/>
    <w:rsid w:val="00E648DF"/>
    <w:rsid w:val="00E65E79"/>
    <w:rsid w:val="00E67416"/>
    <w:rsid w:val="00E6775E"/>
    <w:rsid w:val="00E700F4"/>
    <w:rsid w:val="00E70210"/>
    <w:rsid w:val="00E704B9"/>
    <w:rsid w:val="00E718B6"/>
    <w:rsid w:val="00E7247E"/>
    <w:rsid w:val="00E72A01"/>
    <w:rsid w:val="00E73581"/>
    <w:rsid w:val="00E7417A"/>
    <w:rsid w:val="00E74236"/>
    <w:rsid w:val="00E83BDF"/>
    <w:rsid w:val="00E875EA"/>
    <w:rsid w:val="00E90D3A"/>
    <w:rsid w:val="00E92049"/>
    <w:rsid w:val="00E93362"/>
    <w:rsid w:val="00E9543C"/>
    <w:rsid w:val="00E97A80"/>
    <w:rsid w:val="00EA0BA2"/>
    <w:rsid w:val="00EA37F2"/>
    <w:rsid w:val="00EA3808"/>
    <w:rsid w:val="00EA3864"/>
    <w:rsid w:val="00EA78FE"/>
    <w:rsid w:val="00EB15B6"/>
    <w:rsid w:val="00EB2FC6"/>
    <w:rsid w:val="00EB32CB"/>
    <w:rsid w:val="00EB41D2"/>
    <w:rsid w:val="00EB4916"/>
    <w:rsid w:val="00EB64E9"/>
    <w:rsid w:val="00EC00C9"/>
    <w:rsid w:val="00EC12CE"/>
    <w:rsid w:val="00EC23B9"/>
    <w:rsid w:val="00ED11CD"/>
    <w:rsid w:val="00ED5809"/>
    <w:rsid w:val="00ED70FD"/>
    <w:rsid w:val="00ED77CC"/>
    <w:rsid w:val="00EE07D3"/>
    <w:rsid w:val="00EE13FD"/>
    <w:rsid w:val="00EE3C38"/>
    <w:rsid w:val="00EE4DD6"/>
    <w:rsid w:val="00EE6CBF"/>
    <w:rsid w:val="00EE7E7C"/>
    <w:rsid w:val="00EF02E9"/>
    <w:rsid w:val="00EF1172"/>
    <w:rsid w:val="00EF353B"/>
    <w:rsid w:val="00EF432B"/>
    <w:rsid w:val="00EF6187"/>
    <w:rsid w:val="00EF6D07"/>
    <w:rsid w:val="00EF724E"/>
    <w:rsid w:val="00F00A9C"/>
    <w:rsid w:val="00F0174A"/>
    <w:rsid w:val="00F0251F"/>
    <w:rsid w:val="00F02DE4"/>
    <w:rsid w:val="00F04762"/>
    <w:rsid w:val="00F053D7"/>
    <w:rsid w:val="00F055D9"/>
    <w:rsid w:val="00F067A2"/>
    <w:rsid w:val="00F10AF0"/>
    <w:rsid w:val="00F111A2"/>
    <w:rsid w:val="00F114F4"/>
    <w:rsid w:val="00F12F4E"/>
    <w:rsid w:val="00F24837"/>
    <w:rsid w:val="00F2575F"/>
    <w:rsid w:val="00F257CC"/>
    <w:rsid w:val="00F27B71"/>
    <w:rsid w:val="00F3014C"/>
    <w:rsid w:val="00F304E5"/>
    <w:rsid w:val="00F33DE9"/>
    <w:rsid w:val="00F33F28"/>
    <w:rsid w:val="00F3619A"/>
    <w:rsid w:val="00F4631D"/>
    <w:rsid w:val="00F46CB6"/>
    <w:rsid w:val="00F514C5"/>
    <w:rsid w:val="00F5286E"/>
    <w:rsid w:val="00F53CDA"/>
    <w:rsid w:val="00F5404D"/>
    <w:rsid w:val="00F55E73"/>
    <w:rsid w:val="00F60092"/>
    <w:rsid w:val="00F60CA1"/>
    <w:rsid w:val="00F61230"/>
    <w:rsid w:val="00F63457"/>
    <w:rsid w:val="00F643B9"/>
    <w:rsid w:val="00F64CE7"/>
    <w:rsid w:val="00F653A6"/>
    <w:rsid w:val="00F70432"/>
    <w:rsid w:val="00F71D31"/>
    <w:rsid w:val="00F72EE0"/>
    <w:rsid w:val="00F755FB"/>
    <w:rsid w:val="00F75783"/>
    <w:rsid w:val="00F80E5D"/>
    <w:rsid w:val="00F82CAF"/>
    <w:rsid w:val="00F851CE"/>
    <w:rsid w:val="00F87558"/>
    <w:rsid w:val="00F91B40"/>
    <w:rsid w:val="00F966B5"/>
    <w:rsid w:val="00F97A78"/>
    <w:rsid w:val="00FA24E7"/>
    <w:rsid w:val="00FA7D90"/>
    <w:rsid w:val="00FB06B2"/>
    <w:rsid w:val="00FB2FCB"/>
    <w:rsid w:val="00FB504A"/>
    <w:rsid w:val="00FB5579"/>
    <w:rsid w:val="00FB6A4D"/>
    <w:rsid w:val="00FC0565"/>
    <w:rsid w:val="00FC0A54"/>
    <w:rsid w:val="00FC1074"/>
    <w:rsid w:val="00FC1884"/>
    <w:rsid w:val="00FC3D8A"/>
    <w:rsid w:val="00FC4C19"/>
    <w:rsid w:val="00FC569D"/>
    <w:rsid w:val="00FD2100"/>
    <w:rsid w:val="00FD446D"/>
    <w:rsid w:val="00FD46F2"/>
    <w:rsid w:val="00FD6C7D"/>
    <w:rsid w:val="00FE37BB"/>
    <w:rsid w:val="00FE3863"/>
    <w:rsid w:val="00FE3B67"/>
    <w:rsid w:val="00FE4506"/>
    <w:rsid w:val="00FE7717"/>
    <w:rsid w:val="00FF10DF"/>
    <w:rsid w:val="00FF38E4"/>
    <w:rsid w:val="00FF3DCF"/>
    <w:rsid w:val="00FF4A2C"/>
    <w:rsid w:val="00FF5AA3"/>
    <w:rsid w:val="00FF711C"/>
    <w:rsid w:val="00FF778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87AEA"/>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8"/>
      </w:numPr>
    </w:pPr>
    <w:rPr>
      <w:rFonts w:ascii="Arial" w:hAnsi="Arial" w:cs="Arial"/>
      <w:b/>
      <w:snapToGrid w:val="0"/>
      <w:sz w:val="22"/>
      <w:szCs w:val="22"/>
      <w:lang w:eastAsia="en-US"/>
    </w:rPr>
  </w:style>
  <w:style w:type="paragraph" w:customStyle="1" w:styleId="COMBody">
    <w:name w:val="COMBody"/>
    <w:basedOn w:val="Normal"/>
    <w:link w:val="COMBodyChar"/>
    <w:qFormat/>
    <w:rsid w:val="00E556D4"/>
    <w:rPr>
      <w:snapToGrid/>
      <w:szCs w:val="22"/>
    </w:rPr>
  </w:style>
  <w:style w:type="character" w:customStyle="1" w:styleId="COMBodyChar">
    <w:name w:val="COMBody Char"/>
    <w:basedOn w:val="DefaultParagraphFont"/>
    <w:link w:val="COMBody"/>
    <w:rsid w:val="00E556D4"/>
    <w:rPr>
      <w:rFonts w:ascii="Arial" w:hAnsi="Arial" w:cs="Arial"/>
      <w:sz w:val="22"/>
      <w:szCs w:val="22"/>
      <w:lang w:eastAsia="en-US"/>
    </w:rPr>
  </w:style>
  <w:style w:type="paragraph" w:customStyle="1" w:styleId="COMTbl-cap">
    <w:name w:val="COMTbl-cap"/>
    <w:basedOn w:val="Normal"/>
    <w:link w:val="COMTbl-capChar"/>
    <w:qFormat/>
    <w:rsid w:val="00E556D4"/>
    <w:pPr>
      <w:keepNext/>
    </w:pPr>
    <w:rPr>
      <w:rFonts w:ascii="Arial Narrow" w:hAnsi="Arial Narrow"/>
      <w:b/>
      <w:sz w:val="20"/>
    </w:rPr>
  </w:style>
  <w:style w:type="character" w:customStyle="1" w:styleId="COMTbl-capChar">
    <w:name w:val="COMTbl-cap Char"/>
    <w:basedOn w:val="DefaultParagraphFont"/>
    <w:link w:val="COMTbl-cap"/>
    <w:rsid w:val="00E556D4"/>
    <w:rPr>
      <w:rFonts w:ascii="Arial Narrow" w:hAnsi="Arial Narrow" w:cs="Arial"/>
      <w:b/>
      <w:snapToGrid w:val="0"/>
      <w:lang w:eastAsia="en-US"/>
    </w:rPr>
  </w:style>
  <w:style w:type="paragraph" w:customStyle="1" w:styleId="COMTbl-foot">
    <w:name w:val="COMTbl-foot"/>
    <w:basedOn w:val="TableFooter"/>
    <w:link w:val="COMTbl-footChar"/>
    <w:qFormat/>
    <w:rsid w:val="00E556D4"/>
    <w:rPr>
      <w:szCs w:val="18"/>
    </w:rPr>
  </w:style>
  <w:style w:type="character" w:customStyle="1" w:styleId="COMTbl-footChar">
    <w:name w:val="COMTbl-foot Char"/>
    <w:basedOn w:val="DefaultParagraphFont"/>
    <w:link w:val="COMTbl-foot"/>
    <w:rsid w:val="00E556D4"/>
    <w:rPr>
      <w:rFonts w:ascii="Arial Narrow" w:hAnsi="Arial Narrow" w:cs="Arial"/>
      <w:snapToGrid w:val="0"/>
      <w:sz w:val="18"/>
      <w:szCs w:val="18"/>
      <w:lang w:eastAsia="en-US"/>
    </w:rPr>
  </w:style>
  <w:style w:type="paragraph" w:customStyle="1" w:styleId="Table">
    <w:name w:val="Table"/>
    <w:basedOn w:val="Normal"/>
    <w:link w:val="TableChar"/>
    <w:qFormat/>
    <w:rsid w:val="0058295C"/>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58295C"/>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58295C"/>
    <w:rPr>
      <w:rFonts w:ascii="Candara" w:hAnsi="Candara"/>
      <w:b/>
      <w:sz w:val="20"/>
      <w:lang w:val="en-AU"/>
    </w:rPr>
  </w:style>
  <w:style w:type="paragraph" w:customStyle="1" w:styleId="TableLeft">
    <w:name w:val="Table Left"/>
    <w:basedOn w:val="Normal"/>
    <w:link w:val="TableLeftChar"/>
    <w:uiPriority w:val="5"/>
    <w:qFormat/>
    <w:rsid w:val="0058295C"/>
    <w:pPr>
      <w:widowControl/>
    </w:pPr>
    <w:rPr>
      <w:rFonts w:ascii="Calibri" w:eastAsia="MS Gothic" w:hAnsi="Calibri" w:cs="Times New Roman"/>
      <w:snapToGrid/>
      <w:sz w:val="20"/>
      <w:szCs w:val="22"/>
      <w:lang w:bidi="en-US"/>
    </w:rPr>
  </w:style>
  <w:style w:type="character" w:customStyle="1" w:styleId="TableLeftChar">
    <w:name w:val="Table Left Char"/>
    <w:link w:val="TableLeft"/>
    <w:uiPriority w:val="5"/>
    <w:rsid w:val="0058295C"/>
    <w:rPr>
      <w:rFonts w:ascii="Calibri" w:eastAsia="MS Gothic" w:hAnsi="Calibri"/>
      <w:szCs w:val="22"/>
      <w:lang w:eastAsia="en-US" w:bidi="en-US"/>
    </w:rPr>
  </w:style>
  <w:style w:type="character" w:customStyle="1" w:styleId="TableBold">
    <w:name w:val="Table Bold"/>
    <w:uiPriority w:val="4"/>
    <w:qFormat/>
    <w:rsid w:val="0058295C"/>
    <w:rPr>
      <w:rFonts w:ascii="Calibri" w:hAnsi="Calibri"/>
      <w:b/>
      <w:sz w:val="20"/>
      <w:lang w:val="en-AU"/>
    </w:rPr>
  </w:style>
  <w:style w:type="paragraph" w:customStyle="1" w:styleId="CaptionFootnote">
    <w:name w:val="Caption Footnote"/>
    <w:basedOn w:val="Caption"/>
    <w:qFormat/>
    <w:rsid w:val="0058295C"/>
    <w:pPr>
      <w:spacing w:after="0"/>
      <w:jc w:val="left"/>
    </w:pPr>
    <w:rPr>
      <w:rFonts w:ascii="Candara" w:eastAsiaTheme="majorEastAsia" w:hAnsi="Candara" w:cstheme="majorBidi"/>
      <w:b w:val="0"/>
      <w:snapToGrid/>
      <w:color w:val="auto"/>
      <w:sz w:val="16"/>
      <w:lang w:bidi="en-US"/>
    </w:rPr>
  </w:style>
  <w:style w:type="paragraph" w:customStyle="1" w:styleId="TableCentre">
    <w:name w:val="Table Centre"/>
    <w:basedOn w:val="Table"/>
    <w:qFormat/>
    <w:rsid w:val="00A44522"/>
    <w:pPr>
      <w:jc w:val="center"/>
    </w:pPr>
  </w:style>
  <w:style w:type="table" w:customStyle="1" w:styleId="TableGrid3">
    <w:name w:val="Table Grid3"/>
    <w:basedOn w:val="TableNormal"/>
    <w:next w:val="TableGrid"/>
    <w:uiPriority w:val="59"/>
    <w:rsid w:val="008E4A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7A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bmissionstandard">
    <w:name w:val="Submission standard"/>
    <w:basedOn w:val="TableNormal"/>
    <w:uiPriority w:val="99"/>
    <w:qFormat/>
    <w:rsid w:val="00A02F5C"/>
    <w:rPr>
      <w:rFonts w:ascii="Arial Narrow"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Times" w:hAnsi="Times"/>
        <w:b/>
        <w:sz w:val="20"/>
      </w:rPr>
      <w:tblPr/>
      <w:tcPr>
        <w:shd w:val="clear" w:color="auto" w:fill="BFBFBF"/>
      </w:tcPr>
    </w:tblStylePr>
  </w:style>
  <w:style w:type="paragraph" w:customStyle="1" w:styleId="COMtbl-HEADLeftAligned">
    <w:name w:val="COMtbl-HEAD Left Aligned"/>
    <w:basedOn w:val="Normal"/>
    <w:qFormat/>
    <w:rsid w:val="00187917"/>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187917"/>
    <w:pPr>
      <w:jc w:val="center"/>
    </w:pPr>
  </w:style>
  <w:style w:type="paragraph" w:customStyle="1" w:styleId="COMtbl-textLeftAligned">
    <w:name w:val="COMtbl-text Left Aligned"/>
    <w:basedOn w:val="COMtbl-HEADLeftAligned"/>
    <w:qFormat/>
    <w:rsid w:val="00187917"/>
    <w:rPr>
      <w:b w:val="0"/>
    </w:rPr>
  </w:style>
  <w:style w:type="paragraph" w:customStyle="1" w:styleId="COMtbl-textCentred">
    <w:name w:val="COMtbl-text Centred"/>
    <w:basedOn w:val="COMtbl-HEADCentred"/>
    <w:qFormat/>
    <w:rsid w:val="00187917"/>
    <w:rPr>
      <w:b w:val="0"/>
    </w:rPr>
  </w:style>
  <w:style w:type="table" w:customStyle="1" w:styleId="Submissionstandard1">
    <w:name w:val="Submission standard1"/>
    <w:basedOn w:val="TableNormal"/>
    <w:uiPriority w:val="99"/>
    <w:qFormat/>
    <w:rsid w:val="00201148"/>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imes" w:hAnsi="Times"/>
        <w:b/>
        <w:sz w:val="20"/>
      </w:rPr>
      <w:tblPr/>
      <w:tcPr>
        <w:shd w:val="clear" w:color="auto" w:fill="BFBFBF" w:themeFill="background1" w:themeFillShade="BF"/>
      </w:tcPr>
    </w:tblStylePr>
  </w:style>
  <w:style w:type="paragraph" w:customStyle="1" w:styleId="NormalBulletList">
    <w:name w:val="Normal Bullet List"/>
    <w:basedOn w:val="Normal"/>
    <w:uiPriority w:val="3"/>
    <w:qFormat/>
    <w:rsid w:val="00AB281E"/>
    <w:pPr>
      <w:widowControl/>
      <w:numPr>
        <w:numId w:val="9"/>
      </w:numPr>
      <w:spacing w:after="240" w:line="276" w:lineRule="auto"/>
      <w:ind w:left="357" w:hanging="357"/>
      <w:contextualSpacing/>
    </w:pPr>
    <w:rPr>
      <w:rFonts w:ascii="Candara" w:eastAsiaTheme="majorEastAsia" w:hAnsi="Candara" w:cstheme="majorBidi"/>
      <w:snapToGrid/>
      <w:sz w:val="24"/>
      <w:szCs w:val="22"/>
      <w:lang w:bidi="en-US"/>
    </w:rPr>
  </w:style>
  <w:style w:type="table" w:customStyle="1" w:styleId="TableGrid1">
    <w:name w:val="Table Grid1"/>
    <w:basedOn w:val="TableNormal"/>
    <w:next w:val="TableGrid"/>
    <w:uiPriority w:val="59"/>
    <w:rsid w:val="006568D7"/>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customStyle="1" w:styleId="Default">
    <w:name w:val="Default"/>
    <w:rsid w:val="00CA728D"/>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D5079E"/>
    <w:rPr>
      <w:sz w:val="20"/>
    </w:rPr>
  </w:style>
  <w:style w:type="character" w:customStyle="1" w:styleId="FootnoteTextChar">
    <w:name w:val="Footnote Text Char"/>
    <w:basedOn w:val="DefaultParagraphFont"/>
    <w:link w:val="FootnoteText"/>
    <w:semiHidden/>
    <w:rsid w:val="00D5079E"/>
    <w:rPr>
      <w:rFonts w:ascii="Arial" w:hAnsi="Arial" w:cs="Arial"/>
      <w:snapToGrid w:val="0"/>
      <w:lang w:eastAsia="en-US"/>
    </w:rPr>
  </w:style>
  <w:style w:type="character" w:styleId="FootnoteReference">
    <w:name w:val="footnote reference"/>
    <w:basedOn w:val="DefaultParagraphFont"/>
    <w:semiHidden/>
    <w:unhideWhenUsed/>
    <w:rsid w:val="00D5079E"/>
    <w:rPr>
      <w:vertAlign w:val="superscript"/>
    </w:rPr>
  </w:style>
  <w:style w:type="table" w:customStyle="1" w:styleId="TableGrid4">
    <w:name w:val="Table Grid4"/>
    <w:basedOn w:val="TableNormal"/>
    <w:next w:val="TableGrid"/>
    <w:uiPriority w:val="59"/>
    <w:rsid w:val="00E25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54434"/>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0A2F46"/>
    <w:pPr>
      <w:ind w:left="720" w:hanging="720"/>
    </w:pPr>
    <w:rPr>
      <w:rFonts w:ascii="Arial" w:hAnsi="Arial" w:cs="Arial"/>
      <w:snapToGrid w:val="0"/>
      <w:sz w:val="22"/>
      <w:szCs w:val="22"/>
      <w:lang w:eastAsia="en-US"/>
    </w:rPr>
  </w:style>
  <w:style w:type="character" w:customStyle="1" w:styleId="ListParagraphChar">
    <w:name w:val="List Paragraph Char"/>
    <w:basedOn w:val="DefaultParagraphFont"/>
    <w:link w:val="ListParagraph"/>
    <w:uiPriority w:val="99"/>
    <w:rsid w:val="001F535A"/>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87AEA"/>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8"/>
      </w:numPr>
    </w:pPr>
    <w:rPr>
      <w:rFonts w:ascii="Arial" w:hAnsi="Arial" w:cs="Arial"/>
      <w:b/>
      <w:snapToGrid w:val="0"/>
      <w:sz w:val="22"/>
      <w:szCs w:val="22"/>
      <w:lang w:eastAsia="en-US"/>
    </w:rPr>
  </w:style>
  <w:style w:type="paragraph" w:customStyle="1" w:styleId="COMBody">
    <w:name w:val="COMBody"/>
    <w:basedOn w:val="Normal"/>
    <w:link w:val="COMBodyChar"/>
    <w:qFormat/>
    <w:rsid w:val="00E556D4"/>
    <w:rPr>
      <w:snapToGrid/>
      <w:szCs w:val="22"/>
    </w:rPr>
  </w:style>
  <w:style w:type="character" w:customStyle="1" w:styleId="COMBodyChar">
    <w:name w:val="COMBody Char"/>
    <w:basedOn w:val="DefaultParagraphFont"/>
    <w:link w:val="COMBody"/>
    <w:rsid w:val="00E556D4"/>
    <w:rPr>
      <w:rFonts w:ascii="Arial" w:hAnsi="Arial" w:cs="Arial"/>
      <w:sz w:val="22"/>
      <w:szCs w:val="22"/>
      <w:lang w:eastAsia="en-US"/>
    </w:rPr>
  </w:style>
  <w:style w:type="paragraph" w:customStyle="1" w:styleId="COMTbl-cap">
    <w:name w:val="COMTbl-cap"/>
    <w:basedOn w:val="Normal"/>
    <w:link w:val="COMTbl-capChar"/>
    <w:qFormat/>
    <w:rsid w:val="00E556D4"/>
    <w:pPr>
      <w:keepNext/>
    </w:pPr>
    <w:rPr>
      <w:rFonts w:ascii="Arial Narrow" w:hAnsi="Arial Narrow"/>
      <w:b/>
      <w:sz w:val="20"/>
    </w:rPr>
  </w:style>
  <w:style w:type="character" w:customStyle="1" w:styleId="COMTbl-capChar">
    <w:name w:val="COMTbl-cap Char"/>
    <w:basedOn w:val="DefaultParagraphFont"/>
    <w:link w:val="COMTbl-cap"/>
    <w:rsid w:val="00E556D4"/>
    <w:rPr>
      <w:rFonts w:ascii="Arial Narrow" w:hAnsi="Arial Narrow" w:cs="Arial"/>
      <w:b/>
      <w:snapToGrid w:val="0"/>
      <w:lang w:eastAsia="en-US"/>
    </w:rPr>
  </w:style>
  <w:style w:type="paragraph" w:customStyle="1" w:styleId="COMTbl-foot">
    <w:name w:val="COMTbl-foot"/>
    <w:basedOn w:val="TableFooter"/>
    <w:link w:val="COMTbl-footChar"/>
    <w:qFormat/>
    <w:rsid w:val="00E556D4"/>
    <w:rPr>
      <w:szCs w:val="18"/>
    </w:rPr>
  </w:style>
  <w:style w:type="character" w:customStyle="1" w:styleId="COMTbl-footChar">
    <w:name w:val="COMTbl-foot Char"/>
    <w:basedOn w:val="DefaultParagraphFont"/>
    <w:link w:val="COMTbl-foot"/>
    <w:rsid w:val="00E556D4"/>
    <w:rPr>
      <w:rFonts w:ascii="Arial Narrow" w:hAnsi="Arial Narrow" w:cs="Arial"/>
      <w:snapToGrid w:val="0"/>
      <w:sz w:val="18"/>
      <w:szCs w:val="18"/>
      <w:lang w:eastAsia="en-US"/>
    </w:rPr>
  </w:style>
  <w:style w:type="paragraph" w:customStyle="1" w:styleId="Table">
    <w:name w:val="Table"/>
    <w:basedOn w:val="Normal"/>
    <w:link w:val="TableChar"/>
    <w:qFormat/>
    <w:rsid w:val="0058295C"/>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58295C"/>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58295C"/>
    <w:rPr>
      <w:rFonts w:ascii="Candara" w:hAnsi="Candara"/>
      <w:b/>
      <w:sz w:val="20"/>
      <w:lang w:val="en-AU"/>
    </w:rPr>
  </w:style>
  <w:style w:type="paragraph" w:customStyle="1" w:styleId="TableLeft">
    <w:name w:val="Table Left"/>
    <w:basedOn w:val="Normal"/>
    <w:link w:val="TableLeftChar"/>
    <w:uiPriority w:val="5"/>
    <w:qFormat/>
    <w:rsid w:val="0058295C"/>
    <w:pPr>
      <w:widowControl/>
    </w:pPr>
    <w:rPr>
      <w:rFonts w:ascii="Calibri" w:eastAsia="MS Gothic" w:hAnsi="Calibri" w:cs="Times New Roman"/>
      <w:snapToGrid/>
      <w:sz w:val="20"/>
      <w:szCs w:val="22"/>
      <w:lang w:bidi="en-US"/>
    </w:rPr>
  </w:style>
  <w:style w:type="character" w:customStyle="1" w:styleId="TableLeftChar">
    <w:name w:val="Table Left Char"/>
    <w:link w:val="TableLeft"/>
    <w:uiPriority w:val="5"/>
    <w:rsid w:val="0058295C"/>
    <w:rPr>
      <w:rFonts w:ascii="Calibri" w:eastAsia="MS Gothic" w:hAnsi="Calibri"/>
      <w:szCs w:val="22"/>
      <w:lang w:eastAsia="en-US" w:bidi="en-US"/>
    </w:rPr>
  </w:style>
  <w:style w:type="character" w:customStyle="1" w:styleId="TableBold">
    <w:name w:val="Table Bold"/>
    <w:uiPriority w:val="4"/>
    <w:qFormat/>
    <w:rsid w:val="0058295C"/>
    <w:rPr>
      <w:rFonts w:ascii="Calibri" w:hAnsi="Calibri"/>
      <w:b/>
      <w:sz w:val="20"/>
      <w:lang w:val="en-AU"/>
    </w:rPr>
  </w:style>
  <w:style w:type="paragraph" w:customStyle="1" w:styleId="CaptionFootnote">
    <w:name w:val="Caption Footnote"/>
    <w:basedOn w:val="Caption"/>
    <w:qFormat/>
    <w:rsid w:val="0058295C"/>
    <w:pPr>
      <w:spacing w:after="0"/>
      <w:jc w:val="left"/>
    </w:pPr>
    <w:rPr>
      <w:rFonts w:ascii="Candara" w:eastAsiaTheme="majorEastAsia" w:hAnsi="Candara" w:cstheme="majorBidi"/>
      <w:b w:val="0"/>
      <w:snapToGrid/>
      <w:color w:val="auto"/>
      <w:sz w:val="16"/>
      <w:lang w:bidi="en-US"/>
    </w:rPr>
  </w:style>
  <w:style w:type="paragraph" w:customStyle="1" w:styleId="TableCentre">
    <w:name w:val="Table Centre"/>
    <w:basedOn w:val="Table"/>
    <w:qFormat/>
    <w:rsid w:val="00A44522"/>
    <w:pPr>
      <w:jc w:val="center"/>
    </w:pPr>
  </w:style>
  <w:style w:type="table" w:customStyle="1" w:styleId="TableGrid3">
    <w:name w:val="Table Grid3"/>
    <w:basedOn w:val="TableNormal"/>
    <w:next w:val="TableGrid"/>
    <w:uiPriority w:val="59"/>
    <w:rsid w:val="008E4A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7A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bmissionstandard">
    <w:name w:val="Submission standard"/>
    <w:basedOn w:val="TableNormal"/>
    <w:uiPriority w:val="99"/>
    <w:qFormat/>
    <w:rsid w:val="00A02F5C"/>
    <w:rPr>
      <w:rFonts w:ascii="Arial Narrow"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Times" w:hAnsi="Times"/>
        <w:b/>
        <w:sz w:val="20"/>
      </w:rPr>
      <w:tblPr/>
      <w:tcPr>
        <w:shd w:val="clear" w:color="auto" w:fill="BFBFBF"/>
      </w:tcPr>
    </w:tblStylePr>
  </w:style>
  <w:style w:type="paragraph" w:customStyle="1" w:styleId="COMtbl-HEADLeftAligned">
    <w:name w:val="COMtbl-HEAD Left Aligned"/>
    <w:basedOn w:val="Normal"/>
    <w:qFormat/>
    <w:rsid w:val="00187917"/>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187917"/>
    <w:pPr>
      <w:jc w:val="center"/>
    </w:pPr>
  </w:style>
  <w:style w:type="paragraph" w:customStyle="1" w:styleId="COMtbl-textLeftAligned">
    <w:name w:val="COMtbl-text Left Aligned"/>
    <w:basedOn w:val="COMtbl-HEADLeftAligned"/>
    <w:qFormat/>
    <w:rsid w:val="00187917"/>
    <w:rPr>
      <w:b w:val="0"/>
    </w:rPr>
  </w:style>
  <w:style w:type="paragraph" w:customStyle="1" w:styleId="COMtbl-textCentred">
    <w:name w:val="COMtbl-text Centred"/>
    <w:basedOn w:val="COMtbl-HEADCentred"/>
    <w:qFormat/>
    <w:rsid w:val="00187917"/>
    <w:rPr>
      <w:b w:val="0"/>
    </w:rPr>
  </w:style>
  <w:style w:type="table" w:customStyle="1" w:styleId="Submissionstandard1">
    <w:name w:val="Submission standard1"/>
    <w:basedOn w:val="TableNormal"/>
    <w:uiPriority w:val="99"/>
    <w:qFormat/>
    <w:rsid w:val="00201148"/>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imes" w:hAnsi="Times"/>
        <w:b/>
        <w:sz w:val="20"/>
      </w:rPr>
      <w:tblPr/>
      <w:tcPr>
        <w:shd w:val="clear" w:color="auto" w:fill="BFBFBF" w:themeFill="background1" w:themeFillShade="BF"/>
      </w:tcPr>
    </w:tblStylePr>
  </w:style>
  <w:style w:type="paragraph" w:customStyle="1" w:styleId="NormalBulletList">
    <w:name w:val="Normal Bullet List"/>
    <w:basedOn w:val="Normal"/>
    <w:uiPriority w:val="3"/>
    <w:qFormat/>
    <w:rsid w:val="00AB281E"/>
    <w:pPr>
      <w:widowControl/>
      <w:numPr>
        <w:numId w:val="9"/>
      </w:numPr>
      <w:spacing w:after="240" w:line="276" w:lineRule="auto"/>
      <w:ind w:left="357" w:hanging="357"/>
      <w:contextualSpacing/>
    </w:pPr>
    <w:rPr>
      <w:rFonts w:ascii="Candara" w:eastAsiaTheme="majorEastAsia" w:hAnsi="Candara" w:cstheme="majorBidi"/>
      <w:snapToGrid/>
      <w:sz w:val="24"/>
      <w:szCs w:val="22"/>
      <w:lang w:bidi="en-US"/>
    </w:rPr>
  </w:style>
  <w:style w:type="table" w:customStyle="1" w:styleId="TableGrid1">
    <w:name w:val="Table Grid1"/>
    <w:basedOn w:val="TableNormal"/>
    <w:next w:val="TableGrid"/>
    <w:uiPriority w:val="59"/>
    <w:rsid w:val="006568D7"/>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customStyle="1" w:styleId="Default">
    <w:name w:val="Default"/>
    <w:rsid w:val="00CA728D"/>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D5079E"/>
    <w:rPr>
      <w:sz w:val="20"/>
    </w:rPr>
  </w:style>
  <w:style w:type="character" w:customStyle="1" w:styleId="FootnoteTextChar">
    <w:name w:val="Footnote Text Char"/>
    <w:basedOn w:val="DefaultParagraphFont"/>
    <w:link w:val="FootnoteText"/>
    <w:semiHidden/>
    <w:rsid w:val="00D5079E"/>
    <w:rPr>
      <w:rFonts w:ascii="Arial" w:hAnsi="Arial" w:cs="Arial"/>
      <w:snapToGrid w:val="0"/>
      <w:lang w:eastAsia="en-US"/>
    </w:rPr>
  </w:style>
  <w:style w:type="character" w:styleId="FootnoteReference">
    <w:name w:val="footnote reference"/>
    <w:basedOn w:val="DefaultParagraphFont"/>
    <w:semiHidden/>
    <w:unhideWhenUsed/>
    <w:rsid w:val="00D5079E"/>
    <w:rPr>
      <w:vertAlign w:val="superscript"/>
    </w:rPr>
  </w:style>
  <w:style w:type="table" w:customStyle="1" w:styleId="TableGrid4">
    <w:name w:val="Table Grid4"/>
    <w:basedOn w:val="TableNormal"/>
    <w:next w:val="TableGrid"/>
    <w:uiPriority w:val="59"/>
    <w:rsid w:val="00E25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54434"/>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0A2F46"/>
    <w:pPr>
      <w:ind w:left="720" w:hanging="720"/>
    </w:pPr>
    <w:rPr>
      <w:rFonts w:ascii="Arial" w:hAnsi="Arial" w:cs="Arial"/>
      <w:snapToGrid w:val="0"/>
      <w:sz w:val="22"/>
      <w:szCs w:val="22"/>
      <w:lang w:eastAsia="en-US"/>
    </w:rPr>
  </w:style>
  <w:style w:type="character" w:customStyle="1" w:styleId="ListParagraphChar">
    <w:name w:val="List Paragraph Char"/>
    <w:basedOn w:val="DefaultParagraphFont"/>
    <w:link w:val="ListParagraph"/>
    <w:uiPriority w:val="99"/>
    <w:rsid w:val="001F535A"/>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6349">
      <w:bodyDiv w:val="1"/>
      <w:marLeft w:val="0"/>
      <w:marRight w:val="0"/>
      <w:marTop w:val="0"/>
      <w:marBottom w:val="0"/>
      <w:divBdr>
        <w:top w:val="none" w:sz="0" w:space="0" w:color="auto"/>
        <w:left w:val="none" w:sz="0" w:space="0" w:color="auto"/>
        <w:bottom w:val="none" w:sz="0" w:space="0" w:color="auto"/>
        <w:right w:val="none" w:sz="0" w:space="0" w:color="auto"/>
      </w:divBdr>
    </w:div>
    <w:div w:id="965544440">
      <w:bodyDiv w:val="1"/>
      <w:marLeft w:val="0"/>
      <w:marRight w:val="0"/>
      <w:marTop w:val="0"/>
      <w:marBottom w:val="0"/>
      <w:divBdr>
        <w:top w:val="none" w:sz="0" w:space="0" w:color="auto"/>
        <w:left w:val="none" w:sz="0" w:space="0" w:color="auto"/>
        <w:bottom w:val="none" w:sz="0" w:space="0" w:color="auto"/>
        <w:right w:val="none" w:sz="0" w:space="0" w:color="auto"/>
      </w:divBdr>
    </w:div>
    <w:div w:id="1348021067">
      <w:bodyDiv w:val="1"/>
      <w:marLeft w:val="0"/>
      <w:marRight w:val="0"/>
      <w:marTop w:val="0"/>
      <w:marBottom w:val="0"/>
      <w:divBdr>
        <w:top w:val="none" w:sz="0" w:space="0" w:color="auto"/>
        <w:left w:val="none" w:sz="0" w:space="0" w:color="auto"/>
        <w:bottom w:val="none" w:sz="0" w:space="0" w:color="auto"/>
        <w:right w:val="none" w:sz="0" w:space="0" w:color="auto"/>
      </w:divBdr>
    </w:div>
    <w:div w:id="186747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Bra06</b:Tag>
    <b:SourceType>JournalArticle</b:SourceType>
    <b:Guid>{0E28530A-A220-48BD-A84F-B562205E8DE7}</b:Guid>
    <b:Author>
      <b:Author>
        <b:NameList>
          <b:Person>
            <b:Last>Branley</b:Last>
            <b:First>P</b:First>
          </b:Person>
        </b:NameList>
      </b:Author>
    </b:Author>
    <b:Title>The CARI Guidelines – Caring for Australasians with Renal Impairment</b:Title>
    <b:JournalName>Bone Disease, Calcium, Phosphate and Parathyroid Hormone</b:JournalName>
    <b:Year>2006</b:Year>
    <b:RefOrder>13</b:RefOrder>
  </b:Source>
  <b:Source>
    <b:Tag>Vif12</b:Tag>
    <b:SourceType>Misc</b:SourceType>
    <b:Guid>{98EC47F4-87F8-46D5-9BD0-EB5DCA6857D1}</b:Guid>
    <b:Author>
      <b:Author>
        <b:Corporate>Vifor Pharma</b:Corporate>
      </b:Author>
    </b:Author>
    <b:Title>Velphoro (sucroferric oxyhydroxide) Product Information</b:Title>
    <b:Year>2013</b:Year>
    <b:Month>October</b:Month>
    <b:Day>25</b:Day>
    <b:RefOrder>1</b:RefOrder>
  </b:Source>
  <b:Source>
    <b:Tag>San12</b:Tag>
    <b:SourceType>Misc</b:SourceType>
    <b:Guid>{C0C4A0A0-2438-46B4-BF68-1DD8F0713C8F}</b:Guid>
    <b:Author>
      <b:Author>
        <b:Corporate>Sanofi</b:Corporate>
      </b:Author>
    </b:Author>
    <b:Title>Renagel (sevelamer hydrochloride) Product Information</b:Title>
    <b:Year>2012</b:Year>
    <b:Month>June</b:Month>
    <b:Day>7</b:Day>
    <b:RefOrder>7</b:RefOrder>
  </b:Source>
  <b:Source>
    <b:Tag>Ble99</b:Tag>
    <b:SourceType>JournalArticle</b:SourceType>
    <b:Guid>{E0C59F08-DD99-4F61-B3CC-B4C8B4FDD39F}</b:Guid>
    <b:Author>
      <b:Author>
        <b:NameList>
          <b:Person>
            <b:Last>Bleyer</b:Last>
            <b:First>A</b:First>
          </b:Person>
          <b:Person>
            <b:Last>Burke</b:Last>
            <b:First>S</b:First>
          </b:Person>
          <b:Person>
            <b:Last>Dillon</b:Last>
            <b:First>M</b:First>
          </b:Person>
          <b:Person>
            <b:Last>Garrett</b:Last>
            <b:First>B</b:First>
          </b:Person>
          <b:Person>
            <b:Last>Kant</b:Last>
            <b:First>K</b:First>
          </b:Person>
        </b:NameList>
      </b:Author>
    </b:Author>
    <b:Title>A Comparison of the Calcium-Free Phosphate Binder Sevelamer Hydrochloride with Calcium Acetate in the Treatment of Hyperphosphatemia in Hemodialysis Patients</b:Title>
    <b:Year>1999</b:Year>
    <b:Publisher>American Journal of Kidney Diseases</b:Publisher>
    <b:JournalName>American Journal of Kidney Diseases</b:JournalName>
    <b:Pages>694-701</b:Pages>
    <b:RefOrder>23</b:RefOrder>
  </b:Source>
  <b:Source>
    <b:Tag>Bra04</b:Tag>
    <b:SourceType>JournalArticle</b:SourceType>
    <b:Guid>{40445C8D-3803-4ECE-9399-311D402038A5}</b:Guid>
    <b:Author>
      <b:Author>
        <b:NameList>
          <b:Person>
            <b:Last>Braun</b:Last>
            <b:First>J</b:First>
          </b:Person>
          <b:Person>
            <b:Last>Ausmus</b:Last>
            <b:First>H</b:First>
          </b:Person>
          <b:Person>
            <b:Last>Holzer</b:Last>
            <b:First>H</b:First>
          </b:Person>
          <b:Person>
            <b:Last>Brunkhorst</b:Last>
            <b:First>R</b:First>
          </b:Person>
          <b:Person>
            <b:Last>Krause</b:Last>
            <b:First>R</b:First>
          </b:Person>
          <b:Person>
            <b:Last>Schulz</b:Last>
            <b:First>W</b:First>
          </b:Person>
          <b:Person>
            <b:Last>Neumayer</b:Last>
            <b:First>H</b:First>
          </b:Person>
          <b:Person>
            <b:Last>Raggi</b:Last>
            <b:First>P</b:First>
          </b:Person>
          <b:Person>
            <b:Last>Bommer</b:Last>
            <b:First>J</b:First>
          </b:Person>
        </b:NameList>
      </b:Author>
    </b:Author>
    <b:Title>Long-term comparison of a calcium-free phosphate binder and calcium carbonate - phosphorus metabolism and cardiovascular calcification</b:Title>
    <b:JournalName>Clinical Nephrology</b:JournalName>
    <b:Year>2004</b:Year>
    <b:Pages>104-115</b:Pages>
    <b:RefOrder>24</b:RefOrder>
  </b:Source>
  <b:Source>
    <b:Tag>Che99</b:Tag>
    <b:SourceType>JournalArticle</b:SourceType>
    <b:Guid>{9B458BC4-4CAD-4FCA-9B9A-1B30BBD90CB0}</b:Guid>
    <b:Author>
      <b:Author>
        <b:NameList>
          <b:Person>
            <b:Last>Chertow</b:Last>
            <b:First>GM</b:First>
          </b:Person>
          <b:Person>
            <b:Last>Burke</b:Last>
            <b:First>SK</b:First>
          </b:Person>
          <b:Person>
            <b:Last>Dillon</b:Last>
            <b:First>MA</b:First>
          </b:Person>
          <b:Person>
            <b:Last>Slatopolsky</b:Last>
            <b:First>E</b:First>
          </b:Person>
          <b:Person>
            <b:Last>Group</b:Last>
            <b:First>RenaGel</b:First>
            <b:Middle>Study</b:Middle>
          </b:Person>
        </b:NameList>
      </b:Author>
    </b:Author>
    <b:Title>Long-term effects of sevelamer hydrochloride on the calcium x phosphate product and lipid profile of haemodialysis patients</b:Title>
    <b:JournalName>Nephrol Dial Transplant</b:JournalName>
    <b:Year>1999</b:Year>
    <b:Pages>14:2907-14</b:Pages>
    <b:RefOrder>25</b:RefOrder>
  </b:Source>
  <b:Source>
    <b:Tag>AIH11</b:Tag>
    <b:SourceType>DocumentFromInternetSite</b:SourceType>
    <b:Guid>{3FD89D8D-F6B1-4EA6-ADA6-099145F7F418}</b:Guid>
    <b:Author>
      <b:Author>
        <b:Corporate>AIHW</b:Corporate>
      </b:Author>
    </b:Author>
    <b:Title>End-stage kidney disease in Australia: total incidence, 2003-2007.</b:Title>
    <b:Year>2011</b:Year>
    <b:Publisher>Australian Institute of Health and Welfare</b:Publisher>
    <b:Month>June</b:Month>
    <b:Day>21</b:Day>
    <b:YearAccessed>2013</b:YearAccessed>
    <b:MonthAccessed>November</b:MonthAccessed>
    <b:URL>http://www.aihw.gov.au/publication-detail/?id=10737419269</b:URL>
    <b:RefOrder>2</b:RefOrder>
  </b:Source>
  <b:Source>
    <b:Tag>ANZ12</b:Tag>
    <b:SourceType>Report</b:SourceType>
    <b:Guid>{8B7F4A06-F135-48AF-B695-03E6259D2F57}</b:Guid>
    <b:Author>
      <b:Author>
        <b:Corporate>ANZDATA</b:Corporate>
      </b:Author>
    </b:Author>
    <b:Title>Summary of Australia and New Zealand Dialysis and Transplantation</b:Title>
    <b:Year>2012</b:Year>
    <b:Publisher>ANZDATA</b:Publisher>
    <b:RefOrder>3</b:RefOrder>
  </b:Source>
  <b:Source>
    <b:Tag>Alb05</b:Tag>
    <b:SourceType>JournalArticle</b:SourceType>
    <b:Guid>{1135743B-E8E5-4745-A06F-665A8906209C}</b:Guid>
    <b:Author>
      <b:Author>
        <b:NameList>
          <b:Person>
            <b:Last>Albaaj</b:Last>
            <b:First>F</b:First>
          </b:Person>
          <b:Person>
            <b:Last>Hutchison</b:Last>
            <b:First>A</b:First>
          </b:Person>
        </b:NameList>
      </b:Author>
    </b:Author>
    <b:Title>Lanthanum carbonate (Fosrenol®): a novel agent for the treatment of hyperphosphataemia in renal failure and dialysis patients</b:Title>
    <b:Year>2005</b:Year>
    <b:JournalName>International Journal of Clinical Practice</b:JournalName>
    <b:Pages>1091-1096</b:Pages>
    <b:RefOrder>4</b:RefOrder>
  </b:Source>
  <b:Source>
    <b:Tag>Nat03</b:Tag>
    <b:SourceType>JournalArticle</b:SourceType>
    <b:Guid>{58F0200D-28ED-4275-A14F-0F526834933D}</b:Guid>
    <b:Author>
      <b:Author>
        <b:Corporate>National Kidney Foundation</b:Corporate>
      </b:Author>
    </b:Author>
    <b:Title>KDOQI Clinical Practice Guidelines for Bone Metabolism and Disease in Chronic Kidney Disease</b:Title>
    <b:Year>2003</b:Year>
    <b:RefOrder>5</b:RefOrder>
  </b:Source>
</b:Sources>
</file>

<file path=customXml/itemProps1.xml><?xml version="1.0" encoding="utf-8"?>
<ds:datastoreItem xmlns:ds="http://schemas.openxmlformats.org/officeDocument/2006/customXml" ds:itemID="{487DC84E-303C-48C2-B2CA-D64BCC71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5950</Words>
  <Characters>38501</Characters>
  <Application>Microsoft Office Word</Application>
  <DocSecurity>0</DocSecurity>
  <Lines>320</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2015-02-24T00:36:00Z</dcterms:created>
  <dcterms:modified xsi:type="dcterms:W3CDTF">2015-03-03T02:53:00Z</dcterms:modified>
</cp:coreProperties>
</file>