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630" w:rsidRDefault="00291BBE" w:rsidP="00291BBE">
      <w:pPr>
        <w:ind w:left="720" w:hanging="720"/>
        <w:rPr>
          <w:rFonts w:ascii="Arial" w:hAnsi="Arial"/>
          <w:b/>
          <w:sz w:val="28"/>
          <w:szCs w:val="28"/>
        </w:rPr>
      </w:pPr>
      <w:bookmarkStart w:id="0" w:name="_GoBack"/>
      <w:bookmarkEnd w:id="0"/>
      <w:r>
        <w:rPr>
          <w:rFonts w:ascii="Arial" w:hAnsi="Arial"/>
          <w:b/>
          <w:sz w:val="28"/>
          <w:szCs w:val="28"/>
        </w:rPr>
        <w:t>5.21</w:t>
      </w:r>
      <w:r w:rsidR="007C0F57" w:rsidRPr="006D6EC7">
        <w:rPr>
          <w:rFonts w:ascii="Arial" w:hAnsi="Arial"/>
          <w:b/>
          <w:sz w:val="28"/>
          <w:szCs w:val="28"/>
        </w:rPr>
        <w:tab/>
      </w:r>
      <w:r w:rsidR="003B4630">
        <w:rPr>
          <w:rFonts w:ascii="Arial" w:hAnsi="Arial"/>
          <w:b/>
          <w:sz w:val="28"/>
          <w:szCs w:val="28"/>
        </w:rPr>
        <w:t>RITUXIMAB</w:t>
      </w:r>
    </w:p>
    <w:p w:rsidR="00D3280C" w:rsidRPr="006D6EC7" w:rsidRDefault="00291BBE" w:rsidP="003B4630">
      <w:pPr>
        <w:ind w:left="720"/>
        <w:rPr>
          <w:rFonts w:ascii="Arial" w:hAnsi="Arial"/>
          <w:b/>
          <w:sz w:val="28"/>
          <w:szCs w:val="28"/>
        </w:rPr>
      </w:pPr>
      <w:r w:rsidRPr="00291BBE">
        <w:rPr>
          <w:rFonts w:ascii="Arial" w:hAnsi="Arial"/>
          <w:b/>
          <w:sz w:val="28"/>
          <w:szCs w:val="28"/>
        </w:rPr>
        <w:t>1,400 mg/11.7 mL</w:t>
      </w:r>
      <w:r w:rsidR="00DD6536">
        <w:rPr>
          <w:rFonts w:ascii="Arial" w:hAnsi="Arial"/>
          <w:b/>
          <w:sz w:val="28"/>
          <w:szCs w:val="28"/>
        </w:rPr>
        <w:t>;</w:t>
      </w:r>
      <w:r w:rsidRPr="00291BBE">
        <w:rPr>
          <w:rFonts w:ascii="Arial" w:hAnsi="Arial"/>
          <w:b/>
          <w:sz w:val="28"/>
          <w:szCs w:val="28"/>
        </w:rPr>
        <w:t xml:space="preserve"> solution for subcutaneous injection</w:t>
      </w:r>
      <w:r w:rsidR="00DD6536">
        <w:rPr>
          <w:rFonts w:ascii="Arial" w:hAnsi="Arial"/>
          <w:b/>
          <w:sz w:val="28"/>
          <w:szCs w:val="28"/>
        </w:rPr>
        <w:t>;</w:t>
      </w:r>
      <w:r w:rsidRPr="00291BBE">
        <w:rPr>
          <w:rFonts w:ascii="Arial" w:hAnsi="Arial"/>
          <w:b/>
          <w:sz w:val="28"/>
          <w:szCs w:val="28"/>
        </w:rPr>
        <w:t xml:space="preserve"> Mabthera</w:t>
      </w:r>
      <w:r w:rsidRPr="00291BBE">
        <w:rPr>
          <w:rFonts w:ascii="Arial" w:hAnsi="Arial"/>
          <w:b/>
          <w:sz w:val="28"/>
          <w:szCs w:val="28"/>
          <w:vertAlign w:val="superscript"/>
        </w:rPr>
        <w:t xml:space="preserve">® </w:t>
      </w:r>
      <w:r w:rsidRPr="00291BBE">
        <w:rPr>
          <w:rFonts w:ascii="Arial" w:hAnsi="Arial"/>
          <w:b/>
          <w:sz w:val="28"/>
          <w:szCs w:val="28"/>
        </w:rPr>
        <w:t>SC</w:t>
      </w:r>
      <w:r w:rsidR="00DD6536">
        <w:rPr>
          <w:rFonts w:ascii="Arial" w:hAnsi="Arial"/>
          <w:b/>
          <w:sz w:val="28"/>
          <w:szCs w:val="28"/>
        </w:rPr>
        <w:t>;</w:t>
      </w:r>
      <w:r w:rsidRPr="00291BBE">
        <w:rPr>
          <w:rFonts w:ascii="Arial" w:hAnsi="Arial"/>
          <w:b/>
          <w:sz w:val="28"/>
          <w:szCs w:val="28"/>
        </w:rPr>
        <w:t xml:space="preserve"> Roche Products Pty Ltd</w:t>
      </w:r>
      <w:r>
        <w:rPr>
          <w:rFonts w:ascii="Arial" w:hAnsi="Arial"/>
          <w:b/>
          <w:sz w:val="28"/>
          <w:szCs w:val="28"/>
        </w:rPr>
        <w:t>.</w:t>
      </w:r>
    </w:p>
    <w:p w:rsidR="00CE10C4" w:rsidRDefault="00CE10C4" w:rsidP="00A5273B">
      <w:pPr>
        <w:rPr>
          <w:rFonts w:ascii="Arial" w:hAnsi="Arial"/>
          <w:b/>
        </w:rPr>
      </w:pPr>
    </w:p>
    <w:p w:rsidR="004878BB" w:rsidRDefault="004878BB" w:rsidP="00A5273B">
      <w:pPr>
        <w:rPr>
          <w:rFonts w:ascii="Arial" w:hAnsi="Arial"/>
          <w:b/>
        </w:rPr>
      </w:pPr>
    </w:p>
    <w:p w:rsidR="00CE10C4" w:rsidRPr="00882085" w:rsidRDefault="00CE10C4" w:rsidP="00271FDD">
      <w:pPr>
        <w:pStyle w:val="ListParagraph"/>
        <w:numPr>
          <w:ilvl w:val="0"/>
          <w:numId w:val="25"/>
        </w:numPr>
        <w:jc w:val="both"/>
        <w:rPr>
          <w:rFonts w:ascii="Arial" w:hAnsi="Arial"/>
          <w:b/>
          <w:sz w:val="22"/>
          <w:szCs w:val="22"/>
        </w:rPr>
      </w:pPr>
      <w:r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E16910" w:rsidRPr="00882085" w:rsidRDefault="00C53509" w:rsidP="00882085">
      <w:pPr>
        <w:pStyle w:val="ListParagraph"/>
        <w:numPr>
          <w:ilvl w:val="1"/>
          <w:numId w:val="25"/>
        </w:numPr>
        <w:jc w:val="both"/>
        <w:rPr>
          <w:rFonts w:ascii="Arial" w:hAnsi="Arial"/>
          <w:sz w:val="22"/>
          <w:szCs w:val="22"/>
        </w:rPr>
      </w:pPr>
      <w:r>
        <w:rPr>
          <w:rFonts w:ascii="Arial" w:hAnsi="Arial"/>
          <w:sz w:val="22"/>
          <w:szCs w:val="22"/>
        </w:rPr>
        <w:t>The minor submission seeks the PBS listing of a new formulation of rituximab</w:t>
      </w:r>
      <w:r w:rsidR="00461662">
        <w:rPr>
          <w:rFonts w:ascii="Arial" w:hAnsi="Arial"/>
          <w:sz w:val="22"/>
          <w:szCs w:val="22"/>
        </w:rPr>
        <w:t xml:space="preserve">, suitable for subcutaneous (SC) administration, </w:t>
      </w:r>
      <w:r>
        <w:rPr>
          <w:rFonts w:ascii="Arial" w:hAnsi="Arial"/>
          <w:sz w:val="22"/>
          <w:szCs w:val="22"/>
        </w:rPr>
        <w:t>for patients with non-Hodgkin’s lymphoma (NHL</w:t>
      </w:r>
      <w:r w:rsidRPr="00C53509">
        <w:rPr>
          <w:rFonts w:ascii="Arial" w:hAnsi="Arial"/>
          <w:sz w:val="22"/>
          <w:szCs w:val="22"/>
        </w:rPr>
        <w:t>).</w:t>
      </w:r>
    </w:p>
    <w:p w:rsidR="006A12A5" w:rsidRDefault="006A12A5" w:rsidP="00882085">
      <w:pPr>
        <w:jc w:val="both"/>
        <w:rPr>
          <w:rFonts w:ascii="Arial" w:hAnsi="Arial"/>
          <w:b/>
          <w:sz w:val="22"/>
          <w:szCs w:val="22"/>
        </w:rPr>
      </w:pPr>
    </w:p>
    <w:p w:rsidR="004878BB" w:rsidRPr="00882085" w:rsidRDefault="004878BB" w:rsidP="00882085">
      <w:pPr>
        <w:jc w:val="both"/>
        <w:rPr>
          <w:rFonts w:ascii="Arial" w:hAnsi="Arial"/>
          <w:b/>
          <w:sz w:val="22"/>
          <w:szCs w:val="22"/>
        </w:rPr>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5126F8" w:rsidRPr="00BF1952" w:rsidRDefault="005126F8" w:rsidP="005126F8">
      <w:pPr>
        <w:pStyle w:val="ListParagraph"/>
        <w:numPr>
          <w:ilvl w:val="1"/>
          <w:numId w:val="25"/>
        </w:numPr>
        <w:jc w:val="both"/>
        <w:rPr>
          <w:rFonts w:ascii="Arial" w:hAnsi="Arial"/>
          <w:sz w:val="22"/>
          <w:szCs w:val="22"/>
        </w:rPr>
      </w:pPr>
      <w:r>
        <w:rPr>
          <w:rFonts w:ascii="Arial" w:hAnsi="Arial"/>
          <w:sz w:val="22"/>
          <w:szCs w:val="22"/>
        </w:rPr>
        <w:t xml:space="preserve">The submission seeks the same PBS listings for rituximab SC injection as that of rituximab IV infusion:  </w:t>
      </w:r>
    </w:p>
    <w:p w:rsidR="005126F8" w:rsidRDefault="005126F8" w:rsidP="005126F8">
      <w:pPr>
        <w:pStyle w:val="ListParagraph"/>
        <w:numPr>
          <w:ilvl w:val="0"/>
          <w:numId w:val="38"/>
        </w:numPr>
        <w:jc w:val="both"/>
        <w:rPr>
          <w:rFonts w:ascii="Arial" w:hAnsi="Arial"/>
          <w:sz w:val="22"/>
          <w:szCs w:val="22"/>
        </w:rPr>
      </w:pPr>
      <w:r>
        <w:rPr>
          <w:rFonts w:ascii="Arial" w:hAnsi="Arial"/>
          <w:sz w:val="22"/>
          <w:szCs w:val="22"/>
        </w:rPr>
        <w:t>Treatment of previously untreated, CD20 positive, diffuse large B-cell non-Hodgkin’s lymphoma, in combination with chemotherapy;</w:t>
      </w:r>
    </w:p>
    <w:p w:rsidR="005126F8" w:rsidRDefault="005126F8" w:rsidP="005126F8">
      <w:pPr>
        <w:pStyle w:val="ListParagraph"/>
        <w:numPr>
          <w:ilvl w:val="0"/>
          <w:numId w:val="38"/>
        </w:numPr>
        <w:jc w:val="both"/>
        <w:rPr>
          <w:rFonts w:ascii="Arial" w:hAnsi="Arial"/>
          <w:sz w:val="22"/>
          <w:szCs w:val="22"/>
        </w:rPr>
      </w:pPr>
      <w:r>
        <w:rPr>
          <w:rFonts w:ascii="Arial" w:hAnsi="Arial"/>
          <w:sz w:val="22"/>
          <w:szCs w:val="22"/>
        </w:rPr>
        <w:t>Treatment of symptomatic patients with previously untreated, CD20 positive, State III or IV, follicular, B-cell non-Hodgkin’s lymphoma, in combination with chemotherapy;</w:t>
      </w:r>
    </w:p>
    <w:p w:rsidR="005126F8" w:rsidRDefault="005126F8" w:rsidP="005126F8">
      <w:pPr>
        <w:pStyle w:val="ListParagraph"/>
        <w:numPr>
          <w:ilvl w:val="0"/>
          <w:numId w:val="38"/>
        </w:numPr>
        <w:jc w:val="both"/>
        <w:rPr>
          <w:rFonts w:ascii="Arial" w:hAnsi="Arial"/>
          <w:sz w:val="22"/>
          <w:szCs w:val="22"/>
        </w:rPr>
      </w:pPr>
      <w:r>
        <w:rPr>
          <w:rFonts w:ascii="Arial" w:hAnsi="Arial"/>
          <w:sz w:val="22"/>
          <w:szCs w:val="22"/>
        </w:rPr>
        <w:t>Relapsed or refractory low-grade B-cell non-Hodgkin’s lymphoma;</w:t>
      </w:r>
    </w:p>
    <w:p w:rsidR="005126F8" w:rsidRDefault="005126F8" w:rsidP="005126F8">
      <w:pPr>
        <w:pStyle w:val="ListParagraph"/>
        <w:numPr>
          <w:ilvl w:val="0"/>
          <w:numId w:val="38"/>
        </w:numPr>
        <w:jc w:val="both"/>
        <w:rPr>
          <w:rFonts w:ascii="Arial" w:hAnsi="Arial"/>
          <w:sz w:val="22"/>
          <w:szCs w:val="22"/>
        </w:rPr>
      </w:pPr>
      <w:r>
        <w:rPr>
          <w:rFonts w:ascii="Arial" w:hAnsi="Arial"/>
          <w:sz w:val="22"/>
          <w:szCs w:val="22"/>
        </w:rPr>
        <w:t>Relapsed or refractory follicular B-cell non-Hodgkin’s lymphoma.</w:t>
      </w:r>
    </w:p>
    <w:p w:rsidR="005126F8" w:rsidRDefault="005126F8" w:rsidP="005126F8">
      <w:pPr>
        <w:pStyle w:val="ListParagraph"/>
        <w:ind w:left="1080"/>
        <w:jc w:val="both"/>
        <w:rPr>
          <w:rFonts w:ascii="Arial" w:hAnsi="Arial"/>
          <w:sz w:val="22"/>
          <w:szCs w:val="22"/>
        </w:rPr>
      </w:pPr>
    </w:p>
    <w:p w:rsidR="005126F8" w:rsidRDefault="005126F8" w:rsidP="00F1234B">
      <w:pPr>
        <w:pStyle w:val="ListParagraph"/>
        <w:numPr>
          <w:ilvl w:val="1"/>
          <w:numId w:val="25"/>
        </w:numPr>
        <w:jc w:val="both"/>
        <w:rPr>
          <w:rFonts w:ascii="Arial" w:hAnsi="Arial"/>
          <w:sz w:val="22"/>
          <w:szCs w:val="22"/>
        </w:rPr>
      </w:pPr>
      <w:r w:rsidRPr="00215451">
        <w:rPr>
          <w:rFonts w:ascii="Arial" w:hAnsi="Arial"/>
          <w:sz w:val="22"/>
          <w:szCs w:val="22"/>
        </w:rPr>
        <w:t xml:space="preserve">The submission states that the sponsor will seek the same PBS listing of rituximab </w:t>
      </w:r>
      <w:r w:rsidR="00D7275D">
        <w:rPr>
          <w:rFonts w:ascii="Arial" w:hAnsi="Arial"/>
          <w:sz w:val="22"/>
          <w:szCs w:val="22"/>
        </w:rPr>
        <w:t>SC</w:t>
      </w:r>
      <w:r w:rsidRPr="00215451">
        <w:rPr>
          <w:rFonts w:ascii="Arial" w:hAnsi="Arial"/>
          <w:sz w:val="22"/>
          <w:szCs w:val="22"/>
        </w:rPr>
        <w:t xml:space="preserve"> injection in maintenance setting as that of rituximab </w:t>
      </w:r>
      <w:r>
        <w:rPr>
          <w:rFonts w:ascii="Arial" w:hAnsi="Arial"/>
          <w:sz w:val="22"/>
          <w:szCs w:val="22"/>
        </w:rPr>
        <w:t>IV infusion</w:t>
      </w:r>
      <w:r w:rsidRPr="00215451">
        <w:rPr>
          <w:rFonts w:ascii="Arial" w:hAnsi="Arial"/>
          <w:sz w:val="22"/>
          <w:szCs w:val="22"/>
        </w:rPr>
        <w:t xml:space="preserve"> if rituximab </w:t>
      </w:r>
      <w:r>
        <w:rPr>
          <w:rFonts w:ascii="Arial" w:hAnsi="Arial"/>
          <w:sz w:val="22"/>
          <w:szCs w:val="22"/>
        </w:rPr>
        <w:t>IV infusion</w:t>
      </w:r>
      <w:r w:rsidRPr="00215451">
        <w:rPr>
          <w:rFonts w:ascii="Arial" w:hAnsi="Arial"/>
          <w:sz w:val="22"/>
          <w:szCs w:val="22"/>
        </w:rPr>
        <w:t xml:space="preserve"> is PBS listed for maintenance therapy</w:t>
      </w:r>
      <w:r>
        <w:rPr>
          <w:rFonts w:ascii="Arial" w:hAnsi="Arial"/>
          <w:sz w:val="22"/>
          <w:szCs w:val="22"/>
        </w:rPr>
        <w:t>.</w:t>
      </w:r>
    </w:p>
    <w:p w:rsidR="005126F8" w:rsidRDefault="005126F8" w:rsidP="005126F8">
      <w:pPr>
        <w:pStyle w:val="ListParagraph"/>
        <w:jc w:val="both"/>
        <w:rPr>
          <w:rFonts w:ascii="Arial" w:hAnsi="Arial"/>
          <w:sz w:val="22"/>
          <w:szCs w:val="22"/>
        </w:rPr>
      </w:pPr>
    </w:p>
    <w:p w:rsidR="004465BD" w:rsidRPr="005126F8" w:rsidRDefault="005126F8" w:rsidP="004465BD">
      <w:pPr>
        <w:pStyle w:val="ListParagraph"/>
        <w:numPr>
          <w:ilvl w:val="1"/>
          <w:numId w:val="25"/>
        </w:numPr>
        <w:jc w:val="both"/>
        <w:rPr>
          <w:rFonts w:ascii="Arial" w:hAnsi="Arial"/>
          <w:sz w:val="22"/>
          <w:szCs w:val="22"/>
        </w:rPr>
      </w:pPr>
      <w:r>
        <w:rPr>
          <w:rFonts w:ascii="Arial" w:hAnsi="Arial"/>
          <w:sz w:val="22"/>
          <w:szCs w:val="22"/>
        </w:rPr>
        <w:t>The submission states that t</w:t>
      </w:r>
      <w:r w:rsidRPr="00AC2486">
        <w:rPr>
          <w:rFonts w:ascii="Arial" w:hAnsi="Arial"/>
          <w:sz w:val="22"/>
          <w:szCs w:val="22"/>
        </w:rPr>
        <w:t>he highest risk of experiencing an infusion-related reaction with rituximab is during the first dose; thus, before starting rituximab SC, all patients must always receive beforehand, a full dose of rituximab by IV infusion. If patients were not able to receive one full rituximab IV infusion, they should continue subsequent cycles with IV rituximab until a full IV dose is successfully administered</w:t>
      </w:r>
      <w:r>
        <w:rPr>
          <w:rFonts w:ascii="Arial" w:hAnsi="Arial"/>
          <w:sz w:val="22"/>
          <w:szCs w:val="22"/>
        </w:rPr>
        <w:t>.</w:t>
      </w:r>
    </w:p>
    <w:p w:rsidR="00E16910" w:rsidRPr="00882085" w:rsidRDefault="00E16910" w:rsidP="00882085">
      <w:pPr>
        <w:pStyle w:val="ListParagraph"/>
        <w:jc w:val="both"/>
        <w:rPr>
          <w:rFonts w:ascii="Arial" w:hAnsi="Arial"/>
          <w:sz w:val="22"/>
          <w:szCs w:val="22"/>
        </w:rPr>
      </w:pPr>
    </w:p>
    <w:p w:rsidR="00196307" w:rsidRDefault="005126F8" w:rsidP="00882085">
      <w:pPr>
        <w:pStyle w:val="ListParagraph"/>
        <w:numPr>
          <w:ilvl w:val="1"/>
          <w:numId w:val="25"/>
        </w:numPr>
        <w:jc w:val="both"/>
        <w:rPr>
          <w:rFonts w:ascii="Arial" w:hAnsi="Arial"/>
          <w:sz w:val="22"/>
          <w:szCs w:val="22"/>
        </w:rPr>
      </w:pPr>
      <w:r>
        <w:rPr>
          <w:rFonts w:ascii="Arial" w:hAnsi="Arial"/>
          <w:sz w:val="22"/>
          <w:szCs w:val="22"/>
        </w:rPr>
        <w:t>T</w:t>
      </w:r>
      <w:r w:rsidR="002B1AE6" w:rsidRPr="00882085">
        <w:rPr>
          <w:rFonts w:ascii="Arial" w:hAnsi="Arial"/>
          <w:sz w:val="22"/>
          <w:szCs w:val="22"/>
        </w:rPr>
        <w:t xml:space="preserve">he </w:t>
      </w:r>
      <w:r w:rsidR="008E3680" w:rsidRPr="00882085">
        <w:rPr>
          <w:rFonts w:ascii="Arial" w:hAnsi="Arial"/>
          <w:sz w:val="22"/>
          <w:szCs w:val="22"/>
        </w:rPr>
        <w:t xml:space="preserve">requested basis for listing </w:t>
      </w:r>
      <w:r>
        <w:rPr>
          <w:rFonts w:ascii="Arial" w:hAnsi="Arial"/>
          <w:sz w:val="22"/>
          <w:szCs w:val="22"/>
        </w:rPr>
        <w:t xml:space="preserve">is a cost minimisation analysis </w:t>
      </w:r>
      <w:r w:rsidR="00911CE8">
        <w:rPr>
          <w:rFonts w:ascii="Arial" w:hAnsi="Arial"/>
          <w:sz w:val="22"/>
          <w:szCs w:val="22"/>
        </w:rPr>
        <w:t xml:space="preserve">of rituximab SC compared with rituximab IV </w:t>
      </w:r>
      <w:r w:rsidR="00911CE8" w:rsidRPr="001A566F">
        <w:rPr>
          <w:rFonts w:ascii="Arial" w:hAnsi="Arial"/>
          <w:sz w:val="22"/>
          <w:szCs w:val="22"/>
        </w:rPr>
        <w:t>in patients with previously untreated follicular lymphoma</w:t>
      </w:r>
      <w:r w:rsidR="00911CE8">
        <w:rPr>
          <w:rFonts w:ascii="Arial" w:hAnsi="Arial"/>
          <w:sz w:val="22"/>
          <w:szCs w:val="22"/>
        </w:rPr>
        <w:t>.</w:t>
      </w:r>
    </w:p>
    <w:p w:rsidR="00C656AA" w:rsidRPr="00C656AA" w:rsidRDefault="00C656AA" w:rsidP="00C656AA">
      <w:pPr>
        <w:pStyle w:val="ListParagrap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jc w:val="both"/>
        <w:rPr>
          <w:rFonts w:ascii="Arial" w:hAnsi="Arial"/>
          <w:b/>
          <w:sz w:val="22"/>
          <w:szCs w:val="22"/>
        </w:rPr>
      </w:pPr>
    </w:p>
    <w:p w:rsidR="004878BB" w:rsidRPr="00882085" w:rsidRDefault="004878BB"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911CE8" w:rsidRPr="00A361BB" w:rsidRDefault="00911CE8" w:rsidP="00911CE8">
      <w:pPr>
        <w:pStyle w:val="ListParagraph"/>
        <w:numPr>
          <w:ilvl w:val="1"/>
          <w:numId w:val="25"/>
        </w:numPr>
        <w:jc w:val="both"/>
        <w:rPr>
          <w:rFonts w:ascii="Arial" w:hAnsi="Arial"/>
          <w:i/>
          <w:sz w:val="22"/>
          <w:szCs w:val="22"/>
        </w:rPr>
      </w:pPr>
      <w:r>
        <w:rPr>
          <w:rFonts w:ascii="Arial" w:hAnsi="Arial"/>
          <w:sz w:val="22"/>
          <w:szCs w:val="22"/>
        </w:rPr>
        <w:t>Rituximab SC was TGA registered on 26 May 2014 for the following indications:</w:t>
      </w:r>
    </w:p>
    <w:p w:rsidR="00911CE8" w:rsidRPr="00A361BB" w:rsidRDefault="00911CE8" w:rsidP="00911CE8">
      <w:pPr>
        <w:pStyle w:val="ListParagraph"/>
        <w:numPr>
          <w:ilvl w:val="0"/>
          <w:numId w:val="38"/>
        </w:numPr>
        <w:jc w:val="both"/>
        <w:rPr>
          <w:rFonts w:ascii="Arial" w:hAnsi="Arial"/>
          <w:sz w:val="22"/>
          <w:szCs w:val="22"/>
        </w:rPr>
      </w:pPr>
      <w:r w:rsidRPr="00A361BB">
        <w:rPr>
          <w:rFonts w:ascii="Arial" w:hAnsi="Arial"/>
          <w:sz w:val="22"/>
          <w:szCs w:val="22"/>
        </w:rPr>
        <w:t>CD20 positive, previously untreated, Stage III/IV follicular, B-cell non-Hodgkin’s lymphoma;</w:t>
      </w:r>
    </w:p>
    <w:p w:rsidR="00911CE8" w:rsidRPr="00A361BB" w:rsidRDefault="00911CE8" w:rsidP="00911CE8">
      <w:pPr>
        <w:pStyle w:val="ListParagraph"/>
        <w:numPr>
          <w:ilvl w:val="0"/>
          <w:numId w:val="38"/>
        </w:numPr>
        <w:jc w:val="both"/>
        <w:rPr>
          <w:rFonts w:ascii="Arial" w:hAnsi="Arial"/>
          <w:sz w:val="22"/>
          <w:szCs w:val="22"/>
        </w:rPr>
      </w:pPr>
      <w:r w:rsidRPr="00A361BB">
        <w:rPr>
          <w:rFonts w:ascii="Arial" w:hAnsi="Arial"/>
          <w:sz w:val="22"/>
          <w:szCs w:val="22"/>
        </w:rPr>
        <w:t>CD20 positive, relapsed or refractory low grade or follicular, B-cell non-Hodgkin's lymphoma;</w:t>
      </w:r>
    </w:p>
    <w:p w:rsidR="00911CE8" w:rsidRDefault="00911CE8" w:rsidP="00911CE8">
      <w:pPr>
        <w:pStyle w:val="ListParagraph"/>
        <w:numPr>
          <w:ilvl w:val="0"/>
          <w:numId w:val="38"/>
        </w:numPr>
        <w:jc w:val="both"/>
        <w:rPr>
          <w:rFonts w:ascii="Arial" w:hAnsi="Arial"/>
          <w:sz w:val="22"/>
          <w:szCs w:val="22"/>
        </w:rPr>
      </w:pPr>
      <w:r w:rsidRPr="00A361BB">
        <w:rPr>
          <w:rFonts w:ascii="Arial" w:hAnsi="Arial"/>
          <w:sz w:val="22"/>
          <w:szCs w:val="22"/>
        </w:rPr>
        <w:t>CD20 positive, diffuse large B-cell non-Hodgkin’s lymphoma, in combination with chemotherapy</w:t>
      </w:r>
      <w:r>
        <w:rPr>
          <w:rFonts w:ascii="Arial" w:hAnsi="Arial"/>
          <w:sz w:val="22"/>
          <w:szCs w:val="22"/>
        </w:rPr>
        <w:t>.</w:t>
      </w:r>
    </w:p>
    <w:p w:rsidR="00326E79" w:rsidRPr="00882085" w:rsidRDefault="00911CE8" w:rsidP="00882085">
      <w:pPr>
        <w:pStyle w:val="ListParagraph"/>
        <w:numPr>
          <w:ilvl w:val="1"/>
          <w:numId w:val="25"/>
        </w:numPr>
        <w:jc w:val="both"/>
        <w:rPr>
          <w:rFonts w:ascii="Arial" w:hAnsi="Arial"/>
          <w:sz w:val="22"/>
          <w:szCs w:val="22"/>
        </w:rPr>
      </w:pPr>
      <w:r>
        <w:rPr>
          <w:rFonts w:ascii="Arial" w:hAnsi="Arial"/>
          <w:sz w:val="22"/>
          <w:szCs w:val="22"/>
        </w:rPr>
        <w:lastRenderedPageBreak/>
        <w:t>Rituximab SC has not previously been</w:t>
      </w:r>
      <w:r w:rsidRPr="00882085">
        <w:rPr>
          <w:rFonts w:ascii="Arial" w:hAnsi="Arial"/>
          <w:sz w:val="22"/>
          <w:szCs w:val="22"/>
        </w:rPr>
        <w:t xml:space="preserve"> considered by PBAC</w:t>
      </w:r>
      <w:r>
        <w:rPr>
          <w:rFonts w:ascii="Arial" w:hAnsi="Arial"/>
          <w:sz w:val="22"/>
          <w:szCs w:val="22"/>
        </w:rPr>
        <w:t>.</w:t>
      </w:r>
    </w:p>
    <w:p w:rsidR="006A12A5" w:rsidRPr="00DD6536" w:rsidRDefault="006A12A5" w:rsidP="00882085">
      <w:pPr>
        <w:jc w:val="both"/>
        <w:rPr>
          <w:rFonts w:ascii="Arial" w:hAnsi="Arial"/>
          <w:sz w:val="22"/>
          <w:szCs w:val="22"/>
        </w:rPr>
      </w:pPr>
    </w:p>
    <w:p w:rsidR="00BB7EC3" w:rsidRPr="00882085" w:rsidRDefault="00BB7EC3"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b/>
          <w:sz w:val="22"/>
          <w:szCs w:val="22"/>
        </w:rPr>
      </w:pPr>
      <w:r w:rsidRPr="00882085">
        <w:rPr>
          <w:rFonts w:ascii="Arial" w:hAnsi="Arial"/>
          <w:b/>
          <w:sz w:val="22"/>
          <w:szCs w:val="22"/>
        </w:rPr>
        <w:t>Clinical place for the proposed ther</w:t>
      </w:r>
      <w:r w:rsidR="006A12A5" w:rsidRPr="00882085">
        <w:rPr>
          <w:rFonts w:ascii="Arial" w:hAnsi="Arial"/>
          <w:b/>
          <w:sz w:val="22"/>
          <w:szCs w:val="22"/>
        </w:rPr>
        <w:t>apy</w:t>
      </w:r>
    </w:p>
    <w:p w:rsidR="00CE10C4" w:rsidRPr="00882085" w:rsidRDefault="00CE10C4" w:rsidP="00882085">
      <w:pPr>
        <w:jc w:val="both"/>
        <w:rPr>
          <w:rFonts w:ascii="Arial" w:hAnsi="Arial"/>
          <w:sz w:val="22"/>
          <w:szCs w:val="22"/>
        </w:rPr>
      </w:pPr>
    </w:p>
    <w:p w:rsidR="006A12A5" w:rsidRPr="00882085" w:rsidRDefault="00911CE8" w:rsidP="00882085">
      <w:pPr>
        <w:pStyle w:val="ListParagraph"/>
        <w:numPr>
          <w:ilvl w:val="1"/>
          <w:numId w:val="25"/>
        </w:numPr>
        <w:jc w:val="both"/>
        <w:rPr>
          <w:rFonts w:ascii="Arial" w:hAnsi="Arial"/>
          <w:sz w:val="22"/>
          <w:szCs w:val="22"/>
        </w:rPr>
      </w:pPr>
      <w:r w:rsidRPr="00163559">
        <w:rPr>
          <w:rFonts w:ascii="Arial" w:hAnsi="Arial"/>
          <w:sz w:val="22"/>
          <w:szCs w:val="22"/>
        </w:rPr>
        <w:t>Rituximab exerts its anti-lymphoma activity by binding to</w:t>
      </w:r>
      <w:r>
        <w:rPr>
          <w:rFonts w:ascii="Arial" w:hAnsi="Arial"/>
          <w:sz w:val="22"/>
          <w:szCs w:val="22"/>
        </w:rPr>
        <w:t xml:space="preserve"> CD20 and mediating B-cell lysis.</w:t>
      </w:r>
    </w:p>
    <w:p w:rsidR="00C35996" w:rsidRPr="00882085" w:rsidRDefault="00C35996" w:rsidP="00882085">
      <w:pPr>
        <w:pStyle w:val="ListParagraph"/>
        <w:jc w:val="both"/>
        <w:rPr>
          <w:rFonts w:ascii="Arial" w:hAnsi="Arial"/>
          <w:sz w:val="22"/>
          <w:szCs w:val="22"/>
        </w:rPr>
      </w:pPr>
    </w:p>
    <w:p w:rsidR="006A12A5" w:rsidRPr="00882085" w:rsidRDefault="00911CE8" w:rsidP="00882085">
      <w:pPr>
        <w:pStyle w:val="ListParagraph"/>
        <w:numPr>
          <w:ilvl w:val="1"/>
          <w:numId w:val="25"/>
        </w:numPr>
        <w:jc w:val="both"/>
        <w:rPr>
          <w:rFonts w:ascii="Arial" w:hAnsi="Arial"/>
          <w:sz w:val="22"/>
          <w:szCs w:val="22"/>
        </w:rPr>
      </w:pPr>
      <w:r>
        <w:rPr>
          <w:rFonts w:ascii="Arial" w:hAnsi="Arial"/>
          <w:sz w:val="22"/>
          <w:szCs w:val="22"/>
        </w:rPr>
        <w:t>The PBAC noted the submission claimed that r</w:t>
      </w:r>
      <w:r w:rsidRPr="001E562B">
        <w:rPr>
          <w:rFonts w:ascii="Arial" w:hAnsi="Arial"/>
          <w:sz w:val="22"/>
          <w:szCs w:val="22"/>
        </w:rPr>
        <w:t>ituximab SC offers a convenient alternative to the IV formulation</w:t>
      </w:r>
      <w:r>
        <w:rPr>
          <w:rFonts w:ascii="Arial" w:hAnsi="Arial"/>
          <w:sz w:val="22"/>
          <w:szCs w:val="22"/>
        </w:rPr>
        <w:t>.</w:t>
      </w:r>
      <w:r w:rsidR="00C35996" w:rsidRPr="00882085">
        <w:rPr>
          <w:rFonts w:ascii="Arial" w:hAnsi="Arial"/>
          <w:sz w:val="22"/>
          <w:szCs w:val="22"/>
        </w:rPr>
        <w:tab/>
      </w:r>
      <w:r w:rsidR="00C35996" w:rsidRPr="00882085">
        <w:rPr>
          <w:rFonts w:ascii="Arial" w:hAnsi="Arial"/>
          <w:sz w:val="22"/>
          <w:szCs w:val="22"/>
        </w:rPr>
        <w:tab/>
      </w:r>
    </w:p>
    <w:p w:rsidR="006A12A5" w:rsidRDefault="006A12A5" w:rsidP="00882085">
      <w:pPr>
        <w:pStyle w:val="Header"/>
        <w:tabs>
          <w:tab w:val="clear" w:pos="4153"/>
          <w:tab w:val="clear" w:pos="8306"/>
        </w:tabs>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pStyle w:val="Header"/>
        <w:tabs>
          <w:tab w:val="clear" w:pos="4153"/>
          <w:tab w:val="clear" w:pos="8306"/>
        </w:tabs>
        <w:jc w:val="both"/>
        <w:rPr>
          <w:rFonts w:ascii="Arial" w:hAnsi="Arial"/>
          <w:sz w:val="22"/>
          <w:szCs w:val="22"/>
        </w:rPr>
      </w:pPr>
    </w:p>
    <w:p w:rsidR="004878BB" w:rsidRPr="00882085" w:rsidRDefault="004878BB" w:rsidP="00882085">
      <w:pPr>
        <w:pStyle w:val="Header"/>
        <w:tabs>
          <w:tab w:val="clear" w:pos="4153"/>
          <w:tab w:val="clear" w:pos="8306"/>
        </w:tabs>
        <w:jc w:val="both"/>
        <w:rPr>
          <w:rFonts w:ascii="Arial" w:hAnsi="Arial"/>
          <w:sz w:val="22"/>
          <w:szCs w:val="22"/>
        </w:rPr>
      </w:pPr>
    </w:p>
    <w:p w:rsidR="005A3173" w:rsidRPr="00882085" w:rsidRDefault="005A3173" w:rsidP="00882085">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5A3173" w:rsidRPr="00882085" w:rsidRDefault="005A3173" w:rsidP="00882085">
      <w:pPr>
        <w:pStyle w:val="Header"/>
        <w:tabs>
          <w:tab w:val="clear" w:pos="4153"/>
          <w:tab w:val="clear" w:pos="8306"/>
        </w:tabs>
        <w:jc w:val="both"/>
        <w:rPr>
          <w:rFonts w:ascii="Arial" w:hAnsi="Arial"/>
          <w:b/>
          <w:sz w:val="22"/>
          <w:szCs w:val="22"/>
        </w:rPr>
      </w:pPr>
    </w:p>
    <w:p w:rsidR="00C35996" w:rsidRPr="00882085" w:rsidRDefault="00911CE8" w:rsidP="00882085">
      <w:pPr>
        <w:pStyle w:val="ListParagraph"/>
        <w:numPr>
          <w:ilvl w:val="1"/>
          <w:numId w:val="25"/>
        </w:numPr>
        <w:jc w:val="both"/>
        <w:rPr>
          <w:rFonts w:ascii="Arial" w:hAnsi="Arial"/>
          <w:sz w:val="22"/>
          <w:szCs w:val="22"/>
        </w:rPr>
      </w:pPr>
      <w:r w:rsidRPr="001E562B">
        <w:rPr>
          <w:rFonts w:ascii="Arial" w:hAnsi="Arial"/>
          <w:sz w:val="22"/>
          <w:szCs w:val="22"/>
        </w:rPr>
        <w:t xml:space="preserve">The minor </w:t>
      </w:r>
      <w:r w:rsidRPr="001E562B">
        <w:rPr>
          <w:rFonts w:ascii="Arial" w:hAnsi="Arial" w:cs="Arial"/>
          <w:sz w:val="22"/>
          <w:szCs w:val="22"/>
        </w:rPr>
        <w:t xml:space="preserve">submission </w:t>
      </w:r>
      <w:r w:rsidRPr="001E562B">
        <w:rPr>
          <w:rFonts w:ascii="Arial" w:eastAsia="SimSun" w:hAnsi="Arial" w:cs="Arial"/>
          <w:sz w:val="22"/>
          <w:szCs w:val="22"/>
          <w:lang w:eastAsia="zh-CN"/>
        </w:rPr>
        <w:t>nominates IV rituximab as the comparator for SC rituximab</w:t>
      </w:r>
      <w:r w:rsidR="005A3173" w:rsidRPr="00882085">
        <w:rPr>
          <w:rFonts w:ascii="Arial" w:hAnsi="Arial"/>
          <w:sz w:val="22"/>
          <w:szCs w:val="22"/>
        </w:rPr>
        <w:t>.</w:t>
      </w:r>
    </w:p>
    <w:p w:rsidR="00BB7EC3" w:rsidRDefault="00BB7EC3" w:rsidP="008D447E">
      <w:pPr>
        <w:pStyle w:val="ListParagraph"/>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DF26A7" w:rsidRDefault="00DF26A7" w:rsidP="004878BB">
      <w:pPr>
        <w:jc w:val="both"/>
        <w:rPr>
          <w:rFonts w:ascii="Arial" w:hAnsi="Arial"/>
          <w:sz w:val="22"/>
          <w:szCs w:val="22"/>
        </w:rPr>
      </w:pPr>
    </w:p>
    <w:p w:rsidR="004878BB" w:rsidRPr="004878BB" w:rsidRDefault="004878BB" w:rsidP="004878BB">
      <w:pPr>
        <w:jc w:val="both"/>
        <w:rPr>
          <w:rFonts w:ascii="Arial" w:hAnsi="Arial"/>
          <w:sz w:val="22"/>
          <w:szCs w:val="22"/>
        </w:rPr>
      </w:pPr>
    </w:p>
    <w:p w:rsidR="000B558D" w:rsidRPr="00882085" w:rsidRDefault="004878BB" w:rsidP="00271FDD">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000B558D" w:rsidRPr="00882085">
        <w:rPr>
          <w:rFonts w:ascii="Arial" w:hAnsi="Arial"/>
          <w:b/>
          <w:sz w:val="22"/>
          <w:szCs w:val="22"/>
        </w:rPr>
        <w:t>onsideration of the evidence</w:t>
      </w:r>
    </w:p>
    <w:p w:rsidR="006A12A5" w:rsidRDefault="006A12A5" w:rsidP="00882085">
      <w:pPr>
        <w:jc w:val="both"/>
        <w:rPr>
          <w:rFonts w:ascii="Arial" w:hAnsi="Arial"/>
          <w:b/>
          <w:sz w:val="22"/>
          <w:szCs w:val="22"/>
        </w:rPr>
      </w:pPr>
    </w:p>
    <w:p w:rsidR="00BB7EC3" w:rsidRPr="002E7BBC" w:rsidRDefault="00BB7EC3" w:rsidP="00BB7EC3">
      <w:pPr>
        <w:jc w:val="both"/>
        <w:rPr>
          <w:rFonts w:ascii="Arial" w:hAnsi="Arial"/>
          <w:b/>
          <w:sz w:val="22"/>
          <w:szCs w:val="22"/>
        </w:rPr>
      </w:pPr>
      <w:r w:rsidRPr="002E7BBC">
        <w:rPr>
          <w:rFonts w:ascii="Arial" w:hAnsi="Arial"/>
          <w:b/>
          <w:sz w:val="22"/>
          <w:szCs w:val="22"/>
        </w:rPr>
        <w:t>Sponsor hearing</w:t>
      </w:r>
    </w:p>
    <w:p w:rsidR="00BB7EC3" w:rsidRPr="00911CE8" w:rsidRDefault="00BB7EC3" w:rsidP="00911CE8">
      <w:pPr>
        <w:jc w:val="both"/>
        <w:rPr>
          <w:rFonts w:ascii="Arial" w:hAnsi="Arial"/>
          <w:sz w:val="22"/>
          <w:szCs w:val="22"/>
        </w:rPr>
      </w:pPr>
    </w:p>
    <w:p w:rsidR="00BB7EC3" w:rsidRDefault="00BB7EC3" w:rsidP="00207E11">
      <w:pPr>
        <w:pStyle w:val="ListParagraph"/>
        <w:numPr>
          <w:ilvl w:val="1"/>
          <w:numId w:val="25"/>
        </w:numPr>
        <w:jc w:val="both"/>
        <w:rPr>
          <w:rFonts w:ascii="Arial" w:hAnsi="Arial"/>
          <w:sz w:val="22"/>
          <w:szCs w:val="22"/>
        </w:rPr>
      </w:pPr>
      <w:r>
        <w:rPr>
          <w:rFonts w:ascii="Arial" w:hAnsi="Arial"/>
          <w:sz w:val="22"/>
          <w:szCs w:val="22"/>
        </w:rPr>
        <w:t>The</w:t>
      </w:r>
      <w:r w:rsidR="00911CE8">
        <w:rPr>
          <w:rFonts w:ascii="Arial" w:hAnsi="Arial"/>
          <w:sz w:val="22"/>
          <w:szCs w:val="22"/>
        </w:rPr>
        <w:t>re was no hearing for this item</w:t>
      </w:r>
      <w:r w:rsidR="001F4757">
        <w:rPr>
          <w:rFonts w:ascii="Arial" w:hAnsi="Arial"/>
          <w:sz w:val="22"/>
          <w:szCs w:val="22"/>
        </w:rPr>
        <w:t xml:space="preserve"> as it was a minor submission</w:t>
      </w:r>
      <w:r>
        <w:rPr>
          <w:rFonts w:ascii="Arial" w:hAnsi="Arial"/>
          <w:sz w:val="22"/>
          <w:szCs w:val="22"/>
        </w:rPr>
        <w:t>.</w:t>
      </w:r>
    </w:p>
    <w:p w:rsidR="00BB7EC3" w:rsidRDefault="00BB7EC3" w:rsidP="00BB7EC3">
      <w:pPr>
        <w:pStyle w:val="ListParagraph"/>
        <w:ind w:left="709"/>
        <w:jc w:val="both"/>
        <w:rPr>
          <w:rFonts w:ascii="Arial" w:hAnsi="Arial"/>
          <w:sz w:val="22"/>
          <w:szCs w:val="22"/>
        </w:rPr>
      </w:pPr>
    </w:p>
    <w:p w:rsidR="00BB7EC3" w:rsidRPr="002E7BBC" w:rsidRDefault="00BB7EC3" w:rsidP="00B95B57">
      <w:pPr>
        <w:jc w:val="both"/>
        <w:rPr>
          <w:rFonts w:ascii="Arial" w:hAnsi="Arial"/>
          <w:b/>
          <w:sz w:val="22"/>
          <w:szCs w:val="22"/>
        </w:rPr>
      </w:pPr>
      <w:r w:rsidRPr="002E7BBC">
        <w:rPr>
          <w:rFonts w:ascii="Arial" w:hAnsi="Arial"/>
          <w:b/>
          <w:sz w:val="22"/>
          <w:szCs w:val="22"/>
        </w:rPr>
        <w:t>Consumer comments</w:t>
      </w:r>
    </w:p>
    <w:p w:rsidR="00BB7EC3" w:rsidRPr="00BB7EC3" w:rsidRDefault="00BB7EC3" w:rsidP="00BB7EC3">
      <w:pPr>
        <w:pStyle w:val="ListParagraph"/>
        <w:ind w:left="709"/>
        <w:jc w:val="both"/>
        <w:rPr>
          <w:rFonts w:ascii="Arial" w:hAnsi="Arial"/>
          <w:sz w:val="22"/>
          <w:szCs w:val="22"/>
        </w:rPr>
      </w:pPr>
    </w:p>
    <w:p w:rsidR="00BB7EC3" w:rsidRPr="00BB7EC3" w:rsidRDefault="00BB7EC3" w:rsidP="00207E11">
      <w:pPr>
        <w:pStyle w:val="ListParagraph"/>
        <w:numPr>
          <w:ilvl w:val="1"/>
          <w:numId w:val="25"/>
        </w:numPr>
        <w:jc w:val="both"/>
        <w:rPr>
          <w:rFonts w:ascii="Arial" w:hAnsi="Arial"/>
          <w:sz w:val="22"/>
          <w:szCs w:val="22"/>
        </w:rPr>
      </w:pPr>
      <w:r>
        <w:rPr>
          <w:rFonts w:ascii="Arial" w:hAnsi="Arial"/>
          <w:sz w:val="22"/>
          <w:szCs w:val="22"/>
        </w:rPr>
        <w:t>The PBAC noted that no consumer comme</w:t>
      </w:r>
      <w:r w:rsidR="002D5FD3">
        <w:rPr>
          <w:rFonts w:ascii="Arial" w:hAnsi="Arial"/>
          <w:sz w:val="22"/>
          <w:szCs w:val="22"/>
        </w:rPr>
        <w:t>nts were received for this item</w:t>
      </w:r>
      <w:r>
        <w:rPr>
          <w:rFonts w:ascii="Arial" w:hAnsi="Arial"/>
          <w:sz w:val="22"/>
          <w:szCs w:val="22"/>
        </w:rPr>
        <w:t>.</w:t>
      </w:r>
    </w:p>
    <w:p w:rsidR="00BB7EC3" w:rsidRPr="00882085" w:rsidRDefault="00BB7EC3" w:rsidP="00B95B57">
      <w:pPr>
        <w:jc w:val="both"/>
        <w:rPr>
          <w:rFonts w:ascii="Arial" w:hAnsi="Arial"/>
          <w:b/>
          <w:sz w:val="22"/>
          <w:szCs w:val="22"/>
        </w:rPr>
      </w:pPr>
    </w:p>
    <w:p w:rsidR="00B43E90" w:rsidRPr="002E7BBC" w:rsidRDefault="00B43E90" w:rsidP="00882085">
      <w:pPr>
        <w:jc w:val="both"/>
        <w:rPr>
          <w:rFonts w:ascii="Arial" w:hAnsi="Arial"/>
          <w:b/>
          <w:sz w:val="22"/>
          <w:szCs w:val="22"/>
        </w:rPr>
      </w:pPr>
      <w:r w:rsidRPr="002E7BBC">
        <w:rPr>
          <w:rFonts w:ascii="Arial" w:hAnsi="Arial"/>
          <w:b/>
          <w:sz w:val="22"/>
          <w:szCs w:val="22"/>
        </w:rPr>
        <w:t>Clinical trials</w:t>
      </w:r>
    </w:p>
    <w:p w:rsidR="002B1AE6" w:rsidRPr="00882085" w:rsidRDefault="002B1AE6" w:rsidP="00882085">
      <w:pPr>
        <w:jc w:val="both"/>
        <w:rPr>
          <w:rFonts w:ascii="Arial" w:hAnsi="Arial"/>
          <w:sz w:val="22"/>
          <w:szCs w:val="22"/>
        </w:rPr>
      </w:pPr>
    </w:p>
    <w:p w:rsidR="002D5FD3" w:rsidRPr="00B6773F" w:rsidRDefault="002D5FD3" w:rsidP="00207E11">
      <w:pPr>
        <w:pStyle w:val="ListParagraph"/>
        <w:numPr>
          <w:ilvl w:val="1"/>
          <w:numId w:val="25"/>
        </w:numPr>
        <w:ind w:left="709" w:hanging="709"/>
        <w:jc w:val="both"/>
        <w:rPr>
          <w:rFonts w:ascii="Arial" w:hAnsi="Arial"/>
          <w:sz w:val="22"/>
          <w:szCs w:val="22"/>
        </w:rPr>
      </w:pPr>
      <w:r>
        <w:rPr>
          <w:rFonts w:ascii="Arial" w:hAnsi="Arial"/>
          <w:sz w:val="22"/>
          <w:szCs w:val="22"/>
        </w:rPr>
        <w:t xml:space="preserve">The minor submission presented the results of one trial, SABRINA, comparing </w:t>
      </w:r>
      <w:r w:rsidRPr="001A566F">
        <w:rPr>
          <w:rFonts w:ascii="Arial" w:hAnsi="Arial"/>
          <w:sz w:val="22"/>
          <w:szCs w:val="22"/>
        </w:rPr>
        <w:t>rituximab SC to rituximab IV in patients with previously untreated follicular lymphoma</w:t>
      </w:r>
      <w:r>
        <w:rPr>
          <w:rFonts w:ascii="Arial" w:hAnsi="Arial"/>
          <w:sz w:val="22"/>
          <w:szCs w:val="22"/>
        </w:rPr>
        <w:t>. This was a two-stage open-label randomised trial</w:t>
      </w:r>
      <w:r w:rsidRPr="00882085">
        <w:rPr>
          <w:rFonts w:ascii="Arial" w:hAnsi="Arial"/>
          <w:sz w:val="22"/>
          <w:szCs w:val="22"/>
        </w:rPr>
        <w:t xml:space="preserve">.  </w:t>
      </w:r>
    </w:p>
    <w:p w:rsidR="002D5FD3" w:rsidRPr="00B10FDB" w:rsidRDefault="002D5FD3" w:rsidP="002D5FD3">
      <w:pPr>
        <w:pStyle w:val="ListParagraph"/>
        <w:numPr>
          <w:ilvl w:val="0"/>
          <w:numId w:val="39"/>
        </w:numPr>
        <w:jc w:val="both"/>
        <w:rPr>
          <w:rFonts w:ascii="Arial" w:hAnsi="Arial"/>
          <w:sz w:val="22"/>
          <w:szCs w:val="22"/>
        </w:rPr>
      </w:pPr>
      <w:r w:rsidRPr="00B10FDB">
        <w:rPr>
          <w:rFonts w:ascii="Arial" w:hAnsi="Arial"/>
          <w:sz w:val="22"/>
          <w:szCs w:val="22"/>
        </w:rPr>
        <w:t>Stage 1</w:t>
      </w:r>
      <w:r>
        <w:rPr>
          <w:rFonts w:ascii="Arial" w:hAnsi="Arial"/>
          <w:sz w:val="22"/>
          <w:szCs w:val="22"/>
        </w:rPr>
        <w:t xml:space="preserve"> objective:</w:t>
      </w:r>
      <w:r w:rsidRPr="00B10FDB">
        <w:rPr>
          <w:rFonts w:ascii="Arial" w:hAnsi="Arial"/>
          <w:sz w:val="22"/>
          <w:szCs w:val="22"/>
        </w:rPr>
        <w:t xml:space="preserve"> </w:t>
      </w:r>
      <w:r>
        <w:rPr>
          <w:rFonts w:ascii="Arial" w:hAnsi="Arial"/>
          <w:sz w:val="22"/>
          <w:szCs w:val="22"/>
        </w:rPr>
        <w:t xml:space="preserve">to show </w:t>
      </w:r>
      <w:r w:rsidRPr="001A566F">
        <w:rPr>
          <w:rFonts w:ascii="Arial" w:hAnsi="Arial"/>
          <w:sz w:val="22"/>
          <w:szCs w:val="22"/>
        </w:rPr>
        <w:t xml:space="preserve">the </w:t>
      </w:r>
      <w:r>
        <w:rPr>
          <w:rFonts w:ascii="Arial" w:hAnsi="Arial"/>
          <w:sz w:val="22"/>
          <w:szCs w:val="22"/>
        </w:rPr>
        <w:t>pharmacokinetic</w:t>
      </w:r>
      <w:r w:rsidRPr="001A566F">
        <w:rPr>
          <w:rFonts w:ascii="Arial" w:hAnsi="Arial"/>
          <w:sz w:val="22"/>
          <w:szCs w:val="22"/>
        </w:rPr>
        <w:t xml:space="preserve"> profile of SC rituximab was non-inferior to IV rituximab</w:t>
      </w:r>
      <w:r>
        <w:rPr>
          <w:rFonts w:ascii="Arial" w:hAnsi="Arial"/>
          <w:sz w:val="22"/>
          <w:szCs w:val="22"/>
        </w:rPr>
        <w:t>;</w:t>
      </w:r>
    </w:p>
    <w:p w:rsidR="002D5FD3" w:rsidRDefault="002D5FD3" w:rsidP="002D5FD3">
      <w:pPr>
        <w:pStyle w:val="ListParagraph"/>
        <w:numPr>
          <w:ilvl w:val="0"/>
          <w:numId w:val="39"/>
        </w:numPr>
        <w:jc w:val="both"/>
        <w:rPr>
          <w:rFonts w:ascii="Arial" w:hAnsi="Arial"/>
          <w:sz w:val="22"/>
          <w:szCs w:val="22"/>
        </w:rPr>
      </w:pPr>
      <w:r w:rsidRPr="00B10FDB">
        <w:rPr>
          <w:rFonts w:ascii="Arial" w:hAnsi="Arial"/>
          <w:sz w:val="22"/>
          <w:szCs w:val="22"/>
        </w:rPr>
        <w:t xml:space="preserve">Stage 2 </w:t>
      </w:r>
      <w:r>
        <w:rPr>
          <w:rFonts w:ascii="Arial" w:hAnsi="Arial"/>
          <w:sz w:val="22"/>
          <w:szCs w:val="22"/>
        </w:rPr>
        <w:t>objective: p</w:t>
      </w:r>
      <w:r w:rsidRPr="00757B01">
        <w:rPr>
          <w:rFonts w:ascii="Arial" w:hAnsi="Arial"/>
          <w:sz w:val="22"/>
          <w:szCs w:val="22"/>
        </w:rPr>
        <w:t xml:space="preserve">ooled results from Stages 1 and 2 </w:t>
      </w:r>
      <w:r>
        <w:rPr>
          <w:rFonts w:ascii="Arial" w:hAnsi="Arial"/>
          <w:sz w:val="22"/>
          <w:szCs w:val="22"/>
        </w:rPr>
        <w:t>to show</w:t>
      </w:r>
      <w:r w:rsidRPr="00757B01">
        <w:rPr>
          <w:rFonts w:ascii="Arial" w:hAnsi="Arial"/>
          <w:sz w:val="22"/>
          <w:szCs w:val="22"/>
        </w:rPr>
        <w:t xml:space="preserve"> comparable efficacy and safety between the SC and IV rituximab formulations</w:t>
      </w:r>
      <w:r>
        <w:rPr>
          <w:rFonts w:ascii="Arial" w:hAnsi="Arial"/>
          <w:sz w:val="22"/>
          <w:szCs w:val="22"/>
        </w:rPr>
        <w:t>.</w:t>
      </w:r>
    </w:p>
    <w:p w:rsidR="002D5FD3" w:rsidRPr="002D5FD3" w:rsidRDefault="002D5FD3" w:rsidP="002D5FD3">
      <w:pPr>
        <w:jc w:val="both"/>
        <w:rPr>
          <w:rFonts w:ascii="Arial" w:hAnsi="Arial"/>
          <w:sz w:val="22"/>
          <w:szCs w:val="22"/>
        </w:rPr>
      </w:pPr>
    </w:p>
    <w:p w:rsidR="002D5FD3" w:rsidRDefault="002D5FD3" w:rsidP="00207E11">
      <w:pPr>
        <w:pStyle w:val="ListParagraph"/>
        <w:numPr>
          <w:ilvl w:val="1"/>
          <w:numId w:val="25"/>
        </w:numPr>
        <w:ind w:left="709" w:hanging="709"/>
        <w:jc w:val="both"/>
        <w:rPr>
          <w:rFonts w:ascii="Arial" w:hAnsi="Arial"/>
          <w:sz w:val="22"/>
          <w:szCs w:val="22"/>
        </w:rPr>
      </w:pPr>
      <w:r>
        <w:rPr>
          <w:rFonts w:ascii="Arial" w:hAnsi="Arial"/>
          <w:sz w:val="22"/>
          <w:szCs w:val="22"/>
        </w:rPr>
        <w:t>Details of the SABRINA trial, as provided in the submission, are presented in the table below.</w:t>
      </w:r>
    </w:p>
    <w:p w:rsidR="00253181" w:rsidRDefault="00253181">
      <w:pPr>
        <w:rPr>
          <w:rFonts w:ascii="Arial" w:hAnsi="Arial"/>
          <w:sz w:val="22"/>
          <w:szCs w:val="22"/>
        </w:rPr>
      </w:pPr>
      <w:r>
        <w:rPr>
          <w:rFonts w:ascii="Arial" w:hAnsi="Arial"/>
          <w:sz w:val="22"/>
          <w:szCs w:val="22"/>
        </w:rPr>
        <w:br w:type="page"/>
      </w:r>
    </w:p>
    <w:p w:rsidR="00CE7A31" w:rsidRPr="009F5F2E" w:rsidRDefault="00CE7A31" w:rsidP="00CE7A31">
      <w:pPr>
        <w:ind w:firstLine="709"/>
        <w:rPr>
          <w:rFonts w:ascii="Arial Narrow" w:hAnsi="Arial Narrow"/>
          <w:b/>
          <w:sz w:val="20"/>
        </w:rPr>
      </w:pPr>
      <w:r w:rsidRPr="009F5F2E">
        <w:rPr>
          <w:rFonts w:ascii="Arial Narrow" w:hAnsi="Arial Narrow"/>
          <w:b/>
          <w:sz w:val="20"/>
        </w:rPr>
        <w:lastRenderedPageBreak/>
        <w:t>Trials and associa</w:t>
      </w:r>
      <w:r>
        <w:rPr>
          <w:rFonts w:ascii="Arial Narrow" w:hAnsi="Arial Narrow"/>
          <w:b/>
          <w:sz w:val="20"/>
        </w:rPr>
        <w:t xml:space="preserve">ted reports presented in the </w:t>
      </w:r>
      <w:r w:rsidRPr="009F5F2E">
        <w:rPr>
          <w:rFonts w:ascii="Arial Narrow" w:hAnsi="Arial Narrow"/>
          <w:b/>
          <w:sz w:val="20"/>
        </w:rPr>
        <w:t>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20"/>
        <w:gridCol w:w="1843"/>
      </w:tblGrid>
      <w:tr w:rsidR="00CE7A31" w:rsidRPr="005838CB" w:rsidTr="00E7406F">
        <w:trPr>
          <w:cantSplit/>
          <w:tblHeader/>
        </w:trPr>
        <w:tc>
          <w:tcPr>
            <w:tcW w:w="1701" w:type="dxa"/>
          </w:tcPr>
          <w:p w:rsidR="00CE7A31" w:rsidRPr="005838CB" w:rsidRDefault="00CE7A31" w:rsidP="00E7406F">
            <w:pPr>
              <w:rPr>
                <w:rFonts w:ascii="Arial Narrow" w:hAnsi="Arial Narrow"/>
                <w:b/>
                <w:sz w:val="20"/>
              </w:rPr>
            </w:pPr>
            <w:r w:rsidRPr="005838CB">
              <w:rPr>
                <w:rFonts w:ascii="Arial Narrow" w:hAnsi="Arial Narrow"/>
                <w:b/>
                <w:sz w:val="20"/>
              </w:rPr>
              <w:t>Trial ID</w:t>
            </w:r>
          </w:p>
        </w:tc>
        <w:tc>
          <w:tcPr>
            <w:tcW w:w="4820" w:type="dxa"/>
          </w:tcPr>
          <w:p w:rsidR="00CE7A31" w:rsidRPr="005838CB" w:rsidRDefault="00CE7A31" w:rsidP="00E7406F">
            <w:pPr>
              <w:jc w:val="center"/>
              <w:rPr>
                <w:rFonts w:ascii="Arial Narrow" w:hAnsi="Arial Narrow"/>
                <w:b/>
                <w:sz w:val="20"/>
              </w:rPr>
            </w:pPr>
            <w:r w:rsidRPr="005838CB">
              <w:rPr>
                <w:rFonts w:ascii="Arial Narrow" w:hAnsi="Arial Narrow"/>
                <w:b/>
                <w:sz w:val="20"/>
              </w:rPr>
              <w:t>Protocol title/ Publication title</w:t>
            </w:r>
          </w:p>
        </w:tc>
        <w:tc>
          <w:tcPr>
            <w:tcW w:w="1843" w:type="dxa"/>
          </w:tcPr>
          <w:p w:rsidR="00CE7A31" w:rsidRPr="005838CB" w:rsidRDefault="00CE7A31" w:rsidP="00E7406F">
            <w:pPr>
              <w:rPr>
                <w:rFonts w:ascii="Arial Narrow" w:hAnsi="Arial Narrow"/>
                <w:b/>
                <w:sz w:val="20"/>
              </w:rPr>
            </w:pPr>
            <w:r w:rsidRPr="005838CB">
              <w:rPr>
                <w:rFonts w:ascii="Arial Narrow" w:hAnsi="Arial Narrow"/>
                <w:b/>
                <w:sz w:val="20"/>
              </w:rPr>
              <w:t>Publication citation</w:t>
            </w:r>
          </w:p>
        </w:tc>
      </w:tr>
      <w:tr w:rsidR="00CE7A31" w:rsidRPr="005838CB" w:rsidTr="00E7406F">
        <w:trPr>
          <w:cantSplit/>
        </w:trPr>
        <w:tc>
          <w:tcPr>
            <w:tcW w:w="8364" w:type="dxa"/>
            <w:gridSpan w:val="3"/>
          </w:tcPr>
          <w:p w:rsidR="00CE7A31" w:rsidRPr="005838CB" w:rsidRDefault="00CE7A31" w:rsidP="00E7406F">
            <w:pPr>
              <w:rPr>
                <w:rFonts w:ascii="Arial Narrow" w:hAnsi="Arial Narrow"/>
                <w:b/>
                <w:sz w:val="20"/>
              </w:rPr>
            </w:pPr>
            <w:r w:rsidRPr="005838CB">
              <w:rPr>
                <w:rFonts w:ascii="Arial Narrow" w:hAnsi="Arial Narrow"/>
                <w:b/>
                <w:sz w:val="20"/>
              </w:rPr>
              <w:t>Direct randomised trials</w:t>
            </w:r>
          </w:p>
        </w:tc>
      </w:tr>
      <w:tr w:rsidR="00253181" w:rsidRPr="005838CB" w:rsidTr="00253181">
        <w:trPr>
          <w:cantSplit/>
          <w:trHeight w:val="1082"/>
        </w:trPr>
        <w:tc>
          <w:tcPr>
            <w:tcW w:w="1701" w:type="dxa"/>
            <w:tcBorders>
              <w:bottom w:val="nil"/>
            </w:tcBorders>
          </w:tcPr>
          <w:p w:rsidR="00253181" w:rsidRPr="005838CB" w:rsidRDefault="00253181" w:rsidP="00E7406F">
            <w:pPr>
              <w:rPr>
                <w:rFonts w:ascii="Arial Narrow" w:hAnsi="Arial Narrow"/>
                <w:sz w:val="20"/>
              </w:rPr>
            </w:pPr>
            <w:r>
              <w:rPr>
                <w:rFonts w:ascii="Arial Narrow" w:hAnsi="Arial Narrow"/>
                <w:sz w:val="20"/>
              </w:rPr>
              <w:t>SABRINA</w:t>
            </w:r>
          </w:p>
        </w:tc>
        <w:tc>
          <w:tcPr>
            <w:tcW w:w="4820" w:type="dxa"/>
            <w:tcBorders>
              <w:bottom w:val="nil"/>
            </w:tcBorders>
          </w:tcPr>
          <w:p w:rsidR="00253181" w:rsidRDefault="00253181" w:rsidP="00E7406F">
            <w:pPr>
              <w:rPr>
                <w:rFonts w:ascii="Arial Narrow" w:hAnsi="Arial Narrow"/>
                <w:sz w:val="20"/>
              </w:rPr>
            </w:pPr>
            <w:bookmarkStart w:id="1" w:name="_ENREF_3"/>
            <w:r w:rsidRPr="008E6824">
              <w:rPr>
                <w:rFonts w:ascii="Arial Narrow" w:hAnsi="Arial Narrow"/>
                <w:sz w:val="20"/>
              </w:rPr>
              <w:t xml:space="preserve">Davies A, Merli F, et al. Pharmacokinetics and safety of subcutaneous rituximab in follicular lymphoma (SABRINA): stage 1 analysis of a randomised phase 3 study. </w:t>
            </w:r>
            <w:bookmarkEnd w:id="1"/>
          </w:p>
          <w:p w:rsidR="00253181" w:rsidRPr="005838CB" w:rsidRDefault="00253181" w:rsidP="00E7406F">
            <w:pPr>
              <w:rPr>
                <w:rFonts w:ascii="Arial Narrow" w:hAnsi="Arial Narrow"/>
                <w:b/>
                <w:sz w:val="20"/>
              </w:rPr>
            </w:pPr>
          </w:p>
        </w:tc>
        <w:tc>
          <w:tcPr>
            <w:tcW w:w="1843" w:type="dxa"/>
            <w:tcBorders>
              <w:bottom w:val="nil"/>
            </w:tcBorders>
          </w:tcPr>
          <w:p w:rsidR="00253181" w:rsidRDefault="00253181" w:rsidP="00E7406F">
            <w:pPr>
              <w:rPr>
                <w:rFonts w:ascii="Arial Narrow" w:hAnsi="Arial Narrow"/>
                <w:sz w:val="20"/>
              </w:rPr>
            </w:pPr>
            <w:r w:rsidRPr="008E6824">
              <w:rPr>
                <w:rFonts w:ascii="Arial Narrow" w:hAnsi="Arial Narrow"/>
                <w:i/>
                <w:sz w:val="20"/>
              </w:rPr>
              <w:t>The Lancet Oncology</w:t>
            </w:r>
            <w:r w:rsidRPr="008E6824">
              <w:rPr>
                <w:rFonts w:ascii="Arial Narrow" w:hAnsi="Arial Narrow"/>
                <w:sz w:val="20"/>
              </w:rPr>
              <w:t>. 2014;15(3):343-52.</w:t>
            </w:r>
          </w:p>
          <w:p w:rsidR="00253181" w:rsidRDefault="00253181" w:rsidP="00E7406F">
            <w:pPr>
              <w:rPr>
                <w:rFonts w:ascii="Arial Narrow" w:hAnsi="Arial Narrow"/>
                <w:sz w:val="20"/>
              </w:rPr>
            </w:pPr>
          </w:p>
          <w:p w:rsidR="00253181" w:rsidRPr="005838CB" w:rsidRDefault="00253181" w:rsidP="00E7406F">
            <w:pPr>
              <w:rPr>
                <w:rFonts w:ascii="Arial Narrow" w:hAnsi="Arial Narrow"/>
                <w:b/>
                <w:sz w:val="20"/>
              </w:rPr>
            </w:pPr>
          </w:p>
        </w:tc>
      </w:tr>
      <w:tr w:rsidR="00253181" w:rsidRPr="005838CB" w:rsidTr="00253181">
        <w:trPr>
          <w:cantSplit/>
          <w:trHeight w:val="1469"/>
        </w:trPr>
        <w:tc>
          <w:tcPr>
            <w:tcW w:w="1701" w:type="dxa"/>
            <w:tcBorders>
              <w:top w:val="nil"/>
              <w:bottom w:val="nil"/>
            </w:tcBorders>
          </w:tcPr>
          <w:p w:rsidR="00253181" w:rsidRDefault="00253181" w:rsidP="00E7406F">
            <w:pPr>
              <w:rPr>
                <w:rFonts w:ascii="Arial Narrow" w:hAnsi="Arial Narrow"/>
                <w:sz w:val="20"/>
              </w:rPr>
            </w:pPr>
          </w:p>
        </w:tc>
        <w:tc>
          <w:tcPr>
            <w:tcW w:w="4820" w:type="dxa"/>
            <w:tcBorders>
              <w:top w:val="nil"/>
              <w:bottom w:val="nil"/>
            </w:tcBorders>
          </w:tcPr>
          <w:p w:rsidR="00253181" w:rsidRDefault="00253181" w:rsidP="00253181">
            <w:pPr>
              <w:rPr>
                <w:rFonts w:ascii="Arial Narrow" w:hAnsi="Arial Narrow"/>
                <w:sz w:val="20"/>
              </w:rPr>
            </w:pPr>
            <w:bookmarkStart w:id="2" w:name="_ENREF_1"/>
            <w:r w:rsidRPr="008E6824">
              <w:rPr>
                <w:rFonts w:ascii="Arial Narrow" w:hAnsi="Arial Narrow"/>
                <w:sz w:val="20"/>
              </w:rPr>
              <w:t xml:space="preserve">CSR BO22334 SABRINA - Stage 1 Synopsis. A two-stage phase III, international, multicenter, randomized, controlled, open-label study to investigate the pharmacokinetics, efficacy and safety of rituximab SC in combination with CHOP or CVP versus rituximab IV in combination with CHOP or CVP in patients with previously untreated follicular lymphoma followed by maintenance treatment with either rituximab SC or rituximab IV. </w:t>
            </w:r>
            <w:bookmarkEnd w:id="2"/>
          </w:p>
          <w:p w:rsidR="00253181" w:rsidRPr="008E6824" w:rsidRDefault="00253181" w:rsidP="00E7406F">
            <w:pPr>
              <w:rPr>
                <w:rFonts w:ascii="Arial Narrow" w:hAnsi="Arial Narrow"/>
                <w:sz w:val="20"/>
              </w:rPr>
            </w:pPr>
          </w:p>
        </w:tc>
        <w:tc>
          <w:tcPr>
            <w:tcW w:w="1843" w:type="dxa"/>
            <w:tcBorders>
              <w:top w:val="nil"/>
              <w:bottom w:val="nil"/>
            </w:tcBorders>
          </w:tcPr>
          <w:p w:rsidR="00253181" w:rsidRPr="008E6824" w:rsidRDefault="00253181" w:rsidP="00E7406F">
            <w:pPr>
              <w:rPr>
                <w:rFonts w:ascii="Arial Narrow" w:hAnsi="Arial Narrow"/>
                <w:i/>
                <w:sz w:val="20"/>
              </w:rPr>
            </w:pPr>
            <w:r w:rsidRPr="008E6824">
              <w:rPr>
                <w:rFonts w:ascii="Arial Narrow" w:hAnsi="Arial Narrow"/>
                <w:sz w:val="20"/>
              </w:rPr>
              <w:t>Report No.1047896. October. 2012:18-32.</w:t>
            </w:r>
          </w:p>
        </w:tc>
      </w:tr>
      <w:tr w:rsidR="00253181" w:rsidRPr="005838CB" w:rsidTr="00253181">
        <w:trPr>
          <w:cantSplit/>
          <w:trHeight w:val="1469"/>
        </w:trPr>
        <w:tc>
          <w:tcPr>
            <w:tcW w:w="1701" w:type="dxa"/>
            <w:tcBorders>
              <w:top w:val="nil"/>
            </w:tcBorders>
          </w:tcPr>
          <w:p w:rsidR="00253181" w:rsidRDefault="00253181" w:rsidP="00E7406F">
            <w:pPr>
              <w:rPr>
                <w:rFonts w:ascii="Arial Narrow" w:hAnsi="Arial Narrow"/>
                <w:sz w:val="20"/>
              </w:rPr>
            </w:pPr>
          </w:p>
        </w:tc>
        <w:tc>
          <w:tcPr>
            <w:tcW w:w="4820" w:type="dxa"/>
            <w:tcBorders>
              <w:top w:val="nil"/>
            </w:tcBorders>
          </w:tcPr>
          <w:p w:rsidR="00253181" w:rsidRPr="008E6824" w:rsidRDefault="00253181" w:rsidP="00253181">
            <w:pPr>
              <w:rPr>
                <w:rFonts w:ascii="Arial Narrow" w:hAnsi="Arial Narrow"/>
                <w:sz w:val="20"/>
              </w:rPr>
            </w:pPr>
            <w:bookmarkStart w:id="3" w:name="_ENREF_2"/>
            <w:r w:rsidRPr="008E6824">
              <w:rPr>
                <w:rFonts w:ascii="Arial Narrow" w:hAnsi="Arial Narrow"/>
                <w:sz w:val="20"/>
              </w:rPr>
              <w:t xml:space="preserve">CSR BO22334 SABRINA - Stage 2 Synopsis. A two-stage phase III, international, multi-center, randomized, controlled, open-label study to investigate the pharmacokinetics, efficacy and safety of rituximab SC in combination with CHOP or CVP versus rituximab IV in combination with CHOP or CVP in patients with previously untreated follicular lymphoma followed by maintenance treatment with either rituximab SC or rituximab IV. </w:t>
            </w:r>
            <w:bookmarkEnd w:id="3"/>
          </w:p>
          <w:p w:rsidR="00253181" w:rsidRPr="008E6824" w:rsidRDefault="00253181" w:rsidP="00E7406F">
            <w:pPr>
              <w:rPr>
                <w:rFonts w:ascii="Arial Narrow" w:hAnsi="Arial Narrow"/>
                <w:sz w:val="20"/>
              </w:rPr>
            </w:pPr>
          </w:p>
        </w:tc>
        <w:tc>
          <w:tcPr>
            <w:tcW w:w="1843" w:type="dxa"/>
            <w:tcBorders>
              <w:top w:val="nil"/>
            </w:tcBorders>
          </w:tcPr>
          <w:p w:rsidR="00253181" w:rsidRPr="008E6824" w:rsidRDefault="00253181" w:rsidP="00E7406F">
            <w:pPr>
              <w:rPr>
                <w:rFonts w:ascii="Arial Narrow" w:hAnsi="Arial Narrow"/>
                <w:i/>
                <w:sz w:val="20"/>
              </w:rPr>
            </w:pPr>
            <w:r w:rsidRPr="008E6824">
              <w:rPr>
                <w:rFonts w:ascii="Arial Narrow" w:hAnsi="Arial Narrow"/>
                <w:sz w:val="20"/>
              </w:rPr>
              <w:t>Report No. 1058994. June. 2014.</w:t>
            </w:r>
          </w:p>
        </w:tc>
      </w:tr>
    </w:tbl>
    <w:p w:rsidR="002D5FD3" w:rsidRDefault="00CE7A31" w:rsidP="002D5FD3">
      <w:pPr>
        <w:pStyle w:val="ListParagraph"/>
        <w:ind w:left="709"/>
        <w:jc w:val="both"/>
        <w:rPr>
          <w:rFonts w:ascii="Arial Narrow" w:hAnsi="Arial Narrow"/>
          <w:sz w:val="18"/>
          <w:szCs w:val="18"/>
        </w:rPr>
      </w:pPr>
      <w:r w:rsidRPr="005838CB">
        <w:rPr>
          <w:rFonts w:ascii="Arial Narrow" w:hAnsi="Arial Narrow"/>
          <w:sz w:val="18"/>
          <w:szCs w:val="18"/>
        </w:rPr>
        <w:t xml:space="preserve">Source: </w:t>
      </w:r>
      <w:r>
        <w:rPr>
          <w:rFonts w:ascii="Arial Narrow" w:hAnsi="Arial Narrow"/>
          <w:sz w:val="18"/>
          <w:szCs w:val="18"/>
        </w:rPr>
        <w:t>Page 13 of the submission</w:t>
      </w:r>
    </w:p>
    <w:p w:rsidR="00CE7A31" w:rsidRDefault="00CE7A31" w:rsidP="002D5FD3">
      <w:pPr>
        <w:pStyle w:val="ListParagraph"/>
        <w:ind w:left="709"/>
        <w:jc w:val="both"/>
        <w:rPr>
          <w:rFonts w:ascii="Arial" w:hAnsi="Arial"/>
          <w:sz w:val="22"/>
          <w:szCs w:val="22"/>
        </w:rPr>
      </w:pPr>
    </w:p>
    <w:p w:rsidR="002D5FD3" w:rsidRDefault="00CE7A31" w:rsidP="00207E11">
      <w:pPr>
        <w:pStyle w:val="ListParagraph"/>
        <w:numPr>
          <w:ilvl w:val="1"/>
          <w:numId w:val="25"/>
        </w:numPr>
        <w:ind w:left="709" w:hanging="709"/>
        <w:jc w:val="both"/>
        <w:rPr>
          <w:rFonts w:ascii="Arial" w:hAnsi="Arial"/>
          <w:sz w:val="22"/>
          <w:szCs w:val="22"/>
        </w:rPr>
      </w:pPr>
      <w:r>
        <w:rPr>
          <w:rFonts w:ascii="Arial" w:hAnsi="Arial"/>
          <w:sz w:val="22"/>
          <w:szCs w:val="22"/>
        </w:rPr>
        <w:t>Geometric ratio of trough serum concentration between rituximab IV infusion and rituximab SC injection was used for the pharmacokinetic study.</w:t>
      </w:r>
    </w:p>
    <w:p w:rsidR="00CE7A31" w:rsidRDefault="00CE7A31" w:rsidP="00CE7A31">
      <w:pPr>
        <w:pStyle w:val="ListParagraph"/>
        <w:ind w:left="709"/>
        <w:jc w:val="both"/>
        <w:rPr>
          <w:rFonts w:ascii="Arial" w:hAnsi="Arial"/>
          <w:sz w:val="22"/>
          <w:szCs w:val="22"/>
        </w:rPr>
      </w:pPr>
    </w:p>
    <w:p w:rsidR="00CE7A31" w:rsidRDefault="00CE7A31" w:rsidP="00207E11">
      <w:pPr>
        <w:pStyle w:val="ListParagraph"/>
        <w:numPr>
          <w:ilvl w:val="1"/>
          <w:numId w:val="25"/>
        </w:numPr>
        <w:ind w:left="709" w:hanging="709"/>
        <w:jc w:val="both"/>
        <w:rPr>
          <w:rFonts w:ascii="Arial" w:hAnsi="Arial"/>
          <w:sz w:val="22"/>
          <w:szCs w:val="22"/>
        </w:rPr>
      </w:pPr>
      <w:r>
        <w:rPr>
          <w:rFonts w:ascii="Arial" w:hAnsi="Arial"/>
          <w:sz w:val="22"/>
          <w:szCs w:val="22"/>
        </w:rPr>
        <w:t>Overall response rate was used as the primary outcome for the efficacy study.</w:t>
      </w:r>
    </w:p>
    <w:p w:rsidR="009F5F2E" w:rsidRDefault="009F5F2E" w:rsidP="00CE7A31">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BB7EC3">
      <w:pPr>
        <w:ind w:left="709"/>
        <w:jc w:val="both"/>
        <w:rPr>
          <w:rFonts w:ascii="Arial" w:hAnsi="Arial"/>
          <w:sz w:val="22"/>
          <w:szCs w:val="22"/>
        </w:rPr>
      </w:pPr>
    </w:p>
    <w:p w:rsidR="005A3173" w:rsidRPr="002E7BBC" w:rsidRDefault="005A3173" w:rsidP="00882085">
      <w:pPr>
        <w:jc w:val="both"/>
        <w:rPr>
          <w:rFonts w:ascii="Arial" w:hAnsi="Arial"/>
          <w:b/>
          <w:sz w:val="22"/>
          <w:szCs w:val="22"/>
        </w:rPr>
      </w:pPr>
      <w:r w:rsidRPr="002E7BBC">
        <w:rPr>
          <w:rFonts w:ascii="Arial" w:hAnsi="Arial"/>
          <w:b/>
          <w:sz w:val="22"/>
          <w:szCs w:val="22"/>
        </w:rPr>
        <w:t>Comparative effectiveness</w:t>
      </w:r>
    </w:p>
    <w:p w:rsidR="005A3173" w:rsidRPr="00882085" w:rsidRDefault="005A3173" w:rsidP="00882085">
      <w:pPr>
        <w:jc w:val="both"/>
        <w:rPr>
          <w:rFonts w:ascii="Arial" w:hAnsi="Arial"/>
          <w:sz w:val="22"/>
          <w:szCs w:val="22"/>
        </w:rPr>
      </w:pPr>
    </w:p>
    <w:p w:rsidR="000B558D" w:rsidRDefault="00CE7A31" w:rsidP="00207E11">
      <w:pPr>
        <w:pStyle w:val="ListParagraph"/>
        <w:numPr>
          <w:ilvl w:val="1"/>
          <w:numId w:val="25"/>
        </w:numPr>
        <w:ind w:left="709" w:hanging="709"/>
        <w:jc w:val="both"/>
        <w:rPr>
          <w:rFonts w:ascii="Arial" w:hAnsi="Arial"/>
          <w:sz w:val="22"/>
          <w:szCs w:val="22"/>
        </w:rPr>
      </w:pPr>
      <w:r w:rsidRPr="003E1516">
        <w:rPr>
          <w:rFonts w:ascii="Arial" w:hAnsi="Arial"/>
          <w:sz w:val="22"/>
          <w:szCs w:val="22"/>
        </w:rPr>
        <w:t>Results for the geometric mean ratio of trough serum concentrations between rituximab SC fixed dose 1,400 mg and rituximab IV 375 mg/m</w:t>
      </w:r>
      <w:r w:rsidRPr="003E1516">
        <w:rPr>
          <w:rFonts w:ascii="Arial" w:hAnsi="Arial"/>
          <w:sz w:val="22"/>
          <w:szCs w:val="22"/>
          <w:vertAlign w:val="superscript"/>
        </w:rPr>
        <w:t>2</w:t>
      </w:r>
      <w:r>
        <w:rPr>
          <w:rFonts w:ascii="Arial" w:hAnsi="Arial"/>
          <w:sz w:val="22"/>
          <w:szCs w:val="22"/>
        </w:rPr>
        <w:t xml:space="preserve"> are shown</w:t>
      </w:r>
      <w:r w:rsidRPr="003E1516">
        <w:rPr>
          <w:rFonts w:ascii="Arial" w:hAnsi="Arial"/>
          <w:sz w:val="22"/>
          <w:szCs w:val="22"/>
        </w:rPr>
        <w:t xml:space="preserve"> in the table below</w:t>
      </w:r>
      <w:r w:rsidR="000B558D" w:rsidRPr="00882085">
        <w:rPr>
          <w:rFonts w:ascii="Arial" w:hAnsi="Arial"/>
          <w:sz w:val="22"/>
          <w:szCs w:val="22"/>
        </w:rPr>
        <w:t>.</w:t>
      </w:r>
    </w:p>
    <w:p w:rsidR="00CE7A31" w:rsidRPr="00757B01" w:rsidRDefault="00CE7A31" w:rsidP="00CE7A31">
      <w:pPr>
        <w:pStyle w:val="Caption"/>
        <w:spacing w:before="0" w:after="0"/>
        <w:ind w:hanging="425"/>
        <w:rPr>
          <w:rFonts w:ascii="Arial Narrow" w:hAnsi="Arial Narrow"/>
          <w:sz w:val="20"/>
          <w:szCs w:val="20"/>
        </w:rPr>
      </w:pPr>
      <w:r w:rsidRPr="00757B01">
        <w:rPr>
          <w:rFonts w:ascii="Arial Narrow" w:hAnsi="Arial Narrow"/>
          <w:sz w:val="20"/>
          <w:szCs w:val="20"/>
        </w:rPr>
        <w:t>Summary of Ctrough at Cycle 7 – SABRINA (ITT)</w:t>
      </w:r>
    </w:p>
    <w:tbl>
      <w:tblPr>
        <w:tblStyle w:val="TableGrid"/>
        <w:tblW w:w="0" w:type="auto"/>
        <w:tblInd w:w="817" w:type="dxa"/>
        <w:tblLayout w:type="fixed"/>
        <w:tblLook w:val="04A0" w:firstRow="1" w:lastRow="0" w:firstColumn="1" w:lastColumn="0" w:noHBand="0" w:noVBand="1"/>
      </w:tblPr>
      <w:tblGrid>
        <w:gridCol w:w="1036"/>
        <w:gridCol w:w="539"/>
        <w:gridCol w:w="1064"/>
        <w:gridCol w:w="817"/>
        <w:gridCol w:w="805"/>
        <w:gridCol w:w="1209"/>
        <w:gridCol w:w="806"/>
        <w:gridCol w:w="1981"/>
      </w:tblGrid>
      <w:tr w:rsidR="00CE7A31" w:rsidRPr="00757B01" w:rsidTr="00E7406F">
        <w:trPr>
          <w:trHeight w:val="295"/>
        </w:trPr>
        <w:tc>
          <w:tcPr>
            <w:tcW w:w="1036" w:type="dxa"/>
          </w:tcPr>
          <w:p w:rsidR="00CE7A31" w:rsidRPr="00757B01" w:rsidRDefault="00CE7A31" w:rsidP="00E7406F">
            <w:pPr>
              <w:pStyle w:val="TableText0"/>
              <w:spacing w:before="0" w:after="0"/>
              <w:rPr>
                <w:rFonts w:ascii="Arial Narrow" w:hAnsi="Arial Narrow"/>
                <w:b/>
              </w:rPr>
            </w:pPr>
            <w:r w:rsidRPr="00757B01">
              <w:rPr>
                <w:rFonts w:ascii="Arial Narrow" w:hAnsi="Arial Narrow"/>
                <w:b/>
              </w:rPr>
              <w:t>PK Parameter</w:t>
            </w:r>
          </w:p>
        </w:tc>
        <w:tc>
          <w:tcPr>
            <w:tcW w:w="2420" w:type="dxa"/>
            <w:gridSpan w:val="3"/>
          </w:tcPr>
          <w:p w:rsidR="00CE7A31" w:rsidRPr="00757B01" w:rsidRDefault="00CE7A31" w:rsidP="00E7406F">
            <w:pPr>
              <w:pStyle w:val="TableText0"/>
              <w:spacing w:before="0" w:after="0"/>
              <w:rPr>
                <w:rFonts w:ascii="Arial Narrow" w:hAnsi="Arial Narrow"/>
                <w:b/>
              </w:rPr>
            </w:pPr>
            <w:r w:rsidRPr="00757B01">
              <w:rPr>
                <w:rFonts w:ascii="Arial Narrow" w:hAnsi="Arial Narrow"/>
                <w:b/>
              </w:rPr>
              <w:t>Rituximab IV</w:t>
            </w:r>
          </w:p>
        </w:tc>
        <w:tc>
          <w:tcPr>
            <w:tcW w:w="2820" w:type="dxa"/>
            <w:gridSpan w:val="3"/>
          </w:tcPr>
          <w:p w:rsidR="00CE7A31" w:rsidRPr="00757B01" w:rsidRDefault="00CE7A31" w:rsidP="00E7406F">
            <w:pPr>
              <w:pStyle w:val="TableText0"/>
              <w:spacing w:before="0" w:after="0"/>
              <w:rPr>
                <w:rFonts w:ascii="Arial Narrow" w:hAnsi="Arial Narrow"/>
                <w:b/>
              </w:rPr>
            </w:pPr>
            <w:r w:rsidRPr="00757B01">
              <w:rPr>
                <w:rFonts w:ascii="Arial Narrow" w:hAnsi="Arial Narrow"/>
                <w:b/>
              </w:rPr>
              <w:t>Rituximab SC</w:t>
            </w:r>
          </w:p>
        </w:tc>
        <w:tc>
          <w:tcPr>
            <w:tcW w:w="1981" w:type="dxa"/>
            <w:vMerge w:val="restart"/>
          </w:tcPr>
          <w:p w:rsidR="00CE7A31" w:rsidRPr="00757B01" w:rsidRDefault="00CE7A31" w:rsidP="00E7406F">
            <w:pPr>
              <w:pStyle w:val="TableText0"/>
              <w:spacing w:before="0" w:after="0"/>
              <w:jc w:val="center"/>
              <w:rPr>
                <w:rFonts w:ascii="Arial Narrow" w:hAnsi="Arial Narrow"/>
                <w:b/>
              </w:rPr>
            </w:pPr>
            <w:r w:rsidRPr="00757B01">
              <w:rPr>
                <w:rFonts w:ascii="Arial Narrow" w:hAnsi="Arial Narrow"/>
                <w:b/>
              </w:rPr>
              <w:t>Geometric Mean Ratio</w:t>
            </w:r>
            <w:r w:rsidRPr="00757B01">
              <w:rPr>
                <w:rFonts w:ascii="Arial Narrow" w:hAnsi="Arial Narrow"/>
                <w:b/>
                <w:vertAlign w:val="superscript"/>
              </w:rPr>
              <w:t>a</w:t>
            </w:r>
          </w:p>
          <w:p w:rsidR="00CE7A31" w:rsidRPr="00757B01" w:rsidRDefault="00CE7A31" w:rsidP="00E7406F">
            <w:pPr>
              <w:pStyle w:val="TableText0"/>
              <w:spacing w:before="0" w:after="0"/>
              <w:jc w:val="center"/>
              <w:rPr>
                <w:rFonts w:ascii="Arial Narrow" w:hAnsi="Arial Narrow"/>
                <w:b/>
              </w:rPr>
            </w:pPr>
            <w:r w:rsidRPr="00757B01">
              <w:rPr>
                <w:rFonts w:ascii="Arial Narrow" w:hAnsi="Arial Narrow"/>
                <w:b/>
              </w:rPr>
              <w:t>[90% CI]</w:t>
            </w:r>
          </w:p>
        </w:tc>
      </w:tr>
      <w:tr w:rsidR="00CE7A31" w:rsidRPr="00757B01" w:rsidTr="00E7406F">
        <w:trPr>
          <w:trHeight w:val="531"/>
        </w:trPr>
        <w:tc>
          <w:tcPr>
            <w:tcW w:w="1036" w:type="dxa"/>
          </w:tcPr>
          <w:p w:rsidR="00CE7A31" w:rsidRPr="00757B01" w:rsidRDefault="00CE7A31" w:rsidP="00E7406F">
            <w:pPr>
              <w:pStyle w:val="TableText0"/>
              <w:spacing w:before="0" w:after="0"/>
              <w:rPr>
                <w:rFonts w:ascii="Arial Narrow" w:hAnsi="Arial Narrow"/>
              </w:rPr>
            </w:pPr>
            <w:r w:rsidRPr="00757B01">
              <w:rPr>
                <w:rFonts w:ascii="Arial Narrow" w:hAnsi="Arial Narrow"/>
              </w:rPr>
              <w:t>Ctrough (mcg/ml)</w:t>
            </w:r>
          </w:p>
        </w:tc>
        <w:tc>
          <w:tcPr>
            <w:tcW w:w="539" w:type="dxa"/>
          </w:tcPr>
          <w:p w:rsidR="00CE7A31" w:rsidRPr="00757B01" w:rsidRDefault="00CE7A31" w:rsidP="00E7406F">
            <w:pPr>
              <w:pStyle w:val="TableText0"/>
              <w:spacing w:before="0" w:after="0"/>
              <w:rPr>
                <w:rFonts w:ascii="Arial Narrow" w:hAnsi="Arial Narrow"/>
              </w:rPr>
            </w:pPr>
            <w:r w:rsidRPr="00757B01">
              <w:rPr>
                <w:rFonts w:ascii="Arial Narrow" w:hAnsi="Arial Narrow"/>
              </w:rPr>
              <w:t>n</w:t>
            </w:r>
          </w:p>
        </w:tc>
        <w:tc>
          <w:tcPr>
            <w:tcW w:w="1064" w:type="dxa"/>
          </w:tcPr>
          <w:p w:rsidR="00CE7A31" w:rsidRPr="00757B01" w:rsidRDefault="00CE7A31" w:rsidP="00E7406F">
            <w:pPr>
              <w:pStyle w:val="TableText0"/>
              <w:spacing w:before="0" w:after="0"/>
              <w:rPr>
                <w:rFonts w:ascii="Arial Narrow" w:hAnsi="Arial Narrow"/>
              </w:rPr>
            </w:pPr>
            <w:r w:rsidRPr="00757B01">
              <w:rPr>
                <w:rFonts w:ascii="Arial Narrow" w:hAnsi="Arial Narrow"/>
              </w:rPr>
              <w:t>Geometric Mean</w:t>
            </w:r>
          </w:p>
        </w:tc>
        <w:tc>
          <w:tcPr>
            <w:tcW w:w="817" w:type="dxa"/>
          </w:tcPr>
          <w:p w:rsidR="00CE7A31" w:rsidRPr="00757B01" w:rsidRDefault="00CE7A31" w:rsidP="00E7406F">
            <w:pPr>
              <w:pStyle w:val="TableText0"/>
              <w:spacing w:before="0" w:after="0"/>
              <w:rPr>
                <w:rFonts w:ascii="Arial Narrow" w:hAnsi="Arial Narrow"/>
              </w:rPr>
            </w:pPr>
            <w:r w:rsidRPr="00757B01">
              <w:rPr>
                <w:rFonts w:ascii="Arial Narrow" w:hAnsi="Arial Narrow"/>
              </w:rPr>
              <w:t>CV (%)</w:t>
            </w:r>
            <w:r w:rsidRPr="00757B01">
              <w:rPr>
                <w:rFonts w:ascii="Arial Narrow" w:hAnsi="Arial Narrow"/>
                <w:vertAlign w:val="superscript"/>
              </w:rPr>
              <w:t>b</w:t>
            </w:r>
          </w:p>
        </w:tc>
        <w:tc>
          <w:tcPr>
            <w:tcW w:w="805" w:type="dxa"/>
          </w:tcPr>
          <w:p w:rsidR="00CE7A31" w:rsidRPr="00757B01" w:rsidRDefault="00CE7A31" w:rsidP="00E7406F">
            <w:pPr>
              <w:pStyle w:val="TableText0"/>
              <w:spacing w:before="0" w:after="0"/>
              <w:rPr>
                <w:rFonts w:ascii="Arial Narrow" w:hAnsi="Arial Narrow"/>
              </w:rPr>
            </w:pPr>
            <w:r w:rsidRPr="00757B01">
              <w:rPr>
                <w:rFonts w:ascii="Arial Narrow" w:hAnsi="Arial Narrow"/>
              </w:rPr>
              <w:t>n</w:t>
            </w:r>
          </w:p>
        </w:tc>
        <w:tc>
          <w:tcPr>
            <w:tcW w:w="1209" w:type="dxa"/>
          </w:tcPr>
          <w:p w:rsidR="00CE7A31" w:rsidRPr="00757B01" w:rsidRDefault="00CE7A31" w:rsidP="00E7406F">
            <w:pPr>
              <w:pStyle w:val="TableText0"/>
              <w:spacing w:before="0" w:after="0"/>
              <w:rPr>
                <w:rFonts w:ascii="Arial Narrow" w:hAnsi="Arial Narrow"/>
              </w:rPr>
            </w:pPr>
            <w:r w:rsidRPr="00757B01">
              <w:rPr>
                <w:rFonts w:ascii="Arial Narrow" w:hAnsi="Arial Narrow"/>
              </w:rPr>
              <w:t>Geometric Mean</w:t>
            </w:r>
          </w:p>
        </w:tc>
        <w:tc>
          <w:tcPr>
            <w:tcW w:w="806" w:type="dxa"/>
          </w:tcPr>
          <w:p w:rsidR="00CE7A31" w:rsidRPr="00757B01" w:rsidRDefault="00CE7A31" w:rsidP="00E7406F">
            <w:pPr>
              <w:pStyle w:val="TableText0"/>
              <w:spacing w:before="0" w:after="0"/>
              <w:rPr>
                <w:rFonts w:ascii="Arial Narrow" w:hAnsi="Arial Narrow"/>
              </w:rPr>
            </w:pPr>
            <w:r w:rsidRPr="00757B01">
              <w:rPr>
                <w:rFonts w:ascii="Arial Narrow" w:hAnsi="Arial Narrow"/>
              </w:rPr>
              <w:t>CV (%)</w:t>
            </w:r>
            <w:r w:rsidRPr="00757B01">
              <w:rPr>
                <w:rFonts w:ascii="Arial Narrow" w:hAnsi="Arial Narrow"/>
                <w:vertAlign w:val="superscript"/>
              </w:rPr>
              <w:t>b</w:t>
            </w:r>
          </w:p>
        </w:tc>
        <w:tc>
          <w:tcPr>
            <w:tcW w:w="1981" w:type="dxa"/>
            <w:vMerge/>
          </w:tcPr>
          <w:p w:rsidR="00CE7A31" w:rsidRPr="00757B01" w:rsidRDefault="00CE7A31" w:rsidP="00E7406F">
            <w:pPr>
              <w:pStyle w:val="TableText0"/>
              <w:spacing w:before="0" w:after="0"/>
              <w:jc w:val="center"/>
              <w:rPr>
                <w:rFonts w:ascii="Arial Narrow" w:hAnsi="Arial Narrow"/>
              </w:rPr>
            </w:pPr>
          </w:p>
        </w:tc>
      </w:tr>
      <w:tr w:rsidR="00CE7A31" w:rsidRPr="00757B01" w:rsidTr="00E7406F">
        <w:trPr>
          <w:trHeight w:val="295"/>
        </w:trPr>
        <w:tc>
          <w:tcPr>
            <w:tcW w:w="1036" w:type="dxa"/>
          </w:tcPr>
          <w:p w:rsidR="00CE7A31" w:rsidRPr="00757B01" w:rsidRDefault="00CE7A31" w:rsidP="00E7406F">
            <w:pPr>
              <w:pStyle w:val="TableText0"/>
              <w:spacing w:before="0" w:after="0"/>
              <w:rPr>
                <w:rFonts w:ascii="Arial Narrow" w:hAnsi="Arial Narrow"/>
              </w:rPr>
            </w:pPr>
            <w:r w:rsidRPr="00757B01">
              <w:rPr>
                <w:rFonts w:ascii="Arial Narrow" w:hAnsi="Arial Narrow"/>
              </w:rPr>
              <w:t>Stage 1</w:t>
            </w:r>
          </w:p>
        </w:tc>
        <w:tc>
          <w:tcPr>
            <w:tcW w:w="539" w:type="dxa"/>
          </w:tcPr>
          <w:p w:rsidR="00CE7A31" w:rsidRPr="00757B01" w:rsidRDefault="00CE7A31" w:rsidP="00E7406F">
            <w:pPr>
              <w:pStyle w:val="TableText0"/>
              <w:spacing w:before="0" w:after="0"/>
              <w:rPr>
                <w:rFonts w:ascii="Arial Narrow" w:hAnsi="Arial Narrow"/>
              </w:rPr>
            </w:pPr>
            <w:r w:rsidRPr="00757B01">
              <w:rPr>
                <w:rFonts w:ascii="Arial Narrow" w:hAnsi="Arial Narrow"/>
              </w:rPr>
              <w:t>48</w:t>
            </w:r>
          </w:p>
        </w:tc>
        <w:tc>
          <w:tcPr>
            <w:tcW w:w="1064" w:type="dxa"/>
          </w:tcPr>
          <w:p w:rsidR="00CE7A31" w:rsidRPr="00757B01" w:rsidRDefault="00CE7A31" w:rsidP="00E7406F">
            <w:pPr>
              <w:pStyle w:val="TableText0"/>
              <w:spacing w:before="0" w:after="0"/>
              <w:rPr>
                <w:rFonts w:ascii="Arial Narrow" w:hAnsi="Arial Narrow"/>
              </w:rPr>
            </w:pPr>
            <w:r w:rsidRPr="00757B01">
              <w:rPr>
                <w:rFonts w:ascii="Arial Narrow" w:hAnsi="Arial Narrow"/>
              </w:rPr>
              <w:t>83.1</w:t>
            </w:r>
          </w:p>
        </w:tc>
        <w:tc>
          <w:tcPr>
            <w:tcW w:w="817" w:type="dxa"/>
          </w:tcPr>
          <w:p w:rsidR="00CE7A31" w:rsidRPr="00825077" w:rsidRDefault="00825077" w:rsidP="00E7406F">
            <w:pPr>
              <w:pStyle w:val="TableText0"/>
              <w:spacing w:before="0" w:after="0"/>
              <w:rPr>
                <w:rFonts w:ascii="Arial Narrow" w:hAnsi="Arial Narrow"/>
                <w:highlight w:val="black"/>
              </w:rPr>
            </w:pPr>
            <w:r>
              <w:rPr>
                <w:rFonts w:ascii="Arial Narrow" w:hAnsi="Arial Narrow"/>
                <w:noProof/>
                <w:color w:val="000000"/>
                <w:highlight w:val="black"/>
              </w:rPr>
              <w:t>''''''''''''</w:t>
            </w:r>
          </w:p>
        </w:tc>
        <w:tc>
          <w:tcPr>
            <w:tcW w:w="805" w:type="dxa"/>
          </w:tcPr>
          <w:p w:rsidR="00CE7A31" w:rsidRPr="00757B01" w:rsidRDefault="00CE7A31" w:rsidP="00E7406F">
            <w:pPr>
              <w:pStyle w:val="TableText0"/>
              <w:spacing w:before="0" w:after="0"/>
              <w:rPr>
                <w:rFonts w:ascii="Arial Narrow" w:hAnsi="Arial Narrow"/>
              </w:rPr>
            </w:pPr>
            <w:r w:rsidRPr="00757B01">
              <w:rPr>
                <w:rFonts w:ascii="Arial Narrow" w:hAnsi="Arial Narrow"/>
              </w:rPr>
              <w:t>54</w:t>
            </w:r>
          </w:p>
        </w:tc>
        <w:tc>
          <w:tcPr>
            <w:tcW w:w="1209" w:type="dxa"/>
          </w:tcPr>
          <w:p w:rsidR="00CE7A31" w:rsidRPr="00757B01" w:rsidRDefault="00CE7A31" w:rsidP="00E7406F">
            <w:pPr>
              <w:pStyle w:val="TableText0"/>
              <w:spacing w:before="0" w:after="0"/>
              <w:rPr>
                <w:rFonts w:ascii="Arial Narrow" w:hAnsi="Arial Narrow"/>
              </w:rPr>
            </w:pPr>
            <w:r w:rsidRPr="00757B01">
              <w:rPr>
                <w:rFonts w:ascii="Arial Narrow" w:hAnsi="Arial Narrow"/>
              </w:rPr>
              <w:t>134.6</w:t>
            </w:r>
          </w:p>
        </w:tc>
        <w:tc>
          <w:tcPr>
            <w:tcW w:w="806" w:type="dxa"/>
          </w:tcPr>
          <w:p w:rsidR="00CE7A31" w:rsidRPr="00825077" w:rsidRDefault="00825077" w:rsidP="00E7406F">
            <w:pPr>
              <w:pStyle w:val="TableText0"/>
              <w:spacing w:before="0" w:after="0"/>
              <w:rPr>
                <w:rFonts w:ascii="Arial Narrow" w:hAnsi="Arial Narrow"/>
                <w:highlight w:val="black"/>
              </w:rPr>
            </w:pPr>
            <w:r>
              <w:rPr>
                <w:rFonts w:ascii="Arial Narrow" w:hAnsi="Arial Narrow"/>
                <w:noProof/>
                <w:color w:val="000000"/>
                <w:highlight w:val="black"/>
              </w:rPr>
              <w:t>''''''''''''''</w:t>
            </w:r>
          </w:p>
        </w:tc>
        <w:tc>
          <w:tcPr>
            <w:tcW w:w="1981" w:type="dxa"/>
          </w:tcPr>
          <w:p w:rsidR="00CE7A31" w:rsidRPr="00757B01" w:rsidRDefault="00CE7A31" w:rsidP="00E7406F">
            <w:pPr>
              <w:pStyle w:val="TableText0"/>
              <w:spacing w:before="0" w:after="0"/>
              <w:jc w:val="center"/>
              <w:rPr>
                <w:rFonts w:ascii="Arial Narrow" w:hAnsi="Arial Narrow"/>
              </w:rPr>
            </w:pPr>
            <w:r w:rsidRPr="00757B01">
              <w:rPr>
                <w:rFonts w:ascii="Arial Narrow" w:hAnsi="Arial Narrow"/>
              </w:rPr>
              <w:t>1.62 [1.36; 1.94]</w:t>
            </w:r>
          </w:p>
        </w:tc>
      </w:tr>
      <w:tr w:rsidR="00CE7A31" w:rsidRPr="00757B01" w:rsidTr="00E7406F">
        <w:trPr>
          <w:trHeight w:val="295"/>
        </w:trPr>
        <w:tc>
          <w:tcPr>
            <w:tcW w:w="1036" w:type="dxa"/>
          </w:tcPr>
          <w:p w:rsidR="00CE7A31" w:rsidRPr="00757B01" w:rsidRDefault="00CE7A31" w:rsidP="00E7406F">
            <w:pPr>
              <w:pStyle w:val="TableText0"/>
              <w:spacing w:before="0" w:after="0"/>
              <w:rPr>
                <w:rFonts w:ascii="Arial Narrow" w:hAnsi="Arial Narrow"/>
              </w:rPr>
            </w:pPr>
            <w:r w:rsidRPr="00757B01">
              <w:rPr>
                <w:rFonts w:ascii="Arial Narrow" w:hAnsi="Arial Narrow"/>
              </w:rPr>
              <w:t>Stage 2</w:t>
            </w:r>
          </w:p>
        </w:tc>
        <w:tc>
          <w:tcPr>
            <w:tcW w:w="539" w:type="dxa"/>
          </w:tcPr>
          <w:p w:rsidR="00CE7A31" w:rsidRPr="00825077" w:rsidRDefault="00825077" w:rsidP="00E7406F">
            <w:pPr>
              <w:pStyle w:val="TableText0"/>
              <w:spacing w:before="0" w:after="0"/>
              <w:rPr>
                <w:rFonts w:ascii="Arial Narrow" w:hAnsi="Arial Narrow"/>
                <w:highlight w:val="black"/>
              </w:rPr>
            </w:pPr>
            <w:r>
              <w:rPr>
                <w:rFonts w:ascii="Arial Narrow" w:hAnsi="Arial Narrow"/>
                <w:noProof/>
                <w:color w:val="000000"/>
                <w:highlight w:val="black"/>
              </w:rPr>
              <w:t>'''''''''</w:t>
            </w:r>
          </w:p>
        </w:tc>
        <w:tc>
          <w:tcPr>
            <w:tcW w:w="1064" w:type="dxa"/>
          </w:tcPr>
          <w:p w:rsidR="00CE7A31" w:rsidRPr="00825077" w:rsidRDefault="00825077" w:rsidP="00E7406F">
            <w:pPr>
              <w:pStyle w:val="TableText0"/>
              <w:spacing w:before="0" w:after="0"/>
              <w:rPr>
                <w:rFonts w:ascii="Arial Narrow" w:hAnsi="Arial Narrow"/>
                <w:highlight w:val="black"/>
              </w:rPr>
            </w:pPr>
            <w:r>
              <w:rPr>
                <w:rFonts w:ascii="Arial Narrow" w:hAnsi="Arial Narrow"/>
                <w:noProof/>
                <w:color w:val="000000"/>
                <w:highlight w:val="black"/>
              </w:rPr>
              <w:t>'''''''''''</w:t>
            </w:r>
          </w:p>
        </w:tc>
        <w:tc>
          <w:tcPr>
            <w:tcW w:w="817" w:type="dxa"/>
          </w:tcPr>
          <w:p w:rsidR="00CE7A31" w:rsidRPr="00825077" w:rsidRDefault="00825077" w:rsidP="00E7406F">
            <w:pPr>
              <w:pStyle w:val="TableText0"/>
              <w:spacing w:before="0" w:after="0"/>
              <w:rPr>
                <w:rFonts w:ascii="Arial Narrow" w:hAnsi="Arial Narrow"/>
                <w:highlight w:val="black"/>
              </w:rPr>
            </w:pPr>
            <w:r>
              <w:rPr>
                <w:rFonts w:ascii="Arial Narrow" w:hAnsi="Arial Narrow"/>
                <w:noProof/>
                <w:color w:val="000000"/>
                <w:highlight w:val="black"/>
              </w:rPr>
              <w:t>''''''''''</w:t>
            </w:r>
          </w:p>
        </w:tc>
        <w:tc>
          <w:tcPr>
            <w:tcW w:w="805" w:type="dxa"/>
          </w:tcPr>
          <w:p w:rsidR="00CE7A31" w:rsidRPr="00825077" w:rsidRDefault="00825077" w:rsidP="00E7406F">
            <w:pPr>
              <w:pStyle w:val="TableText0"/>
              <w:spacing w:before="0" w:after="0"/>
              <w:rPr>
                <w:rFonts w:ascii="Arial Narrow" w:hAnsi="Arial Narrow"/>
                <w:highlight w:val="black"/>
              </w:rPr>
            </w:pPr>
            <w:r>
              <w:rPr>
                <w:rFonts w:ascii="Arial Narrow" w:hAnsi="Arial Narrow"/>
                <w:noProof/>
                <w:color w:val="000000"/>
                <w:highlight w:val="black"/>
              </w:rPr>
              <w:t>''''''''''</w:t>
            </w:r>
          </w:p>
        </w:tc>
        <w:tc>
          <w:tcPr>
            <w:tcW w:w="1209" w:type="dxa"/>
          </w:tcPr>
          <w:p w:rsidR="00CE7A31" w:rsidRPr="00825077" w:rsidRDefault="00825077" w:rsidP="00E7406F">
            <w:pPr>
              <w:pStyle w:val="TableText0"/>
              <w:spacing w:before="0" w:after="0"/>
              <w:rPr>
                <w:rFonts w:ascii="Arial Narrow" w:hAnsi="Arial Narrow"/>
                <w:highlight w:val="black"/>
              </w:rPr>
            </w:pPr>
            <w:r>
              <w:rPr>
                <w:rFonts w:ascii="Arial Narrow" w:hAnsi="Arial Narrow"/>
                <w:noProof/>
                <w:color w:val="000000"/>
                <w:highlight w:val="black"/>
              </w:rPr>
              <w:t>'''''''''''''''</w:t>
            </w:r>
          </w:p>
        </w:tc>
        <w:tc>
          <w:tcPr>
            <w:tcW w:w="806" w:type="dxa"/>
          </w:tcPr>
          <w:p w:rsidR="00CE7A31" w:rsidRPr="00825077" w:rsidRDefault="00825077" w:rsidP="00E7406F">
            <w:pPr>
              <w:pStyle w:val="TableText0"/>
              <w:spacing w:before="0" w:after="0"/>
              <w:rPr>
                <w:rFonts w:ascii="Arial Narrow" w:hAnsi="Arial Narrow"/>
                <w:highlight w:val="black"/>
              </w:rPr>
            </w:pPr>
            <w:r>
              <w:rPr>
                <w:rFonts w:ascii="Arial Narrow" w:hAnsi="Arial Narrow"/>
                <w:noProof/>
                <w:color w:val="000000"/>
                <w:highlight w:val="black"/>
              </w:rPr>
              <w:t>''''''''''</w:t>
            </w:r>
          </w:p>
        </w:tc>
        <w:tc>
          <w:tcPr>
            <w:tcW w:w="1981" w:type="dxa"/>
          </w:tcPr>
          <w:p w:rsidR="00CE7A31" w:rsidRPr="00825077" w:rsidRDefault="00825077" w:rsidP="00E7406F">
            <w:pPr>
              <w:pStyle w:val="TableText0"/>
              <w:spacing w:before="0" w:after="0"/>
              <w:jc w:val="center"/>
              <w:rPr>
                <w:rFonts w:ascii="Arial Narrow" w:hAnsi="Arial Narrow"/>
                <w:highlight w:val="black"/>
              </w:rPr>
            </w:pPr>
            <w:r>
              <w:rPr>
                <w:rFonts w:ascii="Arial Narrow" w:hAnsi="Arial Narrow"/>
                <w:noProof/>
                <w:color w:val="000000"/>
                <w:highlight w:val="black"/>
              </w:rPr>
              <w:t>'''''''''' ''''''''''''' ''''''''''''</w:t>
            </w:r>
          </w:p>
        </w:tc>
      </w:tr>
      <w:tr w:rsidR="00CE7A31" w:rsidRPr="00757B01" w:rsidTr="00E7406F">
        <w:trPr>
          <w:trHeight w:val="295"/>
        </w:trPr>
        <w:tc>
          <w:tcPr>
            <w:tcW w:w="1036" w:type="dxa"/>
          </w:tcPr>
          <w:p w:rsidR="00CE7A31" w:rsidRPr="00757B01" w:rsidRDefault="00CE7A31" w:rsidP="00E7406F">
            <w:pPr>
              <w:pStyle w:val="TableText0"/>
              <w:spacing w:before="0" w:after="0"/>
              <w:rPr>
                <w:rFonts w:ascii="Arial Narrow" w:hAnsi="Arial Narrow"/>
              </w:rPr>
            </w:pPr>
            <w:r w:rsidRPr="00757B01">
              <w:rPr>
                <w:rFonts w:ascii="Arial Narrow" w:hAnsi="Arial Narrow"/>
              </w:rPr>
              <w:t>Pooled analysis</w:t>
            </w:r>
          </w:p>
        </w:tc>
        <w:tc>
          <w:tcPr>
            <w:tcW w:w="539" w:type="dxa"/>
          </w:tcPr>
          <w:p w:rsidR="00CE7A31" w:rsidRPr="00825077" w:rsidRDefault="00825077" w:rsidP="00E7406F">
            <w:pPr>
              <w:pStyle w:val="TableText0"/>
              <w:spacing w:before="0" w:after="0"/>
              <w:rPr>
                <w:rFonts w:ascii="Arial Narrow" w:hAnsi="Arial Narrow"/>
                <w:highlight w:val="black"/>
              </w:rPr>
            </w:pPr>
            <w:r>
              <w:rPr>
                <w:rFonts w:ascii="Arial Narrow" w:hAnsi="Arial Narrow"/>
                <w:noProof/>
                <w:color w:val="000000"/>
                <w:highlight w:val="black"/>
              </w:rPr>
              <w:t>'''''''''</w:t>
            </w:r>
          </w:p>
        </w:tc>
        <w:tc>
          <w:tcPr>
            <w:tcW w:w="1064" w:type="dxa"/>
          </w:tcPr>
          <w:p w:rsidR="00CE7A31" w:rsidRPr="00825077" w:rsidRDefault="00825077" w:rsidP="00E7406F">
            <w:pPr>
              <w:pStyle w:val="TableText0"/>
              <w:spacing w:before="0" w:after="0"/>
              <w:rPr>
                <w:rFonts w:ascii="Arial Narrow" w:hAnsi="Arial Narrow"/>
                <w:highlight w:val="black"/>
              </w:rPr>
            </w:pPr>
            <w:r>
              <w:rPr>
                <w:rFonts w:ascii="Arial Narrow" w:hAnsi="Arial Narrow"/>
                <w:noProof/>
                <w:color w:val="000000"/>
                <w:highlight w:val="black"/>
              </w:rPr>
              <w:t>'''''''''''</w:t>
            </w:r>
          </w:p>
        </w:tc>
        <w:tc>
          <w:tcPr>
            <w:tcW w:w="817" w:type="dxa"/>
          </w:tcPr>
          <w:p w:rsidR="00CE7A31" w:rsidRPr="00825077" w:rsidRDefault="00825077" w:rsidP="00E7406F">
            <w:pPr>
              <w:pStyle w:val="TableText0"/>
              <w:spacing w:before="0" w:after="0"/>
              <w:rPr>
                <w:rFonts w:ascii="Arial Narrow" w:hAnsi="Arial Narrow"/>
                <w:highlight w:val="black"/>
              </w:rPr>
            </w:pPr>
            <w:r>
              <w:rPr>
                <w:rFonts w:ascii="Arial Narrow" w:hAnsi="Arial Narrow"/>
                <w:noProof/>
                <w:color w:val="000000"/>
                <w:highlight w:val="black"/>
              </w:rPr>
              <w:t>''''''''''</w:t>
            </w:r>
          </w:p>
        </w:tc>
        <w:tc>
          <w:tcPr>
            <w:tcW w:w="805" w:type="dxa"/>
          </w:tcPr>
          <w:p w:rsidR="00CE7A31" w:rsidRPr="00825077" w:rsidRDefault="00825077" w:rsidP="00E7406F">
            <w:pPr>
              <w:pStyle w:val="TableText0"/>
              <w:spacing w:before="0" w:after="0"/>
              <w:rPr>
                <w:rFonts w:ascii="Arial Narrow" w:hAnsi="Arial Narrow"/>
                <w:highlight w:val="black"/>
              </w:rPr>
            </w:pPr>
            <w:r>
              <w:rPr>
                <w:rFonts w:ascii="Arial Narrow" w:hAnsi="Arial Narrow"/>
                <w:noProof/>
                <w:color w:val="000000"/>
                <w:highlight w:val="black"/>
              </w:rPr>
              <w:t>'''''''''</w:t>
            </w:r>
          </w:p>
        </w:tc>
        <w:tc>
          <w:tcPr>
            <w:tcW w:w="1209" w:type="dxa"/>
          </w:tcPr>
          <w:p w:rsidR="00CE7A31" w:rsidRPr="00825077" w:rsidRDefault="00825077" w:rsidP="00E7406F">
            <w:pPr>
              <w:pStyle w:val="TableText0"/>
              <w:spacing w:before="0" w:after="0"/>
              <w:rPr>
                <w:rFonts w:ascii="Arial Narrow" w:hAnsi="Arial Narrow"/>
                <w:highlight w:val="black"/>
              </w:rPr>
            </w:pPr>
            <w:r>
              <w:rPr>
                <w:rFonts w:ascii="Arial Narrow" w:hAnsi="Arial Narrow"/>
                <w:noProof/>
                <w:color w:val="000000"/>
                <w:highlight w:val="black"/>
              </w:rPr>
              <w:t>''''''''''''''</w:t>
            </w:r>
          </w:p>
        </w:tc>
        <w:tc>
          <w:tcPr>
            <w:tcW w:w="806" w:type="dxa"/>
          </w:tcPr>
          <w:p w:rsidR="00CE7A31" w:rsidRPr="00825077" w:rsidRDefault="00825077" w:rsidP="00E7406F">
            <w:pPr>
              <w:pStyle w:val="TableText0"/>
              <w:spacing w:before="0" w:after="0"/>
              <w:rPr>
                <w:rFonts w:ascii="Arial Narrow" w:hAnsi="Arial Narrow"/>
                <w:highlight w:val="black"/>
              </w:rPr>
            </w:pPr>
            <w:r>
              <w:rPr>
                <w:rFonts w:ascii="Arial Narrow" w:hAnsi="Arial Narrow"/>
                <w:noProof/>
                <w:color w:val="000000"/>
                <w:highlight w:val="black"/>
              </w:rPr>
              <w:t>''''''''''</w:t>
            </w:r>
          </w:p>
        </w:tc>
        <w:tc>
          <w:tcPr>
            <w:tcW w:w="1981" w:type="dxa"/>
          </w:tcPr>
          <w:p w:rsidR="00CE7A31" w:rsidRPr="00825077" w:rsidRDefault="00825077" w:rsidP="00E7406F">
            <w:pPr>
              <w:pStyle w:val="TableText0"/>
              <w:spacing w:before="0" w:after="0"/>
              <w:jc w:val="center"/>
              <w:rPr>
                <w:rFonts w:ascii="Arial Narrow" w:hAnsi="Arial Narrow"/>
                <w:highlight w:val="black"/>
              </w:rPr>
            </w:pPr>
            <w:r>
              <w:rPr>
                <w:rFonts w:ascii="Arial Narrow" w:hAnsi="Arial Narrow"/>
                <w:noProof/>
                <w:color w:val="000000"/>
                <w:highlight w:val="black"/>
              </w:rPr>
              <w:t>'''''''''' ''''''''''''''' '''''''''''''</w:t>
            </w:r>
          </w:p>
        </w:tc>
      </w:tr>
    </w:tbl>
    <w:p w:rsidR="00CE7A31" w:rsidRPr="00757B01" w:rsidRDefault="00CE7A31" w:rsidP="00CE7A31">
      <w:pPr>
        <w:tabs>
          <w:tab w:val="left" w:pos="709"/>
        </w:tabs>
        <w:ind w:left="1418" w:hanging="1418"/>
        <w:rPr>
          <w:rFonts w:ascii="Arial Narrow" w:eastAsia="SimSun" w:hAnsi="Arial Narrow"/>
          <w:sz w:val="20"/>
          <w:szCs w:val="20"/>
          <w:lang w:eastAsia="zh-CN"/>
        </w:rPr>
      </w:pPr>
      <w:r w:rsidRPr="00757B01">
        <w:rPr>
          <w:rFonts w:ascii="Arial Narrow" w:eastAsia="SimSun" w:hAnsi="Arial Narrow"/>
          <w:sz w:val="20"/>
          <w:szCs w:val="20"/>
          <w:lang w:eastAsia="zh-CN"/>
        </w:rPr>
        <w:tab/>
        <w:t>Source: page14 of the submission</w:t>
      </w:r>
    </w:p>
    <w:p w:rsidR="00CE7A31" w:rsidRPr="00757B01" w:rsidRDefault="00CE7A31" w:rsidP="00CE7A31">
      <w:pPr>
        <w:tabs>
          <w:tab w:val="left" w:pos="709"/>
        </w:tabs>
        <w:ind w:left="1418" w:hanging="1418"/>
        <w:rPr>
          <w:rFonts w:ascii="Arial Narrow" w:eastAsia="SimSun" w:hAnsi="Arial Narrow"/>
          <w:sz w:val="20"/>
          <w:szCs w:val="20"/>
          <w:lang w:eastAsia="zh-CN"/>
        </w:rPr>
      </w:pPr>
      <w:r w:rsidRPr="00757B01">
        <w:rPr>
          <w:rFonts w:ascii="Arial Narrow" w:eastAsia="SimSun" w:hAnsi="Arial Narrow"/>
          <w:sz w:val="20"/>
          <w:szCs w:val="20"/>
          <w:lang w:eastAsia="zh-CN"/>
        </w:rPr>
        <w:tab/>
        <w:t>PK = pharmacokinetic; IV = intravenous; SC = subcutaneous; CI = confidence interval; CV = coefficient of variation</w:t>
      </w:r>
    </w:p>
    <w:p w:rsidR="00CE7A31" w:rsidRPr="00757B01" w:rsidRDefault="00CE7A31" w:rsidP="00CE7A31">
      <w:pPr>
        <w:tabs>
          <w:tab w:val="left" w:pos="709"/>
        </w:tabs>
        <w:ind w:left="1418" w:hanging="1418"/>
        <w:rPr>
          <w:rFonts w:ascii="Arial Narrow" w:eastAsia="SimSun" w:hAnsi="Arial Narrow"/>
          <w:sz w:val="20"/>
          <w:szCs w:val="20"/>
          <w:lang w:eastAsia="zh-CN"/>
        </w:rPr>
      </w:pPr>
      <w:r w:rsidRPr="00757B01">
        <w:rPr>
          <w:rFonts w:ascii="Arial Narrow" w:eastAsia="SimSun" w:hAnsi="Arial Narrow"/>
          <w:sz w:val="20"/>
          <w:szCs w:val="20"/>
          <w:lang w:eastAsia="zh-CN"/>
        </w:rPr>
        <w:tab/>
        <w:t>a Geometric mean ratio adjusted for tumour load at baseline.</w:t>
      </w:r>
    </w:p>
    <w:p w:rsidR="00CE7A31" w:rsidRDefault="00CE7A31" w:rsidP="00CE7A31">
      <w:pPr>
        <w:ind w:left="709"/>
        <w:jc w:val="both"/>
        <w:rPr>
          <w:rFonts w:ascii="Arial Narrow" w:eastAsia="SimSun" w:hAnsi="Arial Narrow"/>
          <w:sz w:val="20"/>
          <w:szCs w:val="20"/>
          <w:lang w:eastAsia="zh-CN"/>
        </w:rPr>
      </w:pPr>
      <w:r w:rsidRPr="00757B01">
        <w:rPr>
          <w:rFonts w:ascii="Arial Narrow" w:eastAsia="SimSun" w:hAnsi="Arial Narrow"/>
          <w:sz w:val="20"/>
          <w:szCs w:val="20"/>
          <w:lang w:eastAsia="zh-CN"/>
        </w:rPr>
        <w:tab/>
        <w:t>b CV calculated on the original scale</w:t>
      </w:r>
    </w:p>
    <w:p w:rsidR="00CE7A31" w:rsidRPr="00CE7A31" w:rsidRDefault="00CE7A31" w:rsidP="00CE7A31">
      <w:pPr>
        <w:ind w:left="709"/>
        <w:jc w:val="both"/>
        <w:rPr>
          <w:rFonts w:ascii="Arial" w:hAnsi="Arial"/>
          <w:sz w:val="22"/>
          <w:szCs w:val="22"/>
        </w:rPr>
      </w:pPr>
    </w:p>
    <w:p w:rsidR="00CE7A31" w:rsidRDefault="00CE7A31" w:rsidP="00207E11">
      <w:pPr>
        <w:pStyle w:val="ListParagraph"/>
        <w:numPr>
          <w:ilvl w:val="1"/>
          <w:numId w:val="25"/>
        </w:numPr>
        <w:ind w:left="709" w:hanging="709"/>
        <w:jc w:val="both"/>
        <w:rPr>
          <w:rFonts w:ascii="Arial" w:hAnsi="Arial"/>
          <w:sz w:val="22"/>
          <w:szCs w:val="22"/>
        </w:rPr>
      </w:pPr>
      <w:r>
        <w:rPr>
          <w:rFonts w:ascii="Arial" w:hAnsi="Arial"/>
          <w:sz w:val="22"/>
          <w:szCs w:val="22"/>
        </w:rPr>
        <w:lastRenderedPageBreak/>
        <w:t>The submission states that t</w:t>
      </w:r>
      <w:r w:rsidRPr="00C6534B">
        <w:rPr>
          <w:rFonts w:ascii="Arial" w:hAnsi="Arial"/>
          <w:sz w:val="22"/>
          <w:szCs w:val="22"/>
        </w:rPr>
        <w:t>he primary outcome measure of the ratio of trough serum concentrations of the two rituximab formulations obtained at Cycle 7 (Ctrough SC/Ctrough IV) shows that the lower limit of the two-sided 90% CI, i</w:t>
      </w:r>
      <w:r w:rsidR="00271FDD">
        <w:rPr>
          <w:rFonts w:ascii="Arial" w:hAnsi="Arial"/>
          <w:sz w:val="22"/>
          <w:szCs w:val="22"/>
        </w:rPr>
        <w:t>.</w:t>
      </w:r>
      <w:r w:rsidRPr="00C6534B">
        <w:rPr>
          <w:rFonts w:ascii="Arial" w:hAnsi="Arial"/>
          <w:sz w:val="22"/>
          <w:szCs w:val="22"/>
        </w:rPr>
        <w:t>e</w:t>
      </w:r>
      <w:r w:rsidR="00271FDD">
        <w:rPr>
          <w:rFonts w:ascii="Arial" w:hAnsi="Arial"/>
          <w:sz w:val="22"/>
          <w:szCs w:val="22"/>
        </w:rPr>
        <w:t>.</w:t>
      </w:r>
      <w:r w:rsidRPr="00C6534B">
        <w:rPr>
          <w:rFonts w:ascii="Arial" w:hAnsi="Arial"/>
          <w:sz w:val="22"/>
          <w:szCs w:val="22"/>
        </w:rPr>
        <w:t xml:space="preserve"> 1.36, was above the pre-specified non-inferiority margin of 0.8; therefore non-inferiority for the primary PK endpoint was demonstrated.</w:t>
      </w:r>
      <w:r>
        <w:rPr>
          <w:rFonts w:ascii="Arial" w:hAnsi="Arial"/>
          <w:sz w:val="22"/>
          <w:szCs w:val="22"/>
        </w:rPr>
        <w:t xml:space="preserve"> </w:t>
      </w:r>
      <w:r w:rsidRPr="00C6534B">
        <w:rPr>
          <w:rFonts w:ascii="Arial" w:hAnsi="Arial"/>
          <w:sz w:val="22"/>
          <w:szCs w:val="22"/>
        </w:rPr>
        <w:t xml:space="preserve">Variability between the PK profiles of substances administered via different routes of administration is to be expected given differences in absorption </w:t>
      </w:r>
      <w:r>
        <w:rPr>
          <w:rFonts w:ascii="Arial" w:hAnsi="Arial"/>
          <w:sz w:val="22"/>
          <w:szCs w:val="22"/>
        </w:rPr>
        <w:t>and t</w:t>
      </w:r>
      <w:r w:rsidRPr="00C6534B">
        <w:rPr>
          <w:rFonts w:ascii="Arial" w:hAnsi="Arial"/>
          <w:sz w:val="22"/>
          <w:szCs w:val="22"/>
        </w:rPr>
        <w:t>he sponsor has therefore not attempted to establish bioequivalence between IV and SC administration according to conventional PK criteria (AUC, Cmax, etc</w:t>
      </w:r>
      <w:r>
        <w:rPr>
          <w:rFonts w:ascii="Arial" w:hAnsi="Arial"/>
          <w:sz w:val="22"/>
          <w:szCs w:val="22"/>
        </w:rPr>
        <w:t>).</w:t>
      </w:r>
    </w:p>
    <w:p w:rsidR="00CE7A31" w:rsidRDefault="00CE7A31" w:rsidP="00CE7A31">
      <w:pPr>
        <w:pStyle w:val="ListParagraph"/>
        <w:ind w:left="709"/>
        <w:jc w:val="both"/>
        <w:rPr>
          <w:rFonts w:ascii="Arial" w:hAnsi="Arial"/>
          <w:sz w:val="22"/>
          <w:szCs w:val="22"/>
        </w:rPr>
      </w:pPr>
    </w:p>
    <w:p w:rsidR="00CE7A31" w:rsidRDefault="00CE7A31" w:rsidP="00207E11">
      <w:pPr>
        <w:pStyle w:val="ListParagraph"/>
        <w:numPr>
          <w:ilvl w:val="1"/>
          <w:numId w:val="25"/>
        </w:numPr>
        <w:ind w:left="709" w:hanging="709"/>
        <w:jc w:val="both"/>
        <w:rPr>
          <w:rFonts w:ascii="Arial" w:hAnsi="Arial"/>
          <w:sz w:val="22"/>
          <w:szCs w:val="22"/>
        </w:rPr>
      </w:pPr>
      <w:r>
        <w:rPr>
          <w:rFonts w:ascii="Arial" w:hAnsi="Arial"/>
          <w:sz w:val="22"/>
          <w:szCs w:val="22"/>
        </w:rPr>
        <w:t>Results for the efficacy study are shown in the table below.</w:t>
      </w:r>
    </w:p>
    <w:p w:rsidR="00CE7A31" w:rsidRPr="00CE7A31" w:rsidRDefault="00CE7A31" w:rsidP="00CE7A31">
      <w:pPr>
        <w:jc w:val="both"/>
        <w:rPr>
          <w:rFonts w:ascii="Arial" w:hAnsi="Arial"/>
          <w:sz w:val="22"/>
          <w:szCs w:val="22"/>
        </w:rPr>
      </w:pPr>
    </w:p>
    <w:p w:rsidR="00CE7A31" w:rsidRPr="00757B01" w:rsidRDefault="00CE7A31" w:rsidP="00CE7A31">
      <w:pPr>
        <w:pStyle w:val="ListParagraph"/>
        <w:ind w:left="709"/>
        <w:jc w:val="both"/>
        <w:rPr>
          <w:rFonts w:ascii="Arial Narrow" w:hAnsi="Arial Narrow"/>
          <w:b/>
          <w:sz w:val="20"/>
          <w:szCs w:val="20"/>
        </w:rPr>
      </w:pPr>
      <w:r w:rsidRPr="00757B01">
        <w:rPr>
          <w:rFonts w:ascii="Arial Narrow" w:hAnsi="Arial Narrow"/>
          <w:b/>
          <w:sz w:val="20"/>
          <w:szCs w:val="20"/>
        </w:rPr>
        <w:t>Overall efficacy at the end of induction (ITT Population) – SABRINA pooled analysis Stage 1 and 2 (31 October 2013)</w:t>
      </w:r>
    </w:p>
    <w:tbl>
      <w:tblPr>
        <w:tblW w:w="8362" w:type="dxa"/>
        <w:tblInd w:w="817" w:type="dxa"/>
        <w:tblLayout w:type="fixed"/>
        <w:tblLook w:val="0000" w:firstRow="0" w:lastRow="0" w:firstColumn="0" w:lastColumn="0" w:noHBand="0" w:noVBand="0"/>
      </w:tblPr>
      <w:tblGrid>
        <w:gridCol w:w="3531"/>
        <w:gridCol w:w="1946"/>
        <w:gridCol w:w="1493"/>
        <w:gridCol w:w="1386"/>
        <w:gridCol w:w="6"/>
      </w:tblGrid>
      <w:tr w:rsidR="00CE7A31" w:rsidRPr="00757B01" w:rsidTr="00E7406F">
        <w:trPr>
          <w:gridAfter w:val="1"/>
          <w:wAfter w:w="6" w:type="dxa"/>
          <w:cantSplit/>
          <w:trHeight w:val="283"/>
          <w:tblHeader/>
        </w:trPr>
        <w:tc>
          <w:tcPr>
            <w:tcW w:w="3531" w:type="dxa"/>
            <w:vMerge w:val="restart"/>
            <w:tcBorders>
              <w:top w:val="single" w:sz="4" w:space="0" w:color="auto"/>
              <w:left w:val="single" w:sz="4" w:space="0" w:color="auto"/>
              <w:right w:val="single" w:sz="4" w:space="0" w:color="auto"/>
            </w:tcBorders>
            <w:vAlign w:val="center"/>
          </w:tcPr>
          <w:p w:rsidR="00CE7A31" w:rsidRPr="00757B01" w:rsidRDefault="00CE7A31" w:rsidP="00E7406F">
            <w:pPr>
              <w:rPr>
                <w:rFonts w:ascii="Arial Narrow" w:hAnsi="Arial Narrow" w:cs="Calibri"/>
                <w:b/>
                <w:bCs/>
                <w:sz w:val="20"/>
                <w:szCs w:val="20"/>
                <w:lang w:eastAsia="en-US"/>
              </w:rPr>
            </w:pPr>
          </w:p>
        </w:tc>
        <w:tc>
          <w:tcPr>
            <w:tcW w:w="4825" w:type="dxa"/>
            <w:gridSpan w:val="3"/>
            <w:tcBorders>
              <w:top w:val="single" w:sz="4" w:space="0" w:color="auto"/>
              <w:left w:val="nil"/>
              <w:bottom w:val="single" w:sz="4" w:space="0" w:color="auto"/>
              <w:right w:val="single" w:sz="4" w:space="0" w:color="auto"/>
            </w:tcBorders>
          </w:tcPr>
          <w:p w:rsidR="00CE7A31" w:rsidRPr="00757B01" w:rsidRDefault="00CE7A31" w:rsidP="00E7406F">
            <w:pPr>
              <w:jc w:val="center"/>
              <w:rPr>
                <w:rFonts w:ascii="Arial Narrow" w:hAnsi="Arial Narrow" w:cs="Calibri"/>
                <w:b/>
                <w:bCs/>
                <w:sz w:val="20"/>
                <w:szCs w:val="20"/>
                <w:lang w:eastAsia="en-US"/>
              </w:rPr>
            </w:pPr>
            <w:r w:rsidRPr="00757B01">
              <w:rPr>
                <w:rFonts w:ascii="Arial Narrow" w:hAnsi="Arial Narrow" w:cs="Calibri"/>
                <w:b/>
                <w:bCs/>
                <w:sz w:val="20"/>
                <w:szCs w:val="20"/>
                <w:lang w:eastAsia="en-US"/>
              </w:rPr>
              <w:t>Number of patients (%)</w:t>
            </w:r>
          </w:p>
        </w:tc>
      </w:tr>
      <w:tr w:rsidR="00CE7A31" w:rsidRPr="00757B01" w:rsidTr="00E7406F">
        <w:trPr>
          <w:trHeight w:val="143"/>
          <w:tblHeader/>
        </w:trPr>
        <w:tc>
          <w:tcPr>
            <w:tcW w:w="3531" w:type="dxa"/>
            <w:vMerge/>
            <w:tcBorders>
              <w:left w:val="single" w:sz="4" w:space="0" w:color="auto"/>
              <w:bottom w:val="single" w:sz="4" w:space="0" w:color="auto"/>
              <w:right w:val="single" w:sz="4" w:space="0" w:color="auto"/>
            </w:tcBorders>
            <w:vAlign w:val="center"/>
          </w:tcPr>
          <w:p w:rsidR="00CE7A31" w:rsidRPr="00757B01" w:rsidRDefault="00CE7A31" w:rsidP="00E7406F">
            <w:pPr>
              <w:rPr>
                <w:rFonts w:ascii="Arial Narrow" w:hAnsi="Arial Narrow" w:cs="Calibri"/>
                <w:b/>
                <w:bCs/>
                <w:sz w:val="20"/>
                <w:szCs w:val="20"/>
                <w:lang w:eastAsia="en-US"/>
              </w:rPr>
            </w:pPr>
          </w:p>
        </w:tc>
        <w:tc>
          <w:tcPr>
            <w:tcW w:w="1946" w:type="dxa"/>
            <w:tcBorders>
              <w:top w:val="single" w:sz="4" w:space="0" w:color="auto"/>
              <w:left w:val="nil"/>
              <w:bottom w:val="single" w:sz="4" w:space="0" w:color="auto"/>
              <w:right w:val="single" w:sz="4" w:space="0" w:color="auto"/>
            </w:tcBorders>
          </w:tcPr>
          <w:p w:rsidR="00CE7A31" w:rsidRPr="00757B01" w:rsidRDefault="00CE7A31" w:rsidP="00E7406F">
            <w:pPr>
              <w:jc w:val="center"/>
              <w:rPr>
                <w:rFonts w:ascii="Arial Narrow" w:hAnsi="Arial Narrow" w:cs="Calibri"/>
                <w:b/>
                <w:bCs/>
                <w:sz w:val="20"/>
                <w:szCs w:val="20"/>
                <w:lang w:eastAsia="en-US"/>
              </w:rPr>
            </w:pPr>
            <w:r w:rsidRPr="00757B01">
              <w:rPr>
                <w:rFonts w:ascii="Arial Narrow" w:hAnsi="Arial Narrow" w:cs="Calibri"/>
                <w:b/>
                <w:bCs/>
                <w:sz w:val="20"/>
                <w:szCs w:val="20"/>
                <w:lang w:eastAsia="en-US"/>
              </w:rPr>
              <w:t xml:space="preserve">Rituximab IV </w:t>
            </w:r>
            <w:r w:rsidRPr="00757B01">
              <w:rPr>
                <w:rFonts w:ascii="Arial Narrow" w:hAnsi="Arial Narrow" w:cs="Calibri"/>
                <w:b/>
                <w:bCs/>
                <w:sz w:val="20"/>
                <w:szCs w:val="20"/>
                <w:lang w:eastAsia="en-US"/>
              </w:rPr>
              <w:br/>
              <w:t>+ Chemo</w:t>
            </w:r>
          </w:p>
          <w:p w:rsidR="00CE7A31" w:rsidRPr="00757B01" w:rsidRDefault="00CE7A31" w:rsidP="00E7406F">
            <w:pPr>
              <w:jc w:val="center"/>
              <w:rPr>
                <w:rFonts w:ascii="Arial Narrow" w:hAnsi="Arial Narrow" w:cs="Calibri"/>
                <w:b/>
                <w:bCs/>
                <w:sz w:val="20"/>
                <w:szCs w:val="20"/>
                <w:lang w:eastAsia="en-US"/>
              </w:rPr>
            </w:pPr>
            <w:r w:rsidRPr="00757B01">
              <w:rPr>
                <w:rFonts w:ascii="Arial Narrow" w:hAnsi="Arial Narrow" w:cs="Calibri"/>
                <w:b/>
                <w:bCs/>
                <w:sz w:val="20"/>
                <w:szCs w:val="20"/>
                <w:lang w:eastAsia="en-US"/>
              </w:rPr>
              <w:t>(N=</w:t>
            </w:r>
            <w:r w:rsidR="00825077">
              <w:rPr>
                <w:rFonts w:ascii="Arial Narrow" w:hAnsi="Arial Narrow" w:cs="Calibri"/>
                <w:b/>
                <w:bCs/>
                <w:noProof/>
                <w:color w:val="000000"/>
                <w:sz w:val="20"/>
                <w:szCs w:val="20"/>
                <w:highlight w:val="black"/>
                <w:lang w:eastAsia="en-US"/>
              </w:rPr>
              <w:t>'''''''</w:t>
            </w:r>
            <w:r w:rsidRPr="00757B01">
              <w:rPr>
                <w:rFonts w:ascii="Arial Narrow" w:hAnsi="Arial Narrow" w:cs="Calibri"/>
                <w:b/>
                <w:bCs/>
                <w:sz w:val="20"/>
                <w:szCs w:val="20"/>
                <w:lang w:eastAsia="en-US"/>
              </w:rPr>
              <w:t>)</w:t>
            </w:r>
          </w:p>
        </w:tc>
        <w:tc>
          <w:tcPr>
            <w:tcW w:w="1493" w:type="dxa"/>
            <w:tcBorders>
              <w:top w:val="single" w:sz="4" w:space="0" w:color="auto"/>
              <w:left w:val="nil"/>
              <w:bottom w:val="single" w:sz="4" w:space="0" w:color="auto"/>
              <w:right w:val="single" w:sz="4" w:space="0" w:color="auto"/>
            </w:tcBorders>
            <w:vAlign w:val="center"/>
          </w:tcPr>
          <w:p w:rsidR="00CE7A31" w:rsidRPr="00757B01" w:rsidRDefault="00CE7A31" w:rsidP="00E7406F">
            <w:pPr>
              <w:jc w:val="center"/>
              <w:rPr>
                <w:rFonts w:ascii="Arial Narrow" w:hAnsi="Arial Narrow" w:cs="Calibri"/>
                <w:b/>
                <w:bCs/>
                <w:sz w:val="20"/>
                <w:szCs w:val="20"/>
                <w:lang w:eastAsia="en-US"/>
              </w:rPr>
            </w:pPr>
            <w:r w:rsidRPr="00757B01">
              <w:rPr>
                <w:rFonts w:ascii="Arial Narrow" w:hAnsi="Arial Narrow" w:cs="Calibri"/>
                <w:b/>
                <w:bCs/>
                <w:sz w:val="20"/>
                <w:szCs w:val="20"/>
                <w:lang w:eastAsia="en-US"/>
              </w:rPr>
              <w:t xml:space="preserve">Rituximab SC </w:t>
            </w:r>
            <w:r w:rsidRPr="00757B01">
              <w:rPr>
                <w:rFonts w:ascii="Arial Narrow" w:hAnsi="Arial Narrow" w:cs="Calibri"/>
                <w:b/>
                <w:bCs/>
                <w:sz w:val="20"/>
                <w:szCs w:val="20"/>
                <w:lang w:eastAsia="en-US"/>
              </w:rPr>
              <w:br/>
              <w:t>+ Chemo</w:t>
            </w:r>
          </w:p>
          <w:p w:rsidR="00CE7A31" w:rsidRPr="00757B01" w:rsidRDefault="00CE7A31" w:rsidP="00E7406F">
            <w:pPr>
              <w:jc w:val="center"/>
              <w:rPr>
                <w:rFonts w:ascii="Arial Narrow" w:hAnsi="Arial Narrow" w:cs="Calibri"/>
                <w:b/>
                <w:bCs/>
                <w:sz w:val="20"/>
                <w:szCs w:val="20"/>
                <w:lang w:eastAsia="en-US"/>
              </w:rPr>
            </w:pPr>
            <w:r w:rsidRPr="00757B01">
              <w:rPr>
                <w:rFonts w:ascii="Arial Narrow" w:hAnsi="Arial Narrow" w:cs="Calibri"/>
                <w:b/>
                <w:bCs/>
                <w:sz w:val="20"/>
                <w:szCs w:val="20"/>
                <w:lang w:eastAsia="en-US"/>
              </w:rPr>
              <w:t>(N=</w:t>
            </w:r>
            <w:r w:rsidR="00825077">
              <w:rPr>
                <w:rFonts w:ascii="Arial Narrow" w:hAnsi="Arial Narrow" w:cs="Calibri"/>
                <w:b/>
                <w:bCs/>
                <w:noProof/>
                <w:color w:val="000000"/>
                <w:sz w:val="20"/>
                <w:szCs w:val="20"/>
                <w:highlight w:val="black"/>
                <w:lang w:eastAsia="en-US"/>
              </w:rPr>
              <w:t>''''''''</w:t>
            </w:r>
            <w:r w:rsidRPr="00757B01">
              <w:rPr>
                <w:rFonts w:ascii="Arial Narrow" w:hAnsi="Arial Narrow" w:cs="Calibri"/>
                <w:b/>
                <w:bCs/>
                <w:sz w:val="20"/>
                <w:szCs w:val="20"/>
                <w:lang w:eastAsia="en-US"/>
              </w:rPr>
              <w:t>)</w:t>
            </w:r>
          </w:p>
        </w:tc>
        <w:tc>
          <w:tcPr>
            <w:tcW w:w="1392" w:type="dxa"/>
            <w:gridSpan w:val="2"/>
            <w:tcBorders>
              <w:top w:val="single" w:sz="4" w:space="0" w:color="auto"/>
              <w:left w:val="nil"/>
              <w:bottom w:val="single" w:sz="4" w:space="0" w:color="auto"/>
              <w:right w:val="single" w:sz="4" w:space="0" w:color="auto"/>
            </w:tcBorders>
          </w:tcPr>
          <w:p w:rsidR="00CE7A31" w:rsidRPr="00757B01" w:rsidRDefault="00CE7A31" w:rsidP="00E7406F">
            <w:pPr>
              <w:jc w:val="center"/>
              <w:rPr>
                <w:rFonts w:ascii="Arial Narrow" w:hAnsi="Arial Narrow" w:cs="Calibri"/>
                <w:b/>
                <w:bCs/>
                <w:sz w:val="20"/>
                <w:szCs w:val="20"/>
                <w:lang w:eastAsia="en-US"/>
              </w:rPr>
            </w:pPr>
          </w:p>
        </w:tc>
      </w:tr>
      <w:tr w:rsidR="00CE7A31" w:rsidRPr="00757B01" w:rsidTr="00E7406F">
        <w:tblPrEx>
          <w:tblCellMar>
            <w:left w:w="56" w:type="dxa"/>
            <w:right w:w="56" w:type="dxa"/>
          </w:tblCellMar>
        </w:tblPrEx>
        <w:trPr>
          <w:trHeight w:val="283"/>
        </w:trPr>
        <w:tc>
          <w:tcPr>
            <w:tcW w:w="3531" w:type="dxa"/>
            <w:tcBorders>
              <w:top w:val="single" w:sz="4" w:space="0" w:color="auto"/>
              <w:left w:val="single" w:sz="6" w:space="0" w:color="auto"/>
              <w:right w:val="single" w:sz="6" w:space="0" w:color="auto"/>
            </w:tcBorders>
          </w:tcPr>
          <w:p w:rsidR="00CE7A31" w:rsidRPr="00757B01" w:rsidRDefault="00CE7A31" w:rsidP="00E7406F">
            <w:pPr>
              <w:rPr>
                <w:rFonts w:ascii="Arial Narrow" w:hAnsi="Arial Narrow" w:cs="Calibri"/>
                <w:bCs/>
                <w:sz w:val="20"/>
                <w:szCs w:val="20"/>
                <w:lang w:eastAsia="en-US"/>
              </w:rPr>
            </w:pPr>
            <w:r w:rsidRPr="00757B01">
              <w:rPr>
                <w:rFonts w:ascii="Arial Narrow" w:eastAsia="Calibri" w:hAnsi="Arial Narrow" w:cs="Calibri"/>
                <w:bCs/>
                <w:sz w:val="20"/>
                <w:szCs w:val="20"/>
                <w:lang w:eastAsia="en-US"/>
              </w:rPr>
              <w:t>Responders</w:t>
            </w:r>
            <w:r w:rsidRPr="00757B01">
              <w:rPr>
                <w:rFonts w:ascii="Arial Narrow" w:eastAsia="Calibri" w:hAnsi="Arial Narrow" w:cs="Calibri"/>
                <w:bCs/>
                <w:sz w:val="20"/>
                <w:szCs w:val="20"/>
                <w:vertAlign w:val="superscript"/>
                <w:lang w:eastAsia="en-US"/>
              </w:rPr>
              <w:t>$</w:t>
            </w:r>
          </w:p>
        </w:tc>
        <w:tc>
          <w:tcPr>
            <w:tcW w:w="1946" w:type="dxa"/>
            <w:tcBorders>
              <w:top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 ''''''''''' '''''''</w:t>
            </w:r>
          </w:p>
        </w:tc>
        <w:tc>
          <w:tcPr>
            <w:tcW w:w="1493" w:type="dxa"/>
            <w:tcBorders>
              <w:top w:val="single" w:sz="4" w:space="0" w:color="auto"/>
              <w:left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 '''''''''''' '''''''</w:t>
            </w:r>
          </w:p>
        </w:tc>
        <w:tc>
          <w:tcPr>
            <w:tcW w:w="1392" w:type="dxa"/>
            <w:gridSpan w:val="2"/>
            <w:tcBorders>
              <w:top w:val="single" w:sz="4" w:space="0" w:color="auto"/>
              <w:left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r>
      <w:tr w:rsidR="00CE7A31" w:rsidRPr="00757B01" w:rsidTr="00E7406F">
        <w:tblPrEx>
          <w:tblCellMar>
            <w:left w:w="56" w:type="dxa"/>
            <w:right w:w="56" w:type="dxa"/>
          </w:tblCellMar>
        </w:tblPrEx>
        <w:trPr>
          <w:trHeight w:val="283"/>
        </w:trPr>
        <w:tc>
          <w:tcPr>
            <w:tcW w:w="3531" w:type="dxa"/>
            <w:tcBorders>
              <w:left w:val="single" w:sz="6" w:space="0" w:color="auto"/>
              <w:right w:val="single" w:sz="6" w:space="0" w:color="auto"/>
            </w:tcBorders>
          </w:tcPr>
          <w:p w:rsidR="00CE7A31" w:rsidRPr="00757B01" w:rsidRDefault="00CE7A31" w:rsidP="00E7406F">
            <w:pPr>
              <w:rPr>
                <w:rFonts w:ascii="Arial Narrow" w:hAnsi="Arial Narrow" w:cs="Calibri"/>
                <w:bCs/>
                <w:sz w:val="20"/>
                <w:szCs w:val="20"/>
                <w:lang w:eastAsia="en-US"/>
              </w:rPr>
            </w:pPr>
            <w:r w:rsidRPr="00757B01">
              <w:rPr>
                <w:rFonts w:ascii="Arial Narrow" w:eastAsia="Calibri" w:hAnsi="Arial Narrow" w:cs="Calibri"/>
                <w:bCs/>
                <w:sz w:val="20"/>
                <w:szCs w:val="20"/>
                <w:lang w:eastAsia="en-US"/>
              </w:rPr>
              <w:t>Non-Responders</w:t>
            </w:r>
          </w:p>
        </w:tc>
        <w:tc>
          <w:tcPr>
            <w:tcW w:w="1946" w:type="dxa"/>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 ''''''''''''' '''''''</w:t>
            </w:r>
          </w:p>
        </w:tc>
        <w:tc>
          <w:tcPr>
            <w:tcW w:w="1493" w:type="dxa"/>
            <w:tcBorders>
              <w:left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 ''''''''''' '''''''</w:t>
            </w:r>
          </w:p>
        </w:tc>
        <w:tc>
          <w:tcPr>
            <w:tcW w:w="1392" w:type="dxa"/>
            <w:gridSpan w:val="2"/>
            <w:tcBorders>
              <w:left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r>
      <w:tr w:rsidR="00CE7A31" w:rsidRPr="00757B01" w:rsidTr="00E7406F">
        <w:tblPrEx>
          <w:tblCellMar>
            <w:left w:w="56" w:type="dxa"/>
            <w:right w:w="56" w:type="dxa"/>
          </w:tblCellMar>
        </w:tblPrEx>
        <w:trPr>
          <w:trHeight w:val="283"/>
        </w:trPr>
        <w:tc>
          <w:tcPr>
            <w:tcW w:w="3531" w:type="dxa"/>
            <w:tcBorders>
              <w:left w:val="single" w:sz="6" w:space="0" w:color="auto"/>
              <w:right w:val="single" w:sz="6" w:space="0" w:color="auto"/>
            </w:tcBorders>
          </w:tcPr>
          <w:p w:rsidR="00CE7A31" w:rsidRPr="00757B01" w:rsidRDefault="00CE7A31" w:rsidP="00E7406F">
            <w:pPr>
              <w:ind w:left="274"/>
              <w:rPr>
                <w:rFonts w:ascii="Arial Narrow" w:hAnsi="Arial Narrow" w:cs="Calibri"/>
                <w:bCs/>
                <w:sz w:val="20"/>
                <w:szCs w:val="20"/>
                <w:lang w:eastAsia="en-US"/>
              </w:rPr>
            </w:pPr>
            <w:r w:rsidRPr="00757B01">
              <w:rPr>
                <w:rFonts w:ascii="Arial Narrow" w:eastAsia="Calibri" w:hAnsi="Arial Narrow" w:cs="Calibri"/>
                <w:bCs/>
                <w:sz w:val="20"/>
                <w:szCs w:val="20"/>
                <w:lang w:eastAsia="en-US"/>
              </w:rPr>
              <w:t>95% CI for Response Rates*</w:t>
            </w:r>
          </w:p>
        </w:tc>
        <w:tc>
          <w:tcPr>
            <w:tcW w:w="1946" w:type="dxa"/>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 ''''''''''''''''''</w:t>
            </w:r>
          </w:p>
        </w:tc>
        <w:tc>
          <w:tcPr>
            <w:tcW w:w="1493" w:type="dxa"/>
            <w:tcBorders>
              <w:left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 '''''''''''''''''''</w:t>
            </w:r>
          </w:p>
        </w:tc>
        <w:tc>
          <w:tcPr>
            <w:tcW w:w="1392" w:type="dxa"/>
            <w:gridSpan w:val="2"/>
            <w:tcBorders>
              <w:left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r>
      <w:tr w:rsidR="00CE7A31" w:rsidRPr="00757B01" w:rsidTr="00E7406F">
        <w:tblPrEx>
          <w:tblCellMar>
            <w:left w:w="56" w:type="dxa"/>
            <w:right w:w="56" w:type="dxa"/>
          </w:tblCellMar>
        </w:tblPrEx>
        <w:trPr>
          <w:trHeight w:val="312"/>
        </w:trPr>
        <w:tc>
          <w:tcPr>
            <w:tcW w:w="3531" w:type="dxa"/>
            <w:tcBorders>
              <w:left w:val="single" w:sz="6" w:space="0" w:color="auto"/>
              <w:right w:val="single" w:sz="6" w:space="0" w:color="auto"/>
            </w:tcBorders>
          </w:tcPr>
          <w:p w:rsidR="00CE7A31" w:rsidRPr="00757B01" w:rsidRDefault="00CE7A31" w:rsidP="00E7406F">
            <w:pPr>
              <w:ind w:left="274"/>
              <w:rPr>
                <w:rFonts w:ascii="Arial Narrow" w:hAnsi="Arial Narrow" w:cs="Calibri"/>
                <w:bCs/>
                <w:sz w:val="20"/>
                <w:szCs w:val="20"/>
                <w:lang w:eastAsia="en-US"/>
              </w:rPr>
            </w:pPr>
            <w:r w:rsidRPr="00757B01">
              <w:rPr>
                <w:rFonts w:ascii="Arial Narrow" w:eastAsia="Calibri" w:hAnsi="Arial Narrow" w:cs="Calibri"/>
                <w:bCs/>
                <w:sz w:val="20"/>
                <w:szCs w:val="20"/>
                <w:lang w:eastAsia="en-US"/>
              </w:rPr>
              <w:t>Difference in Response Rates</w:t>
            </w:r>
          </w:p>
        </w:tc>
        <w:tc>
          <w:tcPr>
            <w:tcW w:w="1946" w:type="dxa"/>
          </w:tcPr>
          <w:p w:rsidR="00CE7A31" w:rsidRPr="00757B01" w:rsidRDefault="00CE7A31" w:rsidP="00E7406F">
            <w:pPr>
              <w:jc w:val="center"/>
              <w:rPr>
                <w:rFonts w:ascii="Arial Narrow" w:hAnsi="Arial Narrow" w:cs="Calibri"/>
                <w:bCs/>
                <w:sz w:val="20"/>
                <w:szCs w:val="20"/>
                <w:lang w:eastAsia="en-US"/>
              </w:rPr>
            </w:pPr>
          </w:p>
        </w:tc>
        <w:tc>
          <w:tcPr>
            <w:tcW w:w="1493" w:type="dxa"/>
            <w:tcBorders>
              <w:left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c>
          <w:tcPr>
            <w:tcW w:w="1392" w:type="dxa"/>
            <w:gridSpan w:val="2"/>
            <w:tcBorders>
              <w:left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w:t>
            </w:r>
          </w:p>
        </w:tc>
      </w:tr>
      <w:tr w:rsidR="00CE7A31" w:rsidRPr="00757B01" w:rsidTr="00E7406F">
        <w:tblPrEx>
          <w:tblCellMar>
            <w:left w:w="56" w:type="dxa"/>
            <w:right w:w="56" w:type="dxa"/>
          </w:tblCellMar>
        </w:tblPrEx>
        <w:trPr>
          <w:trHeight w:val="283"/>
        </w:trPr>
        <w:tc>
          <w:tcPr>
            <w:tcW w:w="3531" w:type="dxa"/>
            <w:tcBorders>
              <w:left w:val="single" w:sz="6" w:space="0" w:color="auto"/>
              <w:right w:val="single" w:sz="6" w:space="0" w:color="auto"/>
            </w:tcBorders>
          </w:tcPr>
          <w:p w:rsidR="00CE7A31" w:rsidRPr="00757B01" w:rsidRDefault="00CE7A31" w:rsidP="00E7406F">
            <w:pPr>
              <w:ind w:left="274"/>
              <w:rPr>
                <w:rFonts w:ascii="Arial Narrow" w:hAnsi="Arial Narrow" w:cs="Calibri"/>
                <w:bCs/>
                <w:sz w:val="20"/>
                <w:szCs w:val="20"/>
                <w:lang w:eastAsia="en-US"/>
              </w:rPr>
            </w:pPr>
            <w:r w:rsidRPr="00757B01">
              <w:rPr>
                <w:rFonts w:ascii="Arial Narrow" w:eastAsia="Calibri" w:hAnsi="Arial Narrow" w:cs="Calibri"/>
                <w:bCs/>
                <w:sz w:val="20"/>
                <w:szCs w:val="20"/>
                <w:lang w:eastAsia="en-US"/>
              </w:rPr>
              <w:t>95% CI for Difference in Response Rates#</w:t>
            </w:r>
          </w:p>
        </w:tc>
        <w:tc>
          <w:tcPr>
            <w:tcW w:w="1946" w:type="dxa"/>
          </w:tcPr>
          <w:p w:rsidR="00CE7A31" w:rsidRPr="00757B01" w:rsidRDefault="00CE7A31" w:rsidP="00E7406F">
            <w:pPr>
              <w:jc w:val="center"/>
              <w:rPr>
                <w:rFonts w:ascii="Arial Narrow" w:hAnsi="Arial Narrow" w:cs="Calibri"/>
                <w:bCs/>
                <w:sz w:val="20"/>
                <w:szCs w:val="20"/>
                <w:lang w:eastAsia="en-US"/>
              </w:rPr>
            </w:pPr>
          </w:p>
        </w:tc>
        <w:tc>
          <w:tcPr>
            <w:tcW w:w="1493" w:type="dxa"/>
            <w:tcBorders>
              <w:left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c>
          <w:tcPr>
            <w:tcW w:w="1392" w:type="dxa"/>
            <w:gridSpan w:val="2"/>
            <w:tcBorders>
              <w:left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 '''''''''''''''</w:t>
            </w:r>
          </w:p>
        </w:tc>
      </w:tr>
      <w:tr w:rsidR="00CE7A31" w:rsidRPr="00757B01" w:rsidTr="00E7406F">
        <w:tblPrEx>
          <w:tblCellMar>
            <w:left w:w="56" w:type="dxa"/>
            <w:right w:w="56" w:type="dxa"/>
          </w:tblCellMar>
        </w:tblPrEx>
        <w:trPr>
          <w:trHeight w:val="283"/>
        </w:trPr>
        <w:tc>
          <w:tcPr>
            <w:tcW w:w="3531" w:type="dxa"/>
            <w:tcBorders>
              <w:left w:val="single" w:sz="6" w:space="0" w:color="auto"/>
              <w:right w:val="single" w:sz="6" w:space="0" w:color="auto"/>
            </w:tcBorders>
          </w:tcPr>
          <w:p w:rsidR="00CE7A31" w:rsidRPr="00757B01" w:rsidRDefault="00CE7A31" w:rsidP="00E7406F">
            <w:pPr>
              <w:ind w:left="274"/>
              <w:rPr>
                <w:rFonts w:ascii="Arial Narrow" w:hAnsi="Arial Narrow" w:cs="Calibri"/>
                <w:bCs/>
                <w:sz w:val="20"/>
                <w:szCs w:val="20"/>
                <w:lang w:eastAsia="en-US"/>
              </w:rPr>
            </w:pPr>
            <w:r w:rsidRPr="00757B01">
              <w:rPr>
                <w:rFonts w:ascii="Arial Narrow" w:eastAsia="Calibri" w:hAnsi="Arial Narrow" w:cs="Calibri"/>
                <w:bCs/>
                <w:sz w:val="20"/>
                <w:szCs w:val="20"/>
                <w:lang w:eastAsia="en-US"/>
              </w:rPr>
              <w:t>p-Value (Chi-squared Test)</w:t>
            </w:r>
          </w:p>
        </w:tc>
        <w:tc>
          <w:tcPr>
            <w:tcW w:w="1946" w:type="dxa"/>
          </w:tcPr>
          <w:p w:rsidR="00CE7A31" w:rsidRPr="00757B01" w:rsidRDefault="00CE7A31" w:rsidP="00E7406F">
            <w:pPr>
              <w:jc w:val="center"/>
              <w:rPr>
                <w:rFonts w:ascii="Arial Narrow" w:hAnsi="Arial Narrow" w:cs="Calibri"/>
                <w:bCs/>
                <w:sz w:val="20"/>
                <w:szCs w:val="20"/>
                <w:lang w:eastAsia="en-US"/>
              </w:rPr>
            </w:pPr>
          </w:p>
        </w:tc>
        <w:tc>
          <w:tcPr>
            <w:tcW w:w="1493" w:type="dxa"/>
            <w:tcBorders>
              <w:left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c>
          <w:tcPr>
            <w:tcW w:w="1392" w:type="dxa"/>
            <w:gridSpan w:val="2"/>
            <w:tcBorders>
              <w:left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w:t>
            </w:r>
          </w:p>
        </w:tc>
      </w:tr>
      <w:tr w:rsidR="00CE7A31" w:rsidRPr="00757B01" w:rsidTr="00E7406F">
        <w:tblPrEx>
          <w:tblCellMar>
            <w:left w:w="56" w:type="dxa"/>
            <w:right w:w="56" w:type="dxa"/>
          </w:tblCellMar>
        </w:tblPrEx>
        <w:trPr>
          <w:trHeight w:val="283"/>
        </w:trPr>
        <w:tc>
          <w:tcPr>
            <w:tcW w:w="3531" w:type="dxa"/>
            <w:tcBorders>
              <w:left w:val="single" w:sz="6" w:space="0" w:color="auto"/>
              <w:right w:val="single" w:sz="6" w:space="0" w:color="auto"/>
            </w:tcBorders>
          </w:tcPr>
          <w:p w:rsidR="00CE7A31" w:rsidRPr="00757B01" w:rsidRDefault="00CE7A31" w:rsidP="00E7406F">
            <w:pPr>
              <w:ind w:left="274"/>
              <w:rPr>
                <w:rFonts w:ascii="Arial Narrow" w:hAnsi="Arial Narrow" w:cs="Calibri"/>
                <w:bCs/>
                <w:sz w:val="20"/>
                <w:szCs w:val="20"/>
                <w:lang w:eastAsia="en-US"/>
              </w:rPr>
            </w:pPr>
            <w:r w:rsidRPr="00757B01">
              <w:rPr>
                <w:rFonts w:ascii="Arial Narrow" w:eastAsia="Calibri" w:hAnsi="Arial Narrow" w:cs="Calibri"/>
                <w:bCs/>
                <w:sz w:val="20"/>
                <w:szCs w:val="20"/>
                <w:lang w:eastAsia="en-US"/>
              </w:rPr>
              <w:t>Odds Ratio</w:t>
            </w:r>
          </w:p>
        </w:tc>
        <w:tc>
          <w:tcPr>
            <w:tcW w:w="1946" w:type="dxa"/>
          </w:tcPr>
          <w:p w:rsidR="00CE7A31" w:rsidRPr="00757B01" w:rsidRDefault="00CE7A31" w:rsidP="00E7406F">
            <w:pPr>
              <w:jc w:val="center"/>
              <w:rPr>
                <w:rFonts w:ascii="Arial Narrow" w:hAnsi="Arial Narrow" w:cs="Calibri"/>
                <w:bCs/>
                <w:sz w:val="20"/>
                <w:szCs w:val="20"/>
                <w:lang w:eastAsia="en-US"/>
              </w:rPr>
            </w:pPr>
          </w:p>
        </w:tc>
        <w:tc>
          <w:tcPr>
            <w:tcW w:w="1493" w:type="dxa"/>
            <w:tcBorders>
              <w:left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c>
          <w:tcPr>
            <w:tcW w:w="1392" w:type="dxa"/>
            <w:gridSpan w:val="2"/>
            <w:tcBorders>
              <w:left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w:t>
            </w:r>
          </w:p>
        </w:tc>
      </w:tr>
      <w:tr w:rsidR="00CE7A31" w:rsidRPr="00757B01" w:rsidTr="00E7406F">
        <w:tblPrEx>
          <w:tblCellMar>
            <w:left w:w="56" w:type="dxa"/>
            <w:right w:w="56" w:type="dxa"/>
          </w:tblCellMar>
        </w:tblPrEx>
        <w:trPr>
          <w:trHeight w:val="283"/>
        </w:trPr>
        <w:tc>
          <w:tcPr>
            <w:tcW w:w="3531" w:type="dxa"/>
            <w:tcBorders>
              <w:left w:val="single" w:sz="6" w:space="0" w:color="auto"/>
              <w:bottom w:val="single" w:sz="4" w:space="0" w:color="auto"/>
              <w:right w:val="single" w:sz="6" w:space="0" w:color="auto"/>
            </w:tcBorders>
          </w:tcPr>
          <w:p w:rsidR="00CE7A31" w:rsidRPr="00757B01" w:rsidRDefault="00CE7A31" w:rsidP="00E7406F">
            <w:pPr>
              <w:ind w:left="274"/>
              <w:rPr>
                <w:rFonts w:ascii="Arial Narrow" w:hAnsi="Arial Narrow" w:cs="Calibri"/>
                <w:bCs/>
                <w:sz w:val="20"/>
                <w:szCs w:val="20"/>
                <w:lang w:eastAsia="en-US"/>
              </w:rPr>
            </w:pPr>
            <w:r w:rsidRPr="00757B01">
              <w:rPr>
                <w:rFonts w:ascii="Arial Narrow" w:eastAsia="Calibri" w:hAnsi="Arial Narrow" w:cs="Calibri"/>
                <w:bCs/>
                <w:sz w:val="20"/>
                <w:szCs w:val="20"/>
                <w:lang w:eastAsia="en-US"/>
              </w:rPr>
              <w:t>95% CI for Odds Ratio</w:t>
            </w:r>
          </w:p>
        </w:tc>
        <w:tc>
          <w:tcPr>
            <w:tcW w:w="1946" w:type="dxa"/>
            <w:tcBorders>
              <w:bottom w:val="single" w:sz="4" w:space="0" w:color="auto"/>
            </w:tcBorders>
          </w:tcPr>
          <w:p w:rsidR="00CE7A31" w:rsidRPr="00757B01" w:rsidRDefault="00CE7A31" w:rsidP="00E7406F">
            <w:pPr>
              <w:jc w:val="center"/>
              <w:rPr>
                <w:rFonts w:ascii="Arial Narrow" w:hAnsi="Arial Narrow" w:cs="Calibri"/>
                <w:bCs/>
                <w:sz w:val="20"/>
                <w:szCs w:val="20"/>
                <w:lang w:eastAsia="en-US"/>
              </w:rPr>
            </w:pPr>
          </w:p>
        </w:tc>
        <w:tc>
          <w:tcPr>
            <w:tcW w:w="1493" w:type="dxa"/>
            <w:tcBorders>
              <w:left w:val="single" w:sz="4" w:space="0" w:color="auto"/>
              <w:bottom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c>
          <w:tcPr>
            <w:tcW w:w="1392" w:type="dxa"/>
            <w:gridSpan w:val="2"/>
            <w:tcBorders>
              <w:left w:val="single" w:sz="4" w:space="0" w:color="auto"/>
              <w:bottom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w:t>
            </w:r>
          </w:p>
        </w:tc>
      </w:tr>
      <w:tr w:rsidR="00CE7A31" w:rsidRPr="00757B01" w:rsidTr="00E7406F">
        <w:tblPrEx>
          <w:tblCellMar>
            <w:left w:w="56" w:type="dxa"/>
            <w:right w:w="56" w:type="dxa"/>
          </w:tblCellMar>
        </w:tblPrEx>
        <w:trPr>
          <w:trHeight w:val="283"/>
        </w:trPr>
        <w:tc>
          <w:tcPr>
            <w:tcW w:w="3531" w:type="dxa"/>
            <w:tcBorders>
              <w:top w:val="single" w:sz="4" w:space="0" w:color="auto"/>
              <w:left w:val="single" w:sz="6" w:space="0" w:color="auto"/>
              <w:right w:val="single" w:sz="6" w:space="0" w:color="auto"/>
            </w:tcBorders>
          </w:tcPr>
          <w:p w:rsidR="00CE7A31" w:rsidRPr="00757B01" w:rsidRDefault="00CE7A31" w:rsidP="00E7406F">
            <w:pPr>
              <w:rPr>
                <w:rFonts w:ascii="Arial Narrow" w:hAnsi="Arial Narrow" w:cs="Calibri"/>
                <w:bCs/>
                <w:sz w:val="20"/>
                <w:szCs w:val="20"/>
                <w:lang w:eastAsia="en-US"/>
              </w:rPr>
            </w:pPr>
            <w:r w:rsidRPr="00757B01">
              <w:rPr>
                <w:rFonts w:ascii="Arial Narrow" w:eastAsia="Calibri" w:hAnsi="Arial Narrow" w:cs="Calibri"/>
                <w:bCs/>
                <w:sz w:val="20"/>
                <w:szCs w:val="20"/>
                <w:lang w:eastAsia="en-US"/>
              </w:rPr>
              <w:t>Complete Response (CR and CRu)</w:t>
            </w:r>
          </w:p>
        </w:tc>
        <w:tc>
          <w:tcPr>
            <w:tcW w:w="1946" w:type="dxa"/>
            <w:tcBorders>
              <w:top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 ''''''''''''' ''''''</w:t>
            </w:r>
          </w:p>
        </w:tc>
        <w:tc>
          <w:tcPr>
            <w:tcW w:w="1493" w:type="dxa"/>
            <w:tcBorders>
              <w:top w:val="single" w:sz="4" w:space="0" w:color="auto"/>
              <w:left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 ''''''''''' ''''''</w:t>
            </w:r>
          </w:p>
        </w:tc>
        <w:tc>
          <w:tcPr>
            <w:tcW w:w="1392" w:type="dxa"/>
            <w:gridSpan w:val="2"/>
            <w:tcBorders>
              <w:top w:val="single" w:sz="4" w:space="0" w:color="auto"/>
              <w:left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r>
      <w:tr w:rsidR="00CE7A31" w:rsidRPr="00757B01" w:rsidTr="00E7406F">
        <w:tblPrEx>
          <w:tblCellMar>
            <w:left w:w="56" w:type="dxa"/>
            <w:right w:w="56" w:type="dxa"/>
          </w:tblCellMar>
        </w:tblPrEx>
        <w:trPr>
          <w:trHeight w:val="283"/>
        </w:trPr>
        <w:tc>
          <w:tcPr>
            <w:tcW w:w="3531" w:type="dxa"/>
            <w:tcBorders>
              <w:left w:val="single" w:sz="6" w:space="0" w:color="auto"/>
              <w:right w:val="single" w:sz="6" w:space="0" w:color="auto"/>
            </w:tcBorders>
          </w:tcPr>
          <w:p w:rsidR="00CE7A31" w:rsidRPr="00757B01" w:rsidRDefault="00CE7A31" w:rsidP="00E7406F">
            <w:pPr>
              <w:ind w:left="274"/>
              <w:rPr>
                <w:rFonts w:ascii="Arial Narrow" w:hAnsi="Arial Narrow" w:cs="Calibri"/>
                <w:bCs/>
                <w:sz w:val="20"/>
                <w:szCs w:val="20"/>
                <w:lang w:eastAsia="en-US"/>
              </w:rPr>
            </w:pPr>
            <w:r w:rsidRPr="00757B01">
              <w:rPr>
                <w:rFonts w:ascii="Arial Narrow" w:eastAsia="Calibri" w:hAnsi="Arial Narrow" w:cs="Calibri"/>
                <w:bCs/>
                <w:sz w:val="20"/>
                <w:szCs w:val="20"/>
                <w:lang w:eastAsia="en-US"/>
              </w:rPr>
              <w:t>95% CI for CR and CRu Rates*</w:t>
            </w:r>
          </w:p>
        </w:tc>
        <w:tc>
          <w:tcPr>
            <w:tcW w:w="1946" w:type="dxa"/>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 ''''''''''''''''</w:t>
            </w:r>
          </w:p>
        </w:tc>
        <w:tc>
          <w:tcPr>
            <w:tcW w:w="1493" w:type="dxa"/>
            <w:tcBorders>
              <w:left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 ''''''''''''''''</w:t>
            </w:r>
          </w:p>
        </w:tc>
        <w:tc>
          <w:tcPr>
            <w:tcW w:w="1392" w:type="dxa"/>
            <w:gridSpan w:val="2"/>
            <w:tcBorders>
              <w:left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r>
      <w:tr w:rsidR="00CE7A31" w:rsidRPr="00757B01" w:rsidTr="00E7406F">
        <w:tblPrEx>
          <w:tblCellMar>
            <w:left w:w="56" w:type="dxa"/>
            <w:right w:w="56" w:type="dxa"/>
          </w:tblCellMar>
        </w:tblPrEx>
        <w:trPr>
          <w:trHeight w:val="312"/>
        </w:trPr>
        <w:tc>
          <w:tcPr>
            <w:tcW w:w="3531" w:type="dxa"/>
            <w:tcBorders>
              <w:left w:val="single" w:sz="6" w:space="0" w:color="auto"/>
              <w:right w:val="single" w:sz="6" w:space="0" w:color="auto"/>
            </w:tcBorders>
          </w:tcPr>
          <w:p w:rsidR="00CE7A31" w:rsidRPr="00757B01" w:rsidRDefault="00CE7A31" w:rsidP="00E7406F">
            <w:pPr>
              <w:ind w:left="274"/>
              <w:rPr>
                <w:rFonts w:ascii="Arial Narrow" w:hAnsi="Arial Narrow" w:cs="Calibri"/>
                <w:bCs/>
                <w:sz w:val="20"/>
                <w:szCs w:val="20"/>
                <w:lang w:eastAsia="en-US"/>
              </w:rPr>
            </w:pPr>
            <w:r w:rsidRPr="00757B01">
              <w:rPr>
                <w:rFonts w:ascii="Arial Narrow" w:eastAsia="Calibri" w:hAnsi="Arial Narrow" w:cs="Calibri"/>
                <w:bCs/>
                <w:sz w:val="20"/>
                <w:szCs w:val="20"/>
                <w:lang w:eastAsia="en-US"/>
              </w:rPr>
              <w:t>Difference in CR and CRu Rates</w:t>
            </w:r>
          </w:p>
        </w:tc>
        <w:tc>
          <w:tcPr>
            <w:tcW w:w="1946" w:type="dxa"/>
          </w:tcPr>
          <w:p w:rsidR="00CE7A31" w:rsidRPr="00757B01" w:rsidRDefault="00CE7A31" w:rsidP="00E7406F">
            <w:pPr>
              <w:jc w:val="center"/>
              <w:rPr>
                <w:rFonts w:ascii="Arial Narrow" w:hAnsi="Arial Narrow" w:cs="Calibri"/>
                <w:bCs/>
                <w:sz w:val="20"/>
                <w:szCs w:val="20"/>
                <w:lang w:eastAsia="en-US"/>
              </w:rPr>
            </w:pPr>
          </w:p>
        </w:tc>
        <w:tc>
          <w:tcPr>
            <w:tcW w:w="1493" w:type="dxa"/>
            <w:tcBorders>
              <w:left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c>
          <w:tcPr>
            <w:tcW w:w="1392" w:type="dxa"/>
            <w:gridSpan w:val="2"/>
            <w:tcBorders>
              <w:left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w:t>
            </w:r>
          </w:p>
        </w:tc>
      </w:tr>
      <w:tr w:rsidR="00CE7A31" w:rsidRPr="00757B01" w:rsidTr="00E7406F">
        <w:tblPrEx>
          <w:tblCellMar>
            <w:left w:w="56" w:type="dxa"/>
            <w:right w:w="56" w:type="dxa"/>
          </w:tblCellMar>
        </w:tblPrEx>
        <w:trPr>
          <w:trHeight w:val="283"/>
        </w:trPr>
        <w:tc>
          <w:tcPr>
            <w:tcW w:w="3531" w:type="dxa"/>
            <w:tcBorders>
              <w:left w:val="single" w:sz="6" w:space="0" w:color="auto"/>
              <w:right w:val="single" w:sz="6" w:space="0" w:color="auto"/>
            </w:tcBorders>
          </w:tcPr>
          <w:p w:rsidR="00CE7A31" w:rsidRPr="00757B01" w:rsidRDefault="00CE7A31" w:rsidP="00E7406F">
            <w:pPr>
              <w:ind w:left="274"/>
              <w:rPr>
                <w:rFonts w:ascii="Arial Narrow" w:hAnsi="Arial Narrow" w:cs="Calibri"/>
                <w:bCs/>
                <w:sz w:val="20"/>
                <w:szCs w:val="20"/>
                <w:lang w:eastAsia="en-US"/>
              </w:rPr>
            </w:pPr>
            <w:r w:rsidRPr="00757B01">
              <w:rPr>
                <w:rFonts w:ascii="Arial Narrow" w:eastAsia="Calibri" w:hAnsi="Arial Narrow" w:cs="Calibri"/>
                <w:bCs/>
                <w:sz w:val="20"/>
                <w:szCs w:val="20"/>
                <w:lang w:eastAsia="en-US"/>
              </w:rPr>
              <w:t>95% CI for Difference in CR and CRu Rates#</w:t>
            </w:r>
          </w:p>
        </w:tc>
        <w:tc>
          <w:tcPr>
            <w:tcW w:w="1946" w:type="dxa"/>
          </w:tcPr>
          <w:p w:rsidR="00CE7A31" w:rsidRPr="00757B01" w:rsidRDefault="00CE7A31" w:rsidP="00E7406F">
            <w:pPr>
              <w:jc w:val="center"/>
              <w:rPr>
                <w:rFonts w:ascii="Arial Narrow" w:hAnsi="Arial Narrow" w:cs="Calibri"/>
                <w:bCs/>
                <w:sz w:val="20"/>
                <w:szCs w:val="20"/>
                <w:lang w:eastAsia="en-US"/>
              </w:rPr>
            </w:pPr>
          </w:p>
        </w:tc>
        <w:tc>
          <w:tcPr>
            <w:tcW w:w="1493" w:type="dxa"/>
            <w:tcBorders>
              <w:left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c>
          <w:tcPr>
            <w:tcW w:w="1392" w:type="dxa"/>
            <w:gridSpan w:val="2"/>
            <w:tcBorders>
              <w:left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 ''''''''''''''''</w:t>
            </w:r>
          </w:p>
        </w:tc>
      </w:tr>
      <w:tr w:rsidR="00CE7A31" w:rsidRPr="00757B01" w:rsidTr="00E7406F">
        <w:tblPrEx>
          <w:tblCellMar>
            <w:left w:w="56" w:type="dxa"/>
            <w:right w:w="56" w:type="dxa"/>
          </w:tblCellMar>
        </w:tblPrEx>
        <w:trPr>
          <w:trHeight w:val="283"/>
        </w:trPr>
        <w:tc>
          <w:tcPr>
            <w:tcW w:w="3531" w:type="dxa"/>
            <w:tcBorders>
              <w:left w:val="single" w:sz="6" w:space="0" w:color="auto"/>
              <w:right w:val="single" w:sz="6" w:space="0" w:color="auto"/>
            </w:tcBorders>
          </w:tcPr>
          <w:p w:rsidR="00CE7A31" w:rsidRPr="00757B01" w:rsidRDefault="00CE7A31" w:rsidP="00E7406F">
            <w:pPr>
              <w:ind w:left="274"/>
              <w:rPr>
                <w:rFonts w:ascii="Arial Narrow" w:hAnsi="Arial Narrow" w:cs="Calibri"/>
                <w:bCs/>
                <w:sz w:val="20"/>
                <w:szCs w:val="20"/>
                <w:lang w:eastAsia="en-US"/>
              </w:rPr>
            </w:pPr>
            <w:r w:rsidRPr="00757B01">
              <w:rPr>
                <w:rFonts w:ascii="Arial Narrow" w:eastAsia="Calibri" w:hAnsi="Arial Narrow" w:cs="Calibri"/>
                <w:bCs/>
                <w:sz w:val="20"/>
                <w:szCs w:val="20"/>
                <w:lang w:eastAsia="en-US"/>
              </w:rPr>
              <w:t>p-Value (Chi-squared Test)</w:t>
            </w:r>
          </w:p>
        </w:tc>
        <w:tc>
          <w:tcPr>
            <w:tcW w:w="1946" w:type="dxa"/>
          </w:tcPr>
          <w:p w:rsidR="00CE7A31" w:rsidRPr="00757B01" w:rsidRDefault="00CE7A31" w:rsidP="00E7406F">
            <w:pPr>
              <w:jc w:val="center"/>
              <w:rPr>
                <w:rFonts w:ascii="Arial Narrow" w:hAnsi="Arial Narrow" w:cs="Calibri"/>
                <w:bCs/>
                <w:sz w:val="20"/>
                <w:szCs w:val="20"/>
                <w:lang w:eastAsia="en-US"/>
              </w:rPr>
            </w:pPr>
          </w:p>
        </w:tc>
        <w:tc>
          <w:tcPr>
            <w:tcW w:w="1493" w:type="dxa"/>
            <w:tcBorders>
              <w:left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c>
          <w:tcPr>
            <w:tcW w:w="1392" w:type="dxa"/>
            <w:gridSpan w:val="2"/>
            <w:tcBorders>
              <w:left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w:t>
            </w:r>
          </w:p>
        </w:tc>
      </w:tr>
      <w:tr w:rsidR="00CE7A31" w:rsidRPr="00757B01" w:rsidTr="00E7406F">
        <w:tblPrEx>
          <w:tblCellMar>
            <w:left w:w="56" w:type="dxa"/>
            <w:right w:w="56" w:type="dxa"/>
          </w:tblCellMar>
        </w:tblPrEx>
        <w:trPr>
          <w:trHeight w:val="283"/>
        </w:trPr>
        <w:tc>
          <w:tcPr>
            <w:tcW w:w="3531" w:type="dxa"/>
            <w:tcBorders>
              <w:left w:val="single" w:sz="6" w:space="0" w:color="auto"/>
              <w:right w:val="single" w:sz="6" w:space="0" w:color="auto"/>
            </w:tcBorders>
          </w:tcPr>
          <w:p w:rsidR="00CE7A31" w:rsidRPr="00757B01" w:rsidRDefault="00CE7A31" w:rsidP="00E7406F">
            <w:pPr>
              <w:ind w:left="274"/>
              <w:rPr>
                <w:rFonts w:ascii="Arial Narrow" w:hAnsi="Arial Narrow" w:cs="Calibri"/>
                <w:bCs/>
                <w:sz w:val="20"/>
                <w:szCs w:val="20"/>
                <w:lang w:eastAsia="en-US"/>
              </w:rPr>
            </w:pPr>
            <w:r w:rsidRPr="00757B01">
              <w:rPr>
                <w:rFonts w:ascii="Arial Narrow" w:eastAsia="Calibri" w:hAnsi="Arial Narrow" w:cs="Calibri"/>
                <w:bCs/>
                <w:sz w:val="20"/>
                <w:szCs w:val="20"/>
                <w:lang w:eastAsia="en-US"/>
              </w:rPr>
              <w:t>Odds Ratio</w:t>
            </w:r>
          </w:p>
        </w:tc>
        <w:tc>
          <w:tcPr>
            <w:tcW w:w="1946" w:type="dxa"/>
          </w:tcPr>
          <w:p w:rsidR="00CE7A31" w:rsidRPr="00757B01" w:rsidRDefault="00CE7A31" w:rsidP="00E7406F">
            <w:pPr>
              <w:jc w:val="center"/>
              <w:rPr>
                <w:rFonts w:ascii="Arial Narrow" w:hAnsi="Arial Narrow" w:cs="Calibri"/>
                <w:bCs/>
                <w:sz w:val="20"/>
                <w:szCs w:val="20"/>
                <w:lang w:eastAsia="en-US"/>
              </w:rPr>
            </w:pPr>
          </w:p>
        </w:tc>
        <w:tc>
          <w:tcPr>
            <w:tcW w:w="1493" w:type="dxa"/>
            <w:tcBorders>
              <w:left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c>
          <w:tcPr>
            <w:tcW w:w="1392" w:type="dxa"/>
            <w:gridSpan w:val="2"/>
            <w:tcBorders>
              <w:left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w:t>
            </w:r>
          </w:p>
        </w:tc>
      </w:tr>
      <w:tr w:rsidR="00CE7A31" w:rsidRPr="00757B01" w:rsidTr="00E7406F">
        <w:tblPrEx>
          <w:tblCellMar>
            <w:left w:w="56" w:type="dxa"/>
            <w:right w:w="56" w:type="dxa"/>
          </w:tblCellMar>
        </w:tblPrEx>
        <w:trPr>
          <w:trHeight w:val="283"/>
        </w:trPr>
        <w:tc>
          <w:tcPr>
            <w:tcW w:w="3531" w:type="dxa"/>
            <w:tcBorders>
              <w:left w:val="single" w:sz="6" w:space="0" w:color="auto"/>
              <w:bottom w:val="single" w:sz="4" w:space="0" w:color="auto"/>
              <w:right w:val="single" w:sz="6" w:space="0" w:color="auto"/>
            </w:tcBorders>
          </w:tcPr>
          <w:p w:rsidR="00CE7A31" w:rsidRPr="00757B01" w:rsidRDefault="00CE7A31" w:rsidP="00E7406F">
            <w:pPr>
              <w:ind w:left="274"/>
              <w:rPr>
                <w:rFonts w:ascii="Arial Narrow" w:hAnsi="Arial Narrow" w:cs="Calibri"/>
                <w:bCs/>
                <w:sz w:val="20"/>
                <w:szCs w:val="20"/>
                <w:lang w:eastAsia="en-US"/>
              </w:rPr>
            </w:pPr>
            <w:r w:rsidRPr="00757B01">
              <w:rPr>
                <w:rFonts w:ascii="Arial Narrow" w:eastAsia="Calibri" w:hAnsi="Arial Narrow" w:cs="Calibri"/>
                <w:bCs/>
                <w:sz w:val="20"/>
                <w:szCs w:val="20"/>
                <w:lang w:eastAsia="en-US"/>
              </w:rPr>
              <w:t>95% CI for Odds Ratio</w:t>
            </w:r>
          </w:p>
        </w:tc>
        <w:tc>
          <w:tcPr>
            <w:tcW w:w="1946" w:type="dxa"/>
            <w:tcBorders>
              <w:bottom w:val="single" w:sz="4" w:space="0" w:color="auto"/>
            </w:tcBorders>
          </w:tcPr>
          <w:p w:rsidR="00CE7A31" w:rsidRPr="00757B01" w:rsidRDefault="00CE7A31" w:rsidP="00E7406F">
            <w:pPr>
              <w:jc w:val="center"/>
              <w:rPr>
                <w:rFonts w:ascii="Arial Narrow" w:hAnsi="Arial Narrow" w:cs="Calibri"/>
                <w:bCs/>
                <w:sz w:val="20"/>
                <w:szCs w:val="20"/>
                <w:lang w:eastAsia="en-US"/>
              </w:rPr>
            </w:pPr>
          </w:p>
        </w:tc>
        <w:tc>
          <w:tcPr>
            <w:tcW w:w="1493" w:type="dxa"/>
            <w:tcBorders>
              <w:left w:val="single" w:sz="4" w:space="0" w:color="auto"/>
              <w:bottom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c>
          <w:tcPr>
            <w:tcW w:w="1392" w:type="dxa"/>
            <w:gridSpan w:val="2"/>
            <w:tcBorders>
              <w:left w:val="single" w:sz="4" w:space="0" w:color="auto"/>
              <w:bottom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w:t>
            </w:r>
          </w:p>
        </w:tc>
      </w:tr>
      <w:tr w:rsidR="00CE7A31" w:rsidRPr="00757B01" w:rsidTr="00E7406F">
        <w:tblPrEx>
          <w:tblCellMar>
            <w:left w:w="56" w:type="dxa"/>
            <w:right w:w="56" w:type="dxa"/>
          </w:tblCellMar>
        </w:tblPrEx>
        <w:trPr>
          <w:trHeight w:val="283"/>
        </w:trPr>
        <w:tc>
          <w:tcPr>
            <w:tcW w:w="3531" w:type="dxa"/>
            <w:tcBorders>
              <w:top w:val="single" w:sz="4" w:space="0" w:color="auto"/>
              <w:left w:val="single" w:sz="6" w:space="0" w:color="auto"/>
              <w:right w:val="single" w:sz="6" w:space="0" w:color="auto"/>
            </w:tcBorders>
          </w:tcPr>
          <w:p w:rsidR="00CE7A31" w:rsidRPr="00757B01" w:rsidRDefault="00CE7A31" w:rsidP="00E7406F">
            <w:pPr>
              <w:rPr>
                <w:rFonts w:ascii="Arial Narrow" w:hAnsi="Arial Narrow" w:cs="Calibri"/>
                <w:bCs/>
                <w:sz w:val="20"/>
                <w:szCs w:val="20"/>
                <w:lang w:eastAsia="en-US"/>
              </w:rPr>
            </w:pPr>
            <w:r w:rsidRPr="00757B01">
              <w:rPr>
                <w:rFonts w:ascii="Arial Narrow" w:eastAsia="Calibri" w:hAnsi="Arial Narrow" w:cs="Calibri"/>
                <w:bCs/>
                <w:sz w:val="20"/>
                <w:szCs w:val="20"/>
                <w:lang w:eastAsia="en-US"/>
              </w:rPr>
              <w:t>Partial Response (PR)</w:t>
            </w:r>
          </w:p>
        </w:tc>
        <w:tc>
          <w:tcPr>
            <w:tcW w:w="1946" w:type="dxa"/>
            <w:tcBorders>
              <w:top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 '''''''''''''' '''''''</w:t>
            </w:r>
          </w:p>
        </w:tc>
        <w:tc>
          <w:tcPr>
            <w:tcW w:w="1493" w:type="dxa"/>
            <w:tcBorders>
              <w:top w:val="single" w:sz="4" w:space="0" w:color="auto"/>
              <w:left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 '''''''''''' '''''''</w:t>
            </w:r>
          </w:p>
        </w:tc>
        <w:tc>
          <w:tcPr>
            <w:tcW w:w="1392" w:type="dxa"/>
            <w:gridSpan w:val="2"/>
            <w:tcBorders>
              <w:top w:val="single" w:sz="4" w:space="0" w:color="auto"/>
              <w:left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r>
      <w:tr w:rsidR="00CE7A31" w:rsidRPr="00757B01" w:rsidTr="00E7406F">
        <w:tblPrEx>
          <w:tblCellMar>
            <w:left w:w="56" w:type="dxa"/>
            <w:right w:w="56" w:type="dxa"/>
          </w:tblCellMar>
        </w:tblPrEx>
        <w:trPr>
          <w:trHeight w:val="268"/>
        </w:trPr>
        <w:tc>
          <w:tcPr>
            <w:tcW w:w="3531" w:type="dxa"/>
            <w:tcBorders>
              <w:left w:val="single" w:sz="6" w:space="0" w:color="auto"/>
              <w:right w:val="single" w:sz="6" w:space="0" w:color="auto"/>
            </w:tcBorders>
          </w:tcPr>
          <w:p w:rsidR="00CE7A31" w:rsidRPr="00757B01" w:rsidRDefault="00CE7A31" w:rsidP="00E7406F">
            <w:pPr>
              <w:ind w:left="274"/>
              <w:rPr>
                <w:rFonts w:ascii="Arial Narrow" w:hAnsi="Arial Narrow" w:cs="Calibri"/>
                <w:bCs/>
                <w:sz w:val="20"/>
                <w:szCs w:val="20"/>
                <w:lang w:eastAsia="en-US"/>
              </w:rPr>
            </w:pPr>
            <w:r w:rsidRPr="00757B01">
              <w:rPr>
                <w:rFonts w:ascii="Arial Narrow" w:eastAsia="Calibri" w:hAnsi="Arial Narrow" w:cs="Calibri"/>
                <w:bCs/>
                <w:sz w:val="20"/>
                <w:szCs w:val="20"/>
                <w:lang w:eastAsia="en-US"/>
              </w:rPr>
              <w:t>95% CI for PR Rates*</w:t>
            </w:r>
          </w:p>
        </w:tc>
        <w:tc>
          <w:tcPr>
            <w:tcW w:w="1946" w:type="dxa"/>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 '''''''''''''''''''</w:t>
            </w:r>
          </w:p>
        </w:tc>
        <w:tc>
          <w:tcPr>
            <w:tcW w:w="1493" w:type="dxa"/>
            <w:tcBorders>
              <w:left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 ''''''''''''''''</w:t>
            </w:r>
          </w:p>
        </w:tc>
        <w:tc>
          <w:tcPr>
            <w:tcW w:w="1392" w:type="dxa"/>
            <w:gridSpan w:val="2"/>
            <w:tcBorders>
              <w:left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r>
      <w:tr w:rsidR="00CE7A31" w:rsidRPr="00757B01" w:rsidTr="00E7406F">
        <w:tblPrEx>
          <w:tblCellMar>
            <w:left w:w="56" w:type="dxa"/>
            <w:right w:w="56" w:type="dxa"/>
          </w:tblCellMar>
        </w:tblPrEx>
        <w:trPr>
          <w:trHeight w:val="327"/>
        </w:trPr>
        <w:tc>
          <w:tcPr>
            <w:tcW w:w="3531" w:type="dxa"/>
            <w:tcBorders>
              <w:left w:val="single" w:sz="6" w:space="0" w:color="auto"/>
              <w:right w:val="single" w:sz="6" w:space="0" w:color="auto"/>
            </w:tcBorders>
          </w:tcPr>
          <w:p w:rsidR="00CE7A31" w:rsidRPr="00757B01" w:rsidRDefault="00CE7A31" w:rsidP="00E7406F">
            <w:pPr>
              <w:ind w:left="274"/>
              <w:rPr>
                <w:rFonts w:ascii="Arial Narrow" w:hAnsi="Arial Narrow" w:cs="Calibri"/>
                <w:bCs/>
                <w:sz w:val="20"/>
                <w:szCs w:val="20"/>
                <w:lang w:eastAsia="en-US"/>
              </w:rPr>
            </w:pPr>
            <w:r w:rsidRPr="00757B01">
              <w:rPr>
                <w:rFonts w:ascii="Arial Narrow" w:eastAsia="Calibri" w:hAnsi="Arial Narrow" w:cs="Calibri"/>
                <w:bCs/>
                <w:sz w:val="20"/>
                <w:szCs w:val="20"/>
                <w:lang w:eastAsia="en-US"/>
              </w:rPr>
              <w:t>Difference in PR Rates</w:t>
            </w:r>
          </w:p>
        </w:tc>
        <w:tc>
          <w:tcPr>
            <w:tcW w:w="1946" w:type="dxa"/>
          </w:tcPr>
          <w:p w:rsidR="00CE7A31" w:rsidRPr="00757B01" w:rsidRDefault="00CE7A31" w:rsidP="00E7406F">
            <w:pPr>
              <w:jc w:val="center"/>
              <w:rPr>
                <w:rFonts w:ascii="Arial Narrow" w:hAnsi="Arial Narrow" w:cs="Calibri"/>
                <w:bCs/>
                <w:sz w:val="20"/>
                <w:szCs w:val="20"/>
                <w:lang w:eastAsia="en-US"/>
              </w:rPr>
            </w:pPr>
          </w:p>
        </w:tc>
        <w:tc>
          <w:tcPr>
            <w:tcW w:w="1493" w:type="dxa"/>
            <w:tcBorders>
              <w:left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c>
          <w:tcPr>
            <w:tcW w:w="1392" w:type="dxa"/>
            <w:gridSpan w:val="2"/>
            <w:tcBorders>
              <w:left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w:t>
            </w:r>
          </w:p>
        </w:tc>
      </w:tr>
      <w:tr w:rsidR="00CE7A31" w:rsidRPr="00757B01" w:rsidTr="00E7406F">
        <w:tblPrEx>
          <w:tblCellMar>
            <w:left w:w="56" w:type="dxa"/>
            <w:right w:w="56" w:type="dxa"/>
          </w:tblCellMar>
        </w:tblPrEx>
        <w:trPr>
          <w:trHeight w:val="283"/>
        </w:trPr>
        <w:tc>
          <w:tcPr>
            <w:tcW w:w="3531" w:type="dxa"/>
            <w:tcBorders>
              <w:left w:val="single" w:sz="6" w:space="0" w:color="auto"/>
              <w:right w:val="single" w:sz="6" w:space="0" w:color="auto"/>
            </w:tcBorders>
          </w:tcPr>
          <w:p w:rsidR="00CE7A31" w:rsidRPr="00757B01" w:rsidRDefault="00CE7A31" w:rsidP="00E7406F">
            <w:pPr>
              <w:ind w:left="274"/>
              <w:rPr>
                <w:rFonts w:ascii="Arial Narrow" w:hAnsi="Arial Narrow" w:cs="Calibri"/>
                <w:bCs/>
                <w:sz w:val="20"/>
                <w:szCs w:val="20"/>
                <w:lang w:eastAsia="en-US"/>
              </w:rPr>
            </w:pPr>
            <w:r w:rsidRPr="00757B01">
              <w:rPr>
                <w:rFonts w:ascii="Arial Narrow" w:eastAsia="Calibri" w:hAnsi="Arial Narrow" w:cs="Calibri"/>
                <w:bCs/>
                <w:sz w:val="20"/>
                <w:szCs w:val="20"/>
                <w:lang w:eastAsia="en-US"/>
              </w:rPr>
              <w:t>95% CI for Difference in PR Rates#</w:t>
            </w:r>
          </w:p>
        </w:tc>
        <w:tc>
          <w:tcPr>
            <w:tcW w:w="1946" w:type="dxa"/>
          </w:tcPr>
          <w:p w:rsidR="00CE7A31" w:rsidRPr="00757B01" w:rsidRDefault="00CE7A31" w:rsidP="00E7406F">
            <w:pPr>
              <w:jc w:val="center"/>
              <w:rPr>
                <w:rFonts w:ascii="Arial Narrow" w:hAnsi="Arial Narrow" w:cs="Calibri"/>
                <w:bCs/>
                <w:sz w:val="20"/>
                <w:szCs w:val="20"/>
                <w:lang w:eastAsia="en-US"/>
              </w:rPr>
            </w:pPr>
          </w:p>
        </w:tc>
        <w:tc>
          <w:tcPr>
            <w:tcW w:w="1493" w:type="dxa"/>
            <w:tcBorders>
              <w:left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c>
          <w:tcPr>
            <w:tcW w:w="1392" w:type="dxa"/>
            <w:gridSpan w:val="2"/>
            <w:tcBorders>
              <w:left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 '''''''''''''''</w:t>
            </w:r>
          </w:p>
        </w:tc>
      </w:tr>
      <w:tr w:rsidR="00CE7A31" w:rsidRPr="00757B01" w:rsidTr="00E7406F">
        <w:tblPrEx>
          <w:tblCellMar>
            <w:left w:w="56" w:type="dxa"/>
            <w:right w:w="56" w:type="dxa"/>
          </w:tblCellMar>
        </w:tblPrEx>
        <w:trPr>
          <w:trHeight w:val="283"/>
        </w:trPr>
        <w:tc>
          <w:tcPr>
            <w:tcW w:w="3531" w:type="dxa"/>
            <w:tcBorders>
              <w:left w:val="single" w:sz="6" w:space="0" w:color="auto"/>
              <w:right w:val="single" w:sz="6" w:space="0" w:color="auto"/>
            </w:tcBorders>
          </w:tcPr>
          <w:p w:rsidR="00CE7A31" w:rsidRPr="00757B01" w:rsidRDefault="00CE7A31" w:rsidP="00E7406F">
            <w:pPr>
              <w:ind w:left="274"/>
              <w:rPr>
                <w:rFonts w:ascii="Arial Narrow" w:hAnsi="Arial Narrow" w:cs="Calibri"/>
                <w:bCs/>
                <w:sz w:val="20"/>
                <w:szCs w:val="20"/>
                <w:lang w:eastAsia="en-US"/>
              </w:rPr>
            </w:pPr>
            <w:r w:rsidRPr="00757B01">
              <w:rPr>
                <w:rFonts w:ascii="Arial Narrow" w:eastAsia="Calibri" w:hAnsi="Arial Narrow" w:cs="Calibri"/>
                <w:bCs/>
                <w:sz w:val="20"/>
                <w:szCs w:val="20"/>
                <w:lang w:eastAsia="en-US"/>
              </w:rPr>
              <w:t>p-Value (Chi-squared Test)</w:t>
            </w:r>
          </w:p>
        </w:tc>
        <w:tc>
          <w:tcPr>
            <w:tcW w:w="1946" w:type="dxa"/>
          </w:tcPr>
          <w:p w:rsidR="00CE7A31" w:rsidRPr="00757B01" w:rsidRDefault="00CE7A31" w:rsidP="00E7406F">
            <w:pPr>
              <w:jc w:val="center"/>
              <w:rPr>
                <w:rFonts w:ascii="Arial Narrow" w:hAnsi="Arial Narrow" w:cs="Calibri"/>
                <w:bCs/>
                <w:sz w:val="20"/>
                <w:szCs w:val="20"/>
                <w:lang w:eastAsia="en-US"/>
              </w:rPr>
            </w:pPr>
          </w:p>
        </w:tc>
        <w:tc>
          <w:tcPr>
            <w:tcW w:w="1493" w:type="dxa"/>
            <w:tcBorders>
              <w:left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c>
          <w:tcPr>
            <w:tcW w:w="1392" w:type="dxa"/>
            <w:gridSpan w:val="2"/>
            <w:tcBorders>
              <w:left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w:t>
            </w:r>
          </w:p>
        </w:tc>
      </w:tr>
      <w:tr w:rsidR="00CE7A31" w:rsidRPr="00757B01" w:rsidTr="00E7406F">
        <w:tblPrEx>
          <w:tblCellMar>
            <w:left w:w="56" w:type="dxa"/>
            <w:right w:w="56" w:type="dxa"/>
          </w:tblCellMar>
        </w:tblPrEx>
        <w:trPr>
          <w:trHeight w:val="283"/>
        </w:trPr>
        <w:tc>
          <w:tcPr>
            <w:tcW w:w="3531" w:type="dxa"/>
            <w:tcBorders>
              <w:left w:val="single" w:sz="6" w:space="0" w:color="auto"/>
              <w:right w:val="single" w:sz="6" w:space="0" w:color="auto"/>
            </w:tcBorders>
          </w:tcPr>
          <w:p w:rsidR="00CE7A31" w:rsidRPr="00757B01" w:rsidRDefault="00CE7A31" w:rsidP="00E7406F">
            <w:pPr>
              <w:ind w:left="274"/>
              <w:rPr>
                <w:rFonts w:ascii="Arial Narrow" w:hAnsi="Arial Narrow" w:cs="Calibri"/>
                <w:bCs/>
                <w:sz w:val="20"/>
                <w:szCs w:val="20"/>
                <w:lang w:eastAsia="en-US"/>
              </w:rPr>
            </w:pPr>
            <w:r w:rsidRPr="00757B01">
              <w:rPr>
                <w:rFonts w:ascii="Arial Narrow" w:eastAsia="Calibri" w:hAnsi="Arial Narrow" w:cs="Calibri"/>
                <w:bCs/>
                <w:sz w:val="20"/>
                <w:szCs w:val="20"/>
                <w:lang w:eastAsia="en-US"/>
              </w:rPr>
              <w:t>Odds Ratio</w:t>
            </w:r>
          </w:p>
        </w:tc>
        <w:tc>
          <w:tcPr>
            <w:tcW w:w="1946" w:type="dxa"/>
          </w:tcPr>
          <w:p w:rsidR="00CE7A31" w:rsidRPr="00757B01" w:rsidRDefault="00CE7A31" w:rsidP="00E7406F">
            <w:pPr>
              <w:jc w:val="center"/>
              <w:rPr>
                <w:rFonts w:ascii="Arial Narrow" w:hAnsi="Arial Narrow" w:cs="Calibri"/>
                <w:bCs/>
                <w:sz w:val="20"/>
                <w:szCs w:val="20"/>
                <w:lang w:eastAsia="en-US"/>
              </w:rPr>
            </w:pPr>
          </w:p>
        </w:tc>
        <w:tc>
          <w:tcPr>
            <w:tcW w:w="1493" w:type="dxa"/>
            <w:tcBorders>
              <w:left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c>
          <w:tcPr>
            <w:tcW w:w="1392" w:type="dxa"/>
            <w:gridSpan w:val="2"/>
            <w:tcBorders>
              <w:left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w:t>
            </w:r>
          </w:p>
        </w:tc>
      </w:tr>
      <w:tr w:rsidR="00CE7A31" w:rsidRPr="00757B01" w:rsidTr="00E7406F">
        <w:tblPrEx>
          <w:tblCellMar>
            <w:left w:w="56" w:type="dxa"/>
            <w:right w:w="56" w:type="dxa"/>
          </w:tblCellMar>
        </w:tblPrEx>
        <w:trPr>
          <w:trHeight w:val="298"/>
        </w:trPr>
        <w:tc>
          <w:tcPr>
            <w:tcW w:w="3531" w:type="dxa"/>
            <w:tcBorders>
              <w:left w:val="single" w:sz="6" w:space="0" w:color="auto"/>
              <w:bottom w:val="single" w:sz="4" w:space="0" w:color="auto"/>
              <w:right w:val="single" w:sz="6" w:space="0" w:color="auto"/>
            </w:tcBorders>
          </w:tcPr>
          <w:p w:rsidR="00CE7A31" w:rsidRPr="00757B01" w:rsidRDefault="00CE7A31" w:rsidP="00E7406F">
            <w:pPr>
              <w:ind w:left="274"/>
              <w:rPr>
                <w:rFonts w:ascii="Arial Narrow" w:hAnsi="Arial Narrow" w:cs="Calibri"/>
                <w:bCs/>
                <w:sz w:val="20"/>
                <w:szCs w:val="20"/>
                <w:lang w:eastAsia="en-US"/>
              </w:rPr>
            </w:pPr>
            <w:r w:rsidRPr="00757B01">
              <w:rPr>
                <w:rFonts w:ascii="Arial Narrow" w:eastAsia="Calibri" w:hAnsi="Arial Narrow" w:cs="Calibri"/>
                <w:bCs/>
                <w:sz w:val="20"/>
                <w:szCs w:val="20"/>
                <w:lang w:eastAsia="en-US"/>
              </w:rPr>
              <w:t>95% CI for Odds Ratio</w:t>
            </w:r>
          </w:p>
        </w:tc>
        <w:tc>
          <w:tcPr>
            <w:tcW w:w="1946" w:type="dxa"/>
            <w:tcBorders>
              <w:bottom w:val="single" w:sz="4" w:space="0" w:color="auto"/>
            </w:tcBorders>
          </w:tcPr>
          <w:p w:rsidR="00CE7A31" w:rsidRPr="00757B01" w:rsidRDefault="00CE7A31" w:rsidP="00E7406F">
            <w:pPr>
              <w:jc w:val="center"/>
              <w:rPr>
                <w:rFonts w:ascii="Arial Narrow" w:hAnsi="Arial Narrow" w:cs="Calibri"/>
                <w:bCs/>
                <w:sz w:val="20"/>
                <w:szCs w:val="20"/>
                <w:lang w:eastAsia="en-US"/>
              </w:rPr>
            </w:pPr>
          </w:p>
        </w:tc>
        <w:tc>
          <w:tcPr>
            <w:tcW w:w="1493" w:type="dxa"/>
            <w:tcBorders>
              <w:left w:val="single" w:sz="4" w:space="0" w:color="auto"/>
              <w:bottom w:val="single" w:sz="4" w:space="0" w:color="auto"/>
              <w:right w:val="single" w:sz="4" w:space="0" w:color="auto"/>
            </w:tcBorders>
          </w:tcPr>
          <w:p w:rsidR="00CE7A31" w:rsidRPr="00757B01" w:rsidRDefault="00CE7A31" w:rsidP="00E7406F">
            <w:pPr>
              <w:jc w:val="center"/>
              <w:rPr>
                <w:rFonts w:ascii="Arial Narrow" w:hAnsi="Arial Narrow" w:cs="Calibri"/>
                <w:bCs/>
                <w:sz w:val="20"/>
                <w:szCs w:val="20"/>
                <w:lang w:eastAsia="en-US"/>
              </w:rPr>
            </w:pPr>
          </w:p>
        </w:tc>
        <w:tc>
          <w:tcPr>
            <w:tcW w:w="1392" w:type="dxa"/>
            <w:gridSpan w:val="2"/>
            <w:tcBorders>
              <w:left w:val="single" w:sz="4" w:space="0" w:color="auto"/>
              <w:bottom w:val="single" w:sz="4" w:space="0" w:color="auto"/>
              <w:right w:val="single" w:sz="4" w:space="0" w:color="auto"/>
            </w:tcBorders>
          </w:tcPr>
          <w:p w:rsidR="00CE7A31" w:rsidRPr="00825077" w:rsidRDefault="00825077" w:rsidP="00E7406F">
            <w:pPr>
              <w:jc w:val="center"/>
              <w:rPr>
                <w:rFonts w:ascii="Arial Narrow" w:hAnsi="Arial Narrow" w:cs="Calibri"/>
                <w:bCs/>
                <w:sz w:val="20"/>
                <w:szCs w:val="20"/>
                <w:highlight w:val="black"/>
                <w:lang w:eastAsia="en-US"/>
              </w:rPr>
            </w:pPr>
            <w:r>
              <w:rPr>
                <w:rFonts w:ascii="Arial Narrow" w:eastAsia="Calibri" w:hAnsi="Arial Narrow" w:cs="Calibri"/>
                <w:bCs/>
                <w:noProof/>
                <w:color w:val="000000"/>
                <w:sz w:val="20"/>
                <w:szCs w:val="20"/>
                <w:highlight w:val="black"/>
                <w:lang w:eastAsia="en-US"/>
              </w:rPr>
              <w:t>'''''''''''''''''''''''''''</w:t>
            </w:r>
          </w:p>
        </w:tc>
      </w:tr>
    </w:tbl>
    <w:p w:rsidR="00CE7A31" w:rsidRPr="00757B01" w:rsidRDefault="00CE7A31" w:rsidP="00CE7A31">
      <w:pPr>
        <w:tabs>
          <w:tab w:val="left" w:pos="1134"/>
        </w:tabs>
        <w:ind w:left="1134" w:hanging="425"/>
        <w:rPr>
          <w:rFonts w:ascii="Arial Narrow" w:hAnsi="Arial Narrow"/>
          <w:sz w:val="20"/>
          <w:szCs w:val="20"/>
          <w:lang w:eastAsia="zh-CN"/>
        </w:rPr>
      </w:pPr>
      <w:r w:rsidRPr="00757B01">
        <w:rPr>
          <w:rFonts w:ascii="Arial Narrow" w:hAnsi="Arial Narrow"/>
          <w:sz w:val="20"/>
          <w:szCs w:val="20"/>
          <w:lang w:eastAsia="zh-CN"/>
        </w:rPr>
        <w:t>Source: page 17 of the submission</w:t>
      </w:r>
    </w:p>
    <w:p w:rsidR="00CE7A31" w:rsidRDefault="00CE7A31" w:rsidP="00CE7A31">
      <w:pPr>
        <w:tabs>
          <w:tab w:val="left" w:pos="1134"/>
        </w:tabs>
        <w:ind w:left="1134" w:hanging="425"/>
        <w:rPr>
          <w:rFonts w:ascii="Arial Narrow" w:eastAsia="Calibri" w:hAnsi="Arial Narrow"/>
          <w:sz w:val="20"/>
          <w:szCs w:val="20"/>
          <w:lang w:eastAsia="en-US"/>
        </w:rPr>
      </w:pPr>
      <w:r w:rsidRPr="00757B01">
        <w:rPr>
          <w:rFonts w:ascii="Arial Narrow" w:eastAsia="Calibri" w:hAnsi="Arial Narrow"/>
          <w:sz w:val="20"/>
          <w:szCs w:val="20"/>
          <w:lang w:eastAsia="en-US"/>
        </w:rPr>
        <w:t>Notes: Response: End of Induction-Derived (RSPEIND)</w:t>
      </w:r>
    </w:p>
    <w:p w:rsidR="00CE7A31" w:rsidRPr="00757B01" w:rsidRDefault="00CE7A31" w:rsidP="00CE7A31">
      <w:pPr>
        <w:tabs>
          <w:tab w:val="left" w:pos="1134"/>
        </w:tabs>
        <w:ind w:left="1134" w:hanging="425"/>
        <w:rPr>
          <w:rFonts w:ascii="Arial Narrow" w:eastAsia="Calibri" w:hAnsi="Arial Narrow"/>
          <w:sz w:val="20"/>
          <w:szCs w:val="20"/>
          <w:lang w:eastAsia="en-US"/>
        </w:rPr>
      </w:pPr>
      <w:r>
        <w:rPr>
          <w:rFonts w:ascii="Arial Narrow" w:eastAsia="Calibri" w:hAnsi="Arial Narrow"/>
          <w:sz w:val="20"/>
          <w:szCs w:val="20"/>
          <w:lang w:eastAsia="en-US"/>
        </w:rPr>
        <w:t>CR: complete response; CRu: complete response unconfirmed; PR: partial response</w:t>
      </w:r>
    </w:p>
    <w:p w:rsidR="00CE7A31" w:rsidRPr="00757B01" w:rsidRDefault="00CE7A31" w:rsidP="00CE7A31">
      <w:pPr>
        <w:tabs>
          <w:tab w:val="left" w:pos="1134"/>
        </w:tabs>
        <w:ind w:left="1134" w:hanging="425"/>
        <w:rPr>
          <w:rFonts w:ascii="Arial Narrow" w:eastAsia="Calibri" w:hAnsi="Arial Narrow"/>
          <w:sz w:val="20"/>
          <w:szCs w:val="20"/>
          <w:lang w:eastAsia="en-US"/>
        </w:rPr>
      </w:pPr>
      <w:r w:rsidRPr="00757B01">
        <w:rPr>
          <w:rFonts w:ascii="Arial Narrow" w:eastAsia="Calibri" w:hAnsi="Arial Narrow"/>
          <w:sz w:val="20"/>
          <w:szCs w:val="20"/>
          <w:lang w:eastAsia="en-US"/>
        </w:rPr>
        <w:t>$ Patients with end of induction treatment response of CR, CRu or PR</w:t>
      </w:r>
    </w:p>
    <w:p w:rsidR="00CE7A31" w:rsidRPr="00757B01" w:rsidRDefault="00CE7A31" w:rsidP="00CE7A31">
      <w:pPr>
        <w:tabs>
          <w:tab w:val="left" w:pos="1134"/>
        </w:tabs>
        <w:ind w:left="1134" w:hanging="425"/>
        <w:rPr>
          <w:rFonts w:ascii="Arial Narrow" w:eastAsia="Calibri" w:hAnsi="Arial Narrow"/>
          <w:sz w:val="20"/>
          <w:szCs w:val="20"/>
          <w:lang w:eastAsia="en-US"/>
        </w:rPr>
      </w:pPr>
      <w:r w:rsidRPr="00757B01">
        <w:rPr>
          <w:rFonts w:ascii="Arial Narrow" w:eastAsia="Calibri" w:hAnsi="Arial Narrow"/>
          <w:sz w:val="20"/>
          <w:szCs w:val="20"/>
          <w:lang w:eastAsia="en-US"/>
        </w:rPr>
        <w:t>* 95% CI for one sample binomial using Pearson-Clopper</w:t>
      </w:r>
    </w:p>
    <w:p w:rsidR="00CE7A31" w:rsidRPr="00757B01" w:rsidRDefault="00CE7A31" w:rsidP="00CE7A31">
      <w:pPr>
        <w:ind w:left="709"/>
        <w:jc w:val="both"/>
        <w:rPr>
          <w:rFonts w:ascii="Arial Narrow" w:hAnsi="Arial Narrow"/>
          <w:sz w:val="20"/>
          <w:szCs w:val="20"/>
        </w:rPr>
      </w:pPr>
      <w:r w:rsidRPr="00757B01">
        <w:rPr>
          <w:rFonts w:ascii="Arial Narrow" w:eastAsia="Calibri" w:hAnsi="Arial Narrow"/>
          <w:sz w:val="20"/>
          <w:szCs w:val="20"/>
          <w:lang w:eastAsia="en-US"/>
        </w:rPr>
        <w:t># Approximate 95% CI for difference of two rates using Hauck-Anderson method</w:t>
      </w:r>
    </w:p>
    <w:p w:rsidR="00CE7A31" w:rsidRPr="00CE7A31" w:rsidRDefault="00CE7A31" w:rsidP="00CE7A31">
      <w:pPr>
        <w:jc w:val="both"/>
        <w:rPr>
          <w:rFonts w:ascii="Arial" w:hAnsi="Arial"/>
          <w:sz w:val="22"/>
          <w:szCs w:val="22"/>
        </w:rPr>
      </w:pPr>
    </w:p>
    <w:p w:rsidR="00CE7A31" w:rsidRDefault="00E7406F" w:rsidP="00207E11">
      <w:pPr>
        <w:pStyle w:val="ListParagraph"/>
        <w:numPr>
          <w:ilvl w:val="1"/>
          <w:numId w:val="25"/>
        </w:numPr>
        <w:ind w:left="709" w:hanging="709"/>
        <w:jc w:val="both"/>
        <w:rPr>
          <w:rFonts w:ascii="Arial" w:hAnsi="Arial"/>
          <w:sz w:val="22"/>
          <w:szCs w:val="22"/>
        </w:rPr>
      </w:pPr>
      <w:r>
        <w:rPr>
          <w:rFonts w:ascii="Arial" w:hAnsi="Arial"/>
          <w:sz w:val="22"/>
          <w:szCs w:val="22"/>
        </w:rPr>
        <w:lastRenderedPageBreak/>
        <w:t>The submission states the p</w:t>
      </w:r>
      <w:r w:rsidRPr="00C6534B">
        <w:rPr>
          <w:rFonts w:ascii="Arial" w:hAnsi="Arial"/>
          <w:sz w:val="22"/>
          <w:szCs w:val="22"/>
        </w:rPr>
        <w:t>ooled efficacy results show that ORR (CR/CRu and PR) at the end of induction was comparable for the rituximab SC and IV arms; thereby demonstrating comparable efficacy results for both the SC and IV rituximab formulations</w:t>
      </w:r>
      <w:r>
        <w:rPr>
          <w:rFonts w:ascii="Arial" w:hAnsi="Arial"/>
          <w:sz w:val="22"/>
          <w:szCs w:val="22"/>
        </w:rPr>
        <w:t>.</w:t>
      </w:r>
    </w:p>
    <w:p w:rsidR="00E7406F" w:rsidRDefault="00E7406F" w:rsidP="00E7406F">
      <w:pPr>
        <w:pStyle w:val="ListParagraph"/>
        <w:ind w:left="709"/>
        <w:jc w:val="both"/>
        <w:rPr>
          <w:rFonts w:ascii="Arial" w:hAnsi="Arial"/>
          <w:sz w:val="22"/>
          <w:szCs w:val="22"/>
        </w:rPr>
      </w:pPr>
    </w:p>
    <w:p w:rsidR="00DF26A7" w:rsidRDefault="00FA347F" w:rsidP="00207E11">
      <w:pPr>
        <w:pStyle w:val="ListParagraph"/>
        <w:numPr>
          <w:ilvl w:val="1"/>
          <w:numId w:val="25"/>
        </w:numPr>
        <w:ind w:left="709" w:hanging="709"/>
        <w:jc w:val="both"/>
        <w:rPr>
          <w:rFonts w:ascii="Arial" w:hAnsi="Arial"/>
          <w:sz w:val="22"/>
          <w:szCs w:val="22"/>
        </w:rPr>
      </w:pPr>
      <w:r>
        <w:rPr>
          <w:rFonts w:ascii="Arial" w:hAnsi="Arial"/>
          <w:sz w:val="22"/>
          <w:szCs w:val="22"/>
        </w:rPr>
        <w:t>As this was a minor submission, t</w:t>
      </w:r>
      <w:r w:rsidR="00E7406F" w:rsidRPr="00D7275D">
        <w:rPr>
          <w:rFonts w:ascii="Arial" w:hAnsi="Arial"/>
          <w:sz w:val="22"/>
          <w:szCs w:val="22"/>
        </w:rPr>
        <w:t>he results</w:t>
      </w:r>
      <w:r>
        <w:rPr>
          <w:rFonts w:ascii="Arial" w:hAnsi="Arial"/>
          <w:sz w:val="22"/>
          <w:szCs w:val="22"/>
        </w:rPr>
        <w:t xml:space="preserve"> ab</w:t>
      </w:r>
      <w:r w:rsidR="00CE56BF">
        <w:rPr>
          <w:rFonts w:ascii="Arial" w:hAnsi="Arial"/>
          <w:sz w:val="22"/>
          <w:szCs w:val="22"/>
        </w:rPr>
        <w:t>ove</w:t>
      </w:r>
      <w:r w:rsidR="00E7406F" w:rsidRPr="00D7275D">
        <w:rPr>
          <w:rFonts w:ascii="Arial" w:hAnsi="Arial"/>
          <w:sz w:val="22"/>
          <w:szCs w:val="22"/>
        </w:rPr>
        <w:t xml:space="preserve"> have not been independently evaluated.</w:t>
      </w:r>
      <w:r w:rsidR="00F70690" w:rsidRPr="00D7275D">
        <w:rPr>
          <w:rFonts w:ascii="Arial" w:hAnsi="Arial"/>
          <w:sz w:val="22"/>
          <w:szCs w:val="22"/>
        </w:rPr>
        <w:t xml:space="preserve"> </w:t>
      </w:r>
    </w:p>
    <w:p w:rsidR="00D7275D" w:rsidRPr="00D7275D" w:rsidRDefault="00D7275D" w:rsidP="00D7275D">
      <w:pPr>
        <w:pStyle w:val="ListParagrap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BB7EC3">
      <w:pPr>
        <w:ind w:left="709"/>
        <w:jc w:val="both"/>
        <w:rPr>
          <w:rFonts w:ascii="Arial" w:hAnsi="Arial"/>
          <w:sz w:val="22"/>
          <w:szCs w:val="22"/>
        </w:rPr>
      </w:pPr>
    </w:p>
    <w:p w:rsidR="005A3173" w:rsidRPr="002E7BBC" w:rsidRDefault="005A3173" w:rsidP="00882085">
      <w:pPr>
        <w:jc w:val="both"/>
        <w:rPr>
          <w:rFonts w:ascii="Arial" w:hAnsi="Arial"/>
          <w:b/>
          <w:sz w:val="22"/>
          <w:szCs w:val="22"/>
        </w:rPr>
      </w:pPr>
      <w:r w:rsidRPr="002E7BBC">
        <w:rPr>
          <w:rFonts w:ascii="Arial" w:hAnsi="Arial"/>
          <w:b/>
          <w:sz w:val="22"/>
          <w:szCs w:val="22"/>
        </w:rPr>
        <w:t>Comparative harms</w:t>
      </w:r>
    </w:p>
    <w:p w:rsidR="005A3173" w:rsidRPr="00882085" w:rsidRDefault="005A3173" w:rsidP="00882085">
      <w:pPr>
        <w:ind w:left="720" w:hanging="720"/>
        <w:jc w:val="both"/>
        <w:rPr>
          <w:rFonts w:ascii="Arial" w:hAnsi="Arial"/>
          <w:sz w:val="22"/>
          <w:szCs w:val="22"/>
        </w:rPr>
      </w:pPr>
    </w:p>
    <w:p w:rsidR="000B558D" w:rsidRDefault="00E7406F" w:rsidP="00207E11">
      <w:pPr>
        <w:pStyle w:val="ListParagraph"/>
        <w:numPr>
          <w:ilvl w:val="1"/>
          <w:numId w:val="25"/>
        </w:numPr>
        <w:ind w:left="709" w:hanging="709"/>
        <w:jc w:val="both"/>
        <w:rPr>
          <w:rFonts w:ascii="Arial" w:hAnsi="Arial"/>
          <w:sz w:val="22"/>
          <w:szCs w:val="22"/>
        </w:rPr>
      </w:pPr>
      <w:r w:rsidRPr="00770B6E">
        <w:rPr>
          <w:rFonts w:ascii="Arial" w:hAnsi="Arial"/>
          <w:sz w:val="22"/>
          <w:szCs w:val="22"/>
        </w:rPr>
        <w:t xml:space="preserve">Comparisons of adverse events between </w:t>
      </w:r>
      <w:r>
        <w:rPr>
          <w:rFonts w:ascii="Arial" w:hAnsi="Arial"/>
          <w:sz w:val="22"/>
          <w:szCs w:val="22"/>
        </w:rPr>
        <w:t xml:space="preserve">SC </w:t>
      </w:r>
      <w:r w:rsidRPr="00770B6E">
        <w:rPr>
          <w:rFonts w:ascii="Arial" w:hAnsi="Arial"/>
          <w:sz w:val="22"/>
          <w:szCs w:val="22"/>
        </w:rPr>
        <w:t xml:space="preserve">rituximab and </w:t>
      </w:r>
      <w:r>
        <w:rPr>
          <w:rFonts w:ascii="Arial" w:hAnsi="Arial"/>
          <w:sz w:val="22"/>
          <w:szCs w:val="22"/>
        </w:rPr>
        <w:t xml:space="preserve">IV </w:t>
      </w:r>
      <w:r w:rsidRPr="00770B6E">
        <w:rPr>
          <w:rFonts w:ascii="Arial" w:hAnsi="Arial"/>
          <w:sz w:val="22"/>
          <w:szCs w:val="22"/>
        </w:rPr>
        <w:t xml:space="preserve">rituximab </w:t>
      </w:r>
      <w:r>
        <w:rPr>
          <w:rFonts w:ascii="Arial" w:hAnsi="Arial"/>
          <w:sz w:val="22"/>
          <w:szCs w:val="22"/>
        </w:rPr>
        <w:t>a</w:t>
      </w:r>
      <w:r w:rsidRPr="00770B6E">
        <w:rPr>
          <w:rFonts w:ascii="Arial" w:hAnsi="Arial"/>
          <w:sz w:val="22"/>
          <w:szCs w:val="22"/>
        </w:rPr>
        <w:t>re shown in the table below</w:t>
      </w:r>
      <w:r w:rsidR="000B558D" w:rsidRPr="00882085">
        <w:rPr>
          <w:rFonts w:ascii="Arial" w:hAnsi="Arial"/>
          <w:sz w:val="22"/>
          <w:szCs w:val="22"/>
        </w:rPr>
        <w:t>.</w:t>
      </w:r>
    </w:p>
    <w:p w:rsidR="00E7406F" w:rsidRDefault="00E7406F" w:rsidP="00E7406F">
      <w:pPr>
        <w:pStyle w:val="ListParagraph"/>
        <w:ind w:left="709"/>
        <w:jc w:val="both"/>
        <w:rPr>
          <w:rFonts w:ascii="Arial" w:hAnsi="Arial"/>
          <w:sz w:val="22"/>
          <w:szCs w:val="22"/>
        </w:rPr>
      </w:pPr>
    </w:p>
    <w:p w:rsidR="00E7406F" w:rsidRPr="00757B01" w:rsidRDefault="00E7406F" w:rsidP="00E7406F">
      <w:pPr>
        <w:pStyle w:val="ListParagraph"/>
        <w:ind w:left="709"/>
        <w:jc w:val="both"/>
        <w:rPr>
          <w:rFonts w:ascii="Arial Narrow" w:hAnsi="Arial Narrow"/>
          <w:b/>
          <w:sz w:val="20"/>
          <w:szCs w:val="20"/>
        </w:rPr>
      </w:pPr>
      <w:r w:rsidRPr="00757B01">
        <w:rPr>
          <w:rFonts w:ascii="Arial Narrow" w:hAnsi="Arial Narrow"/>
          <w:b/>
          <w:sz w:val="20"/>
          <w:szCs w:val="20"/>
        </w:rPr>
        <w:t>Overview of AEs, deaths and withdrawals (Safety Analysis Population) - SABRINA pooled analysis Stage 1 and 2 (31 October 2013)</w:t>
      </w:r>
    </w:p>
    <w:tbl>
      <w:tblPr>
        <w:tblW w:w="0" w:type="auto"/>
        <w:tblInd w:w="817" w:type="dxa"/>
        <w:tblLayout w:type="fixed"/>
        <w:tblLook w:val="0000" w:firstRow="0" w:lastRow="0" w:firstColumn="0" w:lastColumn="0" w:noHBand="0" w:noVBand="0"/>
      </w:tblPr>
      <w:tblGrid>
        <w:gridCol w:w="3839"/>
        <w:gridCol w:w="7"/>
        <w:gridCol w:w="2260"/>
        <w:gridCol w:w="2175"/>
        <w:gridCol w:w="6"/>
      </w:tblGrid>
      <w:tr w:rsidR="00E7406F" w:rsidRPr="00757B01" w:rsidTr="00E7406F">
        <w:trPr>
          <w:gridAfter w:val="1"/>
          <w:wAfter w:w="6" w:type="dxa"/>
          <w:cantSplit/>
          <w:trHeight w:val="315"/>
          <w:tblHeader/>
        </w:trPr>
        <w:tc>
          <w:tcPr>
            <w:tcW w:w="3839" w:type="dxa"/>
            <w:vMerge w:val="restart"/>
            <w:tcBorders>
              <w:top w:val="single" w:sz="4" w:space="0" w:color="auto"/>
              <w:left w:val="single" w:sz="4" w:space="0" w:color="auto"/>
              <w:right w:val="single" w:sz="4" w:space="0" w:color="auto"/>
            </w:tcBorders>
            <w:vAlign w:val="center"/>
          </w:tcPr>
          <w:p w:rsidR="00E7406F" w:rsidRPr="00757B01" w:rsidRDefault="00E7406F" w:rsidP="00E7406F">
            <w:pPr>
              <w:spacing w:before="40" w:after="40"/>
              <w:rPr>
                <w:rFonts w:ascii="Arial Narrow" w:hAnsi="Arial Narrow" w:cs="Calibri"/>
                <w:b/>
                <w:bCs/>
                <w:sz w:val="20"/>
                <w:szCs w:val="20"/>
                <w:lang w:eastAsia="en-US"/>
              </w:rPr>
            </w:pPr>
            <w:r w:rsidRPr="00757B01">
              <w:rPr>
                <w:rFonts w:ascii="Arial Narrow" w:hAnsi="Arial Narrow"/>
                <w:sz w:val="20"/>
                <w:szCs w:val="20"/>
              </w:rPr>
              <w:tab/>
            </w:r>
            <w:r w:rsidRPr="00757B01">
              <w:rPr>
                <w:rFonts w:ascii="Arial Narrow" w:hAnsi="Arial Narrow" w:cs="Calibri"/>
                <w:b/>
                <w:bCs/>
                <w:sz w:val="20"/>
                <w:szCs w:val="20"/>
                <w:lang w:eastAsia="en-US"/>
              </w:rPr>
              <w:t>Adverse events</w:t>
            </w:r>
          </w:p>
        </w:tc>
        <w:tc>
          <w:tcPr>
            <w:tcW w:w="4442" w:type="dxa"/>
            <w:gridSpan w:val="3"/>
            <w:tcBorders>
              <w:top w:val="single" w:sz="4" w:space="0" w:color="auto"/>
              <w:left w:val="nil"/>
              <w:bottom w:val="single" w:sz="4" w:space="0" w:color="auto"/>
              <w:right w:val="single" w:sz="4" w:space="0" w:color="auto"/>
            </w:tcBorders>
          </w:tcPr>
          <w:p w:rsidR="00E7406F" w:rsidRPr="00757B01" w:rsidRDefault="00E7406F" w:rsidP="00E7406F">
            <w:pPr>
              <w:spacing w:before="40" w:after="40"/>
              <w:jc w:val="center"/>
              <w:rPr>
                <w:rFonts w:ascii="Arial Narrow" w:hAnsi="Arial Narrow" w:cs="Calibri"/>
                <w:b/>
                <w:bCs/>
                <w:sz w:val="20"/>
                <w:szCs w:val="20"/>
                <w:lang w:eastAsia="en-US"/>
              </w:rPr>
            </w:pPr>
            <w:r w:rsidRPr="00757B01">
              <w:rPr>
                <w:rFonts w:ascii="Arial Narrow" w:hAnsi="Arial Narrow" w:cs="Calibri"/>
                <w:b/>
                <w:bCs/>
                <w:sz w:val="20"/>
                <w:szCs w:val="20"/>
                <w:lang w:eastAsia="en-US"/>
              </w:rPr>
              <w:t>Number of patients (%)</w:t>
            </w:r>
          </w:p>
        </w:tc>
      </w:tr>
      <w:tr w:rsidR="00E7406F" w:rsidRPr="00757B01" w:rsidTr="00E7406F">
        <w:trPr>
          <w:trHeight w:val="144"/>
          <w:tblHeader/>
        </w:trPr>
        <w:tc>
          <w:tcPr>
            <w:tcW w:w="3839" w:type="dxa"/>
            <w:vMerge/>
            <w:tcBorders>
              <w:left w:val="single" w:sz="4" w:space="0" w:color="auto"/>
              <w:bottom w:val="single" w:sz="4" w:space="0" w:color="auto"/>
              <w:right w:val="single" w:sz="4" w:space="0" w:color="auto"/>
            </w:tcBorders>
            <w:vAlign w:val="center"/>
          </w:tcPr>
          <w:p w:rsidR="00E7406F" w:rsidRPr="00757B01" w:rsidRDefault="00E7406F" w:rsidP="00E7406F">
            <w:pPr>
              <w:spacing w:before="40" w:after="40"/>
              <w:rPr>
                <w:rFonts w:ascii="Arial Narrow" w:hAnsi="Arial Narrow" w:cs="Calibri"/>
                <w:b/>
                <w:bCs/>
                <w:sz w:val="20"/>
                <w:szCs w:val="20"/>
                <w:lang w:eastAsia="en-US"/>
              </w:rPr>
            </w:pPr>
          </w:p>
        </w:tc>
        <w:tc>
          <w:tcPr>
            <w:tcW w:w="2267" w:type="dxa"/>
            <w:gridSpan w:val="2"/>
            <w:tcBorders>
              <w:top w:val="single" w:sz="4" w:space="0" w:color="auto"/>
              <w:left w:val="nil"/>
              <w:bottom w:val="single" w:sz="4" w:space="0" w:color="auto"/>
              <w:right w:val="single" w:sz="4" w:space="0" w:color="auto"/>
            </w:tcBorders>
          </w:tcPr>
          <w:p w:rsidR="00E7406F" w:rsidRPr="00757B01" w:rsidRDefault="00E7406F" w:rsidP="00E7406F">
            <w:pPr>
              <w:spacing w:before="40" w:after="40"/>
              <w:jc w:val="center"/>
              <w:rPr>
                <w:rFonts w:ascii="Arial Narrow" w:hAnsi="Arial Narrow" w:cs="Calibri"/>
                <w:b/>
                <w:bCs/>
                <w:sz w:val="20"/>
                <w:szCs w:val="20"/>
                <w:lang w:eastAsia="en-US"/>
              </w:rPr>
            </w:pPr>
            <w:r w:rsidRPr="00757B01">
              <w:rPr>
                <w:rFonts w:ascii="Arial Narrow" w:hAnsi="Arial Narrow" w:cs="Calibri"/>
                <w:b/>
                <w:bCs/>
                <w:sz w:val="20"/>
                <w:szCs w:val="20"/>
                <w:lang w:eastAsia="en-US"/>
              </w:rPr>
              <w:t xml:space="preserve">Rituximab IV </w:t>
            </w:r>
            <w:r w:rsidRPr="00757B01">
              <w:rPr>
                <w:rFonts w:ascii="Arial Narrow" w:hAnsi="Arial Narrow" w:cs="Calibri"/>
                <w:b/>
                <w:bCs/>
                <w:sz w:val="20"/>
                <w:szCs w:val="20"/>
                <w:lang w:eastAsia="en-US"/>
              </w:rPr>
              <w:br/>
              <w:t>+ Chemo</w:t>
            </w:r>
          </w:p>
          <w:p w:rsidR="00E7406F" w:rsidRPr="00757B01" w:rsidRDefault="00E7406F" w:rsidP="00E7406F">
            <w:pPr>
              <w:spacing w:before="40" w:after="40"/>
              <w:jc w:val="center"/>
              <w:rPr>
                <w:rFonts w:ascii="Arial Narrow" w:hAnsi="Arial Narrow" w:cs="Calibri"/>
                <w:b/>
                <w:bCs/>
                <w:sz w:val="20"/>
                <w:szCs w:val="20"/>
                <w:lang w:eastAsia="en-US"/>
              </w:rPr>
            </w:pPr>
            <w:r w:rsidRPr="00757B01">
              <w:rPr>
                <w:rFonts w:ascii="Arial Narrow" w:hAnsi="Arial Narrow" w:cs="Calibri"/>
                <w:b/>
                <w:bCs/>
                <w:sz w:val="20"/>
                <w:szCs w:val="20"/>
                <w:lang w:eastAsia="en-US"/>
              </w:rPr>
              <w:t>(N=</w:t>
            </w:r>
            <w:r w:rsidR="00825077">
              <w:rPr>
                <w:rFonts w:ascii="Arial Narrow" w:hAnsi="Arial Narrow" w:cs="Calibri"/>
                <w:b/>
                <w:bCs/>
                <w:noProof/>
                <w:color w:val="000000"/>
                <w:sz w:val="20"/>
                <w:szCs w:val="20"/>
                <w:highlight w:val="black"/>
                <w:lang w:eastAsia="en-US"/>
              </w:rPr>
              <w:t>'''''''</w:t>
            </w:r>
            <w:r w:rsidRPr="00757B01">
              <w:rPr>
                <w:rFonts w:ascii="Arial Narrow" w:hAnsi="Arial Narrow" w:cs="Calibri"/>
                <w:b/>
                <w:bCs/>
                <w:sz w:val="20"/>
                <w:szCs w:val="20"/>
                <w:lang w:eastAsia="en-US"/>
              </w:rPr>
              <w:t>)</w:t>
            </w:r>
          </w:p>
        </w:tc>
        <w:tc>
          <w:tcPr>
            <w:tcW w:w="2181" w:type="dxa"/>
            <w:gridSpan w:val="2"/>
            <w:tcBorders>
              <w:top w:val="single" w:sz="4" w:space="0" w:color="auto"/>
              <w:left w:val="single" w:sz="4" w:space="0" w:color="auto"/>
              <w:bottom w:val="single" w:sz="4" w:space="0" w:color="auto"/>
              <w:right w:val="single" w:sz="4" w:space="0" w:color="auto"/>
            </w:tcBorders>
            <w:vAlign w:val="center"/>
          </w:tcPr>
          <w:p w:rsidR="00E7406F" w:rsidRPr="00757B01" w:rsidRDefault="00E7406F" w:rsidP="00E7406F">
            <w:pPr>
              <w:spacing w:before="40" w:after="40"/>
              <w:jc w:val="center"/>
              <w:rPr>
                <w:rFonts w:ascii="Arial Narrow" w:hAnsi="Arial Narrow" w:cs="Calibri"/>
                <w:b/>
                <w:bCs/>
                <w:sz w:val="20"/>
                <w:szCs w:val="20"/>
                <w:lang w:eastAsia="en-US"/>
              </w:rPr>
            </w:pPr>
            <w:r w:rsidRPr="00757B01">
              <w:rPr>
                <w:rFonts w:ascii="Arial Narrow" w:hAnsi="Arial Narrow" w:cs="Calibri"/>
                <w:b/>
                <w:bCs/>
                <w:sz w:val="20"/>
                <w:szCs w:val="20"/>
                <w:lang w:eastAsia="en-US"/>
              </w:rPr>
              <w:t xml:space="preserve">Rituximab SC </w:t>
            </w:r>
            <w:r w:rsidRPr="00757B01">
              <w:rPr>
                <w:rFonts w:ascii="Arial Narrow" w:hAnsi="Arial Narrow" w:cs="Calibri"/>
                <w:b/>
                <w:bCs/>
                <w:sz w:val="20"/>
                <w:szCs w:val="20"/>
                <w:lang w:eastAsia="en-US"/>
              </w:rPr>
              <w:br/>
              <w:t>+ Chemo</w:t>
            </w:r>
          </w:p>
          <w:p w:rsidR="00E7406F" w:rsidRPr="00757B01" w:rsidRDefault="00E7406F" w:rsidP="00E7406F">
            <w:pPr>
              <w:spacing w:before="40" w:after="40"/>
              <w:jc w:val="center"/>
              <w:rPr>
                <w:rFonts w:ascii="Arial Narrow" w:hAnsi="Arial Narrow" w:cs="Calibri"/>
                <w:b/>
                <w:bCs/>
                <w:sz w:val="20"/>
                <w:szCs w:val="20"/>
                <w:lang w:eastAsia="en-US"/>
              </w:rPr>
            </w:pPr>
            <w:r w:rsidRPr="00757B01">
              <w:rPr>
                <w:rFonts w:ascii="Arial Narrow" w:hAnsi="Arial Narrow" w:cs="Calibri"/>
                <w:b/>
                <w:bCs/>
                <w:sz w:val="20"/>
                <w:szCs w:val="20"/>
                <w:lang w:eastAsia="en-US"/>
              </w:rPr>
              <w:t>(N=</w:t>
            </w:r>
            <w:r w:rsidR="00825077">
              <w:rPr>
                <w:rFonts w:ascii="Arial Narrow" w:hAnsi="Arial Narrow" w:cs="Calibri"/>
                <w:b/>
                <w:bCs/>
                <w:noProof/>
                <w:color w:val="000000"/>
                <w:sz w:val="20"/>
                <w:szCs w:val="20"/>
                <w:highlight w:val="black"/>
                <w:lang w:eastAsia="en-US"/>
              </w:rPr>
              <w:t>''''''''</w:t>
            </w:r>
            <w:r w:rsidRPr="00757B01">
              <w:rPr>
                <w:rFonts w:ascii="Arial Narrow" w:hAnsi="Arial Narrow" w:cs="Calibri"/>
                <w:b/>
                <w:bCs/>
                <w:sz w:val="20"/>
                <w:szCs w:val="20"/>
                <w:lang w:eastAsia="en-US"/>
              </w:rPr>
              <w:t>)</w:t>
            </w:r>
          </w:p>
        </w:tc>
      </w:tr>
      <w:tr w:rsidR="00E7406F" w:rsidRPr="00757B01" w:rsidTr="00E7406F">
        <w:tblPrEx>
          <w:tblLook w:val="04A0" w:firstRow="1" w:lastRow="0" w:firstColumn="1" w:lastColumn="0" w:noHBand="0" w:noVBand="1"/>
        </w:tblPrEx>
        <w:trPr>
          <w:trHeight w:val="300"/>
        </w:trPr>
        <w:tc>
          <w:tcPr>
            <w:tcW w:w="3846" w:type="dxa"/>
            <w:gridSpan w:val="2"/>
            <w:tcBorders>
              <w:top w:val="single" w:sz="4" w:space="0" w:color="auto"/>
              <w:left w:val="single" w:sz="4" w:space="0" w:color="auto"/>
              <w:right w:val="single" w:sz="4" w:space="0" w:color="auto"/>
            </w:tcBorders>
            <w:shd w:val="clear" w:color="000000" w:fill="FFFFFF"/>
            <w:noWrap/>
            <w:hideMark/>
          </w:tcPr>
          <w:p w:rsidR="00E7406F" w:rsidRPr="00757B01" w:rsidRDefault="00E7406F" w:rsidP="00E7406F">
            <w:pPr>
              <w:spacing w:before="40" w:after="40"/>
              <w:rPr>
                <w:rFonts w:ascii="Arial Narrow" w:hAnsi="Arial Narrow" w:cs="Calibri"/>
                <w:bCs/>
                <w:sz w:val="20"/>
                <w:szCs w:val="20"/>
              </w:rPr>
            </w:pPr>
            <w:r w:rsidRPr="00757B01">
              <w:rPr>
                <w:rFonts w:ascii="Arial Narrow" w:hAnsi="Arial Narrow" w:cs="Calibri"/>
                <w:bCs/>
                <w:sz w:val="20"/>
                <w:szCs w:val="20"/>
              </w:rPr>
              <w:t xml:space="preserve">Total Patients with at least one AE </w:t>
            </w:r>
          </w:p>
        </w:tc>
        <w:tc>
          <w:tcPr>
            <w:tcW w:w="2260" w:type="dxa"/>
            <w:tcBorders>
              <w:top w:val="single" w:sz="4" w:space="0" w:color="auto"/>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c>
          <w:tcPr>
            <w:tcW w:w="2181" w:type="dxa"/>
            <w:gridSpan w:val="2"/>
            <w:tcBorders>
              <w:top w:val="single" w:sz="4" w:space="0" w:color="auto"/>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r>
      <w:tr w:rsidR="00E7406F" w:rsidRPr="00757B01" w:rsidTr="00E7406F">
        <w:tblPrEx>
          <w:tblLook w:val="04A0" w:firstRow="1" w:lastRow="0" w:firstColumn="1" w:lastColumn="0" w:noHBand="0" w:noVBand="1"/>
        </w:tblPrEx>
        <w:trPr>
          <w:trHeight w:val="300"/>
        </w:trPr>
        <w:tc>
          <w:tcPr>
            <w:tcW w:w="3846" w:type="dxa"/>
            <w:gridSpan w:val="2"/>
            <w:tcBorders>
              <w:top w:val="nil"/>
              <w:left w:val="single" w:sz="4" w:space="0" w:color="auto"/>
              <w:bottom w:val="single" w:sz="4" w:space="0" w:color="auto"/>
              <w:right w:val="single" w:sz="4" w:space="0" w:color="auto"/>
            </w:tcBorders>
            <w:shd w:val="clear" w:color="000000" w:fill="FFFFFF"/>
            <w:noWrap/>
            <w:hideMark/>
          </w:tcPr>
          <w:p w:rsidR="00E7406F" w:rsidRPr="00757B01" w:rsidRDefault="00E7406F" w:rsidP="00E7406F">
            <w:pPr>
              <w:spacing w:before="40" w:after="40"/>
              <w:rPr>
                <w:rFonts w:ascii="Arial Narrow" w:hAnsi="Arial Narrow" w:cs="Calibri"/>
                <w:bCs/>
                <w:sz w:val="20"/>
                <w:szCs w:val="20"/>
              </w:rPr>
            </w:pPr>
            <w:r w:rsidRPr="00757B01">
              <w:rPr>
                <w:rFonts w:ascii="Arial Narrow" w:hAnsi="Arial Narrow" w:cs="Calibri"/>
                <w:bCs/>
                <w:sz w:val="20"/>
                <w:szCs w:val="20"/>
              </w:rPr>
              <w:t>Total Number of AEs</w:t>
            </w:r>
          </w:p>
        </w:tc>
        <w:tc>
          <w:tcPr>
            <w:tcW w:w="2260" w:type="dxa"/>
            <w:tcBorders>
              <w:top w:val="nil"/>
              <w:left w:val="nil"/>
              <w:bottom w:val="single" w:sz="4" w:space="0" w:color="auto"/>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w:t>
            </w:r>
          </w:p>
        </w:tc>
        <w:tc>
          <w:tcPr>
            <w:tcW w:w="2181" w:type="dxa"/>
            <w:gridSpan w:val="2"/>
            <w:tcBorders>
              <w:top w:val="nil"/>
              <w:left w:val="nil"/>
              <w:bottom w:val="single" w:sz="4" w:space="0" w:color="auto"/>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w:t>
            </w:r>
          </w:p>
        </w:tc>
      </w:tr>
      <w:tr w:rsidR="00E7406F" w:rsidRPr="00757B01" w:rsidTr="00E7406F">
        <w:tblPrEx>
          <w:tblLook w:val="04A0" w:firstRow="1" w:lastRow="0" w:firstColumn="1" w:lastColumn="0" w:noHBand="0" w:noVBand="1"/>
        </w:tblPrEx>
        <w:trPr>
          <w:trHeight w:val="300"/>
        </w:trPr>
        <w:tc>
          <w:tcPr>
            <w:tcW w:w="3846" w:type="dxa"/>
            <w:gridSpan w:val="2"/>
            <w:tcBorders>
              <w:top w:val="single" w:sz="4" w:space="0" w:color="auto"/>
              <w:left w:val="single" w:sz="4" w:space="0" w:color="auto"/>
              <w:right w:val="single" w:sz="4" w:space="0" w:color="auto"/>
            </w:tcBorders>
            <w:shd w:val="clear" w:color="000000" w:fill="FFFFFF"/>
            <w:noWrap/>
            <w:hideMark/>
          </w:tcPr>
          <w:p w:rsidR="00E7406F" w:rsidRPr="00757B01" w:rsidRDefault="00E7406F" w:rsidP="00E7406F">
            <w:pPr>
              <w:spacing w:before="40" w:after="40"/>
              <w:rPr>
                <w:rFonts w:ascii="Arial Narrow" w:hAnsi="Arial Narrow" w:cs="Calibri"/>
                <w:bCs/>
                <w:sz w:val="20"/>
                <w:szCs w:val="20"/>
              </w:rPr>
            </w:pPr>
            <w:r w:rsidRPr="00757B01">
              <w:rPr>
                <w:rFonts w:ascii="Arial Narrow" w:hAnsi="Arial Narrow" w:cs="Calibri"/>
                <w:bCs/>
                <w:sz w:val="20"/>
                <w:szCs w:val="20"/>
              </w:rPr>
              <w:t xml:space="preserve">Deaths </w:t>
            </w:r>
            <w:r w:rsidRPr="00757B01">
              <w:rPr>
                <w:rFonts w:ascii="Arial Narrow" w:hAnsi="Arial Narrow" w:cs="Calibri"/>
                <w:bCs/>
                <w:sz w:val="20"/>
                <w:szCs w:val="20"/>
                <w:vertAlign w:val="superscript"/>
              </w:rPr>
              <w:t>#</w:t>
            </w:r>
          </w:p>
        </w:tc>
        <w:tc>
          <w:tcPr>
            <w:tcW w:w="2260" w:type="dxa"/>
            <w:tcBorders>
              <w:top w:val="single" w:sz="4" w:space="0" w:color="auto"/>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c>
          <w:tcPr>
            <w:tcW w:w="2181" w:type="dxa"/>
            <w:gridSpan w:val="2"/>
            <w:tcBorders>
              <w:top w:val="single" w:sz="4" w:space="0" w:color="auto"/>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r>
      <w:tr w:rsidR="00E7406F" w:rsidRPr="00757B01" w:rsidTr="00E7406F">
        <w:tblPrEx>
          <w:tblLook w:val="04A0" w:firstRow="1" w:lastRow="0" w:firstColumn="1" w:lastColumn="0" w:noHBand="0" w:noVBand="1"/>
        </w:tblPrEx>
        <w:trPr>
          <w:trHeight w:val="300"/>
        </w:trPr>
        <w:tc>
          <w:tcPr>
            <w:tcW w:w="3846" w:type="dxa"/>
            <w:gridSpan w:val="2"/>
            <w:tcBorders>
              <w:top w:val="nil"/>
              <w:left w:val="single" w:sz="4" w:space="0" w:color="auto"/>
              <w:bottom w:val="single" w:sz="4" w:space="0" w:color="auto"/>
              <w:right w:val="single" w:sz="4" w:space="0" w:color="auto"/>
            </w:tcBorders>
            <w:shd w:val="clear" w:color="000000" w:fill="FFFFFF"/>
            <w:noWrap/>
            <w:hideMark/>
          </w:tcPr>
          <w:p w:rsidR="00E7406F" w:rsidRPr="00757B01" w:rsidRDefault="00E7406F" w:rsidP="00E7406F">
            <w:pPr>
              <w:spacing w:before="40" w:after="40"/>
              <w:rPr>
                <w:rFonts w:ascii="Arial Narrow" w:hAnsi="Arial Narrow" w:cs="Calibri"/>
                <w:bCs/>
                <w:sz w:val="20"/>
                <w:szCs w:val="20"/>
              </w:rPr>
            </w:pPr>
            <w:r w:rsidRPr="00757B01">
              <w:rPr>
                <w:rFonts w:ascii="Arial Narrow" w:hAnsi="Arial Narrow" w:cs="Calibri"/>
                <w:bCs/>
                <w:sz w:val="20"/>
                <w:szCs w:val="20"/>
              </w:rPr>
              <w:t xml:space="preserve">Study withdrawals due to an AE </w:t>
            </w:r>
            <w:r w:rsidRPr="00757B01">
              <w:rPr>
                <w:rFonts w:ascii="Arial Narrow" w:hAnsi="Arial Narrow" w:cs="Calibri"/>
                <w:bCs/>
                <w:sz w:val="20"/>
                <w:szCs w:val="20"/>
                <w:vertAlign w:val="superscript"/>
              </w:rPr>
              <w:t>#</w:t>
            </w:r>
          </w:p>
        </w:tc>
        <w:tc>
          <w:tcPr>
            <w:tcW w:w="2260" w:type="dxa"/>
            <w:tcBorders>
              <w:top w:val="nil"/>
              <w:left w:val="nil"/>
              <w:bottom w:val="single" w:sz="4" w:space="0" w:color="auto"/>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c>
          <w:tcPr>
            <w:tcW w:w="2181" w:type="dxa"/>
            <w:gridSpan w:val="2"/>
            <w:tcBorders>
              <w:top w:val="nil"/>
              <w:left w:val="nil"/>
              <w:bottom w:val="single" w:sz="4" w:space="0" w:color="auto"/>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r>
      <w:tr w:rsidR="00E7406F" w:rsidRPr="00757B01" w:rsidTr="00E7406F">
        <w:tblPrEx>
          <w:tblLook w:val="04A0" w:firstRow="1" w:lastRow="0" w:firstColumn="1" w:lastColumn="0" w:noHBand="0" w:noVBand="1"/>
        </w:tblPrEx>
        <w:trPr>
          <w:trHeight w:val="300"/>
        </w:trPr>
        <w:tc>
          <w:tcPr>
            <w:tcW w:w="3846" w:type="dxa"/>
            <w:gridSpan w:val="2"/>
            <w:tcBorders>
              <w:top w:val="single" w:sz="4" w:space="0" w:color="auto"/>
              <w:left w:val="single" w:sz="4" w:space="0" w:color="auto"/>
              <w:right w:val="single" w:sz="4" w:space="0" w:color="auto"/>
            </w:tcBorders>
            <w:shd w:val="clear" w:color="000000" w:fill="FFFFFF"/>
            <w:noWrap/>
            <w:hideMark/>
          </w:tcPr>
          <w:p w:rsidR="00E7406F" w:rsidRPr="00757B01" w:rsidRDefault="00E7406F" w:rsidP="00E7406F">
            <w:pPr>
              <w:spacing w:before="40" w:after="40"/>
              <w:rPr>
                <w:rFonts w:ascii="Arial Narrow" w:hAnsi="Arial Narrow" w:cs="Calibri"/>
                <w:bCs/>
                <w:sz w:val="20"/>
                <w:szCs w:val="20"/>
              </w:rPr>
            </w:pPr>
            <w:r w:rsidRPr="00757B01">
              <w:rPr>
                <w:rFonts w:ascii="Arial Narrow" w:hAnsi="Arial Narrow" w:cs="Calibri"/>
                <w:bCs/>
                <w:sz w:val="20"/>
                <w:szCs w:val="20"/>
              </w:rPr>
              <w:t>Patients with at least one AE leading to death</w:t>
            </w:r>
          </w:p>
        </w:tc>
        <w:tc>
          <w:tcPr>
            <w:tcW w:w="2260" w:type="dxa"/>
            <w:tcBorders>
              <w:top w:val="single" w:sz="4" w:space="0" w:color="auto"/>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c>
          <w:tcPr>
            <w:tcW w:w="2181" w:type="dxa"/>
            <w:gridSpan w:val="2"/>
            <w:tcBorders>
              <w:top w:val="single" w:sz="4" w:space="0" w:color="auto"/>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r>
      <w:tr w:rsidR="00E7406F" w:rsidRPr="00757B01" w:rsidTr="00E7406F">
        <w:tblPrEx>
          <w:tblLook w:val="04A0" w:firstRow="1" w:lastRow="0" w:firstColumn="1" w:lastColumn="0" w:noHBand="0" w:noVBand="1"/>
        </w:tblPrEx>
        <w:trPr>
          <w:trHeight w:val="300"/>
        </w:trPr>
        <w:tc>
          <w:tcPr>
            <w:tcW w:w="3846" w:type="dxa"/>
            <w:gridSpan w:val="2"/>
            <w:tcBorders>
              <w:top w:val="nil"/>
              <w:left w:val="single" w:sz="4" w:space="0" w:color="auto"/>
              <w:right w:val="single" w:sz="4" w:space="0" w:color="auto"/>
            </w:tcBorders>
            <w:shd w:val="clear" w:color="000000" w:fill="FFFFFF"/>
            <w:noWrap/>
            <w:hideMark/>
          </w:tcPr>
          <w:p w:rsidR="00E7406F" w:rsidRPr="00757B01" w:rsidRDefault="00E7406F" w:rsidP="00E7406F">
            <w:pPr>
              <w:spacing w:before="40" w:after="40"/>
              <w:rPr>
                <w:rFonts w:ascii="Arial Narrow" w:hAnsi="Arial Narrow" w:cs="Calibri"/>
                <w:bCs/>
                <w:sz w:val="20"/>
                <w:szCs w:val="20"/>
              </w:rPr>
            </w:pPr>
            <w:r w:rsidRPr="00757B01">
              <w:rPr>
                <w:rFonts w:ascii="Arial Narrow" w:hAnsi="Arial Narrow" w:cs="Calibri"/>
                <w:bCs/>
                <w:sz w:val="20"/>
                <w:szCs w:val="20"/>
              </w:rPr>
              <w:t>Serious AE</w:t>
            </w:r>
          </w:p>
        </w:tc>
        <w:tc>
          <w:tcPr>
            <w:tcW w:w="2260" w:type="dxa"/>
            <w:tcBorders>
              <w:top w:val="nil"/>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c>
          <w:tcPr>
            <w:tcW w:w="2181" w:type="dxa"/>
            <w:gridSpan w:val="2"/>
            <w:tcBorders>
              <w:top w:val="nil"/>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r>
      <w:tr w:rsidR="00E7406F" w:rsidRPr="00757B01" w:rsidTr="00E7406F">
        <w:tblPrEx>
          <w:tblLook w:val="04A0" w:firstRow="1" w:lastRow="0" w:firstColumn="1" w:lastColumn="0" w:noHBand="0" w:noVBand="1"/>
        </w:tblPrEx>
        <w:trPr>
          <w:trHeight w:val="300"/>
        </w:trPr>
        <w:tc>
          <w:tcPr>
            <w:tcW w:w="3846" w:type="dxa"/>
            <w:gridSpan w:val="2"/>
            <w:tcBorders>
              <w:top w:val="nil"/>
              <w:left w:val="single" w:sz="4" w:space="0" w:color="auto"/>
              <w:right w:val="single" w:sz="4" w:space="0" w:color="auto"/>
            </w:tcBorders>
            <w:shd w:val="clear" w:color="000000" w:fill="FFFFFF"/>
            <w:noWrap/>
            <w:hideMark/>
          </w:tcPr>
          <w:p w:rsidR="00E7406F" w:rsidRPr="00757B01" w:rsidRDefault="00E7406F" w:rsidP="00E7406F">
            <w:pPr>
              <w:spacing w:before="40" w:after="40"/>
              <w:rPr>
                <w:rFonts w:ascii="Arial Narrow" w:hAnsi="Arial Narrow" w:cs="Calibri"/>
                <w:bCs/>
                <w:sz w:val="20"/>
                <w:szCs w:val="20"/>
              </w:rPr>
            </w:pPr>
            <w:r w:rsidRPr="00757B01">
              <w:rPr>
                <w:rFonts w:ascii="Arial Narrow" w:hAnsi="Arial Narrow" w:cs="Calibri"/>
                <w:bCs/>
                <w:sz w:val="20"/>
                <w:szCs w:val="20"/>
              </w:rPr>
              <w:t>Serious AE leading to dose withdrawal from treatment</w:t>
            </w:r>
          </w:p>
        </w:tc>
        <w:tc>
          <w:tcPr>
            <w:tcW w:w="2260" w:type="dxa"/>
            <w:tcBorders>
              <w:top w:val="nil"/>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c>
          <w:tcPr>
            <w:tcW w:w="2181" w:type="dxa"/>
            <w:gridSpan w:val="2"/>
            <w:tcBorders>
              <w:top w:val="nil"/>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r>
      <w:tr w:rsidR="00E7406F" w:rsidRPr="00757B01" w:rsidTr="00E7406F">
        <w:tblPrEx>
          <w:tblLook w:val="04A0" w:firstRow="1" w:lastRow="0" w:firstColumn="1" w:lastColumn="0" w:noHBand="0" w:noVBand="1"/>
        </w:tblPrEx>
        <w:trPr>
          <w:trHeight w:val="300"/>
        </w:trPr>
        <w:tc>
          <w:tcPr>
            <w:tcW w:w="3846" w:type="dxa"/>
            <w:gridSpan w:val="2"/>
            <w:tcBorders>
              <w:top w:val="nil"/>
              <w:left w:val="single" w:sz="4" w:space="0" w:color="auto"/>
              <w:right w:val="single" w:sz="4" w:space="0" w:color="auto"/>
            </w:tcBorders>
            <w:shd w:val="clear" w:color="000000" w:fill="FFFFFF"/>
            <w:noWrap/>
            <w:hideMark/>
          </w:tcPr>
          <w:p w:rsidR="00E7406F" w:rsidRPr="00757B01" w:rsidRDefault="00E7406F" w:rsidP="00E7406F">
            <w:pPr>
              <w:spacing w:before="40" w:after="40"/>
              <w:rPr>
                <w:rFonts w:ascii="Arial Narrow" w:hAnsi="Arial Narrow" w:cs="Calibri"/>
                <w:bCs/>
                <w:sz w:val="20"/>
                <w:szCs w:val="20"/>
              </w:rPr>
            </w:pPr>
            <w:r w:rsidRPr="00757B01">
              <w:rPr>
                <w:rFonts w:ascii="Arial Narrow" w:hAnsi="Arial Narrow" w:cs="Calibri"/>
                <w:bCs/>
                <w:sz w:val="20"/>
                <w:szCs w:val="20"/>
              </w:rPr>
              <w:t>Serious AE leading to dose modification/interruption</w:t>
            </w:r>
          </w:p>
        </w:tc>
        <w:tc>
          <w:tcPr>
            <w:tcW w:w="2260" w:type="dxa"/>
            <w:tcBorders>
              <w:top w:val="nil"/>
              <w:left w:val="nil"/>
              <w:right w:val="single" w:sz="4" w:space="0" w:color="auto"/>
            </w:tcBorders>
            <w:shd w:val="clear" w:color="000000" w:fill="FFFFFF"/>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c>
          <w:tcPr>
            <w:tcW w:w="2181" w:type="dxa"/>
            <w:gridSpan w:val="2"/>
            <w:tcBorders>
              <w:top w:val="nil"/>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r>
      <w:tr w:rsidR="00E7406F" w:rsidRPr="00757B01" w:rsidTr="00E7406F">
        <w:tblPrEx>
          <w:tblLook w:val="04A0" w:firstRow="1" w:lastRow="0" w:firstColumn="1" w:lastColumn="0" w:noHBand="0" w:noVBand="1"/>
        </w:tblPrEx>
        <w:trPr>
          <w:trHeight w:val="300"/>
        </w:trPr>
        <w:tc>
          <w:tcPr>
            <w:tcW w:w="3846" w:type="dxa"/>
            <w:gridSpan w:val="2"/>
            <w:tcBorders>
              <w:top w:val="nil"/>
              <w:left w:val="single" w:sz="4" w:space="0" w:color="auto"/>
              <w:right w:val="single" w:sz="4" w:space="0" w:color="auto"/>
            </w:tcBorders>
            <w:shd w:val="clear" w:color="000000" w:fill="FFFFFF"/>
            <w:noWrap/>
            <w:hideMark/>
          </w:tcPr>
          <w:p w:rsidR="00E7406F" w:rsidRPr="00757B01" w:rsidRDefault="00E7406F" w:rsidP="00E7406F">
            <w:pPr>
              <w:spacing w:before="40" w:after="40"/>
              <w:rPr>
                <w:rFonts w:ascii="Arial Narrow" w:hAnsi="Arial Narrow" w:cs="Calibri"/>
                <w:bCs/>
                <w:sz w:val="20"/>
                <w:szCs w:val="20"/>
              </w:rPr>
            </w:pPr>
            <w:r w:rsidRPr="00757B01">
              <w:rPr>
                <w:rFonts w:ascii="Arial Narrow" w:hAnsi="Arial Narrow" w:cs="Calibri"/>
                <w:bCs/>
                <w:sz w:val="20"/>
                <w:szCs w:val="20"/>
              </w:rPr>
              <w:t>Treatment-related serious AE</w:t>
            </w:r>
          </w:p>
        </w:tc>
        <w:tc>
          <w:tcPr>
            <w:tcW w:w="2260" w:type="dxa"/>
            <w:tcBorders>
              <w:top w:val="nil"/>
              <w:left w:val="nil"/>
              <w:right w:val="single" w:sz="4" w:space="0" w:color="auto"/>
            </w:tcBorders>
            <w:shd w:val="clear" w:color="000000" w:fill="FFFFFF"/>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c>
          <w:tcPr>
            <w:tcW w:w="2181" w:type="dxa"/>
            <w:gridSpan w:val="2"/>
            <w:tcBorders>
              <w:top w:val="nil"/>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r>
      <w:tr w:rsidR="00E7406F" w:rsidRPr="00757B01" w:rsidTr="00E7406F">
        <w:tblPrEx>
          <w:tblLook w:val="04A0" w:firstRow="1" w:lastRow="0" w:firstColumn="1" w:lastColumn="0" w:noHBand="0" w:noVBand="1"/>
        </w:tblPrEx>
        <w:trPr>
          <w:trHeight w:val="300"/>
        </w:trPr>
        <w:tc>
          <w:tcPr>
            <w:tcW w:w="3846" w:type="dxa"/>
            <w:gridSpan w:val="2"/>
            <w:tcBorders>
              <w:top w:val="nil"/>
              <w:left w:val="single" w:sz="4" w:space="0" w:color="auto"/>
              <w:right w:val="single" w:sz="4" w:space="0" w:color="auto"/>
            </w:tcBorders>
            <w:shd w:val="clear" w:color="000000" w:fill="FFFFFF"/>
            <w:noWrap/>
            <w:hideMark/>
          </w:tcPr>
          <w:p w:rsidR="00E7406F" w:rsidRPr="00757B01" w:rsidRDefault="00E7406F" w:rsidP="00E7406F">
            <w:pPr>
              <w:spacing w:before="40" w:after="40"/>
              <w:rPr>
                <w:rFonts w:ascii="Arial Narrow" w:hAnsi="Arial Narrow" w:cs="Calibri"/>
                <w:bCs/>
                <w:sz w:val="20"/>
                <w:szCs w:val="20"/>
              </w:rPr>
            </w:pPr>
            <w:r w:rsidRPr="00757B01">
              <w:rPr>
                <w:rFonts w:ascii="Arial Narrow" w:hAnsi="Arial Narrow" w:cs="Calibri"/>
                <w:bCs/>
                <w:sz w:val="20"/>
                <w:szCs w:val="20"/>
              </w:rPr>
              <w:t>AE leading to withdrawal from treatment</w:t>
            </w:r>
          </w:p>
        </w:tc>
        <w:tc>
          <w:tcPr>
            <w:tcW w:w="2260" w:type="dxa"/>
            <w:tcBorders>
              <w:top w:val="nil"/>
              <w:left w:val="nil"/>
              <w:right w:val="single" w:sz="4" w:space="0" w:color="auto"/>
            </w:tcBorders>
            <w:shd w:val="clear" w:color="000000" w:fill="FFFFFF"/>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c>
          <w:tcPr>
            <w:tcW w:w="2181" w:type="dxa"/>
            <w:gridSpan w:val="2"/>
            <w:tcBorders>
              <w:top w:val="nil"/>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r>
      <w:tr w:rsidR="00E7406F" w:rsidRPr="00757B01" w:rsidTr="00E7406F">
        <w:tblPrEx>
          <w:tblLook w:val="04A0" w:firstRow="1" w:lastRow="0" w:firstColumn="1" w:lastColumn="0" w:noHBand="0" w:noVBand="1"/>
        </w:tblPrEx>
        <w:trPr>
          <w:trHeight w:val="300"/>
        </w:trPr>
        <w:tc>
          <w:tcPr>
            <w:tcW w:w="3846" w:type="dxa"/>
            <w:gridSpan w:val="2"/>
            <w:tcBorders>
              <w:top w:val="nil"/>
              <w:left w:val="single" w:sz="4" w:space="0" w:color="auto"/>
              <w:right w:val="single" w:sz="4" w:space="0" w:color="auto"/>
            </w:tcBorders>
            <w:shd w:val="clear" w:color="000000" w:fill="FFFFFF"/>
            <w:noWrap/>
            <w:hideMark/>
          </w:tcPr>
          <w:p w:rsidR="00E7406F" w:rsidRPr="00757B01" w:rsidRDefault="00E7406F" w:rsidP="00E7406F">
            <w:pPr>
              <w:spacing w:before="40" w:after="40"/>
              <w:rPr>
                <w:rFonts w:ascii="Arial Narrow" w:hAnsi="Arial Narrow" w:cs="Calibri"/>
                <w:bCs/>
                <w:sz w:val="20"/>
                <w:szCs w:val="20"/>
              </w:rPr>
            </w:pPr>
            <w:r w:rsidRPr="00757B01">
              <w:rPr>
                <w:rFonts w:ascii="Arial Narrow" w:hAnsi="Arial Narrow" w:cs="Calibri"/>
                <w:bCs/>
                <w:sz w:val="20"/>
                <w:szCs w:val="20"/>
              </w:rPr>
              <w:t>AE leading to dose modification/interruption</w:t>
            </w:r>
          </w:p>
        </w:tc>
        <w:tc>
          <w:tcPr>
            <w:tcW w:w="2260" w:type="dxa"/>
            <w:tcBorders>
              <w:top w:val="nil"/>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c>
          <w:tcPr>
            <w:tcW w:w="2181" w:type="dxa"/>
            <w:gridSpan w:val="2"/>
            <w:tcBorders>
              <w:top w:val="nil"/>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r>
      <w:tr w:rsidR="00E7406F" w:rsidRPr="00757B01" w:rsidTr="00E7406F">
        <w:tblPrEx>
          <w:tblLook w:val="04A0" w:firstRow="1" w:lastRow="0" w:firstColumn="1" w:lastColumn="0" w:noHBand="0" w:noVBand="1"/>
        </w:tblPrEx>
        <w:trPr>
          <w:trHeight w:val="300"/>
        </w:trPr>
        <w:tc>
          <w:tcPr>
            <w:tcW w:w="3846" w:type="dxa"/>
            <w:gridSpan w:val="2"/>
            <w:tcBorders>
              <w:top w:val="nil"/>
              <w:left w:val="single" w:sz="4" w:space="0" w:color="auto"/>
              <w:right w:val="single" w:sz="4" w:space="0" w:color="auto"/>
            </w:tcBorders>
            <w:shd w:val="clear" w:color="000000" w:fill="FFFFFF"/>
            <w:noWrap/>
            <w:hideMark/>
          </w:tcPr>
          <w:p w:rsidR="00E7406F" w:rsidRPr="00757B01" w:rsidRDefault="00E7406F" w:rsidP="00E7406F">
            <w:pPr>
              <w:spacing w:before="40" w:after="40"/>
              <w:rPr>
                <w:rFonts w:ascii="Arial Narrow" w:hAnsi="Arial Narrow" w:cs="Calibri"/>
                <w:bCs/>
                <w:sz w:val="20"/>
                <w:szCs w:val="20"/>
              </w:rPr>
            </w:pPr>
            <w:r w:rsidRPr="00757B01">
              <w:rPr>
                <w:rFonts w:ascii="Arial Narrow" w:hAnsi="Arial Narrow" w:cs="Calibri"/>
                <w:bCs/>
                <w:sz w:val="20"/>
                <w:szCs w:val="20"/>
              </w:rPr>
              <w:t>Treatment-related AE</w:t>
            </w:r>
          </w:p>
        </w:tc>
        <w:tc>
          <w:tcPr>
            <w:tcW w:w="2260" w:type="dxa"/>
            <w:tcBorders>
              <w:top w:val="nil"/>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c>
          <w:tcPr>
            <w:tcW w:w="2181" w:type="dxa"/>
            <w:gridSpan w:val="2"/>
            <w:tcBorders>
              <w:top w:val="nil"/>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r>
      <w:tr w:rsidR="00E7406F" w:rsidRPr="00757B01" w:rsidTr="00E7406F">
        <w:tblPrEx>
          <w:tblLook w:val="04A0" w:firstRow="1" w:lastRow="0" w:firstColumn="1" w:lastColumn="0" w:noHBand="0" w:noVBand="1"/>
        </w:tblPrEx>
        <w:trPr>
          <w:trHeight w:val="300"/>
        </w:trPr>
        <w:tc>
          <w:tcPr>
            <w:tcW w:w="3846" w:type="dxa"/>
            <w:gridSpan w:val="2"/>
            <w:tcBorders>
              <w:top w:val="nil"/>
              <w:left w:val="single" w:sz="4" w:space="0" w:color="auto"/>
              <w:right w:val="single" w:sz="4" w:space="0" w:color="auto"/>
            </w:tcBorders>
            <w:shd w:val="clear" w:color="000000" w:fill="FFFFFF"/>
            <w:noWrap/>
            <w:hideMark/>
          </w:tcPr>
          <w:p w:rsidR="00E7406F" w:rsidRPr="00757B01" w:rsidRDefault="00E7406F" w:rsidP="00E7406F">
            <w:pPr>
              <w:spacing w:before="40" w:after="40"/>
              <w:rPr>
                <w:rFonts w:ascii="Arial Narrow" w:hAnsi="Arial Narrow" w:cs="Calibri"/>
                <w:bCs/>
                <w:sz w:val="20"/>
                <w:szCs w:val="20"/>
              </w:rPr>
            </w:pPr>
            <w:r w:rsidRPr="00757B01">
              <w:rPr>
                <w:rFonts w:ascii="Arial Narrow" w:hAnsi="Arial Narrow" w:cs="Calibri"/>
                <w:bCs/>
                <w:sz w:val="20"/>
                <w:szCs w:val="20"/>
              </w:rPr>
              <w:t>Treatment-related AE leading to withdrawal from treatment</w:t>
            </w:r>
          </w:p>
        </w:tc>
        <w:tc>
          <w:tcPr>
            <w:tcW w:w="2260" w:type="dxa"/>
            <w:tcBorders>
              <w:top w:val="nil"/>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c>
          <w:tcPr>
            <w:tcW w:w="2181" w:type="dxa"/>
            <w:gridSpan w:val="2"/>
            <w:tcBorders>
              <w:top w:val="nil"/>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r>
      <w:tr w:rsidR="00E7406F" w:rsidRPr="00757B01" w:rsidTr="00E7406F">
        <w:tblPrEx>
          <w:tblLook w:val="04A0" w:firstRow="1" w:lastRow="0" w:firstColumn="1" w:lastColumn="0" w:noHBand="0" w:noVBand="1"/>
        </w:tblPrEx>
        <w:trPr>
          <w:trHeight w:val="300"/>
        </w:trPr>
        <w:tc>
          <w:tcPr>
            <w:tcW w:w="3846" w:type="dxa"/>
            <w:gridSpan w:val="2"/>
            <w:tcBorders>
              <w:top w:val="nil"/>
              <w:left w:val="single" w:sz="4" w:space="0" w:color="auto"/>
              <w:right w:val="single" w:sz="4" w:space="0" w:color="auto"/>
            </w:tcBorders>
            <w:shd w:val="clear" w:color="000000" w:fill="FFFFFF"/>
            <w:noWrap/>
            <w:hideMark/>
          </w:tcPr>
          <w:p w:rsidR="00E7406F" w:rsidRPr="00757B01" w:rsidRDefault="00E7406F" w:rsidP="00E7406F">
            <w:pPr>
              <w:spacing w:before="40" w:after="40"/>
              <w:rPr>
                <w:rFonts w:ascii="Arial Narrow" w:hAnsi="Arial Narrow" w:cs="Calibri"/>
                <w:bCs/>
                <w:sz w:val="20"/>
                <w:szCs w:val="20"/>
              </w:rPr>
            </w:pPr>
            <w:r w:rsidRPr="00757B01">
              <w:rPr>
                <w:rFonts w:ascii="Arial Narrow" w:hAnsi="Arial Narrow" w:cs="Calibri"/>
                <w:bCs/>
                <w:sz w:val="20"/>
                <w:szCs w:val="20"/>
              </w:rPr>
              <w:t>Treatment-related AE leading to dose modification/interruption</w:t>
            </w:r>
          </w:p>
        </w:tc>
        <w:tc>
          <w:tcPr>
            <w:tcW w:w="2260" w:type="dxa"/>
            <w:tcBorders>
              <w:top w:val="nil"/>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c>
          <w:tcPr>
            <w:tcW w:w="2181" w:type="dxa"/>
            <w:gridSpan w:val="2"/>
            <w:tcBorders>
              <w:top w:val="nil"/>
              <w:left w:val="nil"/>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r>
      <w:tr w:rsidR="00E7406F" w:rsidRPr="00757B01" w:rsidTr="00E7406F">
        <w:tblPrEx>
          <w:tblLook w:val="04A0" w:firstRow="1" w:lastRow="0" w:firstColumn="1" w:lastColumn="0" w:noHBand="0" w:noVBand="1"/>
        </w:tblPrEx>
        <w:trPr>
          <w:trHeight w:val="300"/>
        </w:trPr>
        <w:tc>
          <w:tcPr>
            <w:tcW w:w="3846" w:type="dxa"/>
            <w:gridSpan w:val="2"/>
            <w:tcBorders>
              <w:top w:val="nil"/>
              <w:left w:val="single" w:sz="4" w:space="0" w:color="auto"/>
              <w:bottom w:val="single" w:sz="4" w:space="0" w:color="auto"/>
              <w:right w:val="single" w:sz="4" w:space="0" w:color="auto"/>
            </w:tcBorders>
            <w:shd w:val="clear" w:color="000000" w:fill="FFFFFF"/>
            <w:noWrap/>
            <w:hideMark/>
          </w:tcPr>
          <w:p w:rsidR="00E7406F" w:rsidRPr="00757B01" w:rsidRDefault="00E7406F" w:rsidP="00E7406F">
            <w:pPr>
              <w:spacing w:before="40" w:after="40"/>
              <w:rPr>
                <w:rFonts w:ascii="Arial Narrow" w:hAnsi="Arial Narrow" w:cs="Calibri"/>
                <w:bCs/>
                <w:sz w:val="20"/>
                <w:szCs w:val="20"/>
              </w:rPr>
            </w:pPr>
            <w:r w:rsidRPr="00757B01">
              <w:rPr>
                <w:rFonts w:ascii="Arial Narrow" w:hAnsi="Arial Narrow" w:cs="Calibri"/>
                <w:bCs/>
                <w:sz w:val="20"/>
                <w:szCs w:val="20"/>
              </w:rPr>
              <w:t>Severe AE</w:t>
            </w:r>
          </w:p>
        </w:tc>
        <w:tc>
          <w:tcPr>
            <w:tcW w:w="2260" w:type="dxa"/>
            <w:tcBorders>
              <w:top w:val="nil"/>
              <w:left w:val="nil"/>
              <w:bottom w:val="single" w:sz="4" w:space="0" w:color="auto"/>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c>
          <w:tcPr>
            <w:tcW w:w="2181" w:type="dxa"/>
            <w:gridSpan w:val="2"/>
            <w:tcBorders>
              <w:top w:val="nil"/>
              <w:left w:val="nil"/>
              <w:bottom w:val="single" w:sz="4" w:space="0" w:color="auto"/>
              <w:right w:val="single" w:sz="4" w:space="0" w:color="auto"/>
            </w:tcBorders>
            <w:shd w:val="clear" w:color="000000" w:fill="FFFFFF"/>
            <w:noWrap/>
            <w:vAlign w:val="center"/>
            <w:hideMark/>
          </w:tcPr>
          <w:p w:rsidR="00E7406F" w:rsidRPr="00825077" w:rsidRDefault="00825077" w:rsidP="00E7406F">
            <w:pPr>
              <w:tabs>
                <w:tab w:val="left" w:pos="545"/>
              </w:tabs>
              <w:spacing w:before="40" w:after="40"/>
              <w:ind w:left="105"/>
              <w:jc w:val="center"/>
              <w:rPr>
                <w:rFonts w:ascii="Arial Narrow" w:hAnsi="Arial Narrow" w:cs="Calibri"/>
                <w:bCs/>
                <w:sz w:val="20"/>
                <w:szCs w:val="20"/>
                <w:highlight w:val="black"/>
              </w:rPr>
            </w:pPr>
            <w:r>
              <w:rPr>
                <w:rFonts w:ascii="Arial Narrow" w:hAnsi="Arial Narrow" w:cs="Calibri"/>
                <w:bCs/>
                <w:noProof/>
                <w:color w:val="000000"/>
                <w:sz w:val="20"/>
                <w:szCs w:val="20"/>
                <w:highlight w:val="black"/>
              </w:rPr>
              <w:t>'''''' '''''''''''''''</w:t>
            </w:r>
          </w:p>
        </w:tc>
      </w:tr>
    </w:tbl>
    <w:p w:rsidR="00E7406F" w:rsidRPr="00757B01" w:rsidRDefault="00E7406F" w:rsidP="00E7406F">
      <w:pPr>
        <w:tabs>
          <w:tab w:val="left" w:pos="1418"/>
        </w:tabs>
        <w:ind w:left="1418" w:hanging="709"/>
        <w:rPr>
          <w:rFonts w:ascii="Arial Narrow" w:eastAsia="SimSun" w:hAnsi="Arial Narrow"/>
          <w:sz w:val="20"/>
          <w:szCs w:val="20"/>
          <w:lang w:eastAsia="zh-CN"/>
        </w:rPr>
      </w:pPr>
      <w:r w:rsidRPr="00757B01">
        <w:rPr>
          <w:rFonts w:ascii="Arial Narrow" w:eastAsia="SimSun" w:hAnsi="Arial Narrow"/>
          <w:sz w:val="20"/>
          <w:szCs w:val="20"/>
          <w:lang w:eastAsia="zh-CN"/>
        </w:rPr>
        <w:t>Source: page 18 of the submission</w:t>
      </w:r>
    </w:p>
    <w:p w:rsidR="00E7406F" w:rsidRDefault="00E7406F" w:rsidP="00E7406F">
      <w:pPr>
        <w:pStyle w:val="ListParagraph"/>
        <w:ind w:left="709"/>
        <w:jc w:val="both"/>
        <w:rPr>
          <w:rFonts w:ascii="Arial Narrow" w:eastAsia="SimSun" w:hAnsi="Arial Narrow"/>
          <w:sz w:val="20"/>
          <w:szCs w:val="20"/>
          <w:lang w:eastAsia="zh-CN"/>
        </w:rPr>
      </w:pPr>
      <w:r w:rsidRPr="00757B01">
        <w:rPr>
          <w:rFonts w:ascii="Arial Narrow" w:eastAsia="SimSun" w:hAnsi="Arial Narrow"/>
          <w:sz w:val="20"/>
          <w:szCs w:val="20"/>
          <w:lang w:eastAsia="zh-CN"/>
        </w:rPr>
        <w:t>Multiple occurrences of the same AE in one individual counted only once</w:t>
      </w:r>
    </w:p>
    <w:p w:rsidR="00E7406F" w:rsidRDefault="00E7406F" w:rsidP="00E7406F">
      <w:pPr>
        <w:pStyle w:val="ListParagraph"/>
        <w:ind w:left="709"/>
        <w:jc w:val="both"/>
        <w:rPr>
          <w:rFonts w:ascii="Arial" w:hAnsi="Arial"/>
          <w:sz w:val="22"/>
          <w:szCs w:val="22"/>
        </w:rPr>
      </w:pPr>
      <w:r w:rsidRPr="00757B01">
        <w:rPr>
          <w:rFonts w:ascii="Arial Narrow" w:hAnsi="Arial Narrow"/>
          <w:sz w:val="20"/>
          <w:szCs w:val="20"/>
        </w:rPr>
        <w:tab/>
      </w:r>
    </w:p>
    <w:p w:rsidR="00E7406F" w:rsidRPr="009A740E" w:rsidRDefault="00E7406F" w:rsidP="00207E11">
      <w:pPr>
        <w:pStyle w:val="ListParagraph"/>
        <w:numPr>
          <w:ilvl w:val="1"/>
          <w:numId w:val="25"/>
        </w:numPr>
        <w:ind w:left="709" w:hanging="709"/>
        <w:jc w:val="both"/>
        <w:rPr>
          <w:rFonts w:ascii="Arial" w:hAnsi="Arial"/>
          <w:sz w:val="22"/>
          <w:szCs w:val="22"/>
        </w:rPr>
      </w:pPr>
      <w:r>
        <w:rPr>
          <w:rFonts w:ascii="Arial" w:hAnsi="Arial"/>
          <w:sz w:val="22"/>
          <w:szCs w:val="22"/>
        </w:rPr>
        <w:t xml:space="preserve">The PBAC noted that </w:t>
      </w:r>
      <w:r w:rsidR="009A740E">
        <w:rPr>
          <w:rFonts w:ascii="Arial" w:hAnsi="Arial"/>
          <w:sz w:val="22"/>
          <w:szCs w:val="22"/>
        </w:rPr>
        <w:t>r</w:t>
      </w:r>
      <w:r w:rsidR="009A740E" w:rsidRPr="009A740E">
        <w:rPr>
          <w:rFonts w:ascii="Arial" w:hAnsi="Arial"/>
          <w:sz w:val="22"/>
          <w:szCs w:val="22"/>
        </w:rPr>
        <w:t>ituximab SC appears to have more treatment-related AEs compared to rituximab IV</w:t>
      </w:r>
      <w:r w:rsidR="009A740E">
        <w:rPr>
          <w:rFonts w:ascii="Arial" w:hAnsi="Arial"/>
          <w:sz w:val="22"/>
          <w:szCs w:val="22"/>
        </w:rPr>
        <w:t>.</w:t>
      </w:r>
      <w:r w:rsidR="00946CAB">
        <w:rPr>
          <w:rFonts w:ascii="Arial" w:hAnsi="Arial"/>
          <w:sz w:val="22"/>
          <w:szCs w:val="22"/>
        </w:rPr>
        <w:t xml:space="preserve"> However, the PBAC considered in general, rituximab SC is non-inferior in terms of safety compared with rituximab IV.</w:t>
      </w:r>
    </w:p>
    <w:p w:rsidR="00BB7EC3" w:rsidRDefault="00BB7EC3" w:rsidP="00BB7EC3">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lastRenderedPageBreak/>
        <w:t>For more detail on PBAC’s view, see section 7 “PBAC outcome”</w:t>
      </w:r>
    </w:p>
    <w:p w:rsidR="00882085" w:rsidRDefault="00882085" w:rsidP="00882085">
      <w:pPr>
        <w:jc w:val="both"/>
        <w:rPr>
          <w:rFonts w:ascii="Arial" w:hAnsi="Arial"/>
          <w:b/>
          <w:i/>
          <w:sz w:val="22"/>
          <w:szCs w:val="22"/>
        </w:rPr>
      </w:pPr>
    </w:p>
    <w:p w:rsidR="005A3173" w:rsidRPr="002E7BBC" w:rsidRDefault="005A3173" w:rsidP="00882085">
      <w:pPr>
        <w:jc w:val="both"/>
        <w:rPr>
          <w:rFonts w:ascii="Arial" w:hAnsi="Arial"/>
          <w:b/>
          <w:sz w:val="22"/>
          <w:szCs w:val="22"/>
        </w:rPr>
      </w:pPr>
      <w:r w:rsidRPr="002E7BBC">
        <w:rPr>
          <w:rFonts w:ascii="Arial" w:hAnsi="Arial"/>
          <w:b/>
          <w:sz w:val="22"/>
          <w:szCs w:val="22"/>
        </w:rPr>
        <w:t>Clinical claim</w:t>
      </w:r>
    </w:p>
    <w:p w:rsidR="005A3173" w:rsidRPr="00882085" w:rsidRDefault="005A3173" w:rsidP="00882085">
      <w:pPr>
        <w:ind w:left="720" w:hanging="720"/>
        <w:jc w:val="both"/>
        <w:rPr>
          <w:rFonts w:ascii="Arial" w:hAnsi="Arial"/>
          <w:sz w:val="22"/>
          <w:szCs w:val="22"/>
        </w:rPr>
      </w:pPr>
    </w:p>
    <w:p w:rsidR="000B558D" w:rsidRDefault="009A740E" w:rsidP="00207E11">
      <w:pPr>
        <w:pStyle w:val="ListParagraph"/>
        <w:numPr>
          <w:ilvl w:val="1"/>
          <w:numId w:val="25"/>
        </w:numPr>
        <w:ind w:left="709" w:hanging="709"/>
        <w:jc w:val="both"/>
        <w:rPr>
          <w:rFonts w:ascii="Arial" w:hAnsi="Arial"/>
          <w:sz w:val="22"/>
          <w:szCs w:val="22"/>
        </w:rPr>
      </w:pPr>
      <w:r>
        <w:rPr>
          <w:rFonts w:ascii="Arial" w:hAnsi="Arial"/>
          <w:sz w:val="22"/>
          <w:szCs w:val="22"/>
        </w:rPr>
        <w:t>The submission claimed</w:t>
      </w:r>
      <w:r w:rsidRPr="0076475B">
        <w:rPr>
          <w:rFonts w:ascii="Arial" w:hAnsi="Arial"/>
          <w:sz w:val="22"/>
          <w:szCs w:val="22"/>
        </w:rPr>
        <w:t xml:space="preserve"> non-inferior comparative effectiveness and non-inferior comparative safety of rituximab SC (fixed dose of 1,400 mg) compared with rituximab IV formulation (dosed at 375mg/m</w:t>
      </w:r>
      <w:r w:rsidRPr="0076475B">
        <w:rPr>
          <w:rFonts w:ascii="Arial" w:hAnsi="Arial"/>
          <w:sz w:val="22"/>
          <w:szCs w:val="22"/>
          <w:vertAlign w:val="superscript"/>
        </w:rPr>
        <w:t>2</w:t>
      </w:r>
      <w:r w:rsidR="00733FA1">
        <w:rPr>
          <w:rFonts w:ascii="Arial" w:hAnsi="Arial"/>
          <w:sz w:val="22"/>
          <w:szCs w:val="22"/>
        </w:rPr>
        <w:t>)</w:t>
      </w:r>
      <w:r w:rsidR="00BB7EC3">
        <w:rPr>
          <w:rFonts w:ascii="Arial" w:hAnsi="Arial"/>
          <w:sz w:val="22"/>
          <w:szCs w:val="22"/>
        </w:rPr>
        <w:t>.</w:t>
      </w:r>
      <w:r w:rsidR="00F57A6D" w:rsidRPr="00882085">
        <w:rPr>
          <w:rFonts w:ascii="Arial" w:hAnsi="Arial"/>
          <w:sz w:val="22"/>
          <w:szCs w:val="22"/>
        </w:rPr>
        <w:t xml:space="preserve"> </w:t>
      </w:r>
    </w:p>
    <w:p w:rsidR="00BB7EC3" w:rsidRPr="00BB7EC3" w:rsidRDefault="00BB7EC3" w:rsidP="00BB7EC3">
      <w:pPr>
        <w:jc w:val="both"/>
        <w:rPr>
          <w:rFonts w:ascii="Arial" w:hAnsi="Arial"/>
          <w:sz w:val="22"/>
          <w:szCs w:val="22"/>
        </w:rPr>
      </w:pPr>
    </w:p>
    <w:p w:rsidR="00BB7EC3" w:rsidRPr="00946CAB" w:rsidRDefault="00BB7EC3" w:rsidP="00207E11">
      <w:pPr>
        <w:pStyle w:val="ListParagraph"/>
        <w:numPr>
          <w:ilvl w:val="1"/>
          <w:numId w:val="25"/>
        </w:numPr>
        <w:ind w:left="709" w:hanging="709"/>
        <w:jc w:val="both"/>
        <w:rPr>
          <w:rFonts w:ascii="Arial" w:hAnsi="Arial"/>
          <w:sz w:val="22"/>
          <w:szCs w:val="22"/>
        </w:rPr>
      </w:pPr>
      <w:r w:rsidRPr="00946CAB">
        <w:rPr>
          <w:rFonts w:ascii="Arial" w:hAnsi="Arial"/>
          <w:sz w:val="22"/>
          <w:szCs w:val="22"/>
        </w:rPr>
        <w:t>The PBAC consid</w:t>
      </w:r>
      <w:r w:rsidR="00946CAB">
        <w:rPr>
          <w:rFonts w:ascii="Arial" w:hAnsi="Arial"/>
          <w:sz w:val="22"/>
          <w:szCs w:val="22"/>
        </w:rPr>
        <w:t xml:space="preserve">ered that the claim of non-inferior comparative effectiveness </w:t>
      </w:r>
      <w:r w:rsidR="00EB13A6">
        <w:rPr>
          <w:rFonts w:ascii="Arial" w:hAnsi="Arial"/>
          <w:sz w:val="22"/>
          <w:szCs w:val="22"/>
        </w:rPr>
        <w:t>is</w:t>
      </w:r>
      <w:r w:rsidRPr="00946CAB">
        <w:rPr>
          <w:rFonts w:ascii="Arial" w:hAnsi="Arial"/>
          <w:sz w:val="22"/>
          <w:szCs w:val="22"/>
        </w:rPr>
        <w:t xml:space="preserve"> reasonable.</w:t>
      </w:r>
    </w:p>
    <w:p w:rsidR="00BB7EC3" w:rsidRPr="007F7C36" w:rsidRDefault="00BB7EC3" w:rsidP="00BB7EC3">
      <w:pPr>
        <w:pStyle w:val="ListParagraph"/>
        <w:rPr>
          <w:rFonts w:ascii="Arial" w:hAnsi="Arial"/>
          <w:color w:val="FF0000"/>
          <w:sz w:val="22"/>
          <w:szCs w:val="22"/>
        </w:rPr>
      </w:pPr>
    </w:p>
    <w:p w:rsidR="00BB7EC3" w:rsidRPr="00EB13A6" w:rsidRDefault="00BB7EC3" w:rsidP="00207E11">
      <w:pPr>
        <w:pStyle w:val="ListParagraph"/>
        <w:numPr>
          <w:ilvl w:val="1"/>
          <w:numId w:val="25"/>
        </w:numPr>
        <w:ind w:left="709" w:hanging="709"/>
        <w:jc w:val="both"/>
        <w:rPr>
          <w:rFonts w:ascii="Arial" w:hAnsi="Arial"/>
          <w:sz w:val="22"/>
          <w:szCs w:val="22"/>
        </w:rPr>
      </w:pPr>
      <w:r w:rsidRPr="00EB13A6">
        <w:rPr>
          <w:rFonts w:ascii="Arial" w:hAnsi="Arial"/>
          <w:sz w:val="22"/>
          <w:szCs w:val="22"/>
        </w:rPr>
        <w:t xml:space="preserve">The PBAC considered that the claim of non-inferior comparative safety </w:t>
      </w:r>
      <w:r w:rsidR="00EB13A6">
        <w:rPr>
          <w:rFonts w:ascii="Arial" w:hAnsi="Arial"/>
          <w:sz w:val="22"/>
          <w:szCs w:val="22"/>
        </w:rPr>
        <w:t>is</w:t>
      </w:r>
      <w:r w:rsidRPr="00EB13A6">
        <w:rPr>
          <w:rFonts w:ascii="Arial" w:hAnsi="Arial"/>
          <w:sz w:val="22"/>
          <w:szCs w:val="22"/>
        </w:rPr>
        <w:t xml:space="preserve"> reasonable.</w:t>
      </w:r>
    </w:p>
    <w:p w:rsidR="00BB7EC3" w:rsidRDefault="00BB7EC3" w:rsidP="00BB7EC3">
      <w:pPr>
        <w:pStyle w:val="ListParagraph"/>
        <w:ind w:left="709"/>
        <w:jc w:val="both"/>
        <w:rPr>
          <w:rFonts w:ascii="Arial" w:hAnsi="Arial"/>
          <w:sz w:val="22"/>
          <w:szCs w:val="22"/>
        </w:rPr>
      </w:pPr>
    </w:p>
    <w:p w:rsidR="00F57A6D" w:rsidRPr="00882085" w:rsidRDefault="00F57A6D" w:rsidP="00882085">
      <w:pPr>
        <w:ind w:left="720" w:hanging="720"/>
        <w:jc w:val="both"/>
        <w:rPr>
          <w:rFonts w:ascii="Arial" w:hAnsi="Arial"/>
          <w:sz w:val="22"/>
          <w:szCs w:val="22"/>
        </w:rPr>
      </w:pPr>
    </w:p>
    <w:p w:rsidR="005A3173" w:rsidRPr="002E7BBC" w:rsidRDefault="005A3173" w:rsidP="00882085">
      <w:pPr>
        <w:ind w:left="720" w:hanging="720"/>
        <w:jc w:val="both"/>
        <w:rPr>
          <w:rFonts w:ascii="Arial" w:hAnsi="Arial"/>
          <w:b/>
          <w:sz w:val="22"/>
          <w:szCs w:val="22"/>
        </w:rPr>
      </w:pPr>
      <w:r w:rsidRPr="002E7BBC">
        <w:rPr>
          <w:rFonts w:ascii="Arial" w:hAnsi="Arial"/>
          <w:b/>
          <w:sz w:val="22"/>
          <w:szCs w:val="22"/>
        </w:rPr>
        <w:t>Economic analysis</w:t>
      </w:r>
    </w:p>
    <w:p w:rsidR="005A3173" w:rsidRPr="00882085" w:rsidRDefault="005A3173" w:rsidP="00882085">
      <w:pPr>
        <w:ind w:left="720" w:hanging="720"/>
        <w:jc w:val="both"/>
        <w:rPr>
          <w:rFonts w:ascii="Arial" w:hAnsi="Arial"/>
          <w:sz w:val="22"/>
          <w:szCs w:val="22"/>
        </w:rPr>
      </w:pPr>
    </w:p>
    <w:p w:rsidR="009A740E" w:rsidRDefault="009A740E" w:rsidP="00207E11">
      <w:pPr>
        <w:pStyle w:val="ListParagraph"/>
        <w:numPr>
          <w:ilvl w:val="1"/>
          <w:numId w:val="25"/>
        </w:numPr>
        <w:ind w:left="709" w:hanging="709"/>
        <w:jc w:val="both"/>
        <w:rPr>
          <w:rFonts w:ascii="Arial" w:hAnsi="Arial"/>
          <w:sz w:val="22"/>
          <w:szCs w:val="22"/>
        </w:rPr>
      </w:pPr>
      <w:r>
        <w:rPr>
          <w:rFonts w:ascii="Arial" w:hAnsi="Arial"/>
          <w:sz w:val="22"/>
          <w:szCs w:val="22"/>
        </w:rPr>
        <w:t>The minor submission presented the following cost minimisation analysis.</w:t>
      </w:r>
    </w:p>
    <w:p w:rsidR="00196307" w:rsidRDefault="00196307" w:rsidP="009A740E">
      <w:pPr>
        <w:pStyle w:val="ListParagraph"/>
        <w:ind w:left="709"/>
        <w:jc w:val="both"/>
        <w:rPr>
          <w:rFonts w:ascii="Arial" w:hAnsi="Arial"/>
          <w:sz w:val="22"/>
          <w:szCs w:val="22"/>
        </w:rPr>
      </w:pPr>
    </w:p>
    <w:p w:rsidR="009A740E" w:rsidRPr="00757B01" w:rsidRDefault="009A740E" w:rsidP="009A740E">
      <w:pPr>
        <w:pStyle w:val="ListParagraph"/>
        <w:ind w:left="709"/>
        <w:jc w:val="both"/>
        <w:rPr>
          <w:rFonts w:ascii="Arial Narrow" w:hAnsi="Arial Narrow"/>
          <w:b/>
          <w:sz w:val="20"/>
          <w:szCs w:val="20"/>
        </w:rPr>
      </w:pPr>
      <w:r w:rsidRPr="00757B01">
        <w:rPr>
          <w:rFonts w:ascii="Arial Narrow" w:hAnsi="Arial Narrow"/>
          <w:b/>
          <w:sz w:val="20"/>
          <w:szCs w:val="20"/>
        </w:rPr>
        <w:t>Rituximab IV and SC: Cost minimisation analysis</w:t>
      </w:r>
    </w:p>
    <w:tbl>
      <w:tblPr>
        <w:tblStyle w:val="TableGrid1"/>
        <w:tblW w:w="0" w:type="auto"/>
        <w:tblInd w:w="817" w:type="dxa"/>
        <w:tblLook w:val="04A0" w:firstRow="1" w:lastRow="0" w:firstColumn="1" w:lastColumn="0" w:noHBand="0" w:noVBand="1"/>
      </w:tblPr>
      <w:tblGrid>
        <w:gridCol w:w="3402"/>
        <w:gridCol w:w="2234"/>
        <w:gridCol w:w="2727"/>
      </w:tblGrid>
      <w:tr w:rsidR="009A740E" w:rsidRPr="00757B01" w:rsidTr="00C656AA">
        <w:trPr>
          <w:cantSplit/>
          <w:trHeight w:val="316"/>
        </w:trPr>
        <w:tc>
          <w:tcPr>
            <w:tcW w:w="8363" w:type="dxa"/>
            <w:gridSpan w:val="3"/>
          </w:tcPr>
          <w:p w:rsidR="009A740E" w:rsidRPr="00757B01" w:rsidRDefault="009A740E" w:rsidP="00C656AA">
            <w:pPr>
              <w:rPr>
                <w:rFonts w:ascii="Arial Narrow" w:hAnsi="Arial Narrow" w:cs="Calibri"/>
                <w:b/>
                <w:bCs/>
                <w:sz w:val="20"/>
                <w:szCs w:val="20"/>
                <w:lang w:eastAsia="en-US"/>
              </w:rPr>
            </w:pPr>
            <w:r w:rsidRPr="00757B01">
              <w:rPr>
                <w:rFonts w:ascii="Arial Narrow" w:hAnsi="Arial Narrow" w:cs="Calibri"/>
                <w:b/>
                <w:bCs/>
                <w:sz w:val="20"/>
                <w:szCs w:val="20"/>
                <w:lang w:eastAsia="en-US"/>
              </w:rPr>
              <w:t>Rituximab ex-manufacturer price per vial</w:t>
            </w:r>
          </w:p>
        </w:tc>
      </w:tr>
      <w:tr w:rsidR="009A740E" w:rsidRPr="00757B01" w:rsidTr="00C656AA">
        <w:trPr>
          <w:cantSplit/>
          <w:trHeight w:val="331"/>
        </w:trPr>
        <w:tc>
          <w:tcPr>
            <w:tcW w:w="3402" w:type="dxa"/>
          </w:tcPr>
          <w:p w:rsidR="009A740E" w:rsidRPr="00757B01" w:rsidRDefault="009A740E" w:rsidP="00C656AA">
            <w:pPr>
              <w:rPr>
                <w:rFonts w:ascii="Arial Narrow" w:hAnsi="Arial Narrow" w:cs="Calibri"/>
                <w:bCs/>
                <w:sz w:val="20"/>
                <w:szCs w:val="20"/>
                <w:lang w:eastAsia="en-US"/>
              </w:rPr>
            </w:pPr>
            <w:r w:rsidRPr="00757B01">
              <w:rPr>
                <w:rFonts w:ascii="Arial Narrow" w:hAnsi="Arial Narrow" w:cs="Calibri"/>
                <w:bCs/>
                <w:sz w:val="20"/>
                <w:szCs w:val="20"/>
                <w:lang w:eastAsia="en-US"/>
              </w:rPr>
              <w:t>Vial size</w:t>
            </w:r>
          </w:p>
        </w:tc>
        <w:tc>
          <w:tcPr>
            <w:tcW w:w="2234" w:type="dxa"/>
          </w:tcPr>
          <w:p w:rsidR="009A740E" w:rsidRPr="00825077" w:rsidRDefault="00825077" w:rsidP="00C656AA">
            <w:pPr>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 ''''''''</w:t>
            </w:r>
          </w:p>
        </w:tc>
        <w:tc>
          <w:tcPr>
            <w:tcW w:w="2727" w:type="dxa"/>
          </w:tcPr>
          <w:p w:rsidR="009A740E" w:rsidRPr="00825077" w:rsidRDefault="00825077" w:rsidP="00C656AA">
            <w:pPr>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 '''''''</w:t>
            </w:r>
          </w:p>
        </w:tc>
      </w:tr>
      <w:tr w:rsidR="009A740E" w:rsidRPr="00757B01" w:rsidTr="00C656AA">
        <w:trPr>
          <w:cantSplit/>
          <w:trHeight w:val="316"/>
        </w:trPr>
        <w:tc>
          <w:tcPr>
            <w:tcW w:w="3402" w:type="dxa"/>
          </w:tcPr>
          <w:p w:rsidR="009A740E" w:rsidRPr="00757B01" w:rsidRDefault="009A740E" w:rsidP="00C656AA">
            <w:pPr>
              <w:rPr>
                <w:rFonts w:ascii="Arial Narrow" w:hAnsi="Arial Narrow" w:cs="Calibri"/>
                <w:bCs/>
                <w:sz w:val="20"/>
                <w:szCs w:val="20"/>
                <w:lang w:eastAsia="en-US"/>
              </w:rPr>
            </w:pPr>
            <w:r w:rsidRPr="00757B01">
              <w:rPr>
                <w:rFonts w:ascii="Arial Narrow" w:hAnsi="Arial Narrow" w:cs="Calibri"/>
                <w:bCs/>
                <w:sz w:val="20"/>
                <w:szCs w:val="20"/>
                <w:lang w:eastAsia="en-US"/>
              </w:rPr>
              <w:t>Current ex-manufacturer price</w:t>
            </w:r>
          </w:p>
        </w:tc>
        <w:tc>
          <w:tcPr>
            <w:tcW w:w="2234" w:type="dxa"/>
          </w:tcPr>
          <w:p w:rsidR="009A740E" w:rsidRPr="00825077" w:rsidRDefault="00825077" w:rsidP="00C656AA">
            <w:pPr>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2727" w:type="dxa"/>
          </w:tcPr>
          <w:p w:rsidR="009A740E" w:rsidRPr="00825077" w:rsidRDefault="00825077" w:rsidP="00C656AA">
            <w:pPr>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r>
      <w:tr w:rsidR="009A740E" w:rsidRPr="00757B01" w:rsidTr="00C656AA">
        <w:trPr>
          <w:cantSplit/>
          <w:trHeight w:val="601"/>
        </w:trPr>
        <w:tc>
          <w:tcPr>
            <w:tcW w:w="3402" w:type="dxa"/>
          </w:tcPr>
          <w:p w:rsidR="009A740E" w:rsidRPr="00757B01" w:rsidRDefault="009A740E" w:rsidP="00C656AA">
            <w:pPr>
              <w:rPr>
                <w:rFonts w:ascii="Arial Narrow" w:hAnsi="Arial Narrow" w:cs="Calibri"/>
                <w:bCs/>
                <w:sz w:val="20"/>
                <w:szCs w:val="20"/>
                <w:lang w:eastAsia="en-US"/>
              </w:rPr>
            </w:pPr>
            <w:r w:rsidRPr="00757B01">
              <w:rPr>
                <w:rFonts w:ascii="Arial Narrow" w:hAnsi="Arial Narrow" w:cs="Calibri"/>
                <w:bCs/>
                <w:sz w:val="20"/>
                <w:szCs w:val="20"/>
                <w:lang w:eastAsia="en-US"/>
              </w:rPr>
              <w:t xml:space="preserve">Rituximab IV dose </w:t>
            </w:r>
            <w:r w:rsidRPr="00086666">
              <w:rPr>
                <w:rFonts w:ascii="Arial Narrow" w:hAnsi="Arial Narrow" w:cs="Calibri"/>
                <w:bCs/>
                <w:sz w:val="20"/>
                <w:szCs w:val="20"/>
                <w:lang w:eastAsia="en-US"/>
              </w:rPr>
              <w:t>(375 mg/m2 X 1.8m2 BSA)</w:t>
            </w:r>
          </w:p>
        </w:tc>
        <w:tc>
          <w:tcPr>
            <w:tcW w:w="4961" w:type="dxa"/>
            <w:gridSpan w:val="2"/>
            <w:vAlign w:val="center"/>
          </w:tcPr>
          <w:p w:rsidR="009A740E" w:rsidRPr="00825077" w:rsidRDefault="00825077" w:rsidP="00C656AA">
            <w:pPr>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p w:rsidR="009A740E" w:rsidRPr="00825077" w:rsidRDefault="00825077" w:rsidP="00C656AA">
            <w:pPr>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 '''' ''''''''' '''''''' '''' ''' ''' ''''''''' '''''''' ''''' ''''''''''</w:t>
            </w:r>
          </w:p>
        </w:tc>
      </w:tr>
      <w:tr w:rsidR="009A740E" w:rsidRPr="00757B01" w:rsidTr="00C656AA">
        <w:trPr>
          <w:cantSplit/>
          <w:trHeight w:val="316"/>
        </w:trPr>
        <w:tc>
          <w:tcPr>
            <w:tcW w:w="3402" w:type="dxa"/>
          </w:tcPr>
          <w:p w:rsidR="009A740E" w:rsidRPr="00757B01" w:rsidRDefault="009A740E" w:rsidP="00C656AA">
            <w:pPr>
              <w:rPr>
                <w:rFonts w:ascii="Arial Narrow" w:hAnsi="Arial Narrow" w:cs="Calibri"/>
                <w:bCs/>
                <w:sz w:val="20"/>
                <w:szCs w:val="20"/>
                <w:lang w:eastAsia="en-US"/>
              </w:rPr>
            </w:pPr>
            <w:r w:rsidRPr="00757B01">
              <w:rPr>
                <w:rFonts w:ascii="Arial Narrow" w:hAnsi="Arial Narrow" w:cs="Calibri"/>
                <w:bCs/>
                <w:sz w:val="20"/>
                <w:szCs w:val="20"/>
                <w:lang w:eastAsia="en-US"/>
              </w:rPr>
              <w:t xml:space="preserve">Ex-manufacturer price for </w:t>
            </w:r>
            <w:r w:rsidRPr="00086666">
              <w:rPr>
                <w:rFonts w:ascii="Arial Narrow" w:hAnsi="Arial Narrow" w:cs="Calibri"/>
                <w:bCs/>
                <w:sz w:val="20"/>
                <w:szCs w:val="20"/>
                <w:lang w:eastAsia="en-US"/>
              </w:rPr>
              <w:t>680mg</w:t>
            </w:r>
            <w:r w:rsidRPr="00757B01">
              <w:rPr>
                <w:rFonts w:ascii="Arial Narrow" w:hAnsi="Arial Narrow" w:cs="Calibri"/>
                <w:bCs/>
                <w:sz w:val="20"/>
                <w:szCs w:val="20"/>
                <w:lang w:eastAsia="en-US"/>
              </w:rPr>
              <w:t xml:space="preserve"> IV rituximab</w:t>
            </w:r>
          </w:p>
        </w:tc>
        <w:tc>
          <w:tcPr>
            <w:tcW w:w="4961" w:type="dxa"/>
            <w:gridSpan w:val="2"/>
            <w:vAlign w:val="center"/>
          </w:tcPr>
          <w:p w:rsidR="009A740E" w:rsidRPr="00825077" w:rsidRDefault="00825077" w:rsidP="00C656AA">
            <w:pPr>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 '''' '''''''''''''''''''''' '''' '''' '''' '''''''''''''''''''</w:t>
            </w:r>
          </w:p>
        </w:tc>
      </w:tr>
      <w:tr w:rsidR="009A740E" w:rsidRPr="00757B01" w:rsidTr="00C656AA">
        <w:trPr>
          <w:cantSplit/>
          <w:trHeight w:val="331"/>
        </w:trPr>
        <w:tc>
          <w:tcPr>
            <w:tcW w:w="3402" w:type="dxa"/>
          </w:tcPr>
          <w:p w:rsidR="009A740E" w:rsidRPr="00757B01" w:rsidRDefault="009A740E" w:rsidP="00C656AA">
            <w:pPr>
              <w:rPr>
                <w:rFonts w:ascii="Arial Narrow" w:hAnsi="Arial Narrow" w:cs="Calibri"/>
                <w:bCs/>
                <w:sz w:val="20"/>
                <w:szCs w:val="20"/>
                <w:lang w:eastAsia="en-US"/>
              </w:rPr>
            </w:pPr>
            <w:r w:rsidRPr="00757B01">
              <w:rPr>
                <w:rFonts w:ascii="Arial Narrow" w:hAnsi="Arial Narrow" w:cs="Calibri"/>
                <w:bCs/>
                <w:sz w:val="20"/>
                <w:szCs w:val="20"/>
                <w:lang w:eastAsia="en-US"/>
              </w:rPr>
              <w:t>Application of relevant fees and mark-ups</w:t>
            </w:r>
          </w:p>
        </w:tc>
        <w:tc>
          <w:tcPr>
            <w:tcW w:w="2234" w:type="dxa"/>
          </w:tcPr>
          <w:p w:rsidR="009A740E" w:rsidRPr="00757B01" w:rsidRDefault="009A740E" w:rsidP="00C656AA">
            <w:pPr>
              <w:rPr>
                <w:rFonts w:ascii="Arial Narrow" w:hAnsi="Arial Narrow" w:cs="Calibri"/>
                <w:bCs/>
                <w:sz w:val="20"/>
                <w:szCs w:val="20"/>
                <w:lang w:eastAsia="en-US"/>
              </w:rPr>
            </w:pPr>
            <w:r w:rsidRPr="00757B01">
              <w:rPr>
                <w:rFonts w:ascii="Arial Narrow" w:hAnsi="Arial Narrow" w:cs="Calibri"/>
                <w:bCs/>
                <w:sz w:val="20"/>
                <w:szCs w:val="20"/>
                <w:lang w:eastAsia="en-US"/>
              </w:rPr>
              <w:t>Public hospital use</w:t>
            </w:r>
          </w:p>
        </w:tc>
        <w:tc>
          <w:tcPr>
            <w:tcW w:w="2727" w:type="dxa"/>
          </w:tcPr>
          <w:p w:rsidR="009A740E" w:rsidRPr="00757B01" w:rsidRDefault="009A740E" w:rsidP="00C656AA">
            <w:pPr>
              <w:rPr>
                <w:rFonts w:ascii="Arial Narrow" w:hAnsi="Arial Narrow" w:cs="Calibri"/>
                <w:bCs/>
                <w:sz w:val="20"/>
                <w:szCs w:val="20"/>
                <w:lang w:eastAsia="en-US"/>
              </w:rPr>
            </w:pPr>
            <w:r w:rsidRPr="00757B01">
              <w:rPr>
                <w:rFonts w:ascii="Arial Narrow" w:hAnsi="Arial Narrow" w:cs="Calibri"/>
                <w:bCs/>
                <w:sz w:val="20"/>
                <w:szCs w:val="20"/>
                <w:lang w:eastAsia="en-US"/>
              </w:rPr>
              <w:t>Private hospital use</w:t>
            </w:r>
          </w:p>
        </w:tc>
      </w:tr>
      <w:tr w:rsidR="009A740E" w:rsidRPr="00757B01" w:rsidTr="00C656AA">
        <w:trPr>
          <w:cantSplit/>
          <w:trHeight w:val="812"/>
        </w:trPr>
        <w:tc>
          <w:tcPr>
            <w:tcW w:w="3402" w:type="dxa"/>
          </w:tcPr>
          <w:p w:rsidR="009A740E" w:rsidRPr="00757B01" w:rsidRDefault="009A740E" w:rsidP="00C656AA">
            <w:pPr>
              <w:rPr>
                <w:rFonts w:ascii="Arial Narrow" w:hAnsi="Arial Narrow" w:cs="Calibri"/>
                <w:bCs/>
                <w:sz w:val="20"/>
                <w:szCs w:val="20"/>
                <w:lang w:eastAsia="en-US"/>
              </w:rPr>
            </w:pPr>
            <w:r w:rsidRPr="00757B01">
              <w:rPr>
                <w:rFonts w:ascii="Arial Narrow" w:hAnsi="Arial Narrow" w:cs="Calibri"/>
                <w:bCs/>
                <w:sz w:val="20"/>
                <w:szCs w:val="20"/>
                <w:lang w:eastAsia="en-US"/>
              </w:rPr>
              <w:t>IV rituximab price + fees &amp; mark-ups</w:t>
            </w:r>
          </w:p>
        </w:tc>
        <w:tc>
          <w:tcPr>
            <w:tcW w:w="2234" w:type="dxa"/>
          </w:tcPr>
          <w:p w:rsidR="009A740E" w:rsidRPr="00825077" w:rsidRDefault="00825077" w:rsidP="00C656AA">
            <w:pPr>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 xml:space="preserve">'''''''''''''''''''''''' </w:t>
            </w:r>
            <w:r>
              <w:rPr>
                <w:rFonts w:ascii="Arial Narrow" w:hAnsi="Arial Narrow" w:cs="Calibri"/>
                <w:bCs/>
                <w:noProof/>
                <w:color w:val="000000"/>
                <w:sz w:val="20"/>
                <w:szCs w:val="20"/>
                <w:highlight w:val="black"/>
                <w:lang w:eastAsia="en-US"/>
              </w:rPr>
              <w:br/>
              <w:t>'''' '''''''''''''''''''''' '''' '''''''''''''''''</w:t>
            </w:r>
          </w:p>
        </w:tc>
        <w:tc>
          <w:tcPr>
            <w:tcW w:w="2727" w:type="dxa"/>
          </w:tcPr>
          <w:p w:rsidR="009A740E" w:rsidRPr="00825077" w:rsidRDefault="00825077" w:rsidP="00C656AA">
            <w:pPr>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r>
              <w:rPr>
                <w:rFonts w:ascii="Arial Narrow" w:hAnsi="Arial Narrow" w:cs="Calibri"/>
                <w:bCs/>
                <w:noProof/>
                <w:color w:val="000000"/>
                <w:sz w:val="20"/>
                <w:szCs w:val="20"/>
                <w:highlight w:val="black"/>
                <w:lang w:eastAsia="en-US"/>
              </w:rPr>
              <w:br/>
              <w:t>'''' '''''''''''''''''''''' '''' ''''''''''''''''''' '''' ''''''''''''</w:t>
            </w:r>
          </w:p>
        </w:tc>
      </w:tr>
      <w:tr w:rsidR="009A740E" w:rsidRPr="00757B01" w:rsidTr="00C656AA">
        <w:trPr>
          <w:cantSplit/>
          <w:trHeight w:val="331"/>
        </w:trPr>
        <w:tc>
          <w:tcPr>
            <w:tcW w:w="3402" w:type="dxa"/>
          </w:tcPr>
          <w:p w:rsidR="009A740E" w:rsidRPr="00757B01" w:rsidRDefault="009A740E" w:rsidP="00C656AA">
            <w:pPr>
              <w:rPr>
                <w:rFonts w:ascii="Arial Narrow" w:hAnsi="Arial Narrow" w:cs="Calibri"/>
                <w:bCs/>
                <w:sz w:val="20"/>
                <w:szCs w:val="20"/>
                <w:lang w:eastAsia="en-US"/>
              </w:rPr>
            </w:pPr>
            <w:r w:rsidRPr="00757B01">
              <w:rPr>
                <w:rFonts w:ascii="Arial Narrow" w:hAnsi="Arial Narrow" w:cs="Calibri"/>
                <w:bCs/>
                <w:sz w:val="20"/>
                <w:szCs w:val="20"/>
                <w:lang w:eastAsia="en-US"/>
              </w:rPr>
              <w:t>Rituximab price for SC formulation (1400mg)</w:t>
            </w:r>
          </w:p>
        </w:tc>
        <w:tc>
          <w:tcPr>
            <w:tcW w:w="2234" w:type="dxa"/>
          </w:tcPr>
          <w:p w:rsidR="009A740E" w:rsidRPr="00825077" w:rsidRDefault="00825077" w:rsidP="00C656AA">
            <w:pPr>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2727" w:type="dxa"/>
          </w:tcPr>
          <w:p w:rsidR="009A740E" w:rsidRPr="00825077" w:rsidRDefault="00825077" w:rsidP="00C656AA">
            <w:pPr>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r>
    </w:tbl>
    <w:p w:rsidR="009A740E" w:rsidRPr="003F6341" w:rsidRDefault="009A740E" w:rsidP="009A740E">
      <w:pPr>
        <w:pStyle w:val="ListParagraph"/>
        <w:ind w:left="709"/>
        <w:jc w:val="both"/>
        <w:rPr>
          <w:rFonts w:ascii="Arial Narrow" w:hAnsi="Arial Narrow"/>
          <w:sz w:val="20"/>
          <w:szCs w:val="20"/>
        </w:rPr>
      </w:pPr>
      <w:r w:rsidRPr="003F6341">
        <w:rPr>
          <w:rFonts w:ascii="Arial Narrow" w:hAnsi="Arial Narrow"/>
          <w:sz w:val="20"/>
          <w:szCs w:val="20"/>
        </w:rPr>
        <w:t>Note: Rituximab SC CMA.xlsx</w:t>
      </w:r>
    </w:p>
    <w:p w:rsidR="009A740E" w:rsidRDefault="009A740E" w:rsidP="009A740E">
      <w:pPr>
        <w:pStyle w:val="ListParagraph"/>
        <w:ind w:left="709"/>
        <w:jc w:val="both"/>
        <w:rPr>
          <w:rFonts w:ascii="Arial Narrow" w:hAnsi="Arial Narrow"/>
          <w:sz w:val="20"/>
          <w:szCs w:val="20"/>
        </w:rPr>
      </w:pPr>
      <w:r w:rsidRPr="003F6341">
        <w:rPr>
          <w:rFonts w:ascii="Arial Narrow" w:hAnsi="Arial Narrow"/>
          <w:sz w:val="20"/>
          <w:szCs w:val="20"/>
        </w:rPr>
        <w:t>Source: page 12 of the submission</w:t>
      </w:r>
    </w:p>
    <w:p w:rsidR="00FB2F4F" w:rsidRDefault="00FB2F4F" w:rsidP="009A740E">
      <w:pPr>
        <w:pStyle w:val="ListParagraph"/>
        <w:ind w:left="709"/>
        <w:jc w:val="both"/>
        <w:rPr>
          <w:rFonts w:ascii="Arial" w:hAnsi="Arial"/>
          <w:sz w:val="22"/>
          <w:szCs w:val="22"/>
        </w:rPr>
      </w:pPr>
    </w:p>
    <w:p w:rsidR="00FB2F4F" w:rsidRDefault="00FB2F4F" w:rsidP="00207E11">
      <w:pPr>
        <w:pStyle w:val="ListParagraph"/>
        <w:numPr>
          <w:ilvl w:val="1"/>
          <w:numId w:val="25"/>
        </w:numPr>
        <w:ind w:left="709" w:hanging="709"/>
        <w:jc w:val="both"/>
        <w:rPr>
          <w:rFonts w:ascii="Arial" w:hAnsi="Arial"/>
          <w:sz w:val="22"/>
          <w:szCs w:val="22"/>
        </w:rPr>
      </w:pPr>
      <w:r>
        <w:rPr>
          <w:rFonts w:ascii="Arial" w:hAnsi="Arial"/>
          <w:sz w:val="22"/>
          <w:szCs w:val="22"/>
        </w:rPr>
        <w:t>The calculations are based on:</w:t>
      </w:r>
    </w:p>
    <w:p w:rsidR="00FB2F4F" w:rsidRDefault="00FB2F4F" w:rsidP="00FB2F4F">
      <w:pPr>
        <w:pStyle w:val="ListParagraph"/>
        <w:numPr>
          <w:ilvl w:val="0"/>
          <w:numId w:val="40"/>
        </w:numPr>
        <w:jc w:val="both"/>
        <w:rPr>
          <w:rFonts w:ascii="Arial" w:hAnsi="Arial"/>
          <w:sz w:val="22"/>
          <w:szCs w:val="22"/>
        </w:rPr>
      </w:pPr>
      <w:r>
        <w:rPr>
          <w:rFonts w:ascii="Arial" w:hAnsi="Arial"/>
          <w:sz w:val="22"/>
          <w:szCs w:val="22"/>
        </w:rPr>
        <w:t xml:space="preserve">Current </w:t>
      </w:r>
      <w:r w:rsidRPr="00593B10">
        <w:rPr>
          <w:rFonts w:ascii="Arial" w:hAnsi="Arial"/>
          <w:sz w:val="22"/>
          <w:szCs w:val="22"/>
        </w:rPr>
        <w:t>PBS prices for IV rituximab vials (100mg and 500mg)</w:t>
      </w:r>
      <w:r>
        <w:rPr>
          <w:rFonts w:ascii="Arial" w:hAnsi="Arial"/>
          <w:sz w:val="22"/>
          <w:szCs w:val="22"/>
        </w:rPr>
        <w:t>;</w:t>
      </w:r>
    </w:p>
    <w:p w:rsidR="00FB2F4F" w:rsidRDefault="00FB2F4F" w:rsidP="00FB2F4F">
      <w:pPr>
        <w:pStyle w:val="ListParagraph"/>
        <w:numPr>
          <w:ilvl w:val="0"/>
          <w:numId w:val="40"/>
        </w:numPr>
        <w:jc w:val="both"/>
        <w:rPr>
          <w:rFonts w:ascii="Arial" w:hAnsi="Arial"/>
          <w:sz w:val="22"/>
          <w:szCs w:val="22"/>
        </w:rPr>
      </w:pPr>
      <w:r>
        <w:rPr>
          <w:rFonts w:ascii="Arial" w:hAnsi="Arial"/>
          <w:sz w:val="22"/>
          <w:szCs w:val="22"/>
        </w:rPr>
        <w:t>T</w:t>
      </w:r>
      <w:r w:rsidRPr="00593B10">
        <w:rPr>
          <w:rFonts w:ascii="Arial" w:hAnsi="Arial"/>
          <w:sz w:val="22"/>
          <w:szCs w:val="22"/>
        </w:rPr>
        <w:t xml:space="preserve">he mean </w:t>
      </w:r>
      <w:r>
        <w:rPr>
          <w:rFonts w:ascii="Arial" w:hAnsi="Arial"/>
          <w:sz w:val="22"/>
          <w:szCs w:val="22"/>
        </w:rPr>
        <w:t xml:space="preserve">1.8 </w:t>
      </w:r>
      <w:r w:rsidRPr="005D4F69">
        <w:rPr>
          <w:rFonts w:ascii="Arial" w:hAnsi="Arial"/>
          <w:sz w:val="22"/>
          <w:szCs w:val="22"/>
        </w:rPr>
        <w:t>m</w:t>
      </w:r>
      <w:r w:rsidRPr="005D4F69">
        <w:rPr>
          <w:rFonts w:ascii="Arial" w:hAnsi="Arial"/>
          <w:sz w:val="22"/>
          <w:szCs w:val="22"/>
          <w:vertAlign w:val="superscript"/>
        </w:rPr>
        <w:t>2</w:t>
      </w:r>
      <w:r>
        <w:rPr>
          <w:rFonts w:ascii="Arial" w:hAnsi="Arial"/>
          <w:sz w:val="22"/>
          <w:szCs w:val="22"/>
        </w:rPr>
        <w:t xml:space="preserve"> body surface area (BSA) derived from a projected sample of 3,604 Australian patients who were treated for NHL </w:t>
      </w:r>
      <w:r w:rsidRPr="003F6341">
        <w:rPr>
          <w:rFonts w:ascii="Arial" w:hAnsi="Arial"/>
          <w:sz w:val="22"/>
          <w:szCs w:val="22"/>
        </w:rPr>
        <w:t>from the Tandem Cancer Audit Program</w:t>
      </w:r>
      <w:r>
        <w:rPr>
          <w:rFonts w:ascii="Arial" w:hAnsi="Arial"/>
          <w:sz w:val="22"/>
          <w:szCs w:val="22"/>
        </w:rPr>
        <w:t>;</w:t>
      </w:r>
    </w:p>
    <w:p w:rsidR="00FB2F4F" w:rsidRPr="005D4F69" w:rsidRDefault="00FB2F4F" w:rsidP="00FB2F4F">
      <w:pPr>
        <w:pStyle w:val="ListParagraph"/>
        <w:numPr>
          <w:ilvl w:val="0"/>
          <w:numId w:val="40"/>
        </w:numPr>
        <w:jc w:val="both"/>
        <w:rPr>
          <w:rFonts w:ascii="Arial" w:hAnsi="Arial"/>
          <w:sz w:val="22"/>
          <w:szCs w:val="22"/>
        </w:rPr>
      </w:pPr>
      <w:r w:rsidRPr="005D4F69">
        <w:rPr>
          <w:rFonts w:ascii="Arial" w:hAnsi="Arial"/>
          <w:sz w:val="22"/>
          <w:szCs w:val="22"/>
        </w:rPr>
        <w:t>Dose equivalency between rituximab SC 1,400 mg and rituximab IV 375 mg/m</w:t>
      </w:r>
      <w:r w:rsidRPr="005D4F69">
        <w:rPr>
          <w:rFonts w:ascii="Arial" w:hAnsi="Arial"/>
          <w:sz w:val="22"/>
          <w:szCs w:val="22"/>
          <w:vertAlign w:val="superscript"/>
        </w:rPr>
        <w:t>2</w:t>
      </w:r>
      <w:r>
        <w:rPr>
          <w:rFonts w:ascii="Arial" w:hAnsi="Arial"/>
          <w:sz w:val="22"/>
          <w:szCs w:val="22"/>
          <w:vertAlign w:val="superscript"/>
        </w:rPr>
        <w:t>;</w:t>
      </w:r>
    </w:p>
    <w:p w:rsidR="009A740E" w:rsidRDefault="00FB2F4F" w:rsidP="00FB2F4F">
      <w:pPr>
        <w:pStyle w:val="ListParagraph"/>
        <w:numPr>
          <w:ilvl w:val="0"/>
          <w:numId w:val="40"/>
        </w:numPr>
        <w:jc w:val="both"/>
        <w:rPr>
          <w:rFonts w:ascii="Arial" w:hAnsi="Arial"/>
          <w:sz w:val="22"/>
          <w:szCs w:val="22"/>
        </w:rPr>
      </w:pPr>
      <w:r w:rsidRPr="005D4F69">
        <w:rPr>
          <w:rFonts w:ascii="Arial" w:hAnsi="Arial"/>
          <w:sz w:val="22"/>
          <w:szCs w:val="22"/>
        </w:rPr>
        <w:t>Application of the appropriate public and private hospital fees and mark-ups as per the efficient funding of chemotherapy drugs requirements</w:t>
      </w:r>
      <w:r>
        <w:rPr>
          <w:rFonts w:ascii="Arial" w:hAnsi="Arial"/>
          <w:sz w:val="22"/>
          <w:szCs w:val="22"/>
        </w:rPr>
        <w:t>.</w:t>
      </w:r>
    </w:p>
    <w:p w:rsidR="00BB7EC3" w:rsidRDefault="00BB7EC3" w:rsidP="00BB7EC3">
      <w:pPr>
        <w:pStyle w:val="ListParagraph"/>
        <w:ind w:left="709"/>
        <w:jc w:val="both"/>
        <w:rPr>
          <w:rFonts w:ascii="Arial" w:hAnsi="Arial"/>
          <w:sz w:val="22"/>
          <w:szCs w:val="22"/>
        </w:rPr>
      </w:pPr>
    </w:p>
    <w:p w:rsidR="00BB7EC3" w:rsidRPr="002F7EA4" w:rsidRDefault="00FB2F4F" w:rsidP="00207E11">
      <w:pPr>
        <w:pStyle w:val="ListParagraph"/>
        <w:numPr>
          <w:ilvl w:val="1"/>
          <w:numId w:val="25"/>
        </w:numPr>
        <w:ind w:left="709" w:hanging="709"/>
        <w:jc w:val="both"/>
        <w:rPr>
          <w:rFonts w:ascii="Arial" w:hAnsi="Arial"/>
          <w:sz w:val="22"/>
          <w:szCs w:val="22"/>
        </w:rPr>
      </w:pPr>
      <w:r w:rsidRPr="002F7EA4">
        <w:rPr>
          <w:rFonts w:ascii="Arial" w:hAnsi="Arial"/>
          <w:sz w:val="22"/>
          <w:szCs w:val="22"/>
        </w:rPr>
        <w:t>The</w:t>
      </w:r>
      <w:r w:rsidRPr="002F7EA4">
        <w:rPr>
          <w:rFonts w:ascii="Arial" w:hAnsi="Arial"/>
          <w:color w:val="FF0000"/>
          <w:sz w:val="22"/>
          <w:szCs w:val="22"/>
        </w:rPr>
        <w:t xml:space="preserve"> </w:t>
      </w:r>
      <w:r w:rsidRPr="002F7EA4">
        <w:rPr>
          <w:rFonts w:ascii="Arial" w:hAnsi="Arial"/>
          <w:sz w:val="22"/>
          <w:szCs w:val="22"/>
        </w:rPr>
        <w:t xml:space="preserve">PBAC noted that a </w:t>
      </w:r>
      <w:r w:rsidR="00825077">
        <w:rPr>
          <w:rFonts w:ascii="Arial" w:hAnsi="Arial"/>
          <w:noProof/>
          <w:color w:val="000000"/>
          <w:sz w:val="22"/>
          <w:szCs w:val="22"/>
          <w:highlight w:val="black"/>
        </w:rPr>
        <w:t>''''''''''''</w:t>
      </w:r>
      <w:r w:rsidRPr="002F7EA4">
        <w:rPr>
          <w:rFonts w:ascii="Arial" w:hAnsi="Arial"/>
          <w:sz w:val="22"/>
          <w:szCs w:val="22"/>
        </w:rPr>
        <w:t xml:space="preserve"> lower price of rituximab IV being effective on 1 December 2014 will </w:t>
      </w:r>
      <w:r w:rsidR="00D7275D" w:rsidRPr="002F7EA4">
        <w:rPr>
          <w:rFonts w:ascii="Arial" w:hAnsi="Arial"/>
          <w:sz w:val="22"/>
          <w:szCs w:val="22"/>
        </w:rPr>
        <w:t>impact</w:t>
      </w:r>
      <w:r w:rsidRPr="002F7EA4">
        <w:rPr>
          <w:rFonts w:ascii="Arial" w:hAnsi="Arial"/>
          <w:sz w:val="22"/>
          <w:szCs w:val="22"/>
        </w:rPr>
        <w:t xml:space="preserve"> the cost minimisation calculations.</w:t>
      </w:r>
      <w:r w:rsidR="00EB13A6" w:rsidRPr="002F7EA4">
        <w:rPr>
          <w:rFonts w:ascii="Arial" w:hAnsi="Arial"/>
          <w:sz w:val="22"/>
          <w:szCs w:val="22"/>
        </w:rPr>
        <w:t xml:space="preserve"> </w:t>
      </w:r>
    </w:p>
    <w:p w:rsidR="002F7EA4" w:rsidRDefault="002F7EA4" w:rsidP="00BB7EC3">
      <w:pPr>
        <w:pStyle w:val="ListParagraph"/>
        <w:ind w:left="709"/>
        <w:jc w:val="both"/>
        <w:rPr>
          <w:rFonts w:ascii="Arial" w:hAnsi="Arial"/>
          <w:i/>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5A3173" w:rsidRPr="002E7BBC" w:rsidRDefault="005A3173" w:rsidP="00882085">
      <w:pPr>
        <w:ind w:left="720" w:hanging="720"/>
        <w:jc w:val="both"/>
        <w:rPr>
          <w:rFonts w:ascii="Arial" w:hAnsi="Arial"/>
          <w:b/>
          <w:sz w:val="22"/>
          <w:szCs w:val="22"/>
        </w:rPr>
      </w:pPr>
      <w:r w:rsidRPr="002E7BBC">
        <w:rPr>
          <w:rFonts w:ascii="Arial" w:hAnsi="Arial"/>
          <w:b/>
          <w:sz w:val="22"/>
          <w:szCs w:val="22"/>
        </w:rPr>
        <w:lastRenderedPageBreak/>
        <w:t>Estimated PBS usage &amp; financial implications</w:t>
      </w:r>
    </w:p>
    <w:p w:rsidR="005A3173" w:rsidRPr="00882085" w:rsidRDefault="005A3173" w:rsidP="00882085">
      <w:pPr>
        <w:ind w:left="720" w:hanging="720"/>
        <w:jc w:val="both"/>
        <w:rPr>
          <w:rFonts w:ascii="Arial" w:hAnsi="Arial"/>
          <w:b/>
          <w:i/>
          <w:sz w:val="22"/>
          <w:szCs w:val="22"/>
        </w:rPr>
      </w:pPr>
    </w:p>
    <w:p w:rsidR="008B5F81" w:rsidRDefault="008B5F81" w:rsidP="00207E11">
      <w:pPr>
        <w:pStyle w:val="ListParagraph"/>
        <w:numPr>
          <w:ilvl w:val="1"/>
          <w:numId w:val="25"/>
        </w:numPr>
        <w:ind w:left="709" w:hanging="709"/>
        <w:jc w:val="both"/>
        <w:rPr>
          <w:rFonts w:ascii="Arial" w:hAnsi="Arial"/>
          <w:sz w:val="22"/>
          <w:szCs w:val="22"/>
        </w:rPr>
      </w:pPr>
      <w:r w:rsidRPr="00C00DA7">
        <w:rPr>
          <w:rFonts w:ascii="Arial" w:hAnsi="Arial"/>
          <w:sz w:val="22"/>
          <w:szCs w:val="22"/>
        </w:rPr>
        <w:t xml:space="preserve">The minor </w:t>
      </w:r>
      <w:r>
        <w:rPr>
          <w:rFonts w:ascii="Arial" w:hAnsi="Arial"/>
          <w:sz w:val="22"/>
          <w:szCs w:val="22"/>
        </w:rPr>
        <w:t xml:space="preserve">submission estimates a net </w:t>
      </w:r>
      <w:r w:rsidRPr="00C00DA7">
        <w:rPr>
          <w:rFonts w:ascii="Arial" w:hAnsi="Arial"/>
          <w:sz w:val="22"/>
          <w:szCs w:val="22"/>
        </w:rPr>
        <w:t>sav</w:t>
      </w:r>
      <w:r>
        <w:rPr>
          <w:rFonts w:ascii="Arial" w:hAnsi="Arial"/>
          <w:sz w:val="22"/>
          <w:szCs w:val="22"/>
        </w:rPr>
        <w:t>ing</w:t>
      </w:r>
      <w:r w:rsidRPr="00C00DA7">
        <w:rPr>
          <w:rFonts w:ascii="Arial" w:hAnsi="Arial"/>
          <w:sz w:val="22"/>
          <w:szCs w:val="22"/>
        </w:rPr>
        <w:t xml:space="preserve"> to the PBS</w:t>
      </w:r>
      <w:r>
        <w:rPr>
          <w:rFonts w:ascii="Arial" w:hAnsi="Arial"/>
          <w:sz w:val="22"/>
          <w:szCs w:val="22"/>
        </w:rPr>
        <w:t xml:space="preserve"> and MBS, </w:t>
      </w:r>
      <w:r w:rsidRPr="003F6341">
        <w:rPr>
          <w:rFonts w:ascii="Arial" w:hAnsi="Arial"/>
          <w:sz w:val="22"/>
          <w:szCs w:val="22"/>
        </w:rPr>
        <w:t>due to the collection of two patient co-payments for the treatment regimen of IV rituximab followed by SC rituximab and no MBS item code available for the administration of rituximab SC.</w:t>
      </w:r>
      <w:r>
        <w:rPr>
          <w:rFonts w:ascii="Arial" w:hAnsi="Arial"/>
          <w:sz w:val="22"/>
          <w:szCs w:val="22"/>
        </w:rPr>
        <w:t xml:space="preserve"> </w:t>
      </w:r>
      <w:r w:rsidRPr="00C00DA7">
        <w:rPr>
          <w:rFonts w:ascii="Arial" w:hAnsi="Arial"/>
          <w:sz w:val="22"/>
          <w:szCs w:val="22"/>
        </w:rPr>
        <w:t>This is summarised in the table below</w:t>
      </w:r>
      <w:r w:rsidR="00F57A6D" w:rsidRPr="00882085">
        <w:rPr>
          <w:rFonts w:ascii="Arial" w:hAnsi="Arial"/>
          <w:sz w:val="22"/>
          <w:szCs w:val="22"/>
        </w:rPr>
        <w:t xml:space="preserve">. </w:t>
      </w:r>
    </w:p>
    <w:p w:rsidR="0066374D" w:rsidRDefault="00F57A6D" w:rsidP="008B5F81">
      <w:pPr>
        <w:pStyle w:val="ListParagraph"/>
        <w:ind w:left="709"/>
        <w:jc w:val="both"/>
        <w:rPr>
          <w:rFonts w:ascii="Arial" w:hAnsi="Arial"/>
          <w:sz w:val="22"/>
          <w:szCs w:val="22"/>
        </w:rPr>
      </w:pPr>
      <w:r w:rsidRPr="00882085">
        <w:rPr>
          <w:rFonts w:ascii="Arial" w:hAnsi="Arial"/>
          <w:sz w:val="22"/>
          <w:szCs w:val="22"/>
        </w:rPr>
        <w:t xml:space="preserve"> </w:t>
      </w:r>
    </w:p>
    <w:p w:rsidR="008B5F81" w:rsidRDefault="008B5F81" w:rsidP="008B5F81">
      <w:pPr>
        <w:pStyle w:val="ListParagraph"/>
        <w:ind w:left="709"/>
        <w:jc w:val="both"/>
        <w:rPr>
          <w:rFonts w:ascii="Arial" w:hAnsi="Arial"/>
          <w:sz w:val="22"/>
          <w:szCs w:val="22"/>
        </w:rPr>
      </w:pPr>
    </w:p>
    <w:p w:rsidR="008B5F81" w:rsidRPr="003F6341" w:rsidRDefault="00B43E90" w:rsidP="008B5F81">
      <w:pPr>
        <w:pStyle w:val="ListParagraph"/>
        <w:ind w:left="709"/>
        <w:jc w:val="both"/>
        <w:rPr>
          <w:rFonts w:ascii="Arial Narrow" w:hAnsi="Arial Narrow"/>
          <w:b/>
          <w:sz w:val="20"/>
          <w:szCs w:val="20"/>
        </w:rPr>
      </w:pPr>
      <w:r w:rsidRPr="00882085">
        <w:rPr>
          <w:rFonts w:ascii="Arial" w:hAnsi="Arial"/>
          <w:sz w:val="22"/>
          <w:szCs w:val="22"/>
        </w:rPr>
        <w:t xml:space="preserve">  </w:t>
      </w:r>
      <w:r w:rsidR="008B5F81" w:rsidRPr="003F6341">
        <w:rPr>
          <w:rFonts w:ascii="Arial Narrow" w:hAnsi="Arial Narrow"/>
          <w:b/>
          <w:sz w:val="20"/>
          <w:szCs w:val="20"/>
        </w:rPr>
        <w:t>Overall net cost (savings) to Commonwealth Government Health budget of listing rituximab SC</w:t>
      </w:r>
    </w:p>
    <w:tbl>
      <w:tblPr>
        <w:tblW w:w="8505" w:type="dxa"/>
        <w:tblInd w:w="817" w:type="dxa"/>
        <w:tblBorders>
          <w:top w:val="single" w:sz="4" w:space="0" w:color="3C3C3C"/>
          <w:left w:val="single" w:sz="4" w:space="0" w:color="3C3C3C"/>
          <w:bottom w:val="single" w:sz="4" w:space="0" w:color="3C3C3C"/>
          <w:right w:val="single" w:sz="4" w:space="0" w:color="3C3C3C"/>
          <w:insideH w:val="single" w:sz="4" w:space="0" w:color="3C3C3C"/>
          <w:insideV w:val="single" w:sz="4" w:space="0" w:color="3C3C3C"/>
        </w:tblBorders>
        <w:tblLayout w:type="fixed"/>
        <w:tblLook w:val="04A0" w:firstRow="1" w:lastRow="0" w:firstColumn="1" w:lastColumn="0" w:noHBand="0" w:noVBand="1"/>
      </w:tblPr>
      <w:tblGrid>
        <w:gridCol w:w="1843"/>
        <w:gridCol w:w="1110"/>
        <w:gridCol w:w="1110"/>
        <w:gridCol w:w="1111"/>
        <w:gridCol w:w="1110"/>
        <w:gridCol w:w="1110"/>
        <w:gridCol w:w="1111"/>
      </w:tblGrid>
      <w:tr w:rsidR="008B5F81" w:rsidRPr="003F6341" w:rsidTr="00C656AA">
        <w:trPr>
          <w:trHeight w:val="285"/>
        </w:trPr>
        <w:tc>
          <w:tcPr>
            <w:tcW w:w="1843" w:type="dxa"/>
            <w:shd w:val="clear" w:color="auto" w:fill="auto"/>
            <w:noWrap/>
            <w:vAlign w:val="bottom"/>
            <w:hideMark/>
          </w:tcPr>
          <w:p w:rsidR="008B5F81" w:rsidRPr="003F6341" w:rsidRDefault="008B5F81" w:rsidP="00C656AA">
            <w:pPr>
              <w:rPr>
                <w:rFonts w:ascii="Arial Narrow" w:hAnsi="Arial Narrow" w:cs="Calibri"/>
                <w:b/>
                <w:bCs/>
                <w:sz w:val="20"/>
                <w:szCs w:val="20"/>
                <w:lang w:eastAsia="en-US"/>
              </w:rPr>
            </w:pPr>
            <w:r w:rsidRPr="003F6341">
              <w:rPr>
                <w:rFonts w:ascii="Arial Narrow" w:hAnsi="Arial Narrow" w:cs="Calibri"/>
                <w:b/>
                <w:bCs/>
                <w:sz w:val="20"/>
                <w:szCs w:val="20"/>
                <w:lang w:eastAsia="en-US"/>
              </w:rPr>
              <w:t> </w:t>
            </w:r>
          </w:p>
        </w:tc>
        <w:tc>
          <w:tcPr>
            <w:tcW w:w="1110" w:type="dxa"/>
            <w:shd w:val="clear" w:color="auto" w:fill="auto"/>
            <w:vAlign w:val="bottom"/>
            <w:hideMark/>
          </w:tcPr>
          <w:p w:rsidR="008B5F81" w:rsidRPr="003F6341" w:rsidRDefault="008B5F81" w:rsidP="00C656AA">
            <w:pPr>
              <w:jc w:val="center"/>
              <w:rPr>
                <w:rFonts w:ascii="Arial Narrow" w:hAnsi="Arial Narrow" w:cs="Calibri"/>
                <w:b/>
                <w:bCs/>
                <w:sz w:val="20"/>
                <w:szCs w:val="20"/>
                <w:lang w:eastAsia="en-US"/>
              </w:rPr>
            </w:pPr>
            <w:r w:rsidRPr="003F6341">
              <w:rPr>
                <w:rFonts w:ascii="Arial Narrow" w:hAnsi="Arial Narrow" w:cs="Calibri"/>
                <w:b/>
                <w:bCs/>
                <w:sz w:val="20"/>
                <w:szCs w:val="20"/>
                <w:lang w:eastAsia="en-US"/>
              </w:rPr>
              <w:t>Year 1</w:t>
            </w:r>
          </w:p>
        </w:tc>
        <w:tc>
          <w:tcPr>
            <w:tcW w:w="1110" w:type="dxa"/>
            <w:shd w:val="clear" w:color="auto" w:fill="auto"/>
            <w:vAlign w:val="bottom"/>
            <w:hideMark/>
          </w:tcPr>
          <w:p w:rsidR="008B5F81" w:rsidRPr="003F6341" w:rsidRDefault="008B5F81" w:rsidP="00C656AA">
            <w:pPr>
              <w:jc w:val="center"/>
              <w:rPr>
                <w:rFonts w:ascii="Arial Narrow" w:hAnsi="Arial Narrow" w:cs="Calibri"/>
                <w:b/>
                <w:bCs/>
                <w:sz w:val="20"/>
                <w:szCs w:val="20"/>
                <w:lang w:eastAsia="en-US"/>
              </w:rPr>
            </w:pPr>
            <w:r w:rsidRPr="003F6341">
              <w:rPr>
                <w:rFonts w:ascii="Arial Narrow" w:hAnsi="Arial Narrow" w:cs="Calibri"/>
                <w:b/>
                <w:bCs/>
                <w:sz w:val="20"/>
                <w:szCs w:val="20"/>
                <w:lang w:eastAsia="en-US"/>
              </w:rPr>
              <w:t>Year 2</w:t>
            </w:r>
          </w:p>
        </w:tc>
        <w:tc>
          <w:tcPr>
            <w:tcW w:w="1111" w:type="dxa"/>
            <w:shd w:val="clear" w:color="auto" w:fill="auto"/>
            <w:vAlign w:val="bottom"/>
            <w:hideMark/>
          </w:tcPr>
          <w:p w:rsidR="008B5F81" w:rsidRPr="003F6341" w:rsidRDefault="008B5F81" w:rsidP="00C656AA">
            <w:pPr>
              <w:jc w:val="center"/>
              <w:rPr>
                <w:rFonts w:ascii="Arial Narrow" w:hAnsi="Arial Narrow" w:cs="Calibri"/>
                <w:b/>
                <w:bCs/>
                <w:sz w:val="20"/>
                <w:szCs w:val="20"/>
                <w:lang w:eastAsia="en-US"/>
              </w:rPr>
            </w:pPr>
            <w:r w:rsidRPr="003F6341">
              <w:rPr>
                <w:rFonts w:ascii="Arial Narrow" w:hAnsi="Arial Narrow" w:cs="Calibri"/>
                <w:b/>
                <w:bCs/>
                <w:sz w:val="20"/>
                <w:szCs w:val="20"/>
                <w:lang w:eastAsia="en-US"/>
              </w:rPr>
              <w:t>Year 3</w:t>
            </w:r>
          </w:p>
        </w:tc>
        <w:tc>
          <w:tcPr>
            <w:tcW w:w="1110" w:type="dxa"/>
            <w:shd w:val="clear" w:color="auto" w:fill="auto"/>
            <w:vAlign w:val="bottom"/>
            <w:hideMark/>
          </w:tcPr>
          <w:p w:rsidR="008B5F81" w:rsidRPr="003F6341" w:rsidRDefault="008B5F81" w:rsidP="00C656AA">
            <w:pPr>
              <w:jc w:val="center"/>
              <w:rPr>
                <w:rFonts w:ascii="Arial Narrow" w:hAnsi="Arial Narrow" w:cs="Calibri"/>
                <w:b/>
                <w:bCs/>
                <w:sz w:val="20"/>
                <w:szCs w:val="20"/>
                <w:lang w:eastAsia="en-US"/>
              </w:rPr>
            </w:pPr>
            <w:r w:rsidRPr="003F6341">
              <w:rPr>
                <w:rFonts w:ascii="Arial Narrow" w:hAnsi="Arial Narrow" w:cs="Calibri"/>
                <w:b/>
                <w:bCs/>
                <w:sz w:val="20"/>
                <w:szCs w:val="20"/>
                <w:lang w:eastAsia="en-US"/>
              </w:rPr>
              <w:t>Year 4</w:t>
            </w:r>
          </w:p>
        </w:tc>
        <w:tc>
          <w:tcPr>
            <w:tcW w:w="1110" w:type="dxa"/>
            <w:shd w:val="clear" w:color="auto" w:fill="auto"/>
            <w:vAlign w:val="bottom"/>
            <w:hideMark/>
          </w:tcPr>
          <w:p w:rsidR="008B5F81" w:rsidRPr="003F6341" w:rsidRDefault="008B5F81" w:rsidP="00C656AA">
            <w:pPr>
              <w:jc w:val="center"/>
              <w:rPr>
                <w:rFonts w:ascii="Arial Narrow" w:hAnsi="Arial Narrow" w:cs="Calibri"/>
                <w:b/>
                <w:bCs/>
                <w:sz w:val="20"/>
                <w:szCs w:val="20"/>
                <w:lang w:eastAsia="en-US"/>
              </w:rPr>
            </w:pPr>
            <w:r w:rsidRPr="003F6341">
              <w:rPr>
                <w:rFonts w:ascii="Arial Narrow" w:hAnsi="Arial Narrow" w:cs="Calibri"/>
                <w:b/>
                <w:bCs/>
                <w:sz w:val="20"/>
                <w:szCs w:val="20"/>
                <w:lang w:eastAsia="en-US"/>
              </w:rPr>
              <w:t>Year 5</w:t>
            </w:r>
          </w:p>
        </w:tc>
        <w:tc>
          <w:tcPr>
            <w:tcW w:w="1111" w:type="dxa"/>
            <w:shd w:val="clear" w:color="auto" w:fill="auto"/>
            <w:vAlign w:val="bottom"/>
            <w:hideMark/>
          </w:tcPr>
          <w:p w:rsidR="008B5F81" w:rsidRPr="003F6341" w:rsidRDefault="008B5F81" w:rsidP="00C656AA">
            <w:pPr>
              <w:jc w:val="center"/>
              <w:rPr>
                <w:rFonts w:ascii="Arial Narrow" w:hAnsi="Arial Narrow" w:cs="Calibri"/>
                <w:b/>
                <w:bCs/>
                <w:sz w:val="20"/>
                <w:szCs w:val="20"/>
                <w:lang w:eastAsia="en-US"/>
              </w:rPr>
            </w:pPr>
            <w:r w:rsidRPr="003F6341">
              <w:rPr>
                <w:rFonts w:ascii="Arial Narrow" w:hAnsi="Arial Narrow" w:cs="Calibri"/>
                <w:b/>
                <w:bCs/>
                <w:sz w:val="20"/>
                <w:szCs w:val="20"/>
                <w:lang w:eastAsia="en-US"/>
              </w:rPr>
              <w:t>Year 6</w:t>
            </w:r>
          </w:p>
        </w:tc>
      </w:tr>
      <w:tr w:rsidR="008B5F81" w:rsidRPr="003F6341" w:rsidTr="00C656AA">
        <w:trPr>
          <w:trHeight w:val="331"/>
        </w:trPr>
        <w:tc>
          <w:tcPr>
            <w:tcW w:w="1843" w:type="dxa"/>
            <w:shd w:val="clear" w:color="auto" w:fill="auto"/>
            <w:vAlign w:val="bottom"/>
            <w:hideMark/>
          </w:tcPr>
          <w:p w:rsidR="008B5F81" w:rsidRPr="003F6341" w:rsidRDefault="008B5F81" w:rsidP="00C656AA">
            <w:pPr>
              <w:rPr>
                <w:rFonts w:ascii="Arial Narrow" w:hAnsi="Arial Narrow" w:cs="Calibri"/>
                <w:bCs/>
                <w:sz w:val="20"/>
                <w:szCs w:val="20"/>
                <w:lang w:eastAsia="en-US"/>
              </w:rPr>
            </w:pPr>
            <w:r w:rsidRPr="003F6341">
              <w:rPr>
                <w:rFonts w:ascii="Arial Narrow" w:hAnsi="Arial Narrow" w:cs="Calibri"/>
                <w:bCs/>
                <w:sz w:val="20"/>
                <w:szCs w:val="20"/>
                <w:lang w:eastAsia="en-US"/>
              </w:rPr>
              <w:t xml:space="preserve">Overall net </w:t>
            </w:r>
            <w:r>
              <w:rPr>
                <w:rFonts w:ascii="Arial Narrow" w:hAnsi="Arial Narrow" w:cs="Calibri"/>
                <w:bCs/>
                <w:sz w:val="20"/>
                <w:szCs w:val="20"/>
                <w:lang w:eastAsia="en-US"/>
              </w:rPr>
              <w:t>saving</w:t>
            </w:r>
            <w:r w:rsidRPr="003F6341">
              <w:rPr>
                <w:rFonts w:ascii="Arial Narrow" w:hAnsi="Arial Narrow" w:cs="Calibri"/>
                <w:bCs/>
                <w:sz w:val="20"/>
                <w:szCs w:val="20"/>
                <w:lang w:eastAsia="en-US"/>
              </w:rPr>
              <w:t xml:space="preserve"> to the PBS </w:t>
            </w:r>
          </w:p>
        </w:tc>
        <w:tc>
          <w:tcPr>
            <w:tcW w:w="1110"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1110"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1111"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1110"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1110"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1111"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r>
      <w:tr w:rsidR="008B5F81" w:rsidRPr="003F6341" w:rsidTr="00C656AA">
        <w:trPr>
          <w:trHeight w:val="285"/>
        </w:trPr>
        <w:tc>
          <w:tcPr>
            <w:tcW w:w="1843" w:type="dxa"/>
            <w:shd w:val="clear" w:color="auto" w:fill="auto"/>
            <w:vAlign w:val="bottom"/>
            <w:hideMark/>
          </w:tcPr>
          <w:p w:rsidR="008B5F81" w:rsidRPr="003F6341" w:rsidRDefault="008B5F81" w:rsidP="00C656AA">
            <w:pPr>
              <w:rPr>
                <w:rFonts w:ascii="Arial Narrow" w:hAnsi="Arial Narrow" w:cs="Calibri"/>
                <w:bCs/>
                <w:sz w:val="20"/>
                <w:szCs w:val="20"/>
                <w:lang w:eastAsia="en-US"/>
              </w:rPr>
            </w:pPr>
            <w:r w:rsidRPr="003F6341">
              <w:rPr>
                <w:rFonts w:ascii="Arial Narrow" w:hAnsi="Arial Narrow" w:cs="Calibri"/>
                <w:bCs/>
                <w:sz w:val="20"/>
                <w:szCs w:val="20"/>
                <w:lang w:eastAsia="en-US"/>
              </w:rPr>
              <w:t xml:space="preserve">Overall net </w:t>
            </w:r>
            <w:r>
              <w:rPr>
                <w:rFonts w:ascii="Arial Narrow" w:hAnsi="Arial Narrow" w:cs="Calibri"/>
                <w:bCs/>
                <w:sz w:val="20"/>
                <w:szCs w:val="20"/>
                <w:lang w:eastAsia="en-US"/>
              </w:rPr>
              <w:t>saving</w:t>
            </w:r>
            <w:r w:rsidRPr="003F6341">
              <w:rPr>
                <w:rFonts w:ascii="Arial Narrow" w:hAnsi="Arial Narrow" w:cs="Calibri"/>
                <w:bCs/>
                <w:sz w:val="20"/>
                <w:szCs w:val="20"/>
                <w:lang w:eastAsia="en-US"/>
              </w:rPr>
              <w:t xml:space="preserve"> to the RPBS </w:t>
            </w:r>
          </w:p>
        </w:tc>
        <w:tc>
          <w:tcPr>
            <w:tcW w:w="1110"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1110"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1111"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1110"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1110"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1111"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r>
      <w:tr w:rsidR="008B5F81" w:rsidRPr="003F6341" w:rsidTr="00C656AA">
        <w:trPr>
          <w:trHeight w:val="285"/>
        </w:trPr>
        <w:tc>
          <w:tcPr>
            <w:tcW w:w="1843" w:type="dxa"/>
            <w:shd w:val="clear" w:color="auto" w:fill="auto"/>
            <w:vAlign w:val="bottom"/>
            <w:hideMark/>
          </w:tcPr>
          <w:p w:rsidR="008B5F81" w:rsidRPr="003F6341" w:rsidRDefault="008B5F81" w:rsidP="00C656AA">
            <w:pPr>
              <w:rPr>
                <w:rFonts w:ascii="Arial Narrow" w:hAnsi="Arial Narrow" w:cs="Calibri"/>
                <w:bCs/>
                <w:sz w:val="20"/>
                <w:szCs w:val="20"/>
                <w:lang w:eastAsia="en-US"/>
              </w:rPr>
            </w:pPr>
            <w:r w:rsidRPr="003F6341">
              <w:rPr>
                <w:rFonts w:ascii="Arial Narrow" w:hAnsi="Arial Narrow" w:cs="Calibri"/>
                <w:bCs/>
                <w:sz w:val="20"/>
                <w:szCs w:val="20"/>
                <w:lang w:eastAsia="en-US"/>
              </w:rPr>
              <w:t>Overall net cost to Medicare Australia</w:t>
            </w:r>
          </w:p>
        </w:tc>
        <w:tc>
          <w:tcPr>
            <w:tcW w:w="1110"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1110"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1111"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1110"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1110"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1111"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r>
      <w:tr w:rsidR="008B5F81" w:rsidRPr="003F6341" w:rsidTr="00C656AA">
        <w:trPr>
          <w:trHeight w:val="285"/>
        </w:trPr>
        <w:tc>
          <w:tcPr>
            <w:tcW w:w="1843" w:type="dxa"/>
            <w:shd w:val="clear" w:color="auto" w:fill="auto"/>
            <w:vAlign w:val="bottom"/>
            <w:hideMark/>
          </w:tcPr>
          <w:p w:rsidR="008B5F81" w:rsidRPr="003F6341" w:rsidRDefault="008B5F81" w:rsidP="00C656AA">
            <w:pPr>
              <w:rPr>
                <w:rFonts w:ascii="Arial Narrow" w:hAnsi="Arial Narrow" w:cs="Calibri"/>
                <w:bCs/>
                <w:sz w:val="20"/>
                <w:szCs w:val="20"/>
                <w:lang w:eastAsia="en-US"/>
              </w:rPr>
            </w:pPr>
            <w:r w:rsidRPr="003F6341">
              <w:rPr>
                <w:rFonts w:ascii="Arial Narrow" w:hAnsi="Arial Narrow" w:cs="Calibri"/>
                <w:bCs/>
                <w:sz w:val="20"/>
                <w:szCs w:val="20"/>
                <w:lang w:eastAsia="en-US"/>
              </w:rPr>
              <w:t xml:space="preserve">Overall net savings </w:t>
            </w:r>
            <w:r w:rsidRPr="003F6341">
              <w:rPr>
                <w:rFonts w:ascii="Arial Narrow" w:hAnsi="Arial Narrow" w:cs="Calibri"/>
                <w:bCs/>
                <w:sz w:val="20"/>
                <w:szCs w:val="20"/>
                <w:lang w:eastAsia="en-US"/>
              </w:rPr>
              <w:br/>
              <w:t>for MBS</w:t>
            </w:r>
          </w:p>
        </w:tc>
        <w:tc>
          <w:tcPr>
            <w:tcW w:w="1110"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1110"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1111"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1110"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1110"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c>
          <w:tcPr>
            <w:tcW w:w="1111" w:type="dxa"/>
            <w:shd w:val="clear" w:color="auto" w:fill="auto"/>
            <w:noWrap/>
            <w:vAlign w:val="center"/>
          </w:tcPr>
          <w:p w:rsidR="008B5F81" w:rsidRPr="00825077" w:rsidRDefault="00825077" w:rsidP="00C656AA">
            <w:pPr>
              <w:jc w:val="right"/>
              <w:rPr>
                <w:rFonts w:ascii="Arial Narrow" w:hAnsi="Arial Narrow" w:cs="Calibri"/>
                <w:bCs/>
                <w:sz w:val="20"/>
                <w:szCs w:val="20"/>
                <w:highlight w:val="black"/>
                <w:lang w:eastAsia="en-US"/>
              </w:rPr>
            </w:pPr>
            <w:r>
              <w:rPr>
                <w:rFonts w:ascii="Arial Narrow" w:hAnsi="Arial Narrow" w:cs="Calibri"/>
                <w:bCs/>
                <w:noProof/>
                <w:color w:val="000000"/>
                <w:sz w:val="20"/>
                <w:szCs w:val="20"/>
                <w:highlight w:val="black"/>
                <w:lang w:eastAsia="en-US"/>
              </w:rPr>
              <w:t>''''''''''''''''''''''''''''</w:t>
            </w:r>
          </w:p>
        </w:tc>
      </w:tr>
      <w:tr w:rsidR="008B5F81" w:rsidRPr="003F6341" w:rsidTr="00C656AA">
        <w:trPr>
          <w:trHeight w:val="285"/>
        </w:trPr>
        <w:tc>
          <w:tcPr>
            <w:tcW w:w="1843" w:type="dxa"/>
            <w:shd w:val="clear" w:color="auto" w:fill="auto"/>
            <w:vAlign w:val="bottom"/>
            <w:hideMark/>
          </w:tcPr>
          <w:p w:rsidR="008B5F81" w:rsidRPr="003F6341" w:rsidRDefault="008B5F81" w:rsidP="00C656AA">
            <w:pPr>
              <w:rPr>
                <w:rFonts w:ascii="Arial Narrow" w:hAnsi="Arial Narrow" w:cs="Calibri"/>
                <w:b/>
                <w:bCs/>
                <w:sz w:val="20"/>
                <w:szCs w:val="20"/>
                <w:lang w:eastAsia="en-US"/>
              </w:rPr>
            </w:pPr>
            <w:r w:rsidRPr="003F6341">
              <w:rPr>
                <w:rFonts w:ascii="Arial Narrow" w:hAnsi="Arial Narrow" w:cs="Calibri"/>
                <w:b/>
                <w:bCs/>
                <w:sz w:val="20"/>
                <w:szCs w:val="20"/>
                <w:lang w:eastAsia="en-US"/>
              </w:rPr>
              <w:t xml:space="preserve">Overall Net </w:t>
            </w:r>
            <w:r w:rsidRPr="00962659">
              <w:rPr>
                <w:rFonts w:ascii="Arial Narrow" w:hAnsi="Arial Narrow" w:cs="Calibri"/>
                <w:b/>
                <w:bCs/>
                <w:sz w:val="20"/>
                <w:szCs w:val="20"/>
                <w:u w:val="single"/>
                <w:lang w:eastAsia="en-US"/>
              </w:rPr>
              <w:t>savings</w:t>
            </w:r>
            <w:r w:rsidRPr="003F6341">
              <w:rPr>
                <w:rFonts w:ascii="Arial Narrow" w:hAnsi="Arial Narrow" w:cs="Calibri"/>
                <w:b/>
                <w:bCs/>
                <w:sz w:val="20"/>
                <w:szCs w:val="20"/>
                <w:lang w:eastAsia="en-US"/>
              </w:rPr>
              <w:t xml:space="preserve"> to Commonwealth Government Health Budget of listing Drug</w:t>
            </w:r>
          </w:p>
        </w:tc>
        <w:tc>
          <w:tcPr>
            <w:tcW w:w="1110" w:type="dxa"/>
            <w:shd w:val="clear" w:color="auto" w:fill="auto"/>
            <w:noWrap/>
            <w:vAlign w:val="center"/>
          </w:tcPr>
          <w:p w:rsidR="008B5F81" w:rsidRPr="00825077" w:rsidRDefault="00825077" w:rsidP="00C656AA">
            <w:pPr>
              <w:jc w:val="right"/>
              <w:rPr>
                <w:rFonts w:ascii="Arial Narrow" w:hAnsi="Arial Narrow" w:cs="Calibri"/>
                <w:b/>
                <w:bCs/>
                <w:sz w:val="20"/>
                <w:szCs w:val="20"/>
                <w:highlight w:val="black"/>
                <w:lang w:eastAsia="en-US"/>
              </w:rPr>
            </w:pPr>
            <w:r>
              <w:rPr>
                <w:rFonts w:ascii="Arial Narrow" w:hAnsi="Arial Narrow" w:cs="Calibri"/>
                <w:b/>
                <w:bCs/>
                <w:noProof/>
                <w:color w:val="000000"/>
                <w:sz w:val="20"/>
                <w:szCs w:val="20"/>
                <w:highlight w:val="black"/>
                <w:lang w:eastAsia="en-US"/>
              </w:rPr>
              <w:t>'''''''''''''''''''''</w:t>
            </w:r>
          </w:p>
        </w:tc>
        <w:tc>
          <w:tcPr>
            <w:tcW w:w="1110" w:type="dxa"/>
            <w:shd w:val="clear" w:color="auto" w:fill="auto"/>
            <w:noWrap/>
            <w:vAlign w:val="center"/>
          </w:tcPr>
          <w:p w:rsidR="008B5F81" w:rsidRPr="00825077" w:rsidRDefault="00825077" w:rsidP="00C656AA">
            <w:pPr>
              <w:jc w:val="right"/>
              <w:rPr>
                <w:rFonts w:ascii="Arial Narrow" w:hAnsi="Arial Narrow" w:cs="Calibri"/>
                <w:b/>
                <w:bCs/>
                <w:sz w:val="20"/>
                <w:szCs w:val="20"/>
                <w:highlight w:val="black"/>
                <w:lang w:eastAsia="en-US"/>
              </w:rPr>
            </w:pPr>
            <w:r>
              <w:rPr>
                <w:rFonts w:ascii="Arial Narrow" w:hAnsi="Arial Narrow" w:cs="Calibri"/>
                <w:b/>
                <w:bCs/>
                <w:noProof/>
                <w:color w:val="000000"/>
                <w:sz w:val="20"/>
                <w:szCs w:val="20"/>
                <w:highlight w:val="black"/>
                <w:lang w:eastAsia="en-US"/>
              </w:rPr>
              <w:t>''''''''''''''''''''''</w:t>
            </w:r>
          </w:p>
        </w:tc>
        <w:tc>
          <w:tcPr>
            <w:tcW w:w="1111" w:type="dxa"/>
            <w:shd w:val="clear" w:color="auto" w:fill="auto"/>
            <w:noWrap/>
            <w:vAlign w:val="center"/>
          </w:tcPr>
          <w:p w:rsidR="008B5F81" w:rsidRPr="00825077" w:rsidRDefault="00825077" w:rsidP="00C656AA">
            <w:pPr>
              <w:jc w:val="right"/>
              <w:rPr>
                <w:rFonts w:ascii="Arial Narrow" w:hAnsi="Arial Narrow" w:cs="Calibri"/>
                <w:b/>
                <w:bCs/>
                <w:sz w:val="20"/>
                <w:szCs w:val="20"/>
                <w:highlight w:val="black"/>
                <w:lang w:eastAsia="en-US"/>
              </w:rPr>
            </w:pPr>
            <w:r>
              <w:rPr>
                <w:rFonts w:ascii="Arial Narrow" w:hAnsi="Arial Narrow" w:cs="Calibri"/>
                <w:b/>
                <w:bCs/>
                <w:noProof/>
                <w:color w:val="000000"/>
                <w:sz w:val="20"/>
                <w:szCs w:val="20"/>
                <w:highlight w:val="black"/>
                <w:lang w:eastAsia="en-US"/>
              </w:rPr>
              <w:t>''''''''''''''''''''''</w:t>
            </w:r>
          </w:p>
        </w:tc>
        <w:tc>
          <w:tcPr>
            <w:tcW w:w="1110" w:type="dxa"/>
            <w:shd w:val="clear" w:color="auto" w:fill="auto"/>
            <w:noWrap/>
            <w:vAlign w:val="center"/>
          </w:tcPr>
          <w:p w:rsidR="008B5F81" w:rsidRPr="00825077" w:rsidRDefault="00825077" w:rsidP="00C656AA">
            <w:pPr>
              <w:jc w:val="right"/>
              <w:rPr>
                <w:rFonts w:ascii="Arial Narrow" w:hAnsi="Arial Narrow" w:cs="Calibri"/>
                <w:b/>
                <w:bCs/>
                <w:sz w:val="20"/>
                <w:szCs w:val="20"/>
                <w:highlight w:val="black"/>
                <w:lang w:eastAsia="en-US"/>
              </w:rPr>
            </w:pPr>
            <w:r>
              <w:rPr>
                <w:rFonts w:ascii="Arial Narrow" w:hAnsi="Arial Narrow" w:cs="Calibri"/>
                <w:b/>
                <w:bCs/>
                <w:noProof/>
                <w:color w:val="000000"/>
                <w:sz w:val="20"/>
                <w:szCs w:val="20"/>
                <w:highlight w:val="black"/>
                <w:lang w:eastAsia="en-US"/>
              </w:rPr>
              <w:t>'''''''''''''''''''''''''</w:t>
            </w:r>
          </w:p>
        </w:tc>
        <w:tc>
          <w:tcPr>
            <w:tcW w:w="1110" w:type="dxa"/>
            <w:shd w:val="clear" w:color="auto" w:fill="auto"/>
            <w:noWrap/>
            <w:vAlign w:val="center"/>
          </w:tcPr>
          <w:p w:rsidR="008B5F81" w:rsidRPr="00825077" w:rsidRDefault="00825077" w:rsidP="00C656AA">
            <w:pPr>
              <w:jc w:val="right"/>
              <w:rPr>
                <w:rFonts w:ascii="Arial Narrow" w:hAnsi="Arial Narrow" w:cs="Calibri"/>
                <w:b/>
                <w:bCs/>
                <w:sz w:val="20"/>
                <w:szCs w:val="20"/>
                <w:highlight w:val="black"/>
                <w:lang w:eastAsia="en-US"/>
              </w:rPr>
            </w:pPr>
            <w:r>
              <w:rPr>
                <w:rFonts w:ascii="Arial Narrow" w:hAnsi="Arial Narrow" w:cs="Calibri"/>
                <w:b/>
                <w:bCs/>
                <w:noProof/>
                <w:color w:val="000000"/>
                <w:sz w:val="20"/>
                <w:szCs w:val="20"/>
                <w:highlight w:val="black"/>
                <w:lang w:eastAsia="en-US"/>
              </w:rPr>
              <w:t>''''''''''''''''''''''</w:t>
            </w:r>
          </w:p>
        </w:tc>
        <w:tc>
          <w:tcPr>
            <w:tcW w:w="1111" w:type="dxa"/>
            <w:shd w:val="clear" w:color="auto" w:fill="auto"/>
            <w:noWrap/>
            <w:vAlign w:val="center"/>
          </w:tcPr>
          <w:p w:rsidR="008B5F81" w:rsidRPr="00825077" w:rsidRDefault="00825077" w:rsidP="00C656AA">
            <w:pPr>
              <w:jc w:val="right"/>
              <w:rPr>
                <w:rFonts w:ascii="Arial Narrow" w:hAnsi="Arial Narrow" w:cs="Calibri"/>
                <w:b/>
                <w:bCs/>
                <w:sz w:val="20"/>
                <w:szCs w:val="20"/>
                <w:highlight w:val="black"/>
                <w:lang w:eastAsia="en-US"/>
              </w:rPr>
            </w:pPr>
            <w:r>
              <w:rPr>
                <w:rFonts w:ascii="Arial Narrow" w:hAnsi="Arial Narrow" w:cs="Calibri"/>
                <w:b/>
                <w:bCs/>
                <w:noProof/>
                <w:color w:val="000000"/>
                <w:sz w:val="20"/>
                <w:szCs w:val="20"/>
                <w:highlight w:val="black"/>
                <w:lang w:eastAsia="en-US"/>
              </w:rPr>
              <w:t>''''''''''''''''''''''''</w:t>
            </w:r>
          </w:p>
        </w:tc>
      </w:tr>
    </w:tbl>
    <w:p w:rsidR="005A3223" w:rsidRPr="005A3223" w:rsidRDefault="008B5F81" w:rsidP="00151B89">
      <w:pPr>
        <w:pStyle w:val="ListParagraph"/>
        <w:ind w:left="709"/>
        <w:jc w:val="both"/>
        <w:rPr>
          <w:rFonts w:ascii="Arial" w:hAnsi="Arial"/>
          <w:sz w:val="22"/>
          <w:szCs w:val="22"/>
        </w:rPr>
      </w:pPr>
      <w:r w:rsidRPr="003F6341">
        <w:rPr>
          <w:rFonts w:ascii="Arial Narrow" w:hAnsi="Arial Narrow"/>
          <w:sz w:val="20"/>
          <w:szCs w:val="20"/>
        </w:rPr>
        <w:t>Source: page 20 of the submission</w:t>
      </w:r>
    </w:p>
    <w:p w:rsidR="005A3223" w:rsidRPr="005A3223" w:rsidRDefault="005A3223" w:rsidP="005A3223">
      <w:pPr>
        <w:pStyle w:val="ListParagraph"/>
        <w:rPr>
          <w:rFonts w:ascii="Arial" w:hAnsi="Arial"/>
          <w:sz w:val="22"/>
          <w:szCs w:val="22"/>
        </w:rPr>
      </w:pPr>
    </w:p>
    <w:p w:rsidR="00086666" w:rsidRDefault="00086666" w:rsidP="00086666">
      <w:pPr>
        <w:ind w:left="709"/>
        <w:jc w:val="both"/>
        <w:rPr>
          <w:rFonts w:ascii="Arial" w:hAnsi="Arial"/>
          <w:sz w:val="22"/>
          <w:szCs w:val="22"/>
        </w:rPr>
      </w:pPr>
      <w:r>
        <w:rPr>
          <w:rFonts w:ascii="Arial" w:hAnsi="Arial"/>
          <w:sz w:val="22"/>
          <w:szCs w:val="22"/>
        </w:rPr>
        <w:t>The redacted table shows that the estimated net savings to the Commonwealth is less than $10 million per year.</w:t>
      </w:r>
    </w:p>
    <w:p w:rsidR="006B1BE6" w:rsidRDefault="006B1BE6" w:rsidP="006B1BE6">
      <w:pPr>
        <w:jc w:val="both"/>
        <w:rPr>
          <w:rFonts w:ascii="Arial" w:hAnsi="Arial"/>
          <w:i/>
          <w:sz w:val="22"/>
          <w:szCs w:val="22"/>
        </w:rPr>
      </w:pPr>
    </w:p>
    <w:p w:rsidR="00086666" w:rsidRPr="006B1BE6" w:rsidRDefault="00086666" w:rsidP="006B1BE6">
      <w:pPr>
        <w:jc w:val="both"/>
        <w:rPr>
          <w:rFonts w:ascii="Arial" w:hAnsi="Arial"/>
          <w:i/>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CE10C4" w:rsidRDefault="00CE10C4" w:rsidP="00882085">
      <w:pPr>
        <w:jc w:val="both"/>
        <w:rPr>
          <w:rFonts w:ascii="Arial" w:hAnsi="Arial"/>
          <w:b/>
          <w:sz w:val="22"/>
          <w:szCs w:val="22"/>
        </w:rPr>
      </w:pPr>
    </w:p>
    <w:p w:rsidR="002E4AEF" w:rsidRPr="00882085" w:rsidRDefault="002E4AEF" w:rsidP="00882085">
      <w:pPr>
        <w:jc w:val="both"/>
        <w:rPr>
          <w:rFonts w:ascii="Arial" w:hAnsi="Arial"/>
          <w:b/>
          <w:sz w:val="22"/>
          <w:szCs w:val="22"/>
        </w:rPr>
      </w:pPr>
    </w:p>
    <w:p w:rsidR="009067B7" w:rsidRPr="00FD1EA0" w:rsidRDefault="00A62C1A" w:rsidP="00271FDD">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 xml:space="preserve">PBAC </w:t>
      </w:r>
      <w:r w:rsidR="00930937" w:rsidRPr="00882085">
        <w:rPr>
          <w:rFonts w:ascii="Arial" w:hAnsi="Arial"/>
          <w:b/>
          <w:sz w:val="22"/>
          <w:szCs w:val="22"/>
        </w:rPr>
        <w:t>Outcome</w:t>
      </w:r>
      <w:r w:rsidR="00B43E90" w:rsidRPr="00882085">
        <w:rPr>
          <w:rFonts w:ascii="Arial" w:hAnsi="Arial"/>
          <w:b/>
          <w:sz w:val="22"/>
          <w:szCs w:val="22"/>
        </w:rPr>
        <w:t xml:space="preserve"> </w:t>
      </w:r>
    </w:p>
    <w:p w:rsidR="00BB7EC3" w:rsidRPr="002C52BE" w:rsidRDefault="00BB7EC3" w:rsidP="002C52BE">
      <w:pPr>
        <w:rPr>
          <w:rFonts w:ascii="Arial" w:hAnsi="Arial"/>
          <w:sz w:val="22"/>
          <w:szCs w:val="22"/>
        </w:rPr>
      </w:pPr>
    </w:p>
    <w:p w:rsidR="00BB7EC3" w:rsidRDefault="00BB7EC3" w:rsidP="00207E11">
      <w:pPr>
        <w:pStyle w:val="ListParagraph"/>
        <w:numPr>
          <w:ilvl w:val="1"/>
          <w:numId w:val="25"/>
        </w:numPr>
        <w:ind w:left="709" w:hanging="709"/>
        <w:jc w:val="both"/>
        <w:rPr>
          <w:rFonts w:ascii="Arial" w:hAnsi="Arial"/>
          <w:sz w:val="22"/>
          <w:szCs w:val="22"/>
        </w:rPr>
      </w:pPr>
      <w:r>
        <w:rPr>
          <w:rFonts w:ascii="Arial" w:hAnsi="Arial"/>
          <w:sz w:val="22"/>
          <w:szCs w:val="22"/>
        </w:rPr>
        <w:t xml:space="preserve">The PBAC recommended the listing of </w:t>
      </w:r>
      <w:r w:rsidR="002C52BE">
        <w:rPr>
          <w:rFonts w:ascii="Arial" w:hAnsi="Arial"/>
          <w:sz w:val="22"/>
          <w:szCs w:val="22"/>
        </w:rPr>
        <w:t>rituximab SC</w:t>
      </w:r>
      <w:r w:rsidR="002A1864">
        <w:rPr>
          <w:rFonts w:ascii="Arial" w:hAnsi="Arial"/>
          <w:sz w:val="22"/>
          <w:szCs w:val="22"/>
        </w:rPr>
        <w:t xml:space="preserve">, on the basis that rituximab SC formulation </w:t>
      </w:r>
      <w:r w:rsidR="002C52BE">
        <w:rPr>
          <w:rFonts w:ascii="Arial" w:hAnsi="Arial"/>
          <w:sz w:val="22"/>
          <w:szCs w:val="22"/>
        </w:rPr>
        <w:t>is no</w:t>
      </w:r>
      <w:r w:rsidR="002A1864">
        <w:rPr>
          <w:rFonts w:ascii="Arial" w:hAnsi="Arial"/>
          <w:sz w:val="22"/>
          <w:szCs w:val="22"/>
        </w:rPr>
        <w:t>n-inferior in terms of efficacy and safety compared with rituximab IV formulation.</w:t>
      </w:r>
    </w:p>
    <w:p w:rsidR="00BB7EC3" w:rsidRPr="00BB7EC3" w:rsidRDefault="00BB7EC3" w:rsidP="00BB7EC3">
      <w:pPr>
        <w:pStyle w:val="ListParagraph"/>
        <w:rPr>
          <w:rFonts w:ascii="Arial" w:hAnsi="Arial"/>
          <w:sz w:val="22"/>
          <w:szCs w:val="22"/>
        </w:rPr>
      </w:pPr>
    </w:p>
    <w:p w:rsidR="00BB7EC3" w:rsidRPr="00BB7EC3" w:rsidRDefault="00BB7EC3" w:rsidP="00207E11">
      <w:pPr>
        <w:pStyle w:val="ListParagraph"/>
        <w:numPr>
          <w:ilvl w:val="1"/>
          <w:numId w:val="25"/>
        </w:numPr>
        <w:ind w:left="709" w:hanging="709"/>
        <w:jc w:val="both"/>
        <w:rPr>
          <w:rFonts w:ascii="Arial" w:hAnsi="Arial"/>
          <w:sz w:val="22"/>
          <w:szCs w:val="22"/>
        </w:rPr>
      </w:pPr>
      <w:r>
        <w:rPr>
          <w:rFonts w:ascii="Arial" w:hAnsi="Arial"/>
          <w:sz w:val="22"/>
          <w:szCs w:val="22"/>
        </w:rPr>
        <w:t xml:space="preserve">The PBAC </w:t>
      </w:r>
      <w:r w:rsidR="00A94F5D">
        <w:rPr>
          <w:rFonts w:ascii="Arial" w:hAnsi="Arial"/>
          <w:sz w:val="22"/>
          <w:szCs w:val="22"/>
        </w:rPr>
        <w:t xml:space="preserve">noted the TGA </w:t>
      </w:r>
      <w:r w:rsidR="002A1864">
        <w:rPr>
          <w:rFonts w:ascii="Arial" w:hAnsi="Arial"/>
          <w:sz w:val="22"/>
          <w:szCs w:val="22"/>
        </w:rPr>
        <w:t>a</w:t>
      </w:r>
      <w:r w:rsidR="00310D91">
        <w:rPr>
          <w:rFonts w:ascii="Arial" w:hAnsi="Arial"/>
          <w:sz w:val="22"/>
          <w:szCs w:val="22"/>
        </w:rPr>
        <w:t>ccepted</w:t>
      </w:r>
      <w:r w:rsidR="002C660A">
        <w:rPr>
          <w:rFonts w:ascii="Arial" w:hAnsi="Arial"/>
          <w:sz w:val="22"/>
          <w:szCs w:val="22"/>
        </w:rPr>
        <w:t xml:space="preserve"> </w:t>
      </w:r>
      <w:r w:rsidR="00461662">
        <w:rPr>
          <w:rFonts w:ascii="Arial" w:hAnsi="Arial"/>
          <w:sz w:val="22"/>
          <w:szCs w:val="22"/>
        </w:rPr>
        <w:t xml:space="preserve">that </w:t>
      </w:r>
      <w:r w:rsidR="002C660A">
        <w:rPr>
          <w:rFonts w:ascii="Arial" w:hAnsi="Arial"/>
          <w:sz w:val="22"/>
          <w:szCs w:val="22"/>
        </w:rPr>
        <w:t xml:space="preserve">the exposure of rituximab SC is non-inferior compared with body surface area adjusted IV therapy and </w:t>
      </w:r>
      <w:r w:rsidR="00461662">
        <w:rPr>
          <w:rFonts w:ascii="Arial" w:hAnsi="Arial"/>
          <w:sz w:val="22"/>
          <w:szCs w:val="22"/>
        </w:rPr>
        <w:t xml:space="preserve">that </w:t>
      </w:r>
      <w:r w:rsidR="002C660A">
        <w:rPr>
          <w:rFonts w:ascii="Arial" w:hAnsi="Arial"/>
          <w:sz w:val="22"/>
          <w:szCs w:val="22"/>
        </w:rPr>
        <w:t>the clinical trial</w:t>
      </w:r>
      <w:r w:rsidR="005F48D5">
        <w:rPr>
          <w:rFonts w:ascii="Arial" w:hAnsi="Arial"/>
          <w:sz w:val="22"/>
          <w:szCs w:val="22"/>
        </w:rPr>
        <w:t xml:space="preserve"> (SABRINA)</w:t>
      </w:r>
      <w:r w:rsidR="002C660A">
        <w:rPr>
          <w:rFonts w:ascii="Arial" w:hAnsi="Arial"/>
          <w:sz w:val="22"/>
          <w:szCs w:val="22"/>
        </w:rPr>
        <w:t xml:space="preserve"> data are consistent with </w:t>
      </w:r>
      <w:r w:rsidR="005F48D5">
        <w:rPr>
          <w:rFonts w:ascii="Arial" w:hAnsi="Arial"/>
          <w:sz w:val="22"/>
          <w:szCs w:val="22"/>
        </w:rPr>
        <w:t>equivalence in response and safety outcomes</w:t>
      </w:r>
      <w:r w:rsidR="00461662">
        <w:rPr>
          <w:rFonts w:ascii="Arial" w:hAnsi="Arial"/>
          <w:sz w:val="22"/>
          <w:szCs w:val="22"/>
        </w:rPr>
        <w:t>.</w:t>
      </w:r>
      <w:r w:rsidR="005F48D5">
        <w:rPr>
          <w:rFonts w:ascii="Arial" w:hAnsi="Arial"/>
          <w:sz w:val="22"/>
          <w:szCs w:val="22"/>
        </w:rPr>
        <w:t xml:space="preserve"> </w:t>
      </w:r>
      <w:r w:rsidR="00461662">
        <w:rPr>
          <w:rFonts w:ascii="Arial" w:hAnsi="Arial"/>
          <w:sz w:val="22"/>
          <w:szCs w:val="22"/>
        </w:rPr>
        <w:t>T</w:t>
      </w:r>
      <w:r w:rsidR="005F48D5">
        <w:rPr>
          <w:rFonts w:ascii="Arial" w:hAnsi="Arial"/>
          <w:sz w:val="22"/>
          <w:szCs w:val="22"/>
        </w:rPr>
        <w:t xml:space="preserve">he PBAC </w:t>
      </w:r>
      <w:r w:rsidR="00461662">
        <w:rPr>
          <w:rFonts w:ascii="Arial" w:hAnsi="Arial"/>
          <w:sz w:val="22"/>
          <w:szCs w:val="22"/>
        </w:rPr>
        <w:t xml:space="preserve">therefore </w:t>
      </w:r>
      <w:r w:rsidR="005F48D5">
        <w:rPr>
          <w:rFonts w:ascii="Arial" w:hAnsi="Arial"/>
          <w:sz w:val="22"/>
          <w:szCs w:val="22"/>
        </w:rPr>
        <w:t>accepted</w:t>
      </w:r>
      <w:r w:rsidR="002C660A">
        <w:rPr>
          <w:rFonts w:ascii="Arial" w:hAnsi="Arial"/>
          <w:sz w:val="22"/>
          <w:szCs w:val="22"/>
        </w:rPr>
        <w:t xml:space="preserve"> </w:t>
      </w:r>
      <w:r w:rsidR="00310D91">
        <w:rPr>
          <w:rFonts w:ascii="Arial" w:hAnsi="Arial"/>
          <w:sz w:val="22"/>
          <w:szCs w:val="22"/>
        </w:rPr>
        <w:t>the equi-effective</w:t>
      </w:r>
      <w:r w:rsidR="002A1864">
        <w:rPr>
          <w:rFonts w:ascii="Arial" w:hAnsi="Arial"/>
          <w:sz w:val="22"/>
          <w:szCs w:val="22"/>
        </w:rPr>
        <w:t xml:space="preserve"> doses are rituximab SC 1,400 mg and rituximab IV 375 mg/m2.</w:t>
      </w:r>
    </w:p>
    <w:p w:rsidR="00BB7EC3" w:rsidRPr="00310D91" w:rsidRDefault="00BB7EC3" w:rsidP="00310D91">
      <w:pPr>
        <w:jc w:val="both"/>
        <w:rPr>
          <w:rFonts w:ascii="Arial" w:hAnsi="Arial"/>
          <w:sz w:val="22"/>
          <w:szCs w:val="22"/>
        </w:rPr>
      </w:pPr>
    </w:p>
    <w:p w:rsidR="00BB7EC3" w:rsidRDefault="00C7309C" w:rsidP="00207E11">
      <w:pPr>
        <w:pStyle w:val="ListParagraph"/>
        <w:numPr>
          <w:ilvl w:val="1"/>
          <w:numId w:val="25"/>
        </w:numPr>
        <w:ind w:left="709" w:hanging="709"/>
        <w:jc w:val="both"/>
        <w:rPr>
          <w:rFonts w:ascii="Arial" w:hAnsi="Arial"/>
          <w:sz w:val="22"/>
          <w:szCs w:val="22"/>
        </w:rPr>
      </w:pPr>
      <w:r>
        <w:rPr>
          <w:rFonts w:ascii="Arial" w:hAnsi="Arial"/>
          <w:sz w:val="22"/>
          <w:szCs w:val="22"/>
        </w:rPr>
        <w:t>The PBAC considered the requested listing</w:t>
      </w:r>
      <w:r w:rsidR="00B95B57">
        <w:rPr>
          <w:rFonts w:ascii="Arial" w:hAnsi="Arial"/>
          <w:sz w:val="22"/>
          <w:szCs w:val="22"/>
        </w:rPr>
        <w:t>s</w:t>
      </w:r>
      <w:r>
        <w:rPr>
          <w:rFonts w:ascii="Arial" w:hAnsi="Arial"/>
          <w:sz w:val="22"/>
          <w:szCs w:val="22"/>
        </w:rPr>
        <w:t xml:space="preserve"> of rituximab SC for the </w:t>
      </w:r>
      <w:r w:rsidR="008C1132">
        <w:rPr>
          <w:rFonts w:ascii="Arial" w:hAnsi="Arial"/>
          <w:sz w:val="22"/>
          <w:szCs w:val="22"/>
        </w:rPr>
        <w:t xml:space="preserve">treatment of all types of CD20 positive B- cell Non-Hodgkin’s Lymphoma </w:t>
      </w:r>
      <w:r>
        <w:rPr>
          <w:rFonts w:ascii="Arial" w:hAnsi="Arial"/>
          <w:sz w:val="22"/>
          <w:szCs w:val="22"/>
        </w:rPr>
        <w:t xml:space="preserve">are </w:t>
      </w:r>
      <w:r w:rsidR="008C1132">
        <w:rPr>
          <w:rFonts w:ascii="Arial" w:hAnsi="Arial"/>
          <w:sz w:val="22"/>
          <w:szCs w:val="22"/>
        </w:rPr>
        <w:t>supported by the trials presented in the submission</w:t>
      </w:r>
      <w:r w:rsidR="00BB7EC3">
        <w:rPr>
          <w:rFonts w:ascii="Arial" w:hAnsi="Arial"/>
          <w:sz w:val="22"/>
          <w:szCs w:val="22"/>
        </w:rPr>
        <w:t>.</w:t>
      </w:r>
    </w:p>
    <w:p w:rsidR="00BB7EC3" w:rsidRPr="00BB7EC3" w:rsidRDefault="00BB7EC3" w:rsidP="00BB7EC3">
      <w:pPr>
        <w:jc w:val="both"/>
        <w:rPr>
          <w:rFonts w:ascii="Arial" w:hAnsi="Arial"/>
          <w:sz w:val="22"/>
          <w:szCs w:val="22"/>
        </w:rPr>
      </w:pPr>
    </w:p>
    <w:p w:rsidR="00BB7EC3" w:rsidRPr="00882085" w:rsidRDefault="00054A05" w:rsidP="00207E11">
      <w:pPr>
        <w:pStyle w:val="ListParagraph"/>
        <w:numPr>
          <w:ilvl w:val="1"/>
          <w:numId w:val="25"/>
        </w:numPr>
        <w:ind w:left="709" w:hanging="709"/>
        <w:jc w:val="both"/>
        <w:rPr>
          <w:rFonts w:ascii="Arial" w:hAnsi="Arial"/>
          <w:sz w:val="22"/>
          <w:szCs w:val="22"/>
        </w:rPr>
      </w:pPr>
      <w:r>
        <w:rPr>
          <w:rFonts w:ascii="Arial" w:hAnsi="Arial"/>
          <w:sz w:val="22"/>
          <w:szCs w:val="22"/>
        </w:rPr>
        <w:t xml:space="preserve">The PBAC noted the maximum quantity of rituximab SC </w:t>
      </w:r>
      <w:r w:rsidR="00461662">
        <w:rPr>
          <w:rFonts w:ascii="Arial" w:hAnsi="Arial"/>
          <w:sz w:val="22"/>
          <w:szCs w:val="22"/>
        </w:rPr>
        <w:t xml:space="preserve">requested </w:t>
      </w:r>
      <w:r>
        <w:rPr>
          <w:rFonts w:ascii="Arial" w:hAnsi="Arial"/>
          <w:sz w:val="22"/>
          <w:szCs w:val="22"/>
        </w:rPr>
        <w:t xml:space="preserve">is 1,400 mg, </w:t>
      </w:r>
      <w:r w:rsidR="00461662">
        <w:rPr>
          <w:rFonts w:ascii="Arial" w:hAnsi="Arial"/>
          <w:sz w:val="22"/>
          <w:szCs w:val="22"/>
        </w:rPr>
        <w:t xml:space="preserve">and the </w:t>
      </w:r>
      <w:r>
        <w:rPr>
          <w:rFonts w:ascii="Arial" w:hAnsi="Arial"/>
          <w:sz w:val="22"/>
          <w:szCs w:val="22"/>
        </w:rPr>
        <w:t>number of repeats is one less than that of rituximab IV</w:t>
      </w:r>
      <w:r w:rsidR="00461662">
        <w:rPr>
          <w:rFonts w:ascii="Arial" w:hAnsi="Arial"/>
          <w:sz w:val="22"/>
          <w:szCs w:val="22"/>
        </w:rPr>
        <w:t>,</w:t>
      </w:r>
      <w:r>
        <w:rPr>
          <w:rFonts w:ascii="Arial" w:hAnsi="Arial"/>
          <w:i/>
          <w:sz w:val="22"/>
          <w:szCs w:val="22"/>
        </w:rPr>
        <w:t xml:space="preserve"> </w:t>
      </w:r>
      <w:r w:rsidRPr="00054A05">
        <w:rPr>
          <w:rFonts w:ascii="Arial" w:hAnsi="Arial"/>
          <w:sz w:val="22"/>
          <w:szCs w:val="22"/>
        </w:rPr>
        <w:t xml:space="preserve">as the first dose is always </w:t>
      </w:r>
      <w:r w:rsidR="00FA347F">
        <w:rPr>
          <w:rFonts w:ascii="Arial" w:hAnsi="Arial"/>
          <w:sz w:val="22"/>
          <w:szCs w:val="22"/>
        </w:rPr>
        <w:t xml:space="preserve">by </w:t>
      </w:r>
      <w:r>
        <w:rPr>
          <w:rFonts w:ascii="Arial" w:hAnsi="Arial"/>
          <w:sz w:val="22"/>
          <w:szCs w:val="22"/>
        </w:rPr>
        <w:t>IV injection for safety reasons. The PBAC considered the maximum quantity and number of repeats of rituximab SC are appropriate.</w:t>
      </w:r>
      <w:r w:rsidRPr="00054A05">
        <w:rPr>
          <w:rFonts w:ascii="Arial" w:hAnsi="Arial"/>
          <w:sz w:val="22"/>
          <w:szCs w:val="22"/>
        </w:rPr>
        <w:t xml:space="preserve"> </w:t>
      </w:r>
    </w:p>
    <w:p w:rsidR="002F7EA4" w:rsidRPr="002F7EA4" w:rsidRDefault="002F7EA4" w:rsidP="00207E11">
      <w:pPr>
        <w:pStyle w:val="ListParagraph"/>
        <w:numPr>
          <w:ilvl w:val="1"/>
          <w:numId w:val="25"/>
        </w:numPr>
        <w:ind w:left="709" w:hanging="709"/>
        <w:jc w:val="both"/>
        <w:rPr>
          <w:rFonts w:ascii="Arial" w:hAnsi="Arial"/>
          <w:sz w:val="22"/>
          <w:szCs w:val="22"/>
        </w:rPr>
      </w:pPr>
      <w:r w:rsidRPr="002F7EA4">
        <w:rPr>
          <w:rFonts w:ascii="Arial" w:hAnsi="Arial"/>
          <w:sz w:val="22"/>
          <w:szCs w:val="22"/>
        </w:rPr>
        <w:lastRenderedPageBreak/>
        <w:t xml:space="preserve">The PBAC considered for safety reasons, including the wording “First dose of rituximab must be administrated intravenously using rituximab intravenous injection” in the </w:t>
      </w:r>
      <w:r w:rsidR="00B95B57">
        <w:rPr>
          <w:rFonts w:ascii="Arial" w:hAnsi="Arial"/>
          <w:sz w:val="22"/>
          <w:szCs w:val="22"/>
        </w:rPr>
        <w:t xml:space="preserve">PBS </w:t>
      </w:r>
      <w:r w:rsidRPr="002F7EA4">
        <w:rPr>
          <w:rFonts w:ascii="Arial" w:hAnsi="Arial"/>
          <w:sz w:val="22"/>
          <w:szCs w:val="22"/>
        </w:rPr>
        <w:t>restriction is appropriate.</w:t>
      </w:r>
    </w:p>
    <w:p w:rsidR="00BB7EC3" w:rsidRPr="00BB7EC3" w:rsidRDefault="00BB7EC3" w:rsidP="00BB7EC3">
      <w:pPr>
        <w:pStyle w:val="ListParagraph"/>
        <w:rPr>
          <w:rFonts w:ascii="Arial" w:hAnsi="Arial"/>
          <w:sz w:val="22"/>
          <w:szCs w:val="22"/>
        </w:rPr>
      </w:pPr>
    </w:p>
    <w:p w:rsidR="00BB7EC3" w:rsidRDefault="00264AA4" w:rsidP="00207E11">
      <w:pPr>
        <w:pStyle w:val="ListParagraph"/>
        <w:numPr>
          <w:ilvl w:val="1"/>
          <w:numId w:val="25"/>
        </w:numPr>
        <w:ind w:left="709" w:hanging="709"/>
        <w:jc w:val="both"/>
        <w:rPr>
          <w:rFonts w:ascii="Arial" w:hAnsi="Arial"/>
          <w:sz w:val="22"/>
          <w:szCs w:val="22"/>
        </w:rPr>
      </w:pPr>
      <w:r>
        <w:rPr>
          <w:rFonts w:ascii="Arial" w:hAnsi="Arial"/>
          <w:sz w:val="22"/>
          <w:szCs w:val="22"/>
        </w:rPr>
        <w:t xml:space="preserve">The PBAC accepted that rituximab SC offers </w:t>
      </w:r>
      <w:r w:rsidRPr="00264AA4">
        <w:rPr>
          <w:rFonts w:ascii="Arial" w:hAnsi="Arial"/>
          <w:sz w:val="22"/>
          <w:szCs w:val="22"/>
        </w:rPr>
        <w:t>a convenient alternative to the IV formulation</w:t>
      </w:r>
      <w:r>
        <w:rPr>
          <w:rFonts w:ascii="Arial" w:hAnsi="Arial"/>
          <w:sz w:val="22"/>
          <w:szCs w:val="22"/>
        </w:rPr>
        <w:t>.</w:t>
      </w:r>
    </w:p>
    <w:p w:rsidR="00BB7EC3" w:rsidRPr="00BB7EC3" w:rsidRDefault="00BB7EC3" w:rsidP="00BB7EC3">
      <w:pPr>
        <w:pStyle w:val="ListParagraph"/>
        <w:rPr>
          <w:rFonts w:ascii="Arial" w:hAnsi="Arial"/>
          <w:sz w:val="22"/>
          <w:szCs w:val="22"/>
        </w:rPr>
      </w:pPr>
    </w:p>
    <w:p w:rsidR="00BB7EC3" w:rsidRDefault="00264AA4" w:rsidP="00207E11">
      <w:pPr>
        <w:pStyle w:val="ListParagraph"/>
        <w:numPr>
          <w:ilvl w:val="1"/>
          <w:numId w:val="25"/>
        </w:numPr>
        <w:ind w:left="709" w:hanging="709"/>
        <w:jc w:val="both"/>
        <w:rPr>
          <w:rFonts w:ascii="Arial" w:hAnsi="Arial"/>
          <w:sz w:val="22"/>
          <w:szCs w:val="22"/>
        </w:rPr>
      </w:pPr>
      <w:r w:rsidRPr="00264AA4">
        <w:rPr>
          <w:rFonts w:ascii="Arial" w:hAnsi="Arial"/>
          <w:sz w:val="22"/>
          <w:szCs w:val="22"/>
        </w:rPr>
        <w:t>The PBAC accepted rituximab IV as the appropriate c</w:t>
      </w:r>
      <w:r>
        <w:rPr>
          <w:rFonts w:ascii="Arial" w:hAnsi="Arial"/>
          <w:sz w:val="22"/>
          <w:szCs w:val="22"/>
        </w:rPr>
        <w:t>omparator.</w:t>
      </w:r>
    </w:p>
    <w:p w:rsidR="00264AA4" w:rsidRPr="00264AA4" w:rsidRDefault="00264AA4" w:rsidP="00264AA4">
      <w:pPr>
        <w:pStyle w:val="ListParagraph"/>
        <w:rPr>
          <w:rFonts w:ascii="Arial" w:hAnsi="Arial"/>
          <w:sz w:val="22"/>
          <w:szCs w:val="22"/>
        </w:rPr>
      </w:pPr>
    </w:p>
    <w:p w:rsidR="00264AA4" w:rsidRDefault="0048216A" w:rsidP="00207E11">
      <w:pPr>
        <w:pStyle w:val="ListParagraph"/>
        <w:numPr>
          <w:ilvl w:val="1"/>
          <w:numId w:val="25"/>
        </w:numPr>
        <w:ind w:left="709" w:hanging="709"/>
        <w:jc w:val="both"/>
        <w:rPr>
          <w:rFonts w:ascii="Arial" w:hAnsi="Arial"/>
          <w:sz w:val="22"/>
          <w:szCs w:val="22"/>
        </w:rPr>
      </w:pPr>
      <w:r>
        <w:rPr>
          <w:rFonts w:ascii="Arial" w:hAnsi="Arial"/>
          <w:sz w:val="22"/>
          <w:szCs w:val="22"/>
        </w:rPr>
        <w:t>The PBAC accepted rituximab SC is non-inferior in efficacy and safety compared with rituximab IV.</w:t>
      </w:r>
    </w:p>
    <w:p w:rsidR="00BB7EC3" w:rsidRPr="0048216A" w:rsidRDefault="00BB7EC3" w:rsidP="0048216A">
      <w:pPr>
        <w:jc w:val="both"/>
        <w:rPr>
          <w:rFonts w:ascii="Arial" w:hAnsi="Arial"/>
          <w:sz w:val="22"/>
          <w:szCs w:val="22"/>
        </w:rPr>
      </w:pPr>
    </w:p>
    <w:p w:rsidR="00BB7EC3" w:rsidRDefault="0048216A" w:rsidP="00207E11">
      <w:pPr>
        <w:pStyle w:val="ListParagraph"/>
        <w:numPr>
          <w:ilvl w:val="1"/>
          <w:numId w:val="25"/>
        </w:numPr>
        <w:ind w:left="709" w:hanging="709"/>
        <w:jc w:val="both"/>
        <w:rPr>
          <w:rFonts w:ascii="Arial" w:hAnsi="Arial"/>
          <w:sz w:val="22"/>
          <w:szCs w:val="22"/>
        </w:rPr>
      </w:pPr>
      <w:r>
        <w:rPr>
          <w:rFonts w:ascii="Arial" w:hAnsi="Arial"/>
          <w:sz w:val="22"/>
          <w:szCs w:val="22"/>
        </w:rPr>
        <w:t xml:space="preserve">The PBAC considered </w:t>
      </w:r>
      <w:r w:rsidR="002B74EB">
        <w:rPr>
          <w:rFonts w:ascii="Arial" w:hAnsi="Arial"/>
          <w:sz w:val="22"/>
          <w:szCs w:val="22"/>
        </w:rPr>
        <w:t xml:space="preserve">the cost minimisation against rituximab IV formulation is appropriate noting that the analysis </w:t>
      </w:r>
      <w:r w:rsidR="00D7275D">
        <w:rPr>
          <w:rFonts w:ascii="Arial" w:hAnsi="Arial"/>
          <w:sz w:val="22"/>
          <w:szCs w:val="22"/>
        </w:rPr>
        <w:t xml:space="preserve">is </w:t>
      </w:r>
      <w:r w:rsidR="002B74EB">
        <w:rPr>
          <w:rFonts w:ascii="Arial" w:hAnsi="Arial"/>
          <w:sz w:val="22"/>
          <w:szCs w:val="22"/>
        </w:rPr>
        <w:t>based simply on the price of the drug</w:t>
      </w:r>
      <w:r w:rsidR="00BB7EC3">
        <w:rPr>
          <w:rFonts w:ascii="Arial" w:hAnsi="Arial"/>
          <w:sz w:val="22"/>
          <w:szCs w:val="22"/>
        </w:rPr>
        <w:t xml:space="preserve">. </w:t>
      </w:r>
    </w:p>
    <w:p w:rsidR="00BB7EC3" w:rsidRPr="00BB7EC3" w:rsidRDefault="00BB7EC3" w:rsidP="00BB7EC3">
      <w:pPr>
        <w:pStyle w:val="ListParagraph"/>
        <w:rPr>
          <w:rFonts w:ascii="Arial" w:hAnsi="Arial"/>
          <w:sz w:val="22"/>
          <w:szCs w:val="22"/>
        </w:rPr>
      </w:pPr>
    </w:p>
    <w:p w:rsidR="002F7EA4" w:rsidRPr="002F7EA4" w:rsidRDefault="00BA5F42" w:rsidP="00207E11">
      <w:pPr>
        <w:pStyle w:val="ListParagraph"/>
        <w:numPr>
          <w:ilvl w:val="1"/>
          <w:numId w:val="25"/>
        </w:numPr>
        <w:ind w:left="709" w:hanging="709"/>
        <w:jc w:val="both"/>
        <w:rPr>
          <w:rFonts w:ascii="Arial" w:hAnsi="Arial"/>
          <w:sz w:val="22"/>
          <w:szCs w:val="22"/>
        </w:rPr>
      </w:pPr>
      <w:r w:rsidRPr="002F7EA4">
        <w:rPr>
          <w:rFonts w:ascii="Arial" w:hAnsi="Arial"/>
          <w:sz w:val="22"/>
          <w:szCs w:val="22"/>
        </w:rPr>
        <w:t>The PBAC noted the estimate net saving is due to the collection of two patient co-payments and reduced MBS billings</w:t>
      </w:r>
      <w:r w:rsidR="00BB7EC3" w:rsidRPr="002F7EA4">
        <w:rPr>
          <w:rFonts w:ascii="Arial" w:hAnsi="Arial"/>
          <w:sz w:val="22"/>
          <w:szCs w:val="22"/>
        </w:rPr>
        <w:t>.</w:t>
      </w:r>
      <w:r w:rsidRPr="002F7EA4">
        <w:rPr>
          <w:rFonts w:ascii="Arial" w:hAnsi="Arial"/>
          <w:sz w:val="22"/>
          <w:szCs w:val="22"/>
        </w:rPr>
        <w:t xml:space="preserve"> </w:t>
      </w:r>
      <w:r w:rsidR="002F7EA4" w:rsidRPr="002F7EA4">
        <w:rPr>
          <w:rFonts w:ascii="Arial" w:hAnsi="Arial"/>
          <w:sz w:val="22"/>
          <w:szCs w:val="22"/>
        </w:rPr>
        <w:t xml:space="preserve">The PBAC considered the estimate of the overall net savings may not be accurate as some patients who receive rituximab IV infusion may not switch to rituximab SC, especially patients receiving both IV rituximab and IV chemotherapy at the same consultation. </w:t>
      </w:r>
    </w:p>
    <w:p w:rsidR="009C703C" w:rsidRPr="00BA5F42" w:rsidRDefault="009C703C" w:rsidP="00BA5F42">
      <w:pPr>
        <w:jc w:val="both"/>
        <w:rPr>
          <w:rFonts w:ascii="Arial" w:hAnsi="Arial"/>
          <w:sz w:val="22"/>
          <w:szCs w:val="22"/>
        </w:rPr>
      </w:pPr>
    </w:p>
    <w:p w:rsidR="00BB7EC3" w:rsidRDefault="00BB7EC3" w:rsidP="00207E11">
      <w:pPr>
        <w:pStyle w:val="ListParagraph"/>
        <w:numPr>
          <w:ilvl w:val="1"/>
          <w:numId w:val="25"/>
        </w:numPr>
        <w:ind w:left="709" w:hanging="709"/>
        <w:jc w:val="both"/>
        <w:rPr>
          <w:rFonts w:ascii="Arial" w:hAnsi="Arial"/>
          <w:sz w:val="22"/>
          <w:szCs w:val="22"/>
        </w:rPr>
      </w:pPr>
      <w:r w:rsidRPr="00BA5F42">
        <w:rPr>
          <w:rFonts w:ascii="Arial" w:hAnsi="Arial"/>
          <w:sz w:val="22"/>
          <w:szCs w:val="22"/>
        </w:rPr>
        <w:t xml:space="preserve">The PBAC </w:t>
      </w:r>
      <w:r w:rsidR="00B95B57">
        <w:rPr>
          <w:rFonts w:ascii="Arial" w:hAnsi="Arial"/>
          <w:sz w:val="22"/>
          <w:szCs w:val="22"/>
        </w:rPr>
        <w:t xml:space="preserve">advised that under Section101 </w:t>
      </w:r>
      <w:r w:rsidR="00B95B57" w:rsidRPr="00BA5F42">
        <w:rPr>
          <w:rFonts w:ascii="Arial" w:hAnsi="Arial"/>
          <w:sz w:val="22"/>
          <w:szCs w:val="22"/>
        </w:rPr>
        <w:t xml:space="preserve">(3BA) </w:t>
      </w:r>
      <w:r w:rsidR="00B95B57">
        <w:rPr>
          <w:rFonts w:ascii="Arial" w:hAnsi="Arial"/>
          <w:sz w:val="22"/>
          <w:szCs w:val="22"/>
        </w:rPr>
        <w:t xml:space="preserve">of the </w:t>
      </w:r>
      <w:r w:rsidR="00B95B57" w:rsidRPr="00B95B57">
        <w:rPr>
          <w:rFonts w:ascii="Arial" w:hAnsi="Arial"/>
          <w:i/>
          <w:sz w:val="22"/>
          <w:szCs w:val="22"/>
        </w:rPr>
        <w:t>National Health Act 1953</w:t>
      </w:r>
      <w:r w:rsidR="00B95B57">
        <w:rPr>
          <w:rFonts w:ascii="Arial" w:hAnsi="Arial"/>
          <w:sz w:val="22"/>
          <w:szCs w:val="22"/>
        </w:rPr>
        <w:t xml:space="preserve"> </w:t>
      </w:r>
      <w:r w:rsidR="00BA5F42" w:rsidRPr="00BA5F42">
        <w:rPr>
          <w:rFonts w:ascii="Arial" w:hAnsi="Arial"/>
          <w:sz w:val="22"/>
          <w:szCs w:val="22"/>
        </w:rPr>
        <w:t xml:space="preserve">rituximab SC </w:t>
      </w:r>
      <w:r w:rsidRPr="00BA5F42">
        <w:rPr>
          <w:rFonts w:ascii="Arial" w:hAnsi="Arial"/>
          <w:sz w:val="22"/>
          <w:szCs w:val="22"/>
        </w:rPr>
        <w:t xml:space="preserve">should be treated as interchangeable on an individual patient basis with </w:t>
      </w:r>
      <w:r w:rsidR="00BA5F42" w:rsidRPr="00BA5F42">
        <w:rPr>
          <w:rFonts w:ascii="Arial" w:hAnsi="Arial"/>
          <w:sz w:val="22"/>
          <w:szCs w:val="22"/>
        </w:rPr>
        <w:t>rituximab IV</w:t>
      </w:r>
      <w:r w:rsidR="00BA5F42">
        <w:rPr>
          <w:rFonts w:ascii="Arial" w:hAnsi="Arial"/>
          <w:sz w:val="22"/>
          <w:szCs w:val="22"/>
        </w:rPr>
        <w:t>.</w:t>
      </w:r>
    </w:p>
    <w:p w:rsidR="00BB7EC3" w:rsidRPr="00BB7EC3" w:rsidRDefault="00BB7EC3" w:rsidP="00BB7EC3">
      <w:pPr>
        <w:jc w:val="both"/>
        <w:rPr>
          <w:rFonts w:ascii="Arial" w:hAnsi="Arial"/>
          <w:sz w:val="22"/>
          <w:szCs w:val="22"/>
        </w:rPr>
      </w:pPr>
    </w:p>
    <w:p w:rsidR="00BB7EC3" w:rsidRDefault="00BA5F42" w:rsidP="00207E11">
      <w:pPr>
        <w:pStyle w:val="ListParagraph"/>
        <w:numPr>
          <w:ilvl w:val="1"/>
          <w:numId w:val="25"/>
        </w:numPr>
        <w:ind w:left="709" w:hanging="709"/>
        <w:jc w:val="both"/>
        <w:rPr>
          <w:rFonts w:ascii="Arial" w:hAnsi="Arial"/>
          <w:sz w:val="22"/>
          <w:szCs w:val="22"/>
        </w:rPr>
      </w:pPr>
      <w:r>
        <w:rPr>
          <w:rFonts w:ascii="Arial" w:hAnsi="Arial"/>
          <w:sz w:val="22"/>
          <w:szCs w:val="22"/>
        </w:rPr>
        <w:t xml:space="preserve">The PBAC advised that rituximab is </w:t>
      </w:r>
      <w:r w:rsidR="00BB7EC3">
        <w:rPr>
          <w:rFonts w:ascii="Arial" w:hAnsi="Arial"/>
          <w:sz w:val="22"/>
          <w:szCs w:val="22"/>
        </w:rPr>
        <w:t xml:space="preserve">not suitable for prescribing by </w:t>
      </w:r>
      <w:r w:rsidR="00B43E90" w:rsidRPr="00882085">
        <w:rPr>
          <w:rFonts w:ascii="Arial" w:hAnsi="Arial"/>
          <w:sz w:val="22"/>
          <w:szCs w:val="22"/>
        </w:rPr>
        <w:t>nurse practitioner</w:t>
      </w:r>
      <w:r w:rsidR="00BB7EC3">
        <w:rPr>
          <w:rFonts w:ascii="Arial" w:hAnsi="Arial"/>
          <w:sz w:val="22"/>
          <w:szCs w:val="22"/>
        </w:rPr>
        <w:t xml:space="preserve">s. </w:t>
      </w:r>
      <w:r w:rsidR="00B43E90" w:rsidRPr="00882085">
        <w:rPr>
          <w:rFonts w:ascii="Arial" w:hAnsi="Arial"/>
          <w:sz w:val="22"/>
          <w:szCs w:val="22"/>
        </w:rPr>
        <w:t xml:space="preserve"> </w:t>
      </w:r>
    </w:p>
    <w:p w:rsidR="00BB7EC3" w:rsidRPr="00BB7EC3" w:rsidRDefault="00BB7EC3" w:rsidP="00BB7EC3">
      <w:pPr>
        <w:pStyle w:val="ListParagraph"/>
        <w:rPr>
          <w:rFonts w:ascii="Arial" w:hAnsi="Arial"/>
          <w:sz w:val="22"/>
          <w:szCs w:val="22"/>
        </w:rPr>
      </w:pPr>
    </w:p>
    <w:p w:rsidR="00BB7EC3" w:rsidRDefault="00BB7EC3" w:rsidP="00207E11">
      <w:pPr>
        <w:pStyle w:val="ListParagraph"/>
        <w:numPr>
          <w:ilvl w:val="1"/>
          <w:numId w:val="25"/>
        </w:numPr>
        <w:ind w:left="709" w:hanging="709"/>
        <w:jc w:val="both"/>
        <w:rPr>
          <w:rFonts w:ascii="Arial" w:hAnsi="Arial"/>
          <w:sz w:val="22"/>
          <w:szCs w:val="22"/>
        </w:rPr>
      </w:pPr>
      <w:r>
        <w:rPr>
          <w:rFonts w:ascii="Arial" w:hAnsi="Arial"/>
          <w:sz w:val="22"/>
          <w:szCs w:val="22"/>
        </w:rPr>
        <w:t>The PBAC recommended that the Safety Net 20 Day Rule should not apply.</w:t>
      </w:r>
      <w:r w:rsidR="00B43E90" w:rsidRPr="00882085">
        <w:rPr>
          <w:rFonts w:ascii="Arial" w:hAnsi="Arial"/>
          <w:sz w:val="22"/>
          <w:szCs w:val="22"/>
        </w:rPr>
        <w:t xml:space="preserve"> </w:t>
      </w:r>
    </w:p>
    <w:p w:rsidR="00BB7EC3" w:rsidRPr="00BB7EC3" w:rsidRDefault="00BB7EC3" w:rsidP="00BB7EC3">
      <w:pPr>
        <w:pStyle w:val="ListParagraph"/>
        <w:rPr>
          <w:rFonts w:ascii="Arial" w:hAnsi="Arial"/>
          <w:sz w:val="22"/>
          <w:szCs w:val="22"/>
        </w:rPr>
      </w:pPr>
    </w:p>
    <w:p w:rsidR="00DF26A7" w:rsidRPr="00BA5F42" w:rsidRDefault="00BB7EC3" w:rsidP="00207E11">
      <w:pPr>
        <w:pStyle w:val="ListParagraph"/>
        <w:numPr>
          <w:ilvl w:val="1"/>
          <w:numId w:val="25"/>
        </w:numPr>
        <w:ind w:left="709" w:hanging="709"/>
        <w:jc w:val="both"/>
        <w:rPr>
          <w:rFonts w:ascii="Arial" w:hAnsi="Arial"/>
          <w:sz w:val="22"/>
          <w:szCs w:val="22"/>
        </w:rPr>
      </w:pPr>
      <w:r>
        <w:rPr>
          <w:rFonts w:ascii="Arial" w:hAnsi="Arial"/>
          <w:sz w:val="22"/>
          <w:szCs w:val="22"/>
        </w:rPr>
        <w:t>The PBA</w:t>
      </w:r>
      <w:r w:rsidR="00BA5F42">
        <w:rPr>
          <w:rFonts w:ascii="Arial" w:hAnsi="Arial"/>
          <w:sz w:val="22"/>
          <w:szCs w:val="22"/>
        </w:rPr>
        <w:t xml:space="preserve">C noted that this submission </w:t>
      </w:r>
      <w:r>
        <w:rPr>
          <w:rFonts w:ascii="Arial" w:hAnsi="Arial"/>
          <w:sz w:val="22"/>
          <w:szCs w:val="22"/>
        </w:rPr>
        <w:t xml:space="preserve">is not </w:t>
      </w:r>
      <w:r w:rsidR="00B43E90" w:rsidRPr="00882085">
        <w:rPr>
          <w:rFonts w:ascii="Arial" w:hAnsi="Arial"/>
          <w:sz w:val="22"/>
          <w:szCs w:val="22"/>
        </w:rPr>
        <w:t>eligibl</w:t>
      </w:r>
      <w:r>
        <w:rPr>
          <w:rFonts w:ascii="Arial" w:hAnsi="Arial"/>
          <w:sz w:val="22"/>
          <w:szCs w:val="22"/>
        </w:rPr>
        <w:t>e</w:t>
      </w:r>
      <w:r w:rsidR="00B43E90" w:rsidRPr="00882085">
        <w:rPr>
          <w:rFonts w:ascii="Arial" w:hAnsi="Arial"/>
          <w:sz w:val="22"/>
          <w:szCs w:val="22"/>
        </w:rPr>
        <w:t xml:space="preserve"> for </w:t>
      </w:r>
      <w:r>
        <w:rPr>
          <w:rFonts w:ascii="Arial" w:hAnsi="Arial"/>
          <w:sz w:val="22"/>
          <w:szCs w:val="22"/>
        </w:rPr>
        <w:t xml:space="preserve">an </w:t>
      </w:r>
      <w:r w:rsidR="00B43E90" w:rsidRPr="00882085">
        <w:rPr>
          <w:rFonts w:ascii="Arial" w:hAnsi="Arial"/>
          <w:sz w:val="22"/>
          <w:szCs w:val="22"/>
        </w:rPr>
        <w:t>Independent Review.</w:t>
      </w:r>
      <w:r>
        <w:rPr>
          <w:rFonts w:ascii="Arial" w:hAnsi="Arial"/>
          <w:sz w:val="22"/>
          <w:szCs w:val="22"/>
        </w:rPr>
        <w:t xml:space="preserve"> </w:t>
      </w:r>
    </w:p>
    <w:p w:rsidR="00BA5F42" w:rsidRPr="00BA5F42" w:rsidRDefault="00BA5F42" w:rsidP="00BA5F42">
      <w:pPr>
        <w:pStyle w:val="ListParagraph"/>
        <w:rPr>
          <w:rFonts w:ascii="Arial" w:hAnsi="Arial"/>
          <w:sz w:val="22"/>
          <w:szCs w:val="22"/>
        </w:rPr>
      </w:pPr>
    </w:p>
    <w:p w:rsidR="00BA5F42" w:rsidRPr="00882085" w:rsidRDefault="00BA5F42" w:rsidP="00BA5F42">
      <w:pPr>
        <w:pStyle w:val="ListParagraph"/>
        <w:ind w:left="709"/>
        <w:jc w:val="both"/>
        <w:rPr>
          <w:rFonts w:ascii="Arial" w:hAnsi="Arial"/>
          <w:sz w:val="22"/>
          <w:szCs w:val="22"/>
        </w:rPr>
      </w:pPr>
    </w:p>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9C703C" w:rsidRDefault="009C703C" w:rsidP="00882085">
      <w:pPr>
        <w:jc w:val="both"/>
        <w:rPr>
          <w:rFonts w:ascii="Arial" w:hAnsi="Arial"/>
          <w:sz w:val="22"/>
          <w:szCs w:val="22"/>
        </w:rPr>
      </w:pPr>
      <w:r w:rsidRPr="00882085">
        <w:rPr>
          <w:rFonts w:ascii="Arial" w:hAnsi="Arial"/>
          <w:sz w:val="22"/>
          <w:szCs w:val="22"/>
        </w:rPr>
        <w:t xml:space="preserve">Recommended </w:t>
      </w:r>
    </w:p>
    <w:p w:rsidR="00BB7EC3" w:rsidRDefault="00BB7EC3" w:rsidP="00882085">
      <w:pPr>
        <w:jc w:val="both"/>
        <w:rPr>
          <w:rFonts w:ascii="Arial" w:hAnsi="Arial"/>
          <w:sz w:val="22"/>
          <w:szCs w:val="22"/>
        </w:rPr>
      </w:pPr>
    </w:p>
    <w:p w:rsidR="00E16910" w:rsidRPr="00882085" w:rsidRDefault="00E16910" w:rsidP="00882085">
      <w:pPr>
        <w:jc w:val="both"/>
        <w:rPr>
          <w:rFonts w:ascii="Arial" w:hAnsi="Arial"/>
          <w:sz w:val="22"/>
          <w:szCs w:val="22"/>
        </w:rPr>
      </w:pPr>
    </w:p>
    <w:p w:rsidR="00E91B96" w:rsidRPr="00882085" w:rsidRDefault="007C0F57" w:rsidP="00271FDD">
      <w:pPr>
        <w:pStyle w:val="Header"/>
        <w:numPr>
          <w:ilvl w:val="0"/>
          <w:numId w:val="25"/>
        </w:numPr>
        <w:tabs>
          <w:tab w:val="clear" w:pos="4153"/>
          <w:tab w:val="clear" w:pos="8306"/>
        </w:tabs>
        <w:jc w:val="both"/>
        <w:rPr>
          <w:rFonts w:ascii="Arial" w:hAnsi="Arial"/>
          <w:b/>
          <w:i/>
          <w:sz w:val="22"/>
          <w:szCs w:val="22"/>
        </w:rPr>
      </w:pPr>
      <w:r w:rsidRPr="00882085">
        <w:rPr>
          <w:rFonts w:ascii="Arial" w:hAnsi="Arial" w:cs="Arial"/>
          <w:b/>
          <w:sz w:val="22"/>
          <w:szCs w:val="22"/>
        </w:rPr>
        <w:t>Recommend</w:t>
      </w:r>
      <w:r w:rsidR="00B43E90" w:rsidRPr="00882085">
        <w:rPr>
          <w:rFonts w:ascii="Arial" w:hAnsi="Arial" w:cs="Arial"/>
          <w:b/>
          <w:sz w:val="22"/>
          <w:szCs w:val="22"/>
        </w:rPr>
        <w:t>ed listing</w:t>
      </w:r>
    </w:p>
    <w:p w:rsidR="00190709" w:rsidRPr="00190709" w:rsidRDefault="00190709" w:rsidP="00190709">
      <w:pPr>
        <w:jc w:val="both"/>
        <w:rPr>
          <w:rFonts w:ascii="Arial" w:hAnsi="Arial"/>
          <w:sz w:val="22"/>
          <w:szCs w:val="22"/>
        </w:rPr>
      </w:pPr>
    </w:p>
    <w:p w:rsidR="00D0321E" w:rsidRDefault="00190709" w:rsidP="00207E11">
      <w:pPr>
        <w:pStyle w:val="ListParagraph"/>
        <w:numPr>
          <w:ilvl w:val="1"/>
          <w:numId w:val="25"/>
        </w:numPr>
        <w:ind w:left="709" w:hanging="709"/>
        <w:jc w:val="both"/>
        <w:rPr>
          <w:rFonts w:ascii="Arial" w:hAnsi="Arial"/>
          <w:sz w:val="22"/>
          <w:szCs w:val="22"/>
        </w:rPr>
      </w:pPr>
      <w:r w:rsidRPr="00882085">
        <w:rPr>
          <w:rFonts w:ascii="Arial" w:hAnsi="Arial"/>
          <w:sz w:val="22"/>
          <w:szCs w:val="22"/>
        </w:rPr>
        <w:t xml:space="preserve">Add new item: </w:t>
      </w:r>
    </w:p>
    <w:p w:rsidR="00E75047" w:rsidRDefault="00E75047" w:rsidP="00E75047">
      <w:pPr>
        <w:jc w:val="both"/>
        <w:rPr>
          <w:rFonts w:ascii="Arial" w:hAnsi="Arial"/>
          <w:sz w:val="22"/>
          <w:szCs w:val="22"/>
        </w:rPr>
      </w:pPr>
    </w:p>
    <w:p w:rsidR="00B87187" w:rsidRPr="00B87187" w:rsidRDefault="00B87187" w:rsidP="00B87187">
      <w:pPr>
        <w:ind w:left="709"/>
        <w:jc w:val="both"/>
        <w:rPr>
          <w:rFonts w:ascii="Arial" w:hAnsi="Arial" w:cs="Arial"/>
          <w:sz w:val="22"/>
          <w:szCs w:val="22"/>
          <w:u w:val="single"/>
        </w:rPr>
      </w:pPr>
      <w:r w:rsidRPr="00B87187">
        <w:rPr>
          <w:rFonts w:ascii="Arial" w:hAnsi="Arial" w:cs="Arial"/>
          <w:sz w:val="22"/>
          <w:szCs w:val="22"/>
          <w:u w:val="single"/>
        </w:rPr>
        <w:t>Induction for previously untreated diffuse large B-cell non-Hodgkin’s lymphoma:</w:t>
      </w:r>
    </w:p>
    <w:p w:rsidR="00B87187" w:rsidRPr="00B87187" w:rsidRDefault="00B87187" w:rsidP="00B87187">
      <w:pPr>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2410"/>
        <w:gridCol w:w="425"/>
        <w:gridCol w:w="851"/>
        <w:gridCol w:w="992"/>
        <w:gridCol w:w="1276"/>
        <w:gridCol w:w="2409"/>
      </w:tblGrid>
      <w:tr w:rsidR="00B87187" w:rsidRPr="00B87187" w:rsidTr="00DD6536">
        <w:trPr>
          <w:cantSplit/>
          <w:trHeight w:val="471"/>
        </w:trPr>
        <w:tc>
          <w:tcPr>
            <w:tcW w:w="2410" w:type="dxa"/>
            <w:tcBorders>
              <w:bottom w:val="single" w:sz="4" w:space="0" w:color="auto"/>
            </w:tcBorders>
          </w:tcPr>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Name, Restriction,</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Manner of administration and form</w:t>
            </w:r>
          </w:p>
        </w:tc>
        <w:tc>
          <w:tcPr>
            <w:tcW w:w="1276" w:type="dxa"/>
            <w:gridSpan w:val="2"/>
            <w:tcBorders>
              <w:bottom w:val="single" w:sz="4" w:space="0" w:color="auto"/>
            </w:tcBorders>
          </w:tcPr>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Max.</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Qty</w:t>
            </w:r>
          </w:p>
        </w:tc>
        <w:tc>
          <w:tcPr>
            <w:tcW w:w="992" w:type="dxa"/>
            <w:tcBorders>
              <w:bottom w:val="single" w:sz="4" w:space="0" w:color="auto"/>
            </w:tcBorders>
          </w:tcPr>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№.of</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Rpts</w:t>
            </w:r>
          </w:p>
        </w:tc>
        <w:tc>
          <w:tcPr>
            <w:tcW w:w="3685" w:type="dxa"/>
            <w:gridSpan w:val="2"/>
            <w:tcBorders>
              <w:bottom w:val="single" w:sz="4" w:space="0" w:color="auto"/>
            </w:tcBorders>
          </w:tcPr>
          <w:p w:rsidR="00B87187" w:rsidRPr="00B87187" w:rsidRDefault="00B87187" w:rsidP="00B87187">
            <w:pPr>
              <w:keepNext/>
              <w:jc w:val="both"/>
              <w:rPr>
                <w:rFonts w:ascii="Arial Narrow" w:hAnsi="Arial Narrow" w:cs="Arial"/>
                <w:sz w:val="20"/>
                <w:szCs w:val="20"/>
                <w:lang w:val="fr-FR"/>
              </w:rPr>
            </w:pPr>
            <w:r w:rsidRPr="00B87187">
              <w:rPr>
                <w:rFonts w:ascii="Arial Narrow" w:hAnsi="Arial Narrow" w:cs="Arial"/>
                <w:sz w:val="20"/>
                <w:szCs w:val="20"/>
              </w:rPr>
              <w:t>Proprietary Name and Manufacturer</w:t>
            </w:r>
          </w:p>
        </w:tc>
      </w:tr>
      <w:tr w:rsidR="00B87187" w:rsidRPr="00B87187" w:rsidTr="00DD6536">
        <w:trPr>
          <w:cantSplit/>
          <w:trHeight w:val="577"/>
        </w:trPr>
        <w:tc>
          <w:tcPr>
            <w:tcW w:w="2410" w:type="dxa"/>
          </w:tcPr>
          <w:p w:rsidR="00B87187" w:rsidRPr="00B87187" w:rsidRDefault="00B87187" w:rsidP="00B87187">
            <w:pPr>
              <w:keepNext/>
              <w:ind w:left="-108"/>
              <w:rPr>
                <w:rFonts w:ascii="Arial Narrow" w:hAnsi="Arial Narrow" w:cs="Arial"/>
                <w:smallCaps/>
                <w:sz w:val="20"/>
                <w:szCs w:val="20"/>
              </w:rPr>
            </w:pPr>
            <w:r w:rsidRPr="00B87187">
              <w:rPr>
                <w:rFonts w:ascii="Arial Narrow" w:hAnsi="Arial Narrow" w:cs="Arial"/>
                <w:smallCaps/>
                <w:sz w:val="20"/>
                <w:szCs w:val="20"/>
              </w:rPr>
              <w:t xml:space="preserve">Rituximab  </w:t>
            </w:r>
          </w:p>
          <w:p w:rsidR="00B87187" w:rsidRPr="00B87187" w:rsidRDefault="00B87187" w:rsidP="00B87187">
            <w:pPr>
              <w:keepNext/>
              <w:ind w:left="-108"/>
              <w:rPr>
                <w:rFonts w:ascii="Arial Narrow" w:hAnsi="Arial Narrow" w:cs="Arial"/>
                <w:smallCaps/>
                <w:sz w:val="20"/>
                <w:szCs w:val="20"/>
              </w:rPr>
            </w:pPr>
            <w:r w:rsidRPr="00B87187">
              <w:rPr>
                <w:rFonts w:ascii="Arial Narrow" w:hAnsi="Arial Narrow"/>
                <w:sz w:val="20"/>
                <w:szCs w:val="20"/>
              </w:rPr>
              <w:t>Solution for subcutaneous injection</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mallCaps/>
                <w:sz w:val="20"/>
                <w:szCs w:val="20"/>
              </w:rPr>
              <w:t>1,400 mg/11.7mL</w:t>
            </w:r>
          </w:p>
        </w:tc>
        <w:tc>
          <w:tcPr>
            <w:tcW w:w="1276" w:type="dxa"/>
            <w:gridSpan w:val="2"/>
          </w:tcPr>
          <w:p w:rsidR="00B87187" w:rsidRPr="00B87187" w:rsidRDefault="00B87187" w:rsidP="00B87187">
            <w:pPr>
              <w:keepNext/>
              <w:jc w:val="both"/>
              <w:rPr>
                <w:rFonts w:ascii="Arial Narrow" w:hAnsi="Arial Narrow" w:cs="Arial"/>
                <w:sz w:val="20"/>
                <w:szCs w:val="20"/>
              </w:rPr>
            </w:pPr>
          </w:p>
          <w:p w:rsidR="00B87187" w:rsidRPr="00B87187" w:rsidRDefault="00B87187" w:rsidP="00B87187">
            <w:pPr>
              <w:keepNext/>
              <w:jc w:val="both"/>
              <w:rPr>
                <w:rFonts w:ascii="Arial Narrow" w:hAnsi="Arial Narrow" w:cs="Arial"/>
                <w:sz w:val="20"/>
                <w:szCs w:val="20"/>
              </w:rPr>
            </w:pPr>
            <w:r w:rsidRPr="00B87187">
              <w:rPr>
                <w:rFonts w:ascii="Arial Narrow" w:hAnsi="Arial Narrow" w:cs="Arial"/>
                <w:sz w:val="20"/>
                <w:szCs w:val="20"/>
              </w:rPr>
              <w:t>1,400 mg</w:t>
            </w:r>
          </w:p>
        </w:tc>
        <w:tc>
          <w:tcPr>
            <w:tcW w:w="992" w:type="dxa"/>
          </w:tcPr>
          <w:p w:rsidR="00B87187" w:rsidRPr="00B87187" w:rsidRDefault="00B87187" w:rsidP="00B87187">
            <w:pPr>
              <w:keepNext/>
              <w:ind w:left="-108"/>
              <w:jc w:val="both"/>
              <w:rPr>
                <w:rFonts w:ascii="Arial Narrow" w:hAnsi="Arial Narrow" w:cs="Arial"/>
                <w:sz w:val="20"/>
                <w:szCs w:val="20"/>
              </w:rPr>
            </w:pP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6</w:t>
            </w:r>
          </w:p>
        </w:tc>
        <w:tc>
          <w:tcPr>
            <w:tcW w:w="1276" w:type="dxa"/>
          </w:tcPr>
          <w:p w:rsidR="00B87187" w:rsidRPr="00B87187" w:rsidRDefault="00B87187" w:rsidP="00B87187">
            <w:pPr>
              <w:keepNext/>
              <w:jc w:val="both"/>
              <w:rPr>
                <w:rFonts w:ascii="Arial Narrow" w:hAnsi="Arial Narrow" w:cs="Arial"/>
                <w:sz w:val="20"/>
                <w:szCs w:val="20"/>
              </w:rPr>
            </w:pPr>
            <w:r w:rsidRPr="00B87187">
              <w:rPr>
                <w:rFonts w:ascii="Arial Narrow" w:hAnsi="Arial Narrow" w:cs="Arial"/>
                <w:sz w:val="20"/>
                <w:szCs w:val="20"/>
              </w:rPr>
              <w:t>Mabthera</w:t>
            </w:r>
            <w:r w:rsidRPr="00B87187">
              <w:rPr>
                <w:rFonts w:ascii="Arial Narrow" w:hAnsi="Arial Narrow" w:cs="Arial"/>
                <w:b/>
                <w:sz w:val="20"/>
                <w:szCs w:val="20"/>
                <w:vertAlign w:val="superscript"/>
              </w:rPr>
              <w:t>®</w:t>
            </w:r>
            <w:r w:rsidRPr="00B87187">
              <w:rPr>
                <w:rFonts w:ascii="Arial Narrow" w:hAnsi="Arial Narrow" w:cs="Arial"/>
                <w:sz w:val="20"/>
                <w:szCs w:val="20"/>
              </w:rPr>
              <w:t>SC</w:t>
            </w:r>
          </w:p>
        </w:tc>
        <w:tc>
          <w:tcPr>
            <w:tcW w:w="2409" w:type="dxa"/>
          </w:tcPr>
          <w:p w:rsidR="00B87187" w:rsidRPr="00B87187" w:rsidRDefault="00B87187" w:rsidP="00B87187">
            <w:pPr>
              <w:keepNext/>
              <w:jc w:val="both"/>
              <w:rPr>
                <w:rFonts w:ascii="Arial Narrow" w:hAnsi="Arial Narrow" w:cs="Arial"/>
                <w:sz w:val="20"/>
                <w:szCs w:val="20"/>
              </w:rPr>
            </w:pPr>
            <w:r w:rsidRPr="00B87187">
              <w:rPr>
                <w:rFonts w:ascii="Arial Narrow" w:hAnsi="Arial Narrow" w:cs="Calibri"/>
                <w:bCs/>
                <w:sz w:val="20"/>
                <w:szCs w:val="20"/>
                <w:lang w:eastAsia="en-US"/>
              </w:rPr>
              <w:t>Roche Products Pty Limited</w:t>
            </w:r>
          </w:p>
        </w:tc>
      </w:tr>
      <w:tr w:rsidR="00B87187" w:rsidRPr="00B87187" w:rsidTr="00DD6536">
        <w:trPr>
          <w:cantSplit/>
          <w:trHeight w:val="360"/>
        </w:trPr>
        <w:tc>
          <w:tcPr>
            <w:tcW w:w="8363" w:type="dxa"/>
            <w:gridSpan w:val="6"/>
            <w:tcBorders>
              <w:bottom w:val="single" w:sz="4" w:space="0" w:color="auto"/>
            </w:tcBorders>
          </w:tcPr>
          <w:p w:rsidR="00B87187" w:rsidRPr="00B87187" w:rsidRDefault="00B87187" w:rsidP="00B87187">
            <w:pPr>
              <w:jc w:val="both"/>
              <w:rPr>
                <w:rFonts w:ascii="Arial Narrow" w:hAnsi="Arial Narrow" w:cs="Arial"/>
                <w:sz w:val="20"/>
                <w:szCs w:val="20"/>
              </w:rPr>
            </w:pP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lastRenderedPageBreak/>
              <w:t xml:space="preserve">Category / </w:t>
            </w:r>
          </w:p>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Program</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GENERAL SCHEDULE</w:t>
            </w:r>
          </w:p>
          <w:p w:rsidR="00B87187" w:rsidRPr="00B87187" w:rsidRDefault="00B87187" w:rsidP="00B87187">
            <w:pPr>
              <w:ind w:left="720" w:hanging="720"/>
              <w:rPr>
                <w:rFonts w:ascii="Arial Narrow" w:hAnsi="Arial Narrow" w:cs="Arial"/>
                <w:sz w:val="20"/>
                <w:szCs w:val="20"/>
              </w:rPr>
            </w:pPr>
            <w:r w:rsidRPr="00B87187">
              <w:rPr>
                <w:rFonts w:ascii="Arial Narrow" w:hAnsi="Arial Narrow" w:cs="Arial"/>
                <w:sz w:val="20"/>
                <w:szCs w:val="20"/>
              </w:rPr>
              <w:t>S100 – Chemotherapy Scheme – CPAP Public Hospital (CT)</w:t>
            </w:r>
          </w:p>
          <w:p w:rsidR="00B87187" w:rsidRPr="00B87187" w:rsidRDefault="00B87187" w:rsidP="00B87187">
            <w:pPr>
              <w:rPr>
                <w:rFonts w:ascii="Arial Narrow" w:hAnsi="Arial Narrow" w:cs="Arial"/>
                <w:sz w:val="20"/>
                <w:szCs w:val="20"/>
              </w:rPr>
            </w:pP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Prescriber type:</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Check1"/>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 xml:space="preserve">Dental  </w:t>
            </w:r>
            <w:r w:rsidRPr="00B87187">
              <w:rPr>
                <w:rFonts w:ascii="Arial Narrow" w:hAnsi="Arial Narrow" w:cs="Arial"/>
                <w:sz w:val="20"/>
                <w:szCs w:val="20"/>
              </w:rPr>
              <w:fldChar w:fldCharType="begin">
                <w:ffData>
                  <w:name w:val=""/>
                  <w:enabled/>
                  <w:calcOnExit w:val="0"/>
                  <w:checkBox>
                    <w:sizeAuto/>
                    <w:default w:val="1"/>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 xml:space="preserve">Medical Practitioners  </w:t>
            </w:r>
            <w:r w:rsidRPr="00B87187">
              <w:rPr>
                <w:rFonts w:ascii="Arial Narrow" w:hAnsi="Arial Narrow" w:cs="Arial"/>
                <w:sz w:val="20"/>
                <w:szCs w:val="20"/>
              </w:rPr>
              <w:fldChar w:fldCharType="begin">
                <w:ffData>
                  <w:name w:val="Check3"/>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 xml:space="preserve">Nurse practitioners  </w:t>
            </w: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Optometrists</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Check5"/>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Midwives</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Episodicity:</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Previously untreated</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Severity:</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Condition:</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lang w:val="en-US"/>
              </w:rPr>
              <w:t>CD20 positive diffuse large B-cell Non-Hodgkin’s lymphoma</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Treatment phase:</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lang w:val="en-US"/>
              </w:rPr>
              <w:t>Induction treatment</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Restriction Level / Method:</w:t>
            </w:r>
          </w:p>
          <w:p w:rsidR="00B87187" w:rsidRPr="00B87187" w:rsidRDefault="00B87187" w:rsidP="00B87187">
            <w:pPr>
              <w:rPr>
                <w:rFonts w:ascii="Arial Narrow" w:hAnsi="Arial Narrow" w:cs="Arial"/>
                <w:sz w:val="20"/>
                <w:szCs w:val="20"/>
              </w:rPr>
            </w:pP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Check1"/>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Restricted benefit</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In Writing</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Check3"/>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Telephone</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Emergency</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Check5"/>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Electronic</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OR</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1"/>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Streamlined</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Clinical criteria:</w:t>
            </w:r>
          </w:p>
          <w:p w:rsidR="00B87187" w:rsidRPr="00B87187" w:rsidRDefault="00B87187" w:rsidP="00B87187">
            <w:pPr>
              <w:jc w:val="both"/>
              <w:rPr>
                <w:rFonts w:ascii="Arial Narrow" w:hAnsi="Arial Narrow" w:cs="Arial"/>
                <w:i/>
                <w:sz w:val="20"/>
                <w:szCs w:val="20"/>
              </w:rPr>
            </w:pPr>
          </w:p>
          <w:p w:rsidR="00B87187" w:rsidRPr="00B87187" w:rsidRDefault="00B87187" w:rsidP="00B87187">
            <w:pPr>
              <w:jc w:val="both"/>
              <w:rPr>
                <w:rFonts w:ascii="Arial Narrow" w:hAnsi="Arial Narrow" w:cs="Arial"/>
                <w:sz w:val="20"/>
                <w:szCs w:val="20"/>
              </w:rPr>
            </w:pP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The treatment must be in combination with chemotherapy,</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AND</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The condition must be previously untreated,</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AND</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The condition must be symptomatic,</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AND</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The treatment must be for induction treatment purposes only,</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AND</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Patient must not receive more than 8 doses of rituximab in total, including intravenous and subcutaneous injections, and no more than 7 doses of subcutaneous rituximab under this restriction.</w:t>
            </w:r>
          </w:p>
          <w:p w:rsidR="00B87187" w:rsidRPr="00B87187" w:rsidRDefault="00B87187" w:rsidP="00B87187">
            <w:pPr>
              <w:rPr>
                <w:rFonts w:ascii="Arial Narrow" w:hAnsi="Arial Narrow" w:cs="Arial"/>
                <w:sz w:val="20"/>
                <w:szCs w:val="20"/>
              </w:rPr>
            </w:pP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Prescriber Instruction</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rPr>
              <w:t>An initial dose of rituximab must be administered with rituximab intravenous injection. Subsequent doses may be administered with either intravenous or subcutaneous rituximab with no more than 8 doses in total.</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Administrative Advice</w:t>
            </w:r>
          </w:p>
          <w:p w:rsidR="00B87187" w:rsidRPr="00B87187" w:rsidRDefault="00B87187" w:rsidP="00B87187">
            <w:pPr>
              <w:jc w:val="both"/>
              <w:rPr>
                <w:rFonts w:ascii="Arial Narrow" w:hAnsi="Arial Narrow" w:cs="Arial"/>
                <w:i/>
                <w:sz w:val="20"/>
                <w:szCs w:val="20"/>
              </w:rPr>
            </w:pP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A patient may only qualify for PBS-subsidised treatment under this restriction once in a lifetime.</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Administrative Advice</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No increase in the maximum number of repeats may be authorised.</w:t>
            </w:r>
          </w:p>
        </w:tc>
      </w:tr>
    </w:tbl>
    <w:p w:rsidR="00B87187" w:rsidRPr="00B87187" w:rsidRDefault="00B87187" w:rsidP="00B87187">
      <w:pPr>
        <w:jc w:val="both"/>
        <w:rPr>
          <w:rFonts w:ascii="Arial" w:hAnsi="Arial"/>
          <w:sz w:val="22"/>
          <w:szCs w:val="22"/>
        </w:rPr>
      </w:pPr>
    </w:p>
    <w:p w:rsidR="00B87187" w:rsidRPr="00B87187" w:rsidRDefault="00B87187" w:rsidP="00B87187">
      <w:pPr>
        <w:rPr>
          <w:rFonts w:ascii="Arial" w:hAnsi="Arial"/>
          <w:sz w:val="22"/>
          <w:szCs w:val="22"/>
        </w:rPr>
      </w:pPr>
      <w:r w:rsidRPr="00B87187">
        <w:rPr>
          <w:rFonts w:ascii="Arial" w:hAnsi="Arial"/>
          <w:sz w:val="22"/>
          <w:szCs w:val="22"/>
        </w:rPr>
        <w:br w:type="page"/>
      </w:r>
    </w:p>
    <w:p w:rsidR="00B87187" w:rsidRPr="00B87187" w:rsidRDefault="00B87187" w:rsidP="00B87187">
      <w:pPr>
        <w:ind w:firstLine="720"/>
        <w:jc w:val="both"/>
        <w:rPr>
          <w:rFonts w:ascii="Arial" w:hAnsi="Arial" w:cs="Arial"/>
          <w:sz w:val="22"/>
          <w:szCs w:val="22"/>
          <w:u w:val="single"/>
        </w:rPr>
      </w:pPr>
      <w:r w:rsidRPr="00B87187">
        <w:rPr>
          <w:rFonts w:ascii="Arial" w:hAnsi="Arial" w:cs="Arial"/>
          <w:sz w:val="22"/>
          <w:szCs w:val="22"/>
          <w:u w:val="single"/>
        </w:rPr>
        <w:lastRenderedPageBreak/>
        <w:t>Induction for previously untreated follicular non-Hodgkin’s lymphoma:</w:t>
      </w:r>
    </w:p>
    <w:p w:rsidR="00B87187" w:rsidRPr="00B87187" w:rsidRDefault="00B87187" w:rsidP="00B87187">
      <w:pPr>
        <w:jc w:val="both"/>
        <w:rPr>
          <w:rFonts w:ascii="Arial" w:hAnsi="Arial" w:cs="Arial"/>
          <w:sz w:val="22"/>
          <w:szCs w:val="22"/>
        </w:rPr>
      </w:pPr>
    </w:p>
    <w:tbl>
      <w:tblPr>
        <w:tblW w:w="8363" w:type="dxa"/>
        <w:tblInd w:w="817" w:type="dxa"/>
        <w:tblLayout w:type="fixed"/>
        <w:tblLook w:val="0000" w:firstRow="0" w:lastRow="0" w:firstColumn="0" w:lastColumn="0" w:noHBand="0" w:noVBand="0"/>
      </w:tblPr>
      <w:tblGrid>
        <w:gridCol w:w="2268"/>
        <w:gridCol w:w="567"/>
        <w:gridCol w:w="709"/>
        <w:gridCol w:w="1134"/>
        <w:gridCol w:w="1417"/>
        <w:gridCol w:w="2268"/>
      </w:tblGrid>
      <w:tr w:rsidR="00B87187" w:rsidRPr="00B87187" w:rsidTr="00DD6536">
        <w:trPr>
          <w:cantSplit/>
          <w:trHeight w:val="471"/>
        </w:trPr>
        <w:tc>
          <w:tcPr>
            <w:tcW w:w="2268" w:type="dxa"/>
            <w:tcBorders>
              <w:bottom w:val="single" w:sz="4" w:space="0" w:color="auto"/>
            </w:tcBorders>
          </w:tcPr>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Name, Restriction,</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Manner of administration and form</w:t>
            </w:r>
          </w:p>
        </w:tc>
        <w:tc>
          <w:tcPr>
            <w:tcW w:w="1276" w:type="dxa"/>
            <w:gridSpan w:val="2"/>
            <w:tcBorders>
              <w:bottom w:val="single" w:sz="4" w:space="0" w:color="auto"/>
            </w:tcBorders>
          </w:tcPr>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Max.</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Qty</w:t>
            </w:r>
          </w:p>
        </w:tc>
        <w:tc>
          <w:tcPr>
            <w:tcW w:w="1134" w:type="dxa"/>
            <w:tcBorders>
              <w:bottom w:val="single" w:sz="4" w:space="0" w:color="auto"/>
            </w:tcBorders>
          </w:tcPr>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№.of</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Rpts</w:t>
            </w:r>
          </w:p>
        </w:tc>
        <w:tc>
          <w:tcPr>
            <w:tcW w:w="3685" w:type="dxa"/>
            <w:gridSpan w:val="2"/>
            <w:tcBorders>
              <w:bottom w:val="single" w:sz="4" w:space="0" w:color="auto"/>
            </w:tcBorders>
          </w:tcPr>
          <w:p w:rsidR="00B87187" w:rsidRPr="00B87187" w:rsidRDefault="00B87187" w:rsidP="00B87187">
            <w:pPr>
              <w:keepNext/>
              <w:jc w:val="both"/>
              <w:rPr>
                <w:rFonts w:ascii="Arial Narrow" w:hAnsi="Arial Narrow" w:cs="Arial"/>
                <w:sz w:val="20"/>
                <w:szCs w:val="20"/>
                <w:lang w:val="fr-FR"/>
              </w:rPr>
            </w:pPr>
            <w:r w:rsidRPr="00B87187">
              <w:rPr>
                <w:rFonts w:ascii="Arial Narrow" w:hAnsi="Arial Narrow" w:cs="Arial"/>
                <w:sz w:val="20"/>
                <w:szCs w:val="20"/>
              </w:rPr>
              <w:t>Proprietary Name and Manufacturer</w:t>
            </w:r>
          </w:p>
        </w:tc>
      </w:tr>
      <w:tr w:rsidR="00B87187" w:rsidRPr="00B87187" w:rsidTr="00DD6536">
        <w:trPr>
          <w:cantSplit/>
          <w:trHeight w:val="577"/>
        </w:trPr>
        <w:tc>
          <w:tcPr>
            <w:tcW w:w="2268" w:type="dxa"/>
          </w:tcPr>
          <w:p w:rsidR="00B87187" w:rsidRPr="00B87187" w:rsidRDefault="00B87187" w:rsidP="00B87187">
            <w:pPr>
              <w:keepNext/>
              <w:ind w:left="-108"/>
              <w:rPr>
                <w:rFonts w:ascii="Arial Narrow" w:hAnsi="Arial Narrow" w:cs="Arial"/>
                <w:smallCaps/>
                <w:sz w:val="20"/>
                <w:szCs w:val="20"/>
              </w:rPr>
            </w:pPr>
            <w:r w:rsidRPr="00B87187">
              <w:rPr>
                <w:rFonts w:ascii="Arial Narrow" w:hAnsi="Arial Narrow" w:cs="Arial"/>
                <w:smallCaps/>
                <w:sz w:val="20"/>
                <w:szCs w:val="20"/>
              </w:rPr>
              <w:t xml:space="preserve">Rituximab  </w:t>
            </w:r>
          </w:p>
          <w:p w:rsidR="00B87187" w:rsidRPr="00B87187" w:rsidRDefault="00B87187" w:rsidP="00B87187">
            <w:pPr>
              <w:keepNext/>
              <w:ind w:left="-108"/>
              <w:rPr>
                <w:rFonts w:ascii="Arial Narrow" w:hAnsi="Arial Narrow" w:cs="Arial"/>
                <w:smallCaps/>
                <w:sz w:val="20"/>
                <w:szCs w:val="20"/>
              </w:rPr>
            </w:pPr>
            <w:r w:rsidRPr="00B87187">
              <w:rPr>
                <w:rFonts w:ascii="Arial Narrow" w:hAnsi="Arial Narrow"/>
                <w:sz w:val="20"/>
                <w:szCs w:val="20"/>
              </w:rPr>
              <w:t>Solution for subcutaneous injection</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mallCaps/>
                <w:sz w:val="20"/>
                <w:szCs w:val="20"/>
              </w:rPr>
              <w:t>1,400 mg/11.7mL</w:t>
            </w:r>
          </w:p>
        </w:tc>
        <w:tc>
          <w:tcPr>
            <w:tcW w:w="1276" w:type="dxa"/>
            <w:gridSpan w:val="2"/>
          </w:tcPr>
          <w:p w:rsidR="00B87187" w:rsidRPr="00B87187" w:rsidRDefault="00B87187" w:rsidP="00B87187">
            <w:pPr>
              <w:keepNext/>
              <w:jc w:val="both"/>
              <w:rPr>
                <w:rFonts w:ascii="Arial Narrow" w:hAnsi="Arial Narrow" w:cs="Arial"/>
                <w:sz w:val="20"/>
                <w:szCs w:val="20"/>
              </w:rPr>
            </w:pPr>
          </w:p>
          <w:p w:rsidR="00B87187" w:rsidRPr="00B87187" w:rsidRDefault="00B87187" w:rsidP="00B87187">
            <w:pPr>
              <w:keepNext/>
              <w:jc w:val="both"/>
              <w:rPr>
                <w:rFonts w:ascii="Arial Narrow" w:hAnsi="Arial Narrow" w:cs="Arial"/>
                <w:sz w:val="20"/>
                <w:szCs w:val="20"/>
              </w:rPr>
            </w:pPr>
            <w:r w:rsidRPr="00B87187">
              <w:rPr>
                <w:rFonts w:ascii="Arial Narrow" w:hAnsi="Arial Narrow" w:cs="Arial"/>
                <w:sz w:val="20"/>
                <w:szCs w:val="20"/>
              </w:rPr>
              <w:t>1,400 mg</w:t>
            </w:r>
          </w:p>
        </w:tc>
        <w:tc>
          <w:tcPr>
            <w:tcW w:w="1134" w:type="dxa"/>
          </w:tcPr>
          <w:p w:rsidR="00B87187" w:rsidRPr="00B87187" w:rsidRDefault="00B87187" w:rsidP="00B87187">
            <w:pPr>
              <w:keepNext/>
              <w:ind w:left="-108"/>
              <w:jc w:val="both"/>
              <w:rPr>
                <w:rFonts w:ascii="Arial Narrow" w:hAnsi="Arial Narrow" w:cs="Arial"/>
                <w:sz w:val="20"/>
                <w:szCs w:val="20"/>
              </w:rPr>
            </w:pP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6</w:t>
            </w:r>
          </w:p>
        </w:tc>
        <w:tc>
          <w:tcPr>
            <w:tcW w:w="1417" w:type="dxa"/>
          </w:tcPr>
          <w:p w:rsidR="00B87187" w:rsidRPr="00B87187" w:rsidRDefault="00B87187" w:rsidP="00B87187">
            <w:pPr>
              <w:keepNext/>
              <w:jc w:val="both"/>
              <w:rPr>
                <w:rFonts w:ascii="Arial Narrow" w:hAnsi="Arial Narrow" w:cs="Arial"/>
                <w:sz w:val="20"/>
                <w:szCs w:val="20"/>
              </w:rPr>
            </w:pPr>
            <w:r w:rsidRPr="00B87187">
              <w:rPr>
                <w:rFonts w:ascii="Arial Narrow" w:hAnsi="Arial Narrow" w:cs="Arial"/>
                <w:sz w:val="20"/>
                <w:szCs w:val="20"/>
              </w:rPr>
              <w:t>Mabthera</w:t>
            </w:r>
            <w:r w:rsidRPr="00B87187">
              <w:rPr>
                <w:rFonts w:ascii="Arial Narrow" w:hAnsi="Arial Narrow" w:cs="Arial"/>
                <w:b/>
                <w:sz w:val="20"/>
                <w:szCs w:val="20"/>
                <w:vertAlign w:val="superscript"/>
              </w:rPr>
              <w:t>®</w:t>
            </w:r>
            <w:r w:rsidRPr="00B87187">
              <w:rPr>
                <w:rFonts w:ascii="Arial Narrow" w:hAnsi="Arial Narrow" w:cs="Arial"/>
                <w:sz w:val="20"/>
                <w:szCs w:val="20"/>
              </w:rPr>
              <w:t>SC</w:t>
            </w:r>
          </w:p>
        </w:tc>
        <w:tc>
          <w:tcPr>
            <w:tcW w:w="2268" w:type="dxa"/>
          </w:tcPr>
          <w:p w:rsidR="00B87187" w:rsidRPr="00B87187" w:rsidRDefault="00B87187" w:rsidP="00B87187">
            <w:pPr>
              <w:keepNext/>
              <w:jc w:val="both"/>
              <w:rPr>
                <w:rFonts w:ascii="Arial Narrow" w:hAnsi="Arial Narrow" w:cs="Arial"/>
                <w:sz w:val="20"/>
                <w:szCs w:val="20"/>
              </w:rPr>
            </w:pPr>
            <w:r w:rsidRPr="00B87187">
              <w:rPr>
                <w:rFonts w:ascii="Arial Narrow" w:hAnsi="Arial Narrow" w:cs="Calibri"/>
                <w:bCs/>
                <w:sz w:val="20"/>
                <w:szCs w:val="20"/>
                <w:lang w:eastAsia="en-US"/>
              </w:rPr>
              <w:t>Roche Products Pty Limited</w:t>
            </w:r>
          </w:p>
        </w:tc>
      </w:tr>
      <w:tr w:rsidR="00B87187" w:rsidRPr="00B87187" w:rsidTr="00DD6536">
        <w:trPr>
          <w:cantSplit/>
          <w:trHeight w:val="360"/>
        </w:trPr>
        <w:tc>
          <w:tcPr>
            <w:tcW w:w="8363" w:type="dxa"/>
            <w:gridSpan w:val="6"/>
            <w:tcBorders>
              <w:bottom w:val="single" w:sz="4" w:space="0" w:color="auto"/>
            </w:tcBorders>
          </w:tcPr>
          <w:p w:rsidR="00B87187" w:rsidRPr="00B87187" w:rsidRDefault="00B87187" w:rsidP="00B87187">
            <w:pPr>
              <w:jc w:val="both"/>
              <w:rPr>
                <w:rFonts w:ascii="Arial Narrow" w:hAnsi="Arial Narrow" w:cs="Arial"/>
                <w:sz w:val="20"/>
                <w:szCs w:val="20"/>
              </w:rPr>
            </w:pP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 xml:space="preserve">Category / </w:t>
            </w:r>
          </w:p>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Program</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GENERAL SCHEDULE</w:t>
            </w:r>
          </w:p>
          <w:p w:rsidR="00B87187" w:rsidRPr="00B87187" w:rsidRDefault="00B87187" w:rsidP="00B87187">
            <w:pPr>
              <w:ind w:left="720" w:hanging="720"/>
              <w:rPr>
                <w:rFonts w:ascii="Arial Narrow" w:hAnsi="Arial Narrow" w:cs="Arial"/>
                <w:sz w:val="20"/>
                <w:szCs w:val="20"/>
              </w:rPr>
            </w:pPr>
            <w:r w:rsidRPr="00B87187">
              <w:rPr>
                <w:rFonts w:ascii="Arial Narrow" w:hAnsi="Arial Narrow" w:cs="Arial"/>
                <w:sz w:val="20"/>
                <w:szCs w:val="20"/>
              </w:rPr>
              <w:t>S100 – Chemotherapy Scheme – CPAP Public Hospital (CT)</w:t>
            </w:r>
          </w:p>
          <w:p w:rsidR="00B87187" w:rsidRPr="00B87187" w:rsidRDefault="00B87187" w:rsidP="00B87187">
            <w:pPr>
              <w:rPr>
                <w:rFonts w:ascii="Arial Narrow" w:hAnsi="Arial Narrow" w:cs="Arial"/>
                <w:sz w:val="20"/>
                <w:szCs w:val="20"/>
              </w:rPr>
            </w:pP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Prescriber type:</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Check1"/>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 xml:space="preserve">Dental  </w:t>
            </w:r>
            <w:r w:rsidRPr="00B87187">
              <w:rPr>
                <w:rFonts w:ascii="Arial Narrow" w:hAnsi="Arial Narrow" w:cs="Arial"/>
                <w:sz w:val="20"/>
                <w:szCs w:val="20"/>
              </w:rPr>
              <w:fldChar w:fldCharType="begin">
                <w:ffData>
                  <w:name w:val=""/>
                  <w:enabled/>
                  <w:calcOnExit w:val="0"/>
                  <w:checkBox>
                    <w:sizeAuto/>
                    <w:default w:val="1"/>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 xml:space="preserve">Medical Practitioners  </w:t>
            </w:r>
            <w:r w:rsidRPr="00B87187">
              <w:rPr>
                <w:rFonts w:ascii="Arial Narrow" w:hAnsi="Arial Narrow" w:cs="Arial"/>
                <w:sz w:val="20"/>
                <w:szCs w:val="20"/>
              </w:rPr>
              <w:fldChar w:fldCharType="begin">
                <w:ffData>
                  <w:name w:val="Check3"/>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 xml:space="preserve">Nurse practitioners  </w:t>
            </w: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Optometrists</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Check5"/>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Midwives</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Episodicity:</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Previously untreated</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Severity:</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lang w:val="en-US"/>
              </w:rPr>
              <w:t>Stage III or IV</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Condition:</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lang w:val="en-US"/>
              </w:rPr>
              <w:t>CD20 positive follicular B-cell Non-Hodgkin’s lymphoma</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Treatment phase:</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lang w:val="en-US"/>
              </w:rPr>
              <w:t>Induction treatment</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Restriction Level / Method:</w:t>
            </w:r>
          </w:p>
          <w:p w:rsidR="00B87187" w:rsidRPr="00B87187" w:rsidRDefault="00B87187" w:rsidP="00B87187">
            <w:pPr>
              <w:rPr>
                <w:rFonts w:ascii="Arial Narrow" w:hAnsi="Arial Narrow" w:cs="Arial"/>
                <w:sz w:val="20"/>
                <w:szCs w:val="20"/>
              </w:rPr>
            </w:pP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Check1"/>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Restricted benefit</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In Writing</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Telephone</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Emergency</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Electronic</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OR</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1"/>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Streamlined</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Clinical criteria:</w:t>
            </w:r>
          </w:p>
          <w:p w:rsidR="00B87187" w:rsidRPr="00B87187" w:rsidRDefault="00B87187" w:rsidP="00B87187">
            <w:pPr>
              <w:jc w:val="both"/>
              <w:rPr>
                <w:rFonts w:ascii="Arial Narrow" w:hAnsi="Arial Narrow" w:cs="Arial"/>
                <w:i/>
                <w:sz w:val="20"/>
                <w:szCs w:val="20"/>
              </w:rPr>
            </w:pPr>
          </w:p>
          <w:p w:rsidR="00B87187" w:rsidRPr="00B87187" w:rsidRDefault="00B87187" w:rsidP="00B87187">
            <w:pPr>
              <w:jc w:val="both"/>
              <w:rPr>
                <w:rFonts w:ascii="Arial Narrow" w:hAnsi="Arial Narrow" w:cs="Arial"/>
                <w:sz w:val="20"/>
                <w:szCs w:val="20"/>
              </w:rPr>
            </w:pP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The treatment must be in combination with chemotherapy,</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AND</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The condition must be previously untreated,</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AND</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 xml:space="preserve">The condition must be symptomatic, </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AND</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The treatment must be for induction treatment purposes only,</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AND</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Patient must not receive more than 8 doses of rituximab in total, including intravenous and subcutaneous injections, and no more than 7 doses of subcutaneous rituximab under this restriction.</w:t>
            </w:r>
          </w:p>
          <w:p w:rsidR="00B87187" w:rsidRPr="00B87187" w:rsidRDefault="00B87187" w:rsidP="00B87187">
            <w:pPr>
              <w:rPr>
                <w:rFonts w:ascii="Arial Narrow" w:hAnsi="Arial Narrow" w:cs="Arial"/>
                <w:sz w:val="20"/>
                <w:szCs w:val="20"/>
                <w:lang w:val="en-US"/>
              </w:rPr>
            </w:pP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Prescriber Instruction</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rPr>
              <w:t>An initial dose of rituximab must be administered with rituximab intravenous injection. Subsequent doses may be administered with either intravenous or subcutaneous rituximab with no more than 8 doses in total.</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Administrative Advice</w:t>
            </w:r>
          </w:p>
          <w:p w:rsidR="00B87187" w:rsidRPr="00B87187" w:rsidRDefault="00B87187" w:rsidP="00B87187">
            <w:pPr>
              <w:jc w:val="both"/>
              <w:rPr>
                <w:rFonts w:ascii="Arial Narrow" w:hAnsi="Arial Narrow" w:cs="Arial"/>
                <w:i/>
                <w:sz w:val="20"/>
                <w:szCs w:val="20"/>
              </w:rPr>
            </w:pP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A patient may only qualify for PBS-subsidised treatment under this restriction once in a lifetime.</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Administrative Advice</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No increase in the maximum number of repeats may be authorised.</w:t>
            </w:r>
          </w:p>
        </w:tc>
      </w:tr>
    </w:tbl>
    <w:p w:rsidR="00B87187" w:rsidRPr="00B87187" w:rsidRDefault="00B87187" w:rsidP="00B87187">
      <w:pPr>
        <w:jc w:val="both"/>
        <w:rPr>
          <w:rFonts w:ascii="Arial" w:hAnsi="Arial" w:cs="Arial"/>
          <w:sz w:val="22"/>
          <w:szCs w:val="22"/>
        </w:rPr>
      </w:pPr>
    </w:p>
    <w:p w:rsidR="00B87187" w:rsidRPr="00B87187" w:rsidRDefault="00B87187" w:rsidP="00B87187">
      <w:pPr>
        <w:rPr>
          <w:rFonts w:ascii="Arial" w:hAnsi="Arial"/>
          <w:sz w:val="22"/>
          <w:szCs w:val="22"/>
          <w:u w:val="single"/>
        </w:rPr>
      </w:pPr>
      <w:r w:rsidRPr="00B87187">
        <w:rPr>
          <w:rFonts w:ascii="Arial" w:hAnsi="Arial"/>
          <w:sz w:val="22"/>
          <w:szCs w:val="22"/>
          <w:u w:val="single"/>
        </w:rPr>
        <w:br w:type="page"/>
      </w:r>
    </w:p>
    <w:p w:rsidR="00B87187" w:rsidRPr="00B87187" w:rsidRDefault="00B87187" w:rsidP="00B87187">
      <w:pPr>
        <w:ind w:left="709"/>
        <w:rPr>
          <w:rFonts w:ascii="Arial" w:hAnsi="Arial"/>
          <w:sz w:val="22"/>
          <w:szCs w:val="22"/>
          <w:u w:val="single"/>
        </w:rPr>
      </w:pPr>
      <w:r w:rsidRPr="00B87187">
        <w:rPr>
          <w:rFonts w:ascii="Arial" w:hAnsi="Arial"/>
          <w:sz w:val="22"/>
          <w:szCs w:val="22"/>
          <w:u w:val="single"/>
        </w:rPr>
        <w:lastRenderedPageBreak/>
        <w:t>Induction and re-induction for relapsed/refractory low grade B-cell non-Hodgkin’s lymphoma:</w:t>
      </w:r>
    </w:p>
    <w:p w:rsidR="00B87187" w:rsidRPr="00B87187" w:rsidRDefault="00B87187" w:rsidP="00B87187">
      <w:pPr>
        <w:ind w:left="709"/>
        <w:rPr>
          <w:rFonts w:ascii="Arial" w:hAnsi="Arial"/>
          <w:sz w:val="22"/>
          <w:szCs w:val="22"/>
          <w:u w:val="single"/>
        </w:rPr>
      </w:pPr>
    </w:p>
    <w:tbl>
      <w:tblPr>
        <w:tblW w:w="8363" w:type="dxa"/>
        <w:tblInd w:w="817" w:type="dxa"/>
        <w:tblLayout w:type="fixed"/>
        <w:tblLook w:val="0000" w:firstRow="0" w:lastRow="0" w:firstColumn="0" w:lastColumn="0" w:noHBand="0" w:noVBand="0"/>
      </w:tblPr>
      <w:tblGrid>
        <w:gridCol w:w="2410"/>
        <w:gridCol w:w="425"/>
        <w:gridCol w:w="709"/>
        <w:gridCol w:w="1134"/>
        <w:gridCol w:w="1276"/>
        <w:gridCol w:w="2409"/>
      </w:tblGrid>
      <w:tr w:rsidR="00B87187" w:rsidRPr="00B87187" w:rsidTr="00DD6536">
        <w:trPr>
          <w:cantSplit/>
          <w:trHeight w:val="471"/>
        </w:trPr>
        <w:tc>
          <w:tcPr>
            <w:tcW w:w="2410" w:type="dxa"/>
            <w:tcBorders>
              <w:bottom w:val="single" w:sz="4" w:space="0" w:color="auto"/>
            </w:tcBorders>
          </w:tcPr>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Name, Restriction,</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Manner of administration and form</w:t>
            </w:r>
          </w:p>
        </w:tc>
        <w:tc>
          <w:tcPr>
            <w:tcW w:w="1134" w:type="dxa"/>
            <w:gridSpan w:val="2"/>
            <w:tcBorders>
              <w:bottom w:val="single" w:sz="4" w:space="0" w:color="auto"/>
            </w:tcBorders>
          </w:tcPr>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Max.</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Qty</w:t>
            </w:r>
          </w:p>
        </w:tc>
        <w:tc>
          <w:tcPr>
            <w:tcW w:w="1134" w:type="dxa"/>
            <w:tcBorders>
              <w:bottom w:val="single" w:sz="4" w:space="0" w:color="auto"/>
            </w:tcBorders>
          </w:tcPr>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№.of</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Rpts</w:t>
            </w:r>
          </w:p>
        </w:tc>
        <w:tc>
          <w:tcPr>
            <w:tcW w:w="3685" w:type="dxa"/>
            <w:gridSpan w:val="2"/>
            <w:tcBorders>
              <w:bottom w:val="single" w:sz="4" w:space="0" w:color="auto"/>
            </w:tcBorders>
          </w:tcPr>
          <w:p w:rsidR="00B87187" w:rsidRPr="00B87187" w:rsidRDefault="00B87187" w:rsidP="00B87187">
            <w:pPr>
              <w:keepNext/>
              <w:jc w:val="both"/>
              <w:rPr>
                <w:rFonts w:ascii="Arial Narrow" w:hAnsi="Arial Narrow" w:cs="Arial"/>
                <w:sz w:val="20"/>
                <w:szCs w:val="20"/>
              </w:rPr>
            </w:pPr>
            <w:r w:rsidRPr="00B87187">
              <w:rPr>
                <w:rFonts w:ascii="Arial Narrow" w:hAnsi="Arial Narrow" w:cs="Arial"/>
                <w:sz w:val="20"/>
                <w:szCs w:val="20"/>
              </w:rPr>
              <w:t>Proprietary Name and Manufacturer</w:t>
            </w:r>
          </w:p>
        </w:tc>
      </w:tr>
      <w:tr w:rsidR="00B87187" w:rsidRPr="00B87187" w:rsidTr="00DD6536">
        <w:trPr>
          <w:cantSplit/>
          <w:trHeight w:val="577"/>
        </w:trPr>
        <w:tc>
          <w:tcPr>
            <w:tcW w:w="2410" w:type="dxa"/>
          </w:tcPr>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 xml:space="preserve">Rituximab  </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Solution for subcutaneous injection</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1,400 mg/11.7mL</w:t>
            </w:r>
          </w:p>
        </w:tc>
        <w:tc>
          <w:tcPr>
            <w:tcW w:w="1134" w:type="dxa"/>
            <w:gridSpan w:val="2"/>
          </w:tcPr>
          <w:p w:rsidR="00B87187" w:rsidRPr="00B87187" w:rsidRDefault="00B87187" w:rsidP="00B87187">
            <w:pPr>
              <w:keepNext/>
              <w:jc w:val="both"/>
              <w:rPr>
                <w:rFonts w:ascii="Arial Narrow" w:hAnsi="Arial Narrow" w:cs="Arial"/>
                <w:sz w:val="20"/>
                <w:szCs w:val="20"/>
              </w:rPr>
            </w:pPr>
          </w:p>
          <w:p w:rsidR="00B87187" w:rsidRPr="00B87187" w:rsidRDefault="00B87187" w:rsidP="00B87187">
            <w:pPr>
              <w:keepNext/>
              <w:jc w:val="both"/>
              <w:rPr>
                <w:rFonts w:ascii="Arial Narrow" w:hAnsi="Arial Narrow" w:cs="Arial"/>
                <w:sz w:val="20"/>
                <w:szCs w:val="20"/>
              </w:rPr>
            </w:pPr>
            <w:r w:rsidRPr="00B87187">
              <w:rPr>
                <w:rFonts w:ascii="Arial Narrow" w:hAnsi="Arial Narrow" w:cs="Arial"/>
                <w:sz w:val="20"/>
                <w:szCs w:val="20"/>
              </w:rPr>
              <w:t>1,400 mg</w:t>
            </w:r>
          </w:p>
        </w:tc>
        <w:tc>
          <w:tcPr>
            <w:tcW w:w="1134" w:type="dxa"/>
          </w:tcPr>
          <w:p w:rsidR="00B87187" w:rsidRPr="00B87187" w:rsidRDefault="00B87187" w:rsidP="00B87187">
            <w:pPr>
              <w:keepNext/>
              <w:ind w:left="-108"/>
              <w:jc w:val="both"/>
              <w:rPr>
                <w:rFonts w:ascii="Arial Narrow" w:hAnsi="Arial Narrow" w:cs="Arial"/>
                <w:sz w:val="20"/>
                <w:szCs w:val="20"/>
              </w:rPr>
            </w:pP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2</w:t>
            </w:r>
          </w:p>
        </w:tc>
        <w:tc>
          <w:tcPr>
            <w:tcW w:w="1276" w:type="dxa"/>
          </w:tcPr>
          <w:p w:rsidR="00B87187" w:rsidRPr="00B87187" w:rsidRDefault="00B87187" w:rsidP="00B87187">
            <w:pPr>
              <w:keepNext/>
              <w:jc w:val="both"/>
              <w:rPr>
                <w:rFonts w:ascii="Arial Narrow" w:hAnsi="Arial Narrow" w:cs="Arial"/>
                <w:sz w:val="20"/>
                <w:szCs w:val="20"/>
              </w:rPr>
            </w:pPr>
            <w:r w:rsidRPr="00B87187">
              <w:rPr>
                <w:rFonts w:ascii="Arial Narrow" w:hAnsi="Arial Narrow" w:cs="Arial"/>
                <w:sz w:val="20"/>
                <w:szCs w:val="20"/>
              </w:rPr>
              <w:t>Mabthera®SC</w:t>
            </w:r>
          </w:p>
        </w:tc>
        <w:tc>
          <w:tcPr>
            <w:tcW w:w="2409" w:type="dxa"/>
          </w:tcPr>
          <w:p w:rsidR="00B87187" w:rsidRPr="00B87187" w:rsidRDefault="00B87187" w:rsidP="00B87187">
            <w:pPr>
              <w:keepNext/>
              <w:jc w:val="both"/>
              <w:rPr>
                <w:rFonts w:ascii="Arial Narrow" w:hAnsi="Arial Narrow" w:cs="Arial"/>
                <w:sz w:val="20"/>
                <w:szCs w:val="20"/>
              </w:rPr>
            </w:pPr>
            <w:r w:rsidRPr="00B87187">
              <w:rPr>
                <w:rFonts w:ascii="Arial Narrow" w:hAnsi="Arial Narrow" w:cs="Arial"/>
                <w:sz w:val="20"/>
                <w:szCs w:val="20"/>
              </w:rPr>
              <w:t>Roche Products Pty Limited</w:t>
            </w:r>
          </w:p>
        </w:tc>
      </w:tr>
      <w:tr w:rsidR="00B87187" w:rsidRPr="00B87187" w:rsidTr="00DD6536">
        <w:trPr>
          <w:cantSplit/>
          <w:trHeight w:val="360"/>
        </w:trPr>
        <w:tc>
          <w:tcPr>
            <w:tcW w:w="8363" w:type="dxa"/>
            <w:gridSpan w:val="6"/>
            <w:tcBorders>
              <w:bottom w:val="single" w:sz="4" w:space="0" w:color="auto"/>
            </w:tcBorders>
          </w:tcPr>
          <w:p w:rsidR="00B87187" w:rsidRPr="00B87187" w:rsidRDefault="00B87187" w:rsidP="00B87187">
            <w:pPr>
              <w:jc w:val="both"/>
              <w:rPr>
                <w:rFonts w:ascii="Arial Narrow" w:hAnsi="Arial Narrow" w:cs="Arial"/>
                <w:sz w:val="20"/>
                <w:szCs w:val="20"/>
              </w:rPr>
            </w:pP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 xml:space="preserve">Category / </w:t>
            </w:r>
          </w:p>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Program</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GENERAL SCHEDULE</w:t>
            </w:r>
          </w:p>
          <w:p w:rsidR="00B87187" w:rsidRPr="00B87187" w:rsidRDefault="00B87187" w:rsidP="00B87187">
            <w:pPr>
              <w:ind w:left="720" w:hanging="720"/>
              <w:rPr>
                <w:rFonts w:ascii="Arial Narrow" w:hAnsi="Arial Narrow" w:cs="Arial"/>
                <w:sz w:val="20"/>
                <w:szCs w:val="20"/>
              </w:rPr>
            </w:pPr>
            <w:r w:rsidRPr="00B87187">
              <w:rPr>
                <w:rFonts w:ascii="Arial Narrow" w:hAnsi="Arial Narrow" w:cs="Arial"/>
                <w:sz w:val="20"/>
                <w:szCs w:val="20"/>
              </w:rPr>
              <w:t>S100 – Chemotherapy Scheme – CPAP Public Hospital (CT)</w:t>
            </w:r>
          </w:p>
          <w:p w:rsidR="00B87187" w:rsidRPr="00B87187" w:rsidRDefault="00B87187" w:rsidP="00B87187">
            <w:pPr>
              <w:rPr>
                <w:rFonts w:ascii="Arial Narrow" w:hAnsi="Arial Narrow" w:cs="Arial"/>
                <w:sz w:val="20"/>
                <w:szCs w:val="20"/>
              </w:rPr>
            </w:pP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Prescriber type:</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Check1"/>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 xml:space="preserve">Dental  </w:t>
            </w:r>
            <w:r w:rsidRPr="00B87187">
              <w:rPr>
                <w:rFonts w:ascii="Arial Narrow" w:hAnsi="Arial Narrow" w:cs="Arial"/>
                <w:sz w:val="20"/>
                <w:szCs w:val="20"/>
              </w:rPr>
              <w:fldChar w:fldCharType="begin">
                <w:ffData>
                  <w:name w:val=""/>
                  <w:enabled/>
                  <w:calcOnExit w:val="0"/>
                  <w:checkBox>
                    <w:sizeAuto/>
                    <w:default w:val="1"/>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 xml:space="preserve">Medical Practitioners  </w:t>
            </w:r>
            <w:r w:rsidRPr="00B87187">
              <w:rPr>
                <w:rFonts w:ascii="Arial Narrow" w:hAnsi="Arial Narrow" w:cs="Arial"/>
                <w:sz w:val="20"/>
                <w:szCs w:val="20"/>
              </w:rPr>
              <w:fldChar w:fldCharType="begin">
                <w:ffData>
                  <w:name w:val="Check3"/>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 xml:space="preserve">Nurse practitioners  </w:t>
            </w: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Optometrists</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Check5"/>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Midwives</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Episodicity:</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Relapsed or refractory</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Condition:</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lang w:val="en-US"/>
              </w:rPr>
              <w:t>Low-grade B-cell non-Hodgkin’s lymphoma</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Treatment phase:</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Re-induction treatment</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Restriction Level / Method:</w:t>
            </w:r>
          </w:p>
          <w:p w:rsidR="00B87187" w:rsidRPr="00B87187" w:rsidRDefault="00B87187" w:rsidP="00B87187">
            <w:pPr>
              <w:rPr>
                <w:rFonts w:ascii="Arial Narrow" w:hAnsi="Arial Narrow" w:cs="Arial"/>
                <w:sz w:val="20"/>
                <w:szCs w:val="20"/>
              </w:rPr>
            </w:pP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Check1"/>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Restricted benefit</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In Writing</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Telephone</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Emergency</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Electronic</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OR</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1"/>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Streamlined</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Clinical criteria:</w:t>
            </w:r>
          </w:p>
          <w:p w:rsidR="00B87187" w:rsidRPr="00B87187" w:rsidRDefault="00B87187" w:rsidP="00B87187">
            <w:pPr>
              <w:jc w:val="both"/>
              <w:rPr>
                <w:rFonts w:ascii="Arial Narrow" w:hAnsi="Arial Narrow" w:cs="Arial"/>
                <w:i/>
                <w:sz w:val="20"/>
                <w:szCs w:val="20"/>
              </w:rPr>
            </w:pPr>
          </w:p>
          <w:p w:rsidR="00B87187" w:rsidRPr="00B87187" w:rsidRDefault="00B87187" w:rsidP="00B87187">
            <w:pPr>
              <w:jc w:val="both"/>
              <w:rPr>
                <w:rFonts w:ascii="Arial Narrow" w:hAnsi="Arial Narrow" w:cs="Arial"/>
                <w:sz w:val="20"/>
                <w:szCs w:val="20"/>
              </w:rPr>
            </w:pP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 xml:space="preserve">The treatment must be for re-induction treatment purposes only, </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AND</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The condition must have relapsed or be refractory to treatment,</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AND</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Patient must not receive more than 4 doses of rituximab in total, including intravenous and subcutaneous injections, and no more than 3 doses of subcutaneous rituximab under this restriction.</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Prescriber Instruction</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rPr>
              <w:t>An initial dose of rituximab must be administered with rituximab intravenous injection. Subsequent doses may be administered with either intravenous or subcutaneous rituximab with no more than 4 doses in total.</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Administrative Advice</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No increase in the maximum number of repeats may be authorised.</w:t>
            </w:r>
          </w:p>
        </w:tc>
      </w:tr>
    </w:tbl>
    <w:p w:rsidR="00B87187" w:rsidRPr="00B87187" w:rsidRDefault="00B87187" w:rsidP="00B87187">
      <w:pPr>
        <w:jc w:val="both"/>
        <w:rPr>
          <w:rFonts w:ascii="Arial" w:hAnsi="Arial" w:cs="Arial"/>
          <w:sz w:val="22"/>
          <w:szCs w:val="22"/>
        </w:rPr>
      </w:pPr>
    </w:p>
    <w:p w:rsidR="00B87187" w:rsidRPr="00B87187" w:rsidRDefault="00B87187" w:rsidP="00B87187">
      <w:pPr>
        <w:rPr>
          <w:rFonts w:ascii="Arial" w:hAnsi="Arial" w:cs="Arial"/>
          <w:sz w:val="22"/>
          <w:szCs w:val="22"/>
        </w:rPr>
      </w:pPr>
    </w:p>
    <w:p w:rsidR="00B87187" w:rsidRPr="00B87187" w:rsidRDefault="00B87187" w:rsidP="00B87187">
      <w:pPr>
        <w:rPr>
          <w:rFonts w:ascii="Arial" w:hAnsi="Arial" w:cs="Arial"/>
          <w:sz w:val="22"/>
          <w:szCs w:val="22"/>
        </w:rPr>
      </w:pPr>
      <w:r w:rsidRPr="00B87187">
        <w:rPr>
          <w:rFonts w:ascii="Arial" w:hAnsi="Arial" w:cs="Arial"/>
          <w:sz w:val="22"/>
          <w:szCs w:val="22"/>
        </w:rPr>
        <w:br w:type="page"/>
      </w:r>
    </w:p>
    <w:p w:rsidR="00B87187" w:rsidRPr="00B87187" w:rsidRDefault="00B87187" w:rsidP="00B87187">
      <w:pPr>
        <w:ind w:left="709"/>
        <w:rPr>
          <w:rFonts w:ascii="Arial" w:hAnsi="Arial"/>
          <w:sz w:val="22"/>
          <w:szCs w:val="22"/>
          <w:u w:val="single"/>
        </w:rPr>
      </w:pPr>
      <w:r w:rsidRPr="00B87187">
        <w:rPr>
          <w:rFonts w:ascii="Arial" w:hAnsi="Arial" w:cs="Arial"/>
          <w:sz w:val="22"/>
          <w:szCs w:val="22"/>
        </w:rPr>
        <w:lastRenderedPageBreak/>
        <w:tab/>
      </w:r>
      <w:r w:rsidRPr="00B87187">
        <w:rPr>
          <w:rFonts w:ascii="Arial" w:hAnsi="Arial"/>
          <w:sz w:val="22"/>
          <w:szCs w:val="22"/>
          <w:u w:val="single"/>
        </w:rPr>
        <w:t>Induction and re-induction for relapsed/refractory follicular B-cell non-Hodgkin’s lymphoma:</w:t>
      </w:r>
    </w:p>
    <w:p w:rsidR="00B87187" w:rsidRPr="00B87187" w:rsidRDefault="00B87187" w:rsidP="00B87187">
      <w:pPr>
        <w:jc w:val="both"/>
        <w:rPr>
          <w:rFonts w:ascii="Arial" w:hAnsi="Arial" w:cs="Arial"/>
          <w:sz w:val="22"/>
          <w:szCs w:val="22"/>
        </w:rPr>
      </w:pPr>
      <w:r w:rsidRPr="00B87187">
        <w:rPr>
          <w:rFonts w:ascii="Arial" w:hAnsi="Arial" w:cs="Arial"/>
          <w:sz w:val="22"/>
          <w:szCs w:val="22"/>
        </w:rPr>
        <w:tab/>
      </w:r>
    </w:p>
    <w:tbl>
      <w:tblPr>
        <w:tblW w:w="8363" w:type="dxa"/>
        <w:tblInd w:w="817" w:type="dxa"/>
        <w:tblLayout w:type="fixed"/>
        <w:tblLook w:val="0000" w:firstRow="0" w:lastRow="0" w:firstColumn="0" w:lastColumn="0" w:noHBand="0" w:noVBand="0"/>
      </w:tblPr>
      <w:tblGrid>
        <w:gridCol w:w="2410"/>
        <w:gridCol w:w="1276"/>
        <w:gridCol w:w="992"/>
        <w:gridCol w:w="1276"/>
        <w:gridCol w:w="2409"/>
      </w:tblGrid>
      <w:tr w:rsidR="00B87187" w:rsidRPr="00B87187" w:rsidTr="00DD6536">
        <w:trPr>
          <w:cantSplit/>
          <w:trHeight w:val="471"/>
        </w:trPr>
        <w:tc>
          <w:tcPr>
            <w:tcW w:w="2410" w:type="dxa"/>
            <w:tcBorders>
              <w:bottom w:val="single" w:sz="4" w:space="0" w:color="auto"/>
            </w:tcBorders>
          </w:tcPr>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Name, Restriction,</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Manner of administration and form</w:t>
            </w:r>
          </w:p>
        </w:tc>
        <w:tc>
          <w:tcPr>
            <w:tcW w:w="1276" w:type="dxa"/>
            <w:tcBorders>
              <w:bottom w:val="single" w:sz="4" w:space="0" w:color="auto"/>
            </w:tcBorders>
          </w:tcPr>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Max.</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Qty</w:t>
            </w:r>
          </w:p>
        </w:tc>
        <w:tc>
          <w:tcPr>
            <w:tcW w:w="992" w:type="dxa"/>
            <w:tcBorders>
              <w:bottom w:val="single" w:sz="4" w:space="0" w:color="auto"/>
            </w:tcBorders>
          </w:tcPr>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№.of</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Rpts</w:t>
            </w:r>
          </w:p>
        </w:tc>
        <w:tc>
          <w:tcPr>
            <w:tcW w:w="3685" w:type="dxa"/>
            <w:gridSpan w:val="2"/>
            <w:tcBorders>
              <w:bottom w:val="single" w:sz="4" w:space="0" w:color="auto"/>
            </w:tcBorders>
          </w:tcPr>
          <w:p w:rsidR="00B87187" w:rsidRPr="00B87187" w:rsidRDefault="00B87187" w:rsidP="00B87187">
            <w:pPr>
              <w:keepNext/>
              <w:jc w:val="both"/>
              <w:rPr>
                <w:rFonts w:ascii="Arial Narrow" w:hAnsi="Arial Narrow" w:cs="Arial"/>
                <w:sz w:val="20"/>
                <w:szCs w:val="20"/>
              </w:rPr>
            </w:pPr>
            <w:r w:rsidRPr="00B87187">
              <w:rPr>
                <w:rFonts w:ascii="Arial Narrow" w:hAnsi="Arial Narrow" w:cs="Arial"/>
                <w:sz w:val="20"/>
                <w:szCs w:val="20"/>
              </w:rPr>
              <w:t>Proprietary Name and Manufacturer</w:t>
            </w:r>
          </w:p>
        </w:tc>
      </w:tr>
      <w:tr w:rsidR="00B87187" w:rsidRPr="00B87187" w:rsidTr="00DD6536">
        <w:trPr>
          <w:cantSplit/>
          <w:trHeight w:val="577"/>
        </w:trPr>
        <w:tc>
          <w:tcPr>
            <w:tcW w:w="2410" w:type="dxa"/>
          </w:tcPr>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 xml:space="preserve">Rituximab  </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Solution for subcutaneous injection</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1,400 mg/11.7mL</w:t>
            </w:r>
          </w:p>
        </w:tc>
        <w:tc>
          <w:tcPr>
            <w:tcW w:w="1276" w:type="dxa"/>
          </w:tcPr>
          <w:p w:rsidR="00B87187" w:rsidRPr="00B87187" w:rsidRDefault="00B87187" w:rsidP="00B87187">
            <w:pPr>
              <w:keepNext/>
              <w:jc w:val="both"/>
              <w:rPr>
                <w:rFonts w:ascii="Arial Narrow" w:hAnsi="Arial Narrow" w:cs="Arial"/>
                <w:sz w:val="20"/>
                <w:szCs w:val="20"/>
              </w:rPr>
            </w:pPr>
          </w:p>
          <w:p w:rsidR="00B87187" w:rsidRPr="00B87187" w:rsidRDefault="00B87187" w:rsidP="00B87187">
            <w:pPr>
              <w:keepNext/>
              <w:jc w:val="both"/>
              <w:rPr>
                <w:rFonts w:ascii="Arial Narrow" w:hAnsi="Arial Narrow" w:cs="Arial"/>
                <w:sz w:val="20"/>
                <w:szCs w:val="20"/>
              </w:rPr>
            </w:pPr>
            <w:r w:rsidRPr="00B87187">
              <w:rPr>
                <w:rFonts w:ascii="Arial Narrow" w:hAnsi="Arial Narrow" w:cs="Arial"/>
                <w:sz w:val="20"/>
                <w:szCs w:val="20"/>
              </w:rPr>
              <w:t>1,400 mg</w:t>
            </w:r>
          </w:p>
        </w:tc>
        <w:tc>
          <w:tcPr>
            <w:tcW w:w="992" w:type="dxa"/>
          </w:tcPr>
          <w:p w:rsidR="00B87187" w:rsidRPr="00B87187" w:rsidRDefault="00B87187" w:rsidP="00B87187">
            <w:pPr>
              <w:keepNext/>
              <w:ind w:left="-108"/>
              <w:jc w:val="both"/>
              <w:rPr>
                <w:rFonts w:ascii="Arial Narrow" w:hAnsi="Arial Narrow" w:cs="Arial"/>
                <w:sz w:val="20"/>
                <w:szCs w:val="20"/>
              </w:rPr>
            </w:pP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2</w:t>
            </w:r>
          </w:p>
        </w:tc>
        <w:tc>
          <w:tcPr>
            <w:tcW w:w="1276" w:type="dxa"/>
          </w:tcPr>
          <w:p w:rsidR="00B87187" w:rsidRPr="00B87187" w:rsidRDefault="00B87187" w:rsidP="00B87187">
            <w:pPr>
              <w:keepNext/>
              <w:jc w:val="both"/>
              <w:rPr>
                <w:rFonts w:ascii="Arial Narrow" w:hAnsi="Arial Narrow" w:cs="Arial"/>
                <w:sz w:val="20"/>
                <w:szCs w:val="20"/>
              </w:rPr>
            </w:pPr>
            <w:r w:rsidRPr="00B87187">
              <w:rPr>
                <w:rFonts w:ascii="Arial Narrow" w:hAnsi="Arial Narrow" w:cs="Arial"/>
                <w:sz w:val="20"/>
                <w:szCs w:val="20"/>
              </w:rPr>
              <w:t>Mabthera®SC</w:t>
            </w:r>
          </w:p>
        </w:tc>
        <w:tc>
          <w:tcPr>
            <w:tcW w:w="2409" w:type="dxa"/>
          </w:tcPr>
          <w:p w:rsidR="00B87187" w:rsidRPr="00B87187" w:rsidRDefault="00B87187" w:rsidP="00B87187">
            <w:pPr>
              <w:keepNext/>
              <w:jc w:val="both"/>
              <w:rPr>
                <w:rFonts w:ascii="Arial Narrow" w:hAnsi="Arial Narrow" w:cs="Arial"/>
                <w:sz w:val="20"/>
                <w:szCs w:val="20"/>
              </w:rPr>
            </w:pPr>
            <w:r w:rsidRPr="00B87187">
              <w:rPr>
                <w:rFonts w:ascii="Arial Narrow" w:hAnsi="Arial Narrow" w:cs="Arial"/>
                <w:sz w:val="20"/>
                <w:szCs w:val="20"/>
              </w:rPr>
              <w:t>Roche Products Pty Limited</w:t>
            </w:r>
          </w:p>
        </w:tc>
      </w:tr>
    </w:tbl>
    <w:p w:rsidR="00B87187" w:rsidRPr="00B87187" w:rsidRDefault="00B87187" w:rsidP="00B87187">
      <w:pPr>
        <w:jc w:val="both"/>
        <w:rPr>
          <w:rFonts w:ascii="Arial" w:hAnsi="Arial" w:cs="Arial"/>
          <w:sz w:val="22"/>
          <w:szCs w:val="22"/>
        </w:rPr>
      </w:pPr>
    </w:p>
    <w:tbl>
      <w:tblPr>
        <w:tblW w:w="8363" w:type="dxa"/>
        <w:tblInd w:w="817" w:type="dxa"/>
        <w:tblLayout w:type="fixed"/>
        <w:tblLook w:val="0000" w:firstRow="0" w:lastRow="0" w:firstColumn="0" w:lastColumn="0" w:noHBand="0" w:noVBand="0"/>
      </w:tblPr>
      <w:tblGrid>
        <w:gridCol w:w="2835"/>
        <w:gridCol w:w="5528"/>
      </w:tblGrid>
      <w:tr w:rsidR="00B87187" w:rsidRPr="00B87187" w:rsidTr="00DD6536">
        <w:trPr>
          <w:cantSplit/>
          <w:trHeight w:val="360"/>
        </w:trPr>
        <w:tc>
          <w:tcPr>
            <w:tcW w:w="2835" w:type="dxa"/>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 xml:space="preserve">Category / </w:t>
            </w:r>
          </w:p>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Program</w:t>
            </w:r>
          </w:p>
        </w:tc>
        <w:tc>
          <w:tcPr>
            <w:tcW w:w="5528" w:type="dxa"/>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GENERAL SCHEDULE</w:t>
            </w:r>
          </w:p>
          <w:p w:rsidR="00B87187" w:rsidRPr="00B87187" w:rsidRDefault="00B87187" w:rsidP="00B87187">
            <w:pPr>
              <w:ind w:left="720" w:hanging="720"/>
              <w:rPr>
                <w:rFonts w:ascii="Arial Narrow" w:hAnsi="Arial Narrow" w:cs="Arial"/>
                <w:sz w:val="20"/>
                <w:szCs w:val="20"/>
              </w:rPr>
            </w:pPr>
            <w:r w:rsidRPr="00B87187">
              <w:rPr>
                <w:rFonts w:ascii="Arial Narrow" w:hAnsi="Arial Narrow" w:cs="Arial"/>
                <w:sz w:val="20"/>
                <w:szCs w:val="20"/>
              </w:rPr>
              <w:t>S100 – Chemotherapy Scheme – CPAP Public Hospital (CT)</w:t>
            </w:r>
          </w:p>
          <w:p w:rsidR="00B87187" w:rsidRPr="00B87187" w:rsidRDefault="00B87187" w:rsidP="00B87187">
            <w:pPr>
              <w:rPr>
                <w:rFonts w:ascii="Arial Narrow" w:hAnsi="Arial Narrow" w:cs="Arial"/>
                <w:sz w:val="20"/>
                <w:szCs w:val="20"/>
              </w:rPr>
            </w:pPr>
          </w:p>
        </w:tc>
      </w:tr>
      <w:tr w:rsidR="00B87187" w:rsidRPr="00B87187" w:rsidTr="00DD6536">
        <w:trPr>
          <w:cantSplit/>
          <w:trHeight w:val="360"/>
        </w:trPr>
        <w:tc>
          <w:tcPr>
            <w:tcW w:w="2835" w:type="dxa"/>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Prescriber type:</w:t>
            </w:r>
          </w:p>
        </w:tc>
        <w:tc>
          <w:tcPr>
            <w:tcW w:w="5528" w:type="dxa"/>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Check1"/>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 xml:space="preserve">Dental  </w:t>
            </w:r>
            <w:r w:rsidRPr="00B87187">
              <w:rPr>
                <w:rFonts w:ascii="Arial Narrow" w:hAnsi="Arial Narrow" w:cs="Arial"/>
                <w:sz w:val="20"/>
                <w:szCs w:val="20"/>
              </w:rPr>
              <w:fldChar w:fldCharType="begin">
                <w:ffData>
                  <w:name w:val=""/>
                  <w:enabled/>
                  <w:calcOnExit w:val="0"/>
                  <w:checkBox>
                    <w:sizeAuto/>
                    <w:default w:val="1"/>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 xml:space="preserve">Medical Practitioners  </w:t>
            </w:r>
            <w:r w:rsidRPr="00B87187">
              <w:rPr>
                <w:rFonts w:ascii="Arial Narrow" w:hAnsi="Arial Narrow" w:cs="Arial"/>
                <w:sz w:val="20"/>
                <w:szCs w:val="20"/>
              </w:rPr>
              <w:fldChar w:fldCharType="begin">
                <w:ffData>
                  <w:name w:val="Check3"/>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 xml:space="preserve">Nurse practitioners  </w:t>
            </w: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Optometrists</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Check5"/>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Midwives</w:t>
            </w:r>
          </w:p>
        </w:tc>
      </w:tr>
      <w:tr w:rsidR="00B87187" w:rsidRPr="00B87187" w:rsidTr="00DD6536">
        <w:trPr>
          <w:cantSplit/>
          <w:trHeight w:val="360"/>
        </w:trPr>
        <w:tc>
          <w:tcPr>
            <w:tcW w:w="2835" w:type="dxa"/>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Episodicity:</w:t>
            </w:r>
          </w:p>
        </w:tc>
        <w:tc>
          <w:tcPr>
            <w:tcW w:w="5528" w:type="dxa"/>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Relapsed or refractory</w:t>
            </w:r>
          </w:p>
        </w:tc>
      </w:tr>
      <w:tr w:rsidR="00B87187" w:rsidRPr="00B87187" w:rsidTr="00DD6536">
        <w:trPr>
          <w:cantSplit/>
          <w:trHeight w:val="360"/>
        </w:trPr>
        <w:tc>
          <w:tcPr>
            <w:tcW w:w="2835" w:type="dxa"/>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Condition:</w:t>
            </w:r>
          </w:p>
        </w:tc>
        <w:tc>
          <w:tcPr>
            <w:tcW w:w="5528" w:type="dxa"/>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bCs/>
                <w:sz w:val="20"/>
                <w:szCs w:val="20"/>
              </w:rPr>
              <w:t>Follicular B-cell non-Hodgkin's lymphoma</w:t>
            </w:r>
          </w:p>
        </w:tc>
      </w:tr>
      <w:tr w:rsidR="00B87187" w:rsidRPr="00B87187" w:rsidTr="00DD6536">
        <w:trPr>
          <w:cantSplit/>
          <w:trHeight w:val="360"/>
        </w:trPr>
        <w:tc>
          <w:tcPr>
            <w:tcW w:w="2835" w:type="dxa"/>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Treatment phase:</w:t>
            </w:r>
          </w:p>
        </w:tc>
        <w:tc>
          <w:tcPr>
            <w:tcW w:w="5528" w:type="dxa"/>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lang w:val="en-US"/>
              </w:rPr>
              <w:t>Re-induction treatment</w:t>
            </w:r>
          </w:p>
        </w:tc>
      </w:tr>
      <w:tr w:rsidR="00B87187" w:rsidRPr="00B87187" w:rsidTr="00DD6536">
        <w:trPr>
          <w:cantSplit/>
          <w:trHeight w:val="360"/>
        </w:trPr>
        <w:tc>
          <w:tcPr>
            <w:tcW w:w="2835" w:type="dxa"/>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Restriction Level / Method:</w:t>
            </w:r>
          </w:p>
          <w:p w:rsidR="00B87187" w:rsidRPr="00B87187" w:rsidRDefault="00B87187" w:rsidP="00B87187">
            <w:pPr>
              <w:rPr>
                <w:rFonts w:ascii="Arial Narrow" w:hAnsi="Arial Narrow" w:cs="Arial"/>
                <w:sz w:val="20"/>
                <w:szCs w:val="20"/>
              </w:rPr>
            </w:pPr>
          </w:p>
        </w:tc>
        <w:tc>
          <w:tcPr>
            <w:tcW w:w="5528" w:type="dxa"/>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Check1"/>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Restricted benefit</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In Writing</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Telephone</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Emergency</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Electronic</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OR</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1"/>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Streamlined</w:t>
            </w:r>
          </w:p>
        </w:tc>
      </w:tr>
      <w:tr w:rsidR="00B87187" w:rsidRPr="00B87187" w:rsidTr="00DD6536">
        <w:trPr>
          <w:cantSplit/>
          <w:trHeight w:val="360"/>
        </w:trPr>
        <w:tc>
          <w:tcPr>
            <w:tcW w:w="2835" w:type="dxa"/>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Clinical criteria:</w:t>
            </w:r>
          </w:p>
          <w:p w:rsidR="00B87187" w:rsidRPr="00B87187" w:rsidRDefault="00B87187" w:rsidP="00B87187">
            <w:pPr>
              <w:jc w:val="both"/>
              <w:rPr>
                <w:rFonts w:ascii="Arial Narrow" w:hAnsi="Arial Narrow" w:cs="Arial"/>
                <w:i/>
                <w:sz w:val="20"/>
                <w:szCs w:val="20"/>
              </w:rPr>
            </w:pPr>
          </w:p>
          <w:p w:rsidR="00B87187" w:rsidRPr="00B87187" w:rsidRDefault="00B87187" w:rsidP="00B87187">
            <w:pPr>
              <w:jc w:val="both"/>
              <w:rPr>
                <w:rFonts w:ascii="Arial Narrow" w:hAnsi="Arial Narrow" w:cs="Arial"/>
                <w:sz w:val="20"/>
                <w:szCs w:val="20"/>
              </w:rPr>
            </w:pPr>
          </w:p>
        </w:tc>
        <w:tc>
          <w:tcPr>
            <w:tcW w:w="5528" w:type="dxa"/>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 xml:space="preserve">The treatment must be for re-induction treatment purposes only, </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AND</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The condition must have relapsed or be refractory to treatment,</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AND</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Patient must not receive more than 4 doses of rituximab in total, including intravenous and subcutaneous injections, and no more than 3 doses of subcutaneous rituximab under this restriction.</w:t>
            </w:r>
          </w:p>
          <w:p w:rsidR="00B87187" w:rsidRPr="00B87187" w:rsidRDefault="00B87187" w:rsidP="00B87187">
            <w:pPr>
              <w:rPr>
                <w:rFonts w:ascii="Arial Narrow" w:hAnsi="Arial Narrow" w:cs="Arial"/>
                <w:sz w:val="20"/>
                <w:szCs w:val="20"/>
                <w:lang w:val="en-US"/>
              </w:rPr>
            </w:pPr>
          </w:p>
        </w:tc>
      </w:tr>
      <w:tr w:rsidR="00B87187" w:rsidRPr="00B87187" w:rsidTr="00DD6536">
        <w:trPr>
          <w:cantSplit/>
          <w:trHeight w:val="360"/>
        </w:trPr>
        <w:tc>
          <w:tcPr>
            <w:tcW w:w="2835" w:type="dxa"/>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Prescriber Instruction</w:t>
            </w:r>
          </w:p>
        </w:tc>
        <w:tc>
          <w:tcPr>
            <w:tcW w:w="5528" w:type="dxa"/>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rPr>
              <w:t>An initial dose of rituximab must be administered with rituximab intravenous injection. Subsequent doses may be administered with either intravenous or subcutaneous rituximab with no more than 4 doses in total.</w:t>
            </w:r>
          </w:p>
        </w:tc>
      </w:tr>
      <w:tr w:rsidR="00B87187" w:rsidRPr="00B87187" w:rsidTr="00DD6536">
        <w:trPr>
          <w:cantSplit/>
          <w:trHeight w:val="360"/>
        </w:trPr>
        <w:tc>
          <w:tcPr>
            <w:tcW w:w="2835" w:type="dxa"/>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Administrative Advice</w:t>
            </w:r>
          </w:p>
        </w:tc>
        <w:tc>
          <w:tcPr>
            <w:tcW w:w="5528" w:type="dxa"/>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No increase in the maximum number of repeats may be authorised.</w:t>
            </w:r>
          </w:p>
        </w:tc>
      </w:tr>
    </w:tbl>
    <w:p w:rsidR="00B87187" w:rsidRPr="00B87187" w:rsidRDefault="00B87187" w:rsidP="00B87187">
      <w:pPr>
        <w:jc w:val="both"/>
        <w:rPr>
          <w:rFonts w:ascii="Arial" w:hAnsi="Arial" w:cs="Arial"/>
          <w:sz w:val="22"/>
          <w:szCs w:val="22"/>
        </w:rPr>
      </w:pPr>
    </w:p>
    <w:p w:rsidR="00B87187" w:rsidRPr="00B87187" w:rsidRDefault="00B87187" w:rsidP="00B87187">
      <w:pPr>
        <w:jc w:val="both"/>
        <w:rPr>
          <w:rFonts w:ascii="Arial" w:hAnsi="Arial" w:cs="Arial"/>
          <w:sz w:val="22"/>
          <w:szCs w:val="22"/>
        </w:rPr>
      </w:pPr>
    </w:p>
    <w:p w:rsidR="00B87187" w:rsidRPr="00B87187" w:rsidRDefault="00B87187" w:rsidP="00B87187">
      <w:pPr>
        <w:rPr>
          <w:rFonts w:ascii="Arial" w:hAnsi="Arial" w:cs="Arial"/>
          <w:sz w:val="22"/>
          <w:szCs w:val="22"/>
          <w:u w:val="single"/>
        </w:rPr>
      </w:pPr>
      <w:r w:rsidRPr="00B87187">
        <w:rPr>
          <w:rFonts w:ascii="Arial" w:hAnsi="Arial" w:cs="Arial"/>
          <w:sz w:val="22"/>
          <w:szCs w:val="22"/>
          <w:u w:val="single"/>
        </w:rPr>
        <w:br w:type="page"/>
      </w:r>
    </w:p>
    <w:p w:rsidR="00B87187" w:rsidRPr="00B87187" w:rsidRDefault="00B87187" w:rsidP="00B87187">
      <w:pPr>
        <w:ind w:firstLine="720"/>
        <w:jc w:val="both"/>
        <w:rPr>
          <w:rFonts w:ascii="Arial" w:hAnsi="Arial" w:cs="Arial"/>
          <w:sz w:val="22"/>
          <w:szCs w:val="22"/>
          <w:u w:val="single"/>
        </w:rPr>
      </w:pPr>
      <w:r w:rsidRPr="00B87187">
        <w:rPr>
          <w:rFonts w:ascii="Arial" w:hAnsi="Arial" w:cs="Arial"/>
          <w:sz w:val="22"/>
          <w:szCs w:val="22"/>
          <w:u w:val="single"/>
        </w:rPr>
        <w:lastRenderedPageBreak/>
        <w:t>Maintenance therapy for previously untreated follicular lymphoma:</w:t>
      </w:r>
    </w:p>
    <w:p w:rsidR="00B87187" w:rsidRPr="00B87187" w:rsidRDefault="00B87187" w:rsidP="00B87187">
      <w:pPr>
        <w:jc w:val="both"/>
        <w:rPr>
          <w:rFonts w:ascii="Arial" w:hAnsi="Arial" w:cs="Arial"/>
          <w:sz w:val="22"/>
          <w:szCs w:val="22"/>
        </w:rPr>
      </w:pPr>
    </w:p>
    <w:tbl>
      <w:tblPr>
        <w:tblW w:w="8363" w:type="dxa"/>
        <w:tblInd w:w="817" w:type="dxa"/>
        <w:tblLayout w:type="fixed"/>
        <w:tblLook w:val="0000" w:firstRow="0" w:lastRow="0" w:firstColumn="0" w:lastColumn="0" w:noHBand="0" w:noVBand="0"/>
      </w:tblPr>
      <w:tblGrid>
        <w:gridCol w:w="2268"/>
        <w:gridCol w:w="567"/>
        <w:gridCol w:w="709"/>
        <w:gridCol w:w="1134"/>
        <w:gridCol w:w="1417"/>
        <w:gridCol w:w="2268"/>
      </w:tblGrid>
      <w:tr w:rsidR="00B87187" w:rsidRPr="00B87187" w:rsidTr="00DD6536">
        <w:trPr>
          <w:cantSplit/>
          <w:trHeight w:val="471"/>
        </w:trPr>
        <w:tc>
          <w:tcPr>
            <w:tcW w:w="2268" w:type="dxa"/>
            <w:tcBorders>
              <w:bottom w:val="single" w:sz="4" w:space="0" w:color="auto"/>
            </w:tcBorders>
          </w:tcPr>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Name, Restriction,</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Manner of administration and form</w:t>
            </w:r>
          </w:p>
        </w:tc>
        <w:tc>
          <w:tcPr>
            <w:tcW w:w="1276" w:type="dxa"/>
            <w:gridSpan w:val="2"/>
            <w:tcBorders>
              <w:bottom w:val="single" w:sz="4" w:space="0" w:color="auto"/>
            </w:tcBorders>
          </w:tcPr>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Max.</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Qty</w:t>
            </w:r>
          </w:p>
        </w:tc>
        <w:tc>
          <w:tcPr>
            <w:tcW w:w="1134" w:type="dxa"/>
            <w:tcBorders>
              <w:bottom w:val="single" w:sz="4" w:space="0" w:color="auto"/>
            </w:tcBorders>
          </w:tcPr>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№.of</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Rpts</w:t>
            </w:r>
          </w:p>
        </w:tc>
        <w:tc>
          <w:tcPr>
            <w:tcW w:w="3685" w:type="dxa"/>
            <w:gridSpan w:val="2"/>
            <w:tcBorders>
              <w:bottom w:val="single" w:sz="4" w:space="0" w:color="auto"/>
            </w:tcBorders>
          </w:tcPr>
          <w:p w:rsidR="00B87187" w:rsidRPr="00B87187" w:rsidRDefault="00B87187" w:rsidP="00B87187">
            <w:pPr>
              <w:keepNext/>
              <w:jc w:val="both"/>
              <w:rPr>
                <w:rFonts w:ascii="Arial Narrow" w:hAnsi="Arial Narrow" w:cs="Arial"/>
                <w:sz w:val="20"/>
                <w:szCs w:val="20"/>
                <w:lang w:val="fr-FR"/>
              </w:rPr>
            </w:pPr>
            <w:r w:rsidRPr="00B87187">
              <w:rPr>
                <w:rFonts w:ascii="Arial Narrow" w:hAnsi="Arial Narrow" w:cs="Arial"/>
                <w:sz w:val="20"/>
                <w:szCs w:val="20"/>
              </w:rPr>
              <w:t>Proprietary Name and Manufacturer</w:t>
            </w:r>
          </w:p>
        </w:tc>
      </w:tr>
      <w:tr w:rsidR="00B87187" w:rsidRPr="00B87187" w:rsidTr="00DD6536">
        <w:trPr>
          <w:cantSplit/>
          <w:trHeight w:val="577"/>
        </w:trPr>
        <w:tc>
          <w:tcPr>
            <w:tcW w:w="2268" w:type="dxa"/>
          </w:tcPr>
          <w:p w:rsidR="00B87187" w:rsidRPr="00B87187" w:rsidRDefault="00B87187" w:rsidP="00B87187">
            <w:pPr>
              <w:keepNext/>
              <w:ind w:left="-108"/>
              <w:rPr>
                <w:rFonts w:ascii="Arial Narrow" w:hAnsi="Arial Narrow" w:cs="Arial"/>
                <w:smallCaps/>
                <w:sz w:val="20"/>
                <w:szCs w:val="20"/>
              </w:rPr>
            </w:pPr>
            <w:r w:rsidRPr="00B87187">
              <w:rPr>
                <w:rFonts w:ascii="Arial Narrow" w:hAnsi="Arial Narrow" w:cs="Arial"/>
                <w:smallCaps/>
                <w:sz w:val="20"/>
                <w:szCs w:val="20"/>
              </w:rPr>
              <w:t xml:space="preserve">Rituximab  </w:t>
            </w:r>
          </w:p>
          <w:p w:rsidR="00B87187" w:rsidRPr="00B87187" w:rsidRDefault="00B87187" w:rsidP="00B87187">
            <w:pPr>
              <w:keepNext/>
              <w:ind w:left="-108"/>
              <w:rPr>
                <w:rFonts w:ascii="Arial Narrow" w:hAnsi="Arial Narrow" w:cs="Arial"/>
                <w:smallCaps/>
                <w:sz w:val="20"/>
                <w:szCs w:val="20"/>
              </w:rPr>
            </w:pPr>
            <w:r w:rsidRPr="00B87187">
              <w:rPr>
                <w:rFonts w:ascii="Arial Narrow" w:hAnsi="Arial Narrow"/>
                <w:sz w:val="20"/>
                <w:szCs w:val="20"/>
              </w:rPr>
              <w:t>Solution for subcutaneous injection</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mallCaps/>
                <w:sz w:val="20"/>
                <w:szCs w:val="20"/>
              </w:rPr>
              <w:t>1,400 mg/11.7mL</w:t>
            </w:r>
          </w:p>
        </w:tc>
        <w:tc>
          <w:tcPr>
            <w:tcW w:w="1276" w:type="dxa"/>
            <w:gridSpan w:val="2"/>
          </w:tcPr>
          <w:p w:rsidR="00B87187" w:rsidRPr="00B87187" w:rsidRDefault="00B87187" w:rsidP="00B87187">
            <w:pPr>
              <w:keepNext/>
              <w:jc w:val="both"/>
              <w:rPr>
                <w:rFonts w:ascii="Arial Narrow" w:hAnsi="Arial Narrow" w:cs="Arial"/>
                <w:sz w:val="20"/>
                <w:szCs w:val="20"/>
              </w:rPr>
            </w:pPr>
          </w:p>
          <w:p w:rsidR="00B87187" w:rsidRPr="00B87187" w:rsidRDefault="00B87187" w:rsidP="00B87187">
            <w:pPr>
              <w:keepNext/>
              <w:jc w:val="both"/>
              <w:rPr>
                <w:rFonts w:ascii="Arial Narrow" w:hAnsi="Arial Narrow" w:cs="Arial"/>
                <w:sz w:val="20"/>
                <w:szCs w:val="20"/>
              </w:rPr>
            </w:pPr>
            <w:r w:rsidRPr="00B87187">
              <w:rPr>
                <w:rFonts w:ascii="Arial Narrow" w:hAnsi="Arial Narrow" w:cs="Arial"/>
                <w:sz w:val="20"/>
                <w:szCs w:val="20"/>
              </w:rPr>
              <w:t>1,400 mg</w:t>
            </w:r>
          </w:p>
        </w:tc>
        <w:tc>
          <w:tcPr>
            <w:tcW w:w="1134" w:type="dxa"/>
          </w:tcPr>
          <w:p w:rsidR="00B87187" w:rsidRPr="00B87187" w:rsidRDefault="00B87187" w:rsidP="00B87187">
            <w:pPr>
              <w:keepNext/>
              <w:ind w:left="-108"/>
              <w:jc w:val="both"/>
              <w:rPr>
                <w:rFonts w:ascii="Arial Narrow" w:hAnsi="Arial Narrow" w:cs="Arial"/>
                <w:sz w:val="20"/>
                <w:szCs w:val="20"/>
              </w:rPr>
            </w:pP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11</w:t>
            </w:r>
          </w:p>
        </w:tc>
        <w:tc>
          <w:tcPr>
            <w:tcW w:w="1417" w:type="dxa"/>
          </w:tcPr>
          <w:p w:rsidR="00B87187" w:rsidRPr="00B87187" w:rsidRDefault="00B87187" w:rsidP="00B87187">
            <w:pPr>
              <w:keepNext/>
              <w:jc w:val="both"/>
              <w:rPr>
                <w:rFonts w:ascii="Arial Narrow" w:hAnsi="Arial Narrow" w:cs="Arial"/>
                <w:sz w:val="20"/>
                <w:szCs w:val="20"/>
              </w:rPr>
            </w:pPr>
            <w:r w:rsidRPr="00B87187">
              <w:rPr>
                <w:rFonts w:ascii="Arial Narrow" w:hAnsi="Arial Narrow" w:cs="Arial"/>
                <w:sz w:val="20"/>
                <w:szCs w:val="20"/>
              </w:rPr>
              <w:t>Mabthera</w:t>
            </w:r>
            <w:r w:rsidRPr="00B87187">
              <w:rPr>
                <w:rFonts w:ascii="Arial Narrow" w:hAnsi="Arial Narrow" w:cs="Arial"/>
                <w:b/>
                <w:sz w:val="20"/>
                <w:szCs w:val="20"/>
                <w:vertAlign w:val="superscript"/>
              </w:rPr>
              <w:t>®</w:t>
            </w:r>
            <w:r w:rsidRPr="00B87187">
              <w:rPr>
                <w:rFonts w:ascii="Arial Narrow" w:hAnsi="Arial Narrow" w:cs="Arial"/>
                <w:sz w:val="20"/>
                <w:szCs w:val="20"/>
              </w:rPr>
              <w:t>SC</w:t>
            </w:r>
          </w:p>
        </w:tc>
        <w:tc>
          <w:tcPr>
            <w:tcW w:w="2268" w:type="dxa"/>
          </w:tcPr>
          <w:p w:rsidR="00B87187" w:rsidRPr="00B87187" w:rsidRDefault="00B87187" w:rsidP="00B87187">
            <w:pPr>
              <w:keepNext/>
              <w:jc w:val="both"/>
              <w:rPr>
                <w:rFonts w:ascii="Arial Narrow" w:hAnsi="Arial Narrow" w:cs="Arial"/>
                <w:sz w:val="20"/>
                <w:szCs w:val="20"/>
              </w:rPr>
            </w:pPr>
            <w:r w:rsidRPr="00B87187">
              <w:rPr>
                <w:rFonts w:ascii="Arial Narrow" w:hAnsi="Arial Narrow" w:cs="Calibri"/>
                <w:bCs/>
                <w:sz w:val="20"/>
                <w:szCs w:val="20"/>
                <w:lang w:eastAsia="en-US"/>
              </w:rPr>
              <w:t>Roche Products Pty Limited</w:t>
            </w:r>
          </w:p>
        </w:tc>
      </w:tr>
      <w:tr w:rsidR="00B87187" w:rsidRPr="00B87187" w:rsidTr="00DD6536">
        <w:trPr>
          <w:cantSplit/>
          <w:trHeight w:val="360"/>
        </w:trPr>
        <w:tc>
          <w:tcPr>
            <w:tcW w:w="8363" w:type="dxa"/>
            <w:gridSpan w:val="6"/>
            <w:tcBorders>
              <w:bottom w:val="single" w:sz="4" w:space="0" w:color="auto"/>
            </w:tcBorders>
          </w:tcPr>
          <w:p w:rsidR="00B87187" w:rsidRPr="00B87187" w:rsidRDefault="00B87187" w:rsidP="00B87187">
            <w:pPr>
              <w:jc w:val="both"/>
              <w:rPr>
                <w:rFonts w:ascii="Arial Narrow" w:hAnsi="Arial Narrow" w:cs="Arial"/>
                <w:sz w:val="20"/>
                <w:szCs w:val="20"/>
              </w:rPr>
            </w:pP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 xml:space="preserve">Category / </w:t>
            </w:r>
          </w:p>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Program</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GENERAL SCHEDULE</w:t>
            </w:r>
          </w:p>
          <w:p w:rsidR="00B87187" w:rsidRPr="00B87187" w:rsidRDefault="00B87187" w:rsidP="00B87187">
            <w:pPr>
              <w:ind w:left="720" w:hanging="720"/>
              <w:rPr>
                <w:rFonts w:ascii="Arial Narrow" w:hAnsi="Arial Narrow" w:cs="Arial"/>
                <w:sz w:val="20"/>
                <w:szCs w:val="20"/>
              </w:rPr>
            </w:pPr>
            <w:r w:rsidRPr="00B87187">
              <w:rPr>
                <w:rFonts w:ascii="Arial Narrow" w:hAnsi="Arial Narrow" w:cs="Arial"/>
                <w:sz w:val="20"/>
                <w:szCs w:val="20"/>
              </w:rPr>
              <w:t>S100 – Chemotherapy Scheme – CPAP Public Hospital (CT)</w:t>
            </w:r>
          </w:p>
          <w:p w:rsidR="00B87187" w:rsidRPr="00B87187" w:rsidRDefault="00B87187" w:rsidP="00B87187">
            <w:pPr>
              <w:rPr>
                <w:rFonts w:ascii="Arial Narrow" w:hAnsi="Arial Narrow" w:cs="Arial"/>
                <w:sz w:val="20"/>
                <w:szCs w:val="20"/>
              </w:rPr>
            </w:pP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Prescriber type:</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Check1"/>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 xml:space="preserve">Dental  </w:t>
            </w:r>
            <w:r w:rsidRPr="00B87187">
              <w:rPr>
                <w:rFonts w:ascii="Arial Narrow" w:hAnsi="Arial Narrow" w:cs="Arial"/>
                <w:sz w:val="20"/>
                <w:szCs w:val="20"/>
              </w:rPr>
              <w:fldChar w:fldCharType="begin">
                <w:ffData>
                  <w:name w:val=""/>
                  <w:enabled/>
                  <w:calcOnExit w:val="0"/>
                  <w:checkBox>
                    <w:sizeAuto/>
                    <w:default w:val="1"/>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 xml:space="preserve">Medical Practitioners  </w:t>
            </w:r>
            <w:r w:rsidRPr="00B87187">
              <w:rPr>
                <w:rFonts w:ascii="Arial Narrow" w:hAnsi="Arial Narrow" w:cs="Arial"/>
                <w:sz w:val="20"/>
                <w:szCs w:val="20"/>
              </w:rPr>
              <w:fldChar w:fldCharType="begin">
                <w:ffData>
                  <w:name w:val="Check3"/>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 xml:space="preserve">Nurse practitioners  </w:t>
            </w: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Optometrists</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Check5"/>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Midwives</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Episodicity:</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Severity:</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lang w:val="en-US"/>
              </w:rPr>
              <w:t>Stage III or IV</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Condition:</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lang w:val="en-US"/>
              </w:rPr>
              <w:t>CD20 positive follicular B-cell Non-Hodgkin’s lymphoma</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Treatment phase:</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Maintenance therapy</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Restriction Level / Method:</w:t>
            </w:r>
          </w:p>
          <w:p w:rsidR="00B87187" w:rsidRPr="00B87187" w:rsidRDefault="00B87187" w:rsidP="00B87187">
            <w:pPr>
              <w:rPr>
                <w:rFonts w:ascii="Arial Narrow" w:hAnsi="Arial Narrow" w:cs="Arial"/>
                <w:sz w:val="20"/>
                <w:szCs w:val="20"/>
              </w:rPr>
            </w:pP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Check1"/>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Restricted benefit</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In Writing</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Telephone</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Emergency</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Electronic</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OR</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1"/>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Streamlined</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Clinical criteria:</w:t>
            </w:r>
          </w:p>
          <w:p w:rsidR="00B87187" w:rsidRPr="00B87187" w:rsidRDefault="00B87187" w:rsidP="00B87187">
            <w:pPr>
              <w:jc w:val="both"/>
              <w:rPr>
                <w:rFonts w:ascii="Arial Narrow" w:hAnsi="Arial Narrow" w:cs="Arial"/>
                <w:i/>
                <w:sz w:val="20"/>
                <w:szCs w:val="20"/>
              </w:rPr>
            </w:pPr>
          </w:p>
          <w:p w:rsidR="00B87187" w:rsidRPr="00B87187" w:rsidRDefault="00B87187" w:rsidP="00B87187">
            <w:pPr>
              <w:jc w:val="both"/>
              <w:rPr>
                <w:rFonts w:ascii="Arial Narrow" w:hAnsi="Arial Narrow" w:cs="Arial"/>
                <w:sz w:val="20"/>
                <w:szCs w:val="20"/>
              </w:rPr>
            </w:pP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Patient must have demonstrated a partial or complete response to the induction phase of treatment for previously untreated follicular B-cell Non-Hodgkin’s lymphoma, received immediately prior to this current Authority application,</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AND</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The treatment must be for maintenance therapy,</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AND</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Patient must not receive more than 12 doses or 2 years duration of treatment, whichever comes first, under this restriction.</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Administrative Advice</w:t>
            </w:r>
          </w:p>
          <w:p w:rsidR="00B87187" w:rsidRPr="00B87187" w:rsidRDefault="00B87187" w:rsidP="00B87187">
            <w:pPr>
              <w:jc w:val="both"/>
              <w:rPr>
                <w:rFonts w:ascii="Arial Narrow" w:hAnsi="Arial Narrow" w:cs="Arial"/>
                <w:i/>
                <w:sz w:val="20"/>
                <w:szCs w:val="20"/>
              </w:rPr>
            </w:pP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A patient may only qualify for PBS-subsidised treatment under this restriction once in a lifetime.</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Administrative Advice</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No increase in the maximum number of repeats may be authorised.</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Administrative Advice</w:t>
            </w:r>
          </w:p>
          <w:p w:rsidR="00B87187" w:rsidRPr="00B87187" w:rsidRDefault="00B87187" w:rsidP="00B87187">
            <w:pPr>
              <w:jc w:val="both"/>
              <w:rPr>
                <w:rFonts w:ascii="Arial Narrow" w:hAnsi="Arial Narrow" w:cs="Arial"/>
                <w:b/>
                <w:sz w:val="20"/>
                <w:szCs w:val="20"/>
              </w:rPr>
            </w:pP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lang w:val="en-US"/>
              </w:rPr>
              <w:t>Special pricing arrangements apply</w:t>
            </w:r>
          </w:p>
        </w:tc>
      </w:tr>
    </w:tbl>
    <w:p w:rsidR="00B87187" w:rsidRPr="00B87187" w:rsidRDefault="00B87187" w:rsidP="00B87187">
      <w:pPr>
        <w:jc w:val="both"/>
        <w:rPr>
          <w:rFonts w:ascii="Arial" w:hAnsi="Arial" w:cs="Arial"/>
          <w:sz w:val="22"/>
          <w:szCs w:val="22"/>
        </w:rPr>
      </w:pPr>
    </w:p>
    <w:p w:rsidR="00B87187" w:rsidRPr="00B87187" w:rsidRDefault="00B87187" w:rsidP="00B87187">
      <w:pPr>
        <w:jc w:val="both"/>
        <w:rPr>
          <w:rFonts w:ascii="Arial" w:hAnsi="Arial"/>
          <w:sz w:val="22"/>
          <w:szCs w:val="22"/>
          <w:u w:val="single"/>
        </w:rPr>
      </w:pPr>
    </w:p>
    <w:p w:rsidR="00B87187" w:rsidRPr="00B87187" w:rsidRDefault="00B87187" w:rsidP="00B87187">
      <w:pPr>
        <w:rPr>
          <w:rFonts w:ascii="Arial" w:hAnsi="Arial"/>
          <w:sz w:val="22"/>
          <w:szCs w:val="22"/>
          <w:u w:val="single"/>
        </w:rPr>
      </w:pPr>
      <w:r w:rsidRPr="00B87187">
        <w:rPr>
          <w:rFonts w:ascii="Arial" w:hAnsi="Arial"/>
          <w:sz w:val="22"/>
          <w:szCs w:val="22"/>
          <w:u w:val="single"/>
        </w:rPr>
        <w:br w:type="page"/>
      </w:r>
    </w:p>
    <w:p w:rsidR="00B87187" w:rsidRPr="00B87187" w:rsidRDefault="00B87187" w:rsidP="00B87187">
      <w:pPr>
        <w:ind w:firstLine="720"/>
        <w:jc w:val="both"/>
        <w:rPr>
          <w:rFonts w:ascii="Arial" w:hAnsi="Arial" w:cs="Arial"/>
          <w:sz w:val="22"/>
          <w:szCs w:val="22"/>
        </w:rPr>
      </w:pPr>
      <w:r w:rsidRPr="00B87187">
        <w:rPr>
          <w:rFonts w:ascii="Arial" w:hAnsi="Arial"/>
          <w:sz w:val="22"/>
          <w:szCs w:val="22"/>
          <w:u w:val="single"/>
        </w:rPr>
        <w:lastRenderedPageBreak/>
        <w:t>Maintenance therapy for relapsed/refractory follicular disease:</w:t>
      </w:r>
    </w:p>
    <w:p w:rsidR="00B87187" w:rsidRPr="00B87187" w:rsidRDefault="00B87187" w:rsidP="00B87187">
      <w:pPr>
        <w:jc w:val="both"/>
        <w:rPr>
          <w:rFonts w:ascii="Arial" w:hAnsi="Arial" w:cs="Arial"/>
          <w:sz w:val="22"/>
          <w:szCs w:val="22"/>
        </w:rPr>
      </w:pPr>
    </w:p>
    <w:tbl>
      <w:tblPr>
        <w:tblW w:w="8363" w:type="dxa"/>
        <w:tblInd w:w="817" w:type="dxa"/>
        <w:tblLayout w:type="fixed"/>
        <w:tblLook w:val="0000" w:firstRow="0" w:lastRow="0" w:firstColumn="0" w:lastColumn="0" w:noHBand="0" w:noVBand="0"/>
      </w:tblPr>
      <w:tblGrid>
        <w:gridCol w:w="2410"/>
        <w:gridCol w:w="425"/>
        <w:gridCol w:w="567"/>
        <w:gridCol w:w="1276"/>
        <w:gridCol w:w="1276"/>
        <w:gridCol w:w="2409"/>
      </w:tblGrid>
      <w:tr w:rsidR="00B87187" w:rsidRPr="00B87187" w:rsidTr="00DD6536">
        <w:trPr>
          <w:cantSplit/>
          <w:trHeight w:val="471"/>
        </w:trPr>
        <w:tc>
          <w:tcPr>
            <w:tcW w:w="2410" w:type="dxa"/>
            <w:tcBorders>
              <w:bottom w:val="single" w:sz="4" w:space="0" w:color="auto"/>
            </w:tcBorders>
          </w:tcPr>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Name, Restriction,</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Manner of administration and form</w:t>
            </w:r>
          </w:p>
        </w:tc>
        <w:tc>
          <w:tcPr>
            <w:tcW w:w="992" w:type="dxa"/>
            <w:gridSpan w:val="2"/>
            <w:tcBorders>
              <w:bottom w:val="single" w:sz="4" w:space="0" w:color="auto"/>
            </w:tcBorders>
          </w:tcPr>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Max.</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Qty</w:t>
            </w:r>
          </w:p>
        </w:tc>
        <w:tc>
          <w:tcPr>
            <w:tcW w:w="1276" w:type="dxa"/>
            <w:tcBorders>
              <w:bottom w:val="single" w:sz="4" w:space="0" w:color="auto"/>
            </w:tcBorders>
          </w:tcPr>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№.of</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Rpts</w:t>
            </w:r>
          </w:p>
        </w:tc>
        <w:tc>
          <w:tcPr>
            <w:tcW w:w="3685" w:type="dxa"/>
            <w:gridSpan w:val="2"/>
            <w:tcBorders>
              <w:bottom w:val="single" w:sz="4" w:space="0" w:color="auto"/>
            </w:tcBorders>
          </w:tcPr>
          <w:p w:rsidR="00B87187" w:rsidRPr="00B87187" w:rsidRDefault="00B87187" w:rsidP="00B87187">
            <w:pPr>
              <w:keepNext/>
              <w:jc w:val="both"/>
              <w:rPr>
                <w:rFonts w:ascii="Arial Narrow" w:hAnsi="Arial Narrow" w:cs="Arial"/>
                <w:sz w:val="20"/>
                <w:szCs w:val="20"/>
                <w:lang w:val="fr-FR"/>
              </w:rPr>
            </w:pPr>
            <w:r w:rsidRPr="00B87187">
              <w:rPr>
                <w:rFonts w:ascii="Arial Narrow" w:hAnsi="Arial Narrow" w:cs="Arial"/>
                <w:sz w:val="20"/>
                <w:szCs w:val="20"/>
              </w:rPr>
              <w:t>Proprietary Name and Manufacturer</w:t>
            </w:r>
          </w:p>
        </w:tc>
      </w:tr>
      <w:tr w:rsidR="00B87187" w:rsidRPr="00B87187" w:rsidTr="00DD6536">
        <w:trPr>
          <w:cantSplit/>
          <w:trHeight w:val="577"/>
        </w:trPr>
        <w:tc>
          <w:tcPr>
            <w:tcW w:w="2410" w:type="dxa"/>
          </w:tcPr>
          <w:p w:rsidR="00B87187" w:rsidRPr="00B87187" w:rsidRDefault="00B87187" w:rsidP="00B87187">
            <w:pPr>
              <w:keepNext/>
              <w:ind w:left="-108"/>
              <w:rPr>
                <w:rFonts w:ascii="Arial Narrow" w:hAnsi="Arial Narrow" w:cs="Arial"/>
                <w:smallCaps/>
                <w:sz w:val="20"/>
                <w:szCs w:val="20"/>
              </w:rPr>
            </w:pPr>
            <w:r w:rsidRPr="00B87187">
              <w:rPr>
                <w:rFonts w:ascii="Arial Narrow" w:hAnsi="Arial Narrow" w:cs="Arial"/>
                <w:smallCaps/>
                <w:sz w:val="20"/>
                <w:szCs w:val="20"/>
              </w:rPr>
              <w:t xml:space="preserve">Rituximab  </w:t>
            </w:r>
          </w:p>
          <w:p w:rsidR="00B87187" w:rsidRPr="00B87187" w:rsidRDefault="00B87187" w:rsidP="00B87187">
            <w:pPr>
              <w:keepNext/>
              <w:ind w:left="-108"/>
              <w:rPr>
                <w:rFonts w:ascii="Arial Narrow" w:hAnsi="Arial Narrow" w:cs="Arial"/>
                <w:smallCaps/>
                <w:sz w:val="20"/>
                <w:szCs w:val="20"/>
              </w:rPr>
            </w:pPr>
            <w:r w:rsidRPr="00B87187">
              <w:rPr>
                <w:rFonts w:ascii="Arial Narrow" w:hAnsi="Arial Narrow"/>
                <w:sz w:val="20"/>
                <w:szCs w:val="20"/>
              </w:rPr>
              <w:t>Solution for subcutaneous injection</w:t>
            </w: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mallCaps/>
                <w:sz w:val="20"/>
                <w:szCs w:val="20"/>
              </w:rPr>
              <w:t>1,400 mg/11.7mL</w:t>
            </w:r>
          </w:p>
        </w:tc>
        <w:tc>
          <w:tcPr>
            <w:tcW w:w="992" w:type="dxa"/>
            <w:gridSpan w:val="2"/>
          </w:tcPr>
          <w:p w:rsidR="00B87187" w:rsidRPr="00B87187" w:rsidRDefault="00B87187" w:rsidP="00B87187">
            <w:pPr>
              <w:keepNext/>
              <w:jc w:val="both"/>
              <w:rPr>
                <w:rFonts w:ascii="Arial Narrow" w:hAnsi="Arial Narrow" w:cs="Arial"/>
                <w:sz w:val="20"/>
                <w:szCs w:val="20"/>
              </w:rPr>
            </w:pPr>
          </w:p>
          <w:p w:rsidR="00B87187" w:rsidRPr="00B87187" w:rsidRDefault="00B87187" w:rsidP="00B87187">
            <w:pPr>
              <w:keepNext/>
              <w:jc w:val="both"/>
              <w:rPr>
                <w:rFonts w:ascii="Arial Narrow" w:hAnsi="Arial Narrow" w:cs="Arial"/>
                <w:sz w:val="20"/>
                <w:szCs w:val="20"/>
              </w:rPr>
            </w:pPr>
            <w:r w:rsidRPr="00B87187">
              <w:rPr>
                <w:rFonts w:ascii="Arial Narrow" w:hAnsi="Arial Narrow" w:cs="Arial"/>
                <w:sz w:val="20"/>
                <w:szCs w:val="20"/>
              </w:rPr>
              <w:t>1,400 mg</w:t>
            </w:r>
          </w:p>
        </w:tc>
        <w:tc>
          <w:tcPr>
            <w:tcW w:w="1276" w:type="dxa"/>
          </w:tcPr>
          <w:p w:rsidR="00B87187" w:rsidRPr="00B87187" w:rsidRDefault="00B87187" w:rsidP="00B87187">
            <w:pPr>
              <w:keepNext/>
              <w:ind w:left="-108"/>
              <w:jc w:val="both"/>
              <w:rPr>
                <w:rFonts w:ascii="Arial Narrow" w:hAnsi="Arial Narrow" w:cs="Arial"/>
                <w:sz w:val="20"/>
                <w:szCs w:val="20"/>
              </w:rPr>
            </w:pPr>
          </w:p>
          <w:p w:rsidR="00B87187" w:rsidRPr="00B87187" w:rsidRDefault="00B87187" w:rsidP="00B87187">
            <w:pPr>
              <w:keepNext/>
              <w:ind w:left="-108"/>
              <w:jc w:val="both"/>
              <w:rPr>
                <w:rFonts w:ascii="Arial Narrow" w:hAnsi="Arial Narrow" w:cs="Arial"/>
                <w:sz w:val="20"/>
                <w:szCs w:val="20"/>
              </w:rPr>
            </w:pPr>
            <w:r w:rsidRPr="00B87187">
              <w:rPr>
                <w:rFonts w:ascii="Arial Narrow" w:hAnsi="Arial Narrow" w:cs="Arial"/>
                <w:sz w:val="20"/>
                <w:szCs w:val="20"/>
              </w:rPr>
              <w:t>7</w:t>
            </w:r>
          </w:p>
        </w:tc>
        <w:tc>
          <w:tcPr>
            <w:tcW w:w="1276" w:type="dxa"/>
          </w:tcPr>
          <w:p w:rsidR="00B87187" w:rsidRPr="00B87187" w:rsidRDefault="00B87187" w:rsidP="00B87187">
            <w:pPr>
              <w:keepNext/>
              <w:jc w:val="both"/>
              <w:rPr>
                <w:rFonts w:ascii="Arial Narrow" w:hAnsi="Arial Narrow" w:cs="Arial"/>
                <w:sz w:val="20"/>
                <w:szCs w:val="20"/>
              </w:rPr>
            </w:pPr>
            <w:r w:rsidRPr="00B87187">
              <w:rPr>
                <w:rFonts w:ascii="Arial Narrow" w:hAnsi="Arial Narrow" w:cs="Arial"/>
                <w:sz w:val="20"/>
                <w:szCs w:val="20"/>
              </w:rPr>
              <w:t>Mabthera</w:t>
            </w:r>
            <w:r w:rsidRPr="00B87187">
              <w:rPr>
                <w:rFonts w:ascii="Arial Narrow" w:hAnsi="Arial Narrow" w:cs="Arial"/>
                <w:b/>
                <w:sz w:val="20"/>
                <w:szCs w:val="20"/>
                <w:vertAlign w:val="superscript"/>
              </w:rPr>
              <w:t>®</w:t>
            </w:r>
            <w:r w:rsidRPr="00B87187">
              <w:rPr>
                <w:rFonts w:ascii="Arial Narrow" w:hAnsi="Arial Narrow" w:cs="Arial"/>
                <w:sz w:val="20"/>
                <w:szCs w:val="20"/>
              </w:rPr>
              <w:t>SC</w:t>
            </w:r>
          </w:p>
        </w:tc>
        <w:tc>
          <w:tcPr>
            <w:tcW w:w="2409" w:type="dxa"/>
          </w:tcPr>
          <w:p w:rsidR="00B87187" w:rsidRPr="00B87187" w:rsidRDefault="00B87187" w:rsidP="00B87187">
            <w:pPr>
              <w:keepNext/>
              <w:jc w:val="both"/>
              <w:rPr>
                <w:rFonts w:ascii="Arial Narrow" w:hAnsi="Arial Narrow" w:cs="Arial"/>
                <w:sz w:val="20"/>
                <w:szCs w:val="20"/>
              </w:rPr>
            </w:pPr>
            <w:r w:rsidRPr="00B87187">
              <w:rPr>
                <w:rFonts w:ascii="Arial Narrow" w:hAnsi="Arial Narrow" w:cs="Calibri"/>
                <w:bCs/>
                <w:sz w:val="20"/>
                <w:szCs w:val="20"/>
                <w:lang w:eastAsia="en-US"/>
              </w:rPr>
              <w:t>Roche Products Pty Limited</w:t>
            </w:r>
          </w:p>
        </w:tc>
      </w:tr>
      <w:tr w:rsidR="00B87187" w:rsidRPr="00B87187" w:rsidTr="00DD6536">
        <w:trPr>
          <w:cantSplit/>
          <w:trHeight w:val="360"/>
        </w:trPr>
        <w:tc>
          <w:tcPr>
            <w:tcW w:w="8363" w:type="dxa"/>
            <w:gridSpan w:val="6"/>
            <w:tcBorders>
              <w:bottom w:val="single" w:sz="4" w:space="0" w:color="auto"/>
            </w:tcBorders>
          </w:tcPr>
          <w:p w:rsidR="00B87187" w:rsidRPr="00B87187" w:rsidRDefault="00B87187" w:rsidP="00B87187">
            <w:pPr>
              <w:jc w:val="both"/>
              <w:rPr>
                <w:rFonts w:ascii="Arial Narrow" w:hAnsi="Arial Narrow" w:cs="Arial"/>
                <w:sz w:val="20"/>
                <w:szCs w:val="20"/>
              </w:rPr>
            </w:pP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 xml:space="preserve">Category / </w:t>
            </w:r>
          </w:p>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Program</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GENERAL SCHEDULE</w:t>
            </w:r>
          </w:p>
          <w:p w:rsidR="00B87187" w:rsidRPr="00B87187" w:rsidRDefault="00B87187" w:rsidP="00B87187">
            <w:pPr>
              <w:ind w:left="720" w:hanging="720"/>
              <w:rPr>
                <w:rFonts w:ascii="Arial Narrow" w:hAnsi="Arial Narrow" w:cs="Arial"/>
                <w:sz w:val="20"/>
                <w:szCs w:val="20"/>
              </w:rPr>
            </w:pPr>
            <w:r w:rsidRPr="00B87187">
              <w:rPr>
                <w:rFonts w:ascii="Arial Narrow" w:hAnsi="Arial Narrow" w:cs="Arial"/>
                <w:sz w:val="20"/>
                <w:szCs w:val="20"/>
              </w:rPr>
              <w:t>S100 – Chemotherapy Scheme – CPAP Public Hospital (CT)</w:t>
            </w:r>
          </w:p>
          <w:p w:rsidR="00B87187" w:rsidRPr="00B87187" w:rsidRDefault="00B87187" w:rsidP="00B87187">
            <w:pPr>
              <w:rPr>
                <w:rFonts w:ascii="Arial Narrow" w:hAnsi="Arial Narrow" w:cs="Arial"/>
                <w:sz w:val="20"/>
                <w:szCs w:val="20"/>
              </w:rPr>
            </w:pP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Prescriber type:</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Check1"/>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 xml:space="preserve">Dental  </w:t>
            </w:r>
            <w:r w:rsidRPr="00B87187">
              <w:rPr>
                <w:rFonts w:ascii="Arial Narrow" w:hAnsi="Arial Narrow" w:cs="Arial"/>
                <w:sz w:val="20"/>
                <w:szCs w:val="20"/>
              </w:rPr>
              <w:fldChar w:fldCharType="begin">
                <w:ffData>
                  <w:name w:val=""/>
                  <w:enabled/>
                  <w:calcOnExit w:val="0"/>
                  <w:checkBox>
                    <w:sizeAuto/>
                    <w:default w:val="1"/>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 xml:space="preserve">Medical Practitioners  </w:t>
            </w:r>
            <w:r w:rsidRPr="00B87187">
              <w:rPr>
                <w:rFonts w:ascii="Arial Narrow" w:hAnsi="Arial Narrow" w:cs="Arial"/>
                <w:sz w:val="20"/>
                <w:szCs w:val="20"/>
              </w:rPr>
              <w:fldChar w:fldCharType="begin">
                <w:ffData>
                  <w:name w:val="Check3"/>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 xml:space="preserve">Nurse practitioners  </w:t>
            </w: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Optometrists</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Check5"/>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Midwives</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Episodicity:</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Relapsed or refractory</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Severity:</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lang w:val="en-US"/>
              </w:rPr>
              <w:t>Stage III or IV</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Condition:</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lang w:val="en-US"/>
              </w:rPr>
              <w:t>CD20 positive follicular B-cell non-Hodgkin’s lymphoma</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Treatment phase:</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Maintenance therapy</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Restriction Level / Method:</w:t>
            </w:r>
          </w:p>
          <w:p w:rsidR="00B87187" w:rsidRPr="00B87187" w:rsidRDefault="00B87187" w:rsidP="00B87187">
            <w:pPr>
              <w:rPr>
                <w:rFonts w:ascii="Arial Narrow" w:hAnsi="Arial Narrow" w:cs="Arial"/>
                <w:sz w:val="20"/>
                <w:szCs w:val="20"/>
              </w:rPr>
            </w:pP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Check1"/>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Restricted benefit</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In Writing</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Telephone</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Emergency</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0"/>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Authority Required – Electronic</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OR</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fldChar w:fldCharType="begin">
                <w:ffData>
                  <w:name w:val=""/>
                  <w:enabled/>
                  <w:calcOnExit w:val="0"/>
                  <w:checkBox>
                    <w:sizeAuto/>
                    <w:default w:val="1"/>
                  </w:checkBox>
                </w:ffData>
              </w:fldChar>
            </w:r>
            <w:r w:rsidRPr="00B87187">
              <w:rPr>
                <w:rFonts w:ascii="Arial Narrow" w:hAnsi="Arial Narrow" w:cs="Arial"/>
                <w:sz w:val="20"/>
                <w:szCs w:val="20"/>
              </w:rPr>
              <w:instrText xml:space="preserve"> FORMCHECKBOX </w:instrText>
            </w:r>
            <w:r w:rsidR="0021439F">
              <w:rPr>
                <w:rFonts w:ascii="Arial Narrow" w:hAnsi="Arial Narrow" w:cs="Arial"/>
                <w:sz w:val="20"/>
                <w:szCs w:val="20"/>
              </w:rPr>
            </w:r>
            <w:r w:rsidR="0021439F">
              <w:rPr>
                <w:rFonts w:ascii="Arial Narrow" w:hAnsi="Arial Narrow" w:cs="Arial"/>
                <w:sz w:val="20"/>
                <w:szCs w:val="20"/>
              </w:rPr>
              <w:fldChar w:fldCharType="separate"/>
            </w:r>
            <w:r w:rsidRPr="00B87187">
              <w:rPr>
                <w:rFonts w:ascii="Arial Narrow" w:hAnsi="Arial Narrow" w:cs="Arial"/>
                <w:sz w:val="20"/>
                <w:szCs w:val="20"/>
              </w:rPr>
              <w:fldChar w:fldCharType="end"/>
            </w:r>
            <w:r w:rsidRPr="00B87187">
              <w:rPr>
                <w:rFonts w:ascii="Arial Narrow" w:hAnsi="Arial Narrow" w:cs="Arial"/>
                <w:sz w:val="20"/>
                <w:szCs w:val="20"/>
              </w:rPr>
              <w:t>Streamlined</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Clinical criteria:</w:t>
            </w:r>
          </w:p>
          <w:p w:rsidR="00B87187" w:rsidRPr="00B87187" w:rsidRDefault="00B87187" w:rsidP="00B87187">
            <w:pPr>
              <w:jc w:val="both"/>
              <w:rPr>
                <w:rFonts w:ascii="Arial Narrow" w:hAnsi="Arial Narrow" w:cs="Arial"/>
                <w:i/>
                <w:sz w:val="20"/>
                <w:szCs w:val="20"/>
              </w:rPr>
            </w:pPr>
          </w:p>
          <w:p w:rsidR="00B87187" w:rsidRPr="00B87187" w:rsidRDefault="00B87187" w:rsidP="00B87187">
            <w:pPr>
              <w:jc w:val="both"/>
              <w:rPr>
                <w:rFonts w:ascii="Arial Narrow" w:hAnsi="Arial Narrow" w:cs="Arial"/>
                <w:sz w:val="20"/>
                <w:szCs w:val="20"/>
              </w:rPr>
            </w:pP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The treatment must be for maintenance therapy,</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AND</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Patient must have demonstrated a partial or complete response to re-induction treatment received immediately prior to this current Authority application,</w:t>
            </w:r>
          </w:p>
          <w:p w:rsidR="00B87187" w:rsidRPr="00B87187" w:rsidRDefault="00B87187" w:rsidP="00B87187">
            <w:pPr>
              <w:rPr>
                <w:rFonts w:ascii="Arial Narrow" w:hAnsi="Arial Narrow" w:cs="Arial"/>
                <w:sz w:val="20"/>
                <w:szCs w:val="20"/>
              </w:rPr>
            </w:pPr>
            <w:r w:rsidRPr="00B87187">
              <w:rPr>
                <w:rFonts w:ascii="Arial Narrow" w:hAnsi="Arial Narrow" w:cs="Arial"/>
                <w:sz w:val="20"/>
                <w:szCs w:val="20"/>
              </w:rPr>
              <w:t>AND</w:t>
            </w:r>
          </w:p>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rPr>
              <w:t>Patient must not receive more than 8 cycles or 2 years duration of treatment, whichever comes first, under this restriction.</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Administrative Advice</w:t>
            </w: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lang w:val="en-US"/>
              </w:rPr>
            </w:pPr>
            <w:r w:rsidRPr="00B87187">
              <w:rPr>
                <w:rFonts w:ascii="Arial Narrow" w:hAnsi="Arial Narrow" w:cs="Arial"/>
                <w:sz w:val="20"/>
                <w:szCs w:val="20"/>
                <w:lang w:val="en-US"/>
              </w:rPr>
              <w:t>No increase in the maximum number of repeats may be authorised.</w:t>
            </w:r>
          </w:p>
        </w:tc>
      </w:tr>
      <w:tr w:rsidR="00B87187" w:rsidRPr="00B87187" w:rsidTr="00DD653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87187" w:rsidRPr="00B87187" w:rsidRDefault="00B87187" w:rsidP="00B87187">
            <w:pPr>
              <w:jc w:val="both"/>
              <w:rPr>
                <w:rFonts w:ascii="Arial Narrow" w:hAnsi="Arial Narrow" w:cs="Arial"/>
                <w:b/>
                <w:sz w:val="20"/>
                <w:szCs w:val="20"/>
              </w:rPr>
            </w:pPr>
            <w:r w:rsidRPr="00B87187">
              <w:rPr>
                <w:rFonts w:ascii="Arial Narrow" w:hAnsi="Arial Narrow" w:cs="Arial"/>
                <w:b/>
                <w:sz w:val="20"/>
                <w:szCs w:val="20"/>
              </w:rPr>
              <w:t>Administrative Advice</w:t>
            </w:r>
          </w:p>
          <w:p w:rsidR="00B87187" w:rsidRPr="00B87187" w:rsidRDefault="00B87187" w:rsidP="00B87187">
            <w:pPr>
              <w:jc w:val="both"/>
              <w:rPr>
                <w:rFonts w:ascii="Arial Narrow" w:hAnsi="Arial Narrow" w:cs="Arial"/>
                <w:b/>
                <w:sz w:val="20"/>
                <w:szCs w:val="20"/>
              </w:rPr>
            </w:pPr>
          </w:p>
        </w:tc>
        <w:tc>
          <w:tcPr>
            <w:tcW w:w="5528" w:type="dxa"/>
            <w:gridSpan w:val="4"/>
            <w:tcBorders>
              <w:top w:val="single" w:sz="4" w:space="0" w:color="auto"/>
              <w:left w:val="single" w:sz="4" w:space="0" w:color="auto"/>
              <w:bottom w:val="single" w:sz="4" w:space="0" w:color="auto"/>
              <w:right w:val="single" w:sz="4" w:space="0" w:color="auto"/>
            </w:tcBorders>
          </w:tcPr>
          <w:p w:rsidR="00B87187" w:rsidRPr="00B87187" w:rsidRDefault="00B87187" w:rsidP="00B87187">
            <w:pPr>
              <w:rPr>
                <w:rFonts w:ascii="Arial Narrow" w:hAnsi="Arial Narrow" w:cs="Arial"/>
                <w:sz w:val="20"/>
                <w:szCs w:val="20"/>
              </w:rPr>
            </w:pPr>
            <w:r w:rsidRPr="00B87187">
              <w:rPr>
                <w:rFonts w:ascii="Arial Narrow" w:hAnsi="Arial Narrow" w:cs="Arial"/>
                <w:sz w:val="20"/>
                <w:szCs w:val="20"/>
                <w:lang w:val="en-US"/>
              </w:rPr>
              <w:t>Special pricing arrangements apply</w:t>
            </w:r>
          </w:p>
        </w:tc>
      </w:tr>
    </w:tbl>
    <w:p w:rsidR="00B87187" w:rsidRDefault="00B87187" w:rsidP="00E75047">
      <w:pPr>
        <w:jc w:val="both"/>
        <w:rPr>
          <w:rFonts w:ascii="Arial" w:hAnsi="Arial"/>
          <w:sz w:val="22"/>
          <w:szCs w:val="22"/>
        </w:rPr>
      </w:pPr>
    </w:p>
    <w:p w:rsidR="00B87187" w:rsidRDefault="00B87187" w:rsidP="00E75047">
      <w:pPr>
        <w:jc w:val="both"/>
        <w:rPr>
          <w:rFonts w:ascii="Arial" w:hAnsi="Arial"/>
          <w:sz w:val="22"/>
          <w:szCs w:val="22"/>
        </w:rPr>
      </w:pPr>
    </w:p>
    <w:p w:rsidR="00E75047" w:rsidRDefault="00E75047" w:rsidP="00E75047">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E75047" w:rsidRPr="00D4420F" w:rsidRDefault="00E75047" w:rsidP="00E75047">
      <w:pPr>
        <w:pStyle w:val="ListParagraph"/>
        <w:jc w:val="both"/>
        <w:rPr>
          <w:rFonts w:ascii="Arial" w:hAnsi="Arial" w:cs="Arial"/>
          <w:b/>
          <w:sz w:val="22"/>
        </w:rPr>
      </w:pPr>
    </w:p>
    <w:p w:rsidR="00E75047" w:rsidRPr="00D4420F" w:rsidRDefault="00E75047" w:rsidP="00E75047">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76AFF" w:rsidRDefault="00A76AFF">
      <w:pPr>
        <w:rPr>
          <w:rFonts w:ascii="Arial" w:hAnsi="Arial" w:cs="Arial"/>
          <w:sz w:val="22"/>
        </w:rPr>
      </w:pPr>
      <w:r>
        <w:rPr>
          <w:rFonts w:ascii="Arial" w:hAnsi="Arial" w:cs="Arial"/>
          <w:sz w:val="22"/>
        </w:rPr>
        <w:br w:type="page"/>
      </w:r>
    </w:p>
    <w:p w:rsidR="00E75047" w:rsidRDefault="00E75047" w:rsidP="00E75047">
      <w:pPr>
        <w:pStyle w:val="ListParagraph"/>
        <w:numPr>
          <w:ilvl w:val="0"/>
          <w:numId w:val="25"/>
        </w:numPr>
        <w:jc w:val="both"/>
        <w:rPr>
          <w:rFonts w:ascii="Arial" w:hAnsi="Arial" w:cs="Arial"/>
          <w:b/>
          <w:sz w:val="22"/>
        </w:rPr>
      </w:pPr>
      <w:r w:rsidRPr="00D4420F">
        <w:rPr>
          <w:rFonts w:ascii="Arial" w:hAnsi="Arial" w:cs="Arial"/>
          <w:b/>
          <w:sz w:val="22"/>
        </w:rPr>
        <w:lastRenderedPageBreak/>
        <w:t>Sponsor’s Comment</w:t>
      </w:r>
    </w:p>
    <w:p w:rsidR="00E75047" w:rsidRPr="00E75047" w:rsidRDefault="00E75047" w:rsidP="00E75047">
      <w:pPr>
        <w:jc w:val="both"/>
        <w:rPr>
          <w:rFonts w:ascii="Arial" w:hAnsi="Arial"/>
          <w:sz w:val="22"/>
          <w:szCs w:val="22"/>
        </w:rPr>
      </w:pPr>
    </w:p>
    <w:p w:rsidR="0066374D" w:rsidRPr="00A76AFF" w:rsidRDefault="007972BB" w:rsidP="007972BB">
      <w:pPr>
        <w:ind w:left="720"/>
        <w:rPr>
          <w:rFonts w:ascii="Arial" w:hAnsi="Arial" w:cs="Arial"/>
          <w:sz w:val="22"/>
          <w:szCs w:val="22"/>
        </w:rPr>
      </w:pPr>
      <w:r w:rsidRPr="00A76AFF">
        <w:rPr>
          <w:rFonts w:ascii="Arial" w:hAnsi="Arial" w:cs="Arial"/>
          <w:sz w:val="22"/>
          <w:szCs w:val="22"/>
        </w:rPr>
        <w:t>The Sponsor had no comment.</w:t>
      </w:r>
    </w:p>
    <w:sectPr w:rsidR="0066374D" w:rsidRPr="00A76AFF" w:rsidSect="003B4630">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077" w:rsidRDefault="00825077">
      <w:r>
        <w:separator/>
      </w:r>
    </w:p>
  </w:endnote>
  <w:endnote w:type="continuationSeparator" w:id="0">
    <w:p w:rsidR="00825077" w:rsidRDefault="0082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D6536" w:rsidTr="005A3173">
      <w:trPr>
        <w:trHeight w:val="151"/>
      </w:trPr>
      <w:tc>
        <w:tcPr>
          <w:tcW w:w="2250" w:type="pct"/>
          <w:tcBorders>
            <w:top w:val="nil"/>
            <w:left w:val="nil"/>
            <w:bottom w:val="single" w:sz="4" w:space="0" w:color="4F81BD"/>
            <w:right w:val="nil"/>
          </w:tcBorders>
        </w:tcPr>
        <w:p w:rsidR="00DD6536" w:rsidRPr="005A3173" w:rsidRDefault="00DD653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D6536" w:rsidRPr="005A3173" w:rsidRDefault="00DD653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D6536" w:rsidRPr="005A3173" w:rsidRDefault="00DD6536" w:rsidP="005A3173">
          <w:pPr>
            <w:pStyle w:val="Header"/>
            <w:spacing w:line="276" w:lineRule="auto"/>
            <w:rPr>
              <w:rFonts w:ascii="Calibri" w:eastAsia="MS Gothic" w:hAnsi="Calibri"/>
              <w:b/>
              <w:bCs/>
              <w:color w:val="4F81BD"/>
            </w:rPr>
          </w:pPr>
        </w:p>
      </w:tc>
    </w:tr>
    <w:tr w:rsidR="00DD6536" w:rsidTr="005A3173">
      <w:trPr>
        <w:trHeight w:val="150"/>
      </w:trPr>
      <w:tc>
        <w:tcPr>
          <w:tcW w:w="2250" w:type="pct"/>
          <w:tcBorders>
            <w:top w:val="single" w:sz="4" w:space="0" w:color="4F81BD"/>
            <w:left w:val="nil"/>
            <w:bottom w:val="nil"/>
            <w:right w:val="nil"/>
          </w:tcBorders>
        </w:tcPr>
        <w:p w:rsidR="00DD6536" w:rsidRPr="005A3173" w:rsidRDefault="00DD6536" w:rsidP="005A3173">
          <w:pPr>
            <w:pStyle w:val="Header"/>
            <w:spacing w:line="276" w:lineRule="auto"/>
            <w:rPr>
              <w:rFonts w:ascii="Calibri" w:eastAsia="MS Gothic" w:hAnsi="Calibri"/>
              <w:b/>
              <w:bCs/>
              <w:color w:val="4F81BD"/>
            </w:rPr>
          </w:pPr>
        </w:p>
      </w:tc>
      <w:tc>
        <w:tcPr>
          <w:tcW w:w="0" w:type="auto"/>
          <w:vMerge/>
          <w:vAlign w:val="center"/>
          <w:hideMark/>
        </w:tcPr>
        <w:p w:rsidR="00DD6536" w:rsidRPr="005A3173" w:rsidRDefault="00DD6536" w:rsidP="005A3173">
          <w:pPr>
            <w:rPr>
              <w:rFonts w:ascii="Calibri" w:hAnsi="Calibri"/>
              <w:color w:val="365F91"/>
              <w:sz w:val="22"/>
              <w:szCs w:val="22"/>
            </w:rPr>
          </w:pPr>
        </w:p>
      </w:tc>
      <w:tc>
        <w:tcPr>
          <w:tcW w:w="2250" w:type="pct"/>
          <w:tcBorders>
            <w:top w:val="single" w:sz="4" w:space="0" w:color="4F81BD"/>
            <w:left w:val="nil"/>
            <w:bottom w:val="nil"/>
            <w:right w:val="nil"/>
          </w:tcBorders>
        </w:tcPr>
        <w:p w:rsidR="00DD6536" w:rsidRPr="005A3173" w:rsidRDefault="00DD6536" w:rsidP="005A3173">
          <w:pPr>
            <w:pStyle w:val="Header"/>
            <w:spacing w:line="276" w:lineRule="auto"/>
            <w:rPr>
              <w:rFonts w:ascii="Calibri" w:eastAsia="MS Gothic" w:hAnsi="Calibri"/>
              <w:b/>
              <w:bCs/>
              <w:color w:val="4F81BD"/>
            </w:rPr>
          </w:pPr>
        </w:p>
      </w:tc>
    </w:tr>
  </w:tbl>
  <w:p w:rsidR="00DD6536" w:rsidRDefault="00DD653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DD6536" w:rsidRDefault="00DD65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36" w:rsidRDefault="00DD6536">
    <w:pPr>
      <w:pStyle w:val="Footer"/>
      <w:jc w:val="center"/>
    </w:pPr>
  </w:p>
  <w:p w:rsidR="00DD6536" w:rsidRPr="00651169" w:rsidRDefault="0021439F">
    <w:pPr>
      <w:pStyle w:val="Footer"/>
      <w:jc w:val="center"/>
      <w:rPr>
        <w:rFonts w:ascii="Arial" w:hAnsi="Arial" w:cs="Arial"/>
        <w:sz w:val="20"/>
        <w:szCs w:val="20"/>
      </w:rPr>
    </w:pPr>
    <w:sdt>
      <w:sdtPr>
        <w:id w:val="-1993016915"/>
        <w:docPartObj>
          <w:docPartGallery w:val="Page Numbers (Bottom of Page)"/>
          <w:docPartUnique/>
        </w:docPartObj>
      </w:sdtPr>
      <w:sdtEndPr>
        <w:rPr>
          <w:rFonts w:ascii="Arial" w:hAnsi="Arial" w:cs="Arial"/>
          <w:noProof/>
          <w:sz w:val="20"/>
          <w:szCs w:val="20"/>
        </w:rPr>
      </w:sdtEndPr>
      <w:sdtContent>
        <w:r w:rsidR="00DD6536" w:rsidRPr="00651169">
          <w:rPr>
            <w:rFonts w:ascii="Arial" w:hAnsi="Arial" w:cs="Arial"/>
            <w:sz w:val="20"/>
            <w:szCs w:val="20"/>
          </w:rPr>
          <w:fldChar w:fldCharType="begin"/>
        </w:r>
        <w:r w:rsidR="00DD6536" w:rsidRPr="00651169">
          <w:rPr>
            <w:rFonts w:ascii="Arial" w:hAnsi="Arial" w:cs="Arial"/>
            <w:sz w:val="20"/>
            <w:szCs w:val="20"/>
          </w:rPr>
          <w:instrText xml:space="preserve"> PAGE   \* MERGEFORMAT </w:instrText>
        </w:r>
        <w:r w:rsidR="00DD6536" w:rsidRPr="00651169">
          <w:rPr>
            <w:rFonts w:ascii="Arial" w:hAnsi="Arial" w:cs="Arial"/>
            <w:sz w:val="20"/>
            <w:szCs w:val="20"/>
          </w:rPr>
          <w:fldChar w:fldCharType="separate"/>
        </w:r>
        <w:r>
          <w:rPr>
            <w:rFonts w:ascii="Arial" w:hAnsi="Arial" w:cs="Arial"/>
            <w:noProof/>
            <w:sz w:val="20"/>
            <w:szCs w:val="20"/>
          </w:rPr>
          <w:t>1</w:t>
        </w:r>
        <w:r w:rsidR="00DD6536" w:rsidRPr="00651169">
          <w:rPr>
            <w:rFonts w:ascii="Arial" w:hAnsi="Arial" w:cs="Arial"/>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D6536" w:rsidTr="005A3173">
      <w:trPr>
        <w:trHeight w:val="151"/>
      </w:trPr>
      <w:tc>
        <w:tcPr>
          <w:tcW w:w="2250" w:type="pct"/>
          <w:tcBorders>
            <w:top w:val="nil"/>
            <w:left w:val="nil"/>
            <w:bottom w:val="single" w:sz="4" w:space="0" w:color="4F81BD"/>
            <w:right w:val="nil"/>
          </w:tcBorders>
        </w:tcPr>
        <w:p w:rsidR="00DD6536" w:rsidRPr="005A3173" w:rsidRDefault="00DD653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D6536" w:rsidRPr="005A3173" w:rsidRDefault="00DD653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D6536" w:rsidRPr="005A3173" w:rsidRDefault="00DD6536" w:rsidP="005A3173">
          <w:pPr>
            <w:pStyle w:val="Header"/>
            <w:spacing w:line="276" w:lineRule="auto"/>
            <w:rPr>
              <w:rFonts w:ascii="Calibri" w:eastAsia="MS Gothic" w:hAnsi="Calibri"/>
              <w:b/>
              <w:bCs/>
              <w:color w:val="4F81BD"/>
            </w:rPr>
          </w:pPr>
        </w:p>
      </w:tc>
    </w:tr>
    <w:tr w:rsidR="00DD6536" w:rsidTr="005A3173">
      <w:trPr>
        <w:trHeight w:val="150"/>
      </w:trPr>
      <w:tc>
        <w:tcPr>
          <w:tcW w:w="2250" w:type="pct"/>
          <w:tcBorders>
            <w:top w:val="single" w:sz="4" w:space="0" w:color="4F81BD"/>
            <w:left w:val="nil"/>
            <w:bottom w:val="nil"/>
            <w:right w:val="nil"/>
          </w:tcBorders>
        </w:tcPr>
        <w:p w:rsidR="00DD6536" w:rsidRPr="005A3173" w:rsidRDefault="00DD6536" w:rsidP="005A3173">
          <w:pPr>
            <w:pStyle w:val="Header"/>
            <w:spacing w:line="276" w:lineRule="auto"/>
            <w:rPr>
              <w:rFonts w:ascii="Calibri" w:eastAsia="MS Gothic" w:hAnsi="Calibri"/>
              <w:b/>
              <w:bCs/>
              <w:color w:val="4F81BD"/>
            </w:rPr>
          </w:pPr>
        </w:p>
      </w:tc>
      <w:tc>
        <w:tcPr>
          <w:tcW w:w="0" w:type="auto"/>
          <w:vMerge/>
          <w:vAlign w:val="center"/>
          <w:hideMark/>
        </w:tcPr>
        <w:p w:rsidR="00DD6536" w:rsidRPr="005A3173" w:rsidRDefault="00DD6536" w:rsidP="005A3173">
          <w:pPr>
            <w:rPr>
              <w:rFonts w:ascii="Calibri" w:hAnsi="Calibri"/>
              <w:color w:val="365F91"/>
              <w:sz w:val="22"/>
              <w:szCs w:val="22"/>
            </w:rPr>
          </w:pPr>
        </w:p>
      </w:tc>
      <w:tc>
        <w:tcPr>
          <w:tcW w:w="2250" w:type="pct"/>
          <w:tcBorders>
            <w:top w:val="single" w:sz="4" w:space="0" w:color="4F81BD"/>
            <w:left w:val="nil"/>
            <w:bottom w:val="nil"/>
            <w:right w:val="nil"/>
          </w:tcBorders>
        </w:tcPr>
        <w:p w:rsidR="00DD6536" w:rsidRPr="005A3173" w:rsidRDefault="00DD653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D6536" w:rsidTr="005A3173">
      <w:trPr>
        <w:trHeight w:val="151"/>
      </w:trPr>
      <w:tc>
        <w:tcPr>
          <w:tcW w:w="2250" w:type="pct"/>
          <w:tcBorders>
            <w:top w:val="nil"/>
            <w:left w:val="nil"/>
            <w:bottom w:val="single" w:sz="4" w:space="0" w:color="4F81BD"/>
            <w:right w:val="nil"/>
          </w:tcBorders>
        </w:tcPr>
        <w:p w:rsidR="00DD6536" w:rsidRPr="005A3173" w:rsidRDefault="00DD653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D6536" w:rsidRPr="005A3173" w:rsidRDefault="00DD653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D6536" w:rsidRPr="005A3173" w:rsidRDefault="00DD6536" w:rsidP="005A3173">
          <w:pPr>
            <w:pStyle w:val="Header"/>
            <w:spacing w:line="276" w:lineRule="auto"/>
            <w:rPr>
              <w:rFonts w:ascii="Calibri" w:eastAsia="MS Gothic" w:hAnsi="Calibri"/>
              <w:b/>
              <w:bCs/>
              <w:color w:val="4F81BD"/>
            </w:rPr>
          </w:pPr>
        </w:p>
      </w:tc>
    </w:tr>
    <w:tr w:rsidR="00DD6536" w:rsidTr="005A3173">
      <w:trPr>
        <w:trHeight w:val="150"/>
      </w:trPr>
      <w:tc>
        <w:tcPr>
          <w:tcW w:w="2250" w:type="pct"/>
          <w:tcBorders>
            <w:top w:val="single" w:sz="4" w:space="0" w:color="4F81BD"/>
            <w:left w:val="nil"/>
            <w:bottom w:val="nil"/>
            <w:right w:val="nil"/>
          </w:tcBorders>
        </w:tcPr>
        <w:p w:rsidR="00DD6536" w:rsidRPr="005A3173" w:rsidRDefault="00DD6536" w:rsidP="005A3173">
          <w:pPr>
            <w:pStyle w:val="Header"/>
            <w:spacing w:line="276" w:lineRule="auto"/>
            <w:rPr>
              <w:rFonts w:ascii="Calibri" w:eastAsia="MS Gothic" w:hAnsi="Calibri"/>
              <w:b/>
              <w:bCs/>
              <w:color w:val="4F81BD"/>
            </w:rPr>
          </w:pPr>
        </w:p>
      </w:tc>
      <w:tc>
        <w:tcPr>
          <w:tcW w:w="0" w:type="auto"/>
          <w:vMerge/>
          <w:vAlign w:val="center"/>
          <w:hideMark/>
        </w:tcPr>
        <w:p w:rsidR="00DD6536" w:rsidRPr="005A3173" w:rsidRDefault="00DD6536" w:rsidP="005A3173">
          <w:pPr>
            <w:rPr>
              <w:rFonts w:ascii="Calibri" w:hAnsi="Calibri"/>
              <w:color w:val="365F91"/>
              <w:sz w:val="22"/>
              <w:szCs w:val="22"/>
            </w:rPr>
          </w:pPr>
        </w:p>
      </w:tc>
      <w:tc>
        <w:tcPr>
          <w:tcW w:w="2250" w:type="pct"/>
          <w:tcBorders>
            <w:top w:val="single" w:sz="4" w:space="0" w:color="4F81BD"/>
            <w:left w:val="nil"/>
            <w:bottom w:val="nil"/>
            <w:right w:val="nil"/>
          </w:tcBorders>
        </w:tcPr>
        <w:p w:rsidR="00DD6536" w:rsidRPr="005A3173" w:rsidRDefault="00DD6536" w:rsidP="005A3173">
          <w:pPr>
            <w:pStyle w:val="Header"/>
            <w:spacing w:line="276" w:lineRule="auto"/>
            <w:rPr>
              <w:rFonts w:ascii="Calibri" w:eastAsia="MS Gothic" w:hAnsi="Calibri"/>
              <w:b/>
              <w:bCs/>
              <w:color w:val="4F81BD"/>
            </w:rPr>
          </w:pPr>
        </w:p>
      </w:tc>
    </w:tr>
  </w:tbl>
  <w:p w:rsidR="00DD6536" w:rsidRPr="007C0F57" w:rsidRDefault="00DD653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sidRPr="007C0F57">
      <w:rPr>
        <w:b/>
        <w:i/>
        <w:sz w:val="20"/>
        <w:szCs w:val="20"/>
      </w:rPr>
      <w:t>BAC Meeting</w:t>
    </w:r>
  </w:p>
  <w:p w:rsidR="00DD6536" w:rsidRPr="007C0F57" w:rsidRDefault="00DD6536"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077" w:rsidRDefault="00825077">
      <w:r>
        <w:separator/>
      </w:r>
    </w:p>
  </w:footnote>
  <w:footnote w:type="continuationSeparator" w:id="0">
    <w:p w:rsidR="00825077" w:rsidRDefault="00825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D6536" w:rsidRPr="008E0D90" w:rsidTr="00A06225">
      <w:trPr>
        <w:trHeight w:val="151"/>
      </w:trPr>
      <w:tc>
        <w:tcPr>
          <w:tcW w:w="2389" w:type="pct"/>
          <w:tcBorders>
            <w:top w:val="nil"/>
            <w:left w:val="nil"/>
            <w:bottom w:val="single" w:sz="4" w:space="0" w:color="4F81BD"/>
            <w:right w:val="nil"/>
          </w:tcBorders>
        </w:tcPr>
        <w:p w:rsidR="00DD6536" w:rsidRPr="00A06225" w:rsidRDefault="00DD6536">
          <w:pPr>
            <w:pStyle w:val="Header"/>
            <w:spacing w:line="276" w:lineRule="auto"/>
            <w:rPr>
              <w:rFonts w:ascii="Cambria" w:eastAsia="MS Gothic" w:hAnsi="Cambria"/>
              <w:b/>
              <w:bCs/>
              <w:color w:val="4F81BD"/>
            </w:rPr>
          </w:pPr>
        </w:p>
      </w:tc>
      <w:tc>
        <w:tcPr>
          <w:tcW w:w="333" w:type="pct"/>
          <w:vMerge w:val="restart"/>
          <w:noWrap/>
          <w:vAlign w:val="center"/>
          <w:hideMark/>
        </w:tcPr>
        <w:p w:rsidR="00DD6536" w:rsidRPr="00A06225" w:rsidRDefault="00DD653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D6536" w:rsidRPr="00A06225" w:rsidRDefault="00DD6536">
          <w:pPr>
            <w:pStyle w:val="Header"/>
            <w:spacing w:line="276" w:lineRule="auto"/>
            <w:rPr>
              <w:rFonts w:ascii="Cambria" w:eastAsia="MS Gothic" w:hAnsi="Cambria"/>
              <w:b/>
              <w:bCs/>
              <w:color w:val="4F81BD"/>
            </w:rPr>
          </w:pPr>
        </w:p>
      </w:tc>
    </w:tr>
    <w:tr w:rsidR="00DD6536" w:rsidRPr="008E0D90" w:rsidTr="00A06225">
      <w:trPr>
        <w:trHeight w:val="150"/>
      </w:trPr>
      <w:tc>
        <w:tcPr>
          <w:tcW w:w="2389" w:type="pct"/>
          <w:tcBorders>
            <w:top w:val="single" w:sz="4" w:space="0" w:color="4F81BD"/>
            <w:left w:val="nil"/>
            <w:bottom w:val="nil"/>
            <w:right w:val="nil"/>
          </w:tcBorders>
        </w:tcPr>
        <w:p w:rsidR="00DD6536" w:rsidRPr="00A06225" w:rsidRDefault="00DD6536">
          <w:pPr>
            <w:pStyle w:val="Header"/>
            <w:spacing w:line="276" w:lineRule="auto"/>
            <w:rPr>
              <w:rFonts w:ascii="Cambria" w:eastAsia="MS Gothic" w:hAnsi="Cambria"/>
              <w:b/>
              <w:bCs/>
              <w:color w:val="4F81BD"/>
            </w:rPr>
          </w:pPr>
        </w:p>
      </w:tc>
      <w:tc>
        <w:tcPr>
          <w:tcW w:w="0" w:type="auto"/>
          <w:vMerge/>
          <w:vAlign w:val="center"/>
          <w:hideMark/>
        </w:tcPr>
        <w:p w:rsidR="00DD6536" w:rsidRPr="00A06225" w:rsidRDefault="00DD6536">
          <w:pPr>
            <w:rPr>
              <w:rFonts w:ascii="Cambria" w:hAnsi="Cambria"/>
              <w:color w:val="4F81BD"/>
              <w:sz w:val="22"/>
              <w:szCs w:val="22"/>
            </w:rPr>
          </w:pPr>
        </w:p>
      </w:tc>
      <w:tc>
        <w:tcPr>
          <w:tcW w:w="2278" w:type="pct"/>
          <w:tcBorders>
            <w:top w:val="single" w:sz="4" w:space="0" w:color="4F81BD"/>
            <w:left w:val="nil"/>
            <w:bottom w:val="nil"/>
            <w:right w:val="nil"/>
          </w:tcBorders>
        </w:tcPr>
        <w:p w:rsidR="00DD6536" w:rsidRPr="00A06225" w:rsidRDefault="00DD6536">
          <w:pPr>
            <w:pStyle w:val="Header"/>
            <w:spacing w:line="276" w:lineRule="auto"/>
            <w:rPr>
              <w:rFonts w:ascii="Cambria" w:eastAsia="MS Gothic" w:hAnsi="Cambria"/>
              <w:b/>
              <w:bCs/>
              <w:color w:val="4F81BD"/>
            </w:rPr>
          </w:pPr>
        </w:p>
      </w:tc>
    </w:tr>
  </w:tbl>
  <w:p w:rsidR="00DD6536" w:rsidRDefault="00DD65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36" w:rsidRPr="00DF217D" w:rsidRDefault="00DD6536" w:rsidP="009602C5">
    <w:pPr>
      <w:pStyle w:val="Header"/>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November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DD6536" w:rsidRPr="00DF217D" w:rsidRDefault="00DD6536"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6">
    <w:nsid w:val="13D211D6"/>
    <w:multiLevelType w:val="hybridMultilevel"/>
    <w:tmpl w:val="5002DEB6"/>
    <w:lvl w:ilvl="0" w:tplc="F96AEC54">
      <w:start w:val="5"/>
      <w:numFmt w:val="bullet"/>
      <w:lvlText w:val="-"/>
      <w:lvlJc w:val="left"/>
      <w:pPr>
        <w:ind w:left="142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0">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nsid w:val="26D15B36"/>
    <w:multiLevelType w:val="hybridMultilevel"/>
    <w:tmpl w:val="B3C28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0F261DF"/>
    <w:multiLevelType w:val="hybridMultilevel"/>
    <w:tmpl w:val="FEE2F01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6">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7">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8">
    <w:nsid w:val="448D1E83"/>
    <w:multiLevelType w:val="hybridMultilevel"/>
    <w:tmpl w:val="24543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4">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9BC5196"/>
    <w:multiLevelType w:val="multilevel"/>
    <w:tmpl w:val="BAB8CFB0"/>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1">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3">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4">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5">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6">
    <w:nsid w:val="77B524F2"/>
    <w:multiLevelType w:val="hybridMultilevel"/>
    <w:tmpl w:val="0E680364"/>
    <w:lvl w:ilvl="0" w:tplc="0C090001">
      <w:start w:val="1"/>
      <w:numFmt w:val="bullet"/>
      <w:lvlText w:val=""/>
      <w:lvlJc w:val="left"/>
      <w:pPr>
        <w:ind w:left="1080" w:hanging="360"/>
      </w:pPr>
      <w:rPr>
        <w:rFonts w:ascii="Symbol" w:hAnsi="Symbol" w:hint="default"/>
      </w:rPr>
    </w:lvl>
    <w:lvl w:ilvl="1" w:tplc="4B92B79E">
      <w:numFmt w:val="bullet"/>
      <w:lvlText w:val="•"/>
      <w:lvlJc w:val="left"/>
      <w:pPr>
        <w:ind w:left="1800" w:hanging="360"/>
      </w:pPr>
      <w:rPr>
        <w:rFonts w:ascii="Arial" w:eastAsia="Times New Roman" w:hAnsi="Arial" w:cs="Arial" w:hint="default"/>
        <w:i/>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nsid w:val="784D033C"/>
    <w:multiLevelType w:val="multilevel"/>
    <w:tmpl w:val="143A4076"/>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0">
    <w:nsid w:val="7F344DCF"/>
    <w:multiLevelType w:val="multilevel"/>
    <w:tmpl w:val="50286F52"/>
    <w:lvl w:ilvl="0">
      <w:start w:val="6"/>
      <w:numFmt w:val="decimal"/>
      <w:lvlText w:val="%1"/>
      <w:lvlJc w:val="left"/>
      <w:pPr>
        <w:ind w:left="360" w:hanging="360"/>
      </w:pPr>
      <w:rPr>
        <w:rFonts w:hint="default"/>
        <w:i w:val="0"/>
      </w:rPr>
    </w:lvl>
    <w:lvl w:ilvl="1">
      <w:start w:val="8"/>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2"/>
  </w:num>
  <w:num w:numId="3">
    <w:abstractNumId w:val="19"/>
  </w:num>
  <w:num w:numId="4">
    <w:abstractNumId w:val="0"/>
  </w:num>
  <w:num w:numId="5">
    <w:abstractNumId w:val="4"/>
  </w:num>
  <w:num w:numId="6">
    <w:abstractNumId w:val="17"/>
  </w:num>
  <w:num w:numId="7">
    <w:abstractNumId w:val="15"/>
  </w:num>
  <w:num w:numId="8">
    <w:abstractNumId w:val="3"/>
  </w:num>
  <w:num w:numId="9">
    <w:abstractNumId w:val="7"/>
  </w:num>
  <w:num w:numId="10">
    <w:abstractNumId w:val="30"/>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33"/>
  </w:num>
  <w:num w:numId="15">
    <w:abstractNumId w:val="26"/>
  </w:num>
  <w:num w:numId="16">
    <w:abstractNumId w:val="22"/>
  </w:num>
  <w:num w:numId="17">
    <w:abstractNumId w:val="35"/>
  </w:num>
  <w:num w:numId="18">
    <w:abstractNumId w:val="11"/>
  </w:num>
  <w:num w:numId="19">
    <w:abstractNumId w:val="16"/>
  </w:num>
  <w:num w:numId="20">
    <w:abstractNumId w:val="2"/>
  </w:num>
  <w:num w:numId="21">
    <w:abstractNumId w:val="29"/>
  </w:num>
  <w:num w:numId="22">
    <w:abstractNumId w:val="31"/>
  </w:num>
  <w:num w:numId="23">
    <w:abstractNumId w:val="38"/>
  </w:num>
  <w:num w:numId="24">
    <w:abstractNumId w:val="14"/>
  </w:num>
  <w:num w:numId="25">
    <w:abstractNumId w:val="37"/>
  </w:num>
  <w:num w:numId="26">
    <w:abstractNumId w:val="27"/>
  </w:num>
  <w:num w:numId="27">
    <w:abstractNumId w:val="10"/>
  </w:num>
  <w:num w:numId="28">
    <w:abstractNumId w:val="5"/>
  </w:num>
  <w:num w:numId="29">
    <w:abstractNumId w:val="24"/>
  </w:num>
  <w:num w:numId="30">
    <w:abstractNumId w:val="1"/>
  </w:num>
  <w:num w:numId="31">
    <w:abstractNumId w:val="25"/>
  </w:num>
  <w:num w:numId="32">
    <w:abstractNumId w:val="34"/>
  </w:num>
  <w:num w:numId="33">
    <w:abstractNumId w:val="23"/>
  </w:num>
  <w:num w:numId="34">
    <w:abstractNumId w:val="39"/>
  </w:num>
  <w:num w:numId="35">
    <w:abstractNumId w:val="9"/>
  </w:num>
  <w:num w:numId="36">
    <w:abstractNumId w:val="21"/>
  </w:num>
  <w:num w:numId="37">
    <w:abstractNumId w:val="28"/>
  </w:num>
  <w:num w:numId="38">
    <w:abstractNumId w:val="36"/>
  </w:num>
  <w:num w:numId="39">
    <w:abstractNumId w:val="6"/>
  </w:num>
  <w:num w:numId="40">
    <w:abstractNumId w:val="13"/>
  </w:num>
  <w:num w:numId="41">
    <w:abstractNumId w:val="40"/>
  </w:num>
  <w:num w:numId="42">
    <w:abstractNumId w:val="12"/>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0792"/>
    <w:rsid w:val="0002464A"/>
    <w:rsid w:val="0003106B"/>
    <w:rsid w:val="000421A1"/>
    <w:rsid w:val="0004240E"/>
    <w:rsid w:val="00045E26"/>
    <w:rsid w:val="000514B5"/>
    <w:rsid w:val="00054A05"/>
    <w:rsid w:val="000565EE"/>
    <w:rsid w:val="00060E64"/>
    <w:rsid w:val="00066755"/>
    <w:rsid w:val="00086666"/>
    <w:rsid w:val="000969AD"/>
    <w:rsid w:val="000B5313"/>
    <w:rsid w:val="000B558D"/>
    <w:rsid w:val="000C6996"/>
    <w:rsid w:val="000D23BA"/>
    <w:rsid w:val="000D635B"/>
    <w:rsid w:val="000E681E"/>
    <w:rsid w:val="000F4E6A"/>
    <w:rsid w:val="001107BF"/>
    <w:rsid w:val="0012417C"/>
    <w:rsid w:val="00142395"/>
    <w:rsid w:val="00142714"/>
    <w:rsid w:val="001452ED"/>
    <w:rsid w:val="00151B89"/>
    <w:rsid w:val="001830CE"/>
    <w:rsid w:val="00190709"/>
    <w:rsid w:val="00196307"/>
    <w:rsid w:val="001B017F"/>
    <w:rsid w:val="001B5129"/>
    <w:rsid w:val="001C1195"/>
    <w:rsid w:val="001F4757"/>
    <w:rsid w:val="00207E11"/>
    <w:rsid w:val="002130B0"/>
    <w:rsid w:val="00213CFB"/>
    <w:rsid w:val="0021439F"/>
    <w:rsid w:val="00253181"/>
    <w:rsid w:val="00264AA4"/>
    <w:rsid w:val="00271BA1"/>
    <w:rsid w:val="00271FDD"/>
    <w:rsid w:val="00277505"/>
    <w:rsid w:val="002870AD"/>
    <w:rsid w:val="00291BBE"/>
    <w:rsid w:val="0029458F"/>
    <w:rsid w:val="002A104C"/>
    <w:rsid w:val="002A1864"/>
    <w:rsid w:val="002A4960"/>
    <w:rsid w:val="002B1AE6"/>
    <w:rsid w:val="002B30F8"/>
    <w:rsid w:val="002B74EB"/>
    <w:rsid w:val="002C212F"/>
    <w:rsid w:val="002C52BE"/>
    <w:rsid w:val="002C660A"/>
    <w:rsid w:val="002D5FD3"/>
    <w:rsid w:val="002E4AEF"/>
    <w:rsid w:val="002E72CA"/>
    <w:rsid w:val="002E7BBC"/>
    <w:rsid w:val="002F7A66"/>
    <w:rsid w:val="002F7EA4"/>
    <w:rsid w:val="00310D91"/>
    <w:rsid w:val="00326E79"/>
    <w:rsid w:val="003367EF"/>
    <w:rsid w:val="00341AE4"/>
    <w:rsid w:val="003526EC"/>
    <w:rsid w:val="00370F68"/>
    <w:rsid w:val="003A5B4A"/>
    <w:rsid w:val="003B23C5"/>
    <w:rsid w:val="003B2A75"/>
    <w:rsid w:val="003B4630"/>
    <w:rsid w:val="003B682C"/>
    <w:rsid w:val="003B7666"/>
    <w:rsid w:val="003D4AC4"/>
    <w:rsid w:val="003D63B7"/>
    <w:rsid w:val="003E468B"/>
    <w:rsid w:val="003F5C8C"/>
    <w:rsid w:val="00444762"/>
    <w:rsid w:val="004465BD"/>
    <w:rsid w:val="004467B9"/>
    <w:rsid w:val="00461662"/>
    <w:rsid w:val="00466ADA"/>
    <w:rsid w:val="0048216A"/>
    <w:rsid w:val="00485940"/>
    <w:rsid w:val="004878BB"/>
    <w:rsid w:val="004B5640"/>
    <w:rsid w:val="004C1BD7"/>
    <w:rsid w:val="004C691D"/>
    <w:rsid w:val="004E692D"/>
    <w:rsid w:val="004F7472"/>
    <w:rsid w:val="005126F8"/>
    <w:rsid w:val="00514CD7"/>
    <w:rsid w:val="00534E2E"/>
    <w:rsid w:val="00544552"/>
    <w:rsid w:val="00581932"/>
    <w:rsid w:val="00592DD7"/>
    <w:rsid w:val="005963BB"/>
    <w:rsid w:val="005A3173"/>
    <w:rsid w:val="005A3223"/>
    <w:rsid w:val="005A3DA3"/>
    <w:rsid w:val="005A52C4"/>
    <w:rsid w:val="005D03AB"/>
    <w:rsid w:val="005D5017"/>
    <w:rsid w:val="005E1F52"/>
    <w:rsid w:val="005F48D5"/>
    <w:rsid w:val="00601A91"/>
    <w:rsid w:val="00602BA3"/>
    <w:rsid w:val="00614159"/>
    <w:rsid w:val="00617C00"/>
    <w:rsid w:val="006263BF"/>
    <w:rsid w:val="00630A2C"/>
    <w:rsid w:val="006456B1"/>
    <w:rsid w:val="00651169"/>
    <w:rsid w:val="00653D69"/>
    <w:rsid w:val="006560FD"/>
    <w:rsid w:val="0066374D"/>
    <w:rsid w:val="006675EA"/>
    <w:rsid w:val="00670A76"/>
    <w:rsid w:val="006711AA"/>
    <w:rsid w:val="00675622"/>
    <w:rsid w:val="006906DB"/>
    <w:rsid w:val="006A12A5"/>
    <w:rsid w:val="006B0D94"/>
    <w:rsid w:val="006B1BE6"/>
    <w:rsid w:val="006B485D"/>
    <w:rsid w:val="006C708E"/>
    <w:rsid w:val="006D6EC7"/>
    <w:rsid w:val="006F5125"/>
    <w:rsid w:val="007174BB"/>
    <w:rsid w:val="00733FA1"/>
    <w:rsid w:val="0074302D"/>
    <w:rsid w:val="0076022B"/>
    <w:rsid w:val="007753C2"/>
    <w:rsid w:val="007838B8"/>
    <w:rsid w:val="007972BB"/>
    <w:rsid w:val="007C0F57"/>
    <w:rsid w:val="007C40B6"/>
    <w:rsid w:val="007C729F"/>
    <w:rsid w:val="007E1D28"/>
    <w:rsid w:val="007F2641"/>
    <w:rsid w:val="007F7C36"/>
    <w:rsid w:val="00806796"/>
    <w:rsid w:val="00825077"/>
    <w:rsid w:val="00856DDD"/>
    <w:rsid w:val="00863E68"/>
    <w:rsid w:val="00882085"/>
    <w:rsid w:val="00883188"/>
    <w:rsid w:val="00897D58"/>
    <w:rsid w:val="008A286E"/>
    <w:rsid w:val="008A4937"/>
    <w:rsid w:val="008B5F81"/>
    <w:rsid w:val="008C1132"/>
    <w:rsid w:val="008D3C82"/>
    <w:rsid w:val="008D447E"/>
    <w:rsid w:val="008E3680"/>
    <w:rsid w:val="008E5870"/>
    <w:rsid w:val="008F1434"/>
    <w:rsid w:val="008F7355"/>
    <w:rsid w:val="009067B7"/>
    <w:rsid w:val="00911CE8"/>
    <w:rsid w:val="00930937"/>
    <w:rsid w:val="00933E6C"/>
    <w:rsid w:val="00942160"/>
    <w:rsid w:val="00946CAB"/>
    <w:rsid w:val="009602C5"/>
    <w:rsid w:val="00967257"/>
    <w:rsid w:val="009744DB"/>
    <w:rsid w:val="00974C21"/>
    <w:rsid w:val="009A46A4"/>
    <w:rsid w:val="009A4D51"/>
    <w:rsid w:val="009A740E"/>
    <w:rsid w:val="009B3D0C"/>
    <w:rsid w:val="009C703C"/>
    <w:rsid w:val="009D3CAA"/>
    <w:rsid w:val="009F5B65"/>
    <w:rsid w:val="009F5F2E"/>
    <w:rsid w:val="00A06225"/>
    <w:rsid w:val="00A37C8D"/>
    <w:rsid w:val="00A5273B"/>
    <w:rsid w:val="00A53A9D"/>
    <w:rsid w:val="00A61168"/>
    <w:rsid w:val="00A62C1A"/>
    <w:rsid w:val="00A6426D"/>
    <w:rsid w:val="00A70622"/>
    <w:rsid w:val="00A70977"/>
    <w:rsid w:val="00A76AFF"/>
    <w:rsid w:val="00A8390C"/>
    <w:rsid w:val="00A94F5D"/>
    <w:rsid w:val="00AA4D1C"/>
    <w:rsid w:val="00AC5206"/>
    <w:rsid w:val="00AD327F"/>
    <w:rsid w:val="00AE11A5"/>
    <w:rsid w:val="00AF68CC"/>
    <w:rsid w:val="00B1530F"/>
    <w:rsid w:val="00B205AA"/>
    <w:rsid w:val="00B25F75"/>
    <w:rsid w:val="00B30F18"/>
    <w:rsid w:val="00B43E90"/>
    <w:rsid w:val="00B56118"/>
    <w:rsid w:val="00B6773F"/>
    <w:rsid w:val="00B87187"/>
    <w:rsid w:val="00B95B57"/>
    <w:rsid w:val="00BA5F42"/>
    <w:rsid w:val="00BB69F5"/>
    <w:rsid w:val="00BB7EC3"/>
    <w:rsid w:val="00BC4B9A"/>
    <w:rsid w:val="00BD784C"/>
    <w:rsid w:val="00BF4CB6"/>
    <w:rsid w:val="00C07C08"/>
    <w:rsid w:val="00C12768"/>
    <w:rsid w:val="00C129C4"/>
    <w:rsid w:val="00C35996"/>
    <w:rsid w:val="00C53123"/>
    <w:rsid w:val="00C5342C"/>
    <w:rsid w:val="00C53509"/>
    <w:rsid w:val="00C6256A"/>
    <w:rsid w:val="00C656AA"/>
    <w:rsid w:val="00C7309C"/>
    <w:rsid w:val="00C91449"/>
    <w:rsid w:val="00C92D10"/>
    <w:rsid w:val="00CC6CB7"/>
    <w:rsid w:val="00CD71AE"/>
    <w:rsid w:val="00CE10C4"/>
    <w:rsid w:val="00CE27B5"/>
    <w:rsid w:val="00CE56BF"/>
    <w:rsid w:val="00CE7A31"/>
    <w:rsid w:val="00D0321E"/>
    <w:rsid w:val="00D3280C"/>
    <w:rsid w:val="00D3406A"/>
    <w:rsid w:val="00D469B2"/>
    <w:rsid w:val="00D60027"/>
    <w:rsid w:val="00D7275D"/>
    <w:rsid w:val="00D741EB"/>
    <w:rsid w:val="00D91271"/>
    <w:rsid w:val="00D9634A"/>
    <w:rsid w:val="00DA4BAC"/>
    <w:rsid w:val="00DC39EA"/>
    <w:rsid w:val="00DD6536"/>
    <w:rsid w:val="00DE6D27"/>
    <w:rsid w:val="00DF217D"/>
    <w:rsid w:val="00DF26A7"/>
    <w:rsid w:val="00E164B3"/>
    <w:rsid w:val="00E16910"/>
    <w:rsid w:val="00E65E54"/>
    <w:rsid w:val="00E7406F"/>
    <w:rsid w:val="00E75047"/>
    <w:rsid w:val="00E80155"/>
    <w:rsid w:val="00E848C0"/>
    <w:rsid w:val="00E91B96"/>
    <w:rsid w:val="00E920D1"/>
    <w:rsid w:val="00E941A1"/>
    <w:rsid w:val="00E95CE3"/>
    <w:rsid w:val="00E96C72"/>
    <w:rsid w:val="00EA2825"/>
    <w:rsid w:val="00EB13A6"/>
    <w:rsid w:val="00EB5088"/>
    <w:rsid w:val="00ED1644"/>
    <w:rsid w:val="00F050BD"/>
    <w:rsid w:val="00F05657"/>
    <w:rsid w:val="00F1234B"/>
    <w:rsid w:val="00F25578"/>
    <w:rsid w:val="00F258E5"/>
    <w:rsid w:val="00F300BC"/>
    <w:rsid w:val="00F3334E"/>
    <w:rsid w:val="00F50EC4"/>
    <w:rsid w:val="00F57A6D"/>
    <w:rsid w:val="00F638CC"/>
    <w:rsid w:val="00F70690"/>
    <w:rsid w:val="00F8247A"/>
    <w:rsid w:val="00FA347F"/>
    <w:rsid w:val="00FA5883"/>
    <w:rsid w:val="00FA6055"/>
    <w:rsid w:val="00FB2F4F"/>
    <w:rsid w:val="00FB322F"/>
    <w:rsid w:val="00FB442F"/>
    <w:rsid w:val="00FC1929"/>
    <w:rsid w:val="00FC5B46"/>
    <w:rsid w:val="00FD1EA0"/>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2"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Caption">
    <w:name w:val="caption"/>
    <w:basedOn w:val="Normal"/>
    <w:next w:val="Normal"/>
    <w:uiPriority w:val="2"/>
    <w:qFormat/>
    <w:rsid w:val="00CE7A31"/>
    <w:pPr>
      <w:keepNext/>
      <w:spacing w:before="240" w:after="40"/>
      <w:ind w:left="1134" w:hanging="1134"/>
    </w:pPr>
    <w:rPr>
      <w:rFonts w:ascii="Calibri" w:eastAsiaTheme="minorEastAsia" w:hAnsi="Calibri" w:cstheme="minorBidi"/>
      <w:b/>
      <w:bCs/>
      <w:sz w:val="22"/>
      <w:szCs w:val="22"/>
      <w:lang w:eastAsia="zh-CN"/>
    </w:rPr>
  </w:style>
  <w:style w:type="paragraph" w:customStyle="1" w:styleId="TableText0">
    <w:name w:val="TableText"/>
    <w:basedOn w:val="Normal"/>
    <w:link w:val="TableTextChar"/>
    <w:uiPriority w:val="97"/>
    <w:qFormat/>
    <w:rsid w:val="00CE7A31"/>
    <w:pPr>
      <w:spacing w:before="40" w:after="40"/>
    </w:pPr>
    <w:rPr>
      <w:rFonts w:ascii="Calibri" w:hAnsi="Calibri" w:cstheme="minorHAnsi"/>
      <w:bCs/>
      <w:sz w:val="20"/>
      <w:szCs w:val="20"/>
      <w:lang w:eastAsia="en-US"/>
    </w:rPr>
  </w:style>
  <w:style w:type="character" w:customStyle="1" w:styleId="TableTextChar">
    <w:name w:val="TableText Char"/>
    <w:basedOn w:val="DefaultParagraphFont"/>
    <w:link w:val="TableText0"/>
    <w:uiPriority w:val="97"/>
    <w:rsid w:val="00CE7A31"/>
    <w:rPr>
      <w:rFonts w:ascii="Calibri" w:hAnsi="Calibri" w:cstheme="minorHAnsi"/>
      <w:bCs/>
      <w:lang w:eastAsia="en-US"/>
    </w:rPr>
  </w:style>
  <w:style w:type="table" w:customStyle="1" w:styleId="TableGrid1">
    <w:name w:val="Table Grid1"/>
    <w:basedOn w:val="TableNormal"/>
    <w:next w:val="TableGrid"/>
    <w:uiPriority w:val="59"/>
    <w:rsid w:val="009A740E"/>
    <w:rPr>
      <w:rFonts w:ascii="Calibri" w:eastAsia="SimSun" w:hAnsi="Calibri"/>
      <w:sz w:val="22"/>
      <w:szCs w:val="22"/>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72"/>
    <w:rsid w:val="00E750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2"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Caption">
    <w:name w:val="caption"/>
    <w:basedOn w:val="Normal"/>
    <w:next w:val="Normal"/>
    <w:uiPriority w:val="2"/>
    <w:qFormat/>
    <w:rsid w:val="00CE7A31"/>
    <w:pPr>
      <w:keepNext/>
      <w:spacing w:before="240" w:after="40"/>
      <w:ind w:left="1134" w:hanging="1134"/>
    </w:pPr>
    <w:rPr>
      <w:rFonts w:ascii="Calibri" w:eastAsiaTheme="minorEastAsia" w:hAnsi="Calibri" w:cstheme="minorBidi"/>
      <w:b/>
      <w:bCs/>
      <w:sz w:val="22"/>
      <w:szCs w:val="22"/>
      <w:lang w:eastAsia="zh-CN"/>
    </w:rPr>
  </w:style>
  <w:style w:type="paragraph" w:customStyle="1" w:styleId="TableText0">
    <w:name w:val="TableText"/>
    <w:basedOn w:val="Normal"/>
    <w:link w:val="TableTextChar"/>
    <w:uiPriority w:val="97"/>
    <w:qFormat/>
    <w:rsid w:val="00CE7A31"/>
    <w:pPr>
      <w:spacing w:before="40" w:after="40"/>
    </w:pPr>
    <w:rPr>
      <w:rFonts w:ascii="Calibri" w:hAnsi="Calibri" w:cstheme="minorHAnsi"/>
      <w:bCs/>
      <w:sz w:val="20"/>
      <w:szCs w:val="20"/>
      <w:lang w:eastAsia="en-US"/>
    </w:rPr>
  </w:style>
  <w:style w:type="character" w:customStyle="1" w:styleId="TableTextChar">
    <w:name w:val="TableText Char"/>
    <w:basedOn w:val="DefaultParagraphFont"/>
    <w:link w:val="TableText0"/>
    <w:uiPriority w:val="97"/>
    <w:rsid w:val="00CE7A31"/>
    <w:rPr>
      <w:rFonts w:ascii="Calibri" w:hAnsi="Calibri" w:cstheme="minorHAnsi"/>
      <w:bCs/>
      <w:lang w:eastAsia="en-US"/>
    </w:rPr>
  </w:style>
  <w:style w:type="table" w:customStyle="1" w:styleId="TableGrid1">
    <w:name w:val="Table Grid1"/>
    <w:basedOn w:val="TableNormal"/>
    <w:next w:val="TableGrid"/>
    <w:uiPriority w:val="59"/>
    <w:rsid w:val="009A740E"/>
    <w:rPr>
      <w:rFonts w:ascii="Calibri" w:eastAsia="SimSun" w:hAnsi="Calibri"/>
      <w:sz w:val="22"/>
      <w:szCs w:val="22"/>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72"/>
    <w:rsid w:val="00E750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68834-2561-4089-9EFF-55B5C7AF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3708</Words>
  <Characters>24409</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2015-02-23T05:18:00Z</dcterms:created>
  <dcterms:modified xsi:type="dcterms:W3CDTF">2015-03-03T03:20:00Z</dcterms:modified>
</cp:coreProperties>
</file>