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E57" w:rsidRPr="002662EC" w:rsidRDefault="002662EC" w:rsidP="002662EC">
      <w:pPr>
        <w:pStyle w:val="BodyText"/>
        <w:rPr>
          <w:b/>
          <w:sz w:val="28"/>
        </w:rPr>
      </w:pPr>
      <w:bookmarkStart w:id="0" w:name="_Toc398550890"/>
      <w:bookmarkStart w:id="1" w:name="_Toc380679747"/>
      <w:bookmarkStart w:id="2" w:name="_Toc380742604"/>
      <w:bookmarkStart w:id="3" w:name="_Toc380746171"/>
      <w:bookmarkStart w:id="4" w:name="_Toc380746294"/>
      <w:bookmarkStart w:id="5" w:name="_Toc380746578"/>
      <w:r w:rsidRPr="002662EC">
        <w:rPr>
          <w:b/>
          <w:sz w:val="28"/>
        </w:rPr>
        <w:t>5.10</w:t>
      </w:r>
      <w:r w:rsidRPr="002662EC">
        <w:rPr>
          <w:b/>
          <w:sz w:val="28"/>
        </w:rPr>
        <w:tab/>
        <w:t>RIOCIGUAT</w:t>
      </w:r>
      <w:bookmarkEnd w:id="0"/>
    </w:p>
    <w:p w:rsidR="001E4E57" w:rsidRPr="006B6B8E" w:rsidRDefault="006B6B8E" w:rsidP="001E4E57">
      <w:pPr>
        <w:ind w:left="709"/>
        <w:rPr>
          <w:b/>
          <w:sz w:val="28"/>
          <w:szCs w:val="28"/>
        </w:rPr>
      </w:pPr>
      <w:r w:rsidRPr="006B6B8E">
        <w:rPr>
          <w:b/>
          <w:sz w:val="28"/>
          <w:szCs w:val="28"/>
        </w:rPr>
        <w:t>T</w:t>
      </w:r>
      <w:r w:rsidR="00A31531" w:rsidRPr="006B6B8E">
        <w:rPr>
          <w:b/>
          <w:sz w:val="28"/>
          <w:szCs w:val="28"/>
        </w:rPr>
        <w:t>ablets</w:t>
      </w:r>
      <w:r w:rsidR="00BB0BE4">
        <w:rPr>
          <w:b/>
          <w:sz w:val="28"/>
          <w:szCs w:val="28"/>
        </w:rPr>
        <w:t>;</w:t>
      </w:r>
      <w:r w:rsidR="00A31531" w:rsidRPr="006B6B8E">
        <w:rPr>
          <w:b/>
          <w:sz w:val="28"/>
          <w:szCs w:val="28"/>
        </w:rPr>
        <w:t xml:space="preserve"> 0.5 mg</w:t>
      </w:r>
      <w:r w:rsidR="004B0FD9" w:rsidRPr="006B6B8E">
        <w:rPr>
          <w:b/>
          <w:sz w:val="28"/>
          <w:szCs w:val="28"/>
        </w:rPr>
        <w:t>,</w:t>
      </w:r>
      <w:r w:rsidR="00A31531" w:rsidRPr="006B6B8E">
        <w:rPr>
          <w:b/>
          <w:sz w:val="28"/>
          <w:szCs w:val="28"/>
        </w:rPr>
        <w:t xml:space="preserve"> </w:t>
      </w:r>
      <w:r w:rsidR="001E4E57" w:rsidRPr="006B6B8E">
        <w:rPr>
          <w:b/>
          <w:sz w:val="28"/>
          <w:szCs w:val="28"/>
        </w:rPr>
        <w:t>1 mg</w:t>
      </w:r>
      <w:r w:rsidR="00A31531" w:rsidRPr="006B6B8E">
        <w:rPr>
          <w:b/>
          <w:sz w:val="28"/>
          <w:szCs w:val="28"/>
        </w:rPr>
        <w:t xml:space="preserve">, </w:t>
      </w:r>
      <w:r w:rsidR="001E4E57" w:rsidRPr="006B6B8E">
        <w:rPr>
          <w:b/>
          <w:sz w:val="28"/>
          <w:szCs w:val="28"/>
        </w:rPr>
        <w:t>1.5 mg</w:t>
      </w:r>
      <w:r w:rsidR="0093532F" w:rsidRPr="006B6B8E">
        <w:rPr>
          <w:b/>
          <w:sz w:val="28"/>
          <w:szCs w:val="28"/>
        </w:rPr>
        <w:t xml:space="preserve"> and </w:t>
      </w:r>
      <w:r w:rsidR="001E4E57" w:rsidRPr="006B6B8E">
        <w:rPr>
          <w:b/>
          <w:sz w:val="28"/>
          <w:szCs w:val="28"/>
        </w:rPr>
        <w:t>2 mg</w:t>
      </w:r>
      <w:r w:rsidR="00A31531" w:rsidRPr="006B6B8E">
        <w:rPr>
          <w:b/>
          <w:sz w:val="28"/>
          <w:szCs w:val="28"/>
        </w:rPr>
        <w:t>;</w:t>
      </w:r>
    </w:p>
    <w:p w:rsidR="001E4E57" w:rsidRPr="006B6B8E" w:rsidRDefault="001E4E57" w:rsidP="001E4E57">
      <w:pPr>
        <w:ind w:left="709"/>
        <w:rPr>
          <w:b/>
          <w:sz w:val="28"/>
          <w:szCs w:val="28"/>
        </w:rPr>
      </w:pPr>
      <w:proofErr w:type="spellStart"/>
      <w:proofErr w:type="gramStart"/>
      <w:r w:rsidRPr="006B6B8E">
        <w:rPr>
          <w:b/>
          <w:sz w:val="28"/>
          <w:szCs w:val="28"/>
        </w:rPr>
        <w:t>Adempas</w:t>
      </w:r>
      <w:proofErr w:type="spellEnd"/>
      <w:r w:rsidRPr="006B6B8E">
        <w:rPr>
          <w:b/>
          <w:sz w:val="28"/>
          <w:szCs w:val="28"/>
        </w:rPr>
        <w:t>®</w:t>
      </w:r>
      <w:r w:rsidR="00BB0BE4">
        <w:rPr>
          <w:b/>
          <w:sz w:val="28"/>
          <w:szCs w:val="28"/>
        </w:rPr>
        <w:t>;</w:t>
      </w:r>
      <w:r w:rsidRPr="006B6B8E">
        <w:rPr>
          <w:b/>
          <w:sz w:val="28"/>
          <w:szCs w:val="28"/>
        </w:rPr>
        <w:t xml:space="preserve"> Bayer Australia Ltd</w:t>
      </w:r>
      <w:r w:rsidR="00D9325C" w:rsidRPr="006B6B8E">
        <w:rPr>
          <w:b/>
          <w:sz w:val="28"/>
          <w:szCs w:val="28"/>
        </w:rPr>
        <w:t>.</w:t>
      </w:r>
      <w:proofErr w:type="gramEnd"/>
    </w:p>
    <w:p w:rsidR="00597F05" w:rsidRDefault="00597F05" w:rsidP="00597F05"/>
    <w:p w:rsidR="00597F05" w:rsidRDefault="00597F05" w:rsidP="00597F05"/>
    <w:p w:rsidR="00597F05" w:rsidRPr="00407F2D" w:rsidRDefault="00597F05" w:rsidP="00597F05">
      <w:pPr>
        <w:pStyle w:val="PBACHeading1"/>
      </w:pPr>
      <w:bookmarkStart w:id="6" w:name="_Toc398550892"/>
      <w:r w:rsidRPr="00407F2D">
        <w:t>Purpose of Application</w:t>
      </w:r>
      <w:bookmarkEnd w:id="6"/>
    </w:p>
    <w:p w:rsidR="00597F05" w:rsidRPr="00882085" w:rsidRDefault="00597F05" w:rsidP="00597F05">
      <w:pPr>
        <w:rPr>
          <w:szCs w:val="22"/>
        </w:rPr>
      </w:pPr>
    </w:p>
    <w:p w:rsidR="00597F05" w:rsidRPr="002B3793" w:rsidRDefault="00597F05" w:rsidP="00597F05">
      <w:pPr>
        <w:pStyle w:val="ListParagraph"/>
        <w:widowControl/>
        <w:numPr>
          <w:ilvl w:val="1"/>
          <w:numId w:val="10"/>
        </w:numPr>
        <w:rPr>
          <w:szCs w:val="22"/>
        </w:rPr>
      </w:pPr>
      <w:r>
        <w:t xml:space="preserve">The submission seeks </w:t>
      </w:r>
      <w:r w:rsidR="0013005B">
        <w:t xml:space="preserve">an </w:t>
      </w:r>
      <w:r w:rsidRPr="004B3DDB">
        <w:t xml:space="preserve">Authority </w:t>
      </w:r>
      <w:proofErr w:type="gramStart"/>
      <w:r w:rsidRPr="004B3DDB">
        <w:t>Required</w:t>
      </w:r>
      <w:proofErr w:type="gramEnd"/>
      <w:r>
        <w:t xml:space="preserve"> </w:t>
      </w:r>
      <w:r w:rsidRPr="004B3DDB">
        <w:t xml:space="preserve">listing for </w:t>
      </w:r>
      <w:r>
        <w:t xml:space="preserve">riociguat </w:t>
      </w:r>
      <w:r w:rsidRPr="004B3DDB">
        <w:t xml:space="preserve">for </w:t>
      </w:r>
      <w:r>
        <w:t xml:space="preserve">the </w:t>
      </w:r>
      <w:r w:rsidRPr="004B3DDB">
        <w:t xml:space="preserve">treatment of </w:t>
      </w:r>
      <w:r w:rsidRPr="00493806">
        <w:t xml:space="preserve">inoperable or persistent/recurrent chronic thromboembolic pulmonary hypertension (CTEPH) </w:t>
      </w:r>
      <w:r w:rsidR="0013005B">
        <w:t xml:space="preserve">after a </w:t>
      </w:r>
      <w:r w:rsidRPr="00493806">
        <w:t>pulmonary endarterectomy</w:t>
      </w:r>
      <w:r>
        <w:t xml:space="preserve">. </w:t>
      </w:r>
    </w:p>
    <w:p w:rsidR="00597F05" w:rsidRDefault="00597F05" w:rsidP="00597F05"/>
    <w:p w:rsidR="00CF23BA" w:rsidRPr="00882085" w:rsidRDefault="00CF23BA" w:rsidP="00597F05"/>
    <w:p w:rsidR="00597F05" w:rsidRPr="00407F2D" w:rsidRDefault="00597F05" w:rsidP="00597F05">
      <w:pPr>
        <w:pStyle w:val="PBACHeading1"/>
      </w:pPr>
      <w:bookmarkStart w:id="7" w:name="_Toc398550893"/>
      <w:r w:rsidRPr="00407F2D">
        <w:t>Requested listing</w:t>
      </w:r>
      <w:bookmarkEnd w:id="7"/>
    </w:p>
    <w:p w:rsidR="00597F05" w:rsidRDefault="00597F05" w:rsidP="00597F05"/>
    <w:tbl>
      <w:tblPr>
        <w:tblW w:w="4515" w:type="pct"/>
        <w:tblInd w:w="817" w:type="dxa"/>
        <w:tblLook w:val="0000" w:firstRow="0" w:lastRow="0" w:firstColumn="0" w:lastColumn="0" w:noHBand="0" w:noVBand="0"/>
      </w:tblPr>
      <w:tblGrid>
        <w:gridCol w:w="34"/>
        <w:gridCol w:w="4360"/>
        <w:gridCol w:w="853"/>
        <w:gridCol w:w="659"/>
        <w:gridCol w:w="1183"/>
        <w:gridCol w:w="1257"/>
      </w:tblGrid>
      <w:tr w:rsidR="005958F3" w:rsidRPr="00260CE3" w:rsidTr="005958F3">
        <w:trPr>
          <w:cantSplit/>
          <w:trHeight w:val="509"/>
        </w:trPr>
        <w:tc>
          <w:tcPr>
            <w:tcW w:w="2632" w:type="pct"/>
            <w:gridSpan w:val="2"/>
            <w:tcBorders>
              <w:bottom w:val="single" w:sz="4" w:space="0" w:color="auto"/>
            </w:tcBorders>
          </w:tcPr>
          <w:p w:rsidR="005958F3" w:rsidRPr="00260CE3" w:rsidRDefault="005958F3" w:rsidP="00203FD3">
            <w:pPr>
              <w:keepNext/>
              <w:ind w:left="-108"/>
              <w:rPr>
                <w:rFonts w:ascii="Arial Narrow" w:hAnsi="Arial Narrow"/>
                <w:sz w:val="20"/>
              </w:rPr>
            </w:pPr>
            <w:r w:rsidRPr="00260CE3">
              <w:rPr>
                <w:rFonts w:ascii="Arial Narrow" w:hAnsi="Arial Narrow"/>
                <w:sz w:val="20"/>
              </w:rPr>
              <w:t>Name, Restriction,</w:t>
            </w:r>
          </w:p>
          <w:p w:rsidR="005958F3" w:rsidRPr="00260CE3" w:rsidRDefault="005958F3" w:rsidP="00203FD3">
            <w:pPr>
              <w:keepNext/>
              <w:ind w:left="-108"/>
              <w:rPr>
                <w:rFonts w:ascii="Arial Narrow" w:hAnsi="Arial Narrow"/>
                <w:sz w:val="20"/>
              </w:rPr>
            </w:pPr>
            <w:r w:rsidRPr="00260CE3">
              <w:rPr>
                <w:rFonts w:ascii="Arial Narrow" w:hAnsi="Arial Narrow"/>
                <w:sz w:val="20"/>
              </w:rPr>
              <w:t>Manner of administration and form</w:t>
            </w:r>
          </w:p>
        </w:tc>
        <w:tc>
          <w:tcPr>
            <w:tcW w:w="511" w:type="pct"/>
            <w:tcBorders>
              <w:bottom w:val="single" w:sz="4" w:space="0" w:color="auto"/>
            </w:tcBorders>
          </w:tcPr>
          <w:p w:rsidR="005958F3" w:rsidRPr="00260CE3" w:rsidRDefault="005958F3" w:rsidP="00203FD3">
            <w:pPr>
              <w:keepNext/>
              <w:ind w:left="-108"/>
              <w:rPr>
                <w:rFonts w:ascii="Arial Narrow" w:hAnsi="Arial Narrow"/>
                <w:sz w:val="20"/>
              </w:rPr>
            </w:pPr>
            <w:r w:rsidRPr="00260CE3">
              <w:rPr>
                <w:rFonts w:ascii="Arial Narrow" w:hAnsi="Arial Narrow"/>
                <w:sz w:val="20"/>
              </w:rPr>
              <w:t>Max.</w:t>
            </w:r>
          </w:p>
          <w:p w:rsidR="005958F3" w:rsidRPr="00260CE3" w:rsidRDefault="005958F3" w:rsidP="00203FD3">
            <w:pPr>
              <w:keepNext/>
              <w:ind w:left="-108"/>
              <w:rPr>
                <w:rFonts w:ascii="Arial Narrow" w:hAnsi="Arial Narrow"/>
                <w:sz w:val="20"/>
              </w:rPr>
            </w:pPr>
            <w:r w:rsidRPr="00260CE3">
              <w:rPr>
                <w:rFonts w:ascii="Arial Narrow" w:hAnsi="Arial Narrow"/>
                <w:sz w:val="20"/>
              </w:rPr>
              <w:t>Qty</w:t>
            </w:r>
          </w:p>
        </w:tc>
        <w:tc>
          <w:tcPr>
            <w:tcW w:w="395" w:type="pct"/>
            <w:tcBorders>
              <w:bottom w:val="single" w:sz="4" w:space="0" w:color="auto"/>
            </w:tcBorders>
          </w:tcPr>
          <w:p w:rsidR="005958F3" w:rsidRPr="00260CE3" w:rsidRDefault="005958F3" w:rsidP="00203FD3">
            <w:pPr>
              <w:keepNext/>
              <w:ind w:left="-108"/>
              <w:rPr>
                <w:rFonts w:ascii="Arial Narrow" w:hAnsi="Arial Narrow"/>
                <w:sz w:val="20"/>
              </w:rPr>
            </w:pPr>
            <w:r w:rsidRPr="00260CE3">
              <w:rPr>
                <w:rFonts w:ascii="Arial Narrow" w:hAnsi="Arial Narrow"/>
                <w:sz w:val="20"/>
              </w:rPr>
              <w:t>№.of</w:t>
            </w:r>
          </w:p>
          <w:p w:rsidR="005958F3" w:rsidRPr="00260CE3" w:rsidRDefault="005958F3" w:rsidP="00203FD3">
            <w:pPr>
              <w:keepNext/>
              <w:ind w:left="-108"/>
              <w:rPr>
                <w:rFonts w:ascii="Arial Narrow" w:hAnsi="Arial Narrow"/>
                <w:sz w:val="20"/>
              </w:rPr>
            </w:pPr>
            <w:r w:rsidRPr="00260CE3">
              <w:rPr>
                <w:rFonts w:ascii="Arial Narrow" w:hAnsi="Arial Narrow"/>
                <w:sz w:val="20"/>
              </w:rPr>
              <w:t>Rpts</w:t>
            </w:r>
          </w:p>
        </w:tc>
        <w:tc>
          <w:tcPr>
            <w:tcW w:w="1462" w:type="pct"/>
            <w:gridSpan w:val="2"/>
            <w:tcBorders>
              <w:bottom w:val="single" w:sz="4" w:space="0" w:color="auto"/>
            </w:tcBorders>
          </w:tcPr>
          <w:p w:rsidR="005958F3" w:rsidRPr="00260CE3" w:rsidRDefault="005958F3" w:rsidP="00203FD3">
            <w:pPr>
              <w:keepNext/>
              <w:rPr>
                <w:rFonts w:ascii="Arial Narrow" w:hAnsi="Arial Narrow"/>
                <w:sz w:val="20"/>
                <w:lang w:val="fr-FR"/>
              </w:rPr>
            </w:pPr>
            <w:r w:rsidRPr="00260CE3">
              <w:rPr>
                <w:rFonts w:ascii="Arial Narrow" w:hAnsi="Arial Narrow"/>
                <w:sz w:val="20"/>
              </w:rPr>
              <w:t>Proprietary Name and Manufacturer</w:t>
            </w:r>
          </w:p>
        </w:tc>
      </w:tr>
      <w:tr w:rsidR="005958F3" w:rsidRPr="00260CE3" w:rsidTr="005958F3">
        <w:trPr>
          <w:cantSplit/>
          <w:trHeight w:val="623"/>
        </w:trPr>
        <w:tc>
          <w:tcPr>
            <w:tcW w:w="2632" w:type="pct"/>
            <w:gridSpan w:val="2"/>
          </w:tcPr>
          <w:p w:rsidR="005958F3" w:rsidRDefault="005958F3" w:rsidP="00203FD3">
            <w:pPr>
              <w:keepNext/>
              <w:rPr>
                <w:rFonts w:ascii="Arial Narrow" w:hAnsi="Arial Narrow"/>
                <w:smallCaps/>
                <w:sz w:val="20"/>
              </w:rPr>
            </w:pPr>
            <w:r>
              <w:rPr>
                <w:rFonts w:ascii="Arial Narrow" w:hAnsi="Arial Narrow"/>
                <w:smallCaps/>
                <w:sz w:val="20"/>
              </w:rPr>
              <w:t>Riociguat</w:t>
            </w:r>
          </w:p>
          <w:p w:rsidR="005958F3" w:rsidRDefault="005958F3" w:rsidP="00203FD3">
            <w:pPr>
              <w:keepNext/>
              <w:rPr>
                <w:rFonts w:ascii="Arial Narrow" w:hAnsi="Arial Narrow"/>
                <w:sz w:val="20"/>
              </w:rPr>
            </w:pPr>
            <w:r>
              <w:rPr>
                <w:rFonts w:ascii="Arial Narrow" w:hAnsi="Arial Narrow"/>
                <w:sz w:val="20"/>
              </w:rPr>
              <w:t xml:space="preserve">0.5 mg, 1.0 mg, 1.5 mg, 2.0 mg, 2.5 mg </w:t>
            </w:r>
          </w:p>
          <w:p w:rsidR="005958F3" w:rsidRDefault="005958F3" w:rsidP="00203FD3">
            <w:pPr>
              <w:keepNext/>
              <w:rPr>
                <w:rFonts w:ascii="Arial Narrow" w:hAnsi="Arial Narrow"/>
                <w:sz w:val="20"/>
              </w:rPr>
            </w:pPr>
            <w:r>
              <w:rPr>
                <w:rFonts w:ascii="Arial Narrow" w:hAnsi="Arial Narrow"/>
                <w:sz w:val="20"/>
              </w:rPr>
              <w:t>tablets, 42</w:t>
            </w:r>
          </w:p>
          <w:p w:rsidR="005958F3" w:rsidRDefault="005958F3" w:rsidP="00203FD3">
            <w:pPr>
              <w:keepNext/>
              <w:rPr>
                <w:rFonts w:ascii="Arial Narrow" w:hAnsi="Arial Narrow"/>
                <w:sz w:val="20"/>
              </w:rPr>
            </w:pPr>
          </w:p>
          <w:p w:rsidR="005958F3" w:rsidRDefault="005958F3" w:rsidP="00203FD3">
            <w:pPr>
              <w:keepNext/>
              <w:rPr>
                <w:rFonts w:ascii="Arial Narrow" w:hAnsi="Arial Narrow"/>
                <w:smallCaps/>
                <w:sz w:val="20"/>
              </w:rPr>
            </w:pPr>
            <w:r>
              <w:rPr>
                <w:rFonts w:ascii="Arial Narrow" w:hAnsi="Arial Narrow"/>
                <w:smallCaps/>
                <w:sz w:val="20"/>
              </w:rPr>
              <w:t>Riociguat</w:t>
            </w:r>
          </w:p>
          <w:p w:rsidR="005958F3" w:rsidRDefault="005958F3" w:rsidP="00203FD3">
            <w:pPr>
              <w:keepNext/>
              <w:rPr>
                <w:rFonts w:ascii="Arial Narrow" w:hAnsi="Arial Narrow"/>
                <w:sz w:val="20"/>
              </w:rPr>
            </w:pPr>
            <w:r>
              <w:rPr>
                <w:rFonts w:ascii="Arial Narrow" w:hAnsi="Arial Narrow"/>
                <w:sz w:val="20"/>
              </w:rPr>
              <w:t xml:space="preserve">0.5 mg, 1.0 mg, 1.5 mg, 2.0 mg, 2.5 mg 2.5 mg, </w:t>
            </w:r>
          </w:p>
          <w:p w:rsidR="005958F3" w:rsidRDefault="005958F3" w:rsidP="00203FD3">
            <w:pPr>
              <w:keepNext/>
              <w:rPr>
                <w:rFonts w:ascii="Arial Narrow" w:hAnsi="Arial Narrow"/>
                <w:sz w:val="20"/>
              </w:rPr>
            </w:pPr>
            <w:r>
              <w:rPr>
                <w:rFonts w:ascii="Arial Narrow" w:hAnsi="Arial Narrow"/>
                <w:sz w:val="20"/>
              </w:rPr>
              <w:t>tablets, 84</w:t>
            </w:r>
          </w:p>
          <w:p w:rsidR="005958F3" w:rsidRPr="00260CE3" w:rsidRDefault="005958F3" w:rsidP="00203FD3">
            <w:pPr>
              <w:keepNext/>
              <w:ind w:left="-108"/>
              <w:rPr>
                <w:rFonts w:ascii="Arial Narrow" w:hAnsi="Arial Narrow"/>
                <w:sz w:val="20"/>
              </w:rPr>
            </w:pPr>
          </w:p>
        </w:tc>
        <w:tc>
          <w:tcPr>
            <w:tcW w:w="511" w:type="pct"/>
          </w:tcPr>
          <w:p w:rsidR="005958F3" w:rsidRDefault="005958F3" w:rsidP="00203FD3">
            <w:pPr>
              <w:keepNext/>
              <w:rPr>
                <w:rFonts w:ascii="Arial Narrow" w:hAnsi="Arial Narrow"/>
                <w:sz w:val="20"/>
              </w:rPr>
            </w:pPr>
          </w:p>
          <w:p w:rsidR="005958F3" w:rsidRDefault="005958F3" w:rsidP="00203FD3">
            <w:pPr>
              <w:keepNext/>
              <w:rPr>
                <w:rFonts w:ascii="Arial Narrow" w:hAnsi="Arial Narrow"/>
                <w:sz w:val="20"/>
              </w:rPr>
            </w:pPr>
            <w:r>
              <w:rPr>
                <w:rFonts w:ascii="Arial Narrow" w:hAnsi="Arial Narrow"/>
                <w:sz w:val="20"/>
              </w:rPr>
              <w:t>1</w:t>
            </w:r>
          </w:p>
          <w:p w:rsidR="005958F3" w:rsidRDefault="005958F3" w:rsidP="00203FD3">
            <w:pPr>
              <w:keepNext/>
              <w:rPr>
                <w:rFonts w:ascii="Arial Narrow" w:hAnsi="Arial Narrow"/>
                <w:sz w:val="20"/>
              </w:rPr>
            </w:pPr>
          </w:p>
          <w:p w:rsidR="005958F3" w:rsidRDefault="005958F3" w:rsidP="00203FD3">
            <w:pPr>
              <w:keepNext/>
              <w:rPr>
                <w:rFonts w:ascii="Arial Narrow" w:hAnsi="Arial Narrow"/>
                <w:sz w:val="20"/>
              </w:rPr>
            </w:pPr>
          </w:p>
          <w:p w:rsidR="005958F3" w:rsidRDefault="005958F3" w:rsidP="00203FD3">
            <w:pPr>
              <w:keepNext/>
              <w:rPr>
                <w:rFonts w:ascii="Arial Narrow" w:hAnsi="Arial Narrow"/>
                <w:sz w:val="20"/>
              </w:rPr>
            </w:pPr>
          </w:p>
          <w:p w:rsidR="005958F3" w:rsidRPr="00260CE3" w:rsidRDefault="005958F3" w:rsidP="00203FD3">
            <w:pPr>
              <w:keepNext/>
              <w:rPr>
                <w:rFonts w:ascii="Arial Narrow" w:hAnsi="Arial Narrow"/>
                <w:sz w:val="20"/>
              </w:rPr>
            </w:pPr>
            <w:r>
              <w:rPr>
                <w:rFonts w:ascii="Arial Narrow" w:hAnsi="Arial Narrow"/>
                <w:sz w:val="20"/>
              </w:rPr>
              <w:t>1</w:t>
            </w:r>
          </w:p>
        </w:tc>
        <w:tc>
          <w:tcPr>
            <w:tcW w:w="395" w:type="pct"/>
          </w:tcPr>
          <w:p w:rsidR="005958F3" w:rsidRDefault="005958F3" w:rsidP="00203FD3">
            <w:pPr>
              <w:keepNext/>
              <w:rPr>
                <w:rFonts w:ascii="Arial Narrow" w:hAnsi="Arial Narrow"/>
                <w:sz w:val="20"/>
              </w:rPr>
            </w:pPr>
          </w:p>
          <w:p w:rsidR="005958F3" w:rsidRDefault="005958F3" w:rsidP="00203FD3">
            <w:pPr>
              <w:keepNext/>
              <w:rPr>
                <w:rFonts w:ascii="Arial Narrow" w:hAnsi="Arial Narrow"/>
                <w:sz w:val="20"/>
              </w:rPr>
            </w:pPr>
            <w:r>
              <w:rPr>
                <w:rFonts w:ascii="Arial Narrow" w:hAnsi="Arial Narrow"/>
                <w:sz w:val="20"/>
              </w:rPr>
              <w:t>0</w:t>
            </w:r>
          </w:p>
          <w:p w:rsidR="005958F3" w:rsidRDefault="005958F3" w:rsidP="00203FD3">
            <w:pPr>
              <w:keepNext/>
              <w:rPr>
                <w:rFonts w:ascii="Arial Narrow" w:hAnsi="Arial Narrow"/>
                <w:sz w:val="20"/>
              </w:rPr>
            </w:pPr>
          </w:p>
          <w:p w:rsidR="005958F3" w:rsidRDefault="005958F3" w:rsidP="00203FD3">
            <w:pPr>
              <w:keepNext/>
              <w:rPr>
                <w:rFonts w:ascii="Arial Narrow" w:hAnsi="Arial Narrow"/>
                <w:sz w:val="20"/>
              </w:rPr>
            </w:pPr>
          </w:p>
          <w:p w:rsidR="005958F3" w:rsidRDefault="005958F3" w:rsidP="00203FD3">
            <w:pPr>
              <w:keepNext/>
              <w:rPr>
                <w:rFonts w:ascii="Arial Narrow" w:hAnsi="Arial Narrow"/>
                <w:sz w:val="20"/>
              </w:rPr>
            </w:pPr>
          </w:p>
          <w:p w:rsidR="005958F3" w:rsidRPr="00260CE3" w:rsidRDefault="005958F3" w:rsidP="00203FD3">
            <w:pPr>
              <w:keepNext/>
              <w:rPr>
                <w:rFonts w:ascii="Arial Narrow" w:hAnsi="Arial Narrow"/>
                <w:sz w:val="20"/>
              </w:rPr>
            </w:pPr>
            <w:r>
              <w:rPr>
                <w:rFonts w:ascii="Arial Narrow" w:hAnsi="Arial Narrow"/>
                <w:sz w:val="20"/>
              </w:rPr>
              <w:t>5</w:t>
            </w:r>
          </w:p>
        </w:tc>
        <w:tc>
          <w:tcPr>
            <w:tcW w:w="709" w:type="pct"/>
          </w:tcPr>
          <w:p w:rsidR="005958F3" w:rsidRDefault="005958F3" w:rsidP="00203FD3">
            <w:pPr>
              <w:keepNext/>
              <w:jc w:val="center"/>
              <w:rPr>
                <w:rFonts w:ascii="Arial Narrow" w:hAnsi="Arial Narrow"/>
                <w:sz w:val="20"/>
              </w:rPr>
            </w:pPr>
          </w:p>
          <w:p w:rsidR="005958F3" w:rsidRPr="00177065" w:rsidRDefault="005958F3" w:rsidP="00203FD3">
            <w:pPr>
              <w:keepNext/>
              <w:jc w:val="center"/>
              <w:rPr>
                <w:rFonts w:ascii="Arial Narrow" w:hAnsi="Arial Narrow"/>
                <w:sz w:val="20"/>
              </w:rPr>
            </w:pPr>
            <w:proofErr w:type="spellStart"/>
            <w:r w:rsidRPr="00F70F26">
              <w:rPr>
                <w:rFonts w:ascii="Arial Narrow" w:hAnsi="Arial Narrow"/>
                <w:sz w:val="20"/>
              </w:rPr>
              <w:t>Adempas</w:t>
            </w:r>
            <w:proofErr w:type="spellEnd"/>
            <w:r w:rsidRPr="00F70F26">
              <w:rPr>
                <w:rFonts w:ascii="Arial Narrow" w:hAnsi="Arial Narrow"/>
                <w:sz w:val="20"/>
              </w:rPr>
              <w:t>®</w:t>
            </w:r>
          </w:p>
        </w:tc>
        <w:tc>
          <w:tcPr>
            <w:tcW w:w="753" w:type="pct"/>
          </w:tcPr>
          <w:p w:rsidR="005958F3" w:rsidRDefault="005958F3" w:rsidP="00203FD3">
            <w:pPr>
              <w:keepNext/>
              <w:jc w:val="center"/>
              <w:rPr>
                <w:rFonts w:ascii="Arial Narrow" w:hAnsi="Arial Narrow"/>
                <w:sz w:val="20"/>
              </w:rPr>
            </w:pPr>
          </w:p>
          <w:p w:rsidR="005958F3" w:rsidRPr="00177065" w:rsidRDefault="005958F3" w:rsidP="00203FD3">
            <w:pPr>
              <w:keepNext/>
              <w:jc w:val="center"/>
              <w:rPr>
                <w:rFonts w:ascii="Arial Narrow" w:hAnsi="Arial Narrow"/>
                <w:sz w:val="20"/>
              </w:rPr>
            </w:pPr>
            <w:r w:rsidRPr="00177065">
              <w:rPr>
                <w:rFonts w:ascii="Arial Narrow" w:hAnsi="Arial Narrow"/>
                <w:sz w:val="20"/>
              </w:rPr>
              <w:t>Bayer</w:t>
            </w:r>
          </w:p>
        </w:tc>
      </w:tr>
      <w:tr w:rsidR="00597F05" w:rsidRPr="00177065" w:rsidTr="005958F3">
        <w:tblPrEx>
          <w:tblCellMar>
            <w:left w:w="28" w:type="dxa"/>
            <w:right w:w="28" w:type="dxa"/>
          </w:tblCellMar>
        </w:tblPrEx>
        <w:trPr>
          <w:gridBefore w:val="1"/>
          <w:wBefore w:w="20" w:type="pct"/>
          <w:cantSplit/>
          <w:trHeight w:val="360"/>
        </w:trPr>
        <w:tc>
          <w:tcPr>
            <w:tcW w:w="4980" w:type="pct"/>
            <w:gridSpan w:val="5"/>
          </w:tcPr>
          <w:p w:rsidR="00597F05" w:rsidRPr="00177065" w:rsidRDefault="00597F05" w:rsidP="0020323A">
            <w:pPr>
              <w:rPr>
                <w:rFonts w:ascii="Arial Narrow" w:hAnsi="Arial Narrow"/>
                <w:sz w:val="20"/>
              </w:rPr>
            </w:pPr>
            <w:r w:rsidRPr="00177065">
              <w:rPr>
                <w:rFonts w:ascii="Arial Narrow" w:hAnsi="Arial Narrow"/>
                <w:b/>
                <w:sz w:val="20"/>
                <w:u w:val="single"/>
              </w:rPr>
              <w:t>Authority required</w:t>
            </w:r>
            <w:r w:rsidRPr="00177065">
              <w:rPr>
                <w:rFonts w:ascii="Arial Narrow" w:hAnsi="Arial Narrow"/>
                <w:sz w:val="20"/>
              </w:rPr>
              <w:t xml:space="preserve"> </w:t>
            </w:r>
          </w:p>
          <w:p w:rsidR="00597F05" w:rsidRDefault="00597F05" w:rsidP="008F117A">
            <w:pPr>
              <w:rPr>
                <w:rFonts w:ascii="Arial Narrow" w:hAnsi="Arial Narrow"/>
                <w:i/>
                <w:sz w:val="20"/>
              </w:rPr>
            </w:pPr>
            <w:r>
              <w:rPr>
                <w:rFonts w:ascii="Arial Narrow" w:hAnsi="Arial Narrow"/>
                <w:sz w:val="20"/>
              </w:rPr>
              <w:t>F</w:t>
            </w:r>
            <w:r w:rsidRPr="00A7025F">
              <w:rPr>
                <w:rFonts w:ascii="Arial Narrow" w:hAnsi="Arial Narrow"/>
                <w:sz w:val="20"/>
              </w:rPr>
              <w:t>or the treatment of inoperable or persistent</w:t>
            </w:r>
            <w:r w:rsidR="008F117A">
              <w:rPr>
                <w:rFonts w:ascii="Arial Narrow" w:hAnsi="Arial Narrow"/>
                <w:sz w:val="20"/>
              </w:rPr>
              <w:t>/</w:t>
            </w:r>
            <w:r w:rsidRPr="00A7025F">
              <w:rPr>
                <w:rFonts w:ascii="Arial Narrow" w:hAnsi="Arial Narrow"/>
                <w:sz w:val="20"/>
              </w:rPr>
              <w:t>recurrent chronic thromboembolic pulmonary hypertension (CTEPH) post-pulmonary endarterectomy (PEA)</w:t>
            </w:r>
            <w:r>
              <w:rPr>
                <w:rFonts w:ascii="Arial Narrow" w:hAnsi="Arial Narrow"/>
                <w:sz w:val="20"/>
              </w:rPr>
              <w:t xml:space="preserve"> </w:t>
            </w:r>
            <w:r w:rsidRPr="00746B91">
              <w:rPr>
                <w:rFonts w:ascii="Arial Narrow" w:hAnsi="Arial Narrow"/>
                <w:sz w:val="20"/>
              </w:rPr>
              <w:t>in the patients with WHO Functional Class II-IV</w:t>
            </w:r>
            <w:r>
              <w:rPr>
                <w:rFonts w:ascii="Arial Narrow" w:hAnsi="Arial Narrow"/>
                <w:sz w:val="20"/>
              </w:rPr>
              <w:t xml:space="preserve"> </w:t>
            </w:r>
            <w:r w:rsidRPr="00242E33">
              <w:rPr>
                <w:rFonts w:ascii="Arial Narrow" w:hAnsi="Arial Narrow"/>
                <w:sz w:val="20"/>
              </w:rPr>
              <w:t xml:space="preserve">and a mean </w:t>
            </w:r>
            <w:r>
              <w:rPr>
                <w:rFonts w:ascii="Arial Narrow" w:hAnsi="Arial Narrow"/>
                <w:sz w:val="20"/>
              </w:rPr>
              <w:t xml:space="preserve">right atrial pressure (RAP) of ≤8mmHg. </w:t>
            </w:r>
          </w:p>
          <w:p w:rsidR="006D5591" w:rsidRPr="006D5591" w:rsidRDefault="006D5591" w:rsidP="00250B6D">
            <w:pPr>
              <w:pStyle w:val="TableFooter"/>
            </w:pPr>
          </w:p>
        </w:tc>
      </w:tr>
    </w:tbl>
    <w:p w:rsidR="005958F3" w:rsidRDefault="005958F3" w:rsidP="00360EB1">
      <w:pPr>
        <w:pStyle w:val="ListParagraph"/>
        <w:widowControl/>
        <w:rPr>
          <w:szCs w:val="22"/>
        </w:rPr>
      </w:pPr>
    </w:p>
    <w:p w:rsidR="00597F05" w:rsidRPr="00190D0C" w:rsidRDefault="00597F05" w:rsidP="005D281E">
      <w:pPr>
        <w:pStyle w:val="ListParagraph"/>
        <w:widowControl/>
        <w:numPr>
          <w:ilvl w:val="1"/>
          <w:numId w:val="10"/>
        </w:numPr>
        <w:rPr>
          <w:szCs w:val="22"/>
        </w:rPr>
      </w:pPr>
      <w:r w:rsidRPr="00190D0C">
        <w:rPr>
          <w:szCs w:val="22"/>
        </w:rPr>
        <w:t xml:space="preserve">The evidence base for the requested listing is a randomised controlled trial </w:t>
      </w:r>
      <w:r w:rsidR="009A0393" w:rsidRPr="00190D0C">
        <w:rPr>
          <w:szCs w:val="22"/>
        </w:rPr>
        <w:t xml:space="preserve">(CHEST-1) </w:t>
      </w:r>
      <w:r w:rsidRPr="00190D0C">
        <w:rPr>
          <w:szCs w:val="22"/>
        </w:rPr>
        <w:t xml:space="preserve">comparing riociguat with </w:t>
      </w:r>
      <w:r w:rsidR="00501311" w:rsidRPr="00190D0C">
        <w:rPr>
          <w:szCs w:val="22"/>
        </w:rPr>
        <w:t xml:space="preserve">placebo </w:t>
      </w:r>
      <w:r w:rsidR="00F675E4" w:rsidRPr="00190D0C">
        <w:rPr>
          <w:szCs w:val="22"/>
        </w:rPr>
        <w:t>in patients with CTEPH. The submission d</w:t>
      </w:r>
      <w:r w:rsidR="00A879AA">
        <w:rPr>
          <w:szCs w:val="22"/>
        </w:rPr>
        <w:t>id</w:t>
      </w:r>
      <w:r w:rsidR="00F675E4" w:rsidRPr="00190D0C">
        <w:rPr>
          <w:szCs w:val="22"/>
        </w:rPr>
        <w:t xml:space="preserve"> not provide any economic evaluation of riociguat compared with placebo.</w:t>
      </w:r>
    </w:p>
    <w:p w:rsidR="009A0393" w:rsidRPr="00190D0C" w:rsidRDefault="009A0393" w:rsidP="009A0393">
      <w:pPr>
        <w:widowControl/>
        <w:rPr>
          <w:szCs w:val="22"/>
        </w:rPr>
      </w:pPr>
    </w:p>
    <w:p w:rsidR="00597F05" w:rsidRPr="00190D0C" w:rsidRDefault="00F26162" w:rsidP="00597F05">
      <w:pPr>
        <w:pStyle w:val="ListParagraph"/>
        <w:widowControl/>
        <w:numPr>
          <w:ilvl w:val="1"/>
          <w:numId w:val="10"/>
        </w:numPr>
        <w:rPr>
          <w:szCs w:val="22"/>
        </w:rPr>
      </w:pPr>
      <w:r>
        <w:rPr>
          <w:szCs w:val="22"/>
        </w:rPr>
        <w:t>It may be appropriate for</w:t>
      </w:r>
      <w:r w:rsidRPr="00190D0C">
        <w:rPr>
          <w:szCs w:val="22"/>
        </w:rPr>
        <w:t xml:space="preserve"> </w:t>
      </w:r>
      <w:r w:rsidR="00597F05" w:rsidRPr="00190D0C">
        <w:rPr>
          <w:szCs w:val="22"/>
        </w:rPr>
        <w:t xml:space="preserve">the requested restriction for CTEPH </w:t>
      </w:r>
      <w:r>
        <w:rPr>
          <w:szCs w:val="22"/>
        </w:rPr>
        <w:t>to</w:t>
      </w:r>
      <w:r w:rsidRPr="00190D0C">
        <w:rPr>
          <w:szCs w:val="22"/>
        </w:rPr>
        <w:t xml:space="preserve"> </w:t>
      </w:r>
      <w:r w:rsidR="00597F05" w:rsidRPr="00190D0C">
        <w:rPr>
          <w:szCs w:val="22"/>
        </w:rPr>
        <w:t xml:space="preserve">be </w:t>
      </w:r>
      <w:r w:rsidR="009A0393" w:rsidRPr="00190D0C">
        <w:rPr>
          <w:szCs w:val="22"/>
        </w:rPr>
        <w:t xml:space="preserve">listed </w:t>
      </w:r>
      <w:r w:rsidR="00597F05" w:rsidRPr="00190D0C">
        <w:rPr>
          <w:szCs w:val="22"/>
        </w:rPr>
        <w:t>under Section 100 (</w:t>
      </w:r>
      <w:r w:rsidR="00780AFF">
        <w:rPr>
          <w:szCs w:val="22"/>
        </w:rPr>
        <w:t>H</w:t>
      </w:r>
      <w:r w:rsidR="00780AFF" w:rsidRPr="00190D0C">
        <w:rPr>
          <w:szCs w:val="22"/>
        </w:rPr>
        <w:t xml:space="preserve">ighly </w:t>
      </w:r>
      <w:r w:rsidR="00780AFF">
        <w:rPr>
          <w:szCs w:val="22"/>
        </w:rPr>
        <w:t>S</w:t>
      </w:r>
      <w:r w:rsidR="00780AFF" w:rsidRPr="00190D0C">
        <w:rPr>
          <w:szCs w:val="22"/>
        </w:rPr>
        <w:t xml:space="preserve">pecialised </w:t>
      </w:r>
      <w:r w:rsidR="00780AFF">
        <w:rPr>
          <w:szCs w:val="22"/>
        </w:rPr>
        <w:t>D</w:t>
      </w:r>
      <w:r w:rsidR="00780AFF" w:rsidRPr="00190D0C">
        <w:rPr>
          <w:szCs w:val="22"/>
        </w:rPr>
        <w:t xml:space="preserve">rug </w:t>
      </w:r>
      <w:r w:rsidR="00780AFF">
        <w:rPr>
          <w:szCs w:val="22"/>
        </w:rPr>
        <w:t>P</w:t>
      </w:r>
      <w:r w:rsidR="00780AFF" w:rsidRPr="00190D0C">
        <w:rPr>
          <w:szCs w:val="22"/>
        </w:rPr>
        <w:t>rogram</w:t>
      </w:r>
      <w:r w:rsidR="00597F05" w:rsidRPr="00190D0C">
        <w:rPr>
          <w:szCs w:val="22"/>
        </w:rPr>
        <w:t xml:space="preserve">) to be consistent with the recommended restriction of riociguat for PAH. The submission has acknowledged </w:t>
      </w:r>
      <w:r>
        <w:rPr>
          <w:szCs w:val="22"/>
        </w:rPr>
        <w:t>the sponsor’s</w:t>
      </w:r>
      <w:r w:rsidRPr="00190D0C">
        <w:rPr>
          <w:szCs w:val="22"/>
        </w:rPr>
        <w:t xml:space="preserve"> </w:t>
      </w:r>
      <w:r w:rsidR="00597F05" w:rsidRPr="00190D0C">
        <w:rPr>
          <w:szCs w:val="22"/>
        </w:rPr>
        <w:t>willingness to work with the Restrictions Working Group to refine the prop</w:t>
      </w:r>
      <w:r w:rsidR="009A0393" w:rsidRPr="00190D0C">
        <w:rPr>
          <w:szCs w:val="22"/>
        </w:rPr>
        <w:t>osed wording of the restriction</w:t>
      </w:r>
      <w:r w:rsidR="00597F05" w:rsidRPr="00190D0C">
        <w:rPr>
          <w:szCs w:val="22"/>
        </w:rPr>
        <w:t>.</w:t>
      </w:r>
    </w:p>
    <w:p w:rsidR="005D651D" w:rsidRPr="00190D0C" w:rsidRDefault="005D651D" w:rsidP="005D651D">
      <w:pPr>
        <w:pStyle w:val="ListParagraph"/>
        <w:rPr>
          <w:szCs w:val="22"/>
        </w:rPr>
      </w:pPr>
    </w:p>
    <w:p w:rsidR="00597F05" w:rsidRPr="00FD3BF6" w:rsidRDefault="005847EC" w:rsidP="00FD3BF6">
      <w:pPr>
        <w:pStyle w:val="ListParagraph"/>
        <w:widowControl/>
        <w:numPr>
          <w:ilvl w:val="1"/>
          <w:numId w:val="10"/>
        </w:numPr>
        <w:rPr>
          <w:szCs w:val="22"/>
        </w:rPr>
      </w:pPr>
      <w:r>
        <w:rPr>
          <w:szCs w:val="22"/>
        </w:rPr>
        <w:t xml:space="preserve">The sponsor confirmed in the Pre-Sub-Committee response that </w:t>
      </w:r>
      <w:r w:rsidR="00360EB1" w:rsidRPr="00190D0C">
        <w:rPr>
          <w:szCs w:val="22"/>
        </w:rPr>
        <w:t>the proposed</w:t>
      </w:r>
      <w:r w:rsidR="005D651D" w:rsidRPr="00190D0C">
        <w:rPr>
          <w:szCs w:val="22"/>
        </w:rPr>
        <w:t xml:space="preserve"> eligibility criterion of </w:t>
      </w:r>
      <w:r w:rsidR="005272A1" w:rsidRPr="00190D0C">
        <w:rPr>
          <w:szCs w:val="22"/>
        </w:rPr>
        <w:t xml:space="preserve">a </w:t>
      </w:r>
      <w:r w:rsidR="005D651D" w:rsidRPr="00190D0C">
        <w:rPr>
          <w:szCs w:val="22"/>
        </w:rPr>
        <w:t>right atrial pressure (RAP) of ≤8 mmHg in the requested listing</w:t>
      </w:r>
      <w:r w:rsidR="00FD3BF6">
        <w:rPr>
          <w:szCs w:val="22"/>
        </w:rPr>
        <w:t xml:space="preserve"> was a typographical</w:t>
      </w:r>
      <w:r>
        <w:rPr>
          <w:szCs w:val="22"/>
        </w:rPr>
        <w:t xml:space="preserve"> error</w:t>
      </w:r>
      <w:r w:rsidR="005D651D" w:rsidRPr="00190D0C">
        <w:rPr>
          <w:szCs w:val="22"/>
        </w:rPr>
        <w:t xml:space="preserve">. </w:t>
      </w:r>
    </w:p>
    <w:p w:rsidR="002557B1" w:rsidRDefault="002557B1" w:rsidP="00597F05"/>
    <w:p w:rsidR="009C0393" w:rsidRPr="00190D0C" w:rsidRDefault="009C0393" w:rsidP="00597F05"/>
    <w:p w:rsidR="00597F05" w:rsidRPr="00190D0C" w:rsidRDefault="00597F05" w:rsidP="00597F05">
      <w:pPr>
        <w:pStyle w:val="PBACHeading1"/>
      </w:pPr>
      <w:bookmarkStart w:id="8" w:name="_Toc398550894"/>
      <w:r w:rsidRPr="00190D0C">
        <w:t>Background</w:t>
      </w:r>
      <w:bookmarkEnd w:id="8"/>
    </w:p>
    <w:p w:rsidR="00597F05" w:rsidRPr="00190D0C" w:rsidRDefault="00597F05" w:rsidP="00597F05">
      <w:pPr>
        <w:rPr>
          <w:szCs w:val="22"/>
        </w:rPr>
      </w:pPr>
    </w:p>
    <w:p w:rsidR="00597F05" w:rsidRPr="00190D0C" w:rsidRDefault="00597F05" w:rsidP="00597F05">
      <w:pPr>
        <w:pStyle w:val="ListParagraph"/>
        <w:widowControl/>
        <w:numPr>
          <w:ilvl w:val="1"/>
          <w:numId w:val="10"/>
        </w:numPr>
      </w:pPr>
      <w:r w:rsidRPr="00190D0C">
        <w:rPr>
          <w:szCs w:val="22"/>
        </w:rPr>
        <w:t xml:space="preserve">Riociguat was TGA registered in April 2014 for both PAH and CTEPH. The requested PBS restriction is broadly consistent with the TGA approved indication for CTEPH. </w:t>
      </w:r>
    </w:p>
    <w:p w:rsidR="00597F05" w:rsidRPr="00190D0C" w:rsidRDefault="00597F05" w:rsidP="00597F05">
      <w:pPr>
        <w:pStyle w:val="ListParagraph"/>
        <w:rPr>
          <w:szCs w:val="22"/>
        </w:rPr>
      </w:pPr>
    </w:p>
    <w:p w:rsidR="00597F05" w:rsidRPr="00190D0C" w:rsidRDefault="00597F05" w:rsidP="00597F05">
      <w:pPr>
        <w:pStyle w:val="ListParagraph"/>
        <w:widowControl/>
        <w:numPr>
          <w:ilvl w:val="1"/>
          <w:numId w:val="10"/>
        </w:numPr>
        <w:rPr>
          <w:szCs w:val="22"/>
        </w:rPr>
      </w:pPr>
      <w:r w:rsidRPr="00190D0C">
        <w:rPr>
          <w:szCs w:val="22"/>
        </w:rPr>
        <w:lastRenderedPageBreak/>
        <w:t xml:space="preserve">This is the first PBAC submission of riociguat for the treatment of inoperable CTEPH or persistent chronic CTEPH </w:t>
      </w:r>
      <w:r w:rsidR="00982797" w:rsidRPr="00190D0C">
        <w:rPr>
          <w:szCs w:val="22"/>
        </w:rPr>
        <w:t xml:space="preserve">after </w:t>
      </w:r>
      <w:r w:rsidR="00982797" w:rsidRPr="00190D0C">
        <w:t>pulmonary endarterectomy</w:t>
      </w:r>
      <w:r w:rsidRPr="00190D0C">
        <w:rPr>
          <w:szCs w:val="22"/>
        </w:rPr>
        <w:t xml:space="preserve">. </w:t>
      </w:r>
    </w:p>
    <w:p w:rsidR="00597F05" w:rsidRPr="00190D0C" w:rsidRDefault="00597F05" w:rsidP="00597F05">
      <w:pPr>
        <w:pStyle w:val="ListParagraph"/>
        <w:rPr>
          <w:szCs w:val="22"/>
        </w:rPr>
      </w:pPr>
    </w:p>
    <w:p w:rsidR="00597F05" w:rsidRPr="00190D0C" w:rsidRDefault="00982797" w:rsidP="00597F05">
      <w:pPr>
        <w:pStyle w:val="ListParagraph"/>
        <w:widowControl/>
        <w:numPr>
          <w:ilvl w:val="1"/>
          <w:numId w:val="10"/>
        </w:numPr>
        <w:rPr>
          <w:szCs w:val="22"/>
        </w:rPr>
      </w:pPr>
      <w:r w:rsidRPr="00190D0C">
        <w:rPr>
          <w:szCs w:val="22"/>
        </w:rPr>
        <w:t xml:space="preserve">At the March 2014 meeting, the PBAC recommended listing riociguat for the treatment of </w:t>
      </w:r>
      <w:r w:rsidR="005B217A">
        <w:rPr>
          <w:szCs w:val="22"/>
        </w:rPr>
        <w:t xml:space="preserve">Pulmonary Hypertension Group 1, called Pulmonary Arterial Hypertension (PAH): </w:t>
      </w:r>
      <w:r w:rsidRPr="00190D0C">
        <w:rPr>
          <w:szCs w:val="22"/>
        </w:rPr>
        <w:t xml:space="preserve">primary </w:t>
      </w:r>
      <w:r w:rsidR="005B217A">
        <w:rPr>
          <w:szCs w:val="22"/>
        </w:rPr>
        <w:t>or Idiopathic PAH,</w:t>
      </w:r>
      <w:r w:rsidRPr="00190D0C">
        <w:rPr>
          <w:szCs w:val="22"/>
        </w:rPr>
        <w:t xml:space="preserve"> PAH secondary to connective tissue disease and PAH associated with congenital heart disease (CHD) in patients with WHO Functiona</w:t>
      </w:r>
      <w:r w:rsidR="003F69F9" w:rsidRPr="00190D0C">
        <w:rPr>
          <w:szCs w:val="22"/>
        </w:rPr>
        <w:t xml:space="preserve">l Class III/IV. </w:t>
      </w:r>
      <w:r w:rsidRPr="00190D0C">
        <w:rPr>
          <w:szCs w:val="22"/>
        </w:rPr>
        <w:t xml:space="preserve">The PBAC accepted that riociguat was non-inferior to both bosentan and sildenafil. The PBAC recommended that riociguat be listed on a cost-minimisation basis, with the equi-effective doses being individual titration of riociguat (1 mg </w:t>
      </w:r>
      <w:proofErr w:type="spellStart"/>
      <w:r w:rsidRPr="00190D0C">
        <w:rPr>
          <w:szCs w:val="22"/>
        </w:rPr>
        <w:t>tid</w:t>
      </w:r>
      <w:proofErr w:type="spellEnd"/>
      <w:r w:rsidRPr="00190D0C">
        <w:rPr>
          <w:szCs w:val="22"/>
        </w:rPr>
        <w:t xml:space="preserve"> to 2.5 mg </w:t>
      </w:r>
      <w:proofErr w:type="spellStart"/>
      <w:r w:rsidRPr="00190D0C">
        <w:rPr>
          <w:szCs w:val="22"/>
        </w:rPr>
        <w:t>tid</w:t>
      </w:r>
      <w:proofErr w:type="spellEnd"/>
      <w:r w:rsidRPr="00190D0C">
        <w:rPr>
          <w:szCs w:val="22"/>
        </w:rPr>
        <w:t xml:space="preserve">) relative to bosentan 62.5 mg bid or 125 mg bid, or individual titration of riociguat (1 mg </w:t>
      </w:r>
      <w:proofErr w:type="spellStart"/>
      <w:r w:rsidRPr="00190D0C">
        <w:rPr>
          <w:szCs w:val="22"/>
        </w:rPr>
        <w:t>tid</w:t>
      </w:r>
      <w:proofErr w:type="spellEnd"/>
      <w:r w:rsidRPr="00190D0C">
        <w:rPr>
          <w:szCs w:val="22"/>
        </w:rPr>
        <w:t xml:space="preserve"> to 2.5 mg </w:t>
      </w:r>
      <w:proofErr w:type="spellStart"/>
      <w:r w:rsidRPr="00190D0C">
        <w:rPr>
          <w:szCs w:val="22"/>
        </w:rPr>
        <w:t>tid</w:t>
      </w:r>
      <w:proofErr w:type="spellEnd"/>
      <w:r w:rsidRPr="00190D0C">
        <w:rPr>
          <w:szCs w:val="22"/>
        </w:rPr>
        <w:t xml:space="preserve">) relative to sildenafil 20 mg </w:t>
      </w:r>
      <w:proofErr w:type="spellStart"/>
      <w:r w:rsidRPr="00190D0C">
        <w:rPr>
          <w:szCs w:val="22"/>
        </w:rPr>
        <w:t>tid</w:t>
      </w:r>
      <w:proofErr w:type="spellEnd"/>
      <w:r w:rsidRPr="00190D0C">
        <w:rPr>
          <w:szCs w:val="22"/>
        </w:rPr>
        <w:t>. The PBAC considered that riociguat should be available only under special arrangements under Section 100 (Highly Specialised Drugs Program).</w:t>
      </w:r>
      <w:r w:rsidR="00597F05" w:rsidRPr="00190D0C">
        <w:rPr>
          <w:szCs w:val="22"/>
        </w:rPr>
        <w:t xml:space="preserve"> </w:t>
      </w:r>
    </w:p>
    <w:p w:rsidR="00597F05" w:rsidRDefault="00597F05" w:rsidP="00597F05"/>
    <w:p w:rsidR="00CF23BA" w:rsidRPr="00190D0C" w:rsidRDefault="00CF23BA" w:rsidP="00597F05"/>
    <w:p w:rsidR="00597F05" w:rsidRPr="00190D0C" w:rsidRDefault="00597F05" w:rsidP="00597F05">
      <w:pPr>
        <w:pStyle w:val="PBACHeading1"/>
      </w:pPr>
      <w:bookmarkStart w:id="9" w:name="_Toc398550895"/>
      <w:r w:rsidRPr="00190D0C">
        <w:t>Clinical place for the proposed therapy</w:t>
      </w:r>
      <w:bookmarkEnd w:id="9"/>
    </w:p>
    <w:p w:rsidR="00597F05" w:rsidRPr="00190D0C" w:rsidRDefault="00597F05" w:rsidP="00597F05">
      <w:pPr>
        <w:rPr>
          <w:szCs w:val="22"/>
        </w:rPr>
      </w:pPr>
    </w:p>
    <w:p w:rsidR="00597F05" w:rsidRPr="002557B1" w:rsidRDefault="00597F05" w:rsidP="00597F05">
      <w:pPr>
        <w:pStyle w:val="ListParagraph"/>
        <w:widowControl/>
        <w:numPr>
          <w:ilvl w:val="1"/>
          <w:numId w:val="10"/>
        </w:numPr>
        <w:rPr>
          <w:szCs w:val="22"/>
        </w:rPr>
      </w:pPr>
      <w:r w:rsidRPr="00190D0C">
        <w:rPr>
          <w:szCs w:val="22"/>
        </w:rPr>
        <w:t>CTEPH</w:t>
      </w:r>
      <w:r w:rsidR="005B217A">
        <w:rPr>
          <w:szCs w:val="22"/>
        </w:rPr>
        <w:t xml:space="preserve"> (PH Group 4)</w:t>
      </w:r>
      <w:r w:rsidRPr="00190D0C">
        <w:rPr>
          <w:szCs w:val="22"/>
        </w:rPr>
        <w:t xml:space="preserve"> is a progressive disease </w:t>
      </w:r>
      <w:r w:rsidR="005B217A">
        <w:rPr>
          <w:szCs w:val="22"/>
        </w:rPr>
        <w:t>where</w:t>
      </w:r>
      <w:r w:rsidRPr="00190D0C">
        <w:rPr>
          <w:szCs w:val="22"/>
        </w:rPr>
        <w:t xml:space="preserve"> pulmonary vascular resistance </w:t>
      </w:r>
      <w:r w:rsidR="005B217A" w:rsidRPr="002557B1">
        <w:rPr>
          <w:szCs w:val="22"/>
        </w:rPr>
        <w:t xml:space="preserve">increases progressively </w:t>
      </w:r>
      <w:r w:rsidRPr="002557B1">
        <w:rPr>
          <w:szCs w:val="22"/>
        </w:rPr>
        <w:t>ultimately resulting in right heart failure and death.</w:t>
      </w:r>
    </w:p>
    <w:p w:rsidR="00597F05" w:rsidRPr="002557B1" w:rsidRDefault="00597F05" w:rsidP="00597F05">
      <w:pPr>
        <w:pStyle w:val="ListParagraph"/>
        <w:widowControl/>
        <w:rPr>
          <w:szCs w:val="22"/>
        </w:rPr>
      </w:pPr>
    </w:p>
    <w:p w:rsidR="00597F05" w:rsidRPr="002557B1" w:rsidRDefault="00982797" w:rsidP="005D281E">
      <w:pPr>
        <w:pStyle w:val="ListParagraph"/>
        <w:widowControl/>
        <w:numPr>
          <w:ilvl w:val="1"/>
          <w:numId w:val="10"/>
        </w:numPr>
        <w:rPr>
          <w:szCs w:val="22"/>
        </w:rPr>
      </w:pPr>
      <w:r w:rsidRPr="002557B1">
        <w:t>Pulmonary endarterectomy is a potentially curative surgical intervention for CTEPH. Riociguat is indicated for CTEPH patients who cannot receive pulmonary endarterectomy (inoperable) or those who have persistent CTEPH after surgery. The proposed listing also requests that patients must have failed to respond to 6 or more weeks of appropriate vasodilator treatment unless they are intolerant or a contraindication to such treatment exists.</w:t>
      </w:r>
    </w:p>
    <w:p w:rsidR="00597F05" w:rsidRDefault="00597F05" w:rsidP="00597F05">
      <w:pPr>
        <w:pStyle w:val="Header"/>
        <w:rPr>
          <w:szCs w:val="22"/>
        </w:rPr>
      </w:pPr>
    </w:p>
    <w:p w:rsidR="002557B1" w:rsidRPr="004638FF" w:rsidRDefault="002557B1" w:rsidP="00E4041D">
      <w:pPr>
        <w:ind w:firstLine="720"/>
        <w:rPr>
          <w:i/>
          <w:szCs w:val="22"/>
        </w:rPr>
      </w:pPr>
      <w:r w:rsidRPr="00E07E0B">
        <w:rPr>
          <w:i/>
          <w:szCs w:val="22"/>
        </w:rPr>
        <w:t>For more detail on PBAC’s view, see section 7 “PBAC outcome”</w:t>
      </w:r>
    </w:p>
    <w:p w:rsidR="002557B1" w:rsidRPr="002557B1" w:rsidRDefault="002557B1" w:rsidP="00597F05">
      <w:pPr>
        <w:pStyle w:val="Header"/>
        <w:rPr>
          <w:szCs w:val="22"/>
        </w:rPr>
      </w:pPr>
    </w:p>
    <w:p w:rsidR="00CF23BA" w:rsidRPr="002557B1" w:rsidRDefault="00CF23BA" w:rsidP="00597F05">
      <w:pPr>
        <w:pStyle w:val="Header"/>
        <w:rPr>
          <w:szCs w:val="22"/>
        </w:rPr>
      </w:pPr>
    </w:p>
    <w:p w:rsidR="00597F05" w:rsidRPr="002557B1" w:rsidRDefault="00597F05" w:rsidP="00597F05">
      <w:pPr>
        <w:pStyle w:val="Header"/>
        <w:widowControl/>
        <w:numPr>
          <w:ilvl w:val="0"/>
          <w:numId w:val="10"/>
        </w:numPr>
        <w:tabs>
          <w:tab w:val="clear" w:pos="4513"/>
          <w:tab w:val="clear" w:pos="9026"/>
        </w:tabs>
        <w:rPr>
          <w:b/>
          <w:szCs w:val="22"/>
        </w:rPr>
      </w:pPr>
      <w:r w:rsidRPr="002557B1">
        <w:rPr>
          <w:b/>
          <w:szCs w:val="22"/>
        </w:rPr>
        <w:t>Comparator</w:t>
      </w:r>
    </w:p>
    <w:p w:rsidR="00597F05" w:rsidRPr="002557B1" w:rsidRDefault="00597F05" w:rsidP="00597F05"/>
    <w:p w:rsidR="00597F05" w:rsidRPr="002557B1" w:rsidRDefault="00597F05" w:rsidP="00597F05">
      <w:pPr>
        <w:pStyle w:val="ListParagraph"/>
        <w:widowControl/>
        <w:numPr>
          <w:ilvl w:val="1"/>
          <w:numId w:val="10"/>
        </w:numPr>
        <w:rPr>
          <w:szCs w:val="22"/>
        </w:rPr>
      </w:pPr>
      <w:r w:rsidRPr="002557B1">
        <w:t xml:space="preserve">The submission nominates </w:t>
      </w:r>
      <w:r w:rsidR="00501311" w:rsidRPr="002557B1">
        <w:t xml:space="preserve">placebo </w:t>
      </w:r>
      <w:r w:rsidRPr="002557B1">
        <w:t xml:space="preserve">as the main comparator. </w:t>
      </w:r>
      <w:r w:rsidR="00CA5696" w:rsidRPr="002557B1">
        <w:t>T</w:t>
      </w:r>
      <w:r w:rsidR="007128A2" w:rsidRPr="002557B1">
        <w:t>he ESC considered this is</w:t>
      </w:r>
      <w:r w:rsidRPr="002557B1">
        <w:t xml:space="preserve"> appropriate</w:t>
      </w:r>
      <w:r w:rsidR="007128A2" w:rsidRPr="002557B1">
        <w:t xml:space="preserve">, </w:t>
      </w:r>
      <w:r w:rsidR="00381F03" w:rsidRPr="002557B1">
        <w:t>but noted, in clinical practice, that other PAH treatments may be used off-</w:t>
      </w:r>
      <w:r w:rsidR="00C462C7" w:rsidRPr="002557B1">
        <w:t>label.</w:t>
      </w:r>
      <w:r w:rsidRPr="002557B1">
        <w:t xml:space="preserve">  </w:t>
      </w:r>
    </w:p>
    <w:p w:rsidR="00597F05" w:rsidRDefault="00597F05" w:rsidP="00597F05">
      <w:pPr>
        <w:rPr>
          <w:szCs w:val="22"/>
        </w:rPr>
      </w:pPr>
    </w:p>
    <w:p w:rsidR="002557B1" w:rsidRPr="004638FF" w:rsidRDefault="002557B1" w:rsidP="00E4041D">
      <w:pPr>
        <w:ind w:firstLine="720"/>
        <w:rPr>
          <w:i/>
          <w:szCs w:val="22"/>
        </w:rPr>
      </w:pPr>
      <w:r w:rsidRPr="00E07E0B">
        <w:rPr>
          <w:i/>
          <w:szCs w:val="22"/>
        </w:rPr>
        <w:t>For more detail on PBAC’s view, see section 7 “PBAC outcome”</w:t>
      </w:r>
    </w:p>
    <w:p w:rsidR="002557B1" w:rsidRPr="002557B1" w:rsidRDefault="002557B1" w:rsidP="00597F05">
      <w:pPr>
        <w:rPr>
          <w:szCs w:val="22"/>
        </w:rPr>
      </w:pPr>
    </w:p>
    <w:p w:rsidR="00CF23BA" w:rsidRPr="00190D0C" w:rsidRDefault="00CF23BA" w:rsidP="00597F05">
      <w:pPr>
        <w:rPr>
          <w:szCs w:val="22"/>
        </w:rPr>
      </w:pPr>
    </w:p>
    <w:p w:rsidR="00597F05" w:rsidRPr="00190D0C" w:rsidRDefault="00597F05" w:rsidP="00597F05">
      <w:pPr>
        <w:pStyle w:val="PBACHeading1"/>
      </w:pPr>
      <w:bookmarkStart w:id="10" w:name="_Toc398550896"/>
      <w:r w:rsidRPr="00190D0C">
        <w:t>Consideration of the evidence</w:t>
      </w:r>
      <w:bookmarkEnd w:id="10"/>
    </w:p>
    <w:p w:rsidR="00597F05" w:rsidRDefault="00597F05" w:rsidP="00597F05"/>
    <w:p w:rsidR="002557B1" w:rsidRDefault="002557B1" w:rsidP="002662EC">
      <w:pPr>
        <w:pStyle w:val="BodyText"/>
        <w:rPr>
          <w:b/>
        </w:rPr>
      </w:pPr>
      <w:r w:rsidRPr="002662EC">
        <w:rPr>
          <w:b/>
        </w:rPr>
        <w:t>Sponsor hearing</w:t>
      </w:r>
    </w:p>
    <w:p w:rsidR="002662EC" w:rsidRPr="002662EC" w:rsidRDefault="002662EC" w:rsidP="002662EC">
      <w:pPr>
        <w:pStyle w:val="BodyText"/>
        <w:rPr>
          <w:b/>
        </w:rPr>
      </w:pPr>
    </w:p>
    <w:p w:rsidR="002557B1" w:rsidRPr="00EE1A98" w:rsidRDefault="002557B1" w:rsidP="002557B1">
      <w:pPr>
        <w:pStyle w:val="ListParagraph"/>
        <w:widowControl/>
        <w:numPr>
          <w:ilvl w:val="1"/>
          <w:numId w:val="10"/>
        </w:numPr>
        <w:rPr>
          <w:bCs/>
          <w:szCs w:val="22"/>
        </w:rPr>
      </w:pPr>
      <w:r w:rsidRPr="00EE1A98">
        <w:rPr>
          <w:bCs/>
          <w:szCs w:val="22"/>
        </w:rPr>
        <w:t xml:space="preserve">The sponsor requested a hearing for this item.  </w:t>
      </w:r>
      <w:r w:rsidR="00EE1A98" w:rsidRPr="00EE1A98">
        <w:rPr>
          <w:bCs/>
          <w:szCs w:val="22"/>
        </w:rPr>
        <w:t xml:space="preserve">The clinician </w:t>
      </w:r>
      <w:r w:rsidRPr="00EE1A98">
        <w:rPr>
          <w:bCs/>
          <w:szCs w:val="22"/>
        </w:rPr>
        <w:t>discussed</w:t>
      </w:r>
      <w:r w:rsidR="00EE1A98" w:rsidRPr="00EE1A98">
        <w:rPr>
          <w:bCs/>
          <w:szCs w:val="22"/>
        </w:rPr>
        <w:t xml:space="preserve"> the </w:t>
      </w:r>
      <w:r w:rsidR="00A879AA">
        <w:rPr>
          <w:bCs/>
          <w:szCs w:val="22"/>
        </w:rPr>
        <w:t xml:space="preserve">issue </w:t>
      </w:r>
      <w:r w:rsidR="00EE1A98" w:rsidRPr="00EE1A98">
        <w:rPr>
          <w:bCs/>
          <w:szCs w:val="22"/>
        </w:rPr>
        <w:t xml:space="preserve">of misdiagnosing CTEPH with </w:t>
      </w:r>
      <w:proofErr w:type="gramStart"/>
      <w:r w:rsidR="00EE1A98" w:rsidRPr="00EE1A98">
        <w:rPr>
          <w:bCs/>
          <w:szCs w:val="22"/>
        </w:rPr>
        <w:t>PAH</w:t>
      </w:r>
      <w:r w:rsidR="00A879AA">
        <w:rPr>
          <w:bCs/>
          <w:szCs w:val="22"/>
        </w:rPr>
        <w:t>,</w:t>
      </w:r>
      <w:proofErr w:type="gramEnd"/>
      <w:r w:rsidR="00EE1A98" w:rsidRPr="00EE1A98">
        <w:rPr>
          <w:bCs/>
          <w:szCs w:val="22"/>
        </w:rPr>
        <w:t xml:space="preserve"> leading to CTEPH patients potentially denied curative procedures.  The clinician also highlighted t</w:t>
      </w:r>
      <w:r w:rsidRPr="00EE1A98">
        <w:rPr>
          <w:bCs/>
          <w:szCs w:val="22"/>
        </w:rPr>
        <w:t>he natural history of the disease, how the drug would be used in practice, and addressed other matters in response</w:t>
      </w:r>
      <w:r w:rsidR="001F2C64">
        <w:rPr>
          <w:bCs/>
          <w:szCs w:val="22"/>
        </w:rPr>
        <w:t xml:space="preserve"> to the Committee’s questions.</w:t>
      </w:r>
    </w:p>
    <w:p w:rsidR="00BB0BE4" w:rsidRDefault="00BB0BE4">
      <w:pPr>
        <w:widowControl/>
        <w:jc w:val="left"/>
        <w:rPr>
          <w:b/>
          <w:bCs/>
          <w:szCs w:val="22"/>
        </w:rPr>
      </w:pPr>
      <w:r>
        <w:rPr>
          <w:b/>
          <w:bCs/>
          <w:szCs w:val="22"/>
        </w:rPr>
        <w:br w:type="page"/>
      </w:r>
    </w:p>
    <w:p w:rsidR="002557B1" w:rsidRDefault="002557B1" w:rsidP="002662EC">
      <w:pPr>
        <w:pStyle w:val="BodyText"/>
        <w:rPr>
          <w:b/>
        </w:rPr>
      </w:pPr>
      <w:r w:rsidRPr="002662EC">
        <w:rPr>
          <w:b/>
        </w:rPr>
        <w:lastRenderedPageBreak/>
        <w:t>Consumer comments</w:t>
      </w:r>
    </w:p>
    <w:p w:rsidR="002662EC" w:rsidRPr="002662EC" w:rsidRDefault="002662EC" w:rsidP="002662EC">
      <w:pPr>
        <w:pStyle w:val="BodyText"/>
        <w:rPr>
          <w:b/>
        </w:rPr>
      </w:pPr>
    </w:p>
    <w:p w:rsidR="002557B1" w:rsidRPr="007A48CA" w:rsidRDefault="002557B1" w:rsidP="002557B1">
      <w:pPr>
        <w:pStyle w:val="ListParagraph"/>
        <w:widowControl/>
        <w:numPr>
          <w:ilvl w:val="1"/>
          <w:numId w:val="10"/>
        </w:numPr>
        <w:rPr>
          <w:bCs/>
          <w:szCs w:val="22"/>
        </w:rPr>
      </w:pPr>
      <w:r w:rsidRPr="007A48CA">
        <w:rPr>
          <w:bCs/>
          <w:szCs w:val="22"/>
        </w:rPr>
        <w:t>The PBAC noted and welcomed the input from individuals (</w:t>
      </w:r>
      <w:r w:rsidR="00C82A8C" w:rsidRPr="007A48CA">
        <w:rPr>
          <w:bCs/>
          <w:szCs w:val="22"/>
        </w:rPr>
        <w:t>3)</w:t>
      </w:r>
      <w:r w:rsidRPr="007A48CA">
        <w:rPr>
          <w:bCs/>
          <w:szCs w:val="22"/>
        </w:rPr>
        <w:t xml:space="preserve"> and organisations (1) via the Consumer Comments facility on the PBS website.  The comments</w:t>
      </w:r>
      <w:r w:rsidR="00023989" w:rsidRPr="007A48CA">
        <w:rPr>
          <w:bCs/>
          <w:szCs w:val="22"/>
        </w:rPr>
        <w:t xml:space="preserve"> described </w:t>
      </w:r>
      <w:r w:rsidR="00A879AA">
        <w:rPr>
          <w:bCs/>
          <w:szCs w:val="22"/>
        </w:rPr>
        <w:t>the need for</w:t>
      </w:r>
      <w:r w:rsidR="00023989" w:rsidRPr="007A48CA">
        <w:rPr>
          <w:bCs/>
          <w:szCs w:val="22"/>
        </w:rPr>
        <w:t xml:space="preserve"> ease of accessibility as well as concern</w:t>
      </w:r>
      <w:r w:rsidR="004638FF" w:rsidRPr="007A48CA">
        <w:rPr>
          <w:bCs/>
          <w:szCs w:val="22"/>
        </w:rPr>
        <w:t>s</w:t>
      </w:r>
      <w:r w:rsidR="00A879AA">
        <w:rPr>
          <w:bCs/>
          <w:szCs w:val="22"/>
        </w:rPr>
        <w:t xml:space="preserve"> about price of treatment</w:t>
      </w:r>
      <w:r w:rsidR="00023989" w:rsidRPr="007A48CA">
        <w:rPr>
          <w:bCs/>
          <w:szCs w:val="22"/>
        </w:rPr>
        <w:t>.</w:t>
      </w:r>
      <w:r w:rsidR="00011867" w:rsidRPr="007A48CA">
        <w:rPr>
          <w:bCs/>
          <w:szCs w:val="22"/>
        </w:rPr>
        <w:t xml:space="preserve"> </w:t>
      </w:r>
      <w:r w:rsidR="007A48CA">
        <w:rPr>
          <w:bCs/>
          <w:szCs w:val="22"/>
        </w:rPr>
        <w:t xml:space="preserve">The PBAC specifically noted the letter sent on behalf of the members of Pulmonary Hypertension </w:t>
      </w:r>
      <w:r w:rsidR="00EE1A98">
        <w:rPr>
          <w:bCs/>
          <w:szCs w:val="22"/>
        </w:rPr>
        <w:t xml:space="preserve">Association </w:t>
      </w:r>
      <w:r w:rsidR="007A48CA">
        <w:rPr>
          <w:bCs/>
          <w:szCs w:val="22"/>
        </w:rPr>
        <w:t>Australia advising that the inclusion of riociguat for CTEPH would enable</w:t>
      </w:r>
      <w:r w:rsidR="00EE1A98">
        <w:rPr>
          <w:bCs/>
          <w:szCs w:val="22"/>
        </w:rPr>
        <w:t xml:space="preserve"> greater access </w:t>
      </w:r>
      <w:r w:rsidR="00A879AA">
        <w:rPr>
          <w:bCs/>
          <w:szCs w:val="22"/>
        </w:rPr>
        <w:t>for</w:t>
      </w:r>
      <w:r w:rsidR="00EE1A98">
        <w:rPr>
          <w:bCs/>
          <w:szCs w:val="22"/>
        </w:rPr>
        <w:t xml:space="preserve"> patients</w:t>
      </w:r>
      <w:r w:rsidR="00A879AA">
        <w:rPr>
          <w:bCs/>
          <w:szCs w:val="22"/>
        </w:rPr>
        <w:t>,</w:t>
      </w:r>
      <w:r w:rsidR="00EE1A98">
        <w:rPr>
          <w:bCs/>
          <w:szCs w:val="22"/>
        </w:rPr>
        <w:t xml:space="preserve"> reducing overall impact on individuals, families and the community.</w:t>
      </w:r>
    </w:p>
    <w:p w:rsidR="00023989" w:rsidRPr="007A48CA" w:rsidRDefault="00023989" w:rsidP="00023989">
      <w:pPr>
        <w:pStyle w:val="ListParagraph"/>
        <w:widowControl/>
        <w:rPr>
          <w:bCs/>
          <w:szCs w:val="22"/>
        </w:rPr>
      </w:pPr>
    </w:p>
    <w:p w:rsidR="00597F05" w:rsidRPr="002662EC" w:rsidRDefault="00597F05" w:rsidP="002662EC">
      <w:pPr>
        <w:pStyle w:val="BodyText"/>
        <w:rPr>
          <w:b/>
        </w:rPr>
      </w:pPr>
      <w:bookmarkStart w:id="11" w:name="_Toc398550897"/>
      <w:r w:rsidRPr="002662EC">
        <w:rPr>
          <w:b/>
        </w:rPr>
        <w:t>Clinical trials</w:t>
      </w:r>
      <w:bookmarkEnd w:id="11"/>
    </w:p>
    <w:p w:rsidR="00597F05" w:rsidRPr="00190D0C" w:rsidRDefault="00597F05" w:rsidP="00597F05">
      <w:pPr>
        <w:rPr>
          <w:szCs w:val="22"/>
        </w:rPr>
      </w:pPr>
    </w:p>
    <w:p w:rsidR="00597F05" w:rsidRPr="00190D0C" w:rsidRDefault="00597F05" w:rsidP="00597F05">
      <w:pPr>
        <w:pStyle w:val="ListParagraph"/>
        <w:widowControl/>
        <w:numPr>
          <w:ilvl w:val="1"/>
          <w:numId w:val="10"/>
        </w:numPr>
        <w:rPr>
          <w:szCs w:val="22"/>
        </w:rPr>
      </w:pPr>
      <w:r w:rsidRPr="00190D0C">
        <w:t xml:space="preserve">The submission is based on one head-to-head </w:t>
      </w:r>
      <w:r w:rsidR="00982797" w:rsidRPr="00190D0C">
        <w:t xml:space="preserve">randomised </w:t>
      </w:r>
      <w:r w:rsidRPr="00190D0C">
        <w:t xml:space="preserve">trial (CHEST-1) comparing riociguat to placebo (n=261) and one supplementary long term extension study (CHEST-2) (n=182) to CHEST-1. </w:t>
      </w:r>
      <w:r w:rsidR="00757589" w:rsidRPr="00190D0C">
        <w:t xml:space="preserve">Both arms have background treatment of best supportive care. </w:t>
      </w:r>
      <w:r w:rsidRPr="00190D0C">
        <w:t xml:space="preserve">CHEST-2 </w:t>
      </w:r>
      <w:r w:rsidR="005272A1" w:rsidRPr="00190D0C">
        <w:t>was</w:t>
      </w:r>
      <w:r w:rsidRPr="00190D0C">
        <w:t xml:space="preserve"> a single arm study </w:t>
      </w:r>
      <w:r w:rsidR="00982797" w:rsidRPr="00190D0C">
        <w:t xml:space="preserve">that </w:t>
      </w:r>
      <w:r w:rsidRPr="00190D0C">
        <w:t>assess</w:t>
      </w:r>
      <w:r w:rsidR="00982797" w:rsidRPr="00190D0C">
        <w:t>es</w:t>
      </w:r>
      <w:r w:rsidRPr="00190D0C">
        <w:t xml:space="preserve"> the long-term safety/tolerability of riociguat and provides limited evidence of comparative efficacy versus placebo</w:t>
      </w:r>
      <w:r w:rsidR="00501311" w:rsidRPr="00190D0C">
        <w:t xml:space="preserve">. </w:t>
      </w:r>
    </w:p>
    <w:p w:rsidR="00597F05" w:rsidRPr="00190D0C" w:rsidRDefault="00597F05" w:rsidP="00597F05">
      <w:pPr>
        <w:widowControl/>
        <w:rPr>
          <w:szCs w:val="22"/>
        </w:rPr>
      </w:pPr>
    </w:p>
    <w:p w:rsidR="00597F05" w:rsidRPr="00190D0C" w:rsidRDefault="00597F05" w:rsidP="00597F05">
      <w:pPr>
        <w:pStyle w:val="ListParagraph"/>
        <w:widowControl/>
        <w:numPr>
          <w:ilvl w:val="1"/>
          <w:numId w:val="10"/>
        </w:numPr>
        <w:rPr>
          <w:szCs w:val="22"/>
        </w:rPr>
      </w:pPr>
      <w:r w:rsidRPr="00190D0C">
        <w:rPr>
          <w:szCs w:val="22"/>
        </w:rPr>
        <w:t xml:space="preserve">Details of the CHEST-1 trial </w:t>
      </w:r>
      <w:r w:rsidR="00982797" w:rsidRPr="00190D0C">
        <w:rPr>
          <w:szCs w:val="22"/>
        </w:rPr>
        <w:t xml:space="preserve">are provided in the </w:t>
      </w:r>
      <w:r w:rsidR="00F449D3">
        <w:rPr>
          <w:szCs w:val="22"/>
        </w:rPr>
        <w:t>following table</w:t>
      </w:r>
      <w:r w:rsidRPr="00190D0C">
        <w:rPr>
          <w:szCs w:val="22"/>
        </w:rPr>
        <w:t xml:space="preserve">.  </w:t>
      </w:r>
    </w:p>
    <w:p w:rsidR="00597F05" w:rsidRPr="00190D0C" w:rsidRDefault="00597F05" w:rsidP="00597F05">
      <w:pPr>
        <w:pStyle w:val="ListParagraph"/>
        <w:rPr>
          <w:szCs w:val="22"/>
        </w:rPr>
      </w:pPr>
    </w:p>
    <w:p w:rsidR="00597F05" w:rsidRPr="00190D0C" w:rsidRDefault="00597F05" w:rsidP="00597F05">
      <w:pPr>
        <w:ind w:firstLine="720"/>
        <w:rPr>
          <w:rStyle w:val="CommentReference"/>
        </w:rPr>
      </w:pPr>
      <w:r w:rsidRPr="00190D0C">
        <w:rPr>
          <w:rStyle w:val="CommentReference"/>
        </w:rPr>
        <w:t>Trial and associated reports presented in the submission</w:t>
      </w:r>
    </w:p>
    <w:tbl>
      <w:tblPr>
        <w:tblW w:w="4576"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3"/>
        <w:gridCol w:w="5213"/>
        <w:gridCol w:w="2136"/>
      </w:tblGrid>
      <w:tr w:rsidR="00597F05" w:rsidRPr="00190D0C" w:rsidTr="00780AFF">
        <w:tc>
          <w:tcPr>
            <w:tcW w:w="579" w:type="pct"/>
          </w:tcPr>
          <w:p w:rsidR="00597F05" w:rsidRPr="00190D0C" w:rsidRDefault="00597F05" w:rsidP="0020323A">
            <w:pPr>
              <w:jc w:val="left"/>
              <w:rPr>
                <w:rFonts w:ascii="Arial Narrow" w:hAnsi="Arial Narrow"/>
                <w:b/>
                <w:sz w:val="20"/>
              </w:rPr>
            </w:pPr>
            <w:r w:rsidRPr="00190D0C">
              <w:rPr>
                <w:rFonts w:ascii="Arial Narrow" w:hAnsi="Arial Narrow"/>
                <w:b/>
                <w:sz w:val="20"/>
              </w:rPr>
              <w:t>Trial ID</w:t>
            </w:r>
          </w:p>
        </w:tc>
        <w:tc>
          <w:tcPr>
            <w:tcW w:w="3136" w:type="pct"/>
          </w:tcPr>
          <w:p w:rsidR="00597F05" w:rsidRPr="00190D0C" w:rsidRDefault="00597F05" w:rsidP="0020323A">
            <w:pPr>
              <w:jc w:val="center"/>
              <w:rPr>
                <w:rFonts w:ascii="Arial Narrow" w:hAnsi="Arial Narrow"/>
                <w:b/>
                <w:sz w:val="20"/>
              </w:rPr>
            </w:pPr>
            <w:r w:rsidRPr="00190D0C">
              <w:rPr>
                <w:rFonts w:ascii="Arial Narrow" w:hAnsi="Arial Narrow"/>
                <w:b/>
                <w:sz w:val="20"/>
              </w:rPr>
              <w:t>Protocol title/ Publication title</w:t>
            </w:r>
          </w:p>
        </w:tc>
        <w:tc>
          <w:tcPr>
            <w:tcW w:w="1285" w:type="pct"/>
          </w:tcPr>
          <w:p w:rsidR="00597F05" w:rsidRPr="00190D0C" w:rsidRDefault="00597F05" w:rsidP="0020323A">
            <w:pPr>
              <w:jc w:val="center"/>
              <w:rPr>
                <w:rFonts w:ascii="Arial Narrow" w:hAnsi="Arial Narrow"/>
                <w:b/>
                <w:sz w:val="20"/>
              </w:rPr>
            </w:pPr>
            <w:r w:rsidRPr="00190D0C">
              <w:rPr>
                <w:rFonts w:ascii="Arial Narrow" w:hAnsi="Arial Narrow"/>
                <w:b/>
                <w:sz w:val="20"/>
              </w:rPr>
              <w:t>Publication citation</w:t>
            </w:r>
          </w:p>
        </w:tc>
      </w:tr>
      <w:tr w:rsidR="00597F05" w:rsidRPr="00190D0C" w:rsidTr="0020323A">
        <w:tc>
          <w:tcPr>
            <w:tcW w:w="5000" w:type="pct"/>
            <w:gridSpan w:val="3"/>
          </w:tcPr>
          <w:p w:rsidR="00597F05" w:rsidRPr="00190D0C" w:rsidRDefault="00597F05" w:rsidP="0020323A">
            <w:pPr>
              <w:jc w:val="left"/>
              <w:rPr>
                <w:rFonts w:ascii="Arial Narrow" w:hAnsi="Arial Narrow"/>
                <w:b/>
                <w:sz w:val="20"/>
              </w:rPr>
            </w:pPr>
            <w:r w:rsidRPr="00190D0C">
              <w:rPr>
                <w:rFonts w:ascii="Arial Narrow" w:hAnsi="Arial Narrow"/>
                <w:b/>
                <w:sz w:val="20"/>
              </w:rPr>
              <w:t>Direct randomised trial</w:t>
            </w:r>
          </w:p>
        </w:tc>
      </w:tr>
      <w:tr w:rsidR="00597F05" w:rsidRPr="00190D0C" w:rsidTr="00780AFF">
        <w:tc>
          <w:tcPr>
            <w:tcW w:w="579" w:type="pct"/>
            <w:tcBorders>
              <w:bottom w:val="nil"/>
            </w:tcBorders>
          </w:tcPr>
          <w:p w:rsidR="00597F05" w:rsidRPr="00190D0C" w:rsidRDefault="00597F05" w:rsidP="0020323A">
            <w:pPr>
              <w:jc w:val="left"/>
              <w:rPr>
                <w:rFonts w:ascii="Arial Narrow" w:hAnsi="Arial Narrow"/>
                <w:sz w:val="20"/>
              </w:rPr>
            </w:pPr>
            <w:r w:rsidRPr="00190D0C">
              <w:rPr>
                <w:rFonts w:ascii="Arial Narrow" w:hAnsi="Arial Narrow"/>
                <w:sz w:val="20"/>
              </w:rPr>
              <w:t>CHEST-1</w:t>
            </w:r>
          </w:p>
        </w:tc>
        <w:tc>
          <w:tcPr>
            <w:tcW w:w="3136" w:type="pct"/>
            <w:tcBorders>
              <w:bottom w:val="nil"/>
            </w:tcBorders>
          </w:tcPr>
          <w:p w:rsidR="00597F05" w:rsidRPr="00190D0C" w:rsidRDefault="00597F05" w:rsidP="0020323A">
            <w:pPr>
              <w:jc w:val="left"/>
              <w:rPr>
                <w:rFonts w:ascii="Arial Narrow" w:hAnsi="Arial Narrow"/>
                <w:sz w:val="20"/>
              </w:rPr>
            </w:pPr>
            <w:r w:rsidRPr="00190D0C">
              <w:rPr>
                <w:rFonts w:ascii="Arial Narrow" w:hAnsi="Arial Narrow"/>
                <w:b/>
                <w:sz w:val="20"/>
              </w:rPr>
              <w:t>Clinical Study Report</w:t>
            </w:r>
            <w:r w:rsidRPr="00190D0C">
              <w:rPr>
                <w:rFonts w:ascii="Arial Narrow" w:hAnsi="Arial Narrow"/>
                <w:sz w:val="20"/>
              </w:rPr>
              <w:t xml:space="preserve"> Randomised, double-blind, placebo-controlled, multicentre, multi-national study to evaluate the efficacy and safety of oral BAY 63-2521 (1 mg, 1.5 mg, 2 mg or 2.5 mg </w:t>
            </w:r>
            <w:proofErr w:type="spellStart"/>
            <w:r w:rsidRPr="00190D0C">
              <w:rPr>
                <w:rFonts w:ascii="Arial Narrow" w:hAnsi="Arial Narrow"/>
                <w:sz w:val="20"/>
              </w:rPr>
              <w:t>tid</w:t>
            </w:r>
            <w:proofErr w:type="spellEnd"/>
            <w:r w:rsidRPr="00190D0C">
              <w:rPr>
                <w:rFonts w:ascii="Arial Narrow" w:hAnsi="Arial Narrow"/>
                <w:sz w:val="20"/>
              </w:rPr>
              <w:t>) in patients with chronic thromboembolic pulmonary hypertension (CTEPH).</w:t>
            </w:r>
          </w:p>
          <w:p w:rsidR="00597F05" w:rsidRPr="00190D0C" w:rsidRDefault="00597F05" w:rsidP="0020323A">
            <w:pPr>
              <w:jc w:val="left"/>
              <w:rPr>
                <w:rFonts w:ascii="Arial Narrow" w:hAnsi="Arial Narrow"/>
                <w:b/>
                <w:sz w:val="20"/>
              </w:rPr>
            </w:pPr>
          </w:p>
        </w:tc>
        <w:tc>
          <w:tcPr>
            <w:tcW w:w="1285" w:type="pct"/>
            <w:tcBorders>
              <w:bottom w:val="nil"/>
            </w:tcBorders>
          </w:tcPr>
          <w:p w:rsidR="00597F05" w:rsidRPr="00190D0C" w:rsidRDefault="00597F05" w:rsidP="0020323A">
            <w:pPr>
              <w:jc w:val="left"/>
              <w:rPr>
                <w:rFonts w:ascii="Arial Narrow" w:hAnsi="Arial Narrow"/>
                <w:sz w:val="20"/>
              </w:rPr>
            </w:pPr>
            <w:r w:rsidRPr="00190D0C">
              <w:rPr>
                <w:rFonts w:ascii="Arial Narrow" w:hAnsi="Arial Narrow"/>
                <w:sz w:val="20"/>
              </w:rPr>
              <w:t>30</w:t>
            </w:r>
            <w:r w:rsidRPr="00190D0C">
              <w:rPr>
                <w:rFonts w:ascii="Arial Narrow" w:hAnsi="Arial Narrow"/>
                <w:sz w:val="20"/>
                <w:vertAlign w:val="superscript"/>
              </w:rPr>
              <w:t>th</w:t>
            </w:r>
            <w:r w:rsidRPr="00190D0C">
              <w:rPr>
                <w:rFonts w:ascii="Arial Narrow" w:hAnsi="Arial Narrow"/>
                <w:sz w:val="20"/>
              </w:rPr>
              <w:t xml:space="preserve"> Oct 2012</w:t>
            </w:r>
          </w:p>
          <w:p w:rsidR="00597F05" w:rsidRPr="00190D0C" w:rsidRDefault="00597F05" w:rsidP="0020323A">
            <w:pPr>
              <w:jc w:val="left"/>
              <w:rPr>
                <w:rFonts w:ascii="Arial Narrow" w:hAnsi="Arial Narrow"/>
                <w:b/>
                <w:sz w:val="20"/>
              </w:rPr>
            </w:pPr>
          </w:p>
        </w:tc>
      </w:tr>
      <w:tr w:rsidR="00597F05" w:rsidRPr="00190D0C" w:rsidTr="00780AFF">
        <w:tc>
          <w:tcPr>
            <w:tcW w:w="579" w:type="pct"/>
            <w:tcBorders>
              <w:bottom w:val="nil"/>
            </w:tcBorders>
          </w:tcPr>
          <w:p w:rsidR="00597F05" w:rsidRPr="00190D0C" w:rsidRDefault="00597F05" w:rsidP="0020323A">
            <w:pPr>
              <w:jc w:val="left"/>
              <w:rPr>
                <w:rFonts w:ascii="Arial Narrow" w:hAnsi="Arial Narrow"/>
                <w:sz w:val="20"/>
              </w:rPr>
            </w:pPr>
          </w:p>
        </w:tc>
        <w:tc>
          <w:tcPr>
            <w:tcW w:w="3136" w:type="pct"/>
            <w:tcBorders>
              <w:bottom w:val="nil"/>
            </w:tcBorders>
          </w:tcPr>
          <w:p w:rsidR="00597F05" w:rsidRPr="00190D0C" w:rsidRDefault="00597F05" w:rsidP="0020323A">
            <w:pPr>
              <w:jc w:val="left"/>
              <w:rPr>
                <w:rFonts w:ascii="Arial Narrow" w:hAnsi="Arial Narrow"/>
                <w:b/>
                <w:sz w:val="20"/>
              </w:rPr>
            </w:pPr>
            <w:r w:rsidRPr="00190D0C">
              <w:rPr>
                <w:rFonts w:ascii="Arial Narrow" w:hAnsi="Arial Narrow"/>
                <w:b/>
                <w:sz w:val="20"/>
              </w:rPr>
              <w:t>Publications</w:t>
            </w:r>
          </w:p>
        </w:tc>
        <w:tc>
          <w:tcPr>
            <w:tcW w:w="1285" w:type="pct"/>
            <w:tcBorders>
              <w:bottom w:val="nil"/>
            </w:tcBorders>
          </w:tcPr>
          <w:p w:rsidR="00597F05" w:rsidRPr="00190D0C" w:rsidRDefault="00597F05" w:rsidP="0020323A">
            <w:pPr>
              <w:jc w:val="left"/>
              <w:rPr>
                <w:rFonts w:ascii="Arial Narrow" w:hAnsi="Arial Narrow"/>
                <w:sz w:val="20"/>
              </w:rPr>
            </w:pPr>
          </w:p>
        </w:tc>
      </w:tr>
      <w:tr w:rsidR="00597F05" w:rsidRPr="00190D0C" w:rsidTr="00780AFF">
        <w:tc>
          <w:tcPr>
            <w:tcW w:w="579" w:type="pct"/>
            <w:tcBorders>
              <w:top w:val="nil"/>
              <w:left w:val="single" w:sz="4" w:space="0" w:color="auto"/>
              <w:bottom w:val="nil"/>
              <w:right w:val="single" w:sz="4" w:space="0" w:color="auto"/>
            </w:tcBorders>
          </w:tcPr>
          <w:p w:rsidR="00597F05" w:rsidRPr="00190D0C" w:rsidRDefault="00597F05" w:rsidP="0020323A">
            <w:pPr>
              <w:jc w:val="left"/>
              <w:rPr>
                <w:rFonts w:ascii="Arial Narrow" w:hAnsi="Arial Narrow"/>
                <w:sz w:val="20"/>
              </w:rPr>
            </w:pPr>
          </w:p>
        </w:tc>
        <w:tc>
          <w:tcPr>
            <w:tcW w:w="3136" w:type="pct"/>
            <w:tcBorders>
              <w:top w:val="nil"/>
              <w:left w:val="single" w:sz="4" w:space="0" w:color="auto"/>
              <w:bottom w:val="nil"/>
              <w:right w:val="single" w:sz="4" w:space="0" w:color="auto"/>
            </w:tcBorders>
          </w:tcPr>
          <w:p w:rsidR="00597F05" w:rsidRPr="00190D0C" w:rsidRDefault="00597F05" w:rsidP="0020323A">
            <w:pPr>
              <w:jc w:val="left"/>
              <w:rPr>
                <w:rFonts w:ascii="Arial Narrow" w:hAnsi="Arial Narrow"/>
                <w:sz w:val="20"/>
              </w:rPr>
            </w:pPr>
            <w:proofErr w:type="spellStart"/>
            <w:r w:rsidRPr="00190D0C">
              <w:rPr>
                <w:rFonts w:ascii="Arial Narrow" w:hAnsi="Arial Narrow"/>
                <w:sz w:val="20"/>
              </w:rPr>
              <w:t>Ghofrani</w:t>
            </w:r>
            <w:proofErr w:type="spellEnd"/>
            <w:r w:rsidRPr="00190D0C">
              <w:rPr>
                <w:rFonts w:ascii="Arial Narrow" w:hAnsi="Arial Narrow"/>
                <w:sz w:val="20"/>
              </w:rPr>
              <w:t xml:space="preserve"> HA, </w:t>
            </w:r>
            <w:proofErr w:type="spellStart"/>
            <w:r w:rsidRPr="00190D0C">
              <w:rPr>
                <w:rFonts w:ascii="Arial Narrow" w:hAnsi="Arial Narrow"/>
                <w:sz w:val="20"/>
              </w:rPr>
              <w:t>D'Armini</w:t>
            </w:r>
            <w:proofErr w:type="spellEnd"/>
            <w:r w:rsidRPr="00190D0C">
              <w:rPr>
                <w:rFonts w:ascii="Arial Narrow" w:hAnsi="Arial Narrow"/>
                <w:sz w:val="20"/>
              </w:rPr>
              <w:t xml:space="preserve"> AM, </w:t>
            </w:r>
            <w:proofErr w:type="spellStart"/>
            <w:r w:rsidRPr="00190D0C">
              <w:rPr>
                <w:rFonts w:ascii="Arial Narrow" w:hAnsi="Arial Narrow"/>
                <w:sz w:val="20"/>
              </w:rPr>
              <w:t>Grimminger</w:t>
            </w:r>
            <w:proofErr w:type="spellEnd"/>
            <w:r w:rsidRPr="00190D0C">
              <w:rPr>
                <w:rFonts w:ascii="Arial Narrow" w:hAnsi="Arial Narrow"/>
                <w:sz w:val="20"/>
              </w:rPr>
              <w:t xml:space="preserve"> F, </w:t>
            </w:r>
            <w:proofErr w:type="spellStart"/>
            <w:r w:rsidRPr="00190D0C">
              <w:rPr>
                <w:rFonts w:ascii="Arial Narrow" w:hAnsi="Arial Narrow"/>
                <w:sz w:val="20"/>
              </w:rPr>
              <w:t>Hoeper</w:t>
            </w:r>
            <w:proofErr w:type="spellEnd"/>
            <w:r w:rsidRPr="00190D0C">
              <w:rPr>
                <w:rFonts w:ascii="Arial Narrow" w:hAnsi="Arial Narrow"/>
                <w:sz w:val="20"/>
              </w:rPr>
              <w:t xml:space="preserve"> MM, </w:t>
            </w:r>
            <w:proofErr w:type="spellStart"/>
            <w:r w:rsidRPr="00190D0C">
              <w:rPr>
                <w:rFonts w:ascii="Arial Narrow" w:hAnsi="Arial Narrow"/>
                <w:sz w:val="20"/>
              </w:rPr>
              <w:t>Jansa</w:t>
            </w:r>
            <w:proofErr w:type="spellEnd"/>
            <w:r w:rsidRPr="00190D0C">
              <w:rPr>
                <w:rFonts w:ascii="Arial Narrow" w:hAnsi="Arial Narrow"/>
                <w:sz w:val="20"/>
              </w:rPr>
              <w:t xml:space="preserve"> P, Kim NH, Mayer E, </w:t>
            </w:r>
            <w:proofErr w:type="spellStart"/>
            <w:r w:rsidRPr="00190D0C">
              <w:rPr>
                <w:rFonts w:ascii="Arial Narrow" w:hAnsi="Arial Narrow"/>
                <w:sz w:val="20"/>
              </w:rPr>
              <w:t>Simonneau</w:t>
            </w:r>
            <w:proofErr w:type="spellEnd"/>
            <w:r w:rsidRPr="00190D0C">
              <w:rPr>
                <w:rFonts w:ascii="Arial Narrow" w:hAnsi="Arial Narrow"/>
                <w:sz w:val="20"/>
              </w:rPr>
              <w:t xml:space="preserve"> G, Wilkins MR, Fritsch A, </w:t>
            </w:r>
            <w:proofErr w:type="spellStart"/>
            <w:r w:rsidRPr="00190D0C">
              <w:rPr>
                <w:rFonts w:ascii="Arial Narrow" w:hAnsi="Arial Narrow"/>
                <w:sz w:val="20"/>
              </w:rPr>
              <w:t>Neuser</w:t>
            </w:r>
            <w:proofErr w:type="spellEnd"/>
            <w:r w:rsidRPr="00190D0C">
              <w:rPr>
                <w:rFonts w:ascii="Arial Narrow" w:hAnsi="Arial Narrow"/>
                <w:sz w:val="20"/>
              </w:rPr>
              <w:t xml:space="preserve"> D, </w:t>
            </w:r>
            <w:proofErr w:type="spellStart"/>
            <w:r w:rsidRPr="00190D0C">
              <w:rPr>
                <w:rFonts w:ascii="Arial Narrow" w:hAnsi="Arial Narrow"/>
                <w:sz w:val="20"/>
              </w:rPr>
              <w:t>Weimann</w:t>
            </w:r>
            <w:proofErr w:type="spellEnd"/>
            <w:r w:rsidRPr="00190D0C">
              <w:rPr>
                <w:rFonts w:ascii="Arial Narrow" w:hAnsi="Arial Narrow"/>
                <w:sz w:val="20"/>
              </w:rPr>
              <w:t xml:space="preserve"> G and Wang C. Riociguat for the treatment of chronic thromboembolic pulmonary hypertension.</w:t>
            </w:r>
          </w:p>
          <w:p w:rsidR="00597F05" w:rsidRPr="00190D0C" w:rsidRDefault="00597F05" w:rsidP="0020323A">
            <w:pPr>
              <w:jc w:val="left"/>
              <w:rPr>
                <w:rFonts w:ascii="Arial Narrow" w:hAnsi="Arial Narrow"/>
                <w:sz w:val="20"/>
              </w:rPr>
            </w:pPr>
          </w:p>
        </w:tc>
        <w:tc>
          <w:tcPr>
            <w:tcW w:w="1285" w:type="pct"/>
            <w:tcBorders>
              <w:top w:val="nil"/>
              <w:left w:val="single" w:sz="4" w:space="0" w:color="auto"/>
              <w:bottom w:val="nil"/>
              <w:right w:val="single" w:sz="4" w:space="0" w:color="auto"/>
            </w:tcBorders>
          </w:tcPr>
          <w:p w:rsidR="00597F05" w:rsidRPr="00190D0C" w:rsidRDefault="00597F05" w:rsidP="0020323A">
            <w:pPr>
              <w:jc w:val="left"/>
              <w:rPr>
                <w:rFonts w:ascii="Arial Narrow" w:hAnsi="Arial Narrow"/>
                <w:sz w:val="20"/>
              </w:rPr>
            </w:pPr>
            <w:r w:rsidRPr="00190D0C">
              <w:rPr>
                <w:rFonts w:ascii="Arial Narrow" w:hAnsi="Arial Narrow"/>
                <w:sz w:val="20"/>
              </w:rPr>
              <w:t>New England Journal of Medicine 2013; 369(4):319-29</w:t>
            </w:r>
          </w:p>
          <w:p w:rsidR="00597F05" w:rsidRPr="00190D0C" w:rsidRDefault="00597F05" w:rsidP="0020323A">
            <w:pPr>
              <w:jc w:val="left"/>
              <w:rPr>
                <w:rFonts w:ascii="Arial Narrow" w:hAnsi="Arial Narrow"/>
                <w:sz w:val="20"/>
              </w:rPr>
            </w:pPr>
          </w:p>
          <w:p w:rsidR="00597F05" w:rsidRPr="00190D0C" w:rsidRDefault="00597F05" w:rsidP="0020323A">
            <w:pPr>
              <w:jc w:val="left"/>
              <w:rPr>
                <w:rFonts w:ascii="Arial Narrow" w:hAnsi="Arial Narrow"/>
                <w:sz w:val="20"/>
              </w:rPr>
            </w:pPr>
          </w:p>
        </w:tc>
      </w:tr>
      <w:tr w:rsidR="00597F05" w:rsidRPr="00190D0C" w:rsidTr="00780AFF">
        <w:tc>
          <w:tcPr>
            <w:tcW w:w="579" w:type="pct"/>
            <w:tcBorders>
              <w:top w:val="nil"/>
              <w:left w:val="single" w:sz="4" w:space="0" w:color="auto"/>
              <w:bottom w:val="single" w:sz="4" w:space="0" w:color="auto"/>
              <w:right w:val="single" w:sz="4" w:space="0" w:color="auto"/>
            </w:tcBorders>
          </w:tcPr>
          <w:p w:rsidR="00597F05" w:rsidRPr="00190D0C" w:rsidRDefault="00597F05" w:rsidP="0020323A">
            <w:pPr>
              <w:jc w:val="left"/>
              <w:rPr>
                <w:rFonts w:ascii="Arial Narrow" w:hAnsi="Arial Narrow"/>
                <w:sz w:val="20"/>
              </w:rPr>
            </w:pPr>
          </w:p>
        </w:tc>
        <w:tc>
          <w:tcPr>
            <w:tcW w:w="3136" w:type="pct"/>
            <w:tcBorders>
              <w:top w:val="nil"/>
              <w:left w:val="single" w:sz="4" w:space="0" w:color="auto"/>
              <w:bottom w:val="single" w:sz="4" w:space="0" w:color="auto"/>
              <w:right w:val="single" w:sz="4" w:space="0" w:color="auto"/>
            </w:tcBorders>
          </w:tcPr>
          <w:p w:rsidR="00597F05" w:rsidRPr="00190D0C" w:rsidRDefault="00B701A9" w:rsidP="0020323A">
            <w:pPr>
              <w:jc w:val="left"/>
              <w:rPr>
                <w:rFonts w:ascii="Arial Narrow" w:hAnsi="Arial Narrow"/>
                <w:sz w:val="20"/>
              </w:rPr>
            </w:pPr>
            <w:proofErr w:type="spellStart"/>
            <w:r w:rsidRPr="00190D0C">
              <w:rPr>
                <w:rFonts w:ascii="Arial Narrow" w:hAnsi="Arial Narrow"/>
                <w:sz w:val="20"/>
              </w:rPr>
              <w:t>Jansa</w:t>
            </w:r>
            <w:proofErr w:type="spellEnd"/>
            <w:r w:rsidRPr="00190D0C">
              <w:rPr>
                <w:rFonts w:ascii="Arial Narrow" w:hAnsi="Arial Narrow"/>
                <w:sz w:val="20"/>
              </w:rPr>
              <w:t xml:space="preserve"> P, </w:t>
            </w:r>
            <w:proofErr w:type="spellStart"/>
            <w:r w:rsidRPr="00190D0C">
              <w:rPr>
                <w:rFonts w:ascii="Arial Narrow" w:hAnsi="Arial Narrow"/>
                <w:sz w:val="20"/>
              </w:rPr>
              <w:t>Ghofrani</w:t>
            </w:r>
            <w:proofErr w:type="spellEnd"/>
            <w:r w:rsidRPr="00190D0C">
              <w:rPr>
                <w:rFonts w:ascii="Arial Narrow" w:hAnsi="Arial Narrow"/>
                <w:sz w:val="20"/>
              </w:rPr>
              <w:t xml:space="preserve"> H-A, </w:t>
            </w:r>
            <w:proofErr w:type="spellStart"/>
            <w:r w:rsidRPr="00190D0C">
              <w:rPr>
                <w:rFonts w:ascii="Arial Narrow" w:hAnsi="Arial Narrow"/>
                <w:sz w:val="20"/>
              </w:rPr>
              <w:t>Hoeper</w:t>
            </w:r>
            <w:proofErr w:type="spellEnd"/>
            <w:r w:rsidRPr="00190D0C">
              <w:rPr>
                <w:rFonts w:ascii="Arial Narrow" w:hAnsi="Arial Narrow"/>
                <w:sz w:val="20"/>
              </w:rPr>
              <w:t xml:space="preserve"> MM, Kim NH, Mayer E, </w:t>
            </w:r>
            <w:proofErr w:type="spellStart"/>
            <w:r w:rsidRPr="00190D0C">
              <w:rPr>
                <w:rFonts w:ascii="Arial Narrow" w:hAnsi="Arial Narrow"/>
                <w:sz w:val="20"/>
              </w:rPr>
              <w:t>Neurohr</w:t>
            </w:r>
            <w:proofErr w:type="spellEnd"/>
            <w:r w:rsidRPr="00190D0C">
              <w:rPr>
                <w:rFonts w:ascii="Arial Narrow" w:hAnsi="Arial Narrow"/>
                <w:sz w:val="20"/>
              </w:rPr>
              <w:t xml:space="preserve"> C, et al. </w:t>
            </w:r>
            <w:r w:rsidR="00597F05" w:rsidRPr="00190D0C">
              <w:rPr>
                <w:rFonts w:ascii="Arial Narrow" w:hAnsi="Arial Narrow"/>
                <w:sz w:val="20"/>
              </w:rPr>
              <w:t>Comparison of hemodynamic parameters in patients with inoperable and persistent/recurrent chronic thromboembolic pulmonary hypertension (CTEPH) in the Phase III CHEST-1 study.</w:t>
            </w:r>
          </w:p>
          <w:p w:rsidR="00597F05" w:rsidRPr="00190D0C" w:rsidRDefault="00597F05" w:rsidP="0020323A">
            <w:pPr>
              <w:jc w:val="left"/>
              <w:rPr>
                <w:rFonts w:ascii="Arial Narrow" w:hAnsi="Arial Narrow"/>
                <w:sz w:val="20"/>
              </w:rPr>
            </w:pPr>
          </w:p>
        </w:tc>
        <w:tc>
          <w:tcPr>
            <w:tcW w:w="1285" w:type="pct"/>
            <w:tcBorders>
              <w:top w:val="nil"/>
              <w:left w:val="single" w:sz="4" w:space="0" w:color="auto"/>
              <w:bottom w:val="single" w:sz="4" w:space="0" w:color="auto"/>
              <w:right w:val="single" w:sz="4" w:space="0" w:color="auto"/>
            </w:tcBorders>
          </w:tcPr>
          <w:p w:rsidR="00597F05" w:rsidRPr="00190D0C" w:rsidRDefault="00597F05" w:rsidP="0020323A">
            <w:pPr>
              <w:jc w:val="left"/>
              <w:rPr>
                <w:rFonts w:ascii="Arial Narrow" w:hAnsi="Arial Narrow"/>
                <w:sz w:val="20"/>
              </w:rPr>
            </w:pPr>
            <w:r w:rsidRPr="00190D0C">
              <w:rPr>
                <w:rFonts w:ascii="Arial Narrow" w:hAnsi="Arial Narrow"/>
                <w:sz w:val="20"/>
              </w:rPr>
              <w:t>European Heart Journal 2013; 34</w:t>
            </w:r>
            <w:r w:rsidR="00B701A9" w:rsidRPr="00190D0C">
              <w:rPr>
                <w:rFonts w:ascii="Arial Narrow" w:hAnsi="Arial Narrow"/>
                <w:sz w:val="20"/>
              </w:rPr>
              <w:t xml:space="preserve"> </w:t>
            </w:r>
            <w:r w:rsidR="0079209F" w:rsidRPr="00190D0C">
              <w:rPr>
                <w:rFonts w:ascii="Arial Narrow" w:hAnsi="Arial Narrow"/>
                <w:sz w:val="20"/>
              </w:rPr>
              <w:t>(</w:t>
            </w:r>
            <w:proofErr w:type="spellStart"/>
            <w:r w:rsidR="0079209F" w:rsidRPr="00190D0C">
              <w:rPr>
                <w:rFonts w:ascii="Arial Narrow" w:hAnsi="Arial Narrow"/>
                <w:sz w:val="20"/>
              </w:rPr>
              <w:t>suppl</w:t>
            </w:r>
            <w:proofErr w:type="spellEnd"/>
            <w:r w:rsidR="0079209F" w:rsidRPr="00190D0C">
              <w:rPr>
                <w:rFonts w:ascii="Arial Narrow" w:hAnsi="Arial Narrow"/>
                <w:sz w:val="20"/>
              </w:rPr>
              <w:t xml:space="preserve"> 1</w:t>
            </w:r>
            <w:r w:rsidRPr="00190D0C">
              <w:rPr>
                <w:rFonts w:ascii="Arial Narrow" w:hAnsi="Arial Narrow"/>
                <w:sz w:val="20"/>
              </w:rPr>
              <w:t>): 187</w:t>
            </w:r>
          </w:p>
        </w:tc>
      </w:tr>
      <w:tr w:rsidR="00597F05" w:rsidRPr="00190D0C" w:rsidTr="00780AFF">
        <w:tc>
          <w:tcPr>
            <w:tcW w:w="579" w:type="pct"/>
            <w:tcBorders>
              <w:top w:val="nil"/>
              <w:left w:val="single" w:sz="4" w:space="0" w:color="auto"/>
              <w:bottom w:val="nil"/>
              <w:right w:val="single" w:sz="4" w:space="0" w:color="auto"/>
            </w:tcBorders>
          </w:tcPr>
          <w:p w:rsidR="00597F05" w:rsidRPr="00190D0C" w:rsidRDefault="00597F05" w:rsidP="0020323A">
            <w:pPr>
              <w:jc w:val="left"/>
              <w:rPr>
                <w:rFonts w:ascii="Arial Narrow" w:hAnsi="Arial Narrow"/>
                <w:sz w:val="20"/>
              </w:rPr>
            </w:pPr>
          </w:p>
        </w:tc>
        <w:tc>
          <w:tcPr>
            <w:tcW w:w="3136" w:type="pct"/>
            <w:tcBorders>
              <w:top w:val="nil"/>
              <w:left w:val="single" w:sz="4" w:space="0" w:color="auto"/>
              <w:bottom w:val="nil"/>
              <w:right w:val="single" w:sz="4" w:space="0" w:color="auto"/>
            </w:tcBorders>
          </w:tcPr>
          <w:p w:rsidR="00597F05" w:rsidRPr="00190D0C" w:rsidRDefault="00597F05" w:rsidP="0020323A">
            <w:pPr>
              <w:jc w:val="left"/>
              <w:rPr>
                <w:rFonts w:ascii="Arial Narrow" w:hAnsi="Arial Narrow"/>
                <w:b/>
                <w:sz w:val="20"/>
              </w:rPr>
            </w:pPr>
            <w:r w:rsidRPr="00190D0C">
              <w:rPr>
                <w:rFonts w:ascii="Arial Narrow" w:hAnsi="Arial Narrow"/>
                <w:b/>
                <w:sz w:val="20"/>
              </w:rPr>
              <w:t>Conference Abstract</w:t>
            </w:r>
          </w:p>
        </w:tc>
        <w:tc>
          <w:tcPr>
            <w:tcW w:w="1285" w:type="pct"/>
            <w:tcBorders>
              <w:top w:val="nil"/>
              <w:left w:val="single" w:sz="4" w:space="0" w:color="auto"/>
              <w:bottom w:val="nil"/>
              <w:right w:val="single" w:sz="4" w:space="0" w:color="auto"/>
            </w:tcBorders>
          </w:tcPr>
          <w:p w:rsidR="00597F05" w:rsidRPr="00190D0C" w:rsidRDefault="00597F05" w:rsidP="0020323A">
            <w:pPr>
              <w:jc w:val="left"/>
              <w:rPr>
                <w:rFonts w:ascii="Arial Narrow" w:hAnsi="Arial Narrow"/>
                <w:sz w:val="20"/>
              </w:rPr>
            </w:pPr>
          </w:p>
        </w:tc>
      </w:tr>
      <w:tr w:rsidR="00597F05" w:rsidRPr="00190D0C" w:rsidTr="00780AFF">
        <w:tc>
          <w:tcPr>
            <w:tcW w:w="579" w:type="pct"/>
            <w:tcBorders>
              <w:top w:val="nil"/>
              <w:left w:val="single" w:sz="4" w:space="0" w:color="auto"/>
              <w:bottom w:val="nil"/>
              <w:right w:val="single" w:sz="4" w:space="0" w:color="auto"/>
            </w:tcBorders>
          </w:tcPr>
          <w:p w:rsidR="00597F05" w:rsidRPr="00190D0C" w:rsidRDefault="00597F05" w:rsidP="0020323A">
            <w:pPr>
              <w:jc w:val="left"/>
              <w:rPr>
                <w:rFonts w:ascii="Arial Narrow" w:hAnsi="Arial Narrow"/>
                <w:sz w:val="20"/>
              </w:rPr>
            </w:pPr>
          </w:p>
        </w:tc>
        <w:tc>
          <w:tcPr>
            <w:tcW w:w="3136" w:type="pct"/>
            <w:tcBorders>
              <w:top w:val="nil"/>
              <w:left w:val="single" w:sz="4" w:space="0" w:color="auto"/>
              <w:bottom w:val="nil"/>
              <w:right w:val="single" w:sz="4" w:space="0" w:color="auto"/>
            </w:tcBorders>
          </w:tcPr>
          <w:p w:rsidR="00597F05" w:rsidRPr="00190D0C" w:rsidRDefault="005A5E35" w:rsidP="0020323A">
            <w:pPr>
              <w:jc w:val="left"/>
              <w:rPr>
                <w:rFonts w:ascii="Arial Narrow" w:hAnsi="Arial Narrow"/>
                <w:sz w:val="20"/>
              </w:rPr>
            </w:pPr>
            <w:proofErr w:type="spellStart"/>
            <w:r w:rsidRPr="00190D0C">
              <w:rPr>
                <w:rFonts w:ascii="Arial Narrow" w:hAnsi="Arial Narrow"/>
                <w:sz w:val="20"/>
              </w:rPr>
              <w:t>Ghofrani</w:t>
            </w:r>
            <w:proofErr w:type="spellEnd"/>
            <w:r w:rsidRPr="00190D0C">
              <w:rPr>
                <w:rFonts w:ascii="Arial Narrow" w:hAnsi="Arial Narrow"/>
                <w:sz w:val="20"/>
              </w:rPr>
              <w:t xml:space="preserve"> HA, </w:t>
            </w:r>
            <w:proofErr w:type="spellStart"/>
            <w:r w:rsidRPr="00190D0C">
              <w:rPr>
                <w:rFonts w:ascii="Arial Narrow" w:hAnsi="Arial Narrow"/>
                <w:sz w:val="20"/>
              </w:rPr>
              <w:t>Hoeper</w:t>
            </w:r>
            <w:proofErr w:type="spellEnd"/>
            <w:r w:rsidRPr="00190D0C">
              <w:rPr>
                <w:rFonts w:ascii="Arial Narrow" w:hAnsi="Arial Narrow"/>
                <w:sz w:val="20"/>
              </w:rPr>
              <w:t xml:space="preserve"> MM, </w:t>
            </w:r>
            <w:proofErr w:type="spellStart"/>
            <w:r w:rsidRPr="00190D0C">
              <w:rPr>
                <w:rFonts w:ascii="Arial Narrow" w:hAnsi="Arial Narrow"/>
                <w:sz w:val="20"/>
              </w:rPr>
              <w:t>Halank</w:t>
            </w:r>
            <w:proofErr w:type="spellEnd"/>
            <w:r w:rsidRPr="00190D0C">
              <w:rPr>
                <w:rFonts w:ascii="Arial Narrow" w:hAnsi="Arial Narrow"/>
                <w:sz w:val="20"/>
              </w:rPr>
              <w:t xml:space="preserve"> M, Meyer FJ, </w:t>
            </w:r>
            <w:proofErr w:type="spellStart"/>
            <w:r w:rsidRPr="00190D0C">
              <w:rPr>
                <w:rFonts w:ascii="Arial Narrow" w:hAnsi="Arial Narrow"/>
                <w:sz w:val="20"/>
              </w:rPr>
              <w:t>Stahler</w:t>
            </w:r>
            <w:proofErr w:type="spellEnd"/>
            <w:r w:rsidRPr="00190D0C">
              <w:rPr>
                <w:rFonts w:ascii="Arial Narrow" w:hAnsi="Arial Narrow"/>
                <w:sz w:val="20"/>
              </w:rPr>
              <w:t xml:space="preserve"> G, Behr J, </w:t>
            </w:r>
            <w:proofErr w:type="spellStart"/>
            <w:r w:rsidRPr="00190D0C">
              <w:rPr>
                <w:rFonts w:ascii="Arial Narrow" w:hAnsi="Arial Narrow"/>
                <w:sz w:val="20"/>
              </w:rPr>
              <w:t>Ewert</w:t>
            </w:r>
            <w:proofErr w:type="spellEnd"/>
            <w:r w:rsidRPr="00190D0C">
              <w:rPr>
                <w:rFonts w:ascii="Arial Narrow" w:hAnsi="Arial Narrow"/>
                <w:sz w:val="20"/>
              </w:rPr>
              <w:t xml:space="preserve"> R, </w:t>
            </w:r>
            <w:proofErr w:type="spellStart"/>
            <w:r w:rsidRPr="00190D0C">
              <w:rPr>
                <w:rFonts w:ascii="Arial Narrow" w:hAnsi="Arial Narrow"/>
                <w:sz w:val="20"/>
              </w:rPr>
              <w:t>Weinmann</w:t>
            </w:r>
            <w:proofErr w:type="spellEnd"/>
            <w:r w:rsidRPr="00190D0C">
              <w:rPr>
                <w:rFonts w:ascii="Arial Narrow" w:hAnsi="Arial Narrow"/>
                <w:sz w:val="20"/>
              </w:rPr>
              <w:t xml:space="preserve"> G, </w:t>
            </w:r>
            <w:proofErr w:type="spellStart"/>
            <w:r w:rsidRPr="00190D0C">
              <w:rPr>
                <w:rFonts w:ascii="Arial Narrow" w:hAnsi="Arial Narrow"/>
                <w:sz w:val="20"/>
              </w:rPr>
              <w:t>Neuser</w:t>
            </w:r>
            <w:proofErr w:type="spellEnd"/>
            <w:r w:rsidRPr="00190D0C">
              <w:rPr>
                <w:rFonts w:ascii="Arial Narrow" w:hAnsi="Arial Narrow"/>
                <w:sz w:val="20"/>
              </w:rPr>
              <w:t xml:space="preserve"> D, and </w:t>
            </w:r>
            <w:proofErr w:type="spellStart"/>
            <w:r w:rsidRPr="00190D0C">
              <w:rPr>
                <w:rFonts w:ascii="Arial Narrow" w:hAnsi="Arial Narrow"/>
                <w:sz w:val="20"/>
              </w:rPr>
              <w:t>Grimminger</w:t>
            </w:r>
            <w:proofErr w:type="spellEnd"/>
            <w:r w:rsidRPr="00190D0C">
              <w:rPr>
                <w:rFonts w:ascii="Arial Narrow" w:hAnsi="Arial Narrow"/>
                <w:sz w:val="20"/>
              </w:rPr>
              <w:t xml:space="preserve"> F. Riociguat For Chronic Thromboembolic Pulmonary Hypertension And Pulmonary Arterial Hypertension: Long-Term Safety, Tolerability, And Efficacy [Abstract]</w:t>
            </w:r>
          </w:p>
          <w:p w:rsidR="00597F05" w:rsidRPr="00190D0C" w:rsidRDefault="00597F05" w:rsidP="0020323A">
            <w:pPr>
              <w:jc w:val="left"/>
              <w:rPr>
                <w:rFonts w:ascii="Arial Narrow" w:hAnsi="Arial Narrow"/>
                <w:sz w:val="20"/>
              </w:rPr>
            </w:pPr>
          </w:p>
        </w:tc>
        <w:tc>
          <w:tcPr>
            <w:tcW w:w="1285" w:type="pct"/>
            <w:tcBorders>
              <w:top w:val="nil"/>
              <w:left w:val="single" w:sz="4" w:space="0" w:color="auto"/>
              <w:bottom w:val="nil"/>
              <w:right w:val="single" w:sz="4" w:space="0" w:color="auto"/>
            </w:tcBorders>
          </w:tcPr>
          <w:p w:rsidR="00597F05" w:rsidRPr="00190D0C" w:rsidRDefault="00597F05" w:rsidP="0020323A">
            <w:pPr>
              <w:jc w:val="left"/>
              <w:rPr>
                <w:rFonts w:ascii="Arial Narrow" w:hAnsi="Arial Narrow"/>
                <w:sz w:val="20"/>
              </w:rPr>
            </w:pPr>
            <w:r w:rsidRPr="00190D0C">
              <w:rPr>
                <w:rFonts w:ascii="Arial Narrow" w:hAnsi="Arial Narrow"/>
                <w:sz w:val="20"/>
              </w:rPr>
              <w:t>American Journal of Respiratory and Critical Care Medicine 2012; 185: A2370</w:t>
            </w:r>
          </w:p>
          <w:p w:rsidR="00597F05" w:rsidRPr="00190D0C" w:rsidRDefault="00597F05" w:rsidP="0020323A">
            <w:pPr>
              <w:jc w:val="left"/>
              <w:rPr>
                <w:rFonts w:ascii="Arial Narrow" w:hAnsi="Arial Narrow"/>
                <w:sz w:val="20"/>
              </w:rPr>
            </w:pPr>
          </w:p>
        </w:tc>
      </w:tr>
      <w:tr w:rsidR="00597F05" w:rsidRPr="00190D0C" w:rsidTr="00780AFF">
        <w:tc>
          <w:tcPr>
            <w:tcW w:w="579" w:type="pct"/>
            <w:tcBorders>
              <w:top w:val="nil"/>
              <w:left w:val="single" w:sz="4" w:space="0" w:color="auto"/>
              <w:bottom w:val="nil"/>
              <w:right w:val="single" w:sz="4" w:space="0" w:color="auto"/>
            </w:tcBorders>
          </w:tcPr>
          <w:p w:rsidR="00597F05" w:rsidRPr="00190D0C" w:rsidRDefault="00597F05" w:rsidP="0020323A">
            <w:pPr>
              <w:jc w:val="left"/>
              <w:rPr>
                <w:rFonts w:ascii="Arial Narrow" w:hAnsi="Arial Narrow"/>
                <w:sz w:val="20"/>
              </w:rPr>
            </w:pPr>
          </w:p>
        </w:tc>
        <w:tc>
          <w:tcPr>
            <w:tcW w:w="3136" w:type="pct"/>
            <w:tcBorders>
              <w:top w:val="nil"/>
              <w:left w:val="single" w:sz="4" w:space="0" w:color="auto"/>
              <w:bottom w:val="nil"/>
              <w:right w:val="single" w:sz="4" w:space="0" w:color="auto"/>
            </w:tcBorders>
          </w:tcPr>
          <w:p w:rsidR="00597F05" w:rsidRPr="00190D0C" w:rsidRDefault="006523D9" w:rsidP="006523D9">
            <w:pPr>
              <w:jc w:val="left"/>
              <w:rPr>
                <w:rFonts w:ascii="Arial Narrow" w:hAnsi="Arial Narrow"/>
                <w:sz w:val="20"/>
              </w:rPr>
            </w:pPr>
            <w:r w:rsidRPr="00190D0C">
              <w:rPr>
                <w:rFonts w:ascii="Arial Narrow" w:hAnsi="Arial Narrow"/>
                <w:sz w:val="20"/>
              </w:rPr>
              <w:t xml:space="preserve">Mayer E, </w:t>
            </w:r>
            <w:proofErr w:type="spellStart"/>
            <w:r w:rsidRPr="00190D0C">
              <w:rPr>
                <w:rFonts w:ascii="Arial Narrow" w:hAnsi="Arial Narrow"/>
                <w:sz w:val="20"/>
              </w:rPr>
              <w:t>D’Armini</w:t>
            </w:r>
            <w:proofErr w:type="spellEnd"/>
            <w:r w:rsidRPr="00190D0C">
              <w:rPr>
                <w:rFonts w:ascii="Arial Narrow" w:hAnsi="Arial Narrow"/>
                <w:sz w:val="20"/>
              </w:rPr>
              <w:t xml:space="preserve"> AM, </w:t>
            </w:r>
            <w:proofErr w:type="spellStart"/>
            <w:r w:rsidRPr="00190D0C">
              <w:rPr>
                <w:rFonts w:ascii="Arial Narrow" w:hAnsi="Arial Narrow"/>
                <w:sz w:val="20"/>
              </w:rPr>
              <w:t>Ghofrani</w:t>
            </w:r>
            <w:proofErr w:type="spellEnd"/>
            <w:r w:rsidRPr="00190D0C">
              <w:rPr>
                <w:rFonts w:ascii="Arial Narrow" w:hAnsi="Arial Narrow"/>
                <w:sz w:val="20"/>
              </w:rPr>
              <w:t xml:space="preserve"> H-A, </w:t>
            </w:r>
            <w:proofErr w:type="spellStart"/>
            <w:r w:rsidRPr="00190D0C">
              <w:rPr>
                <w:rFonts w:ascii="Arial Narrow" w:hAnsi="Arial Narrow"/>
                <w:sz w:val="20"/>
              </w:rPr>
              <w:t>Grünig</w:t>
            </w:r>
            <w:proofErr w:type="spellEnd"/>
            <w:r w:rsidRPr="00190D0C">
              <w:rPr>
                <w:rFonts w:ascii="Arial Narrow" w:hAnsi="Arial Narrow"/>
                <w:sz w:val="20"/>
              </w:rPr>
              <w:t xml:space="preserve"> E, </w:t>
            </w:r>
            <w:proofErr w:type="spellStart"/>
            <w:r w:rsidRPr="00190D0C">
              <w:rPr>
                <w:rFonts w:ascii="Arial Narrow" w:hAnsi="Arial Narrow"/>
                <w:sz w:val="20"/>
              </w:rPr>
              <w:t>Jansa</w:t>
            </w:r>
            <w:proofErr w:type="spellEnd"/>
            <w:r w:rsidRPr="00190D0C">
              <w:rPr>
                <w:rFonts w:ascii="Arial Narrow" w:hAnsi="Arial Narrow"/>
                <w:sz w:val="20"/>
              </w:rPr>
              <w:t xml:space="preserve"> P, Kim NH, </w:t>
            </w:r>
            <w:proofErr w:type="spellStart"/>
            <w:r w:rsidRPr="00190D0C">
              <w:rPr>
                <w:rFonts w:ascii="Arial Narrow" w:hAnsi="Arial Narrow"/>
                <w:sz w:val="20"/>
              </w:rPr>
              <w:t>Simonneau</w:t>
            </w:r>
            <w:proofErr w:type="spellEnd"/>
            <w:r w:rsidRPr="00190D0C">
              <w:rPr>
                <w:rFonts w:ascii="Arial Narrow" w:hAnsi="Arial Narrow"/>
                <w:sz w:val="20"/>
              </w:rPr>
              <w:t xml:space="preserve"> G, </w:t>
            </w:r>
            <w:proofErr w:type="spellStart"/>
            <w:r w:rsidRPr="00190D0C">
              <w:rPr>
                <w:rFonts w:ascii="Arial Narrow" w:hAnsi="Arial Narrow"/>
                <w:sz w:val="20"/>
              </w:rPr>
              <w:t>Torbicki</w:t>
            </w:r>
            <w:proofErr w:type="spellEnd"/>
            <w:r w:rsidRPr="00190D0C">
              <w:rPr>
                <w:rFonts w:ascii="Arial Narrow" w:hAnsi="Arial Narrow"/>
                <w:sz w:val="20"/>
              </w:rPr>
              <w:t xml:space="preserve"> A, Wang C, Wilkins MR, Davie N, Fritsch A and </w:t>
            </w:r>
            <w:proofErr w:type="spellStart"/>
            <w:r w:rsidRPr="00190D0C">
              <w:rPr>
                <w:rFonts w:ascii="Arial Narrow" w:hAnsi="Arial Narrow"/>
                <w:sz w:val="20"/>
              </w:rPr>
              <w:t>Hoeper</w:t>
            </w:r>
            <w:proofErr w:type="spellEnd"/>
            <w:r w:rsidRPr="00190D0C">
              <w:rPr>
                <w:rFonts w:ascii="Arial Narrow" w:hAnsi="Arial Narrow"/>
                <w:sz w:val="20"/>
              </w:rPr>
              <w:t xml:space="preserve"> MM. </w:t>
            </w:r>
            <w:r w:rsidR="00597F05" w:rsidRPr="00190D0C">
              <w:rPr>
                <w:rFonts w:ascii="Arial Narrow" w:hAnsi="Arial Narrow"/>
                <w:sz w:val="20"/>
              </w:rPr>
              <w:t>Riociguat for the treatment of inoperable CTEPH or persistent/recurrent PH after pulmonary endarterectomy (PEA): A responder analysis from the phase III CHEST-1 study [Abstract]</w:t>
            </w:r>
          </w:p>
          <w:p w:rsidR="00597F05" w:rsidRPr="00190D0C" w:rsidRDefault="00597F05" w:rsidP="0020323A">
            <w:pPr>
              <w:jc w:val="left"/>
              <w:rPr>
                <w:rFonts w:ascii="Arial Narrow" w:hAnsi="Arial Narrow"/>
                <w:sz w:val="20"/>
              </w:rPr>
            </w:pPr>
          </w:p>
        </w:tc>
        <w:tc>
          <w:tcPr>
            <w:tcW w:w="1285" w:type="pct"/>
            <w:tcBorders>
              <w:top w:val="nil"/>
              <w:left w:val="single" w:sz="4" w:space="0" w:color="auto"/>
              <w:bottom w:val="nil"/>
              <w:right w:val="single" w:sz="4" w:space="0" w:color="auto"/>
            </w:tcBorders>
          </w:tcPr>
          <w:p w:rsidR="00597F05" w:rsidRPr="00190D0C" w:rsidRDefault="00597F05" w:rsidP="00463BED">
            <w:pPr>
              <w:jc w:val="left"/>
              <w:rPr>
                <w:rFonts w:ascii="Arial Narrow" w:hAnsi="Arial Narrow"/>
                <w:sz w:val="20"/>
              </w:rPr>
            </w:pPr>
            <w:r w:rsidRPr="00190D0C">
              <w:rPr>
                <w:rFonts w:ascii="Arial Narrow" w:hAnsi="Arial Narrow"/>
                <w:sz w:val="20"/>
              </w:rPr>
              <w:t>European Respiratory Society Annual Congress 2013; Sept.7.11, Barcelona, Spain 2013</w:t>
            </w:r>
          </w:p>
        </w:tc>
      </w:tr>
      <w:tr w:rsidR="00597F05" w:rsidRPr="00190D0C" w:rsidTr="00780AFF">
        <w:tc>
          <w:tcPr>
            <w:tcW w:w="579" w:type="pct"/>
            <w:tcBorders>
              <w:top w:val="nil"/>
              <w:left w:val="single" w:sz="4" w:space="0" w:color="auto"/>
              <w:bottom w:val="single" w:sz="4" w:space="0" w:color="auto"/>
              <w:right w:val="single" w:sz="4" w:space="0" w:color="auto"/>
            </w:tcBorders>
          </w:tcPr>
          <w:p w:rsidR="00597F05" w:rsidRPr="00190D0C" w:rsidRDefault="00597F05" w:rsidP="0020323A">
            <w:pPr>
              <w:jc w:val="left"/>
              <w:rPr>
                <w:rFonts w:ascii="Arial Narrow" w:hAnsi="Arial Narrow"/>
                <w:sz w:val="20"/>
              </w:rPr>
            </w:pPr>
          </w:p>
        </w:tc>
        <w:tc>
          <w:tcPr>
            <w:tcW w:w="3136" w:type="pct"/>
            <w:tcBorders>
              <w:top w:val="nil"/>
              <w:left w:val="single" w:sz="4" w:space="0" w:color="auto"/>
              <w:bottom w:val="single" w:sz="4" w:space="0" w:color="auto"/>
              <w:right w:val="single" w:sz="4" w:space="0" w:color="auto"/>
            </w:tcBorders>
          </w:tcPr>
          <w:p w:rsidR="00597F05" w:rsidRPr="00190D0C" w:rsidRDefault="00477944" w:rsidP="00477944">
            <w:pPr>
              <w:jc w:val="left"/>
              <w:rPr>
                <w:rFonts w:ascii="Arial Narrow" w:hAnsi="Arial Narrow"/>
                <w:sz w:val="20"/>
              </w:rPr>
            </w:pPr>
            <w:proofErr w:type="spellStart"/>
            <w:r w:rsidRPr="00190D0C">
              <w:rPr>
                <w:rFonts w:ascii="Arial Narrow" w:hAnsi="Arial Narrow"/>
                <w:sz w:val="20"/>
              </w:rPr>
              <w:t>Ghofrani</w:t>
            </w:r>
            <w:proofErr w:type="spellEnd"/>
            <w:r w:rsidRPr="00190D0C">
              <w:rPr>
                <w:rFonts w:ascii="Arial Narrow" w:hAnsi="Arial Narrow"/>
                <w:sz w:val="20"/>
              </w:rPr>
              <w:t xml:space="preserve"> HA, </w:t>
            </w:r>
            <w:proofErr w:type="spellStart"/>
            <w:r w:rsidRPr="00190D0C">
              <w:rPr>
                <w:rFonts w:ascii="Arial Narrow" w:hAnsi="Arial Narrow"/>
                <w:sz w:val="20"/>
              </w:rPr>
              <w:t>Grimminger</w:t>
            </w:r>
            <w:proofErr w:type="spellEnd"/>
            <w:r w:rsidRPr="00190D0C">
              <w:rPr>
                <w:rFonts w:ascii="Arial Narrow" w:hAnsi="Arial Narrow"/>
                <w:sz w:val="20"/>
              </w:rPr>
              <w:t xml:space="preserve"> F, </w:t>
            </w:r>
            <w:proofErr w:type="spellStart"/>
            <w:r w:rsidRPr="00190D0C">
              <w:rPr>
                <w:rFonts w:ascii="Arial Narrow" w:hAnsi="Arial Narrow"/>
                <w:sz w:val="20"/>
              </w:rPr>
              <w:t>Hoeper</w:t>
            </w:r>
            <w:proofErr w:type="spellEnd"/>
            <w:r w:rsidRPr="00190D0C">
              <w:rPr>
                <w:rFonts w:ascii="Arial Narrow" w:hAnsi="Arial Narrow"/>
                <w:sz w:val="20"/>
              </w:rPr>
              <w:t xml:space="preserve"> MM, Nick K, Meyer E, </w:t>
            </w:r>
            <w:proofErr w:type="spellStart"/>
            <w:r w:rsidRPr="00190D0C">
              <w:rPr>
                <w:rFonts w:ascii="Arial Narrow" w:hAnsi="Arial Narrow"/>
                <w:sz w:val="20"/>
              </w:rPr>
              <w:t>Neuser</w:t>
            </w:r>
            <w:proofErr w:type="spellEnd"/>
            <w:r w:rsidRPr="00190D0C">
              <w:rPr>
                <w:rFonts w:ascii="Arial Narrow" w:hAnsi="Arial Narrow"/>
                <w:sz w:val="20"/>
              </w:rPr>
              <w:t xml:space="preserve"> D, </w:t>
            </w:r>
            <w:r w:rsidRPr="00190D0C">
              <w:rPr>
                <w:rFonts w:ascii="Arial Narrow" w:hAnsi="Arial Narrow"/>
                <w:sz w:val="20"/>
              </w:rPr>
              <w:lastRenderedPageBreak/>
              <w:t xml:space="preserve">Pena J, </w:t>
            </w:r>
            <w:proofErr w:type="spellStart"/>
            <w:r w:rsidRPr="00190D0C">
              <w:rPr>
                <w:rFonts w:ascii="Arial Narrow" w:hAnsi="Arial Narrow"/>
                <w:sz w:val="20"/>
              </w:rPr>
              <w:t>Simonneau</w:t>
            </w:r>
            <w:proofErr w:type="spellEnd"/>
            <w:r w:rsidRPr="00190D0C">
              <w:rPr>
                <w:rFonts w:ascii="Arial Narrow" w:hAnsi="Arial Narrow"/>
                <w:sz w:val="20"/>
              </w:rPr>
              <w:t xml:space="preserve"> G and Wilkins M. </w:t>
            </w:r>
            <w:r w:rsidR="00597F05" w:rsidRPr="00190D0C">
              <w:rPr>
                <w:rFonts w:ascii="Arial Narrow" w:hAnsi="Arial Narrow"/>
                <w:sz w:val="20"/>
              </w:rPr>
              <w:t xml:space="preserve">Riociguat for the treatment of inoperable chronic thromboembolic pulmonary hypertension: A randomized, double-blind, placebo-controlled study (CHEST-1) </w:t>
            </w:r>
          </w:p>
        </w:tc>
        <w:tc>
          <w:tcPr>
            <w:tcW w:w="1285" w:type="pct"/>
            <w:tcBorders>
              <w:top w:val="nil"/>
              <w:left w:val="single" w:sz="4" w:space="0" w:color="auto"/>
              <w:bottom w:val="single" w:sz="4" w:space="0" w:color="auto"/>
              <w:right w:val="single" w:sz="4" w:space="0" w:color="auto"/>
            </w:tcBorders>
          </w:tcPr>
          <w:p w:rsidR="00597F05" w:rsidRPr="00190D0C" w:rsidRDefault="00597F05" w:rsidP="0020323A">
            <w:pPr>
              <w:jc w:val="left"/>
              <w:rPr>
                <w:rFonts w:ascii="Arial Narrow" w:hAnsi="Arial Narrow"/>
                <w:sz w:val="20"/>
              </w:rPr>
            </w:pPr>
            <w:r w:rsidRPr="00190D0C">
              <w:rPr>
                <w:rFonts w:ascii="Arial Narrow" w:hAnsi="Arial Narrow"/>
                <w:sz w:val="20"/>
              </w:rPr>
              <w:lastRenderedPageBreak/>
              <w:t xml:space="preserve">Chest 2012; 142 </w:t>
            </w:r>
            <w:r w:rsidRPr="00190D0C">
              <w:rPr>
                <w:rFonts w:ascii="Arial Narrow" w:hAnsi="Arial Narrow"/>
                <w:sz w:val="20"/>
              </w:rPr>
              <w:lastRenderedPageBreak/>
              <w:t>(</w:t>
            </w:r>
            <w:r w:rsidR="00477944" w:rsidRPr="00190D0C">
              <w:rPr>
                <w:rFonts w:ascii="Arial Narrow" w:hAnsi="Arial Narrow"/>
                <w:sz w:val="20"/>
              </w:rPr>
              <w:t>4_MeetingAbstracts):1023A</w:t>
            </w:r>
          </w:p>
        </w:tc>
      </w:tr>
      <w:tr w:rsidR="00BC5694" w:rsidRPr="00190D0C" w:rsidTr="00780AFF">
        <w:tc>
          <w:tcPr>
            <w:tcW w:w="579" w:type="pct"/>
            <w:tcBorders>
              <w:top w:val="single" w:sz="4" w:space="0" w:color="auto"/>
              <w:left w:val="single" w:sz="4" w:space="0" w:color="auto"/>
              <w:bottom w:val="nil"/>
              <w:right w:val="single" w:sz="4" w:space="0" w:color="auto"/>
            </w:tcBorders>
          </w:tcPr>
          <w:p w:rsidR="00BC5694" w:rsidRPr="00190D0C" w:rsidRDefault="00BC5694" w:rsidP="0020323A">
            <w:pPr>
              <w:jc w:val="left"/>
              <w:rPr>
                <w:rFonts w:ascii="Arial Narrow" w:hAnsi="Arial Narrow"/>
                <w:sz w:val="20"/>
              </w:rPr>
            </w:pPr>
            <w:r w:rsidRPr="00190D0C">
              <w:rPr>
                <w:rFonts w:ascii="Arial Narrow" w:hAnsi="Arial Narrow"/>
                <w:b/>
                <w:sz w:val="20"/>
              </w:rPr>
              <w:lastRenderedPageBreak/>
              <w:t>CHEST-2</w:t>
            </w:r>
          </w:p>
        </w:tc>
        <w:tc>
          <w:tcPr>
            <w:tcW w:w="3136" w:type="pct"/>
            <w:tcBorders>
              <w:top w:val="single" w:sz="4" w:space="0" w:color="auto"/>
              <w:left w:val="single" w:sz="4" w:space="0" w:color="auto"/>
              <w:bottom w:val="nil"/>
              <w:right w:val="single" w:sz="4" w:space="0" w:color="auto"/>
            </w:tcBorders>
          </w:tcPr>
          <w:p w:rsidR="00BC5694" w:rsidRPr="00190D0C" w:rsidRDefault="00BC5694" w:rsidP="00757589">
            <w:pPr>
              <w:jc w:val="left"/>
              <w:rPr>
                <w:rFonts w:ascii="Arial Narrow" w:hAnsi="Arial Narrow"/>
                <w:sz w:val="20"/>
              </w:rPr>
            </w:pPr>
            <w:r w:rsidRPr="00190D0C">
              <w:rPr>
                <w:rFonts w:ascii="Arial Narrow" w:hAnsi="Arial Narrow"/>
                <w:b/>
                <w:sz w:val="20"/>
              </w:rPr>
              <w:t>Clinical Study Report</w:t>
            </w:r>
            <w:r w:rsidRPr="00190D0C">
              <w:rPr>
                <w:rFonts w:ascii="Arial Narrow" w:hAnsi="Arial Narrow"/>
                <w:sz w:val="20"/>
              </w:rPr>
              <w:t xml:space="preserve"> Long-term extension, multi-centre, multi-national study to evaluate the safety and tolerability of oral BAY 63 2521 (1 mg, 1.5 mg, 2 mg or 2.5 mg </w:t>
            </w:r>
            <w:proofErr w:type="spellStart"/>
            <w:r w:rsidRPr="00190D0C">
              <w:rPr>
                <w:rFonts w:ascii="Arial Narrow" w:hAnsi="Arial Narrow"/>
                <w:sz w:val="20"/>
              </w:rPr>
              <w:t>tid</w:t>
            </w:r>
            <w:proofErr w:type="spellEnd"/>
            <w:r w:rsidRPr="00190D0C">
              <w:rPr>
                <w:rFonts w:ascii="Arial Narrow" w:hAnsi="Arial Narrow"/>
                <w:sz w:val="20"/>
              </w:rPr>
              <w:t xml:space="preserve">) in patients with Chronic Thromboembolic Pulmonary Hypertension (CTEPH). </w:t>
            </w:r>
          </w:p>
          <w:p w:rsidR="00BC5694" w:rsidRPr="00190D0C" w:rsidRDefault="00BC5694" w:rsidP="00477944">
            <w:pPr>
              <w:jc w:val="left"/>
              <w:rPr>
                <w:rFonts w:ascii="Arial Narrow" w:hAnsi="Arial Narrow"/>
                <w:sz w:val="20"/>
              </w:rPr>
            </w:pPr>
          </w:p>
        </w:tc>
        <w:tc>
          <w:tcPr>
            <w:tcW w:w="1285" w:type="pct"/>
            <w:tcBorders>
              <w:top w:val="single" w:sz="4" w:space="0" w:color="auto"/>
              <w:left w:val="single" w:sz="4" w:space="0" w:color="auto"/>
              <w:bottom w:val="nil"/>
              <w:right w:val="single" w:sz="4" w:space="0" w:color="auto"/>
            </w:tcBorders>
          </w:tcPr>
          <w:p w:rsidR="00BC5694" w:rsidRPr="00190D0C" w:rsidRDefault="00BC5694" w:rsidP="0020323A">
            <w:pPr>
              <w:jc w:val="left"/>
              <w:rPr>
                <w:rFonts w:ascii="Arial Narrow" w:hAnsi="Arial Narrow"/>
                <w:sz w:val="20"/>
              </w:rPr>
            </w:pPr>
            <w:r w:rsidRPr="00190D0C">
              <w:rPr>
                <w:rFonts w:ascii="Arial Narrow" w:hAnsi="Arial Narrow"/>
                <w:sz w:val="20"/>
              </w:rPr>
              <w:t>3</w:t>
            </w:r>
            <w:r w:rsidRPr="00190D0C">
              <w:rPr>
                <w:rFonts w:ascii="Arial Narrow" w:hAnsi="Arial Narrow"/>
                <w:sz w:val="20"/>
                <w:vertAlign w:val="superscript"/>
              </w:rPr>
              <w:t>rd</w:t>
            </w:r>
            <w:r w:rsidRPr="00190D0C">
              <w:rPr>
                <w:rFonts w:ascii="Arial Narrow" w:hAnsi="Arial Narrow"/>
                <w:sz w:val="20"/>
              </w:rPr>
              <w:t xml:space="preserve"> May 2012</w:t>
            </w:r>
          </w:p>
        </w:tc>
      </w:tr>
      <w:tr w:rsidR="00BC5694" w:rsidRPr="00190D0C" w:rsidTr="00780AFF">
        <w:tc>
          <w:tcPr>
            <w:tcW w:w="579" w:type="pct"/>
            <w:tcBorders>
              <w:top w:val="nil"/>
              <w:left w:val="single" w:sz="4" w:space="0" w:color="auto"/>
              <w:bottom w:val="nil"/>
              <w:right w:val="single" w:sz="4" w:space="0" w:color="auto"/>
            </w:tcBorders>
          </w:tcPr>
          <w:p w:rsidR="00BC5694" w:rsidRPr="00190D0C" w:rsidRDefault="00BC5694" w:rsidP="0020323A">
            <w:pPr>
              <w:jc w:val="left"/>
              <w:rPr>
                <w:rFonts w:ascii="Arial Narrow" w:hAnsi="Arial Narrow"/>
                <w:sz w:val="20"/>
              </w:rPr>
            </w:pPr>
          </w:p>
        </w:tc>
        <w:tc>
          <w:tcPr>
            <w:tcW w:w="3136" w:type="pct"/>
            <w:tcBorders>
              <w:top w:val="nil"/>
              <w:left w:val="single" w:sz="4" w:space="0" w:color="auto"/>
              <w:bottom w:val="nil"/>
              <w:right w:val="single" w:sz="4" w:space="0" w:color="auto"/>
            </w:tcBorders>
          </w:tcPr>
          <w:p w:rsidR="00BC5694" w:rsidRPr="00190D0C" w:rsidRDefault="00BC5694" w:rsidP="00477944">
            <w:pPr>
              <w:jc w:val="left"/>
              <w:rPr>
                <w:rFonts w:ascii="Arial Narrow" w:hAnsi="Arial Narrow"/>
                <w:sz w:val="20"/>
              </w:rPr>
            </w:pPr>
            <w:r w:rsidRPr="00190D0C">
              <w:rPr>
                <w:rFonts w:ascii="Arial Narrow" w:hAnsi="Arial Narrow"/>
                <w:b/>
                <w:sz w:val="20"/>
              </w:rPr>
              <w:t>Conference Abstract</w:t>
            </w:r>
          </w:p>
        </w:tc>
        <w:tc>
          <w:tcPr>
            <w:tcW w:w="1285" w:type="pct"/>
            <w:tcBorders>
              <w:top w:val="nil"/>
              <w:left w:val="single" w:sz="4" w:space="0" w:color="auto"/>
              <w:bottom w:val="nil"/>
              <w:right w:val="single" w:sz="4" w:space="0" w:color="auto"/>
            </w:tcBorders>
          </w:tcPr>
          <w:p w:rsidR="00BC5694" w:rsidRPr="00190D0C" w:rsidRDefault="00BC5694" w:rsidP="0020323A">
            <w:pPr>
              <w:jc w:val="left"/>
              <w:rPr>
                <w:rFonts w:ascii="Arial Narrow" w:hAnsi="Arial Narrow"/>
                <w:sz w:val="20"/>
              </w:rPr>
            </w:pPr>
          </w:p>
        </w:tc>
      </w:tr>
      <w:tr w:rsidR="00BC5694" w:rsidRPr="00190D0C" w:rsidTr="00780AFF">
        <w:tc>
          <w:tcPr>
            <w:tcW w:w="579" w:type="pct"/>
            <w:tcBorders>
              <w:top w:val="nil"/>
              <w:left w:val="single" w:sz="4" w:space="0" w:color="auto"/>
              <w:bottom w:val="nil"/>
              <w:right w:val="single" w:sz="4" w:space="0" w:color="auto"/>
            </w:tcBorders>
          </w:tcPr>
          <w:p w:rsidR="00BC5694" w:rsidRPr="00190D0C" w:rsidRDefault="00BC5694" w:rsidP="0020323A">
            <w:pPr>
              <w:jc w:val="left"/>
              <w:rPr>
                <w:rFonts w:ascii="Arial Narrow" w:hAnsi="Arial Narrow"/>
                <w:sz w:val="20"/>
              </w:rPr>
            </w:pPr>
          </w:p>
        </w:tc>
        <w:tc>
          <w:tcPr>
            <w:tcW w:w="3136" w:type="pct"/>
            <w:tcBorders>
              <w:top w:val="nil"/>
              <w:left w:val="single" w:sz="4" w:space="0" w:color="auto"/>
              <w:bottom w:val="nil"/>
              <w:right w:val="single" w:sz="4" w:space="0" w:color="auto"/>
            </w:tcBorders>
          </w:tcPr>
          <w:p w:rsidR="00BC5694" w:rsidRPr="00190D0C" w:rsidRDefault="00BC5694" w:rsidP="00757589">
            <w:pPr>
              <w:jc w:val="left"/>
              <w:rPr>
                <w:rFonts w:ascii="Arial Narrow" w:hAnsi="Arial Narrow"/>
                <w:sz w:val="20"/>
              </w:rPr>
            </w:pPr>
            <w:proofErr w:type="spellStart"/>
            <w:r w:rsidRPr="00190D0C">
              <w:rPr>
                <w:rFonts w:ascii="Arial Narrow" w:hAnsi="Arial Narrow"/>
                <w:sz w:val="20"/>
              </w:rPr>
              <w:t>Simonneau</w:t>
            </w:r>
            <w:proofErr w:type="spellEnd"/>
            <w:r w:rsidRPr="00190D0C">
              <w:rPr>
                <w:rFonts w:ascii="Arial Narrow" w:hAnsi="Arial Narrow"/>
                <w:sz w:val="20"/>
              </w:rPr>
              <w:t xml:space="preserve"> G, </w:t>
            </w:r>
            <w:proofErr w:type="spellStart"/>
            <w:r w:rsidRPr="00190D0C">
              <w:rPr>
                <w:rFonts w:ascii="Arial Narrow" w:hAnsi="Arial Narrow"/>
                <w:sz w:val="20"/>
              </w:rPr>
              <w:t>D’Armini</w:t>
            </w:r>
            <w:proofErr w:type="spellEnd"/>
            <w:r w:rsidRPr="00190D0C">
              <w:rPr>
                <w:rFonts w:ascii="Arial Narrow" w:hAnsi="Arial Narrow"/>
                <w:sz w:val="20"/>
              </w:rPr>
              <w:t xml:space="preserve"> AM, </w:t>
            </w:r>
            <w:proofErr w:type="spellStart"/>
            <w:r w:rsidRPr="00190D0C">
              <w:rPr>
                <w:rFonts w:ascii="Arial Narrow" w:hAnsi="Arial Narrow"/>
                <w:sz w:val="20"/>
              </w:rPr>
              <w:t>Ghofrani</w:t>
            </w:r>
            <w:proofErr w:type="spellEnd"/>
            <w:r w:rsidRPr="00190D0C">
              <w:rPr>
                <w:rFonts w:ascii="Arial Narrow" w:hAnsi="Arial Narrow"/>
                <w:sz w:val="20"/>
              </w:rPr>
              <w:t xml:space="preserve"> HA, </w:t>
            </w:r>
            <w:proofErr w:type="spellStart"/>
            <w:r w:rsidRPr="00190D0C">
              <w:rPr>
                <w:rFonts w:ascii="Arial Narrow" w:hAnsi="Arial Narrow"/>
                <w:sz w:val="20"/>
              </w:rPr>
              <w:t>Grimminger</w:t>
            </w:r>
            <w:proofErr w:type="spellEnd"/>
            <w:r w:rsidRPr="00190D0C">
              <w:rPr>
                <w:rFonts w:ascii="Arial Narrow" w:hAnsi="Arial Narrow"/>
                <w:sz w:val="20"/>
              </w:rPr>
              <w:t xml:space="preserve"> F, </w:t>
            </w:r>
            <w:proofErr w:type="spellStart"/>
            <w:r w:rsidRPr="00190D0C">
              <w:rPr>
                <w:rFonts w:ascii="Arial Narrow" w:hAnsi="Arial Narrow"/>
                <w:sz w:val="20"/>
              </w:rPr>
              <w:t>Hoeper</w:t>
            </w:r>
            <w:proofErr w:type="spellEnd"/>
            <w:r w:rsidRPr="00190D0C">
              <w:rPr>
                <w:rFonts w:ascii="Arial Narrow" w:hAnsi="Arial Narrow"/>
                <w:sz w:val="20"/>
              </w:rPr>
              <w:t xml:space="preserve"> MM, </w:t>
            </w:r>
            <w:proofErr w:type="spellStart"/>
            <w:r w:rsidRPr="00190D0C">
              <w:rPr>
                <w:rFonts w:ascii="Arial Narrow" w:hAnsi="Arial Narrow"/>
                <w:sz w:val="20"/>
              </w:rPr>
              <w:t>Jansa</w:t>
            </w:r>
            <w:proofErr w:type="spellEnd"/>
            <w:r w:rsidRPr="00190D0C">
              <w:rPr>
                <w:rFonts w:ascii="Arial Narrow" w:hAnsi="Arial Narrow"/>
                <w:sz w:val="20"/>
              </w:rPr>
              <w:t xml:space="preserve"> P, Nick K, Wang C, Wilkins M, Fritsch A, Davie </w:t>
            </w:r>
            <w:proofErr w:type="spellStart"/>
            <w:r w:rsidRPr="00190D0C">
              <w:rPr>
                <w:rFonts w:ascii="Arial Narrow" w:hAnsi="Arial Narrow"/>
                <w:sz w:val="20"/>
              </w:rPr>
              <w:t>N,Weimann</w:t>
            </w:r>
            <w:proofErr w:type="spellEnd"/>
            <w:r w:rsidRPr="00190D0C">
              <w:rPr>
                <w:rFonts w:ascii="Arial Narrow" w:hAnsi="Arial Narrow"/>
                <w:sz w:val="20"/>
              </w:rPr>
              <w:t xml:space="preserve"> G and Meyer E. Riociguat for the treatment of chronic thromboembolic pulmonary hypertension (CTEPH): 1-year results from the CHEST-2 long-term extension study. </w:t>
            </w:r>
          </w:p>
          <w:p w:rsidR="00BC5694" w:rsidRPr="00190D0C" w:rsidRDefault="00BC5694" w:rsidP="00477944">
            <w:pPr>
              <w:jc w:val="left"/>
              <w:rPr>
                <w:rFonts w:ascii="Arial Narrow" w:hAnsi="Arial Narrow"/>
                <w:sz w:val="20"/>
              </w:rPr>
            </w:pPr>
          </w:p>
        </w:tc>
        <w:tc>
          <w:tcPr>
            <w:tcW w:w="1285" w:type="pct"/>
            <w:tcBorders>
              <w:top w:val="nil"/>
              <w:left w:val="single" w:sz="4" w:space="0" w:color="auto"/>
              <w:bottom w:val="nil"/>
              <w:right w:val="single" w:sz="4" w:space="0" w:color="auto"/>
            </w:tcBorders>
          </w:tcPr>
          <w:p w:rsidR="00BC5694" w:rsidRPr="00190D0C" w:rsidRDefault="00BC5694" w:rsidP="0020323A">
            <w:pPr>
              <w:jc w:val="left"/>
              <w:rPr>
                <w:rFonts w:ascii="Arial Narrow" w:hAnsi="Arial Narrow"/>
                <w:sz w:val="20"/>
              </w:rPr>
            </w:pPr>
            <w:r w:rsidRPr="00190D0C">
              <w:rPr>
                <w:rFonts w:ascii="Arial Narrow" w:hAnsi="Arial Narrow"/>
                <w:sz w:val="20"/>
              </w:rPr>
              <w:t>Chest 2014; 145 (3) (4_MeetingAbstracts):1023A</w:t>
            </w:r>
          </w:p>
        </w:tc>
      </w:tr>
      <w:tr w:rsidR="0014303C" w:rsidRPr="00190D0C" w:rsidTr="00780AFF">
        <w:tc>
          <w:tcPr>
            <w:tcW w:w="579" w:type="pct"/>
            <w:tcBorders>
              <w:top w:val="nil"/>
              <w:left w:val="single" w:sz="4" w:space="0" w:color="auto"/>
              <w:bottom w:val="single" w:sz="4" w:space="0" w:color="auto"/>
              <w:right w:val="single" w:sz="4" w:space="0" w:color="auto"/>
            </w:tcBorders>
          </w:tcPr>
          <w:p w:rsidR="0014303C" w:rsidRPr="00190D0C" w:rsidRDefault="0014303C" w:rsidP="0020323A">
            <w:pPr>
              <w:jc w:val="left"/>
              <w:rPr>
                <w:rFonts w:ascii="Arial Narrow" w:hAnsi="Arial Narrow"/>
                <w:sz w:val="20"/>
              </w:rPr>
            </w:pPr>
          </w:p>
        </w:tc>
        <w:tc>
          <w:tcPr>
            <w:tcW w:w="3136" w:type="pct"/>
            <w:tcBorders>
              <w:top w:val="nil"/>
              <w:left w:val="single" w:sz="4" w:space="0" w:color="auto"/>
              <w:bottom w:val="single" w:sz="4" w:space="0" w:color="auto"/>
              <w:right w:val="single" w:sz="4" w:space="0" w:color="auto"/>
            </w:tcBorders>
          </w:tcPr>
          <w:p w:rsidR="0014303C" w:rsidRPr="00190D0C" w:rsidRDefault="0014303C" w:rsidP="00477944">
            <w:pPr>
              <w:jc w:val="left"/>
              <w:rPr>
                <w:rFonts w:ascii="Arial Narrow" w:hAnsi="Arial Narrow"/>
                <w:sz w:val="20"/>
              </w:rPr>
            </w:pPr>
            <w:r w:rsidRPr="00190D0C">
              <w:rPr>
                <w:rFonts w:ascii="Arial Narrow" w:hAnsi="Arial Narrow"/>
                <w:sz w:val="20"/>
              </w:rPr>
              <w:t xml:space="preserve">Wang c, </w:t>
            </w:r>
            <w:proofErr w:type="spellStart"/>
            <w:r w:rsidRPr="00190D0C">
              <w:rPr>
                <w:rFonts w:ascii="Arial Narrow" w:hAnsi="Arial Narrow"/>
                <w:sz w:val="20"/>
              </w:rPr>
              <w:t>D’Armini</w:t>
            </w:r>
            <w:proofErr w:type="spellEnd"/>
            <w:r w:rsidRPr="00190D0C">
              <w:rPr>
                <w:rFonts w:ascii="Arial Narrow" w:hAnsi="Arial Narrow"/>
                <w:sz w:val="20"/>
              </w:rPr>
              <w:t xml:space="preserve"> A, </w:t>
            </w:r>
            <w:proofErr w:type="spellStart"/>
            <w:r w:rsidRPr="00190D0C">
              <w:rPr>
                <w:rFonts w:ascii="Arial Narrow" w:hAnsi="Arial Narrow"/>
                <w:sz w:val="20"/>
              </w:rPr>
              <w:t>Ghofrani</w:t>
            </w:r>
            <w:proofErr w:type="spellEnd"/>
            <w:r w:rsidRPr="00190D0C">
              <w:rPr>
                <w:rFonts w:ascii="Arial Narrow" w:hAnsi="Arial Narrow"/>
                <w:sz w:val="20"/>
              </w:rPr>
              <w:t xml:space="preserve"> HA, </w:t>
            </w:r>
            <w:proofErr w:type="spellStart"/>
            <w:r w:rsidRPr="00190D0C">
              <w:rPr>
                <w:rFonts w:ascii="Arial Narrow" w:hAnsi="Arial Narrow"/>
                <w:sz w:val="20"/>
              </w:rPr>
              <w:t>Grimminger</w:t>
            </w:r>
            <w:proofErr w:type="spellEnd"/>
            <w:r w:rsidRPr="00190D0C">
              <w:rPr>
                <w:rFonts w:ascii="Arial Narrow" w:hAnsi="Arial Narrow"/>
                <w:sz w:val="20"/>
              </w:rPr>
              <w:t xml:space="preserve"> F, </w:t>
            </w:r>
            <w:proofErr w:type="spellStart"/>
            <w:r w:rsidRPr="00190D0C">
              <w:rPr>
                <w:rFonts w:ascii="Arial Narrow" w:hAnsi="Arial Narrow"/>
                <w:sz w:val="20"/>
              </w:rPr>
              <w:t>Hoeper</w:t>
            </w:r>
            <w:proofErr w:type="spellEnd"/>
            <w:r w:rsidRPr="00190D0C">
              <w:rPr>
                <w:rFonts w:ascii="Arial Narrow" w:hAnsi="Arial Narrow"/>
                <w:sz w:val="20"/>
              </w:rPr>
              <w:t xml:space="preserve"> M, </w:t>
            </w:r>
            <w:proofErr w:type="spellStart"/>
            <w:r w:rsidRPr="00190D0C">
              <w:rPr>
                <w:rFonts w:ascii="Arial Narrow" w:hAnsi="Arial Narrow"/>
                <w:sz w:val="20"/>
              </w:rPr>
              <w:t>Jansa</w:t>
            </w:r>
            <w:proofErr w:type="spellEnd"/>
            <w:r w:rsidRPr="00190D0C">
              <w:rPr>
                <w:rFonts w:ascii="Arial Narrow" w:hAnsi="Arial Narrow"/>
                <w:sz w:val="20"/>
              </w:rPr>
              <w:t xml:space="preserve"> P, Kim N, </w:t>
            </w:r>
            <w:proofErr w:type="spellStart"/>
            <w:r w:rsidRPr="00190D0C">
              <w:rPr>
                <w:rFonts w:ascii="Arial Narrow" w:hAnsi="Arial Narrow"/>
                <w:sz w:val="20"/>
              </w:rPr>
              <w:t>Simonneau</w:t>
            </w:r>
            <w:proofErr w:type="spellEnd"/>
            <w:r w:rsidRPr="00190D0C">
              <w:rPr>
                <w:rFonts w:ascii="Arial Narrow" w:hAnsi="Arial Narrow"/>
                <w:sz w:val="20"/>
              </w:rPr>
              <w:t xml:space="preserve"> G, </w:t>
            </w:r>
            <w:proofErr w:type="spellStart"/>
            <w:r w:rsidRPr="00190D0C">
              <w:rPr>
                <w:rFonts w:ascii="Arial Narrow" w:hAnsi="Arial Narrow"/>
                <w:sz w:val="20"/>
              </w:rPr>
              <w:t>Torbicki</w:t>
            </w:r>
            <w:proofErr w:type="spellEnd"/>
            <w:r w:rsidRPr="00190D0C">
              <w:rPr>
                <w:rFonts w:ascii="Arial Narrow" w:hAnsi="Arial Narrow"/>
                <w:sz w:val="20"/>
              </w:rPr>
              <w:t xml:space="preserve">, Wilkins M, Fritsch A, Davie N and Mayer E. Long-term riociguat treatment in inoperable and persistent/recurrent CTEPH patients in who functional class (FC) I/II versus FC III/IV at baseline: Results from the 16-week phase III CHEST-1 study and CHEST-2 open-label extension. </w:t>
            </w:r>
          </w:p>
        </w:tc>
        <w:tc>
          <w:tcPr>
            <w:tcW w:w="1285" w:type="pct"/>
            <w:tcBorders>
              <w:top w:val="nil"/>
              <w:left w:val="single" w:sz="4" w:space="0" w:color="auto"/>
              <w:bottom w:val="single" w:sz="4" w:space="0" w:color="auto"/>
              <w:right w:val="single" w:sz="4" w:space="0" w:color="auto"/>
            </w:tcBorders>
          </w:tcPr>
          <w:p w:rsidR="0014303C" w:rsidRPr="00190D0C" w:rsidRDefault="0014303C" w:rsidP="00757589">
            <w:pPr>
              <w:jc w:val="left"/>
              <w:rPr>
                <w:rFonts w:ascii="Arial Narrow" w:hAnsi="Arial Narrow"/>
                <w:sz w:val="20"/>
              </w:rPr>
            </w:pPr>
            <w:r w:rsidRPr="00190D0C">
              <w:rPr>
                <w:rFonts w:ascii="Arial Narrow" w:hAnsi="Arial Narrow"/>
                <w:sz w:val="20"/>
              </w:rPr>
              <w:t>Chest 2014; 145 (3Suppl):535B</w:t>
            </w:r>
          </w:p>
          <w:p w:rsidR="0014303C" w:rsidRPr="00190D0C" w:rsidRDefault="0014303C" w:rsidP="0020323A">
            <w:pPr>
              <w:jc w:val="left"/>
              <w:rPr>
                <w:rFonts w:ascii="Arial Narrow" w:hAnsi="Arial Narrow"/>
                <w:sz w:val="20"/>
              </w:rPr>
            </w:pPr>
          </w:p>
        </w:tc>
      </w:tr>
    </w:tbl>
    <w:p w:rsidR="00597F05" w:rsidRPr="00190D0C" w:rsidRDefault="00597F05" w:rsidP="00597F05">
      <w:pPr>
        <w:pStyle w:val="TableFooter"/>
        <w:ind w:firstLine="720"/>
      </w:pPr>
      <w:r w:rsidRPr="00190D0C">
        <w:t>Source: Table B.2-2, p28 of the submission</w:t>
      </w:r>
    </w:p>
    <w:p w:rsidR="00597F05" w:rsidRPr="00190D0C" w:rsidRDefault="00597F05" w:rsidP="00597F05">
      <w:pPr>
        <w:widowControl/>
        <w:rPr>
          <w:szCs w:val="22"/>
        </w:rPr>
      </w:pPr>
    </w:p>
    <w:p w:rsidR="00597F05" w:rsidRPr="00190D0C" w:rsidRDefault="00597F05" w:rsidP="00597F05">
      <w:pPr>
        <w:pStyle w:val="ListParagraph"/>
        <w:widowControl/>
        <w:numPr>
          <w:ilvl w:val="1"/>
          <w:numId w:val="10"/>
        </w:numPr>
        <w:rPr>
          <w:szCs w:val="22"/>
        </w:rPr>
      </w:pPr>
      <w:r w:rsidRPr="00190D0C">
        <w:rPr>
          <w:szCs w:val="22"/>
        </w:rPr>
        <w:t xml:space="preserve">The key features of the direct randomised trial are summarised in </w:t>
      </w:r>
      <w:r w:rsidR="00F449D3">
        <w:rPr>
          <w:szCs w:val="22"/>
        </w:rPr>
        <w:t>the following table</w:t>
      </w:r>
      <w:r w:rsidRPr="00190D0C">
        <w:rPr>
          <w:szCs w:val="22"/>
        </w:rPr>
        <w:t xml:space="preserve">.  </w:t>
      </w:r>
    </w:p>
    <w:p w:rsidR="00597F05" w:rsidRPr="00190D0C" w:rsidRDefault="00597F05" w:rsidP="00597F05">
      <w:pPr>
        <w:widowControl/>
        <w:rPr>
          <w:szCs w:val="22"/>
        </w:rPr>
      </w:pPr>
    </w:p>
    <w:p w:rsidR="00597F05" w:rsidRPr="00190D0C" w:rsidRDefault="00F449D3" w:rsidP="00597F05">
      <w:pPr>
        <w:ind w:firstLine="720"/>
        <w:rPr>
          <w:rStyle w:val="CommentReference"/>
        </w:rPr>
      </w:pPr>
      <w:r>
        <w:rPr>
          <w:rStyle w:val="CommentReference"/>
        </w:rPr>
        <w:t>K</w:t>
      </w:r>
      <w:r w:rsidR="00597F05" w:rsidRPr="00190D0C">
        <w:rPr>
          <w:rStyle w:val="CommentReference"/>
        </w:rPr>
        <w:t>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1"/>
        <w:gridCol w:w="1390"/>
        <w:gridCol w:w="1390"/>
        <w:gridCol w:w="1390"/>
        <w:gridCol w:w="1390"/>
        <w:gridCol w:w="1394"/>
      </w:tblGrid>
      <w:tr w:rsidR="00597F05" w:rsidRPr="00190D0C" w:rsidTr="0020323A">
        <w:tc>
          <w:tcPr>
            <w:tcW w:w="833" w:type="pct"/>
            <w:shd w:val="clear" w:color="auto" w:fill="auto"/>
            <w:vAlign w:val="center"/>
          </w:tcPr>
          <w:p w:rsidR="00597F05" w:rsidRPr="00190D0C" w:rsidRDefault="00597F05" w:rsidP="0020323A">
            <w:pPr>
              <w:jc w:val="left"/>
              <w:rPr>
                <w:rFonts w:ascii="Arial Narrow" w:hAnsi="Arial Narrow"/>
                <w:b/>
                <w:sz w:val="20"/>
                <w:lang w:val="en-US"/>
              </w:rPr>
            </w:pPr>
            <w:r w:rsidRPr="00190D0C">
              <w:rPr>
                <w:rFonts w:ascii="Arial Narrow" w:hAnsi="Arial Narrow"/>
                <w:b/>
                <w:sz w:val="20"/>
                <w:lang w:val="en-US"/>
              </w:rPr>
              <w:t>Trial</w:t>
            </w:r>
          </w:p>
        </w:tc>
        <w:tc>
          <w:tcPr>
            <w:tcW w:w="833" w:type="pct"/>
            <w:shd w:val="clear" w:color="auto" w:fill="auto"/>
            <w:vAlign w:val="center"/>
          </w:tcPr>
          <w:p w:rsidR="00597F05" w:rsidRPr="00190D0C" w:rsidRDefault="00597F05" w:rsidP="0020323A">
            <w:pPr>
              <w:jc w:val="center"/>
              <w:rPr>
                <w:rFonts w:ascii="Arial Narrow" w:hAnsi="Arial Narrow"/>
                <w:b/>
                <w:sz w:val="20"/>
                <w:lang w:val="en-US"/>
              </w:rPr>
            </w:pPr>
            <w:r w:rsidRPr="00190D0C">
              <w:rPr>
                <w:rFonts w:ascii="Arial Narrow" w:hAnsi="Arial Narrow"/>
                <w:b/>
                <w:sz w:val="20"/>
                <w:lang w:val="en-US"/>
              </w:rPr>
              <w:t>N</w:t>
            </w:r>
          </w:p>
        </w:tc>
        <w:tc>
          <w:tcPr>
            <w:tcW w:w="833" w:type="pct"/>
            <w:shd w:val="clear" w:color="auto" w:fill="auto"/>
            <w:vAlign w:val="center"/>
          </w:tcPr>
          <w:p w:rsidR="00597F05" w:rsidRPr="00190D0C" w:rsidRDefault="00597F05" w:rsidP="0020323A">
            <w:pPr>
              <w:jc w:val="center"/>
              <w:rPr>
                <w:rFonts w:ascii="Arial Narrow" w:hAnsi="Arial Narrow"/>
                <w:b/>
                <w:sz w:val="20"/>
                <w:lang w:val="en-US"/>
              </w:rPr>
            </w:pPr>
            <w:r w:rsidRPr="00190D0C">
              <w:rPr>
                <w:rFonts w:ascii="Arial Narrow" w:hAnsi="Arial Narrow"/>
                <w:b/>
                <w:sz w:val="20"/>
                <w:lang w:val="en-US"/>
              </w:rPr>
              <w:t>Design/ duration</w:t>
            </w:r>
          </w:p>
        </w:tc>
        <w:tc>
          <w:tcPr>
            <w:tcW w:w="833" w:type="pct"/>
            <w:shd w:val="clear" w:color="auto" w:fill="auto"/>
            <w:vAlign w:val="center"/>
          </w:tcPr>
          <w:p w:rsidR="00597F05" w:rsidRPr="00190D0C" w:rsidRDefault="00597F05" w:rsidP="0020323A">
            <w:pPr>
              <w:jc w:val="center"/>
              <w:rPr>
                <w:rFonts w:ascii="Arial Narrow" w:hAnsi="Arial Narrow"/>
                <w:b/>
                <w:sz w:val="20"/>
                <w:lang w:val="en-US"/>
              </w:rPr>
            </w:pPr>
            <w:r w:rsidRPr="00190D0C">
              <w:rPr>
                <w:rFonts w:ascii="Arial Narrow" w:hAnsi="Arial Narrow"/>
                <w:b/>
                <w:sz w:val="20"/>
                <w:lang w:val="en-US"/>
              </w:rPr>
              <w:t>Risk of bias</w:t>
            </w:r>
          </w:p>
        </w:tc>
        <w:tc>
          <w:tcPr>
            <w:tcW w:w="833" w:type="pct"/>
            <w:shd w:val="clear" w:color="auto" w:fill="auto"/>
            <w:vAlign w:val="center"/>
          </w:tcPr>
          <w:p w:rsidR="00597F05" w:rsidRPr="00190D0C" w:rsidRDefault="00597F05" w:rsidP="0020323A">
            <w:pPr>
              <w:jc w:val="center"/>
              <w:rPr>
                <w:rFonts w:ascii="Arial Narrow" w:hAnsi="Arial Narrow"/>
                <w:b/>
                <w:sz w:val="20"/>
                <w:lang w:val="en-US"/>
              </w:rPr>
            </w:pPr>
            <w:r w:rsidRPr="00190D0C">
              <w:rPr>
                <w:rFonts w:ascii="Arial Narrow" w:hAnsi="Arial Narrow"/>
                <w:b/>
                <w:sz w:val="20"/>
                <w:lang w:val="en-US"/>
              </w:rPr>
              <w:t>Patient population</w:t>
            </w:r>
          </w:p>
        </w:tc>
        <w:tc>
          <w:tcPr>
            <w:tcW w:w="835" w:type="pct"/>
            <w:shd w:val="clear" w:color="auto" w:fill="auto"/>
            <w:vAlign w:val="center"/>
          </w:tcPr>
          <w:p w:rsidR="00597F05" w:rsidRPr="00190D0C" w:rsidRDefault="00597F05" w:rsidP="0020323A">
            <w:pPr>
              <w:jc w:val="center"/>
              <w:rPr>
                <w:rFonts w:ascii="Arial Narrow" w:hAnsi="Arial Narrow"/>
                <w:b/>
                <w:sz w:val="20"/>
                <w:lang w:val="en-US"/>
              </w:rPr>
            </w:pPr>
            <w:r w:rsidRPr="00190D0C">
              <w:rPr>
                <w:rFonts w:ascii="Arial Narrow" w:hAnsi="Arial Narrow"/>
                <w:b/>
                <w:sz w:val="20"/>
                <w:lang w:val="en-US"/>
              </w:rPr>
              <w:t>Outcome</w:t>
            </w:r>
          </w:p>
        </w:tc>
      </w:tr>
      <w:tr w:rsidR="00597F05" w:rsidRPr="00190D0C" w:rsidTr="0020323A">
        <w:tc>
          <w:tcPr>
            <w:tcW w:w="5000" w:type="pct"/>
            <w:gridSpan w:val="6"/>
            <w:shd w:val="clear" w:color="auto" w:fill="auto"/>
            <w:vAlign w:val="center"/>
          </w:tcPr>
          <w:p w:rsidR="00597F05" w:rsidRPr="00190D0C" w:rsidRDefault="00597F05" w:rsidP="0020323A">
            <w:pPr>
              <w:jc w:val="left"/>
              <w:rPr>
                <w:rFonts w:ascii="Arial Narrow" w:hAnsi="Arial Narrow"/>
                <w:b/>
                <w:sz w:val="20"/>
                <w:lang w:val="en-US"/>
              </w:rPr>
            </w:pPr>
            <w:r w:rsidRPr="00190D0C">
              <w:rPr>
                <w:rFonts w:ascii="Arial Narrow" w:hAnsi="Arial Narrow"/>
                <w:b/>
                <w:sz w:val="20"/>
                <w:lang w:val="en-US"/>
              </w:rPr>
              <w:t>Riociguat vs. placebo</w:t>
            </w:r>
          </w:p>
        </w:tc>
      </w:tr>
      <w:tr w:rsidR="00597F05" w:rsidRPr="00190D0C" w:rsidTr="0020323A">
        <w:tc>
          <w:tcPr>
            <w:tcW w:w="833" w:type="pct"/>
            <w:shd w:val="clear" w:color="auto" w:fill="auto"/>
            <w:vAlign w:val="center"/>
          </w:tcPr>
          <w:p w:rsidR="00597F05" w:rsidRPr="00190D0C" w:rsidRDefault="00597F05" w:rsidP="0020323A">
            <w:pPr>
              <w:jc w:val="left"/>
              <w:rPr>
                <w:rFonts w:ascii="Arial Narrow" w:hAnsi="Arial Narrow"/>
                <w:sz w:val="20"/>
                <w:lang w:val="en-US"/>
              </w:rPr>
            </w:pPr>
            <w:r w:rsidRPr="00190D0C">
              <w:rPr>
                <w:rFonts w:ascii="Arial Narrow" w:hAnsi="Arial Narrow"/>
                <w:sz w:val="20"/>
                <w:lang w:val="en-US"/>
              </w:rPr>
              <w:t>CHEST-1</w:t>
            </w:r>
          </w:p>
        </w:tc>
        <w:tc>
          <w:tcPr>
            <w:tcW w:w="833" w:type="pct"/>
            <w:shd w:val="clear" w:color="auto" w:fill="auto"/>
            <w:vAlign w:val="center"/>
          </w:tcPr>
          <w:p w:rsidR="00597F05" w:rsidRPr="00190D0C" w:rsidRDefault="00597F05" w:rsidP="0020323A">
            <w:pPr>
              <w:jc w:val="center"/>
              <w:rPr>
                <w:rFonts w:ascii="Arial Narrow" w:hAnsi="Arial Narrow"/>
                <w:sz w:val="20"/>
                <w:lang w:val="en-US"/>
              </w:rPr>
            </w:pPr>
            <w:r w:rsidRPr="00190D0C">
              <w:rPr>
                <w:rFonts w:ascii="Arial Narrow" w:hAnsi="Arial Narrow"/>
                <w:sz w:val="20"/>
                <w:lang w:val="en-US"/>
              </w:rPr>
              <w:t>261</w:t>
            </w:r>
          </w:p>
        </w:tc>
        <w:tc>
          <w:tcPr>
            <w:tcW w:w="833" w:type="pct"/>
            <w:shd w:val="clear" w:color="auto" w:fill="auto"/>
            <w:vAlign w:val="center"/>
          </w:tcPr>
          <w:p w:rsidR="00597F05" w:rsidRPr="00190D0C" w:rsidRDefault="00597F05" w:rsidP="0020323A">
            <w:pPr>
              <w:jc w:val="center"/>
              <w:rPr>
                <w:rFonts w:ascii="Arial Narrow" w:hAnsi="Arial Narrow"/>
                <w:sz w:val="20"/>
                <w:lang w:val="en-US"/>
              </w:rPr>
            </w:pPr>
            <w:r w:rsidRPr="00190D0C">
              <w:rPr>
                <w:rFonts w:ascii="Arial Narrow" w:hAnsi="Arial Narrow"/>
                <w:sz w:val="20"/>
                <w:lang w:val="en-US"/>
              </w:rPr>
              <w:t>R, DB</w:t>
            </w:r>
          </w:p>
          <w:p w:rsidR="00597F05" w:rsidRPr="00190D0C" w:rsidRDefault="00597F05" w:rsidP="0020323A">
            <w:pPr>
              <w:jc w:val="center"/>
              <w:rPr>
                <w:rFonts w:ascii="Arial Narrow" w:hAnsi="Arial Narrow"/>
                <w:sz w:val="20"/>
                <w:lang w:val="en-US"/>
              </w:rPr>
            </w:pPr>
            <w:r w:rsidRPr="00190D0C">
              <w:rPr>
                <w:rFonts w:ascii="Arial Narrow" w:hAnsi="Arial Narrow"/>
                <w:sz w:val="20"/>
                <w:lang w:val="en-US"/>
              </w:rPr>
              <w:t>16 weeks</w:t>
            </w:r>
          </w:p>
        </w:tc>
        <w:tc>
          <w:tcPr>
            <w:tcW w:w="833" w:type="pct"/>
            <w:shd w:val="clear" w:color="auto" w:fill="auto"/>
            <w:vAlign w:val="center"/>
          </w:tcPr>
          <w:p w:rsidR="00597F05" w:rsidRPr="00190D0C" w:rsidRDefault="00597F05" w:rsidP="0020323A">
            <w:pPr>
              <w:jc w:val="center"/>
              <w:rPr>
                <w:rFonts w:ascii="Arial Narrow" w:hAnsi="Arial Narrow"/>
                <w:sz w:val="20"/>
                <w:lang w:val="en-US"/>
              </w:rPr>
            </w:pPr>
            <w:r w:rsidRPr="00190D0C">
              <w:rPr>
                <w:rFonts w:ascii="Arial Narrow" w:hAnsi="Arial Narrow"/>
                <w:sz w:val="20"/>
                <w:lang w:val="en-US"/>
              </w:rPr>
              <w:t>Low</w:t>
            </w:r>
            <w:r w:rsidR="00757589" w:rsidRPr="00190D0C">
              <w:rPr>
                <w:rFonts w:ascii="Arial Narrow" w:hAnsi="Arial Narrow"/>
                <w:sz w:val="20"/>
                <w:lang w:val="en-US"/>
              </w:rPr>
              <w:t>*</w:t>
            </w:r>
          </w:p>
        </w:tc>
        <w:tc>
          <w:tcPr>
            <w:tcW w:w="833" w:type="pct"/>
            <w:shd w:val="clear" w:color="auto" w:fill="auto"/>
            <w:vAlign w:val="center"/>
          </w:tcPr>
          <w:p w:rsidR="00597F05" w:rsidRPr="00190D0C" w:rsidRDefault="00597F05" w:rsidP="0020323A">
            <w:pPr>
              <w:jc w:val="center"/>
              <w:rPr>
                <w:rFonts w:ascii="Arial Narrow" w:hAnsi="Arial Narrow"/>
                <w:sz w:val="20"/>
                <w:lang w:val="en-US"/>
              </w:rPr>
            </w:pPr>
            <w:r w:rsidRPr="00190D0C">
              <w:rPr>
                <w:rFonts w:ascii="Arial Narrow" w:hAnsi="Arial Narrow"/>
                <w:sz w:val="20"/>
                <w:lang w:val="en-US"/>
              </w:rPr>
              <w:t>CTEPH</w:t>
            </w:r>
          </w:p>
        </w:tc>
        <w:tc>
          <w:tcPr>
            <w:tcW w:w="835" w:type="pct"/>
            <w:shd w:val="clear" w:color="auto" w:fill="auto"/>
            <w:vAlign w:val="center"/>
          </w:tcPr>
          <w:p w:rsidR="00597F05" w:rsidRPr="00190D0C" w:rsidRDefault="00597F05" w:rsidP="0020323A">
            <w:pPr>
              <w:jc w:val="center"/>
              <w:rPr>
                <w:rFonts w:ascii="Arial Narrow" w:hAnsi="Arial Narrow"/>
                <w:sz w:val="20"/>
                <w:lang w:val="en-US"/>
              </w:rPr>
            </w:pPr>
            <w:r w:rsidRPr="00190D0C">
              <w:rPr>
                <w:rFonts w:ascii="Arial Narrow" w:hAnsi="Arial Narrow"/>
                <w:sz w:val="20"/>
                <w:lang w:val="en-US"/>
              </w:rPr>
              <w:t>6MWD</w:t>
            </w:r>
          </w:p>
        </w:tc>
      </w:tr>
    </w:tbl>
    <w:p w:rsidR="00597F05" w:rsidRPr="00190D0C" w:rsidRDefault="00597F05" w:rsidP="009C0393">
      <w:pPr>
        <w:pStyle w:val="TableFooter"/>
        <w:ind w:left="720"/>
      </w:pPr>
      <w:r w:rsidRPr="00190D0C">
        <w:t>R=randomised; DB=double blind; 6MWD = 6-minute walk distance</w:t>
      </w:r>
      <w:r w:rsidR="00A05142" w:rsidRPr="00190D0C">
        <w:t>; CTEPH = chronic thromboembolic pulmonary hypertension</w:t>
      </w:r>
      <w:r w:rsidRPr="00190D0C">
        <w:t>.</w:t>
      </w:r>
      <w:r w:rsidR="009C0393">
        <w:t xml:space="preserve"> </w:t>
      </w:r>
      <w:r w:rsidR="00757589" w:rsidRPr="00190D0C">
        <w:t xml:space="preserve">*Based on the information provided in the submission (unequal distribution of baseline characteristics </w:t>
      </w:r>
      <w:r w:rsidR="007D1053" w:rsidRPr="00190D0C">
        <w:t xml:space="preserve">is </w:t>
      </w:r>
      <w:r w:rsidR="00757589" w:rsidRPr="00190D0C">
        <w:t>found, but difficult to assess its impact on the treatment effect</w:t>
      </w:r>
      <w:r w:rsidR="007D1053" w:rsidRPr="00780AFF">
        <w:t>)</w:t>
      </w:r>
      <w:r w:rsidR="009C0393">
        <w:t xml:space="preserve">. </w:t>
      </w:r>
      <w:r w:rsidRPr="00190D0C">
        <w:t>Source: compiled during the evaluation</w:t>
      </w:r>
    </w:p>
    <w:p w:rsidR="00597F05" w:rsidRPr="00190D0C" w:rsidRDefault="00597F05" w:rsidP="00597F05">
      <w:pPr>
        <w:rPr>
          <w:szCs w:val="22"/>
        </w:rPr>
      </w:pPr>
    </w:p>
    <w:p w:rsidR="00597F05" w:rsidRPr="002662EC" w:rsidRDefault="00597F05" w:rsidP="002662EC">
      <w:pPr>
        <w:pStyle w:val="BodyText"/>
        <w:rPr>
          <w:b/>
        </w:rPr>
      </w:pPr>
      <w:bookmarkStart w:id="12" w:name="_Toc398550898"/>
      <w:r w:rsidRPr="002662EC">
        <w:rPr>
          <w:b/>
        </w:rPr>
        <w:t>Comparative effectiveness</w:t>
      </w:r>
      <w:bookmarkEnd w:id="12"/>
    </w:p>
    <w:p w:rsidR="00597F05" w:rsidRPr="00190D0C" w:rsidRDefault="00597F05" w:rsidP="00597F05">
      <w:pPr>
        <w:rPr>
          <w:szCs w:val="22"/>
        </w:rPr>
      </w:pPr>
    </w:p>
    <w:p w:rsidR="00597F05" w:rsidRDefault="00F449D3" w:rsidP="00597F05">
      <w:pPr>
        <w:pStyle w:val="ListParagraph"/>
        <w:widowControl/>
        <w:numPr>
          <w:ilvl w:val="1"/>
          <w:numId w:val="10"/>
        </w:numPr>
        <w:rPr>
          <w:szCs w:val="22"/>
        </w:rPr>
      </w:pPr>
      <w:r w:rsidRPr="001F2C64">
        <w:rPr>
          <w:szCs w:val="22"/>
        </w:rPr>
        <w:t>The following table</w:t>
      </w:r>
      <w:r w:rsidR="00597F05" w:rsidRPr="001F2C64">
        <w:rPr>
          <w:szCs w:val="22"/>
        </w:rPr>
        <w:t xml:space="preserve"> presents the change</w:t>
      </w:r>
      <w:r w:rsidR="00A872FE" w:rsidRPr="001F2C64">
        <w:rPr>
          <w:szCs w:val="22"/>
        </w:rPr>
        <w:t>s</w:t>
      </w:r>
      <w:r w:rsidR="00597F05" w:rsidRPr="001F2C64">
        <w:rPr>
          <w:szCs w:val="22"/>
        </w:rPr>
        <w:t xml:space="preserve"> in 6MWD </w:t>
      </w:r>
      <w:r w:rsidR="00A872FE" w:rsidRPr="001F2C64">
        <w:rPr>
          <w:szCs w:val="22"/>
        </w:rPr>
        <w:t>reported in</w:t>
      </w:r>
      <w:r w:rsidR="00597F05" w:rsidRPr="001F2C64">
        <w:rPr>
          <w:szCs w:val="22"/>
        </w:rPr>
        <w:t xml:space="preserve"> CHEST-1. For the intention-to-treat (ITT) analysis, there was a statistically significant treatment effect in terms of change in 6MWD from baseline</w:t>
      </w:r>
      <w:r w:rsidR="00A872FE" w:rsidRPr="001F2C64">
        <w:rPr>
          <w:szCs w:val="22"/>
        </w:rPr>
        <w:t>,</w:t>
      </w:r>
      <w:r w:rsidR="00597F05" w:rsidRPr="001F2C64">
        <w:rPr>
          <w:szCs w:val="22"/>
        </w:rPr>
        <w:t xml:space="preserve"> favouring riociguat </w:t>
      </w:r>
      <w:r w:rsidR="00A872FE" w:rsidRPr="001F2C64">
        <w:rPr>
          <w:szCs w:val="22"/>
        </w:rPr>
        <w:t xml:space="preserve">over </w:t>
      </w:r>
      <w:r w:rsidR="00597F05" w:rsidRPr="001F2C64">
        <w:rPr>
          <w:szCs w:val="22"/>
        </w:rPr>
        <w:t xml:space="preserve">placebo. </w:t>
      </w:r>
      <w:r w:rsidR="00A872FE" w:rsidRPr="001F2C64">
        <w:rPr>
          <w:szCs w:val="22"/>
        </w:rPr>
        <w:t xml:space="preserve">The mean difference in change of 6MWD between the </w:t>
      </w:r>
      <w:r w:rsidR="00A879AA">
        <w:rPr>
          <w:szCs w:val="22"/>
        </w:rPr>
        <w:t xml:space="preserve">treatment groups </w:t>
      </w:r>
      <w:r w:rsidR="00A872FE" w:rsidRPr="001F2C64">
        <w:rPr>
          <w:szCs w:val="22"/>
        </w:rPr>
        <w:t xml:space="preserve">was </w:t>
      </w:r>
      <w:r w:rsidR="00382B34" w:rsidRPr="001F2C64">
        <w:rPr>
          <w:szCs w:val="22"/>
        </w:rPr>
        <w:t>45.7</w:t>
      </w:r>
      <w:r w:rsidR="00A872FE" w:rsidRPr="001F2C64">
        <w:rPr>
          <w:szCs w:val="22"/>
        </w:rPr>
        <w:t xml:space="preserve"> metres</w:t>
      </w:r>
      <w:r w:rsidR="00A879AA">
        <w:rPr>
          <w:szCs w:val="22"/>
        </w:rPr>
        <w:t>.</w:t>
      </w:r>
      <w:r w:rsidR="00A872FE" w:rsidRPr="001F2C64">
        <w:rPr>
          <w:szCs w:val="22"/>
        </w:rPr>
        <w:t xml:space="preserve"> </w:t>
      </w:r>
      <w:r w:rsidR="00A879AA">
        <w:rPr>
          <w:szCs w:val="22"/>
        </w:rPr>
        <w:t>This</w:t>
      </w:r>
      <w:r w:rsidR="00A872FE" w:rsidRPr="001F2C64">
        <w:rPr>
          <w:szCs w:val="22"/>
        </w:rPr>
        <w:t xml:space="preserve"> is a small-to-moderate difference, favouring riociguat, when considered in the context of the average distance walked at baseline in both groups (approximately 350 metres) and the duration of CHEST-1 (16 weeks). Most haemodynamic measures (</w:t>
      </w:r>
      <w:r w:rsidR="00585533" w:rsidRPr="001F2C64">
        <w:rPr>
          <w:szCs w:val="22"/>
        </w:rPr>
        <w:t xml:space="preserve">mean pulmonary artery pressure, systolic pulmonary artery pressure, </w:t>
      </w:r>
      <w:proofErr w:type="gramStart"/>
      <w:r w:rsidR="00585533" w:rsidRPr="001F2C64">
        <w:rPr>
          <w:szCs w:val="22"/>
        </w:rPr>
        <w:t>diastolic</w:t>
      </w:r>
      <w:proofErr w:type="gramEnd"/>
      <w:r w:rsidR="00585533" w:rsidRPr="001F2C64">
        <w:rPr>
          <w:szCs w:val="22"/>
        </w:rPr>
        <w:t xml:space="preserve"> pulmonary artery pressure, mean systemic arterial blood pressure, mixed venous oxygen-saturation, cardiac output, cardiac index, pulmonary vascular resistance, pulmonary vascular resistance index, systemic vascular resistance and systemic vascular resistance index</w:t>
      </w:r>
      <w:r w:rsidR="00A872FE" w:rsidRPr="001F2C64">
        <w:rPr>
          <w:szCs w:val="22"/>
        </w:rPr>
        <w:t xml:space="preserve">) were statistically significantly improved in patients receiving riociguat compared to placebo. </w:t>
      </w:r>
    </w:p>
    <w:p w:rsidR="00BB0BE4" w:rsidRDefault="00BB0BE4">
      <w:pPr>
        <w:widowControl/>
        <w:jc w:val="left"/>
        <w:rPr>
          <w:rStyle w:val="CommentReference"/>
        </w:rPr>
      </w:pPr>
      <w:r>
        <w:rPr>
          <w:rStyle w:val="CommentReference"/>
        </w:rPr>
        <w:br w:type="page"/>
      </w:r>
    </w:p>
    <w:p w:rsidR="00597F05" w:rsidRPr="00190D0C" w:rsidRDefault="00597F05" w:rsidP="00597F05">
      <w:pPr>
        <w:ind w:firstLine="720"/>
        <w:rPr>
          <w:rStyle w:val="CommentReference"/>
        </w:rPr>
      </w:pPr>
      <w:r w:rsidRPr="00190D0C">
        <w:rPr>
          <w:rStyle w:val="CommentReference"/>
        </w:rPr>
        <w:lastRenderedPageBreak/>
        <w:t>Results of mean change in 6MWD (</w:t>
      </w:r>
      <w:r w:rsidR="00D36CEE" w:rsidRPr="00190D0C">
        <w:rPr>
          <w:rStyle w:val="CommentReference"/>
        </w:rPr>
        <w:t>metres</w:t>
      </w:r>
      <w:r w:rsidRPr="00190D0C">
        <w:rPr>
          <w:rStyle w:val="CommentReference"/>
        </w:rPr>
        <w:t>) from baseline for CHEST-1</w:t>
      </w:r>
      <w:r w:rsidR="00D36CEE" w:rsidRPr="00190D0C">
        <w:rPr>
          <w:rStyle w:val="CommentReference"/>
        </w:rPr>
        <w:t xml:space="preserve"> </w:t>
      </w:r>
    </w:p>
    <w:tbl>
      <w:tblPr>
        <w:tblW w:w="459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9"/>
        <w:gridCol w:w="896"/>
        <w:gridCol w:w="825"/>
        <w:gridCol w:w="825"/>
        <w:gridCol w:w="825"/>
        <w:gridCol w:w="1660"/>
        <w:gridCol w:w="1658"/>
      </w:tblGrid>
      <w:tr w:rsidR="00597F05" w:rsidRPr="00190D0C" w:rsidTr="0020323A">
        <w:tc>
          <w:tcPr>
            <w:tcW w:w="994" w:type="pct"/>
            <w:vMerge w:val="restart"/>
            <w:shd w:val="clear" w:color="auto" w:fill="auto"/>
            <w:vAlign w:val="center"/>
          </w:tcPr>
          <w:p w:rsidR="00597F05" w:rsidRPr="00190D0C" w:rsidRDefault="00597F05" w:rsidP="0020323A">
            <w:pPr>
              <w:keepNext/>
              <w:jc w:val="left"/>
              <w:rPr>
                <w:rFonts w:ascii="Arial Narrow" w:hAnsi="Arial Narrow"/>
                <w:b/>
                <w:sz w:val="20"/>
                <w:lang w:val="en-US"/>
              </w:rPr>
            </w:pPr>
            <w:r w:rsidRPr="00190D0C">
              <w:rPr>
                <w:rFonts w:ascii="Arial Narrow" w:hAnsi="Arial Narrow"/>
                <w:b/>
                <w:sz w:val="20"/>
                <w:lang w:val="en-US"/>
              </w:rPr>
              <w:t>Trial ID</w:t>
            </w:r>
          </w:p>
        </w:tc>
        <w:tc>
          <w:tcPr>
            <w:tcW w:w="1031" w:type="pct"/>
            <w:gridSpan w:val="2"/>
            <w:shd w:val="clear" w:color="auto" w:fill="auto"/>
            <w:vAlign w:val="center"/>
          </w:tcPr>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Riociguat</w:t>
            </w:r>
          </w:p>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N=173</w:t>
            </w:r>
          </w:p>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mean ± SD</w:t>
            </w:r>
          </w:p>
        </w:tc>
        <w:tc>
          <w:tcPr>
            <w:tcW w:w="988" w:type="pct"/>
            <w:gridSpan w:val="2"/>
            <w:shd w:val="clear" w:color="auto" w:fill="auto"/>
            <w:vAlign w:val="center"/>
          </w:tcPr>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Placebo</w:t>
            </w:r>
          </w:p>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N=88</w:t>
            </w:r>
          </w:p>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mean ± SD</w:t>
            </w:r>
          </w:p>
        </w:tc>
        <w:tc>
          <w:tcPr>
            <w:tcW w:w="994" w:type="pct"/>
            <w:vMerge w:val="restart"/>
            <w:shd w:val="clear" w:color="auto" w:fill="auto"/>
            <w:vAlign w:val="center"/>
          </w:tcPr>
          <w:p w:rsidR="00597F05" w:rsidRPr="00190D0C" w:rsidRDefault="001E61E6" w:rsidP="0020323A">
            <w:pPr>
              <w:keepNext/>
              <w:jc w:val="center"/>
              <w:rPr>
                <w:rFonts w:ascii="Arial Narrow" w:hAnsi="Arial Narrow"/>
                <w:b/>
                <w:sz w:val="20"/>
                <w:lang w:val="en-US"/>
              </w:rPr>
            </w:pPr>
            <w:r w:rsidRPr="00190D0C">
              <w:rPr>
                <w:rFonts w:ascii="Arial Narrow" w:hAnsi="Arial Narrow"/>
                <w:b/>
                <w:sz w:val="20"/>
                <w:lang w:val="en-US"/>
              </w:rPr>
              <w:t xml:space="preserve">Least Square </w:t>
            </w:r>
            <w:r w:rsidR="00597F05" w:rsidRPr="00190D0C">
              <w:rPr>
                <w:rFonts w:ascii="Arial Narrow" w:hAnsi="Arial Narrow"/>
                <w:b/>
                <w:sz w:val="20"/>
                <w:lang w:val="en-US"/>
              </w:rPr>
              <w:t>Mean difference in change of 6MWD</w:t>
            </w:r>
          </w:p>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(95% CI)</w:t>
            </w:r>
          </w:p>
        </w:tc>
        <w:tc>
          <w:tcPr>
            <w:tcW w:w="993" w:type="pct"/>
            <w:vMerge w:val="restart"/>
            <w:shd w:val="clear" w:color="auto" w:fill="auto"/>
            <w:vAlign w:val="center"/>
          </w:tcPr>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p-value</w:t>
            </w:r>
          </w:p>
        </w:tc>
      </w:tr>
      <w:tr w:rsidR="00597F05" w:rsidRPr="00190D0C" w:rsidTr="0020323A">
        <w:tc>
          <w:tcPr>
            <w:tcW w:w="994" w:type="pct"/>
            <w:vMerge/>
            <w:shd w:val="clear" w:color="auto" w:fill="auto"/>
            <w:vAlign w:val="center"/>
          </w:tcPr>
          <w:p w:rsidR="00597F05" w:rsidRPr="00190D0C" w:rsidRDefault="00597F05" w:rsidP="0020323A">
            <w:pPr>
              <w:keepNext/>
              <w:jc w:val="left"/>
              <w:rPr>
                <w:rFonts w:ascii="Arial Narrow" w:hAnsi="Arial Narrow"/>
                <w:sz w:val="20"/>
                <w:lang w:val="en-US"/>
              </w:rPr>
            </w:pPr>
          </w:p>
        </w:tc>
        <w:tc>
          <w:tcPr>
            <w:tcW w:w="537" w:type="pct"/>
            <w:shd w:val="clear" w:color="auto" w:fill="auto"/>
            <w:vAlign w:val="center"/>
          </w:tcPr>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Baseline 6MWD</w:t>
            </w:r>
          </w:p>
        </w:tc>
        <w:tc>
          <w:tcPr>
            <w:tcW w:w="494" w:type="pct"/>
            <w:shd w:val="clear" w:color="auto" w:fill="auto"/>
            <w:vAlign w:val="center"/>
          </w:tcPr>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Change from baseline</w:t>
            </w:r>
          </w:p>
        </w:tc>
        <w:tc>
          <w:tcPr>
            <w:tcW w:w="494" w:type="pct"/>
            <w:shd w:val="clear" w:color="auto" w:fill="auto"/>
            <w:vAlign w:val="center"/>
          </w:tcPr>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Baseline 6MWD</w:t>
            </w:r>
          </w:p>
        </w:tc>
        <w:tc>
          <w:tcPr>
            <w:tcW w:w="494" w:type="pct"/>
            <w:shd w:val="clear" w:color="auto" w:fill="auto"/>
            <w:vAlign w:val="center"/>
          </w:tcPr>
          <w:p w:rsidR="00597F05" w:rsidRPr="00190D0C" w:rsidRDefault="00597F05" w:rsidP="0020323A">
            <w:pPr>
              <w:keepNext/>
              <w:jc w:val="center"/>
              <w:rPr>
                <w:rFonts w:ascii="Arial Narrow" w:hAnsi="Arial Narrow"/>
                <w:b/>
                <w:sz w:val="20"/>
                <w:lang w:val="en-US"/>
              </w:rPr>
            </w:pPr>
            <w:r w:rsidRPr="00190D0C">
              <w:rPr>
                <w:rFonts w:ascii="Arial Narrow" w:hAnsi="Arial Narrow"/>
                <w:b/>
                <w:sz w:val="20"/>
                <w:lang w:val="en-US"/>
              </w:rPr>
              <w:t>Change from baseline</w:t>
            </w:r>
          </w:p>
        </w:tc>
        <w:tc>
          <w:tcPr>
            <w:tcW w:w="994" w:type="pct"/>
            <w:vMerge/>
            <w:shd w:val="clear" w:color="auto" w:fill="auto"/>
            <w:vAlign w:val="center"/>
          </w:tcPr>
          <w:p w:rsidR="00597F05" w:rsidRPr="00190D0C" w:rsidRDefault="00597F05" w:rsidP="0020323A">
            <w:pPr>
              <w:keepNext/>
              <w:jc w:val="center"/>
              <w:rPr>
                <w:rFonts w:ascii="Arial Narrow" w:hAnsi="Arial Narrow"/>
                <w:sz w:val="20"/>
                <w:lang w:val="en-US"/>
              </w:rPr>
            </w:pPr>
          </w:p>
        </w:tc>
        <w:tc>
          <w:tcPr>
            <w:tcW w:w="993" w:type="pct"/>
            <w:vMerge/>
            <w:shd w:val="clear" w:color="auto" w:fill="auto"/>
            <w:vAlign w:val="center"/>
          </w:tcPr>
          <w:p w:rsidR="00597F05" w:rsidRPr="00190D0C" w:rsidRDefault="00597F05" w:rsidP="0020323A">
            <w:pPr>
              <w:keepNext/>
              <w:jc w:val="center"/>
              <w:rPr>
                <w:rFonts w:ascii="Arial Narrow" w:hAnsi="Arial Narrow"/>
                <w:sz w:val="20"/>
                <w:lang w:val="en-US"/>
              </w:rPr>
            </w:pPr>
          </w:p>
        </w:tc>
      </w:tr>
      <w:tr w:rsidR="00597F05" w:rsidRPr="00190D0C" w:rsidTr="0020323A">
        <w:tc>
          <w:tcPr>
            <w:tcW w:w="994" w:type="pct"/>
            <w:shd w:val="clear" w:color="auto" w:fill="auto"/>
            <w:vAlign w:val="center"/>
          </w:tcPr>
          <w:p w:rsidR="00597F05" w:rsidRPr="00190D0C" w:rsidRDefault="00597F05" w:rsidP="0020323A">
            <w:pPr>
              <w:keepNext/>
              <w:jc w:val="left"/>
              <w:rPr>
                <w:rFonts w:ascii="Arial Narrow" w:hAnsi="Arial Narrow"/>
                <w:sz w:val="20"/>
                <w:lang w:val="en-US"/>
              </w:rPr>
            </w:pPr>
            <w:r w:rsidRPr="00190D0C">
              <w:rPr>
                <w:rFonts w:ascii="Arial Narrow" w:hAnsi="Arial Narrow"/>
                <w:sz w:val="20"/>
                <w:lang w:val="en-US"/>
              </w:rPr>
              <w:t>CHEST-1</w:t>
            </w:r>
          </w:p>
        </w:tc>
        <w:tc>
          <w:tcPr>
            <w:tcW w:w="537" w:type="pct"/>
            <w:shd w:val="clear" w:color="auto" w:fill="auto"/>
            <w:vAlign w:val="center"/>
          </w:tcPr>
          <w:p w:rsidR="00597F05" w:rsidRPr="00190D0C" w:rsidRDefault="00597F05" w:rsidP="0020323A">
            <w:pPr>
              <w:keepNext/>
              <w:jc w:val="center"/>
              <w:rPr>
                <w:rFonts w:ascii="Arial Narrow" w:hAnsi="Arial Narrow"/>
                <w:sz w:val="20"/>
                <w:lang w:val="en-US"/>
              </w:rPr>
            </w:pPr>
            <w:r w:rsidRPr="00190D0C">
              <w:rPr>
                <w:rFonts w:ascii="Arial Narrow" w:hAnsi="Arial Narrow"/>
                <w:sz w:val="20"/>
                <w:lang w:val="en-US"/>
              </w:rPr>
              <w:t>342.3±81.9</w:t>
            </w:r>
          </w:p>
        </w:tc>
        <w:tc>
          <w:tcPr>
            <w:tcW w:w="494" w:type="pct"/>
            <w:shd w:val="clear" w:color="auto" w:fill="auto"/>
            <w:vAlign w:val="center"/>
          </w:tcPr>
          <w:p w:rsidR="00597F05" w:rsidRPr="00190D0C" w:rsidRDefault="00597F05" w:rsidP="0020323A">
            <w:pPr>
              <w:keepNext/>
              <w:jc w:val="center"/>
              <w:rPr>
                <w:rFonts w:ascii="Arial Narrow" w:hAnsi="Arial Narrow"/>
                <w:sz w:val="20"/>
                <w:lang w:val="en-US"/>
              </w:rPr>
            </w:pPr>
            <w:r w:rsidRPr="00190D0C">
              <w:rPr>
                <w:rFonts w:ascii="Arial Narrow" w:hAnsi="Arial Narrow"/>
                <w:sz w:val="20"/>
                <w:lang w:val="en-US"/>
              </w:rPr>
              <w:t>38.9±79.3</w:t>
            </w:r>
          </w:p>
        </w:tc>
        <w:tc>
          <w:tcPr>
            <w:tcW w:w="494" w:type="pct"/>
            <w:shd w:val="clear" w:color="auto" w:fill="auto"/>
            <w:vAlign w:val="center"/>
          </w:tcPr>
          <w:p w:rsidR="00597F05" w:rsidRPr="00190D0C" w:rsidRDefault="00597F05" w:rsidP="0020323A">
            <w:pPr>
              <w:keepNext/>
              <w:jc w:val="center"/>
              <w:rPr>
                <w:rFonts w:ascii="Arial Narrow" w:hAnsi="Arial Narrow"/>
                <w:sz w:val="20"/>
                <w:lang w:val="en-US"/>
              </w:rPr>
            </w:pPr>
            <w:r w:rsidRPr="00190D0C">
              <w:rPr>
                <w:rFonts w:ascii="Arial Narrow" w:hAnsi="Arial Narrow"/>
                <w:sz w:val="20"/>
                <w:lang w:val="en-US"/>
              </w:rPr>
              <w:t>356±74.7</w:t>
            </w:r>
          </w:p>
        </w:tc>
        <w:tc>
          <w:tcPr>
            <w:tcW w:w="494" w:type="pct"/>
            <w:shd w:val="clear" w:color="auto" w:fill="auto"/>
            <w:vAlign w:val="center"/>
          </w:tcPr>
          <w:p w:rsidR="00597F05" w:rsidRPr="00190D0C" w:rsidRDefault="00597F05" w:rsidP="0020323A">
            <w:pPr>
              <w:keepNext/>
              <w:jc w:val="center"/>
              <w:rPr>
                <w:rFonts w:ascii="Arial Narrow" w:hAnsi="Arial Narrow"/>
                <w:sz w:val="20"/>
                <w:lang w:val="en-US"/>
              </w:rPr>
            </w:pPr>
            <w:r w:rsidRPr="00190D0C">
              <w:rPr>
                <w:rFonts w:ascii="Arial Narrow" w:hAnsi="Arial Narrow"/>
                <w:sz w:val="20"/>
                <w:lang w:val="en-US"/>
              </w:rPr>
              <w:t>-5.5±84.3</w:t>
            </w:r>
          </w:p>
        </w:tc>
        <w:tc>
          <w:tcPr>
            <w:tcW w:w="994" w:type="pct"/>
            <w:shd w:val="clear" w:color="auto" w:fill="auto"/>
            <w:vAlign w:val="center"/>
          </w:tcPr>
          <w:p w:rsidR="00597F05" w:rsidRPr="00190D0C" w:rsidRDefault="00597F05" w:rsidP="0020323A">
            <w:pPr>
              <w:keepNext/>
              <w:jc w:val="center"/>
              <w:rPr>
                <w:rFonts w:ascii="Arial Narrow" w:hAnsi="Arial Narrow"/>
                <w:sz w:val="20"/>
                <w:lang w:val="en-US"/>
              </w:rPr>
            </w:pPr>
            <w:r w:rsidRPr="00190D0C">
              <w:rPr>
                <w:rFonts w:ascii="Arial Narrow" w:hAnsi="Arial Narrow"/>
                <w:sz w:val="20"/>
                <w:lang w:val="en-US"/>
              </w:rPr>
              <w:t xml:space="preserve">45.69 </w:t>
            </w:r>
            <w:r w:rsidRPr="00190D0C">
              <w:rPr>
                <w:rFonts w:ascii="Arial Narrow" w:hAnsi="Arial Narrow"/>
                <w:sz w:val="20"/>
                <w:lang w:val="en-US"/>
              </w:rPr>
              <w:br/>
              <w:t>(24.74, 66.63)</w:t>
            </w:r>
          </w:p>
        </w:tc>
        <w:tc>
          <w:tcPr>
            <w:tcW w:w="993" w:type="pct"/>
            <w:shd w:val="clear" w:color="auto" w:fill="auto"/>
            <w:vAlign w:val="center"/>
          </w:tcPr>
          <w:p w:rsidR="00597F05" w:rsidRPr="00190D0C" w:rsidRDefault="00597F05" w:rsidP="0020323A">
            <w:pPr>
              <w:keepNext/>
              <w:jc w:val="center"/>
              <w:rPr>
                <w:rFonts w:ascii="Arial Narrow" w:hAnsi="Arial Narrow"/>
                <w:sz w:val="20"/>
                <w:lang w:val="en-US"/>
              </w:rPr>
            </w:pPr>
            <w:r w:rsidRPr="00190D0C">
              <w:rPr>
                <w:rFonts w:ascii="Arial Narrow" w:hAnsi="Arial Narrow"/>
                <w:sz w:val="20"/>
                <w:lang w:val="en-US"/>
              </w:rPr>
              <w:t>&lt;0.0001</w:t>
            </w:r>
          </w:p>
        </w:tc>
      </w:tr>
    </w:tbl>
    <w:p w:rsidR="00597F05" w:rsidRPr="00190D0C" w:rsidRDefault="00501311" w:rsidP="00597F05">
      <w:pPr>
        <w:pStyle w:val="TableFooter"/>
        <w:ind w:firstLine="720"/>
      </w:pPr>
      <w:r w:rsidRPr="00190D0C">
        <w:t xml:space="preserve">6MWD = 6-minute walk distance; </w:t>
      </w:r>
      <w:r w:rsidR="00597F05" w:rsidRPr="00190D0C">
        <w:t>SD = standard deviation; CI = confidence interval.</w:t>
      </w:r>
    </w:p>
    <w:p w:rsidR="00D36CEE" w:rsidRPr="00190D0C" w:rsidRDefault="00D36CEE" w:rsidP="005D281E">
      <w:pPr>
        <w:pStyle w:val="TableFooter"/>
        <w:ind w:left="720"/>
        <w:rPr>
          <w:rStyle w:val="CommentReference"/>
          <w:b w:val="0"/>
          <w:sz w:val="18"/>
          <w:szCs w:val="20"/>
        </w:rPr>
      </w:pPr>
      <w:r w:rsidRPr="00190D0C">
        <w:rPr>
          <w:rStyle w:val="CommentReference"/>
          <w:b w:val="0"/>
          <w:sz w:val="18"/>
          <w:szCs w:val="20"/>
        </w:rPr>
        <w:t>Outcomes measured over 16 weeks</w:t>
      </w:r>
    </w:p>
    <w:p w:rsidR="00597F05" w:rsidRPr="00190D0C" w:rsidRDefault="00597F05" w:rsidP="00597F05">
      <w:pPr>
        <w:pStyle w:val="TableFooter"/>
        <w:ind w:firstLine="720"/>
      </w:pPr>
      <w:r w:rsidRPr="00190D0C">
        <w:t>Source: Table B.6-1, p87 of the submission</w:t>
      </w:r>
    </w:p>
    <w:p w:rsidR="00597F05" w:rsidRPr="00190D0C" w:rsidRDefault="00597F05" w:rsidP="00597F05">
      <w:pPr>
        <w:rPr>
          <w:szCs w:val="22"/>
        </w:rPr>
      </w:pPr>
    </w:p>
    <w:p w:rsidR="00D36CEE" w:rsidRPr="00190D0C" w:rsidRDefault="00F449D3" w:rsidP="00D36CEE">
      <w:pPr>
        <w:pStyle w:val="ListParagraph"/>
        <w:widowControl/>
        <w:numPr>
          <w:ilvl w:val="1"/>
          <w:numId w:val="10"/>
        </w:numPr>
        <w:rPr>
          <w:szCs w:val="22"/>
        </w:rPr>
      </w:pPr>
      <w:r>
        <w:rPr>
          <w:szCs w:val="22"/>
        </w:rPr>
        <w:t xml:space="preserve">The following table </w:t>
      </w:r>
      <w:r w:rsidR="00D36CEE" w:rsidRPr="00190D0C">
        <w:rPr>
          <w:szCs w:val="22"/>
        </w:rPr>
        <w:t xml:space="preserve">summarises the </w:t>
      </w:r>
      <w:r w:rsidR="005272A1" w:rsidRPr="00190D0C">
        <w:rPr>
          <w:szCs w:val="22"/>
        </w:rPr>
        <w:t xml:space="preserve">CHEST-1 </w:t>
      </w:r>
      <w:r w:rsidR="00D36CEE" w:rsidRPr="00190D0C">
        <w:rPr>
          <w:szCs w:val="22"/>
        </w:rPr>
        <w:t xml:space="preserve">results for change in WHO Functional Class from baseline to Week 16. </w:t>
      </w:r>
      <w:r w:rsidR="00D36CEE" w:rsidRPr="00190D0C">
        <w:t xml:space="preserve">Improvement of at least one WHO Functional Class is shown in 33% of riociguat-treated </w:t>
      </w:r>
      <w:r w:rsidR="005272A1" w:rsidRPr="00190D0C">
        <w:t xml:space="preserve">patients </w:t>
      </w:r>
      <w:r w:rsidR="00D36CEE" w:rsidRPr="00190D0C">
        <w:t xml:space="preserve">compared with 15% receiving placebo. </w:t>
      </w:r>
      <w:r w:rsidR="00507CDF" w:rsidRPr="00190D0C">
        <w:t xml:space="preserve">The riociguat arm was twice as likely as the </w:t>
      </w:r>
      <w:r w:rsidR="00501311" w:rsidRPr="00190D0C">
        <w:t>placebo</w:t>
      </w:r>
      <w:r w:rsidR="00570DE4" w:rsidRPr="00190D0C">
        <w:t xml:space="preserve"> </w:t>
      </w:r>
      <w:r w:rsidR="00507CDF" w:rsidRPr="00190D0C">
        <w:t xml:space="preserve">arm to improve 1 or 2 functional classes (RR 2.2, 95%CI 1.28, 3.80). This is likely </w:t>
      </w:r>
      <w:r w:rsidR="00A879AA">
        <w:t xml:space="preserve">to be </w:t>
      </w:r>
      <w:r w:rsidR="00507CDF" w:rsidRPr="00190D0C">
        <w:t xml:space="preserve">a clinically meaningful difference. However, the </w:t>
      </w:r>
      <w:r w:rsidR="00D36CEE" w:rsidRPr="00190D0C">
        <w:t>proportion of patients who were either stable or showed improvements in WHO Functional Class was similar between the riociguat arm (</w:t>
      </w:r>
      <w:r w:rsidR="00507CDF" w:rsidRPr="00190D0C">
        <w:t xml:space="preserve">164/173=94.8%) </w:t>
      </w:r>
      <w:r w:rsidR="00D36CEE" w:rsidRPr="00190D0C">
        <w:t xml:space="preserve">and the </w:t>
      </w:r>
      <w:r w:rsidR="00501311" w:rsidRPr="00190D0C">
        <w:t>placebo</w:t>
      </w:r>
      <w:r w:rsidR="00570DE4" w:rsidRPr="00190D0C">
        <w:t xml:space="preserve"> </w:t>
      </w:r>
      <w:r w:rsidR="00D36CEE" w:rsidRPr="00190D0C">
        <w:t>arm (</w:t>
      </w:r>
      <w:r w:rsidR="00507CDF" w:rsidRPr="00190D0C">
        <w:t>81/87=93.1%).</w:t>
      </w:r>
      <w:r w:rsidR="00D36CEE" w:rsidRPr="00190D0C">
        <w:t xml:space="preserve"> The proportion of patients who deteriorated, that is an increase of at least one class, was also similar between the randomised treatment groups (5</w:t>
      </w:r>
      <w:r w:rsidR="00613998" w:rsidRPr="00190D0C">
        <w:t>.2</w:t>
      </w:r>
      <w:r w:rsidR="00D36CEE" w:rsidRPr="00190D0C">
        <w:t xml:space="preserve">% in riociguat vs </w:t>
      </w:r>
      <w:r w:rsidR="00613998" w:rsidRPr="00190D0C">
        <w:t>6.9</w:t>
      </w:r>
      <w:r w:rsidR="00D36CEE" w:rsidRPr="00190D0C">
        <w:t>% in placebo).</w:t>
      </w:r>
    </w:p>
    <w:p w:rsidR="00D36CEE" w:rsidRPr="00190D0C" w:rsidRDefault="00D36CEE" w:rsidP="00D36CEE">
      <w:pPr>
        <w:pStyle w:val="ListParagraph"/>
        <w:widowControl/>
        <w:rPr>
          <w:szCs w:val="22"/>
        </w:rPr>
      </w:pPr>
    </w:p>
    <w:p w:rsidR="00D36CEE" w:rsidRPr="00190D0C" w:rsidRDefault="00D36CEE" w:rsidP="00D36CEE">
      <w:pPr>
        <w:pStyle w:val="TableFooter"/>
        <w:ind w:left="720"/>
        <w:rPr>
          <w:rStyle w:val="CommentReference"/>
        </w:rPr>
      </w:pPr>
      <w:r w:rsidRPr="00190D0C">
        <w:rPr>
          <w:rStyle w:val="CommentReference"/>
        </w:rPr>
        <w:t>Change (number of classes) in WHO Functional Class from baseline to Week 16 in ITT analysis set</w:t>
      </w:r>
    </w:p>
    <w:tbl>
      <w:tblPr>
        <w:tblStyle w:val="TableGrid19"/>
        <w:tblW w:w="8363" w:type="dxa"/>
        <w:tblInd w:w="817" w:type="dxa"/>
        <w:tblLook w:val="04A0" w:firstRow="1" w:lastRow="0" w:firstColumn="1" w:lastColumn="0" w:noHBand="0" w:noVBand="1"/>
        <w:tblDescription w:val="Change (number of classes) in WHO Functional Class from baseline to Week 16 in ITT analysis set"/>
      </w:tblPr>
      <w:tblGrid>
        <w:gridCol w:w="4136"/>
        <w:gridCol w:w="1557"/>
        <w:gridCol w:w="2670"/>
      </w:tblGrid>
      <w:tr w:rsidR="00D36CEE" w:rsidRPr="00190D0C" w:rsidTr="009C0393">
        <w:trPr>
          <w:trHeight w:val="560"/>
        </w:trPr>
        <w:tc>
          <w:tcPr>
            <w:tcW w:w="4136" w:type="dxa"/>
            <w:noWrap/>
            <w:hideMark/>
          </w:tcPr>
          <w:p w:rsidR="00D36CEE" w:rsidRPr="00190D0C" w:rsidRDefault="00D36CEE" w:rsidP="009A2022">
            <w:pPr>
              <w:pStyle w:val="TableFooter"/>
              <w:spacing w:line="240" w:lineRule="auto"/>
              <w:jc w:val="center"/>
              <w:rPr>
                <w:b/>
                <w:sz w:val="20"/>
              </w:rPr>
            </w:pPr>
            <w:r w:rsidRPr="00190D0C">
              <w:rPr>
                <w:b/>
                <w:iCs/>
                <w:sz w:val="20"/>
              </w:rPr>
              <w:t>Change in number of classes</w:t>
            </w:r>
          </w:p>
        </w:tc>
        <w:tc>
          <w:tcPr>
            <w:tcW w:w="0" w:type="auto"/>
            <w:hideMark/>
          </w:tcPr>
          <w:p w:rsidR="00D36CEE" w:rsidRPr="00190D0C" w:rsidRDefault="00D36CEE" w:rsidP="009A2022">
            <w:pPr>
              <w:pStyle w:val="TableFooter"/>
              <w:spacing w:line="240" w:lineRule="auto"/>
              <w:jc w:val="center"/>
              <w:rPr>
                <w:b/>
                <w:bCs/>
                <w:sz w:val="20"/>
              </w:rPr>
            </w:pPr>
            <w:r w:rsidRPr="00190D0C">
              <w:rPr>
                <w:b/>
                <w:bCs/>
                <w:sz w:val="20"/>
              </w:rPr>
              <w:t xml:space="preserve">Riociguat 1.0-2.5mg </w:t>
            </w:r>
          </w:p>
          <w:p w:rsidR="00D36CEE" w:rsidRPr="00190D0C" w:rsidRDefault="00D36CEE" w:rsidP="009A2022">
            <w:pPr>
              <w:pStyle w:val="TableFooter"/>
              <w:spacing w:line="240" w:lineRule="auto"/>
              <w:jc w:val="center"/>
              <w:rPr>
                <w:b/>
                <w:bCs/>
                <w:sz w:val="20"/>
              </w:rPr>
            </w:pPr>
            <w:r w:rsidRPr="00190D0C">
              <w:rPr>
                <w:b/>
                <w:bCs/>
                <w:sz w:val="20"/>
              </w:rPr>
              <w:t>n=173</w:t>
            </w:r>
          </w:p>
        </w:tc>
        <w:tc>
          <w:tcPr>
            <w:tcW w:w="2670" w:type="dxa"/>
            <w:hideMark/>
          </w:tcPr>
          <w:p w:rsidR="00D36CEE" w:rsidRPr="00190D0C" w:rsidRDefault="00D36CEE" w:rsidP="009A2022">
            <w:pPr>
              <w:pStyle w:val="TableFooter"/>
              <w:spacing w:line="240" w:lineRule="auto"/>
              <w:jc w:val="center"/>
              <w:rPr>
                <w:b/>
                <w:bCs/>
                <w:sz w:val="20"/>
              </w:rPr>
            </w:pPr>
            <w:r w:rsidRPr="00190D0C">
              <w:rPr>
                <w:b/>
                <w:bCs/>
                <w:sz w:val="20"/>
              </w:rPr>
              <w:t>Placebo</w:t>
            </w:r>
          </w:p>
          <w:p w:rsidR="00D36CEE" w:rsidRPr="00190D0C" w:rsidRDefault="00D36CEE" w:rsidP="009A2022">
            <w:pPr>
              <w:pStyle w:val="TableFooter"/>
              <w:spacing w:line="240" w:lineRule="auto"/>
              <w:jc w:val="center"/>
              <w:rPr>
                <w:b/>
                <w:bCs/>
                <w:sz w:val="20"/>
              </w:rPr>
            </w:pPr>
            <w:r w:rsidRPr="00190D0C">
              <w:rPr>
                <w:b/>
                <w:bCs/>
                <w:sz w:val="20"/>
              </w:rPr>
              <w:t>n=87</w:t>
            </w:r>
          </w:p>
        </w:tc>
      </w:tr>
      <w:tr w:rsidR="00D36CEE" w:rsidRPr="00190D0C" w:rsidTr="009C0393">
        <w:trPr>
          <w:trHeight w:val="270"/>
        </w:trPr>
        <w:tc>
          <w:tcPr>
            <w:tcW w:w="4136" w:type="dxa"/>
            <w:noWrap/>
            <w:hideMark/>
          </w:tcPr>
          <w:p w:rsidR="00D36CEE" w:rsidRPr="00190D0C" w:rsidRDefault="00D36CEE" w:rsidP="009A2022">
            <w:pPr>
              <w:pStyle w:val="TableFooter"/>
              <w:spacing w:line="240" w:lineRule="auto"/>
              <w:jc w:val="center"/>
              <w:rPr>
                <w:sz w:val="20"/>
              </w:rPr>
            </w:pPr>
            <w:r w:rsidRPr="00190D0C">
              <w:rPr>
                <w:sz w:val="20"/>
              </w:rPr>
              <w:t>-2</w:t>
            </w:r>
          </w:p>
        </w:tc>
        <w:tc>
          <w:tcPr>
            <w:tcW w:w="0" w:type="auto"/>
            <w:noWrap/>
            <w:hideMark/>
          </w:tcPr>
          <w:p w:rsidR="00D36CEE" w:rsidRPr="00190D0C" w:rsidRDefault="00D36CEE" w:rsidP="009A2022">
            <w:pPr>
              <w:pStyle w:val="TableFooter"/>
              <w:spacing w:line="240" w:lineRule="auto"/>
              <w:jc w:val="center"/>
              <w:rPr>
                <w:sz w:val="20"/>
              </w:rPr>
            </w:pPr>
            <w:r w:rsidRPr="00190D0C">
              <w:rPr>
                <w:sz w:val="20"/>
              </w:rPr>
              <w:t>4 (2.3)</w:t>
            </w:r>
          </w:p>
        </w:tc>
        <w:tc>
          <w:tcPr>
            <w:tcW w:w="2670" w:type="dxa"/>
            <w:noWrap/>
            <w:hideMark/>
          </w:tcPr>
          <w:p w:rsidR="00D36CEE" w:rsidRPr="00190D0C" w:rsidRDefault="00D36CEE" w:rsidP="009A2022">
            <w:pPr>
              <w:pStyle w:val="TableFooter"/>
              <w:spacing w:line="240" w:lineRule="auto"/>
              <w:jc w:val="center"/>
              <w:rPr>
                <w:sz w:val="20"/>
              </w:rPr>
            </w:pPr>
            <w:r w:rsidRPr="00190D0C">
              <w:rPr>
                <w:sz w:val="20"/>
              </w:rPr>
              <w:t>0 (0)</w:t>
            </w:r>
          </w:p>
        </w:tc>
      </w:tr>
      <w:tr w:rsidR="00D36CEE" w:rsidRPr="00190D0C" w:rsidTr="009C0393">
        <w:trPr>
          <w:trHeight w:val="270"/>
        </w:trPr>
        <w:tc>
          <w:tcPr>
            <w:tcW w:w="4136" w:type="dxa"/>
            <w:noWrap/>
            <w:hideMark/>
          </w:tcPr>
          <w:p w:rsidR="00D36CEE" w:rsidRPr="00190D0C" w:rsidRDefault="00D36CEE" w:rsidP="009A2022">
            <w:pPr>
              <w:pStyle w:val="TableFooter"/>
              <w:spacing w:line="240" w:lineRule="auto"/>
              <w:jc w:val="center"/>
              <w:rPr>
                <w:sz w:val="20"/>
              </w:rPr>
            </w:pPr>
            <w:r w:rsidRPr="00190D0C">
              <w:rPr>
                <w:sz w:val="20"/>
              </w:rPr>
              <w:t>-1</w:t>
            </w:r>
          </w:p>
        </w:tc>
        <w:tc>
          <w:tcPr>
            <w:tcW w:w="0" w:type="auto"/>
            <w:noWrap/>
            <w:hideMark/>
          </w:tcPr>
          <w:p w:rsidR="00D36CEE" w:rsidRPr="00190D0C" w:rsidRDefault="00D36CEE" w:rsidP="009A2022">
            <w:pPr>
              <w:pStyle w:val="TableFooter"/>
              <w:spacing w:line="240" w:lineRule="auto"/>
              <w:jc w:val="center"/>
              <w:rPr>
                <w:sz w:val="20"/>
              </w:rPr>
            </w:pPr>
            <w:r w:rsidRPr="00190D0C">
              <w:rPr>
                <w:sz w:val="20"/>
              </w:rPr>
              <w:t>53 (30.6)</w:t>
            </w:r>
          </w:p>
        </w:tc>
        <w:tc>
          <w:tcPr>
            <w:tcW w:w="2670" w:type="dxa"/>
            <w:noWrap/>
            <w:hideMark/>
          </w:tcPr>
          <w:p w:rsidR="00D36CEE" w:rsidRPr="00190D0C" w:rsidRDefault="00D36CEE" w:rsidP="009A2022">
            <w:pPr>
              <w:pStyle w:val="TableFooter"/>
              <w:spacing w:line="240" w:lineRule="auto"/>
              <w:jc w:val="center"/>
              <w:rPr>
                <w:sz w:val="20"/>
              </w:rPr>
            </w:pPr>
            <w:r w:rsidRPr="00190D0C">
              <w:rPr>
                <w:sz w:val="20"/>
              </w:rPr>
              <w:t>13 (14.9)</w:t>
            </w:r>
          </w:p>
        </w:tc>
      </w:tr>
      <w:tr w:rsidR="00D36CEE" w:rsidRPr="00190D0C" w:rsidTr="009C0393">
        <w:trPr>
          <w:trHeight w:val="270"/>
        </w:trPr>
        <w:tc>
          <w:tcPr>
            <w:tcW w:w="4136" w:type="dxa"/>
            <w:noWrap/>
            <w:hideMark/>
          </w:tcPr>
          <w:p w:rsidR="00D36CEE" w:rsidRPr="00190D0C" w:rsidRDefault="00D36CEE" w:rsidP="009A2022">
            <w:pPr>
              <w:pStyle w:val="TableFooter"/>
              <w:spacing w:line="240" w:lineRule="auto"/>
              <w:jc w:val="center"/>
              <w:rPr>
                <w:sz w:val="20"/>
              </w:rPr>
            </w:pPr>
            <w:r w:rsidRPr="00190D0C">
              <w:rPr>
                <w:sz w:val="20"/>
              </w:rPr>
              <w:t>0</w:t>
            </w:r>
          </w:p>
        </w:tc>
        <w:tc>
          <w:tcPr>
            <w:tcW w:w="0" w:type="auto"/>
            <w:noWrap/>
            <w:hideMark/>
          </w:tcPr>
          <w:p w:rsidR="00D36CEE" w:rsidRPr="00190D0C" w:rsidRDefault="00D36CEE" w:rsidP="009A2022">
            <w:pPr>
              <w:pStyle w:val="TableFooter"/>
              <w:spacing w:line="240" w:lineRule="auto"/>
              <w:jc w:val="center"/>
              <w:rPr>
                <w:sz w:val="20"/>
              </w:rPr>
            </w:pPr>
            <w:r w:rsidRPr="00190D0C">
              <w:rPr>
                <w:sz w:val="20"/>
              </w:rPr>
              <w:t>107 (61.8)</w:t>
            </w:r>
          </w:p>
        </w:tc>
        <w:tc>
          <w:tcPr>
            <w:tcW w:w="2670" w:type="dxa"/>
            <w:noWrap/>
            <w:hideMark/>
          </w:tcPr>
          <w:p w:rsidR="00D36CEE" w:rsidRPr="00190D0C" w:rsidRDefault="00D36CEE" w:rsidP="009A2022">
            <w:pPr>
              <w:pStyle w:val="TableFooter"/>
              <w:spacing w:line="240" w:lineRule="auto"/>
              <w:jc w:val="center"/>
              <w:rPr>
                <w:sz w:val="20"/>
              </w:rPr>
            </w:pPr>
            <w:r w:rsidRPr="00190D0C">
              <w:rPr>
                <w:sz w:val="20"/>
              </w:rPr>
              <w:t>68 (78.2)</w:t>
            </w:r>
          </w:p>
        </w:tc>
      </w:tr>
      <w:tr w:rsidR="00D36CEE" w:rsidRPr="00190D0C" w:rsidTr="009C0393">
        <w:trPr>
          <w:trHeight w:val="270"/>
        </w:trPr>
        <w:tc>
          <w:tcPr>
            <w:tcW w:w="4136" w:type="dxa"/>
            <w:noWrap/>
            <w:hideMark/>
          </w:tcPr>
          <w:p w:rsidR="00D36CEE" w:rsidRPr="00190D0C" w:rsidRDefault="00D36CEE" w:rsidP="009A2022">
            <w:pPr>
              <w:pStyle w:val="TableFooter"/>
              <w:spacing w:line="240" w:lineRule="auto"/>
              <w:jc w:val="center"/>
              <w:rPr>
                <w:iCs/>
                <w:sz w:val="20"/>
              </w:rPr>
            </w:pPr>
            <w:r w:rsidRPr="00190D0C">
              <w:rPr>
                <w:iCs/>
                <w:sz w:val="20"/>
              </w:rPr>
              <w:t>1</w:t>
            </w:r>
          </w:p>
        </w:tc>
        <w:tc>
          <w:tcPr>
            <w:tcW w:w="0" w:type="auto"/>
            <w:noWrap/>
            <w:hideMark/>
          </w:tcPr>
          <w:p w:rsidR="00D36CEE" w:rsidRPr="00190D0C" w:rsidRDefault="00D36CEE" w:rsidP="009A2022">
            <w:pPr>
              <w:pStyle w:val="TableFooter"/>
              <w:spacing w:line="240" w:lineRule="auto"/>
              <w:jc w:val="center"/>
              <w:rPr>
                <w:sz w:val="20"/>
              </w:rPr>
            </w:pPr>
            <w:r w:rsidRPr="00190D0C">
              <w:rPr>
                <w:sz w:val="20"/>
              </w:rPr>
              <w:t>7 (4.0)</w:t>
            </w:r>
          </w:p>
        </w:tc>
        <w:tc>
          <w:tcPr>
            <w:tcW w:w="2670" w:type="dxa"/>
            <w:noWrap/>
            <w:hideMark/>
          </w:tcPr>
          <w:p w:rsidR="00D36CEE" w:rsidRPr="00190D0C" w:rsidRDefault="00D36CEE" w:rsidP="009A2022">
            <w:pPr>
              <w:pStyle w:val="TableFooter"/>
              <w:spacing w:line="240" w:lineRule="auto"/>
              <w:jc w:val="center"/>
              <w:rPr>
                <w:sz w:val="20"/>
              </w:rPr>
            </w:pPr>
            <w:r w:rsidRPr="00190D0C">
              <w:rPr>
                <w:sz w:val="20"/>
              </w:rPr>
              <w:t>3 (3.4)</w:t>
            </w:r>
          </w:p>
        </w:tc>
      </w:tr>
      <w:tr w:rsidR="00D36CEE" w:rsidRPr="00190D0C" w:rsidTr="009C0393">
        <w:trPr>
          <w:trHeight w:val="270"/>
        </w:trPr>
        <w:tc>
          <w:tcPr>
            <w:tcW w:w="4136" w:type="dxa"/>
            <w:noWrap/>
            <w:hideMark/>
          </w:tcPr>
          <w:p w:rsidR="00D36CEE" w:rsidRPr="00190D0C" w:rsidRDefault="00D36CEE" w:rsidP="009A2022">
            <w:pPr>
              <w:pStyle w:val="TableFooter"/>
              <w:spacing w:line="240" w:lineRule="auto"/>
              <w:jc w:val="center"/>
              <w:rPr>
                <w:sz w:val="20"/>
              </w:rPr>
            </w:pPr>
            <w:r w:rsidRPr="00190D0C">
              <w:rPr>
                <w:sz w:val="20"/>
              </w:rPr>
              <w:t>2</w:t>
            </w:r>
          </w:p>
        </w:tc>
        <w:tc>
          <w:tcPr>
            <w:tcW w:w="0" w:type="auto"/>
            <w:noWrap/>
            <w:hideMark/>
          </w:tcPr>
          <w:p w:rsidR="00D36CEE" w:rsidRPr="00190D0C" w:rsidRDefault="00D36CEE" w:rsidP="009A2022">
            <w:pPr>
              <w:pStyle w:val="TableFooter"/>
              <w:spacing w:line="240" w:lineRule="auto"/>
              <w:jc w:val="center"/>
              <w:rPr>
                <w:sz w:val="20"/>
              </w:rPr>
            </w:pPr>
            <w:r w:rsidRPr="00190D0C">
              <w:rPr>
                <w:sz w:val="20"/>
              </w:rPr>
              <w:t>1 (0.6)</w:t>
            </w:r>
          </w:p>
        </w:tc>
        <w:tc>
          <w:tcPr>
            <w:tcW w:w="2670" w:type="dxa"/>
            <w:noWrap/>
            <w:hideMark/>
          </w:tcPr>
          <w:p w:rsidR="00D36CEE" w:rsidRPr="00190D0C" w:rsidRDefault="00D36CEE" w:rsidP="009A2022">
            <w:pPr>
              <w:pStyle w:val="TableFooter"/>
              <w:spacing w:line="240" w:lineRule="auto"/>
              <w:jc w:val="center"/>
              <w:rPr>
                <w:sz w:val="20"/>
              </w:rPr>
            </w:pPr>
            <w:r w:rsidRPr="00190D0C">
              <w:rPr>
                <w:sz w:val="20"/>
              </w:rPr>
              <w:t>3 (3.4)</w:t>
            </w:r>
          </w:p>
        </w:tc>
      </w:tr>
      <w:tr w:rsidR="00D36CEE" w:rsidRPr="00190D0C" w:rsidTr="009C0393">
        <w:trPr>
          <w:trHeight w:val="270"/>
        </w:trPr>
        <w:tc>
          <w:tcPr>
            <w:tcW w:w="4136" w:type="dxa"/>
            <w:noWrap/>
            <w:hideMark/>
          </w:tcPr>
          <w:p w:rsidR="00D36CEE" w:rsidRPr="00190D0C" w:rsidRDefault="00D36CEE" w:rsidP="009A2022">
            <w:pPr>
              <w:pStyle w:val="TableFooter"/>
              <w:spacing w:line="240" w:lineRule="auto"/>
              <w:jc w:val="center"/>
              <w:rPr>
                <w:iCs/>
                <w:sz w:val="20"/>
              </w:rPr>
            </w:pPr>
            <w:r w:rsidRPr="00190D0C">
              <w:rPr>
                <w:iCs/>
                <w:sz w:val="20"/>
              </w:rPr>
              <w:t>3</w:t>
            </w:r>
          </w:p>
        </w:tc>
        <w:tc>
          <w:tcPr>
            <w:tcW w:w="0" w:type="auto"/>
            <w:noWrap/>
            <w:hideMark/>
          </w:tcPr>
          <w:p w:rsidR="00D36CEE" w:rsidRPr="00190D0C" w:rsidRDefault="00D36CEE" w:rsidP="009A2022">
            <w:pPr>
              <w:pStyle w:val="TableFooter"/>
              <w:spacing w:line="240" w:lineRule="auto"/>
              <w:jc w:val="center"/>
              <w:rPr>
                <w:sz w:val="20"/>
              </w:rPr>
            </w:pPr>
            <w:r w:rsidRPr="00190D0C">
              <w:rPr>
                <w:sz w:val="20"/>
              </w:rPr>
              <w:t>1 (0.6)</w:t>
            </w:r>
          </w:p>
        </w:tc>
        <w:tc>
          <w:tcPr>
            <w:tcW w:w="2670" w:type="dxa"/>
            <w:noWrap/>
            <w:hideMark/>
          </w:tcPr>
          <w:p w:rsidR="00D36CEE" w:rsidRPr="00190D0C" w:rsidRDefault="00D36CEE" w:rsidP="009A2022">
            <w:pPr>
              <w:pStyle w:val="TableFooter"/>
              <w:spacing w:line="240" w:lineRule="auto"/>
              <w:jc w:val="center"/>
              <w:rPr>
                <w:sz w:val="20"/>
              </w:rPr>
            </w:pPr>
            <w:r w:rsidRPr="00190D0C">
              <w:rPr>
                <w:sz w:val="20"/>
              </w:rPr>
              <w:t>0 (0)</w:t>
            </w:r>
          </w:p>
        </w:tc>
      </w:tr>
      <w:tr w:rsidR="00D36CEE" w:rsidRPr="00190D0C" w:rsidTr="009C0393">
        <w:trPr>
          <w:trHeight w:val="270"/>
        </w:trPr>
        <w:tc>
          <w:tcPr>
            <w:tcW w:w="4136" w:type="dxa"/>
            <w:noWrap/>
          </w:tcPr>
          <w:p w:rsidR="00D36CEE" w:rsidRPr="00190D0C" w:rsidRDefault="00B3349C" w:rsidP="009A2022">
            <w:pPr>
              <w:pStyle w:val="TableFooter"/>
              <w:spacing w:line="240" w:lineRule="auto"/>
              <w:jc w:val="center"/>
              <w:rPr>
                <w:bCs/>
                <w:sz w:val="20"/>
              </w:rPr>
            </w:pPr>
            <w:r w:rsidRPr="00190D0C">
              <w:rPr>
                <w:bCs/>
                <w:sz w:val="20"/>
              </w:rPr>
              <w:t xml:space="preserve">Improvement of  ≥ 1 class* (95%CI): </w:t>
            </w:r>
            <w:r w:rsidR="00D36CEE" w:rsidRPr="00190D0C">
              <w:rPr>
                <w:bCs/>
                <w:sz w:val="20"/>
              </w:rPr>
              <w:t xml:space="preserve"> </w:t>
            </w:r>
          </w:p>
          <w:p w:rsidR="00D36CEE" w:rsidRPr="00190D0C" w:rsidRDefault="00D36CEE" w:rsidP="009A2022">
            <w:pPr>
              <w:pStyle w:val="TableFooter"/>
              <w:spacing w:line="240" w:lineRule="auto"/>
              <w:jc w:val="center"/>
              <w:rPr>
                <w:bCs/>
                <w:sz w:val="20"/>
              </w:rPr>
            </w:pPr>
            <w:r w:rsidRPr="00190D0C">
              <w:rPr>
                <w:bCs/>
                <w:sz w:val="20"/>
              </w:rPr>
              <w:t>Riociguat (32.9%) versus placebo (14.9%)</w:t>
            </w:r>
          </w:p>
        </w:tc>
        <w:tc>
          <w:tcPr>
            <w:tcW w:w="4227" w:type="dxa"/>
            <w:gridSpan w:val="2"/>
            <w:noWrap/>
          </w:tcPr>
          <w:p w:rsidR="00026D2E" w:rsidRPr="00190D0C" w:rsidRDefault="00026D2E" w:rsidP="00026D2E">
            <w:pPr>
              <w:pStyle w:val="TableFooter"/>
              <w:spacing w:line="240" w:lineRule="auto"/>
              <w:jc w:val="center"/>
              <w:rPr>
                <w:sz w:val="20"/>
              </w:rPr>
            </w:pPr>
            <w:r w:rsidRPr="00190D0C">
              <w:rPr>
                <w:sz w:val="20"/>
              </w:rPr>
              <w:t>Relative risk 2.2 (1.28, 3.80)</w:t>
            </w:r>
          </w:p>
          <w:p w:rsidR="00D36CEE" w:rsidRPr="00190D0C" w:rsidRDefault="00D36CEE" w:rsidP="009A2022">
            <w:pPr>
              <w:pStyle w:val="TableFooter"/>
              <w:spacing w:line="240" w:lineRule="auto"/>
              <w:jc w:val="center"/>
              <w:rPr>
                <w:sz w:val="20"/>
              </w:rPr>
            </w:pPr>
            <w:r w:rsidRPr="00190D0C">
              <w:rPr>
                <w:sz w:val="20"/>
              </w:rPr>
              <w:t>Risk difference 18% (7.7%, 28.3%)</w:t>
            </w:r>
          </w:p>
          <w:p w:rsidR="00D36CEE" w:rsidRPr="00190D0C" w:rsidRDefault="00D36CEE" w:rsidP="009A2022">
            <w:pPr>
              <w:pStyle w:val="TableFooter"/>
              <w:spacing w:line="240" w:lineRule="auto"/>
              <w:jc w:val="center"/>
              <w:rPr>
                <w:sz w:val="20"/>
              </w:rPr>
            </w:pPr>
            <w:r w:rsidRPr="00190D0C">
              <w:rPr>
                <w:sz w:val="20"/>
              </w:rPr>
              <w:t>p-value (stratified Wilcoxon test) = 0.0026</w:t>
            </w:r>
          </w:p>
        </w:tc>
      </w:tr>
    </w:tbl>
    <w:p w:rsidR="00026D2E" w:rsidRPr="00190D0C" w:rsidRDefault="00026D2E" w:rsidP="00D36CEE">
      <w:pPr>
        <w:pStyle w:val="TableFooter"/>
        <w:ind w:left="720"/>
      </w:pPr>
      <w:r w:rsidRPr="00190D0C">
        <w:t>Relative risk and risk difference were calculated during the evaluation using S</w:t>
      </w:r>
      <w:r w:rsidR="00C04DC9" w:rsidRPr="00190D0C">
        <w:t>tata</w:t>
      </w:r>
      <w:r w:rsidR="00F43EF4" w:rsidRPr="00190D0C">
        <w:t xml:space="preserve"> 12.</w:t>
      </w:r>
    </w:p>
    <w:p w:rsidR="00D36CEE" w:rsidRPr="00190D0C" w:rsidRDefault="00D36CEE" w:rsidP="00D36CEE">
      <w:pPr>
        <w:pStyle w:val="TableFooter"/>
        <w:ind w:left="720"/>
      </w:pPr>
      <w:r w:rsidRPr="00190D0C">
        <w:t>*Improvement by -1 and -2 summed in each treatment group; ITT = intention to treat</w:t>
      </w:r>
      <w:r w:rsidR="00026D2E" w:rsidRPr="00190D0C">
        <w:t>; CI = confidence interval</w:t>
      </w:r>
    </w:p>
    <w:p w:rsidR="00D36CEE" w:rsidRPr="00190D0C" w:rsidRDefault="00D36CEE" w:rsidP="00D36CEE">
      <w:pPr>
        <w:pStyle w:val="TableFooter"/>
        <w:ind w:left="720"/>
        <w:rPr>
          <w:szCs w:val="22"/>
        </w:rPr>
      </w:pPr>
      <w:r w:rsidRPr="00190D0C">
        <w:t>Source: TableB.6-6, p95 of the submission</w:t>
      </w:r>
    </w:p>
    <w:p w:rsidR="00D36CEE" w:rsidRPr="00190D0C" w:rsidRDefault="00D36CEE" w:rsidP="00597F05">
      <w:pPr>
        <w:rPr>
          <w:szCs w:val="22"/>
        </w:rPr>
      </w:pPr>
    </w:p>
    <w:p w:rsidR="00597F05" w:rsidRPr="002662EC" w:rsidRDefault="00597F05" w:rsidP="002662EC">
      <w:pPr>
        <w:pStyle w:val="BodyText"/>
        <w:rPr>
          <w:b/>
        </w:rPr>
      </w:pPr>
      <w:bookmarkStart w:id="13" w:name="_Toc398550899"/>
      <w:r w:rsidRPr="002662EC">
        <w:rPr>
          <w:b/>
        </w:rPr>
        <w:t>Comparative harms</w:t>
      </w:r>
      <w:bookmarkEnd w:id="13"/>
    </w:p>
    <w:p w:rsidR="00597F05" w:rsidRPr="00190D0C" w:rsidRDefault="00597F05" w:rsidP="00597F05">
      <w:pPr>
        <w:ind w:left="720" w:hanging="720"/>
        <w:rPr>
          <w:szCs w:val="22"/>
        </w:rPr>
      </w:pPr>
    </w:p>
    <w:p w:rsidR="00597F05" w:rsidRPr="00190D0C" w:rsidRDefault="00597F05" w:rsidP="00597F05">
      <w:pPr>
        <w:pStyle w:val="ListParagraph"/>
        <w:widowControl/>
        <w:numPr>
          <w:ilvl w:val="1"/>
          <w:numId w:val="10"/>
        </w:numPr>
        <w:rPr>
          <w:szCs w:val="22"/>
        </w:rPr>
      </w:pPr>
      <w:r w:rsidRPr="00190D0C">
        <w:t xml:space="preserve">Adverse events (AEs) reported in the CHEST-1 trial are summarised below. </w:t>
      </w:r>
      <w:r w:rsidR="00EB0C00" w:rsidRPr="00190D0C">
        <w:t xml:space="preserve">Treatment related emergent adverse events (TEAEs) were higher in the riociguat group compared to the </w:t>
      </w:r>
      <w:r w:rsidR="00501311" w:rsidRPr="00190D0C">
        <w:t>placebo</w:t>
      </w:r>
      <w:r w:rsidR="00A12C3B" w:rsidRPr="00190D0C">
        <w:t xml:space="preserve"> </w:t>
      </w:r>
      <w:r w:rsidR="00EB0C00" w:rsidRPr="00190D0C">
        <w:t xml:space="preserve">group. The most commonly experienced events associated with riociguat were headache, dizziness, dyspepsia and hypotension. Overall, riociguat is associated with an increased risk of AEs compared with placebo. Data (including those from the CHEST-2 extension study) provided </w:t>
      </w:r>
      <w:r w:rsidR="005272A1" w:rsidRPr="00190D0C">
        <w:t>in</w:t>
      </w:r>
      <w:r w:rsidR="00EB0C00" w:rsidRPr="00190D0C">
        <w:t xml:space="preserve"> the submission do not suggest any additional </w:t>
      </w:r>
      <w:r w:rsidRPr="00190D0C">
        <w:t>safety concerns associated with riociguat.</w:t>
      </w:r>
    </w:p>
    <w:p w:rsidR="00597F05" w:rsidRPr="00190D0C" w:rsidRDefault="00597F05" w:rsidP="00597F05">
      <w:pPr>
        <w:pStyle w:val="ListParagraph"/>
        <w:widowControl/>
      </w:pPr>
    </w:p>
    <w:p w:rsidR="00597F05" w:rsidRPr="00190D0C" w:rsidRDefault="00597F05" w:rsidP="00597F05">
      <w:pPr>
        <w:keepNext/>
        <w:widowControl/>
        <w:ind w:firstLine="720"/>
        <w:jc w:val="left"/>
        <w:rPr>
          <w:rStyle w:val="CommentReference"/>
          <w:rFonts w:eastAsia="MS Mincho"/>
        </w:rPr>
      </w:pPr>
      <w:r w:rsidRPr="00190D0C">
        <w:rPr>
          <w:rStyle w:val="CommentReference"/>
        </w:rPr>
        <w:lastRenderedPageBreak/>
        <w:t>Summary of key adverse events in the CHEST-1 trial</w:t>
      </w:r>
    </w:p>
    <w:tbl>
      <w:tblPr>
        <w:tblStyle w:val="TableGrid1"/>
        <w:tblW w:w="4548" w:type="pct"/>
        <w:tblInd w:w="836" w:type="dxa"/>
        <w:tblLook w:val="04A0" w:firstRow="1" w:lastRow="0" w:firstColumn="1" w:lastColumn="0" w:noHBand="0" w:noVBand="1"/>
        <w:tblDescription w:val="Summary of key adverse events in the CHEST-1 trial"/>
      </w:tblPr>
      <w:tblGrid>
        <w:gridCol w:w="1488"/>
        <w:gridCol w:w="1734"/>
        <w:gridCol w:w="1728"/>
        <w:gridCol w:w="1728"/>
        <w:gridCol w:w="1729"/>
      </w:tblGrid>
      <w:tr w:rsidR="00597F05" w:rsidRPr="00190D0C" w:rsidTr="0020323A">
        <w:tc>
          <w:tcPr>
            <w:tcW w:w="736" w:type="pct"/>
            <w:vAlign w:val="center"/>
          </w:tcPr>
          <w:p w:rsidR="00597F05" w:rsidRPr="00190D0C" w:rsidRDefault="00597F05" w:rsidP="0020323A">
            <w:pPr>
              <w:keepNext/>
              <w:jc w:val="center"/>
              <w:rPr>
                <w:rFonts w:ascii="Arial Narrow" w:hAnsi="Arial Narrow" w:cs="Times New Roman"/>
                <w:b/>
                <w:color w:val="000000"/>
                <w:sz w:val="20"/>
                <w:lang w:eastAsia="en-IE"/>
              </w:rPr>
            </w:pPr>
          </w:p>
        </w:tc>
        <w:tc>
          <w:tcPr>
            <w:tcW w:w="1069" w:type="pct"/>
            <w:vAlign w:val="center"/>
          </w:tcPr>
          <w:p w:rsidR="00597F05" w:rsidRPr="00190D0C" w:rsidRDefault="00597F05" w:rsidP="0020323A">
            <w:pPr>
              <w:jc w:val="center"/>
              <w:rPr>
                <w:rFonts w:ascii="Arial Narrow" w:hAnsi="Arial Narrow" w:cs="Times New Roman"/>
                <w:b/>
                <w:color w:val="000000"/>
                <w:sz w:val="20"/>
                <w:lang w:eastAsia="en-IE"/>
              </w:rPr>
            </w:pPr>
            <w:r w:rsidRPr="00190D0C">
              <w:rPr>
                <w:rFonts w:ascii="Arial Narrow" w:hAnsi="Arial Narrow" w:cs="Times New Roman"/>
                <w:b/>
                <w:color w:val="000000"/>
                <w:sz w:val="20"/>
                <w:lang w:eastAsia="en-IE"/>
              </w:rPr>
              <w:t>Riociguat (N=173)</w:t>
            </w:r>
          </w:p>
          <w:p w:rsidR="00597F05" w:rsidRPr="00190D0C" w:rsidRDefault="00597F05" w:rsidP="0020323A">
            <w:pPr>
              <w:jc w:val="center"/>
              <w:rPr>
                <w:rFonts w:ascii="Arial Narrow" w:hAnsi="Arial Narrow" w:cs="Times New Roman"/>
                <w:b/>
                <w:color w:val="000000"/>
                <w:sz w:val="20"/>
                <w:lang w:eastAsia="en-IE"/>
              </w:rPr>
            </w:pPr>
            <w:proofErr w:type="gramStart"/>
            <w:r w:rsidRPr="00190D0C">
              <w:rPr>
                <w:rFonts w:ascii="Arial Narrow" w:hAnsi="Arial Narrow" w:cs="Times New Roman"/>
                <w:b/>
                <w:color w:val="000000"/>
                <w:sz w:val="20"/>
                <w:lang w:eastAsia="en-IE"/>
              </w:rPr>
              <w:t>n</w:t>
            </w:r>
            <w:proofErr w:type="gramEnd"/>
            <w:r w:rsidRPr="00190D0C">
              <w:rPr>
                <w:rFonts w:ascii="Arial Narrow" w:hAnsi="Arial Narrow" w:cs="Times New Roman"/>
                <w:b/>
                <w:color w:val="000000"/>
                <w:sz w:val="20"/>
                <w:lang w:eastAsia="en-IE"/>
              </w:rPr>
              <w:t xml:space="preserve"> (%)</w:t>
            </w:r>
          </w:p>
        </w:tc>
        <w:tc>
          <w:tcPr>
            <w:tcW w:w="1065" w:type="pct"/>
            <w:vAlign w:val="center"/>
          </w:tcPr>
          <w:p w:rsidR="00597F05" w:rsidRPr="00190D0C" w:rsidRDefault="00597F05" w:rsidP="0020323A">
            <w:pPr>
              <w:jc w:val="center"/>
              <w:rPr>
                <w:rFonts w:ascii="Arial Narrow" w:hAnsi="Arial Narrow" w:cs="Times New Roman"/>
                <w:b/>
                <w:color w:val="000000"/>
                <w:sz w:val="20"/>
                <w:lang w:eastAsia="en-IE"/>
              </w:rPr>
            </w:pPr>
            <w:r w:rsidRPr="00190D0C">
              <w:rPr>
                <w:rFonts w:ascii="Arial Narrow" w:hAnsi="Arial Narrow" w:cs="Times New Roman"/>
                <w:b/>
                <w:color w:val="000000"/>
                <w:sz w:val="20"/>
                <w:lang w:eastAsia="en-IE"/>
              </w:rPr>
              <w:t>Placebo</w:t>
            </w:r>
            <w:r w:rsidR="00501311" w:rsidRPr="00190D0C">
              <w:rPr>
                <w:rFonts w:ascii="Arial Narrow" w:hAnsi="Arial Narrow" w:cs="Times New Roman"/>
                <w:b/>
                <w:color w:val="000000"/>
                <w:sz w:val="20"/>
                <w:lang w:eastAsia="en-IE"/>
              </w:rPr>
              <w:t xml:space="preserve"> </w:t>
            </w:r>
            <w:r w:rsidRPr="00190D0C">
              <w:rPr>
                <w:rFonts w:ascii="Arial Narrow" w:hAnsi="Arial Narrow" w:cs="Times New Roman"/>
                <w:b/>
                <w:color w:val="000000"/>
                <w:sz w:val="20"/>
                <w:lang w:eastAsia="en-IE"/>
              </w:rPr>
              <w:t>(N=88)</w:t>
            </w:r>
          </w:p>
          <w:p w:rsidR="00597F05" w:rsidRPr="00190D0C" w:rsidRDefault="00597F05" w:rsidP="0020323A">
            <w:pPr>
              <w:jc w:val="center"/>
              <w:rPr>
                <w:rFonts w:ascii="Arial Narrow" w:hAnsi="Arial Narrow" w:cs="Times New Roman"/>
                <w:b/>
                <w:color w:val="000000"/>
                <w:sz w:val="20"/>
                <w:lang w:eastAsia="en-IE"/>
              </w:rPr>
            </w:pPr>
            <w:proofErr w:type="gramStart"/>
            <w:r w:rsidRPr="00190D0C">
              <w:rPr>
                <w:rFonts w:ascii="Arial Narrow" w:hAnsi="Arial Narrow" w:cs="Times New Roman"/>
                <w:b/>
                <w:color w:val="000000"/>
                <w:sz w:val="20"/>
                <w:lang w:eastAsia="en-IE"/>
              </w:rPr>
              <w:t>n</w:t>
            </w:r>
            <w:proofErr w:type="gramEnd"/>
            <w:r w:rsidRPr="00190D0C">
              <w:rPr>
                <w:rFonts w:ascii="Arial Narrow" w:hAnsi="Arial Narrow" w:cs="Times New Roman"/>
                <w:b/>
                <w:color w:val="000000"/>
                <w:sz w:val="20"/>
                <w:lang w:eastAsia="en-IE"/>
              </w:rPr>
              <w:t xml:space="preserve"> (%)</w:t>
            </w:r>
          </w:p>
        </w:tc>
        <w:tc>
          <w:tcPr>
            <w:tcW w:w="1065" w:type="pct"/>
          </w:tcPr>
          <w:p w:rsidR="00597F05" w:rsidRPr="00190D0C" w:rsidRDefault="00597F05" w:rsidP="0020323A">
            <w:pPr>
              <w:jc w:val="center"/>
              <w:rPr>
                <w:rFonts w:ascii="Arial Narrow" w:hAnsi="Arial Narrow" w:cs="Times New Roman"/>
                <w:b/>
                <w:color w:val="000000"/>
                <w:sz w:val="20"/>
                <w:lang w:eastAsia="en-IE"/>
              </w:rPr>
            </w:pPr>
            <w:r w:rsidRPr="00190D0C">
              <w:rPr>
                <w:rFonts w:ascii="Arial Narrow" w:hAnsi="Arial Narrow" w:cs="Times New Roman"/>
                <w:b/>
                <w:color w:val="000000"/>
                <w:sz w:val="20"/>
                <w:lang w:eastAsia="en-IE"/>
              </w:rPr>
              <w:t>RR (95% CI)</w:t>
            </w:r>
          </w:p>
        </w:tc>
        <w:tc>
          <w:tcPr>
            <w:tcW w:w="1064" w:type="pct"/>
          </w:tcPr>
          <w:p w:rsidR="00597F05" w:rsidRPr="00190D0C" w:rsidRDefault="00597F05" w:rsidP="0020323A">
            <w:pPr>
              <w:jc w:val="center"/>
              <w:rPr>
                <w:rFonts w:ascii="Arial Narrow" w:hAnsi="Arial Narrow" w:cs="Times New Roman"/>
                <w:b/>
                <w:color w:val="000000"/>
                <w:sz w:val="20"/>
                <w:lang w:eastAsia="en-IE"/>
              </w:rPr>
            </w:pPr>
            <w:r w:rsidRPr="00190D0C">
              <w:rPr>
                <w:rFonts w:ascii="Arial Narrow" w:hAnsi="Arial Narrow" w:cs="Times New Roman"/>
                <w:b/>
                <w:color w:val="000000"/>
                <w:sz w:val="20"/>
                <w:lang w:eastAsia="en-IE"/>
              </w:rPr>
              <w:t>RD% (95% CI)</w:t>
            </w:r>
          </w:p>
        </w:tc>
      </w:tr>
      <w:tr w:rsidR="00597F05" w:rsidRPr="00190D0C" w:rsidTr="0020323A">
        <w:tc>
          <w:tcPr>
            <w:tcW w:w="736" w:type="pct"/>
            <w:vAlign w:val="center"/>
          </w:tcPr>
          <w:p w:rsidR="00597F05" w:rsidRPr="00190D0C" w:rsidRDefault="00597F05" w:rsidP="0020323A">
            <w:pPr>
              <w:jc w:val="left"/>
              <w:rPr>
                <w:rFonts w:ascii="Arial Narrow" w:hAnsi="Arial Narrow" w:cs="Times New Roman"/>
                <w:color w:val="000000"/>
                <w:sz w:val="20"/>
              </w:rPr>
            </w:pPr>
            <w:r w:rsidRPr="00190D0C">
              <w:rPr>
                <w:rFonts w:ascii="Arial Narrow" w:hAnsi="Arial Narrow" w:cs="Times New Roman"/>
                <w:color w:val="000000"/>
                <w:sz w:val="20"/>
              </w:rPr>
              <w:t>AE (any)</w:t>
            </w:r>
          </w:p>
        </w:tc>
        <w:tc>
          <w:tcPr>
            <w:tcW w:w="1069" w:type="pct"/>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160 (92.5)</w:t>
            </w:r>
          </w:p>
        </w:tc>
        <w:tc>
          <w:tcPr>
            <w:tcW w:w="1065" w:type="pct"/>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78 (88.6)</w:t>
            </w:r>
          </w:p>
        </w:tc>
        <w:tc>
          <w:tcPr>
            <w:tcW w:w="1065" w:type="pct"/>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1.04 (0.96, 1.14)</w:t>
            </w:r>
          </w:p>
        </w:tc>
        <w:tc>
          <w:tcPr>
            <w:tcW w:w="1064" w:type="pct"/>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3.8 (-3.9, 11.6)</w:t>
            </w:r>
          </w:p>
        </w:tc>
      </w:tr>
      <w:tr w:rsidR="00597F05" w:rsidRPr="00190D0C" w:rsidTr="0020323A">
        <w:tc>
          <w:tcPr>
            <w:tcW w:w="736" w:type="pct"/>
            <w:vAlign w:val="center"/>
          </w:tcPr>
          <w:p w:rsidR="00597F05" w:rsidRPr="00190D0C" w:rsidRDefault="00597F05" w:rsidP="0020323A">
            <w:pPr>
              <w:spacing w:after="300"/>
              <w:contextualSpacing/>
              <w:jc w:val="left"/>
              <w:rPr>
                <w:rFonts w:ascii="Arial Narrow" w:hAnsi="Arial Narrow" w:cs="Times New Roman"/>
                <w:color w:val="000000"/>
                <w:sz w:val="20"/>
              </w:rPr>
            </w:pPr>
            <w:r w:rsidRPr="00190D0C">
              <w:rPr>
                <w:rFonts w:ascii="Arial Narrow" w:hAnsi="Arial Narrow" w:cs="Times New Roman"/>
                <w:color w:val="000000"/>
                <w:sz w:val="20"/>
              </w:rPr>
              <w:t>TEAE (any)</w:t>
            </w:r>
          </w:p>
        </w:tc>
        <w:tc>
          <w:tcPr>
            <w:tcW w:w="1069" w:type="pct"/>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159 (91.9)</w:t>
            </w:r>
          </w:p>
        </w:tc>
        <w:tc>
          <w:tcPr>
            <w:tcW w:w="1065" w:type="pct"/>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76 (86.4)</w:t>
            </w:r>
          </w:p>
        </w:tc>
        <w:tc>
          <w:tcPr>
            <w:tcW w:w="1065" w:type="pct"/>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1.06 (0.97, 1.17)</w:t>
            </w:r>
          </w:p>
        </w:tc>
        <w:tc>
          <w:tcPr>
            <w:tcW w:w="1064" w:type="pct"/>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5.5 (-2.3, 13.8)</w:t>
            </w:r>
          </w:p>
        </w:tc>
      </w:tr>
      <w:tr w:rsidR="00597F05" w:rsidRPr="00190D0C" w:rsidTr="0020323A">
        <w:tc>
          <w:tcPr>
            <w:tcW w:w="736" w:type="pct"/>
            <w:vAlign w:val="center"/>
          </w:tcPr>
          <w:p w:rsidR="00597F05" w:rsidRPr="00190D0C" w:rsidRDefault="00597F05" w:rsidP="0020323A">
            <w:pPr>
              <w:spacing w:after="300"/>
              <w:contextualSpacing/>
              <w:jc w:val="left"/>
              <w:rPr>
                <w:rFonts w:ascii="Arial Narrow" w:hAnsi="Arial Narrow" w:cs="Times New Roman"/>
                <w:color w:val="000000"/>
                <w:sz w:val="20"/>
              </w:rPr>
            </w:pPr>
            <w:r w:rsidRPr="00190D0C">
              <w:rPr>
                <w:rFonts w:ascii="Arial Narrow" w:hAnsi="Arial Narrow" w:cs="Times New Roman"/>
                <w:color w:val="000000"/>
                <w:sz w:val="20"/>
              </w:rPr>
              <w:t>Discontinuation because of AE</w:t>
            </w:r>
          </w:p>
        </w:tc>
        <w:tc>
          <w:tcPr>
            <w:tcW w:w="1069" w:type="pct"/>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5 (2.9)</w:t>
            </w:r>
          </w:p>
        </w:tc>
        <w:tc>
          <w:tcPr>
            <w:tcW w:w="1065" w:type="pct"/>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2 (2.3)</w:t>
            </w:r>
          </w:p>
        </w:tc>
        <w:tc>
          <w:tcPr>
            <w:tcW w:w="1065" w:type="pct"/>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1.27 (0.25, 6.42)</w:t>
            </w:r>
          </w:p>
        </w:tc>
        <w:tc>
          <w:tcPr>
            <w:tcW w:w="1064" w:type="pct"/>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0.62 (-3.4, 4.6)</w:t>
            </w:r>
          </w:p>
        </w:tc>
      </w:tr>
      <w:tr w:rsidR="00597F05" w:rsidRPr="00190D0C" w:rsidTr="0020323A">
        <w:tc>
          <w:tcPr>
            <w:tcW w:w="736" w:type="pct"/>
            <w:vAlign w:val="center"/>
          </w:tcPr>
          <w:p w:rsidR="00597F05" w:rsidRPr="00190D0C" w:rsidRDefault="00597F05" w:rsidP="0020323A">
            <w:pPr>
              <w:spacing w:after="300"/>
              <w:contextualSpacing/>
              <w:jc w:val="left"/>
              <w:rPr>
                <w:rFonts w:ascii="Arial Narrow" w:hAnsi="Arial Narrow" w:cs="Times New Roman"/>
                <w:color w:val="000000"/>
                <w:sz w:val="20"/>
              </w:rPr>
            </w:pPr>
            <w:r w:rsidRPr="00190D0C">
              <w:rPr>
                <w:rFonts w:ascii="Arial Narrow" w:hAnsi="Arial Narrow" w:cs="Times New Roman"/>
                <w:color w:val="000000"/>
                <w:sz w:val="20"/>
              </w:rPr>
              <w:t>Any TEAE leading to death</w:t>
            </w:r>
          </w:p>
        </w:tc>
        <w:tc>
          <w:tcPr>
            <w:tcW w:w="1069" w:type="pct"/>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2 (1.2)</w:t>
            </w:r>
          </w:p>
        </w:tc>
        <w:tc>
          <w:tcPr>
            <w:tcW w:w="1065" w:type="pct"/>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3 (3.4)</w:t>
            </w:r>
          </w:p>
        </w:tc>
        <w:tc>
          <w:tcPr>
            <w:tcW w:w="1065" w:type="pct"/>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0.34 (0.06, 1.99)</w:t>
            </w:r>
          </w:p>
        </w:tc>
        <w:tc>
          <w:tcPr>
            <w:tcW w:w="1064" w:type="pct"/>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-2.3 (-6.4, 1.9)</w:t>
            </w:r>
          </w:p>
        </w:tc>
      </w:tr>
      <w:tr w:rsidR="00597F05" w:rsidRPr="00190D0C" w:rsidTr="0020323A">
        <w:tc>
          <w:tcPr>
            <w:tcW w:w="736" w:type="pct"/>
            <w:tcBorders>
              <w:bottom w:val="single" w:sz="4" w:space="0" w:color="auto"/>
            </w:tcBorders>
            <w:vAlign w:val="center"/>
          </w:tcPr>
          <w:p w:rsidR="00597F05" w:rsidRPr="00190D0C" w:rsidRDefault="00597F05" w:rsidP="0020323A">
            <w:pPr>
              <w:spacing w:after="300"/>
              <w:contextualSpacing/>
              <w:jc w:val="left"/>
              <w:rPr>
                <w:rFonts w:ascii="Arial Narrow" w:hAnsi="Arial Narrow" w:cs="Times New Roman"/>
                <w:color w:val="000000"/>
                <w:sz w:val="20"/>
              </w:rPr>
            </w:pPr>
            <w:r w:rsidRPr="00190D0C">
              <w:rPr>
                <w:rFonts w:ascii="Arial Narrow" w:hAnsi="Arial Narrow" w:cs="Times New Roman"/>
                <w:color w:val="000000"/>
                <w:sz w:val="20"/>
              </w:rPr>
              <w:t>Serious TEAE (any)</w:t>
            </w:r>
          </w:p>
        </w:tc>
        <w:tc>
          <w:tcPr>
            <w:tcW w:w="1069" w:type="pct"/>
            <w:tcBorders>
              <w:bottom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34 (19.7)</w:t>
            </w:r>
          </w:p>
        </w:tc>
        <w:tc>
          <w:tcPr>
            <w:tcW w:w="1065" w:type="pct"/>
            <w:tcBorders>
              <w:bottom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14 (15.9)</w:t>
            </w:r>
          </w:p>
        </w:tc>
        <w:tc>
          <w:tcPr>
            <w:tcW w:w="1065" w:type="pct"/>
            <w:tcBorders>
              <w:bottom w:val="single" w:sz="4" w:space="0" w:color="auto"/>
            </w:tcBorders>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1.24 (0.70, 2.18)</w:t>
            </w:r>
          </w:p>
        </w:tc>
        <w:tc>
          <w:tcPr>
            <w:tcW w:w="1064" w:type="pct"/>
            <w:tcBorders>
              <w:bottom w:val="single" w:sz="4" w:space="0" w:color="auto"/>
            </w:tcBorders>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3.7 (-5.9, 13.4</w:t>
            </w:r>
            <w:r w:rsidR="00C04DC9" w:rsidRPr="00190D0C">
              <w:rPr>
                <w:rFonts w:ascii="Arial Narrow" w:hAnsi="Arial Narrow" w:cs="Times New Roman"/>
                <w:color w:val="000000"/>
                <w:sz w:val="20"/>
              </w:rPr>
              <w:t>)</w:t>
            </w:r>
          </w:p>
        </w:tc>
      </w:tr>
      <w:tr w:rsidR="00597F05" w:rsidRPr="00190D0C" w:rsidTr="0020323A">
        <w:tc>
          <w:tcPr>
            <w:tcW w:w="5000" w:type="pct"/>
            <w:gridSpan w:val="5"/>
            <w:tcBorders>
              <w:bottom w:val="single" w:sz="4" w:space="0" w:color="auto"/>
            </w:tcBorders>
            <w:vAlign w:val="center"/>
          </w:tcPr>
          <w:p w:rsidR="00597F05" w:rsidRPr="00190D0C" w:rsidRDefault="00597F05" w:rsidP="0020323A">
            <w:pPr>
              <w:spacing w:after="300"/>
              <w:contextualSpacing/>
              <w:jc w:val="left"/>
              <w:rPr>
                <w:rFonts w:ascii="Arial Narrow" w:hAnsi="Arial Narrow" w:cs="Times New Roman"/>
                <w:b/>
                <w:color w:val="000000"/>
                <w:sz w:val="20"/>
              </w:rPr>
            </w:pPr>
            <w:r w:rsidRPr="00190D0C">
              <w:rPr>
                <w:rFonts w:ascii="Arial Narrow" w:hAnsi="Arial Narrow" w:cs="Times New Roman"/>
                <w:b/>
                <w:color w:val="000000"/>
                <w:sz w:val="20"/>
                <w:u w:val="single"/>
              </w:rPr>
              <w:t>Drug-related</w:t>
            </w:r>
            <w:r w:rsidRPr="00190D0C">
              <w:rPr>
                <w:rFonts w:ascii="Arial Narrow" w:hAnsi="Arial Narrow" w:cs="Times New Roman"/>
                <w:b/>
                <w:color w:val="000000"/>
                <w:sz w:val="20"/>
              </w:rPr>
              <w:t xml:space="preserve"> TEAEs (≥5% of subjects in either treatment arm)</w:t>
            </w:r>
          </w:p>
        </w:tc>
      </w:tr>
      <w:tr w:rsidR="00597F05" w:rsidRPr="00190D0C" w:rsidTr="0020323A">
        <w:tc>
          <w:tcPr>
            <w:tcW w:w="736"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widowControl/>
              <w:numPr>
                <w:ilvl w:val="0"/>
                <w:numId w:val="14"/>
              </w:numPr>
              <w:spacing w:after="300"/>
              <w:contextualSpacing/>
              <w:jc w:val="left"/>
              <w:rPr>
                <w:rFonts w:ascii="Arial Narrow" w:hAnsi="Arial Narrow" w:cs="Times New Roman"/>
                <w:color w:val="000000"/>
                <w:sz w:val="20"/>
              </w:rPr>
            </w:pPr>
            <w:r w:rsidRPr="00190D0C">
              <w:rPr>
                <w:rFonts w:ascii="Arial Narrow" w:hAnsi="Arial Narrow" w:cs="Times New Roman"/>
                <w:color w:val="000000"/>
                <w:sz w:val="20"/>
              </w:rPr>
              <w:t>Headache</w:t>
            </w:r>
          </w:p>
        </w:tc>
        <w:tc>
          <w:tcPr>
            <w:tcW w:w="1069"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27 (15.6)</w:t>
            </w:r>
          </w:p>
        </w:tc>
        <w:tc>
          <w:tcPr>
            <w:tcW w:w="1065"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7 (8)</w:t>
            </w:r>
            <w:r w:rsidR="00C04DC9" w:rsidRPr="00190D0C">
              <w:rPr>
                <w:rFonts w:ascii="Arial Narrow" w:hAnsi="Arial Narrow" w:cs="Times New Roman"/>
                <w:color w:val="000000"/>
                <w:sz w:val="20"/>
              </w:rPr>
              <w:t>.0</w:t>
            </w:r>
          </w:p>
        </w:tc>
        <w:tc>
          <w:tcPr>
            <w:tcW w:w="1065" w:type="pct"/>
            <w:tcBorders>
              <w:top w:val="single" w:sz="4" w:space="0" w:color="auto"/>
              <w:left w:val="single" w:sz="4" w:space="0" w:color="auto"/>
              <w:bottom w:val="single" w:sz="4" w:space="0" w:color="auto"/>
              <w:right w:val="single" w:sz="4" w:space="0" w:color="auto"/>
            </w:tcBorders>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1.96 (0.89, 4.33)</w:t>
            </w:r>
          </w:p>
        </w:tc>
        <w:tc>
          <w:tcPr>
            <w:tcW w:w="1064" w:type="pct"/>
            <w:tcBorders>
              <w:top w:val="single" w:sz="4" w:space="0" w:color="auto"/>
              <w:left w:val="single" w:sz="4" w:space="0" w:color="auto"/>
              <w:bottom w:val="single" w:sz="4" w:space="0" w:color="auto"/>
              <w:right w:val="single" w:sz="4" w:space="0" w:color="auto"/>
            </w:tcBorders>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7.7 (-0.17, 15.4)</w:t>
            </w:r>
          </w:p>
        </w:tc>
      </w:tr>
      <w:tr w:rsidR="00597F05" w:rsidRPr="00190D0C" w:rsidTr="0020323A">
        <w:tc>
          <w:tcPr>
            <w:tcW w:w="736"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widowControl/>
              <w:numPr>
                <w:ilvl w:val="0"/>
                <w:numId w:val="14"/>
              </w:numPr>
              <w:spacing w:after="300"/>
              <w:contextualSpacing/>
              <w:jc w:val="left"/>
              <w:rPr>
                <w:rFonts w:ascii="Arial Narrow" w:hAnsi="Arial Narrow" w:cs="Times New Roman"/>
                <w:color w:val="000000"/>
                <w:sz w:val="20"/>
              </w:rPr>
            </w:pPr>
            <w:r w:rsidRPr="00190D0C">
              <w:rPr>
                <w:rFonts w:ascii="Arial Narrow" w:hAnsi="Arial Narrow" w:cs="Times New Roman"/>
                <w:color w:val="000000"/>
                <w:sz w:val="20"/>
              </w:rPr>
              <w:t>Dizziness</w:t>
            </w:r>
          </w:p>
        </w:tc>
        <w:tc>
          <w:tcPr>
            <w:tcW w:w="1069"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26 (15</w:t>
            </w:r>
            <w:r w:rsidR="00C04DC9" w:rsidRPr="00190D0C">
              <w:rPr>
                <w:rFonts w:ascii="Arial Narrow" w:hAnsi="Arial Narrow" w:cs="Times New Roman"/>
                <w:color w:val="000000"/>
                <w:sz w:val="20"/>
              </w:rPr>
              <w:t>.0</w:t>
            </w:r>
            <w:r w:rsidRPr="00190D0C">
              <w:rPr>
                <w:rFonts w:ascii="Arial Narrow" w:hAnsi="Arial Narrow" w:cs="Times New Roman"/>
                <w:color w:val="000000"/>
                <w:sz w:val="20"/>
              </w:rPr>
              <w:t>)</w:t>
            </w:r>
          </w:p>
        </w:tc>
        <w:tc>
          <w:tcPr>
            <w:tcW w:w="1065"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3 (3.4)</w:t>
            </w:r>
          </w:p>
        </w:tc>
        <w:tc>
          <w:tcPr>
            <w:tcW w:w="1065" w:type="pct"/>
            <w:tcBorders>
              <w:top w:val="single" w:sz="4" w:space="0" w:color="auto"/>
              <w:left w:val="single" w:sz="4" w:space="0" w:color="auto"/>
              <w:bottom w:val="single" w:sz="4" w:space="0" w:color="auto"/>
              <w:right w:val="single" w:sz="4" w:space="0" w:color="auto"/>
            </w:tcBorders>
          </w:tcPr>
          <w:p w:rsidR="00597F05" w:rsidRPr="00190D0C" w:rsidRDefault="00597F05" w:rsidP="0020323A">
            <w:pPr>
              <w:spacing w:after="300"/>
              <w:contextualSpacing/>
              <w:jc w:val="center"/>
              <w:rPr>
                <w:rFonts w:ascii="Arial Narrow" w:hAnsi="Arial Narrow" w:cs="Times New Roman"/>
                <w:b/>
                <w:color w:val="000000"/>
                <w:sz w:val="20"/>
              </w:rPr>
            </w:pPr>
            <w:r w:rsidRPr="00190D0C">
              <w:rPr>
                <w:rFonts w:ascii="Arial Narrow" w:hAnsi="Arial Narrow" w:cs="Times New Roman"/>
                <w:b/>
                <w:color w:val="000000"/>
                <w:sz w:val="20"/>
              </w:rPr>
              <w:t>4.41 (1.37, 14.16)</w:t>
            </w:r>
          </w:p>
        </w:tc>
        <w:tc>
          <w:tcPr>
            <w:tcW w:w="1064" w:type="pct"/>
            <w:tcBorders>
              <w:top w:val="single" w:sz="4" w:space="0" w:color="auto"/>
              <w:left w:val="single" w:sz="4" w:space="0" w:color="auto"/>
              <w:bottom w:val="single" w:sz="4" w:space="0" w:color="auto"/>
              <w:right w:val="single" w:sz="4" w:space="0" w:color="auto"/>
            </w:tcBorders>
          </w:tcPr>
          <w:p w:rsidR="00597F05" w:rsidRPr="00190D0C" w:rsidRDefault="00597F05" w:rsidP="0020323A">
            <w:pPr>
              <w:spacing w:after="300"/>
              <w:contextualSpacing/>
              <w:jc w:val="center"/>
              <w:rPr>
                <w:rFonts w:ascii="Arial Narrow" w:hAnsi="Arial Narrow" w:cs="Times New Roman"/>
                <w:b/>
                <w:color w:val="000000"/>
                <w:sz w:val="20"/>
              </w:rPr>
            </w:pPr>
            <w:r w:rsidRPr="00190D0C">
              <w:rPr>
                <w:rFonts w:ascii="Arial Narrow" w:hAnsi="Arial Narrow" w:cs="Times New Roman"/>
                <w:b/>
                <w:color w:val="000000"/>
                <w:sz w:val="20"/>
              </w:rPr>
              <w:t>11.6 (5.1, 18.2)</w:t>
            </w:r>
          </w:p>
        </w:tc>
      </w:tr>
      <w:tr w:rsidR="00597F05" w:rsidRPr="00190D0C" w:rsidTr="0020323A">
        <w:tc>
          <w:tcPr>
            <w:tcW w:w="736"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widowControl/>
              <w:numPr>
                <w:ilvl w:val="0"/>
                <w:numId w:val="14"/>
              </w:numPr>
              <w:spacing w:after="300"/>
              <w:contextualSpacing/>
              <w:jc w:val="left"/>
              <w:rPr>
                <w:rFonts w:ascii="Arial Narrow" w:hAnsi="Arial Narrow" w:cs="Times New Roman"/>
                <w:color w:val="000000"/>
                <w:sz w:val="20"/>
              </w:rPr>
            </w:pPr>
            <w:r w:rsidRPr="00190D0C">
              <w:rPr>
                <w:rFonts w:ascii="Arial Narrow" w:hAnsi="Arial Narrow" w:cs="Times New Roman"/>
                <w:color w:val="000000"/>
                <w:sz w:val="20"/>
              </w:rPr>
              <w:t>Dyspepsia</w:t>
            </w:r>
          </w:p>
        </w:tc>
        <w:tc>
          <w:tcPr>
            <w:tcW w:w="1069"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21 (12</w:t>
            </w:r>
            <w:r w:rsidR="00C04DC9" w:rsidRPr="00190D0C">
              <w:rPr>
                <w:rFonts w:ascii="Arial Narrow" w:hAnsi="Arial Narrow" w:cs="Times New Roman"/>
                <w:color w:val="000000"/>
                <w:sz w:val="20"/>
              </w:rPr>
              <w:t>.0</w:t>
            </w:r>
            <w:r w:rsidRPr="00190D0C">
              <w:rPr>
                <w:rFonts w:ascii="Arial Narrow" w:hAnsi="Arial Narrow" w:cs="Times New Roman"/>
                <w:color w:val="000000"/>
                <w:sz w:val="20"/>
              </w:rPr>
              <w:t>)</w:t>
            </w:r>
          </w:p>
        </w:tc>
        <w:tc>
          <w:tcPr>
            <w:tcW w:w="1065"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6 (7</w:t>
            </w:r>
            <w:r w:rsidR="00C04DC9" w:rsidRPr="00190D0C">
              <w:rPr>
                <w:rFonts w:ascii="Arial Narrow" w:hAnsi="Arial Narrow" w:cs="Times New Roman"/>
                <w:color w:val="000000"/>
                <w:sz w:val="20"/>
              </w:rPr>
              <w:t>.0</w:t>
            </w:r>
            <w:r w:rsidRPr="00190D0C">
              <w:rPr>
                <w:rFonts w:ascii="Arial Narrow" w:hAnsi="Arial Narrow" w:cs="Times New Roman"/>
                <w:color w:val="000000"/>
                <w:sz w:val="20"/>
              </w:rPr>
              <w:t>)</w:t>
            </w:r>
          </w:p>
        </w:tc>
        <w:tc>
          <w:tcPr>
            <w:tcW w:w="1065" w:type="pct"/>
            <w:tcBorders>
              <w:top w:val="single" w:sz="4" w:space="0" w:color="auto"/>
              <w:left w:val="single" w:sz="4" w:space="0" w:color="auto"/>
              <w:bottom w:val="single" w:sz="4" w:space="0" w:color="auto"/>
              <w:right w:val="single" w:sz="4" w:space="0" w:color="auto"/>
            </w:tcBorders>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1.78 (0.75, 4.25)</w:t>
            </w:r>
          </w:p>
        </w:tc>
        <w:tc>
          <w:tcPr>
            <w:tcW w:w="1064" w:type="pct"/>
            <w:tcBorders>
              <w:top w:val="single" w:sz="4" w:space="0" w:color="auto"/>
              <w:left w:val="single" w:sz="4" w:space="0" w:color="auto"/>
              <w:bottom w:val="single" w:sz="4" w:space="0" w:color="auto"/>
              <w:right w:val="single" w:sz="4" w:space="0" w:color="auto"/>
            </w:tcBorders>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5.3 (-1.8, 12.5)</w:t>
            </w:r>
          </w:p>
        </w:tc>
      </w:tr>
      <w:tr w:rsidR="00597F05" w:rsidRPr="00190D0C" w:rsidTr="0020323A">
        <w:tc>
          <w:tcPr>
            <w:tcW w:w="736"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widowControl/>
              <w:numPr>
                <w:ilvl w:val="0"/>
                <w:numId w:val="14"/>
              </w:numPr>
              <w:spacing w:after="300"/>
              <w:contextualSpacing/>
              <w:jc w:val="left"/>
              <w:rPr>
                <w:rFonts w:ascii="Arial Narrow" w:hAnsi="Arial Narrow" w:cs="Times New Roman"/>
                <w:color w:val="000000"/>
                <w:sz w:val="20"/>
              </w:rPr>
            </w:pPr>
            <w:r w:rsidRPr="00190D0C">
              <w:rPr>
                <w:rFonts w:ascii="Arial Narrow" w:hAnsi="Arial Narrow" w:cs="Times New Roman"/>
                <w:color w:val="000000"/>
                <w:sz w:val="20"/>
              </w:rPr>
              <w:t>Nausea</w:t>
            </w:r>
          </w:p>
        </w:tc>
        <w:tc>
          <w:tcPr>
            <w:tcW w:w="1069"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11 (6.4)</w:t>
            </w:r>
          </w:p>
        </w:tc>
        <w:tc>
          <w:tcPr>
            <w:tcW w:w="1065"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5 (5.7)</w:t>
            </w:r>
          </w:p>
        </w:tc>
        <w:tc>
          <w:tcPr>
            <w:tcW w:w="1065" w:type="pct"/>
            <w:tcBorders>
              <w:top w:val="single" w:sz="4" w:space="0" w:color="auto"/>
              <w:left w:val="single" w:sz="4" w:space="0" w:color="auto"/>
              <w:bottom w:val="single" w:sz="4" w:space="0" w:color="auto"/>
              <w:right w:val="single" w:sz="4" w:space="0" w:color="auto"/>
            </w:tcBorders>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1.12 (0.40, 3.12)</w:t>
            </w:r>
          </w:p>
        </w:tc>
        <w:tc>
          <w:tcPr>
            <w:tcW w:w="1064" w:type="pct"/>
            <w:tcBorders>
              <w:top w:val="single" w:sz="4" w:space="0" w:color="auto"/>
              <w:left w:val="single" w:sz="4" w:space="0" w:color="auto"/>
              <w:bottom w:val="single" w:sz="4" w:space="0" w:color="auto"/>
              <w:right w:val="single" w:sz="4" w:space="0" w:color="auto"/>
            </w:tcBorders>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0.68 (-5.4, 6.7)</w:t>
            </w:r>
          </w:p>
        </w:tc>
      </w:tr>
      <w:tr w:rsidR="00597F05" w:rsidRPr="00190D0C" w:rsidTr="0020323A">
        <w:tc>
          <w:tcPr>
            <w:tcW w:w="736"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widowControl/>
              <w:numPr>
                <w:ilvl w:val="0"/>
                <w:numId w:val="14"/>
              </w:numPr>
              <w:spacing w:after="300"/>
              <w:contextualSpacing/>
              <w:jc w:val="left"/>
              <w:rPr>
                <w:rFonts w:ascii="Arial Narrow" w:hAnsi="Arial Narrow" w:cs="Times New Roman"/>
                <w:color w:val="000000"/>
                <w:sz w:val="20"/>
              </w:rPr>
            </w:pPr>
            <w:r w:rsidRPr="00190D0C">
              <w:rPr>
                <w:rFonts w:ascii="Arial Narrow" w:hAnsi="Arial Narrow" w:cs="Times New Roman"/>
                <w:color w:val="000000"/>
                <w:sz w:val="20"/>
              </w:rPr>
              <w:t>Hypotension</w:t>
            </w:r>
          </w:p>
        </w:tc>
        <w:tc>
          <w:tcPr>
            <w:tcW w:w="1069"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14 (8.1)</w:t>
            </w:r>
          </w:p>
        </w:tc>
        <w:tc>
          <w:tcPr>
            <w:tcW w:w="1065"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0 (0</w:t>
            </w:r>
            <w:r w:rsidR="00C04DC9" w:rsidRPr="00190D0C">
              <w:rPr>
                <w:rFonts w:ascii="Arial Narrow" w:hAnsi="Arial Narrow" w:cs="Times New Roman"/>
                <w:color w:val="000000"/>
                <w:sz w:val="20"/>
              </w:rPr>
              <w:t>.0</w:t>
            </w:r>
            <w:r w:rsidRPr="00190D0C">
              <w:rPr>
                <w:rFonts w:ascii="Arial Narrow" w:hAnsi="Arial Narrow" w:cs="Times New Roman"/>
                <w:color w:val="000000"/>
                <w:sz w:val="20"/>
              </w:rPr>
              <w:t>)</w:t>
            </w:r>
          </w:p>
        </w:tc>
        <w:tc>
          <w:tcPr>
            <w:tcW w:w="1065" w:type="pct"/>
            <w:tcBorders>
              <w:top w:val="single" w:sz="4" w:space="0" w:color="auto"/>
              <w:left w:val="single" w:sz="4" w:space="0" w:color="auto"/>
              <w:bottom w:val="single" w:sz="4" w:space="0" w:color="auto"/>
              <w:right w:val="single" w:sz="4" w:space="0" w:color="auto"/>
            </w:tcBorders>
          </w:tcPr>
          <w:p w:rsidR="00597F05" w:rsidRPr="00190D0C" w:rsidRDefault="001E61E6"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NC</w:t>
            </w:r>
          </w:p>
        </w:tc>
        <w:tc>
          <w:tcPr>
            <w:tcW w:w="1064" w:type="pct"/>
            <w:tcBorders>
              <w:top w:val="single" w:sz="4" w:space="0" w:color="auto"/>
              <w:left w:val="single" w:sz="4" w:space="0" w:color="auto"/>
              <w:bottom w:val="single" w:sz="4" w:space="0" w:color="auto"/>
              <w:right w:val="single" w:sz="4" w:space="0" w:color="auto"/>
            </w:tcBorders>
          </w:tcPr>
          <w:p w:rsidR="00597F05" w:rsidRPr="00190D0C" w:rsidRDefault="00597F05" w:rsidP="0020323A">
            <w:pPr>
              <w:spacing w:after="300"/>
              <w:contextualSpacing/>
              <w:jc w:val="center"/>
              <w:rPr>
                <w:rFonts w:ascii="Arial Narrow" w:hAnsi="Arial Narrow" w:cs="Times New Roman"/>
                <w:b/>
                <w:color w:val="000000"/>
                <w:sz w:val="20"/>
              </w:rPr>
            </w:pPr>
            <w:r w:rsidRPr="00190D0C">
              <w:rPr>
                <w:rFonts w:ascii="Arial Narrow" w:hAnsi="Arial Narrow" w:cs="Times New Roman"/>
                <w:b/>
                <w:color w:val="000000"/>
                <w:sz w:val="20"/>
              </w:rPr>
              <w:t>8.1 (2.3, 13.9)</w:t>
            </w:r>
          </w:p>
        </w:tc>
      </w:tr>
      <w:tr w:rsidR="00597F05" w:rsidRPr="00190D0C" w:rsidTr="0020323A">
        <w:tc>
          <w:tcPr>
            <w:tcW w:w="736"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widowControl/>
              <w:numPr>
                <w:ilvl w:val="0"/>
                <w:numId w:val="14"/>
              </w:numPr>
              <w:spacing w:after="300"/>
              <w:contextualSpacing/>
              <w:jc w:val="left"/>
              <w:rPr>
                <w:rFonts w:ascii="Arial Narrow" w:hAnsi="Arial Narrow" w:cs="Times New Roman"/>
                <w:color w:val="000000"/>
                <w:sz w:val="20"/>
              </w:rPr>
            </w:pPr>
            <w:r w:rsidRPr="00190D0C">
              <w:rPr>
                <w:rFonts w:ascii="Arial Narrow" w:hAnsi="Arial Narrow" w:cs="Times New Roman"/>
                <w:color w:val="000000"/>
                <w:sz w:val="20"/>
              </w:rPr>
              <w:t>Peripheral oedema</w:t>
            </w:r>
          </w:p>
        </w:tc>
        <w:tc>
          <w:tcPr>
            <w:tcW w:w="1069"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C04DC9">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5 (</w:t>
            </w:r>
            <w:r w:rsidR="00C04DC9" w:rsidRPr="00190D0C">
              <w:rPr>
                <w:rFonts w:ascii="Arial Narrow" w:hAnsi="Arial Narrow" w:cs="Times New Roman"/>
                <w:color w:val="000000"/>
                <w:sz w:val="20"/>
              </w:rPr>
              <w:t>2.9</w:t>
            </w:r>
            <w:r w:rsidRPr="00190D0C">
              <w:rPr>
                <w:rFonts w:ascii="Arial Narrow" w:hAnsi="Arial Narrow" w:cs="Times New Roman"/>
                <w:color w:val="000000"/>
                <w:sz w:val="20"/>
              </w:rPr>
              <w:t>)</w:t>
            </w:r>
          </w:p>
        </w:tc>
        <w:tc>
          <w:tcPr>
            <w:tcW w:w="1065" w:type="pct"/>
            <w:tcBorders>
              <w:top w:val="single" w:sz="4" w:space="0" w:color="auto"/>
              <w:left w:val="single" w:sz="4" w:space="0" w:color="auto"/>
              <w:bottom w:val="single" w:sz="4" w:space="0" w:color="auto"/>
              <w:right w:val="single" w:sz="4" w:space="0" w:color="auto"/>
            </w:tcBorders>
            <w:vAlign w:val="center"/>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8 (9</w:t>
            </w:r>
            <w:r w:rsidR="00C04DC9" w:rsidRPr="00190D0C">
              <w:rPr>
                <w:rFonts w:ascii="Arial Narrow" w:hAnsi="Arial Narrow" w:cs="Times New Roman"/>
                <w:color w:val="000000"/>
                <w:sz w:val="20"/>
              </w:rPr>
              <w:t>.1</w:t>
            </w:r>
            <w:r w:rsidRPr="00190D0C">
              <w:rPr>
                <w:rFonts w:ascii="Arial Narrow" w:hAnsi="Arial Narrow" w:cs="Times New Roman"/>
                <w:color w:val="000000"/>
                <w:sz w:val="20"/>
              </w:rPr>
              <w:t>)</w:t>
            </w:r>
          </w:p>
        </w:tc>
        <w:tc>
          <w:tcPr>
            <w:tcW w:w="1065" w:type="pct"/>
            <w:tcBorders>
              <w:top w:val="single" w:sz="4" w:space="0" w:color="auto"/>
              <w:left w:val="single" w:sz="4" w:space="0" w:color="auto"/>
              <w:bottom w:val="single" w:sz="4" w:space="0" w:color="auto"/>
              <w:right w:val="single" w:sz="4" w:space="0" w:color="auto"/>
            </w:tcBorders>
          </w:tcPr>
          <w:p w:rsidR="00597F05" w:rsidRPr="00190D0C" w:rsidRDefault="00597F05" w:rsidP="0020323A">
            <w:pPr>
              <w:spacing w:after="300"/>
              <w:contextualSpacing/>
              <w:jc w:val="center"/>
              <w:rPr>
                <w:rFonts w:ascii="Arial Narrow" w:hAnsi="Arial Narrow" w:cs="Times New Roman"/>
                <w:b/>
                <w:color w:val="000000"/>
                <w:sz w:val="20"/>
              </w:rPr>
            </w:pPr>
            <w:r w:rsidRPr="00190D0C">
              <w:rPr>
                <w:rFonts w:ascii="Arial Narrow" w:hAnsi="Arial Narrow" w:cs="Times New Roman"/>
                <w:b/>
                <w:color w:val="000000"/>
                <w:sz w:val="20"/>
              </w:rPr>
              <w:t>0.32 (0.11, 0.94)</w:t>
            </w:r>
          </w:p>
        </w:tc>
        <w:tc>
          <w:tcPr>
            <w:tcW w:w="1064" w:type="pct"/>
            <w:tcBorders>
              <w:top w:val="single" w:sz="4" w:space="0" w:color="auto"/>
              <w:left w:val="single" w:sz="4" w:space="0" w:color="auto"/>
              <w:bottom w:val="single" w:sz="4" w:space="0" w:color="auto"/>
              <w:right w:val="single" w:sz="4" w:space="0" w:color="auto"/>
            </w:tcBorders>
          </w:tcPr>
          <w:p w:rsidR="00597F05" w:rsidRPr="00190D0C" w:rsidRDefault="00597F05" w:rsidP="0020323A">
            <w:pPr>
              <w:spacing w:after="300"/>
              <w:contextualSpacing/>
              <w:jc w:val="center"/>
              <w:rPr>
                <w:rFonts w:ascii="Arial Narrow" w:hAnsi="Arial Narrow" w:cs="Times New Roman"/>
                <w:color w:val="000000"/>
                <w:sz w:val="20"/>
              </w:rPr>
            </w:pPr>
            <w:r w:rsidRPr="00190D0C">
              <w:rPr>
                <w:rFonts w:ascii="Arial Narrow" w:hAnsi="Arial Narrow" w:cs="Times New Roman"/>
                <w:color w:val="000000"/>
                <w:sz w:val="20"/>
              </w:rPr>
              <w:t>-6.2 (-12.7, 0.3)</w:t>
            </w:r>
          </w:p>
        </w:tc>
      </w:tr>
    </w:tbl>
    <w:p w:rsidR="00597F05" w:rsidRPr="00485B90" w:rsidRDefault="00597F05" w:rsidP="00485B90">
      <w:pPr>
        <w:pStyle w:val="TableFooter"/>
        <w:ind w:left="720"/>
      </w:pPr>
      <w:r w:rsidRPr="00190D0C">
        <w:t xml:space="preserve">Relative risk and risk difference were calculated during the evaluation using </w:t>
      </w:r>
      <w:r w:rsidR="00C04DC9" w:rsidRPr="00190D0C">
        <w:t>Stata</w:t>
      </w:r>
      <w:r w:rsidR="000D4949" w:rsidRPr="00190D0C">
        <w:t xml:space="preserve"> 12</w:t>
      </w:r>
      <w:r w:rsidRPr="00190D0C">
        <w:t xml:space="preserve">. </w:t>
      </w:r>
      <w:r w:rsidRPr="00190D0C">
        <w:rPr>
          <w:b/>
        </w:rPr>
        <w:t>Values in bold represent statistically significant differences observed between groups</w:t>
      </w:r>
      <w:r w:rsidRPr="00190D0C">
        <w:t>.</w:t>
      </w:r>
      <w:r w:rsidR="00485B90">
        <w:t xml:space="preserve"> </w:t>
      </w:r>
      <w:r w:rsidRPr="00190D0C">
        <w:t>RR = relative risk; RD = relative difference; AE = adverse event; TEAE = treatment emergent adverse event</w:t>
      </w:r>
      <w:r w:rsidR="001E61E6" w:rsidRPr="00190D0C">
        <w:t xml:space="preserve">; NC = </w:t>
      </w:r>
      <w:proofErr w:type="spellStart"/>
      <w:r w:rsidR="001E61E6" w:rsidRPr="00190D0C">
        <w:t>not</w:t>
      </w:r>
      <w:proofErr w:type="spellEnd"/>
      <w:r w:rsidR="001E61E6" w:rsidRPr="00190D0C">
        <w:t xml:space="preserve"> calculable</w:t>
      </w:r>
      <w:r w:rsidR="00485B90">
        <w:t xml:space="preserve"> </w:t>
      </w:r>
      <w:r w:rsidRPr="00190D0C">
        <w:t>Source: Table B.6-11, p105 and Table B.6-12, p106 of the submission</w:t>
      </w:r>
    </w:p>
    <w:p w:rsidR="0032377A" w:rsidRDefault="0032377A" w:rsidP="002662EC">
      <w:pPr>
        <w:pStyle w:val="BodyText"/>
      </w:pPr>
      <w:bookmarkStart w:id="14" w:name="_Toc398550900"/>
    </w:p>
    <w:p w:rsidR="00597F05" w:rsidRPr="002662EC" w:rsidRDefault="00597F05" w:rsidP="002662EC">
      <w:pPr>
        <w:pStyle w:val="BodyText"/>
        <w:rPr>
          <w:b/>
        </w:rPr>
      </w:pPr>
      <w:r w:rsidRPr="002662EC">
        <w:rPr>
          <w:b/>
        </w:rPr>
        <w:t>Benefits/harms</w:t>
      </w:r>
      <w:bookmarkEnd w:id="14"/>
    </w:p>
    <w:p w:rsidR="00597F05" w:rsidRPr="00190D0C" w:rsidRDefault="00597F05" w:rsidP="00597F05">
      <w:pPr>
        <w:pStyle w:val="ListParagraph"/>
        <w:ind w:left="0"/>
        <w:rPr>
          <w:szCs w:val="22"/>
        </w:rPr>
      </w:pPr>
    </w:p>
    <w:p w:rsidR="00597F05" w:rsidRPr="00190D0C" w:rsidRDefault="00597F05" w:rsidP="00597F05">
      <w:pPr>
        <w:pStyle w:val="ListParagraph"/>
        <w:widowControl/>
        <w:numPr>
          <w:ilvl w:val="1"/>
          <w:numId w:val="10"/>
        </w:numPr>
        <w:rPr>
          <w:szCs w:val="22"/>
        </w:rPr>
      </w:pPr>
      <w:r w:rsidRPr="00190D0C">
        <w:rPr>
          <w:szCs w:val="22"/>
        </w:rPr>
        <w:t xml:space="preserve">A summary of the comparative benefits and harms for riociguat versus </w:t>
      </w:r>
      <w:r w:rsidR="005A5E35" w:rsidRPr="00190D0C">
        <w:rPr>
          <w:szCs w:val="22"/>
        </w:rPr>
        <w:t>placebos</w:t>
      </w:r>
      <w:r w:rsidRPr="00190D0C">
        <w:rPr>
          <w:szCs w:val="22"/>
        </w:rPr>
        <w:t xml:space="preserve"> presented in </w:t>
      </w:r>
      <w:r w:rsidR="00F449D3">
        <w:rPr>
          <w:szCs w:val="22"/>
        </w:rPr>
        <w:t>the following table</w:t>
      </w:r>
      <w:r w:rsidRPr="00190D0C">
        <w:rPr>
          <w:szCs w:val="22"/>
        </w:rPr>
        <w:t xml:space="preserve">. </w:t>
      </w:r>
    </w:p>
    <w:p w:rsidR="00597F05" w:rsidRPr="00190D0C" w:rsidRDefault="00597F05" w:rsidP="00597F05"/>
    <w:p w:rsidR="00597F05" w:rsidRPr="00190D0C" w:rsidRDefault="00A31971" w:rsidP="00A31971">
      <w:pPr>
        <w:ind w:left="720"/>
        <w:rPr>
          <w:rStyle w:val="CommentReference"/>
        </w:rPr>
      </w:pPr>
      <w:r w:rsidRPr="00190D0C">
        <w:rPr>
          <w:rFonts w:ascii="Arial Narrow" w:hAnsi="Arial Narrow"/>
          <w:b/>
          <w:sz w:val="20"/>
          <w:szCs w:val="18"/>
        </w:rPr>
        <w:t xml:space="preserve">CHEST-1: </w:t>
      </w:r>
      <w:r w:rsidR="00597F05" w:rsidRPr="00190D0C">
        <w:rPr>
          <w:rStyle w:val="CommentReference"/>
        </w:rPr>
        <w:t xml:space="preserve">Summary of comparative benefits and harms </w:t>
      </w:r>
      <w:r w:rsidR="00943B22" w:rsidRPr="00190D0C">
        <w:rPr>
          <w:rStyle w:val="CommentReference"/>
        </w:rPr>
        <w:t>of riociguat relative to placebo over 16 weeks</w:t>
      </w:r>
    </w:p>
    <w:tbl>
      <w:tblPr>
        <w:tblStyle w:val="TableGrid"/>
        <w:tblW w:w="4700" w:type="pct"/>
        <w:tblInd w:w="698" w:type="dxa"/>
        <w:tblLayout w:type="fixed"/>
        <w:tblCellMar>
          <w:left w:w="28" w:type="dxa"/>
          <w:right w:w="28" w:type="dxa"/>
        </w:tblCellMar>
        <w:tblLook w:val="04A0" w:firstRow="1" w:lastRow="0" w:firstColumn="1" w:lastColumn="0" w:noHBand="0" w:noVBand="1"/>
        <w:tblDescription w:val="CHEST-1: Summary of comparative benefits and harms of riociguat relative to placebo over 16 weeks"/>
      </w:tblPr>
      <w:tblGrid>
        <w:gridCol w:w="1171"/>
        <w:gridCol w:w="10"/>
        <w:gridCol w:w="700"/>
        <w:gridCol w:w="430"/>
        <w:gridCol w:w="10"/>
        <w:gridCol w:w="410"/>
        <w:gridCol w:w="852"/>
        <w:gridCol w:w="26"/>
        <w:gridCol w:w="1120"/>
        <w:gridCol w:w="447"/>
        <w:gridCol w:w="560"/>
        <w:gridCol w:w="398"/>
        <w:gridCol w:w="598"/>
        <w:gridCol w:w="396"/>
        <w:gridCol w:w="1409"/>
      </w:tblGrid>
      <w:tr w:rsidR="00A856AC" w:rsidRPr="00190D0C" w:rsidTr="00416373">
        <w:trPr>
          <w:trHeight w:val="225"/>
        </w:trPr>
        <w:tc>
          <w:tcPr>
            <w:tcW w:w="5000" w:type="pct"/>
            <w:gridSpan w:val="15"/>
            <w:shd w:val="clear" w:color="auto" w:fill="EEECE1" w:themeFill="background2"/>
            <w:vAlign w:val="center"/>
          </w:tcPr>
          <w:p w:rsidR="00A856AC" w:rsidRPr="00190D0C" w:rsidRDefault="00A856AC" w:rsidP="00A31971">
            <w:pPr>
              <w:jc w:val="left"/>
              <w:rPr>
                <w:rFonts w:ascii="Arial Narrow" w:hAnsi="Arial Narrow"/>
                <w:b/>
                <w:sz w:val="20"/>
                <w:szCs w:val="18"/>
              </w:rPr>
            </w:pPr>
            <w:r w:rsidRPr="00190D0C">
              <w:rPr>
                <w:rFonts w:ascii="Arial Narrow" w:hAnsi="Arial Narrow"/>
                <w:b/>
                <w:sz w:val="20"/>
                <w:szCs w:val="18"/>
              </w:rPr>
              <w:t>Benefits</w:t>
            </w:r>
          </w:p>
        </w:tc>
      </w:tr>
      <w:tr w:rsidR="00597F05" w:rsidRPr="00190D0C" w:rsidTr="00A856AC">
        <w:trPr>
          <w:trHeight w:val="225"/>
        </w:trPr>
        <w:tc>
          <w:tcPr>
            <w:tcW w:w="5000" w:type="pct"/>
            <w:gridSpan w:val="15"/>
            <w:shd w:val="clear" w:color="auto" w:fill="FFFFFF" w:themeFill="background1"/>
            <w:vAlign w:val="center"/>
          </w:tcPr>
          <w:p w:rsidR="00597F05" w:rsidRPr="00190D0C" w:rsidRDefault="00A856AC" w:rsidP="00A31971">
            <w:pPr>
              <w:jc w:val="left"/>
              <w:rPr>
                <w:rFonts w:ascii="Arial Narrow" w:hAnsi="Arial Narrow"/>
                <w:sz w:val="20"/>
              </w:rPr>
            </w:pPr>
            <w:r w:rsidRPr="00190D0C">
              <w:rPr>
                <w:rFonts w:ascii="Arial Narrow" w:hAnsi="Arial Narrow"/>
                <w:sz w:val="20"/>
              </w:rPr>
              <w:t>Change in 6MWD (metres)</w:t>
            </w:r>
          </w:p>
        </w:tc>
      </w:tr>
      <w:tr w:rsidR="005578DF" w:rsidRPr="00190D0C" w:rsidTr="005578DF">
        <w:trPr>
          <w:trHeight w:val="225"/>
        </w:trPr>
        <w:tc>
          <w:tcPr>
            <w:tcW w:w="2099" w:type="pct"/>
            <w:gridSpan w:val="7"/>
            <w:shd w:val="clear" w:color="auto" w:fill="auto"/>
            <w:vAlign w:val="center"/>
          </w:tcPr>
          <w:p w:rsidR="005578DF" w:rsidRPr="00190D0C" w:rsidRDefault="005578DF" w:rsidP="0020323A">
            <w:pPr>
              <w:jc w:val="center"/>
              <w:rPr>
                <w:rFonts w:ascii="Arial Narrow" w:hAnsi="Arial Narrow"/>
                <w:color w:val="000000"/>
                <w:sz w:val="20"/>
              </w:rPr>
            </w:pPr>
            <w:r w:rsidRPr="00190D0C">
              <w:rPr>
                <w:rFonts w:ascii="Arial Narrow" w:hAnsi="Arial Narrow"/>
                <w:b/>
                <w:color w:val="000000"/>
                <w:sz w:val="20"/>
              </w:rPr>
              <w:t>Riociguat</w:t>
            </w:r>
          </w:p>
        </w:tc>
        <w:tc>
          <w:tcPr>
            <w:tcW w:w="1844" w:type="pct"/>
            <w:gridSpan w:val="6"/>
            <w:vAlign w:val="center"/>
          </w:tcPr>
          <w:p w:rsidR="005578DF" w:rsidRPr="00190D0C" w:rsidRDefault="005578DF" w:rsidP="00501311">
            <w:pPr>
              <w:jc w:val="center"/>
              <w:rPr>
                <w:rFonts w:ascii="Arial Narrow" w:hAnsi="Arial Narrow"/>
                <w:color w:val="000000"/>
                <w:sz w:val="20"/>
              </w:rPr>
            </w:pPr>
            <w:r w:rsidRPr="00190D0C">
              <w:rPr>
                <w:rFonts w:ascii="Arial Narrow" w:hAnsi="Arial Narrow"/>
                <w:b/>
                <w:color w:val="000000"/>
                <w:sz w:val="20"/>
              </w:rPr>
              <w:t>Placebo</w:t>
            </w:r>
          </w:p>
        </w:tc>
        <w:tc>
          <w:tcPr>
            <w:tcW w:w="1057" w:type="pct"/>
            <w:gridSpan w:val="2"/>
            <w:vMerge w:val="restart"/>
            <w:vAlign w:val="center"/>
          </w:tcPr>
          <w:p w:rsidR="005578DF" w:rsidRPr="00190D0C" w:rsidRDefault="005578DF" w:rsidP="0020323A">
            <w:pPr>
              <w:jc w:val="center"/>
              <w:rPr>
                <w:rFonts w:ascii="Arial Narrow" w:hAnsi="Arial Narrow"/>
                <w:b/>
                <w:sz w:val="20"/>
              </w:rPr>
            </w:pPr>
            <w:r w:rsidRPr="00190D0C">
              <w:rPr>
                <w:rFonts w:ascii="Arial Narrow" w:hAnsi="Arial Narrow"/>
                <w:b/>
                <w:sz w:val="20"/>
              </w:rPr>
              <w:t xml:space="preserve">LS Mean difference: </w:t>
            </w:r>
          </w:p>
          <w:p w:rsidR="005578DF" w:rsidRPr="00190D0C" w:rsidRDefault="005578DF" w:rsidP="0020323A">
            <w:pPr>
              <w:jc w:val="center"/>
              <w:rPr>
                <w:rFonts w:ascii="Arial Narrow" w:hAnsi="Arial Narrow"/>
                <w:b/>
                <w:sz w:val="20"/>
              </w:rPr>
            </w:pPr>
            <w:r w:rsidRPr="00190D0C">
              <w:rPr>
                <w:rFonts w:ascii="Arial Narrow" w:hAnsi="Arial Narrow"/>
                <w:b/>
                <w:sz w:val="20"/>
              </w:rPr>
              <w:t>Riociguat vs. placebo</w:t>
            </w:r>
          </w:p>
          <w:p w:rsidR="005578DF" w:rsidRPr="00190D0C" w:rsidRDefault="005578DF" w:rsidP="0020323A">
            <w:pPr>
              <w:jc w:val="center"/>
              <w:rPr>
                <w:rFonts w:ascii="Arial Narrow" w:hAnsi="Arial Narrow"/>
                <w:b/>
                <w:sz w:val="20"/>
              </w:rPr>
            </w:pPr>
            <w:r w:rsidRPr="00190D0C">
              <w:rPr>
                <w:rFonts w:ascii="Arial Narrow" w:hAnsi="Arial Narrow"/>
                <w:b/>
                <w:sz w:val="20"/>
              </w:rPr>
              <w:t>(95% CI)</w:t>
            </w:r>
          </w:p>
        </w:tc>
      </w:tr>
      <w:tr w:rsidR="005578DF" w:rsidRPr="00190D0C" w:rsidTr="005578DF">
        <w:trPr>
          <w:trHeight w:val="225"/>
        </w:trPr>
        <w:tc>
          <w:tcPr>
            <w:tcW w:w="686" w:type="pct"/>
            <w:shd w:val="clear" w:color="auto" w:fill="auto"/>
            <w:vAlign w:val="center"/>
          </w:tcPr>
          <w:p w:rsidR="005578DF" w:rsidRPr="00190D0C" w:rsidRDefault="005578DF" w:rsidP="0020323A">
            <w:pPr>
              <w:jc w:val="center"/>
              <w:rPr>
                <w:rFonts w:ascii="Arial Narrow" w:hAnsi="Arial Narrow"/>
                <w:b/>
                <w:color w:val="000000"/>
                <w:sz w:val="20"/>
              </w:rPr>
            </w:pPr>
            <w:r w:rsidRPr="00190D0C">
              <w:rPr>
                <w:rFonts w:ascii="Arial Narrow" w:hAnsi="Arial Narrow"/>
                <w:b/>
                <w:color w:val="000000"/>
                <w:sz w:val="20"/>
              </w:rPr>
              <w:t>n</w:t>
            </w:r>
          </w:p>
        </w:tc>
        <w:tc>
          <w:tcPr>
            <w:tcW w:w="914" w:type="pct"/>
            <w:gridSpan w:val="5"/>
            <w:vAlign w:val="center"/>
          </w:tcPr>
          <w:p w:rsidR="005578DF" w:rsidRPr="00190D0C" w:rsidRDefault="005578DF" w:rsidP="00416373">
            <w:pPr>
              <w:jc w:val="center"/>
              <w:rPr>
                <w:rFonts w:ascii="Arial Narrow" w:hAnsi="Arial Narrow"/>
                <w:b/>
                <w:sz w:val="20"/>
              </w:rPr>
            </w:pPr>
            <w:r w:rsidRPr="00190D0C">
              <w:rPr>
                <w:rFonts w:ascii="Arial Narrow" w:hAnsi="Arial Narrow"/>
                <w:b/>
                <w:sz w:val="20"/>
              </w:rPr>
              <w:t xml:space="preserve">Mean ∆ baseline </w:t>
            </w:r>
          </w:p>
        </w:tc>
        <w:tc>
          <w:tcPr>
            <w:tcW w:w="499" w:type="pct"/>
            <w:vAlign w:val="center"/>
          </w:tcPr>
          <w:p w:rsidR="005578DF" w:rsidRPr="00190D0C" w:rsidRDefault="005578DF" w:rsidP="0020323A">
            <w:pPr>
              <w:jc w:val="center"/>
              <w:rPr>
                <w:rFonts w:ascii="Arial Narrow" w:hAnsi="Arial Narrow"/>
                <w:b/>
                <w:sz w:val="20"/>
              </w:rPr>
            </w:pPr>
            <w:r w:rsidRPr="00190D0C">
              <w:rPr>
                <w:rFonts w:ascii="Arial Narrow" w:hAnsi="Arial Narrow"/>
                <w:b/>
                <w:sz w:val="20"/>
              </w:rPr>
              <w:t>SD*</w:t>
            </w:r>
          </w:p>
        </w:tc>
        <w:tc>
          <w:tcPr>
            <w:tcW w:w="671" w:type="pct"/>
            <w:gridSpan w:val="2"/>
            <w:vAlign w:val="center"/>
          </w:tcPr>
          <w:p w:rsidR="005578DF" w:rsidRPr="00190D0C" w:rsidRDefault="00F26162" w:rsidP="0020323A">
            <w:pPr>
              <w:jc w:val="center"/>
              <w:rPr>
                <w:rFonts w:ascii="Arial Narrow" w:hAnsi="Arial Narrow"/>
                <w:b/>
                <w:color w:val="000000"/>
                <w:sz w:val="20"/>
              </w:rPr>
            </w:pPr>
            <w:r w:rsidRPr="00190D0C">
              <w:rPr>
                <w:rFonts w:ascii="Arial Narrow" w:hAnsi="Arial Narrow"/>
                <w:b/>
                <w:color w:val="000000"/>
                <w:sz w:val="20"/>
              </w:rPr>
              <w:t>N</w:t>
            </w:r>
          </w:p>
        </w:tc>
        <w:tc>
          <w:tcPr>
            <w:tcW w:w="590" w:type="pct"/>
            <w:gridSpan w:val="2"/>
            <w:vAlign w:val="center"/>
          </w:tcPr>
          <w:p w:rsidR="005578DF" w:rsidRPr="00190D0C" w:rsidRDefault="005578DF" w:rsidP="00416373">
            <w:pPr>
              <w:jc w:val="center"/>
              <w:rPr>
                <w:rFonts w:ascii="Arial Narrow" w:hAnsi="Arial Narrow"/>
                <w:b/>
                <w:sz w:val="20"/>
              </w:rPr>
            </w:pPr>
            <w:r w:rsidRPr="00190D0C">
              <w:rPr>
                <w:rFonts w:ascii="Arial Narrow" w:hAnsi="Arial Narrow"/>
                <w:b/>
                <w:sz w:val="20"/>
              </w:rPr>
              <w:t xml:space="preserve">Mean ∆ baseline </w:t>
            </w:r>
          </w:p>
        </w:tc>
        <w:tc>
          <w:tcPr>
            <w:tcW w:w="583" w:type="pct"/>
            <w:gridSpan w:val="2"/>
            <w:vAlign w:val="center"/>
          </w:tcPr>
          <w:p w:rsidR="005578DF" w:rsidRPr="00190D0C" w:rsidRDefault="005578DF" w:rsidP="0020323A">
            <w:pPr>
              <w:jc w:val="center"/>
              <w:rPr>
                <w:rFonts w:ascii="Arial Narrow" w:hAnsi="Arial Narrow"/>
                <w:b/>
                <w:sz w:val="20"/>
              </w:rPr>
            </w:pPr>
            <w:r w:rsidRPr="00190D0C">
              <w:rPr>
                <w:rFonts w:ascii="Arial Narrow" w:hAnsi="Arial Narrow"/>
                <w:b/>
                <w:sz w:val="20"/>
              </w:rPr>
              <w:t>SD*</w:t>
            </w:r>
          </w:p>
        </w:tc>
        <w:tc>
          <w:tcPr>
            <w:tcW w:w="1057" w:type="pct"/>
            <w:gridSpan w:val="2"/>
            <w:vMerge/>
            <w:vAlign w:val="center"/>
          </w:tcPr>
          <w:p w:rsidR="005578DF" w:rsidRPr="00190D0C" w:rsidRDefault="005578DF" w:rsidP="0020323A">
            <w:pPr>
              <w:jc w:val="center"/>
              <w:rPr>
                <w:rFonts w:ascii="Arial Narrow" w:hAnsi="Arial Narrow"/>
                <w:b/>
                <w:sz w:val="20"/>
              </w:rPr>
            </w:pPr>
          </w:p>
        </w:tc>
      </w:tr>
      <w:tr w:rsidR="005578DF" w:rsidRPr="00190D0C" w:rsidTr="005578DF">
        <w:tc>
          <w:tcPr>
            <w:tcW w:w="686" w:type="pct"/>
            <w:shd w:val="clear" w:color="auto" w:fill="auto"/>
            <w:vAlign w:val="center"/>
          </w:tcPr>
          <w:p w:rsidR="005578DF" w:rsidRPr="00190D0C" w:rsidRDefault="005578DF" w:rsidP="0020323A">
            <w:pPr>
              <w:jc w:val="center"/>
              <w:rPr>
                <w:rFonts w:ascii="Arial Narrow" w:hAnsi="Arial Narrow"/>
                <w:color w:val="000000"/>
                <w:sz w:val="20"/>
              </w:rPr>
            </w:pPr>
            <w:r w:rsidRPr="00190D0C">
              <w:rPr>
                <w:rFonts w:ascii="Arial Narrow" w:hAnsi="Arial Narrow"/>
                <w:color w:val="000000"/>
                <w:sz w:val="20"/>
              </w:rPr>
              <w:t>173</w:t>
            </w:r>
          </w:p>
        </w:tc>
        <w:tc>
          <w:tcPr>
            <w:tcW w:w="914" w:type="pct"/>
            <w:gridSpan w:val="5"/>
            <w:vAlign w:val="center"/>
          </w:tcPr>
          <w:p w:rsidR="005578DF" w:rsidRPr="00190D0C" w:rsidRDefault="005578DF" w:rsidP="0020323A">
            <w:pPr>
              <w:jc w:val="center"/>
              <w:rPr>
                <w:rFonts w:ascii="Arial Narrow" w:hAnsi="Arial Narrow"/>
                <w:color w:val="000000"/>
                <w:sz w:val="20"/>
              </w:rPr>
            </w:pPr>
            <w:r w:rsidRPr="00190D0C">
              <w:rPr>
                <w:rFonts w:ascii="Arial Narrow" w:hAnsi="Arial Narrow"/>
                <w:color w:val="000000"/>
                <w:sz w:val="20"/>
              </w:rPr>
              <w:t>38.9</w:t>
            </w:r>
          </w:p>
        </w:tc>
        <w:tc>
          <w:tcPr>
            <w:tcW w:w="499" w:type="pct"/>
            <w:vAlign w:val="center"/>
          </w:tcPr>
          <w:p w:rsidR="005578DF" w:rsidRPr="00190D0C" w:rsidRDefault="005578DF" w:rsidP="0020323A">
            <w:pPr>
              <w:jc w:val="center"/>
              <w:rPr>
                <w:rFonts w:ascii="Arial Narrow" w:hAnsi="Arial Narrow"/>
                <w:color w:val="000000"/>
                <w:sz w:val="20"/>
              </w:rPr>
            </w:pPr>
            <w:r w:rsidRPr="00190D0C">
              <w:rPr>
                <w:rFonts w:ascii="Arial Narrow" w:hAnsi="Arial Narrow"/>
                <w:color w:val="000000"/>
                <w:sz w:val="20"/>
              </w:rPr>
              <w:t>79.3</w:t>
            </w:r>
          </w:p>
        </w:tc>
        <w:tc>
          <w:tcPr>
            <w:tcW w:w="671" w:type="pct"/>
            <w:gridSpan w:val="2"/>
            <w:vAlign w:val="center"/>
          </w:tcPr>
          <w:p w:rsidR="005578DF" w:rsidRPr="00190D0C" w:rsidRDefault="005578DF" w:rsidP="0020323A">
            <w:pPr>
              <w:jc w:val="center"/>
              <w:rPr>
                <w:rFonts w:ascii="Arial Narrow" w:hAnsi="Arial Narrow"/>
                <w:color w:val="000000"/>
                <w:sz w:val="20"/>
              </w:rPr>
            </w:pPr>
            <w:r w:rsidRPr="00190D0C">
              <w:rPr>
                <w:rFonts w:ascii="Arial Narrow" w:hAnsi="Arial Narrow"/>
                <w:color w:val="000000"/>
                <w:sz w:val="20"/>
              </w:rPr>
              <w:t>88</w:t>
            </w:r>
          </w:p>
        </w:tc>
        <w:tc>
          <w:tcPr>
            <w:tcW w:w="590" w:type="pct"/>
            <w:gridSpan w:val="2"/>
            <w:vAlign w:val="center"/>
          </w:tcPr>
          <w:p w:rsidR="005578DF" w:rsidRPr="00190D0C" w:rsidRDefault="005578DF" w:rsidP="0020323A">
            <w:pPr>
              <w:jc w:val="center"/>
              <w:rPr>
                <w:rFonts w:ascii="Arial Narrow" w:hAnsi="Arial Narrow"/>
                <w:color w:val="000000"/>
                <w:sz w:val="20"/>
              </w:rPr>
            </w:pPr>
            <w:r w:rsidRPr="00190D0C">
              <w:rPr>
                <w:rFonts w:ascii="Arial Narrow" w:hAnsi="Arial Narrow"/>
                <w:color w:val="000000"/>
                <w:sz w:val="20"/>
              </w:rPr>
              <w:t>-5.5</w:t>
            </w:r>
          </w:p>
        </w:tc>
        <w:tc>
          <w:tcPr>
            <w:tcW w:w="583" w:type="pct"/>
            <w:gridSpan w:val="2"/>
            <w:vAlign w:val="center"/>
          </w:tcPr>
          <w:p w:rsidR="005578DF" w:rsidRPr="00190D0C" w:rsidRDefault="005578DF" w:rsidP="0020323A">
            <w:pPr>
              <w:jc w:val="center"/>
              <w:rPr>
                <w:rFonts w:ascii="Arial Narrow" w:hAnsi="Arial Narrow"/>
                <w:color w:val="000000"/>
                <w:sz w:val="20"/>
              </w:rPr>
            </w:pPr>
            <w:r w:rsidRPr="00190D0C">
              <w:rPr>
                <w:rFonts w:ascii="Arial Narrow" w:hAnsi="Arial Narrow"/>
                <w:color w:val="000000"/>
                <w:sz w:val="20"/>
              </w:rPr>
              <w:t>84.3</w:t>
            </w:r>
          </w:p>
        </w:tc>
        <w:tc>
          <w:tcPr>
            <w:tcW w:w="1057" w:type="pct"/>
            <w:gridSpan w:val="2"/>
            <w:vAlign w:val="center"/>
          </w:tcPr>
          <w:p w:rsidR="005578DF" w:rsidRPr="00190D0C" w:rsidRDefault="005578DF" w:rsidP="0020323A">
            <w:pPr>
              <w:jc w:val="center"/>
              <w:rPr>
                <w:rFonts w:ascii="Arial Narrow" w:hAnsi="Arial Narrow"/>
                <w:sz w:val="20"/>
              </w:rPr>
            </w:pPr>
            <w:r w:rsidRPr="00190D0C">
              <w:rPr>
                <w:rFonts w:ascii="Arial Narrow" w:hAnsi="Arial Narrow"/>
                <w:sz w:val="20"/>
              </w:rPr>
              <w:t>45.69 (24.74, 66.63)</w:t>
            </w:r>
          </w:p>
        </w:tc>
      </w:tr>
      <w:tr w:rsidR="00A856AC" w:rsidRPr="00190D0C" w:rsidTr="00A856AC">
        <w:tc>
          <w:tcPr>
            <w:tcW w:w="5000" w:type="pct"/>
            <w:gridSpan w:val="15"/>
            <w:shd w:val="clear" w:color="auto" w:fill="auto"/>
            <w:vAlign w:val="center"/>
          </w:tcPr>
          <w:p w:rsidR="00A856AC" w:rsidRPr="00190D0C" w:rsidRDefault="00A856AC" w:rsidP="008C7E66">
            <w:pPr>
              <w:jc w:val="left"/>
              <w:rPr>
                <w:rFonts w:ascii="Arial Narrow" w:hAnsi="Arial Narrow"/>
                <w:sz w:val="20"/>
              </w:rPr>
            </w:pPr>
            <w:r w:rsidRPr="00190D0C">
              <w:rPr>
                <w:rFonts w:ascii="Arial Narrow" w:hAnsi="Arial Narrow"/>
                <w:color w:val="000000"/>
                <w:sz w:val="20"/>
              </w:rPr>
              <w:t xml:space="preserve">Change </w:t>
            </w:r>
            <w:r w:rsidR="008C7E66" w:rsidRPr="00190D0C">
              <w:rPr>
                <w:rFonts w:ascii="Arial Narrow" w:hAnsi="Arial Narrow"/>
                <w:color w:val="000000"/>
                <w:sz w:val="20"/>
              </w:rPr>
              <w:t>by</w:t>
            </w:r>
            <w:r w:rsidRPr="00190D0C">
              <w:rPr>
                <w:rFonts w:ascii="Arial Narrow" w:hAnsi="Arial Narrow"/>
                <w:color w:val="000000"/>
                <w:sz w:val="20"/>
              </w:rPr>
              <w:t xml:space="preserve"> </w:t>
            </w:r>
            <w:r w:rsidR="008C7E66" w:rsidRPr="00190D0C">
              <w:rPr>
                <w:rFonts w:ascii="Arial Narrow" w:hAnsi="Arial Narrow"/>
                <w:color w:val="000000"/>
                <w:sz w:val="20"/>
              </w:rPr>
              <w:t xml:space="preserve">≥1 </w:t>
            </w:r>
            <w:r w:rsidRPr="00190D0C">
              <w:rPr>
                <w:rFonts w:ascii="Arial Narrow" w:hAnsi="Arial Narrow"/>
                <w:color w:val="000000"/>
                <w:sz w:val="20"/>
              </w:rPr>
              <w:t>WHO Functional class</w:t>
            </w:r>
          </w:p>
        </w:tc>
      </w:tr>
      <w:tr w:rsidR="005578DF" w:rsidRPr="00190D0C" w:rsidTr="00B30BE3">
        <w:trPr>
          <w:trHeight w:val="70"/>
        </w:trPr>
        <w:tc>
          <w:tcPr>
            <w:tcW w:w="1102" w:type="pct"/>
            <w:gridSpan w:val="3"/>
            <w:vMerge w:val="restart"/>
            <w:shd w:val="clear" w:color="auto" w:fill="auto"/>
            <w:vAlign w:val="center"/>
          </w:tcPr>
          <w:p w:rsidR="005578DF" w:rsidRPr="00190D0C" w:rsidRDefault="005578DF" w:rsidP="000115ED">
            <w:pPr>
              <w:jc w:val="center"/>
              <w:rPr>
                <w:rFonts w:ascii="Arial Narrow" w:hAnsi="Arial Narrow"/>
                <w:b/>
                <w:color w:val="000000"/>
                <w:sz w:val="20"/>
              </w:rPr>
            </w:pPr>
            <w:r w:rsidRPr="00190D0C">
              <w:rPr>
                <w:rFonts w:ascii="Arial Narrow" w:hAnsi="Arial Narrow"/>
                <w:b/>
                <w:color w:val="000000"/>
                <w:sz w:val="20"/>
              </w:rPr>
              <w:t>Riociguat</w:t>
            </w:r>
          </w:p>
        </w:tc>
        <w:tc>
          <w:tcPr>
            <w:tcW w:w="1012" w:type="pct"/>
            <w:gridSpan w:val="5"/>
            <w:vMerge w:val="restart"/>
            <w:vAlign w:val="center"/>
          </w:tcPr>
          <w:p w:rsidR="005578DF" w:rsidRPr="00190D0C" w:rsidRDefault="005578DF" w:rsidP="00501311">
            <w:pPr>
              <w:jc w:val="center"/>
              <w:rPr>
                <w:rFonts w:ascii="Arial Narrow" w:hAnsi="Arial Narrow"/>
                <w:b/>
                <w:color w:val="000000"/>
                <w:sz w:val="20"/>
              </w:rPr>
            </w:pPr>
            <w:r w:rsidRPr="00190D0C">
              <w:rPr>
                <w:rFonts w:ascii="Arial Narrow" w:hAnsi="Arial Narrow"/>
                <w:b/>
                <w:color w:val="000000"/>
                <w:sz w:val="20"/>
              </w:rPr>
              <w:t>Placebo</w:t>
            </w:r>
          </w:p>
        </w:tc>
        <w:tc>
          <w:tcPr>
            <w:tcW w:w="918" w:type="pct"/>
            <w:gridSpan w:val="2"/>
            <w:vMerge w:val="restart"/>
            <w:vAlign w:val="center"/>
          </w:tcPr>
          <w:p w:rsidR="005578DF" w:rsidRPr="00190D0C" w:rsidRDefault="005578DF" w:rsidP="000115ED">
            <w:pPr>
              <w:jc w:val="center"/>
              <w:rPr>
                <w:rFonts w:ascii="Arial Narrow" w:hAnsi="Arial Narrow"/>
                <w:b/>
                <w:color w:val="000000"/>
                <w:sz w:val="20"/>
              </w:rPr>
            </w:pPr>
            <w:r w:rsidRPr="00190D0C">
              <w:rPr>
                <w:rFonts w:ascii="Arial Narrow" w:hAnsi="Arial Narrow"/>
                <w:b/>
                <w:color w:val="000000"/>
                <w:sz w:val="20"/>
              </w:rPr>
              <w:t>RR</w:t>
            </w:r>
          </w:p>
          <w:p w:rsidR="005578DF" w:rsidRPr="00190D0C" w:rsidRDefault="005578DF" w:rsidP="000115ED">
            <w:pPr>
              <w:jc w:val="center"/>
              <w:rPr>
                <w:rFonts w:ascii="Arial Narrow" w:hAnsi="Arial Narrow"/>
                <w:b/>
                <w:color w:val="000000"/>
                <w:sz w:val="20"/>
              </w:rPr>
            </w:pPr>
            <w:r w:rsidRPr="00190D0C">
              <w:rPr>
                <w:rFonts w:ascii="Arial Narrow" w:hAnsi="Arial Narrow"/>
                <w:b/>
                <w:color w:val="000000"/>
                <w:sz w:val="20"/>
              </w:rPr>
              <w:t>(95% CI)</w:t>
            </w:r>
          </w:p>
        </w:tc>
        <w:tc>
          <w:tcPr>
            <w:tcW w:w="1143" w:type="pct"/>
            <w:gridSpan w:val="4"/>
            <w:vAlign w:val="center"/>
          </w:tcPr>
          <w:p w:rsidR="005578DF" w:rsidRPr="00190D0C" w:rsidRDefault="005578DF" w:rsidP="000115ED">
            <w:pPr>
              <w:jc w:val="center"/>
              <w:rPr>
                <w:rFonts w:ascii="Arial Narrow" w:hAnsi="Arial Narrow"/>
                <w:b/>
                <w:color w:val="000000"/>
                <w:sz w:val="20"/>
              </w:rPr>
            </w:pPr>
            <w:r w:rsidRPr="00190D0C">
              <w:rPr>
                <w:rFonts w:ascii="Arial Narrow" w:hAnsi="Arial Narrow"/>
                <w:b/>
                <w:color w:val="000000"/>
                <w:sz w:val="20"/>
              </w:rPr>
              <w:t xml:space="preserve">Event rate/100 patients </w:t>
            </w:r>
          </w:p>
        </w:tc>
        <w:tc>
          <w:tcPr>
            <w:tcW w:w="825" w:type="pct"/>
            <w:vMerge w:val="restart"/>
            <w:vAlign w:val="center"/>
          </w:tcPr>
          <w:p w:rsidR="005578DF" w:rsidRPr="00190D0C" w:rsidRDefault="005578DF" w:rsidP="000115ED">
            <w:pPr>
              <w:jc w:val="center"/>
              <w:rPr>
                <w:rFonts w:ascii="Arial Narrow" w:hAnsi="Arial Narrow"/>
                <w:b/>
                <w:color w:val="000000"/>
                <w:sz w:val="20"/>
              </w:rPr>
            </w:pPr>
            <w:r w:rsidRPr="00190D0C">
              <w:rPr>
                <w:rFonts w:ascii="Arial Narrow" w:hAnsi="Arial Narrow"/>
                <w:b/>
                <w:color w:val="000000"/>
                <w:sz w:val="20"/>
              </w:rPr>
              <w:t>RD</w:t>
            </w:r>
          </w:p>
          <w:p w:rsidR="005578DF" w:rsidRPr="00190D0C" w:rsidRDefault="005578DF" w:rsidP="000115ED">
            <w:pPr>
              <w:jc w:val="center"/>
              <w:rPr>
                <w:rFonts w:ascii="Arial Narrow" w:hAnsi="Arial Narrow"/>
                <w:b/>
                <w:color w:val="000000"/>
                <w:sz w:val="20"/>
              </w:rPr>
            </w:pPr>
            <w:r w:rsidRPr="00190D0C">
              <w:rPr>
                <w:rFonts w:ascii="Arial Narrow" w:hAnsi="Arial Narrow"/>
                <w:b/>
                <w:color w:val="000000"/>
                <w:sz w:val="20"/>
              </w:rPr>
              <w:t>(95% CI)</w:t>
            </w:r>
          </w:p>
        </w:tc>
      </w:tr>
      <w:tr w:rsidR="005578DF" w:rsidRPr="00190D0C" w:rsidTr="00B30BE3">
        <w:trPr>
          <w:trHeight w:val="390"/>
        </w:trPr>
        <w:tc>
          <w:tcPr>
            <w:tcW w:w="1102" w:type="pct"/>
            <w:gridSpan w:val="3"/>
            <w:vMerge/>
            <w:shd w:val="clear" w:color="auto" w:fill="auto"/>
            <w:vAlign w:val="center"/>
          </w:tcPr>
          <w:p w:rsidR="005578DF" w:rsidRPr="00190D0C" w:rsidRDefault="005578DF" w:rsidP="000115ED">
            <w:pPr>
              <w:jc w:val="center"/>
              <w:rPr>
                <w:rFonts w:ascii="Arial Narrow" w:hAnsi="Arial Narrow"/>
                <w:b/>
                <w:color w:val="000000"/>
                <w:sz w:val="20"/>
              </w:rPr>
            </w:pPr>
          </w:p>
        </w:tc>
        <w:tc>
          <w:tcPr>
            <w:tcW w:w="1012" w:type="pct"/>
            <w:gridSpan w:val="5"/>
            <w:vMerge/>
            <w:vAlign w:val="center"/>
          </w:tcPr>
          <w:p w:rsidR="005578DF" w:rsidRPr="00190D0C" w:rsidRDefault="005578DF" w:rsidP="000115ED">
            <w:pPr>
              <w:jc w:val="center"/>
              <w:rPr>
                <w:rFonts w:ascii="Arial Narrow" w:hAnsi="Arial Narrow"/>
                <w:b/>
                <w:color w:val="000000"/>
                <w:sz w:val="20"/>
              </w:rPr>
            </w:pPr>
          </w:p>
        </w:tc>
        <w:tc>
          <w:tcPr>
            <w:tcW w:w="918" w:type="pct"/>
            <w:gridSpan w:val="2"/>
            <w:vMerge/>
            <w:vAlign w:val="center"/>
          </w:tcPr>
          <w:p w:rsidR="005578DF" w:rsidRPr="00190D0C" w:rsidRDefault="005578DF" w:rsidP="000115ED">
            <w:pPr>
              <w:jc w:val="center"/>
              <w:rPr>
                <w:rFonts w:ascii="Arial Narrow" w:hAnsi="Arial Narrow"/>
                <w:b/>
                <w:color w:val="000000"/>
                <w:sz w:val="20"/>
              </w:rPr>
            </w:pPr>
          </w:p>
        </w:tc>
        <w:tc>
          <w:tcPr>
            <w:tcW w:w="561" w:type="pct"/>
            <w:gridSpan w:val="2"/>
            <w:vAlign w:val="center"/>
          </w:tcPr>
          <w:p w:rsidR="005578DF" w:rsidRPr="00190D0C" w:rsidRDefault="005578DF" w:rsidP="000115ED">
            <w:pPr>
              <w:jc w:val="center"/>
              <w:rPr>
                <w:rFonts w:ascii="Arial Narrow" w:hAnsi="Arial Narrow"/>
                <w:b/>
                <w:color w:val="000000"/>
                <w:sz w:val="20"/>
              </w:rPr>
            </w:pPr>
            <w:r w:rsidRPr="00190D0C">
              <w:rPr>
                <w:rFonts w:ascii="Arial Narrow" w:hAnsi="Arial Narrow"/>
                <w:b/>
                <w:color w:val="000000"/>
                <w:sz w:val="20"/>
              </w:rPr>
              <w:t>Riociguat</w:t>
            </w:r>
          </w:p>
        </w:tc>
        <w:tc>
          <w:tcPr>
            <w:tcW w:w="582" w:type="pct"/>
            <w:gridSpan w:val="2"/>
            <w:vAlign w:val="center"/>
          </w:tcPr>
          <w:p w:rsidR="005578DF" w:rsidRPr="00190D0C" w:rsidRDefault="005578DF" w:rsidP="00501311">
            <w:pPr>
              <w:jc w:val="center"/>
              <w:rPr>
                <w:rFonts w:ascii="Arial Narrow" w:hAnsi="Arial Narrow"/>
                <w:b/>
                <w:color w:val="000000"/>
                <w:sz w:val="20"/>
              </w:rPr>
            </w:pPr>
            <w:r w:rsidRPr="00190D0C">
              <w:rPr>
                <w:rFonts w:ascii="Arial Narrow" w:hAnsi="Arial Narrow"/>
                <w:b/>
                <w:color w:val="000000"/>
                <w:sz w:val="20"/>
              </w:rPr>
              <w:t>Placebo</w:t>
            </w:r>
          </w:p>
        </w:tc>
        <w:tc>
          <w:tcPr>
            <w:tcW w:w="825" w:type="pct"/>
            <w:vMerge/>
            <w:vAlign w:val="center"/>
          </w:tcPr>
          <w:p w:rsidR="005578DF" w:rsidRPr="00190D0C" w:rsidRDefault="005578DF" w:rsidP="000115ED">
            <w:pPr>
              <w:jc w:val="center"/>
              <w:rPr>
                <w:rFonts w:ascii="Arial Narrow" w:hAnsi="Arial Narrow"/>
                <w:b/>
                <w:color w:val="000000"/>
                <w:sz w:val="20"/>
              </w:rPr>
            </w:pPr>
          </w:p>
        </w:tc>
      </w:tr>
      <w:tr w:rsidR="005578DF" w:rsidRPr="00190D0C" w:rsidTr="00B30BE3">
        <w:tc>
          <w:tcPr>
            <w:tcW w:w="1102" w:type="pct"/>
            <w:gridSpan w:val="3"/>
            <w:shd w:val="clear" w:color="auto" w:fill="auto"/>
            <w:vAlign w:val="center"/>
          </w:tcPr>
          <w:p w:rsidR="005578DF" w:rsidRPr="00190D0C" w:rsidRDefault="005578DF" w:rsidP="000115ED">
            <w:pPr>
              <w:jc w:val="center"/>
              <w:rPr>
                <w:rFonts w:ascii="Arial Narrow" w:hAnsi="Arial Narrow"/>
                <w:color w:val="000000"/>
                <w:sz w:val="20"/>
              </w:rPr>
            </w:pPr>
            <w:r w:rsidRPr="00190D0C">
              <w:rPr>
                <w:rFonts w:ascii="Arial Narrow" w:hAnsi="Arial Narrow"/>
                <w:color w:val="000000"/>
                <w:sz w:val="20"/>
              </w:rPr>
              <w:t>57/173</w:t>
            </w:r>
          </w:p>
        </w:tc>
        <w:tc>
          <w:tcPr>
            <w:tcW w:w="1012" w:type="pct"/>
            <w:gridSpan w:val="5"/>
            <w:vAlign w:val="center"/>
          </w:tcPr>
          <w:p w:rsidR="005578DF" w:rsidRPr="00190D0C" w:rsidRDefault="005578DF" w:rsidP="000115ED">
            <w:pPr>
              <w:jc w:val="center"/>
              <w:rPr>
                <w:rFonts w:ascii="Arial Narrow" w:hAnsi="Arial Narrow"/>
                <w:color w:val="000000"/>
                <w:sz w:val="20"/>
              </w:rPr>
            </w:pPr>
            <w:r w:rsidRPr="00190D0C">
              <w:rPr>
                <w:rFonts w:ascii="Arial Narrow" w:hAnsi="Arial Narrow"/>
                <w:color w:val="000000"/>
                <w:sz w:val="20"/>
              </w:rPr>
              <w:t>13/88</w:t>
            </w:r>
          </w:p>
        </w:tc>
        <w:tc>
          <w:tcPr>
            <w:tcW w:w="918" w:type="pct"/>
            <w:gridSpan w:val="2"/>
            <w:vAlign w:val="center"/>
          </w:tcPr>
          <w:p w:rsidR="005578DF" w:rsidRPr="00190D0C" w:rsidRDefault="005578DF" w:rsidP="000115ED">
            <w:pPr>
              <w:jc w:val="center"/>
              <w:rPr>
                <w:rFonts w:ascii="Arial Narrow" w:hAnsi="Arial Narrow"/>
                <w:color w:val="000000"/>
                <w:sz w:val="20"/>
              </w:rPr>
            </w:pPr>
            <w:r w:rsidRPr="00190D0C">
              <w:rPr>
                <w:rFonts w:ascii="Arial Narrow" w:hAnsi="Arial Narrow"/>
                <w:sz w:val="20"/>
              </w:rPr>
              <w:t>2.2 (1.28, 3.80)</w:t>
            </w:r>
          </w:p>
        </w:tc>
        <w:tc>
          <w:tcPr>
            <w:tcW w:w="561" w:type="pct"/>
            <w:gridSpan w:val="2"/>
            <w:vAlign w:val="center"/>
          </w:tcPr>
          <w:p w:rsidR="005578DF" w:rsidRPr="00190D0C" w:rsidRDefault="005578DF" w:rsidP="000115ED">
            <w:pPr>
              <w:jc w:val="center"/>
              <w:rPr>
                <w:rFonts w:ascii="Arial Narrow" w:hAnsi="Arial Narrow"/>
                <w:color w:val="000000"/>
                <w:sz w:val="20"/>
              </w:rPr>
            </w:pPr>
            <w:r w:rsidRPr="00190D0C">
              <w:rPr>
                <w:rFonts w:ascii="Arial Narrow" w:hAnsi="Arial Narrow"/>
                <w:color w:val="000000"/>
                <w:sz w:val="20"/>
              </w:rPr>
              <w:t>33</w:t>
            </w:r>
          </w:p>
        </w:tc>
        <w:tc>
          <w:tcPr>
            <w:tcW w:w="582" w:type="pct"/>
            <w:gridSpan w:val="2"/>
            <w:vAlign w:val="center"/>
          </w:tcPr>
          <w:p w:rsidR="005578DF" w:rsidRPr="00190D0C" w:rsidRDefault="005578DF" w:rsidP="000115ED">
            <w:pPr>
              <w:jc w:val="center"/>
              <w:rPr>
                <w:rFonts w:ascii="Arial Narrow" w:hAnsi="Arial Narrow"/>
                <w:color w:val="000000"/>
                <w:sz w:val="20"/>
              </w:rPr>
            </w:pPr>
            <w:r w:rsidRPr="00190D0C">
              <w:rPr>
                <w:rFonts w:ascii="Arial Narrow" w:hAnsi="Arial Narrow"/>
                <w:color w:val="000000"/>
                <w:sz w:val="20"/>
              </w:rPr>
              <w:t>15</w:t>
            </w:r>
          </w:p>
        </w:tc>
        <w:tc>
          <w:tcPr>
            <w:tcW w:w="825" w:type="pct"/>
            <w:vAlign w:val="center"/>
          </w:tcPr>
          <w:p w:rsidR="005578DF" w:rsidRPr="00190D0C" w:rsidRDefault="005578DF" w:rsidP="00A31971">
            <w:pPr>
              <w:jc w:val="center"/>
              <w:rPr>
                <w:rFonts w:ascii="Arial Narrow" w:hAnsi="Arial Narrow"/>
                <w:color w:val="000000"/>
                <w:sz w:val="20"/>
              </w:rPr>
            </w:pPr>
            <w:r w:rsidRPr="00190D0C">
              <w:rPr>
                <w:rFonts w:ascii="Arial Narrow" w:hAnsi="Arial Narrow"/>
                <w:sz w:val="20"/>
              </w:rPr>
              <w:t>18 (7.7, 28.3)</w:t>
            </w:r>
          </w:p>
        </w:tc>
      </w:tr>
      <w:tr w:rsidR="00597F05" w:rsidRPr="00190D0C" w:rsidTr="00416373">
        <w:tc>
          <w:tcPr>
            <w:tcW w:w="5000" w:type="pct"/>
            <w:gridSpan w:val="15"/>
            <w:tcBorders>
              <w:top w:val="double" w:sz="4" w:space="0" w:color="auto"/>
            </w:tcBorders>
            <w:shd w:val="clear" w:color="auto" w:fill="EEECE1" w:themeFill="background2"/>
            <w:vAlign w:val="center"/>
          </w:tcPr>
          <w:p w:rsidR="00597F05" w:rsidRPr="00190D0C" w:rsidRDefault="00597F05" w:rsidP="00A856AC">
            <w:pPr>
              <w:rPr>
                <w:rFonts w:ascii="Arial Narrow" w:hAnsi="Arial Narrow"/>
                <w:b/>
                <w:color w:val="000000"/>
                <w:sz w:val="20"/>
              </w:rPr>
            </w:pPr>
            <w:r w:rsidRPr="00190D0C">
              <w:rPr>
                <w:rFonts w:ascii="Arial Narrow" w:hAnsi="Arial Narrow"/>
                <w:b/>
                <w:color w:val="000000"/>
                <w:sz w:val="20"/>
              </w:rPr>
              <w:t>Harms</w:t>
            </w:r>
          </w:p>
        </w:tc>
      </w:tr>
      <w:tr w:rsidR="00597F05" w:rsidRPr="00190D0C" w:rsidTr="00B30BE3">
        <w:trPr>
          <w:trHeight w:val="70"/>
        </w:trPr>
        <w:tc>
          <w:tcPr>
            <w:tcW w:w="686" w:type="pct"/>
            <w:vMerge w:val="restart"/>
            <w:shd w:val="clear" w:color="auto" w:fill="auto"/>
            <w:vAlign w:val="center"/>
          </w:tcPr>
          <w:p w:rsidR="00597F05" w:rsidRPr="00190D0C" w:rsidRDefault="00597F05" w:rsidP="0020323A">
            <w:pPr>
              <w:rPr>
                <w:rFonts w:ascii="Arial Narrow" w:hAnsi="Arial Narrow"/>
                <w:b/>
                <w:color w:val="000000"/>
                <w:sz w:val="20"/>
              </w:rPr>
            </w:pPr>
          </w:p>
        </w:tc>
        <w:tc>
          <w:tcPr>
            <w:tcW w:w="668" w:type="pct"/>
            <w:gridSpan w:val="3"/>
            <w:vMerge w:val="restart"/>
            <w:vAlign w:val="center"/>
          </w:tcPr>
          <w:p w:rsidR="00597F05" w:rsidRPr="00190D0C" w:rsidRDefault="00597F05" w:rsidP="0020323A">
            <w:pPr>
              <w:jc w:val="center"/>
              <w:rPr>
                <w:rFonts w:ascii="Arial Narrow" w:hAnsi="Arial Narrow"/>
                <w:b/>
                <w:color w:val="000000"/>
                <w:sz w:val="20"/>
              </w:rPr>
            </w:pPr>
            <w:r w:rsidRPr="00190D0C">
              <w:rPr>
                <w:rFonts w:ascii="Arial Narrow" w:hAnsi="Arial Narrow"/>
                <w:b/>
                <w:color w:val="000000"/>
                <w:sz w:val="20"/>
              </w:rPr>
              <w:t>Riociguat</w:t>
            </w:r>
          </w:p>
        </w:tc>
        <w:tc>
          <w:tcPr>
            <w:tcW w:w="760" w:type="pct"/>
            <w:gridSpan w:val="4"/>
            <w:vMerge w:val="restart"/>
            <w:vAlign w:val="center"/>
          </w:tcPr>
          <w:p w:rsidR="00597F05" w:rsidRPr="00190D0C" w:rsidRDefault="00597F05" w:rsidP="0020323A">
            <w:pPr>
              <w:jc w:val="center"/>
              <w:rPr>
                <w:rFonts w:ascii="Arial Narrow" w:hAnsi="Arial Narrow"/>
                <w:b/>
                <w:color w:val="000000"/>
                <w:sz w:val="20"/>
              </w:rPr>
            </w:pPr>
            <w:r w:rsidRPr="00190D0C">
              <w:rPr>
                <w:rFonts w:ascii="Arial Narrow" w:hAnsi="Arial Narrow"/>
                <w:b/>
                <w:color w:val="000000"/>
                <w:sz w:val="20"/>
              </w:rPr>
              <w:t>Placebo</w:t>
            </w:r>
          </w:p>
        </w:tc>
        <w:tc>
          <w:tcPr>
            <w:tcW w:w="918" w:type="pct"/>
            <w:gridSpan w:val="2"/>
            <w:vMerge w:val="restart"/>
            <w:vAlign w:val="center"/>
          </w:tcPr>
          <w:p w:rsidR="00597F05" w:rsidRPr="00190D0C" w:rsidRDefault="00597F05" w:rsidP="0020323A">
            <w:pPr>
              <w:jc w:val="center"/>
              <w:rPr>
                <w:rFonts w:ascii="Arial Narrow" w:hAnsi="Arial Narrow"/>
                <w:b/>
                <w:color w:val="000000"/>
                <w:sz w:val="20"/>
              </w:rPr>
            </w:pPr>
            <w:r w:rsidRPr="00190D0C">
              <w:rPr>
                <w:rFonts w:ascii="Arial Narrow" w:hAnsi="Arial Narrow"/>
                <w:b/>
                <w:color w:val="000000"/>
                <w:sz w:val="20"/>
              </w:rPr>
              <w:t>RR</w:t>
            </w:r>
          </w:p>
          <w:p w:rsidR="00597F05" w:rsidRPr="00190D0C" w:rsidRDefault="00597F05" w:rsidP="0020323A">
            <w:pPr>
              <w:jc w:val="center"/>
              <w:rPr>
                <w:rFonts w:ascii="Arial Narrow" w:hAnsi="Arial Narrow"/>
                <w:b/>
                <w:color w:val="000000"/>
                <w:sz w:val="20"/>
              </w:rPr>
            </w:pPr>
            <w:r w:rsidRPr="00190D0C">
              <w:rPr>
                <w:rFonts w:ascii="Arial Narrow" w:hAnsi="Arial Narrow"/>
                <w:b/>
                <w:color w:val="000000"/>
                <w:sz w:val="20"/>
              </w:rPr>
              <w:t>(95% CI)</w:t>
            </w:r>
          </w:p>
        </w:tc>
        <w:tc>
          <w:tcPr>
            <w:tcW w:w="1143" w:type="pct"/>
            <w:gridSpan w:val="4"/>
            <w:vAlign w:val="center"/>
          </w:tcPr>
          <w:p w:rsidR="00597F05" w:rsidRPr="00190D0C" w:rsidRDefault="008C7E66" w:rsidP="0020323A">
            <w:pPr>
              <w:jc w:val="center"/>
              <w:rPr>
                <w:rFonts w:ascii="Arial Narrow" w:hAnsi="Arial Narrow"/>
                <w:b/>
                <w:color w:val="000000"/>
                <w:sz w:val="20"/>
              </w:rPr>
            </w:pPr>
            <w:r w:rsidRPr="00190D0C">
              <w:rPr>
                <w:rFonts w:ascii="Arial Narrow" w:hAnsi="Arial Narrow"/>
                <w:b/>
                <w:color w:val="000000"/>
                <w:sz w:val="20"/>
              </w:rPr>
              <w:t>Event rate/100 patients</w:t>
            </w:r>
            <w:r w:rsidR="00597F05" w:rsidRPr="00190D0C">
              <w:rPr>
                <w:rFonts w:ascii="Arial Narrow" w:hAnsi="Arial Narrow"/>
                <w:b/>
                <w:color w:val="000000"/>
                <w:sz w:val="20"/>
              </w:rPr>
              <w:t xml:space="preserve"> </w:t>
            </w:r>
          </w:p>
        </w:tc>
        <w:tc>
          <w:tcPr>
            <w:tcW w:w="825" w:type="pct"/>
            <w:vMerge w:val="restart"/>
            <w:vAlign w:val="center"/>
          </w:tcPr>
          <w:p w:rsidR="00597F05" w:rsidRPr="00190D0C" w:rsidRDefault="00597F05" w:rsidP="0020323A">
            <w:pPr>
              <w:jc w:val="center"/>
              <w:rPr>
                <w:rFonts w:ascii="Arial Narrow" w:hAnsi="Arial Narrow"/>
                <w:b/>
                <w:color w:val="000000"/>
                <w:sz w:val="20"/>
              </w:rPr>
            </w:pPr>
            <w:r w:rsidRPr="00190D0C">
              <w:rPr>
                <w:rFonts w:ascii="Arial Narrow" w:hAnsi="Arial Narrow"/>
                <w:b/>
                <w:color w:val="000000"/>
                <w:sz w:val="20"/>
              </w:rPr>
              <w:t>RD</w:t>
            </w:r>
          </w:p>
          <w:p w:rsidR="00597F05" w:rsidRPr="00190D0C" w:rsidRDefault="00597F05" w:rsidP="0020323A">
            <w:pPr>
              <w:jc w:val="center"/>
              <w:rPr>
                <w:rFonts w:ascii="Arial Narrow" w:hAnsi="Arial Narrow"/>
                <w:b/>
                <w:color w:val="000000"/>
                <w:sz w:val="20"/>
              </w:rPr>
            </w:pPr>
            <w:r w:rsidRPr="00190D0C">
              <w:rPr>
                <w:rFonts w:ascii="Arial Narrow" w:hAnsi="Arial Narrow"/>
                <w:b/>
                <w:color w:val="000000"/>
                <w:sz w:val="20"/>
              </w:rPr>
              <w:t>(95% CI)</w:t>
            </w:r>
          </w:p>
        </w:tc>
      </w:tr>
      <w:tr w:rsidR="00597F05" w:rsidRPr="00190D0C" w:rsidTr="00B30BE3">
        <w:trPr>
          <w:trHeight w:val="390"/>
        </w:trPr>
        <w:tc>
          <w:tcPr>
            <w:tcW w:w="686" w:type="pct"/>
            <w:vMerge/>
            <w:shd w:val="clear" w:color="auto" w:fill="auto"/>
            <w:vAlign w:val="center"/>
          </w:tcPr>
          <w:p w:rsidR="00597F05" w:rsidRPr="00190D0C" w:rsidRDefault="00597F05" w:rsidP="0020323A">
            <w:pPr>
              <w:rPr>
                <w:rFonts w:ascii="Arial Narrow" w:hAnsi="Arial Narrow"/>
                <w:b/>
                <w:color w:val="000000"/>
                <w:sz w:val="20"/>
              </w:rPr>
            </w:pPr>
          </w:p>
        </w:tc>
        <w:tc>
          <w:tcPr>
            <w:tcW w:w="668" w:type="pct"/>
            <w:gridSpan w:val="3"/>
            <w:vMerge/>
            <w:vAlign w:val="center"/>
          </w:tcPr>
          <w:p w:rsidR="00597F05" w:rsidRPr="00190D0C" w:rsidRDefault="00597F05" w:rsidP="0020323A">
            <w:pPr>
              <w:jc w:val="center"/>
              <w:rPr>
                <w:rFonts w:ascii="Arial Narrow" w:hAnsi="Arial Narrow"/>
                <w:b/>
                <w:color w:val="000000"/>
                <w:sz w:val="20"/>
              </w:rPr>
            </w:pPr>
          </w:p>
        </w:tc>
        <w:tc>
          <w:tcPr>
            <w:tcW w:w="760" w:type="pct"/>
            <w:gridSpan w:val="4"/>
            <w:vMerge/>
            <w:vAlign w:val="center"/>
          </w:tcPr>
          <w:p w:rsidR="00597F05" w:rsidRPr="00190D0C" w:rsidRDefault="00597F05" w:rsidP="0020323A">
            <w:pPr>
              <w:jc w:val="center"/>
              <w:rPr>
                <w:rFonts w:ascii="Arial Narrow" w:hAnsi="Arial Narrow"/>
                <w:b/>
                <w:color w:val="000000"/>
                <w:sz w:val="20"/>
              </w:rPr>
            </w:pPr>
          </w:p>
        </w:tc>
        <w:tc>
          <w:tcPr>
            <w:tcW w:w="918" w:type="pct"/>
            <w:gridSpan w:val="2"/>
            <w:vMerge/>
            <w:vAlign w:val="center"/>
          </w:tcPr>
          <w:p w:rsidR="00597F05" w:rsidRPr="00190D0C" w:rsidRDefault="00597F05" w:rsidP="0020323A">
            <w:pPr>
              <w:jc w:val="center"/>
              <w:rPr>
                <w:rFonts w:ascii="Arial Narrow" w:hAnsi="Arial Narrow"/>
                <w:b/>
                <w:color w:val="000000"/>
                <w:sz w:val="20"/>
              </w:rPr>
            </w:pPr>
          </w:p>
        </w:tc>
        <w:tc>
          <w:tcPr>
            <w:tcW w:w="561" w:type="pct"/>
            <w:gridSpan w:val="2"/>
            <w:vAlign w:val="center"/>
          </w:tcPr>
          <w:p w:rsidR="00597F05" w:rsidRPr="00190D0C" w:rsidRDefault="00597F05" w:rsidP="0020323A">
            <w:pPr>
              <w:jc w:val="center"/>
              <w:rPr>
                <w:rFonts w:ascii="Arial Narrow" w:hAnsi="Arial Narrow"/>
                <w:b/>
                <w:color w:val="000000"/>
                <w:sz w:val="20"/>
              </w:rPr>
            </w:pPr>
            <w:r w:rsidRPr="00190D0C">
              <w:rPr>
                <w:rFonts w:ascii="Arial Narrow" w:hAnsi="Arial Narrow"/>
                <w:b/>
                <w:color w:val="000000"/>
                <w:sz w:val="20"/>
              </w:rPr>
              <w:t>Riociguat</w:t>
            </w:r>
          </w:p>
        </w:tc>
        <w:tc>
          <w:tcPr>
            <w:tcW w:w="582" w:type="pct"/>
            <w:gridSpan w:val="2"/>
            <w:vAlign w:val="center"/>
          </w:tcPr>
          <w:p w:rsidR="00597F05" w:rsidRPr="00190D0C" w:rsidRDefault="00597F05" w:rsidP="0020323A">
            <w:pPr>
              <w:jc w:val="center"/>
              <w:rPr>
                <w:rFonts w:ascii="Arial Narrow" w:hAnsi="Arial Narrow"/>
                <w:b/>
                <w:color w:val="000000"/>
                <w:sz w:val="20"/>
              </w:rPr>
            </w:pPr>
            <w:r w:rsidRPr="00190D0C">
              <w:rPr>
                <w:rFonts w:ascii="Arial Narrow" w:hAnsi="Arial Narrow"/>
                <w:b/>
                <w:color w:val="000000"/>
                <w:sz w:val="20"/>
              </w:rPr>
              <w:t>Placebo</w:t>
            </w:r>
          </w:p>
        </w:tc>
        <w:tc>
          <w:tcPr>
            <w:tcW w:w="825" w:type="pct"/>
            <w:vMerge/>
            <w:vAlign w:val="center"/>
          </w:tcPr>
          <w:p w:rsidR="00597F05" w:rsidRPr="00190D0C" w:rsidRDefault="00597F05" w:rsidP="0020323A">
            <w:pPr>
              <w:jc w:val="center"/>
              <w:rPr>
                <w:rFonts w:ascii="Arial Narrow" w:hAnsi="Arial Narrow"/>
                <w:b/>
                <w:color w:val="000000"/>
                <w:sz w:val="20"/>
              </w:rPr>
            </w:pPr>
          </w:p>
        </w:tc>
      </w:tr>
      <w:tr w:rsidR="00597F05" w:rsidRPr="00190D0C" w:rsidTr="00B30BE3">
        <w:tc>
          <w:tcPr>
            <w:tcW w:w="692" w:type="pct"/>
            <w:gridSpan w:val="2"/>
            <w:shd w:val="clear" w:color="auto" w:fill="auto"/>
            <w:vAlign w:val="center"/>
          </w:tcPr>
          <w:p w:rsidR="00597F05" w:rsidRPr="00190D0C" w:rsidRDefault="00597F05" w:rsidP="0020323A">
            <w:pPr>
              <w:rPr>
                <w:rFonts w:ascii="Arial Narrow" w:hAnsi="Arial Narrow"/>
                <w:color w:val="000000"/>
                <w:sz w:val="20"/>
              </w:rPr>
            </w:pPr>
            <w:r w:rsidRPr="00190D0C">
              <w:rPr>
                <w:rFonts w:ascii="Arial Narrow" w:hAnsi="Arial Narrow"/>
                <w:color w:val="000000"/>
                <w:sz w:val="20"/>
              </w:rPr>
              <w:t>Dizziness</w:t>
            </w:r>
          </w:p>
        </w:tc>
        <w:tc>
          <w:tcPr>
            <w:tcW w:w="668" w:type="pct"/>
            <w:gridSpan w:val="3"/>
            <w:vAlign w:val="center"/>
          </w:tcPr>
          <w:p w:rsidR="00597F05" w:rsidRPr="00190D0C" w:rsidRDefault="00597F05" w:rsidP="0020323A">
            <w:pPr>
              <w:jc w:val="center"/>
              <w:rPr>
                <w:rFonts w:ascii="Arial Narrow" w:hAnsi="Arial Narrow"/>
                <w:color w:val="000000"/>
                <w:sz w:val="20"/>
              </w:rPr>
            </w:pPr>
            <w:r w:rsidRPr="00190D0C">
              <w:rPr>
                <w:rFonts w:ascii="Arial Narrow" w:hAnsi="Arial Narrow"/>
                <w:color w:val="000000"/>
                <w:sz w:val="20"/>
              </w:rPr>
              <w:t>26/173</w:t>
            </w:r>
          </w:p>
        </w:tc>
        <w:tc>
          <w:tcPr>
            <w:tcW w:w="754" w:type="pct"/>
            <w:gridSpan w:val="3"/>
            <w:vAlign w:val="center"/>
          </w:tcPr>
          <w:p w:rsidR="00597F05" w:rsidRPr="00190D0C" w:rsidRDefault="00597F05" w:rsidP="0020323A">
            <w:pPr>
              <w:jc w:val="center"/>
              <w:rPr>
                <w:rFonts w:ascii="Arial Narrow" w:hAnsi="Arial Narrow"/>
                <w:color w:val="000000"/>
                <w:sz w:val="20"/>
              </w:rPr>
            </w:pPr>
            <w:r w:rsidRPr="00190D0C">
              <w:rPr>
                <w:rFonts w:ascii="Arial Narrow" w:hAnsi="Arial Narrow"/>
                <w:color w:val="000000"/>
                <w:sz w:val="20"/>
              </w:rPr>
              <w:t>3/88</w:t>
            </w:r>
          </w:p>
        </w:tc>
        <w:tc>
          <w:tcPr>
            <w:tcW w:w="918" w:type="pct"/>
            <w:gridSpan w:val="2"/>
            <w:vAlign w:val="center"/>
          </w:tcPr>
          <w:p w:rsidR="00597F05" w:rsidRPr="00190D0C" w:rsidRDefault="00597F05" w:rsidP="0020323A">
            <w:pPr>
              <w:jc w:val="center"/>
              <w:rPr>
                <w:rFonts w:ascii="Arial Narrow" w:hAnsi="Arial Narrow"/>
                <w:color w:val="000000"/>
                <w:sz w:val="20"/>
              </w:rPr>
            </w:pPr>
            <w:r w:rsidRPr="00190D0C">
              <w:rPr>
                <w:rFonts w:ascii="Arial Narrow" w:hAnsi="Arial Narrow"/>
                <w:color w:val="000000"/>
                <w:sz w:val="20"/>
              </w:rPr>
              <w:t>4.41 (1.37, 14.16)</w:t>
            </w:r>
          </w:p>
        </w:tc>
        <w:tc>
          <w:tcPr>
            <w:tcW w:w="561" w:type="pct"/>
            <w:gridSpan w:val="2"/>
            <w:vAlign w:val="center"/>
          </w:tcPr>
          <w:p w:rsidR="00597F05" w:rsidRPr="00190D0C" w:rsidRDefault="00597F05" w:rsidP="0020323A">
            <w:pPr>
              <w:jc w:val="center"/>
              <w:rPr>
                <w:rFonts w:ascii="Arial Narrow" w:hAnsi="Arial Narrow"/>
                <w:color w:val="000000"/>
                <w:sz w:val="20"/>
              </w:rPr>
            </w:pPr>
            <w:r w:rsidRPr="00190D0C">
              <w:rPr>
                <w:rFonts w:ascii="Arial Narrow" w:hAnsi="Arial Narrow"/>
                <w:color w:val="000000"/>
                <w:sz w:val="20"/>
              </w:rPr>
              <w:t>15</w:t>
            </w:r>
          </w:p>
        </w:tc>
        <w:tc>
          <w:tcPr>
            <w:tcW w:w="582" w:type="pct"/>
            <w:gridSpan w:val="2"/>
            <w:vAlign w:val="center"/>
          </w:tcPr>
          <w:p w:rsidR="00597F05" w:rsidRPr="00190D0C" w:rsidRDefault="00597F05" w:rsidP="0020323A">
            <w:pPr>
              <w:jc w:val="center"/>
              <w:rPr>
                <w:rFonts w:ascii="Arial Narrow" w:hAnsi="Arial Narrow"/>
                <w:color w:val="000000"/>
                <w:sz w:val="20"/>
              </w:rPr>
            </w:pPr>
            <w:r w:rsidRPr="00190D0C">
              <w:rPr>
                <w:rFonts w:ascii="Arial Narrow" w:hAnsi="Arial Narrow"/>
                <w:color w:val="000000"/>
                <w:sz w:val="20"/>
              </w:rPr>
              <w:t>3.4</w:t>
            </w:r>
          </w:p>
        </w:tc>
        <w:tc>
          <w:tcPr>
            <w:tcW w:w="825" w:type="pct"/>
            <w:vAlign w:val="center"/>
          </w:tcPr>
          <w:p w:rsidR="00597F05" w:rsidRPr="00190D0C" w:rsidRDefault="00597F05" w:rsidP="00B30BE3">
            <w:pPr>
              <w:jc w:val="center"/>
              <w:rPr>
                <w:rFonts w:ascii="Arial Narrow" w:hAnsi="Arial Narrow"/>
                <w:color w:val="000000"/>
                <w:sz w:val="20"/>
              </w:rPr>
            </w:pPr>
            <w:r w:rsidRPr="00190D0C">
              <w:rPr>
                <w:rFonts w:ascii="Arial Narrow" w:hAnsi="Arial Narrow"/>
                <w:color w:val="000000"/>
                <w:sz w:val="20"/>
              </w:rPr>
              <w:t>11.6 (5.1, 18.2)</w:t>
            </w:r>
          </w:p>
        </w:tc>
      </w:tr>
      <w:tr w:rsidR="00597F05" w:rsidRPr="00190D0C" w:rsidTr="00B30BE3">
        <w:tc>
          <w:tcPr>
            <w:tcW w:w="692" w:type="pct"/>
            <w:gridSpan w:val="2"/>
            <w:shd w:val="clear" w:color="auto" w:fill="auto"/>
            <w:vAlign w:val="center"/>
          </w:tcPr>
          <w:p w:rsidR="00597F05" w:rsidRPr="00190D0C" w:rsidRDefault="00597F05" w:rsidP="0020323A">
            <w:pPr>
              <w:rPr>
                <w:rFonts w:ascii="Arial Narrow" w:hAnsi="Arial Narrow"/>
                <w:color w:val="000000"/>
                <w:sz w:val="20"/>
              </w:rPr>
            </w:pPr>
            <w:r w:rsidRPr="00190D0C">
              <w:rPr>
                <w:rFonts w:ascii="Arial Narrow" w:hAnsi="Arial Narrow"/>
                <w:color w:val="000000"/>
                <w:sz w:val="20"/>
              </w:rPr>
              <w:t>hypotension</w:t>
            </w:r>
          </w:p>
        </w:tc>
        <w:tc>
          <w:tcPr>
            <w:tcW w:w="668" w:type="pct"/>
            <w:gridSpan w:val="3"/>
            <w:vAlign w:val="center"/>
          </w:tcPr>
          <w:p w:rsidR="00597F05" w:rsidRPr="00190D0C" w:rsidRDefault="00597F05" w:rsidP="0020323A">
            <w:pPr>
              <w:jc w:val="center"/>
              <w:rPr>
                <w:rFonts w:ascii="Arial Narrow" w:hAnsi="Arial Narrow"/>
                <w:color w:val="000000"/>
                <w:sz w:val="20"/>
              </w:rPr>
            </w:pPr>
            <w:r w:rsidRPr="00190D0C">
              <w:rPr>
                <w:rFonts w:ascii="Arial Narrow" w:hAnsi="Arial Narrow"/>
                <w:color w:val="000000"/>
                <w:sz w:val="20"/>
              </w:rPr>
              <w:t>14/173</w:t>
            </w:r>
          </w:p>
        </w:tc>
        <w:tc>
          <w:tcPr>
            <w:tcW w:w="754" w:type="pct"/>
            <w:gridSpan w:val="3"/>
            <w:vAlign w:val="center"/>
          </w:tcPr>
          <w:p w:rsidR="00597F05" w:rsidRPr="00190D0C" w:rsidRDefault="00597F05" w:rsidP="0020323A">
            <w:pPr>
              <w:jc w:val="center"/>
              <w:rPr>
                <w:rFonts w:ascii="Arial Narrow" w:hAnsi="Arial Narrow"/>
                <w:color w:val="000000"/>
                <w:sz w:val="20"/>
              </w:rPr>
            </w:pPr>
            <w:r w:rsidRPr="00190D0C">
              <w:rPr>
                <w:rFonts w:ascii="Arial Narrow" w:hAnsi="Arial Narrow"/>
                <w:color w:val="000000"/>
                <w:sz w:val="20"/>
              </w:rPr>
              <w:t>0/88</w:t>
            </w:r>
          </w:p>
        </w:tc>
        <w:tc>
          <w:tcPr>
            <w:tcW w:w="918" w:type="pct"/>
            <w:gridSpan w:val="2"/>
            <w:vAlign w:val="center"/>
          </w:tcPr>
          <w:p w:rsidR="00597F05" w:rsidRPr="00190D0C" w:rsidRDefault="00B4357E" w:rsidP="0020323A">
            <w:pPr>
              <w:jc w:val="center"/>
              <w:rPr>
                <w:rFonts w:ascii="Arial Narrow" w:hAnsi="Arial Narrow"/>
                <w:color w:val="000000"/>
                <w:sz w:val="20"/>
              </w:rPr>
            </w:pPr>
            <w:r w:rsidRPr="00190D0C">
              <w:rPr>
                <w:rFonts w:ascii="Arial Narrow" w:hAnsi="Arial Narrow"/>
                <w:color w:val="000000"/>
                <w:sz w:val="20"/>
              </w:rPr>
              <w:t>NC</w:t>
            </w:r>
          </w:p>
        </w:tc>
        <w:tc>
          <w:tcPr>
            <w:tcW w:w="561" w:type="pct"/>
            <w:gridSpan w:val="2"/>
            <w:vAlign w:val="center"/>
          </w:tcPr>
          <w:p w:rsidR="00597F05" w:rsidRPr="00190D0C" w:rsidRDefault="00597F05" w:rsidP="0020323A">
            <w:pPr>
              <w:jc w:val="center"/>
              <w:rPr>
                <w:rFonts w:ascii="Arial Narrow" w:hAnsi="Arial Narrow"/>
                <w:color w:val="000000"/>
                <w:sz w:val="20"/>
              </w:rPr>
            </w:pPr>
            <w:r w:rsidRPr="00190D0C">
              <w:rPr>
                <w:rFonts w:ascii="Arial Narrow" w:hAnsi="Arial Narrow"/>
                <w:color w:val="000000"/>
                <w:sz w:val="20"/>
              </w:rPr>
              <w:t>8.1</w:t>
            </w:r>
          </w:p>
        </w:tc>
        <w:tc>
          <w:tcPr>
            <w:tcW w:w="582" w:type="pct"/>
            <w:gridSpan w:val="2"/>
            <w:vAlign w:val="center"/>
          </w:tcPr>
          <w:p w:rsidR="00597F05" w:rsidRPr="00190D0C" w:rsidRDefault="00597F05" w:rsidP="0020323A">
            <w:pPr>
              <w:jc w:val="center"/>
              <w:rPr>
                <w:rFonts w:ascii="Arial Narrow" w:hAnsi="Arial Narrow"/>
                <w:color w:val="000000"/>
                <w:sz w:val="20"/>
              </w:rPr>
            </w:pPr>
            <w:r w:rsidRPr="00190D0C">
              <w:rPr>
                <w:rFonts w:ascii="Arial Narrow" w:hAnsi="Arial Narrow"/>
                <w:color w:val="000000"/>
                <w:sz w:val="20"/>
              </w:rPr>
              <w:t>0</w:t>
            </w:r>
          </w:p>
        </w:tc>
        <w:tc>
          <w:tcPr>
            <w:tcW w:w="825" w:type="pct"/>
            <w:vAlign w:val="center"/>
          </w:tcPr>
          <w:p w:rsidR="00597F05" w:rsidRPr="00190D0C" w:rsidRDefault="00597F05" w:rsidP="00B30BE3">
            <w:pPr>
              <w:jc w:val="center"/>
              <w:rPr>
                <w:rFonts w:ascii="Arial Narrow" w:hAnsi="Arial Narrow"/>
                <w:color w:val="000000"/>
                <w:sz w:val="20"/>
              </w:rPr>
            </w:pPr>
            <w:r w:rsidRPr="00190D0C">
              <w:rPr>
                <w:rFonts w:ascii="Arial Narrow" w:hAnsi="Arial Narrow"/>
                <w:color w:val="000000"/>
                <w:sz w:val="20"/>
              </w:rPr>
              <w:t>8.1 (2.3, 13.9)</w:t>
            </w:r>
          </w:p>
        </w:tc>
      </w:tr>
      <w:tr w:rsidR="00D36CEE" w:rsidRPr="00190D0C" w:rsidTr="00B30BE3">
        <w:tc>
          <w:tcPr>
            <w:tcW w:w="692" w:type="pct"/>
            <w:gridSpan w:val="2"/>
            <w:shd w:val="clear" w:color="auto" w:fill="auto"/>
            <w:vAlign w:val="center"/>
          </w:tcPr>
          <w:p w:rsidR="00D36CEE" w:rsidRPr="00190D0C" w:rsidRDefault="00D36CEE" w:rsidP="0020323A">
            <w:pPr>
              <w:rPr>
                <w:rFonts w:ascii="Arial Narrow" w:hAnsi="Arial Narrow"/>
                <w:color w:val="000000"/>
                <w:sz w:val="20"/>
              </w:rPr>
            </w:pPr>
            <w:r w:rsidRPr="00190D0C">
              <w:rPr>
                <w:rFonts w:ascii="Arial Narrow" w:hAnsi="Arial Narrow"/>
                <w:color w:val="000000"/>
                <w:sz w:val="20"/>
              </w:rPr>
              <w:t>Headache</w:t>
            </w:r>
          </w:p>
        </w:tc>
        <w:tc>
          <w:tcPr>
            <w:tcW w:w="668" w:type="pct"/>
            <w:gridSpan w:val="3"/>
            <w:vAlign w:val="center"/>
          </w:tcPr>
          <w:p w:rsidR="00D36CEE" w:rsidRPr="00190D0C" w:rsidRDefault="00D36CEE" w:rsidP="0020323A">
            <w:pPr>
              <w:jc w:val="center"/>
              <w:rPr>
                <w:rFonts w:ascii="Arial Narrow" w:hAnsi="Arial Narrow"/>
                <w:color w:val="000000"/>
                <w:sz w:val="20"/>
              </w:rPr>
            </w:pPr>
            <w:r w:rsidRPr="00190D0C">
              <w:rPr>
                <w:rFonts w:ascii="Arial Narrow" w:hAnsi="Arial Narrow"/>
                <w:color w:val="000000"/>
                <w:sz w:val="20"/>
              </w:rPr>
              <w:t>27/173</w:t>
            </w:r>
          </w:p>
        </w:tc>
        <w:tc>
          <w:tcPr>
            <w:tcW w:w="754" w:type="pct"/>
            <w:gridSpan w:val="3"/>
            <w:vAlign w:val="center"/>
          </w:tcPr>
          <w:p w:rsidR="00D36CEE" w:rsidRPr="00190D0C" w:rsidRDefault="00D36CEE" w:rsidP="0020323A">
            <w:pPr>
              <w:jc w:val="center"/>
              <w:rPr>
                <w:rFonts w:ascii="Arial Narrow" w:hAnsi="Arial Narrow"/>
                <w:color w:val="000000"/>
                <w:sz w:val="20"/>
              </w:rPr>
            </w:pPr>
            <w:r w:rsidRPr="00190D0C">
              <w:rPr>
                <w:rFonts w:ascii="Arial Narrow" w:hAnsi="Arial Narrow"/>
                <w:color w:val="000000"/>
                <w:sz w:val="20"/>
              </w:rPr>
              <w:t>7/88</w:t>
            </w:r>
          </w:p>
        </w:tc>
        <w:tc>
          <w:tcPr>
            <w:tcW w:w="918" w:type="pct"/>
            <w:gridSpan w:val="2"/>
            <w:vAlign w:val="center"/>
          </w:tcPr>
          <w:p w:rsidR="00D36CEE" w:rsidRPr="00190D0C" w:rsidDel="00B4357E" w:rsidRDefault="00D36CEE" w:rsidP="00D36CEE">
            <w:pPr>
              <w:jc w:val="center"/>
              <w:rPr>
                <w:rFonts w:ascii="Arial Narrow" w:hAnsi="Arial Narrow"/>
                <w:color w:val="000000"/>
                <w:sz w:val="20"/>
              </w:rPr>
            </w:pPr>
            <w:r w:rsidRPr="00190D0C">
              <w:rPr>
                <w:rFonts w:ascii="Arial Narrow" w:hAnsi="Arial Narrow"/>
                <w:color w:val="000000"/>
                <w:sz w:val="20"/>
              </w:rPr>
              <w:t>1.96 (0.89, 4.33)</w:t>
            </w:r>
          </w:p>
        </w:tc>
        <w:tc>
          <w:tcPr>
            <w:tcW w:w="561" w:type="pct"/>
            <w:gridSpan w:val="2"/>
            <w:vAlign w:val="center"/>
          </w:tcPr>
          <w:p w:rsidR="00D36CEE" w:rsidRPr="00190D0C" w:rsidRDefault="008D6005" w:rsidP="0020323A">
            <w:pPr>
              <w:jc w:val="center"/>
              <w:rPr>
                <w:rFonts w:ascii="Arial Narrow" w:hAnsi="Arial Narrow"/>
                <w:color w:val="000000"/>
                <w:sz w:val="20"/>
              </w:rPr>
            </w:pPr>
            <w:r w:rsidRPr="00190D0C">
              <w:rPr>
                <w:rFonts w:ascii="Arial Narrow" w:hAnsi="Arial Narrow"/>
                <w:color w:val="000000"/>
                <w:sz w:val="20"/>
              </w:rPr>
              <w:t>16</w:t>
            </w:r>
          </w:p>
        </w:tc>
        <w:tc>
          <w:tcPr>
            <w:tcW w:w="582" w:type="pct"/>
            <w:gridSpan w:val="2"/>
            <w:vAlign w:val="center"/>
          </w:tcPr>
          <w:p w:rsidR="00D36CEE" w:rsidRPr="00190D0C" w:rsidRDefault="008D6005" w:rsidP="0020323A">
            <w:pPr>
              <w:jc w:val="center"/>
              <w:rPr>
                <w:rFonts w:ascii="Arial Narrow" w:hAnsi="Arial Narrow"/>
                <w:color w:val="000000"/>
                <w:sz w:val="20"/>
              </w:rPr>
            </w:pPr>
            <w:r w:rsidRPr="00190D0C">
              <w:rPr>
                <w:rFonts w:ascii="Arial Narrow" w:hAnsi="Arial Narrow"/>
                <w:color w:val="000000"/>
                <w:sz w:val="20"/>
              </w:rPr>
              <w:t>8</w:t>
            </w:r>
          </w:p>
        </w:tc>
        <w:tc>
          <w:tcPr>
            <w:tcW w:w="825" w:type="pct"/>
            <w:vAlign w:val="center"/>
          </w:tcPr>
          <w:p w:rsidR="00D36CEE" w:rsidRPr="00190D0C" w:rsidRDefault="008D6005" w:rsidP="00B30BE3">
            <w:pPr>
              <w:jc w:val="center"/>
              <w:rPr>
                <w:rFonts w:ascii="Arial Narrow" w:hAnsi="Arial Narrow"/>
                <w:color w:val="000000"/>
                <w:sz w:val="20"/>
              </w:rPr>
            </w:pPr>
            <w:r w:rsidRPr="00190D0C">
              <w:rPr>
                <w:rFonts w:ascii="Arial Narrow" w:hAnsi="Arial Narrow"/>
                <w:color w:val="000000"/>
                <w:sz w:val="20"/>
              </w:rPr>
              <w:t>7.7 (-0.17, 15.4)</w:t>
            </w:r>
          </w:p>
        </w:tc>
      </w:tr>
    </w:tbl>
    <w:p w:rsidR="00597F05" w:rsidRPr="00190D0C" w:rsidRDefault="00680128" w:rsidP="00485B90">
      <w:pPr>
        <w:pStyle w:val="TableFooter"/>
        <w:ind w:left="720"/>
      </w:pPr>
      <w:r w:rsidRPr="00190D0C">
        <w:t xml:space="preserve">LS = least square; </w:t>
      </w:r>
      <w:r w:rsidR="00B4357E" w:rsidRPr="00190D0C">
        <w:t>NC=</w:t>
      </w:r>
      <w:r w:rsidR="00EB53BC" w:rsidRPr="00190D0C">
        <w:t xml:space="preserve"> </w:t>
      </w:r>
      <w:proofErr w:type="spellStart"/>
      <w:r w:rsidR="00597F05" w:rsidRPr="00190D0C">
        <w:t>not</w:t>
      </w:r>
      <w:proofErr w:type="spellEnd"/>
      <w:r w:rsidR="00597F05" w:rsidRPr="00190D0C">
        <w:t xml:space="preserve"> </w:t>
      </w:r>
      <w:r w:rsidR="00B4357E" w:rsidRPr="00190D0C">
        <w:t>calculable</w:t>
      </w:r>
      <w:r w:rsidR="007C731D" w:rsidRPr="00190D0C">
        <w:t xml:space="preserve">; </w:t>
      </w:r>
      <w:r w:rsidR="00597F05" w:rsidRPr="00190D0C">
        <w:t>6MWD = 6-minute walk distance; SD = standard deviation; RD = risk difference; RR = risk ratio</w:t>
      </w:r>
      <w:r w:rsidR="00114591" w:rsidRPr="00190D0C">
        <w:t>; CI = confidence interval.</w:t>
      </w:r>
      <w:r w:rsidR="00485B90">
        <w:t xml:space="preserve"> </w:t>
      </w:r>
      <w:r w:rsidR="00597F05" w:rsidRPr="00190D0C">
        <w:t>Source: Compiled during the evaluation</w:t>
      </w:r>
    </w:p>
    <w:p w:rsidR="00597F05" w:rsidRPr="00190D0C" w:rsidRDefault="00597F05" w:rsidP="00597F05"/>
    <w:p w:rsidR="00597F05" w:rsidRPr="00190D0C" w:rsidRDefault="00797692" w:rsidP="00797692">
      <w:pPr>
        <w:pStyle w:val="ListParagraph"/>
        <w:widowControl/>
        <w:numPr>
          <w:ilvl w:val="1"/>
          <w:numId w:val="10"/>
        </w:numPr>
        <w:rPr>
          <w:szCs w:val="22"/>
        </w:rPr>
      </w:pPr>
      <w:r w:rsidRPr="00190D0C">
        <w:rPr>
          <w:lang w:val="en-US"/>
        </w:rPr>
        <w:t>On the basis of direct evidence presented by the submission, treatment with riociguat, in comparison to placebo, over 16 weeks results in</w:t>
      </w:r>
      <w:r w:rsidR="00597F05" w:rsidRPr="00190D0C">
        <w:rPr>
          <w:lang w:val="en-US"/>
        </w:rPr>
        <w:t>:</w:t>
      </w:r>
    </w:p>
    <w:p w:rsidR="00597F05" w:rsidRPr="00190D0C" w:rsidRDefault="00797692" w:rsidP="00597F05">
      <w:pPr>
        <w:pStyle w:val="ListParagraph"/>
        <w:numPr>
          <w:ilvl w:val="0"/>
          <w:numId w:val="9"/>
        </w:numPr>
        <w:autoSpaceDE w:val="0"/>
        <w:autoSpaceDN w:val="0"/>
        <w:adjustRightInd w:val="0"/>
        <w:ind w:left="993" w:hanging="284"/>
        <w:rPr>
          <w:lang w:val="en-US"/>
        </w:rPr>
      </w:pPr>
      <w:r w:rsidRPr="00190D0C">
        <w:rPr>
          <w:lang w:val="en-US"/>
        </w:rPr>
        <w:t xml:space="preserve">An average increase of 46 metres in the distance able to be walked in 6 minutes. Both treatment groups were able to walk approximately 350 metres in 6 minutes at the beginning of the study. </w:t>
      </w:r>
      <w:r w:rsidR="009D00F9" w:rsidRPr="00190D0C">
        <w:t xml:space="preserve">The PBAC has previously accepted a minimum </w:t>
      </w:r>
      <w:r w:rsidR="009D00F9" w:rsidRPr="00190D0C">
        <w:lastRenderedPageBreak/>
        <w:t>clinically important difference in 6MWD of between 35-50m.</w:t>
      </w:r>
    </w:p>
    <w:p w:rsidR="00797692" w:rsidRPr="00190D0C" w:rsidRDefault="00C90912" w:rsidP="00797692">
      <w:pPr>
        <w:pStyle w:val="ListParagraph"/>
        <w:numPr>
          <w:ilvl w:val="0"/>
          <w:numId w:val="9"/>
        </w:numPr>
        <w:autoSpaceDE w:val="0"/>
        <w:autoSpaceDN w:val="0"/>
        <w:adjustRightInd w:val="0"/>
        <w:ind w:left="993" w:hanging="284"/>
        <w:rPr>
          <w:lang w:val="en-US"/>
        </w:rPr>
      </w:pPr>
      <w:r w:rsidRPr="00190D0C">
        <w:rPr>
          <w:lang w:val="en-US"/>
        </w:rPr>
        <w:t>A</w:t>
      </w:r>
      <w:r w:rsidR="00586D52" w:rsidRPr="00190D0C">
        <w:rPr>
          <w:lang w:val="en-US"/>
        </w:rPr>
        <w:t xml:space="preserve">n estimated 18 additional patients </w:t>
      </w:r>
      <w:r w:rsidRPr="00190D0C">
        <w:rPr>
          <w:lang w:val="en-US"/>
        </w:rPr>
        <w:t>with an</w:t>
      </w:r>
      <w:r w:rsidR="00586D52" w:rsidRPr="00190D0C">
        <w:rPr>
          <w:lang w:val="en-US"/>
        </w:rPr>
        <w:t xml:space="preserve"> improve</w:t>
      </w:r>
      <w:r w:rsidRPr="00190D0C">
        <w:rPr>
          <w:lang w:val="en-US"/>
        </w:rPr>
        <w:t>ment</w:t>
      </w:r>
      <w:r w:rsidR="00586D52" w:rsidRPr="00190D0C">
        <w:rPr>
          <w:lang w:val="en-US"/>
        </w:rPr>
        <w:t xml:space="preserve"> by </w:t>
      </w:r>
      <w:r w:rsidR="00586D52" w:rsidRPr="00190D0C">
        <w:t xml:space="preserve">≥1 </w:t>
      </w:r>
      <w:r w:rsidR="00586D52" w:rsidRPr="00190D0C">
        <w:rPr>
          <w:lang w:val="en-US"/>
        </w:rPr>
        <w:t>WHO</w:t>
      </w:r>
      <w:r w:rsidR="00797692" w:rsidRPr="00190D0C">
        <w:rPr>
          <w:lang w:val="en-US"/>
        </w:rPr>
        <w:t xml:space="preserve"> </w:t>
      </w:r>
      <w:r w:rsidR="00586D52" w:rsidRPr="00190D0C">
        <w:rPr>
          <w:lang w:val="en-US"/>
        </w:rPr>
        <w:t>Functional class</w:t>
      </w:r>
      <w:r w:rsidR="007D194D" w:rsidRPr="00190D0C">
        <w:rPr>
          <w:lang w:val="en-US"/>
        </w:rPr>
        <w:t xml:space="preserve"> for every 100 patients.</w:t>
      </w:r>
      <w:r w:rsidR="00586D52" w:rsidRPr="00190D0C">
        <w:rPr>
          <w:lang w:val="en-US"/>
        </w:rPr>
        <w:t xml:space="preserve"> </w:t>
      </w:r>
    </w:p>
    <w:p w:rsidR="00597F05" w:rsidRPr="00190D0C" w:rsidRDefault="00797692" w:rsidP="00597F05">
      <w:pPr>
        <w:pStyle w:val="ListParagraph"/>
        <w:numPr>
          <w:ilvl w:val="0"/>
          <w:numId w:val="9"/>
        </w:numPr>
        <w:autoSpaceDE w:val="0"/>
        <w:autoSpaceDN w:val="0"/>
        <w:adjustRightInd w:val="0"/>
        <w:ind w:left="993" w:hanging="284"/>
        <w:rPr>
          <w:lang w:val="en-US"/>
        </w:rPr>
      </w:pPr>
      <w:r w:rsidRPr="00190D0C">
        <w:rPr>
          <w:lang w:val="en-US"/>
        </w:rPr>
        <w:t>An estimated 12 additional patients with dizziness</w:t>
      </w:r>
      <w:r w:rsidRPr="00190D0C" w:rsidDel="007B3982">
        <w:rPr>
          <w:lang w:val="en-US"/>
        </w:rPr>
        <w:t xml:space="preserve"> </w:t>
      </w:r>
      <w:r w:rsidRPr="00190D0C">
        <w:rPr>
          <w:lang w:val="en-US"/>
        </w:rPr>
        <w:t>for every 100 patients</w:t>
      </w:r>
      <w:r w:rsidR="00597F05" w:rsidRPr="00190D0C">
        <w:rPr>
          <w:lang w:val="en-US"/>
        </w:rPr>
        <w:t>.</w:t>
      </w:r>
    </w:p>
    <w:p w:rsidR="00597F05" w:rsidRPr="00190D0C" w:rsidRDefault="00797692" w:rsidP="00597F05">
      <w:pPr>
        <w:pStyle w:val="ListParagraph"/>
        <w:numPr>
          <w:ilvl w:val="0"/>
          <w:numId w:val="9"/>
        </w:numPr>
        <w:autoSpaceDE w:val="0"/>
        <w:autoSpaceDN w:val="0"/>
        <w:adjustRightInd w:val="0"/>
        <w:ind w:left="993" w:hanging="284"/>
        <w:rPr>
          <w:lang w:val="en-US"/>
        </w:rPr>
      </w:pPr>
      <w:r w:rsidRPr="00190D0C">
        <w:rPr>
          <w:lang w:val="en-US"/>
        </w:rPr>
        <w:t>An estimated 8 additional patients with hypotension</w:t>
      </w:r>
      <w:r w:rsidRPr="00190D0C" w:rsidDel="007B3982">
        <w:rPr>
          <w:lang w:val="en-US"/>
        </w:rPr>
        <w:t xml:space="preserve"> </w:t>
      </w:r>
      <w:r w:rsidRPr="00190D0C">
        <w:rPr>
          <w:lang w:val="en-US"/>
        </w:rPr>
        <w:t>for every 100 patients</w:t>
      </w:r>
      <w:r w:rsidR="00597F05" w:rsidRPr="00190D0C">
        <w:rPr>
          <w:lang w:val="en-US"/>
        </w:rPr>
        <w:t>.</w:t>
      </w:r>
    </w:p>
    <w:p w:rsidR="00323884" w:rsidRPr="00190D0C" w:rsidRDefault="00797692" w:rsidP="00597F05">
      <w:pPr>
        <w:pStyle w:val="ListParagraph"/>
        <w:numPr>
          <w:ilvl w:val="0"/>
          <w:numId w:val="9"/>
        </w:numPr>
        <w:autoSpaceDE w:val="0"/>
        <w:autoSpaceDN w:val="0"/>
        <w:adjustRightInd w:val="0"/>
        <w:ind w:left="993" w:hanging="284"/>
        <w:rPr>
          <w:lang w:val="en-US"/>
        </w:rPr>
      </w:pPr>
      <w:r w:rsidRPr="00190D0C">
        <w:rPr>
          <w:lang w:val="en-US"/>
        </w:rPr>
        <w:t>An estimated 8 additional patients with headache</w:t>
      </w:r>
      <w:r w:rsidRPr="00190D0C" w:rsidDel="007B3982">
        <w:rPr>
          <w:lang w:val="en-US"/>
        </w:rPr>
        <w:t xml:space="preserve"> </w:t>
      </w:r>
      <w:r w:rsidRPr="00190D0C">
        <w:rPr>
          <w:lang w:val="en-US"/>
        </w:rPr>
        <w:t>for every 100 patients</w:t>
      </w:r>
      <w:r w:rsidR="00323884" w:rsidRPr="00190D0C">
        <w:rPr>
          <w:lang w:val="en-US"/>
        </w:rPr>
        <w:t>.</w:t>
      </w:r>
    </w:p>
    <w:p w:rsidR="00597F05" w:rsidRPr="00190D0C" w:rsidRDefault="00597F05" w:rsidP="00597F05"/>
    <w:p w:rsidR="00597F05" w:rsidRPr="002662EC" w:rsidRDefault="00597F05" w:rsidP="002662EC">
      <w:pPr>
        <w:pStyle w:val="BodyText"/>
        <w:rPr>
          <w:b/>
        </w:rPr>
      </w:pPr>
      <w:bookmarkStart w:id="15" w:name="_Toc398550901"/>
      <w:r w:rsidRPr="002662EC">
        <w:rPr>
          <w:b/>
        </w:rPr>
        <w:t>Clinical claim</w:t>
      </w:r>
      <w:bookmarkEnd w:id="15"/>
    </w:p>
    <w:p w:rsidR="00597F05" w:rsidRPr="00190D0C" w:rsidRDefault="00597F05" w:rsidP="00597F05">
      <w:pPr>
        <w:ind w:left="720" w:hanging="720"/>
        <w:rPr>
          <w:szCs w:val="22"/>
        </w:rPr>
      </w:pPr>
    </w:p>
    <w:p w:rsidR="00463BED" w:rsidRPr="00190D0C" w:rsidRDefault="00463BED" w:rsidP="00463BED">
      <w:pPr>
        <w:pStyle w:val="ListParagraph"/>
        <w:widowControl/>
        <w:numPr>
          <w:ilvl w:val="1"/>
          <w:numId w:val="10"/>
        </w:numPr>
      </w:pPr>
      <w:r w:rsidRPr="00190D0C">
        <w:t>The submission describes the effectiveness and safety of riociguat in the following manner: “The comparative effectiveness and safety for riociguat in the PBAC recommended PAH population is equivalent to the effectiveness and safety for riociguat in the proposed CTEPH population”, based on the following evidence:</w:t>
      </w:r>
    </w:p>
    <w:p w:rsidR="00463BED" w:rsidRPr="00190D0C" w:rsidRDefault="00463BED" w:rsidP="00463BED">
      <w:pPr>
        <w:pStyle w:val="ListParagraph"/>
        <w:numPr>
          <w:ilvl w:val="0"/>
          <w:numId w:val="34"/>
        </w:numPr>
      </w:pPr>
      <w:r w:rsidRPr="00190D0C">
        <w:t xml:space="preserve">Indirectly comparing the clinical outcomes (change in 6MWD and change in PVR from baseline) in the CHEST-1 trial with that in the PATENT-1 trial (riociguat in patients with PAH compared with placebo), and </w:t>
      </w:r>
    </w:p>
    <w:p w:rsidR="00463BED" w:rsidRPr="00190D0C" w:rsidRDefault="00463BED" w:rsidP="00463BED">
      <w:pPr>
        <w:pStyle w:val="ListParagraph"/>
        <w:numPr>
          <w:ilvl w:val="0"/>
          <w:numId w:val="34"/>
        </w:numPr>
      </w:pPr>
      <w:proofErr w:type="gramStart"/>
      <w:r w:rsidRPr="00190D0C">
        <w:t>comparing</w:t>
      </w:r>
      <w:proofErr w:type="gramEnd"/>
      <w:r w:rsidRPr="00190D0C">
        <w:t xml:space="preserve"> the burden of illness (in terms of quality of life (QoL) at baseline and mortality) between patients with CTEPH and PAH based on a literature review. </w:t>
      </w:r>
    </w:p>
    <w:p w:rsidR="00463BED" w:rsidRPr="00190D0C" w:rsidRDefault="00463BED" w:rsidP="00463BED">
      <w:pPr>
        <w:pStyle w:val="ListParagraph"/>
        <w:widowControl/>
      </w:pPr>
    </w:p>
    <w:p w:rsidR="007128A2" w:rsidRPr="002557B1" w:rsidRDefault="00463BED" w:rsidP="007128A2">
      <w:pPr>
        <w:pStyle w:val="ListParagraph"/>
        <w:widowControl/>
        <w:numPr>
          <w:ilvl w:val="1"/>
          <w:numId w:val="10"/>
        </w:numPr>
        <w:rPr>
          <w:iCs/>
        </w:rPr>
      </w:pPr>
      <w:r w:rsidRPr="002557B1">
        <w:rPr>
          <w:iCs/>
        </w:rPr>
        <w:t xml:space="preserve">The submission claims that the comparative primary efficacy results of both PATENT-1 and CHEST-1 trials indicate equivalent effectiveness of riociguat in both PAH and CTEPH study population. </w:t>
      </w:r>
      <w:r w:rsidR="0081162A" w:rsidRPr="002557B1">
        <w:rPr>
          <w:iCs/>
        </w:rPr>
        <w:t xml:space="preserve">The ESC considered </w:t>
      </w:r>
      <w:r w:rsidR="007128A2" w:rsidRPr="002557B1">
        <w:rPr>
          <w:iCs/>
        </w:rPr>
        <w:t>that the claim of equivalent effectiveness may not be supported.</w:t>
      </w:r>
      <w:r w:rsidR="0081162A" w:rsidRPr="002557B1">
        <w:rPr>
          <w:iCs/>
        </w:rPr>
        <w:t xml:space="preserve">  </w:t>
      </w:r>
      <w:r w:rsidRPr="002557B1">
        <w:rPr>
          <w:iCs/>
        </w:rPr>
        <w:t xml:space="preserve"> The improvements in 6MWD cannot be compared across studies with differing population, prognostic and disease characteristics. The same functional improvement in 6MWD from baseline in the PAH and CTEPH populations could have different clinical implications in terms of functional class changes and overall survival because the diseases and population characteristics are different, particularly given that change in 6MWD is a surrogate outcome and baseline 6MWD is a prognostic factor. </w:t>
      </w:r>
    </w:p>
    <w:p w:rsidR="007128A2" w:rsidRPr="002557B1" w:rsidRDefault="007128A2" w:rsidP="007128A2">
      <w:pPr>
        <w:pStyle w:val="PBACHeading1"/>
        <w:numPr>
          <w:ilvl w:val="0"/>
          <w:numId w:val="0"/>
        </w:numPr>
        <w:ind w:left="720" w:hanging="720"/>
      </w:pPr>
    </w:p>
    <w:p w:rsidR="00463BED" w:rsidRPr="002557B1" w:rsidRDefault="00A07D71" w:rsidP="007128A2">
      <w:pPr>
        <w:pStyle w:val="ListParagraph"/>
        <w:widowControl/>
        <w:numPr>
          <w:ilvl w:val="1"/>
          <w:numId w:val="10"/>
        </w:numPr>
        <w:rPr>
          <w:iCs/>
        </w:rPr>
      </w:pPr>
      <w:r w:rsidRPr="002557B1">
        <w:t xml:space="preserve">Using the framework for evaluating proposed surrogate measures, as presented in the Report of the Surrogate to Final Outcome Working Group to the Pharmaceutical Benefits Advisory </w:t>
      </w:r>
      <w:proofErr w:type="gramStart"/>
      <w:r w:rsidRPr="002557B1">
        <w:t>Committee,</w:t>
      </w:r>
      <w:proofErr w:type="gramEnd"/>
      <w:r w:rsidRPr="002557B1">
        <w:t xml:space="preserve"> the</w:t>
      </w:r>
      <w:r w:rsidR="007128A2" w:rsidRPr="002557B1">
        <w:t xml:space="preserve"> ESC considered that the submission had not demonstrate</w:t>
      </w:r>
      <w:r w:rsidR="00BA5367" w:rsidRPr="002557B1">
        <w:t>d</w:t>
      </w:r>
      <w:r w:rsidR="007128A2" w:rsidRPr="002557B1">
        <w:t xml:space="preserve"> 6MWD as a valid surrogate for the target clinical outcomes in CTEPH ie improved exercise capacity</w:t>
      </w:r>
      <w:r w:rsidR="001757B7">
        <w:t>/function and overall survival</w:t>
      </w:r>
      <w:r w:rsidR="007128A2" w:rsidRPr="002557B1">
        <w:t xml:space="preserve">.  </w:t>
      </w:r>
    </w:p>
    <w:p w:rsidR="00EB5575" w:rsidRPr="002557B1" w:rsidRDefault="00EB5575" w:rsidP="00EB5575">
      <w:pPr>
        <w:widowControl/>
        <w:rPr>
          <w:iCs/>
        </w:rPr>
      </w:pPr>
    </w:p>
    <w:p w:rsidR="00463BED" w:rsidRPr="002557B1" w:rsidRDefault="00463BED" w:rsidP="00463BED">
      <w:pPr>
        <w:pStyle w:val="ListParagraph"/>
        <w:widowControl/>
        <w:numPr>
          <w:ilvl w:val="1"/>
          <w:numId w:val="10"/>
        </w:numPr>
      </w:pPr>
      <w:r w:rsidRPr="002557B1">
        <w:rPr>
          <w:iCs/>
        </w:rPr>
        <w:t xml:space="preserve">The submission also claims that baseline QoL and mortality are similar across patients with CTEPH and PAH, in spite of the </w:t>
      </w:r>
      <w:r w:rsidRPr="002557B1">
        <w:rPr>
          <w:iCs/>
          <w:lang w:val="en-GB"/>
        </w:rPr>
        <w:t xml:space="preserve">differences in study design and patient populations in the studies included in the literature review. </w:t>
      </w:r>
      <w:r w:rsidRPr="002557B1">
        <w:rPr>
          <w:iCs/>
        </w:rPr>
        <w:t xml:space="preserve"> </w:t>
      </w:r>
      <w:r w:rsidRPr="002557B1">
        <w:rPr>
          <w:iCs/>
          <w:lang w:val="en-GB"/>
        </w:rPr>
        <w:t>No statistical comparisons are presented to support this claim. The evidence relating to QoL and mortality in both CTEPH and PAH populations varied widely across the studies but the submission argues it is due to the range of study types included in the review. The</w:t>
      </w:r>
      <w:r w:rsidRPr="002557B1">
        <w:rPr>
          <w:iCs/>
        </w:rPr>
        <w:t xml:space="preserve"> claimed comparability of QoL and mortality in both populations </w:t>
      </w:r>
      <w:r w:rsidRPr="002557B1">
        <w:rPr>
          <w:iCs/>
          <w:lang w:val="en-GB"/>
        </w:rPr>
        <w:t xml:space="preserve">remains uncertain due to the </w:t>
      </w:r>
      <w:r w:rsidRPr="002557B1">
        <w:rPr>
          <w:iCs/>
        </w:rPr>
        <w:t>differences in the study design, patient population and disease characteristics.</w:t>
      </w:r>
      <w:r w:rsidRPr="002557B1">
        <w:t xml:space="preserve"> </w:t>
      </w:r>
    </w:p>
    <w:p w:rsidR="00597F05" w:rsidRPr="002557B1" w:rsidRDefault="00597F05" w:rsidP="00597F05">
      <w:pPr>
        <w:pStyle w:val="ListParagraph"/>
        <w:widowControl/>
        <w:rPr>
          <w:szCs w:val="22"/>
        </w:rPr>
      </w:pPr>
    </w:p>
    <w:p w:rsidR="00597F05" w:rsidRPr="002557B1" w:rsidRDefault="00597F05" w:rsidP="00597F05">
      <w:pPr>
        <w:pStyle w:val="ListParagraph"/>
        <w:widowControl/>
        <w:numPr>
          <w:ilvl w:val="1"/>
          <w:numId w:val="10"/>
        </w:numPr>
        <w:rPr>
          <w:szCs w:val="22"/>
        </w:rPr>
      </w:pPr>
      <w:r w:rsidRPr="002557B1">
        <w:rPr>
          <w:szCs w:val="22"/>
        </w:rPr>
        <w:t xml:space="preserve">Based on the evidence presented from the CHEST-1 trial, riociguat is superior to </w:t>
      </w:r>
      <w:r w:rsidR="00501311" w:rsidRPr="002557B1">
        <w:rPr>
          <w:szCs w:val="22"/>
        </w:rPr>
        <w:t xml:space="preserve">placebo </w:t>
      </w:r>
      <w:r w:rsidR="00402D5D" w:rsidRPr="002557B1">
        <w:rPr>
          <w:szCs w:val="22"/>
        </w:rPr>
        <w:t xml:space="preserve">in terms of comparative effectiveness measured using the primary outcome of change in 6MWD from baseline, and inferior to </w:t>
      </w:r>
      <w:r w:rsidR="00501311" w:rsidRPr="002557B1">
        <w:rPr>
          <w:szCs w:val="22"/>
        </w:rPr>
        <w:t xml:space="preserve">placebo </w:t>
      </w:r>
      <w:r w:rsidR="00402D5D" w:rsidRPr="002557B1">
        <w:rPr>
          <w:szCs w:val="22"/>
        </w:rPr>
        <w:t>in terms of comparative</w:t>
      </w:r>
      <w:r w:rsidRPr="002557B1">
        <w:rPr>
          <w:szCs w:val="22"/>
        </w:rPr>
        <w:t xml:space="preserve"> safety.</w:t>
      </w:r>
    </w:p>
    <w:p w:rsidR="00080C90" w:rsidRPr="002557B1" w:rsidRDefault="00080C90" w:rsidP="00080C90">
      <w:pPr>
        <w:pStyle w:val="ListParagraph"/>
        <w:rPr>
          <w:szCs w:val="22"/>
        </w:rPr>
      </w:pPr>
    </w:p>
    <w:p w:rsidR="00B30BE3" w:rsidRPr="002557B1" w:rsidRDefault="00C462C7" w:rsidP="00C462C7">
      <w:pPr>
        <w:pStyle w:val="ListParagraph"/>
        <w:widowControl/>
        <w:numPr>
          <w:ilvl w:val="1"/>
          <w:numId w:val="10"/>
        </w:numPr>
      </w:pPr>
      <w:r w:rsidRPr="002557B1">
        <w:t>The ESC noted in the Submission and in the Pre-Sub-Committee Response (PSCR, p1) that the rationale of the submission and the clinical claim follows the preceden</w:t>
      </w:r>
      <w:r w:rsidR="006D06B1" w:rsidRPr="002557B1">
        <w:t>t</w:t>
      </w:r>
      <w:r w:rsidRPr="002557B1">
        <w:t xml:space="preserve"> of the March 2008 recommendation of bosentan for </w:t>
      </w:r>
      <w:proofErr w:type="spellStart"/>
      <w:r w:rsidRPr="002557B1">
        <w:t>Eisenmenger’s</w:t>
      </w:r>
      <w:proofErr w:type="spellEnd"/>
      <w:r w:rsidRPr="002557B1">
        <w:t xml:space="preserve"> Syndrome. However, the ESC noted that the preceden</w:t>
      </w:r>
      <w:r w:rsidR="006D06B1" w:rsidRPr="002557B1">
        <w:t>t</w:t>
      </w:r>
      <w:r w:rsidRPr="002557B1">
        <w:t xml:space="preserve"> in bosentan referred to the same subcategory of pulmonary hypertension</w:t>
      </w:r>
      <w:r w:rsidR="00BA5367" w:rsidRPr="002557B1">
        <w:t xml:space="preserve"> (Group 1: PAH)</w:t>
      </w:r>
      <w:r w:rsidRPr="002557B1">
        <w:t>, whereas the current submission for riociguat seeks an extension from one subcategory (</w:t>
      </w:r>
      <w:r w:rsidR="00BA5367" w:rsidRPr="002557B1">
        <w:t xml:space="preserve">Group 1: </w:t>
      </w:r>
      <w:r w:rsidRPr="002557B1">
        <w:t>PAH) to another (</w:t>
      </w:r>
      <w:r w:rsidR="00BA5367" w:rsidRPr="002557B1">
        <w:t xml:space="preserve">Group 4: </w:t>
      </w:r>
      <w:r w:rsidRPr="002557B1">
        <w:t xml:space="preserve">CTEPH). </w:t>
      </w:r>
      <w:r w:rsidR="007A261C" w:rsidRPr="002557B1">
        <w:t xml:space="preserve">The ESC noted that </w:t>
      </w:r>
      <w:r w:rsidR="005061A6" w:rsidRPr="002557B1">
        <w:t xml:space="preserve">the pathophysiology of </w:t>
      </w:r>
      <w:r w:rsidR="007A261C" w:rsidRPr="002557B1">
        <w:t xml:space="preserve">PAH and CTEPH </w:t>
      </w:r>
      <w:r w:rsidR="005061A6" w:rsidRPr="002557B1">
        <w:t xml:space="preserve">differ: PAH is a disorder of the small muscular arterioles of the pulmonary circulation by inflammatory and unknown mechanisms; CTEPH </w:t>
      </w:r>
      <w:r w:rsidR="0032377A">
        <w:t xml:space="preserve">is due to chronic occlusion of </w:t>
      </w:r>
      <w:r w:rsidR="005061A6" w:rsidRPr="002557B1">
        <w:t>proximal and distal arteries by blood clots</w:t>
      </w:r>
      <w:r w:rsidR="00AB7016" w:rsidRPr="002557B1">
        <w:t>.</w:t>
      </w:r>
    </w:p>
    <w:p w:rsidR="00597F05" w:rsidRPr="002557B1" w:rsidRDefault="00597F05" w:rsidP="00597F05">
      <w:pPr>
        <w:ind w:left="720" w:hanging="720"/>
        <w:rPr>
          <w:szCs w:val="22"/>
        </w:rPr>
      </w:pPr>
    </w:p>
    <w:p w:rsidR="00597F05" w:rsidRPr="002662EC" w:rsidRDefault="00597F05" w:rsidP="002662EC">
      <w:pPr>
        <w:pStyle w:val="BodyText"/>
        <w:rPr>
          <w:b/>
        </w:rPr>
      </w:pPr>
      <w:bookmarkStart w:id="16" w:name="_Toc398550902"/>
      <w:r w:rsidRPr="002662EC">
        <w:rPr>
          <w:b/>
        </w:rPr>
        <w:t>Economic analysis</w:t>
      </w:r>
      <w:bookmarkEnd w:id="16"/>
    </w:p>
    <w:p w:rsidR="00597F05" w:rsidRPr="002557B1" w:rsidRDefault="00597F05" w:rsidP="00597F05">
      <w:pPr>
        <w:ind w:left="720" w:hanging="720"/>
        <w:rPr>
          <w:szCs w:val="22"/>
        </w:rPr>
      </w:pPr>
    </w:p>
    <w:p w:rsidR="00597F05" w:rsidRPr="00190D0C" w:rsidRDefault="00597F05" w:rsidP="00597F05">
      <w:pPr>
        <w:pStyle w:val="ListParagraph"/>
        <w:widowControl/>
        <w:numPr>
          <w:ilvl w:val="1"/>
          <w:numId w:val="10"/>
        </w:numPr>
        <w:rPr>
          <w:szCs w:val="22"/>
        </w:rPr>
      </w:pPr>
      <w:r w:rsidRPr="002557B1">
        <w:t xml:space="preserve">The submission does not provide any economic analysis of riociguat compared with </w:t>
      </w:r>
      <w:r w:rsidR="00501311" w:rsidRPr="002557B1">
        <w:t xml:space="preserve">placebo </w:t>
      </w:r>
      <w:r w:rsidRPr="002557B1">
        <w:t xml:space="preserve">in patients with CTEPH. Instead, the submission assumes that the cost effectiveness of riociguat in patients with CTEPH is similar to that previously demonstrated </w:t>
      </w:r>
      <w:r w:rsidR="009415E1" w:rsidRPr="002557B1">
        <w:t xml:space="preserve">in patients with PAH. In the absence of the type of economic </w:t>
      </w:r>
      <w:r w:rsidR="009415E1" w:rsidRPr="00190D0C">
        <w:t>evaluation that is consistent with the 2013 PBAC Guidelines, the value for money of riociguat treatment of patients with CTEPH, relative to placebo,</w:t>
      </w:r>
      <w:r w:rsidRPr="00190D0C">
        <w:t xml:space="preserve"> </w:t>
      </w:r>
      <w:r w:rsidR="00571E18" w:rsidRPr="00190D0C">
        <w:t xml:space="preserve">is </w:t>
      </w:r>
      <w:r w:rsidRPr="00190D0C">
        <w:t>unknown.</w:t>
      </w:r>
    </w:p>
    <w:p w:rsidR="00597F05" w:rsidRPr="00190D0C" w:rsidRDefault="00597F05" w:rsidP="00597F05">
      <w:pPr>
        <w:pStyle w:val="ListParagraph"/>
        <w:widowControl/>
        <w:rPr>
          <w:szCs w:val="22"/>
        </w:rPr>
      </w:pPr>
    </w:p>
    <w:p w:rsidR="00597F05" w:rsidRPr="001C3B2D" w:rsidRDefault="001C3B2D" w:rsidP="001C3B2D">
      <w:pPr>
        <w:widowControl/>
        <w:ind w:left="720" w:hanging="720"/>
        <w:rPr>
          <w:szCs w:val="22"/>
          <w:highlight w:val="black"/>
        </w:rPr>
      </w:pPr>
      <w:r>
        <w:rPr>
          <w:noProof/>
          <w:color w:val="000000"/>
          <w:szCs w:val="22"/>
          <w:highlight w:val="black"/>
        </w:rPr>
        <w:t>''''''''''''''''''' ''''''''''''''''''''''''''''' ''''''''''''''''''''''' ''''''''' '''''''' ''''''''''''''''''' ''''''''''' ''''' '''''''''''''''''''' ''''''' ''''''''' ''''' '''''''''''''''''' '''''''''''''''' '''''' ''''''''''''''''''' ''''''''''''''' ''''' ''''''' '''''''''''''' '''''' ''''''''' ''''''''''''''''''' '''''''''''' ''''''''''''''''''''''''''''''''''''' '''''' '''''''' '''''''''''''''' ''''' '''''''''''''''''' ''''''' '''''''''''''''''''' ''''''''''' ''''''''''' ''''''''' ''''''''''''''''''''''''' ''''''''''''''''''''''' '''' '''''''''''''''''' ''''''''''''''' ''''''''''''''''''''''''''''''''' '''''' '''''''''''''''''''' '''''''''' ''''''' ''''''''''''''''''''''''' ''''''''''''''''''''''''' ''''''''''''' ''''''''' ''''''''''''''''''''' ''''''''''''''''''' ''''''''''''''''''''' ''''''''''''' ''''''''' ''''''' ''''''''''''' '''''''''''''''''''' '''''''''' '''''''''''''''''''''''''''''' ''''' '''' '''''''''''' ''''''' ''''''' '''''''''''''''''''''' ''''' '''''''''' ''''''''''' ''''''''' '''''''''''''''''' '''' ''''''''''' '''''''''''''''''''''''' ''''''''''''' ''''' '''''' '''''''''''''' '''''' '''''''' '''''''''''''' ''''''''''' '''''''''' '''''''''''''''''''''''''''''''''''''' ''''''''''' '''''''''''''' ''''''' ''''''''''''''''''''''' '''''' '''''''''''' '''''''''''''' '''''''''''''''' ''''''''' ''''''''''''''' '''''''''''''''''''''' '''''''''' ''''''''''''''''''''''''''' '''''''''''''''''''''' '''''''' '''''''''''''''''''''' '''''''''''''' '''''''''''''''''' '''''' ''''''''''''''' '''''' ''' ''''''''''''''''''''''' '''''''''''''''''''' ''''' ''''''' '''''''''''''''' ''''' ''''''''''''''''''' '''''''''''''' '''''''''''''' '''''''' '''''''''''''''''''''''''' '''''''''' ''''''''''''''''''''' ''''''''''''' ''''' ''''''''''''''''''' '''''' '''''''' ''''''''''''''''''''' ''''' ''''''''''''''''''' '''' '''''''' ''''''''''''' '''''' '''''''' ''''''''''''''''''''''''''''''''''''''' ''''' '''''''''''''''''''' '''' ''''''''' '''''''''''''''''' '''''''''''''''''''''''</w:t>
      </w:r>
    </w:p>
    <w:p w:rsidR="00B30BE3" w:rsidRPr="00587FBF" w:rsidRDefault="00B30BE3" w:rsidP="00587FBF">
      <w:pPr>
        <w:rPr>
          <w:szCs w:val="22"/>
        </w:rPr>
      </w:pPr>
    </w:p>
    <w:p w:rsidR="008F3C3D" w:rsidRPr="002557B1" w:rsidRDefault="001C3B2D" w:rsidP="008F3C3D">
      <w:pPr>
        <w:pStyle w:val="ListParagraph"/>
        <w:widowControl/>
        <w:numPr>
          <w:ilvl w:val="1"/>
          <w:numId w:val="10"/>
        </w:numPr>
      </w:pPr>
      <w:r>
        <w:rPr>
          <w:noProof/>
          <w:color w:val="000000"/>
          <w:highlight w:val="black"/>
        </w:rPr>
        <w:t>''''''''' '''''''''''' '''''''''''''''''''''''''' ''''''''' ''''''''''''''''''''' ''''''''' ''''''''''''''''''' ''''''''''' ''''' ''''''''''''''''''''' '''''''''''''''''''''''' ''''''' '''''''''''''''''' '''' '''''''''''''''''''''' ''''' '''''''' ''''''''''''''' ''''''''''''''''''''''''''''''' '''''''''''' '''''' '''''''''' '''''''''''''''''''''''''''''''''''''' '''' '''''''''''''' ''''''''''''''' ''''''' '''''''''''''''''''''''''''''''''''''' ''''' '''''''' '''''''''' '''''''''''''''''''''' '''' ''''''''''''''''''''''</w:t>
      </w:r>
      <w:r w:rsidR="008F3C3D" w:rsidRPr="002557B1">
        <w:t xml:space="preserve"> The ESC further considered that an economic evaluation of riociguat compared to placebo, using the proposed effective price, should have been presented to determine the cost effectiveness of riociguat in this population.</w:t>
      </w:r>
    </w:p>
    <w:p w:rsidR="00B30BE3" w:rsidRPr="002557B1" w:rsidRDefault="00B30BE3" w:rsidP="00597F05">
      <w:pPr>
        <w:pStyle w:val="ListParagraph"/>
        <w:rPr>
          <w:szCs w:val="22"/>
        </w:rPr>
      </w:pPr>
    </w:p>
    <w:p w:rsidR="00CA6777" w:rsidRPr="002662EC" w:rsidRDefault="00CA6777" w:rsidP="002662EC">
      <w:pPr>
        <w:pStyle w:val="BodyText"/>
        <w:rPr>
          <w:b/>
        </w:rPr>
      </w:pPr>
      <w:bookmarkStart w:id="17" w:name="_Toc398550903"/>
      <w:r w:rsidRPr="002662EC">
        <w:rPr>
          <w:b/>
        </w:rPr>
        <w:t xml:space="preserve">Drug cost/patient/year: </w:t>
      </w:r>
      <w:bookmarkEnd w:id="17"/>
      <w:r w:rsidR="001C3B2D" w:rsidRPr="002662EC">
        <w:rPr>
          <w:b/>
          <w:highlight w:val="black"/>
        </w:rPr>
        <w:t>''''''''''''''''''</w:t>
      </w:r>
    </w:p>
    <w:p w:rsidR="00CA6777" w:rsidRPr="002557B1" w:rsidRDefault="00CA6777" w:rsidP="002662EC">
      <w:pPr>
        <w:pStyle w:val="BodyText"/>
        <w:rPr>
          <w:szCs w:val="22"/>
        </w:rPr>
      </w:pPr>
    </w:p>
    <w:p w:rsidR="00CA6777" w:rsidRPr="002557B1" w:rsidRDefault="00CA6777" w:rsidP="00CA6777">
      <w:pPr>
        <w:pStyle w:val="ListParagraph"/>
        <w:widowControl/>
        <w:numPr>
          <w:ilvl w:val="1"/>
          <w:numId w:val="10"/>
        </w:numPr>
        <w:rPr>
          <w:szCs w:val="22"/>
        </w:rPr>
      </w:pPr>
      <w:r w:rsidRPr="002557B1">
        <w:rPr>
          <w:szCs w:val="22"/>
        </w:rPr>
        <w:t xml:space="preserve">The submission assumes that on average </w:t>
      </w:r>
      <w:r w:rsidR="00A879AA">
        <w:rPr>
          <w:szCs w:val="22"/>
        </w:rPr>
        <w:t xml:space="preserve">there will be </w:t>
      </w:r>
      <w:r w:rsidRPr="002557B1">
        <w:rPr>
          <w:szCs w:val="22"/>
        </w:rPr>
        <w:t xml:space="preserve">10 scripts per patient per year. The proposed confidential effective DPMQ (public hospital) is </w:t>
      </w:r>
      <w:r w:rsidR="001C3B2D">
        <w:rPr>
          <w:noProof/>
          <w:color w:val="000000"/>
          <w:szCs w:val="22"/>
          <w:highlight w:val="black"/>
        </w:rPr>
        <w:t>'''''''''''''''''''''''</w:t>
      </w:r>
      <w:r w:rsidRPr="002557B1">
        <w:rPr>
          <w:szCs w:val="22"/>
        </w:rPr>
        <w:t xml:space="preserve"> for all strengths. Therefore the total cost of riociguat per patient per year is estimated to be </w:t>
      </w:r>
      <w:r w:rsidR="001C3B2D">
        <w:rPr>
          <w:noProof/>
          <w:color w:val="000000"/>
          <w:szCs w:val="22"/>
          <w:highlight w:val="black"/>
        </w:rPr>
        <w:t>''''''''''''''''''''</w:t>
      </w:r>
      <w:r w:rsidRPr="002557B1">
        <w:rPr>
          <w:szCs w:val="22"/>
        </w:rPr>
        <w:t xml:space="preserve">. </w:t>
      </w:r>
      <w:r w:rsidR="00A879AA">
        <w:rPr>
          <w:szCs w:val="22"/>
        </w:rPr>
        <w:t>A</w:t>
      </w:r>
      <w:r w:rsidRPr="002557B1">
        <w:rPr>
          <w:szCs w:val="22"/>
        </w:rPr>
        <w:t xml:space="preserve">ssuming maximum compliance, a total of 13 scripts would be required per patient and the total cost per patient per year would be </w:t>
      </w:r>
      <w:r w:rsidR="001C3B2D">
        <w:rPr>
          <w:noProof/>
          <w:color w:val="000000"/>
          <w:szCs w:val="22"/>
          <w:highlight w:val="black"/>
        </w:rPr>
        <w:t>''''''''''''''''''''</w:t>
      </w:r>
      <w:r w:rsidRPr="002557B1">
        <w:rPr>
          <w:szCs w:val="22"/>
        </w:rPr>
        <w:t xml:space="preserve">. </w:t>
      </w:r>
    </w:p>
    <w:p w:rsidR="00CF23BA" w:rsidRPr="002557B1" w:rsidRDefault="00CF23BA" w:rsidP="002662EC">
      <w:pPr>
        <w:pStyle w:val="BodyText"/>
      </w:pPr>
      <w:bookmarkStart w:id="18" w:name="_Toc398550904"/>
    </w:p>
    <w:p w:rsidR="00CA6777" w:rsidRPr="002662EC" w:rsidRDefault="00CA6777" w:rsidP="002662EC">
      <w:pPr>
        <w:pStyle w:val="BodyText"/>
        <w:rPr>
          <w:b/>
        </w:rPr>
      </w:pPr>
      <w:r w:rsidRPr="002662EC">
        <w:rPr>
          <w:b/>
        </w:rPr>
        <w:t>Estimated PBS usage &amp; financial implications</w:t>
      </w:r>
      <w:bookmarkEnd w:id="18"/>
    </w:p>
    <w:p w:rsidR="00CA6777" w:rsidRPr="002557B1" w:rsidRDefault="00CA6777" w:rsidP="00CA6777">
      <w:pPr>
        <w:ind w:left="720" w:hanging="720"/>
        <w:rPr>
          <w:b/>
          <w:szCs w:val="22"/>
        </w:rPr>
      </w:pPr>
    </w:p>
    <w:p w:rsidR="00FC3095" w:rsidRPr="001F278B" w:rsidRDefault="00B025A4" w:rsidP="00FC3095">
      <w:pPr>
        <w:pStyle w:val="ListParagraph"/>
        <w:widowControl/>
        <w:numPr>
          <w:ilvl w:val="1"/>
          <w:numId w:val="10"/>
        </w:numPr>
        <w:rPr>
          <w:bCs/>
          <w:szCs w:val="22"/>
        </w:rPr>
      </w:pPr>
      <w:r>
        <w:rPr>
          <w:bCs/>
          <w:szCs w:val="22"/>
        </w:rPr>
        <w:t>The item was considered by DUSC</w:t>
      </w:r>
      <w:r w:rsidR="00FC3095" w:rsidRPr="001F278B">
        <w:rPr>
          <w:bCs/>
          <w:szCs w:val="22"/>
        </w:rPr>
        <w:t>.</w:t>
      </w:r>
    </w:p>
    <w:p w:rsidR="002557B1" w:rsidRPr="001F278B" w:rsidRDefault="002557B1" w:rsidP="002557B1">
      <w:pPr>
        <w:pStyle w:val="PBACHeading1"/>
        <w:numPr>
          <w:ilvl w:val="0"/>
          <w:numId w:val="0"/>
        </w:numPr>
        <w:ind w:left="720" w:hanging="720"/>
      </w:pPr>
    </w:p>
    <w:p w:rsidR="00CF7DFA" w:rsidRPr="001F278B" w:rsidRDefault="00CF7DFA" w:rsidP="00CF7DFA">
      <w:pPr>
        <w:pStyle w:val="ListParagraph"/>
        <w:widowControl/>
        <w:numPr>
          <w:ilvl w:val="1"/>
          <w:numId w:val="10"/>
        </w:numPr>
        <w:rPr>
          <w:szCs w:val="22"/>
        </w:rPr>
      </w:pPr>
      <w:r w:rsidRPr="001F278B">
        <w:t xml:space="preserve">The submission takes an epidemiological approach to estimate the market size. The estimated use of riociguat and the financial implications are summarised below. The submission estimates that the cost of riociguat (using effective DPMQ) to the PBS will be </w:t>
      </w:r>
      <w:r w:rsidR="00474ABF">
        <w:t>less than $10 million per year</w:t>
      </w:r>
      <w:r w:rsidRPr="001F278B">
        <w:t xml:space="preserve"> in Year 1, increasing to </w:t>
      </w:r>
      <w:r w:rsidR="00474ABF" w:rsidRPr="00474ABF">
        <w:t>$10-20 million per year</w:t>
      </w:r>
      <w:r w:rsidRPr="001F278B">
        <w:t xml:space="preserve"> in Year 5 of listing.</w:t>
      </w:r>
    </w:p>
    <w:p w:rsidR="00CF7DFA" w:rsidRPr="001F278B" w:rsidRDefault="00CF7DFA" w:rsidP="00CF7DFA">
      <w:pPr>
        <w:widowControl/>
        <w:rPr>
          <w:szCs w:val="22"/>
        </w:rPr>
      </w:pPr>
    </w:p>
    <w:p w:rsidR="00CF7DFA" w:rsidRPr="001F278B" w:rsidRDefault="00CF7DFA" w:rsidP="00CF7DFA">
      <w:pPr>
        <w:ind w:firstLine="709"/>
        <w:rPr>
          <w:rStyle w:val="CommentReference"/>
        </w:rPr>
      </w:pPr>
      <w:r w:rsidRPr="001F278B">
        <w:rPr>
          <w:rStyle w:val="CommentReference"/>
        </w:rPr>
        <w:t>Estimated use and financial implications</w:t>
      </w:r>
    </w:p>
    <w:tbl>
      <w:tblPr>
        <w:tblStyle w:val="TableGrid5"/>
        <w:tblW w:w="0" w:type="auto"/>
        <w:tblInd w:w="864" w:type="dxa"/>
        <w:tblLook w:val="04A0" w:firstRow="1" w:lastRow="0" w:firstColumn="1" w:lastColumn="0" w:noHBand="0" w:noVBand="1"/>
        <w:tblDescription w:val="Estimated use and financial implications"/>
      </w:tblPr>
      <w:tblGrid>
        <w:gridCol w:w="1652"/>
        <w:gridCol w:w="1275"/>
        <w:gridCol w:w="1417"/>
        <w:gridCol w:w="1418"/>
        <w:gridCol w:w="1351"/>
        <w:gridCol w:w="1265"/>
      </w:tblGrid>
      <w:tr w:rsidR="00CF7DFA" w:rsidRPr="001F278B" w:rsidTr="004D40E5">
        <w:tc>
          <w:tcPr>
            <w:tcW w:w="1652" w:type="dxa"/>
            <w:shd w:val="clear" w:color="auto" w:fill="auto"/>
            <w:vAlign w:val="center"/>
          </w:tcPr>
          <w:p w:rsidR="00CF7DFA" w:rsidRPr="001F278B" w:rsidRDefault="00CF7DFA" w:rsidP="004D40E5">
            <w:pPr>
              <w:keepNext/>
              <w:jc w:val="left"/>
              <w:rPr>
                <w:rFonts w:ascii="Arial Narrow" w:hAnsi="Arial Narrow"/>
                <w:b/>
                <w:sz w:val="20"/>
              </w:rPr>
            </w:pPr>
            <w:bookmarkStart w:id="19" w:name="_GoBack"/>
            <w:r w:rsidRPr="001F278B">
              <w:rPr>
                <w:rFonts w:ascii="Arial Narrow" w:hAnsi="Arial Narrow"/>
                <w:b/>
                <w:sz w:val="20"/>
              </w:rPr>
              <w:t>Year</w:t>
            </w:r>
          </w:p>
        </w:tc>
        <w:tc>
          <w:tcPr>
            <w:tcW w:w="1275" w:type="dxa"/>
            <w:shd w:val="clear" w:color="auto" w:fill="auto"/>
            <w:vAlign w:val="center"/>
          </w:tcPr>
          <w:p w:rsidR="00CF7DFA" w:rsidRPr="001F278B" w:rsidRDefault="00CF7DFA" w:rsidP="001F278B">
            <w:pPr>
              <w:keepNext/>
              <w:jc w:val="center"/>
              <w:rPr>
                <w:rFonts w:ascii="Arial Narrow" w:hAnsi="Arial Narrow"/>
                <w:b/>
                <w:sz w:val="20"/>
              </w:rPr>
            </w:pPr>
            <w:r w:rsidRPr="001F278B">
              <w:rPr>
                <w:rFonts w:ascii="Arial Narrow" w:hAnsi="Arial Narrow"/>
                <w:b/>
                <w:sz w:val="20"/>
              </w:rPr>
              <w:t>2015</w:t>
            </w:r>
          </w:p>
        </w:tc>
        <w:tc>
          <w:tcPr>
            <w:tcW w:w="1417" w:type="dxa"/>
            <w:shd w:val="clear" w:color="auto" w:fill="auto"/>
            <w:vAlign w:val="center"/>
          </w:tcPr>
          <w:p w:rsidR="00CF7DFA" w:rsidRPr="001F278B" w:rsidRDefault="00CF7DFA" w:rsidP="001F278B">
            <w:pPr>
              <w:keepNext/>
              <w:jc w:val="center"/>
              <w:rPr>
                <w:rFonts w:ascii="Arial Narrow" w:hAnsi="Arial Narrow"/>
                <w:b/>
                <w:sz w:val="20"/>
              </w:rPr>
            </w:pPr>
            <w:r w:rsidRPr="001F278B">
              <w:rPr>
                <w:rFonts w:ascii="Arial Narrow" w:hAnsi="Arial Narrow"/>
                <w:b/>
                <w:sz w:val="20"/>
              </w:rPr>
              <w:t>2016</w:t>
            </w:r>
          </w:p>
        </w:tc>
        <w:tc>
          <w:tcPr>
            <w:tcW w:w="1418" w:type="dxa"/>
            <w:shd w:val="clear" w:color="auto" w:fill="auto"/>
            <w:vAlign w:val="center"/>
          </w:tcPr>
          <w:p w:rsidR="00CF7DFA" w:rsidRPr="001F278B" w:rsidRDefault="00CF7DFA" w:rsidP="001F278B">
            <w:pPr>
              <w:keepNext/>
              <w:jc w:val="center"/>
              <w:rPr>
                <w:rFonts w:ascii="Arial Narrow" w:hAnsi="Arial Narrow"/>
                <w:b/>
                <w:sz w:val="20"/>
              </w:rPr>
            </w:pPr>
            <w:r w:rsidRPr="001F278B">
              <w:rPr>
                <w:rFonts w:ascii="Arial Narrow" w:hAnsi="Arial Narrow"/>
                <w:b/>
                <w:sz w:val="20"/>
              </w:rPr>
              <w:t>2017</w:t>
            </w:r>
          </w:p>
        </w:tc>
        <w:tc>
          <w:tcPr>
            <w:tcW w:w="1351" w:type="dxa"/>
            <w:shd w:val="clear" w:color="auto" w:fill="auto"/>
            <w:vAlign w:val="center"/>
          </w:tcPr>
          <w:p w:rsidR="00CF7DFA" w:rsidRPr="001F278B" w:rsidRDefault="00CF7DFA" w:rsidP="001F278B">
            <w:pPr>
              <w:keepNext/>
              <w:jc w:val="center"/>
              <w:rPr>
                <w:rFonts w:ascii="Arial Narrow" w:hAnsi="Arial Narrow"/>
                <w:b/>
                <w:sz w:val="20"/>
              </w:rPr>
            </w:pPr>
            <w:r w:rsidRPr="001F278B">
              <w:rPr>
                <w:rFonts w:ascii="Arial Narrow" w:hAnsi="Arial Narrow"/>
                <w:b/>
                <w:sz w:val="20"/>
              </w:rPr>
              <w:t>2018</w:t>
            </w:r>
          </w:p>
        </w:tc>
        <w:tc>
          <w:tcPr>
            <w:tcW w:w="1265" w:type="dxa"/>
            <w:shd w:val="clear" w:color="auto" w:fill="auto"/>
            <w:vAlign w:val="center"/>
          </w:tcPr>
          <w:p w:rsidR="00CF7DFA" w:rsidRPr="001F278B" w:rsidRDefault="00CF7DFA" w:rsidP="001F278B">
            <w:pPr>
              <w:keepNext/>
              <w:jc w:val="center"/>
              <w:rPr>
                <w:rFonts w:ascii="Arial Narrow" w:hAnsi="Arial Narrow"/>
                <w:b/>
                <w:sz w:val="20"/>
              </w:rPr>
            </w:pPr>
            <w:r w:rsidRPr="001F278B">
              <w:rPr>
                <w:rFonts w:ascii="Arial Narrow" w:hAnsi="Arial Narrow"/>
                <w:b/>
                <w:sz w:val="20"/>
              </w:rPr>
              <w:t>2019</w:t>
            </w:r>
          </w:p>
        </w:tc>
      </w:tr>
      <w:tr w:rsidR="00CF7DFA" w:rsidRPr="001F278B" w:rsidTr="004D40E5">
        <w:tc>
          <w:tcPr>
            <w:tcW w:w="1652" w:type="dxa"/>
            <w:vAlign w:val="center"/>
          </w:tcPr>
          <w:p w:rsidR="00CF7DFA" w:rsidRPr="001F278B" w:rsidRDefault="00CF7DFA" w:rsidP="004D40E5">
            <w:pPr>
              <w:keepNext/>
              <w:jc w:val="left"/>
              <w:rPr>
                <w:rFonts w:ascii="Arial Narrow" w:hAnsi="Arial Narrow"/>
                <w:sz w:val="20"/>
              </w:rPr>
            </w:pPr>
            <w:r w:rsidRPr="001F278B">
              <w:rPr>
                <w:rFonts w:ascii="Arial Narrow" w:hAnsi="Arial Narrow"/>
                <w:sz w:val="20"/>
              </w:rPr>
              <w:t>Patients likely to be treated</w:t>
            </w:r>
          </w:p>
        </w:tc>
        <w:tc>
          <w:tcPr>
            <w:tcW w:w="1275"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417"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418"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351"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265"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r>
      <w:tr w:rsidR="00CF7DFA" w:rsidRPr="001F278B" w:rsidTr="004D40E5">
        <w:tc>
          <w:tcPr>
            <w:tcW w:w="1652" w:type="dxa"/>
            <w:vAlign w:val="center"/>
          </w:tcPr>
          <w:p w:rsidR="00CF7DFA" w:rsidRPr="001F278B" w:rsidRDefault="00CF7DFA" w:rsidP="004D40E5">
            <w:pPr>
              <w:keepNext/>
              <w:jc w:val="left"/>
              <w:rPr>
                <w:rFonts w:ascii="Arial Narrow" w:hAnsi="Arial Narrow"/>
                <w:sz w:val="20"/>
              </w:rPr>
            </w:pPr>
            <w:r w:rsidRPr="001F278B">
              <w:rPr>
                <w:rFonts w:ascii="Arial Narrow" w:hAnsi="Arial Narrow"/>
                <w:sz w:val="20"/>
              </w:rPr>
              <w:t>Total number of prescriptions (all strengths)*</w:t>
            </w:r>
          </w:p>
        </w:tc>
        <w:tc>
          <w:tcPr>
            <w:tcW w:w="1275"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417"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418"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351"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265"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r>
      <w:tr w:rsidR="00CF7DFA" w:rsidRPr="001F278B" w:rsidTr="004D40E5">
        <w:tc>
          <w:tcPr>
            <w:tcW w:w="1652" w:type="dxa"/>
            <w:vAlign w:val="center"/>
          </w:tcPr>
          <w:p w:rsidR="00CF7DFA" w:rsidRPr="001F278B" w:rsidRDefault="00CF7DFA" w:rsidP="004D40E5">
            <w:pPr>
              <w:keepNext/>
              <w:jc w:val="left"/>
              <w:rPr>
                <w:rFonts w:ascii="Arial Narrow" w:hAnsi="Arial Narrow"/>
                <w:b/>
                <w:sz w:val="20"/>
              </w:rPr>
            </w:pPr>
            <w:r w:rsidRPr="001F278B">
              <w:rPr>
                <w:rFonts w:ascii="Arial Narrow" w:hAnsi="Arial Narrow"/>
                <w:b/>
                <w:sz w:val="20"/>
              </w:rPr>
              <w:t xml:space="preserve">Net cost to the PBS** </w:t>
            </w:r>
          </w:p>
        </w:tc>
        <w:tc>
          <w:tcPr>
            <w:tcW w:w="1275"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417"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418"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351"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c>
          <w:tcPr>
            <w:tcW w:w="1265" w:type="dxa"/>
            <w:vAlign w:val="center"/>
          </w:tcPr>
          <w:p w:rsidR="00CF7DFA" w:rsidRPr="001C3B2D" w:rsidRDefault="001C3B2D" w:rsidP="004D40E5">
            <w:pPr>
              <w:jc w:val="center"/>
              <w:rPr>
                <w:rFonts w:ascii="Arial Narrow" w:hAnsi="Arial Narrow"/>
                <w:sz w:val="20"/>
                <w:highlight w:val="black"/>
              </w:rPr>
            </w:pPr>
            <w:r>
              <w:rPr>
                <w:rFonts w:ascii="Arial Narrow" w:hAnsi="Arial Narrow"/>
                <w:noProof/>
                <w:color w:val="000000"/>
                <w:sz w:val="20"/>
                <w:highlight w:val="black"/>
              </w:rPr>
              <w:t>'''''''''''''''''''''''''''''</w:t>
            </w:r>
          </w:p>
        </w:tc>
      </w:tr>
    </w:tbl>
    <w:bookmarkEnd w:id="19"/>
    <w:p w:rsidR="00CF7DFA" w:rsidRPr="001F278B" w:rsidRDefault="00CF7DFA" w:rsidP="00CF7DFA">
      <w:pPr>
        <w:pStyle w:val="TableFooter"/>
        <w:ind w:left="720"/>
      </w:pPr>
      <w:r w:rsidRPr="001F278B">
        <w:rPr>
          <w:szCs w:val="22"/>
        </w:rPr>
        <w:t>*</w:t>
      </w:r>
      <w:r w:rsidRPr="001F278B">
        <w:t xml:space="preserve">Average number of scripts /patient/year estimated in the submission = </w:t>
      </w:r>
      <w:r w:rsidR="001C3B2D">
        <w:rPr>
          <w:noProof/>
          <w:color w:val="000000"/>
        </w:rPr>
        <w:t>10</w:t>
      </w:r>
    </w:p>
    <w:p w:rsidR="00CF7DFA" w:rsidRPr="001F278B" w:rsidRDefault="00CF7DFA" w:rsidP="00CF7DFA">
      <w:pPr>
        <w:pStyle w:val="TableFooter"/>
        <w:ind w:left="720"/>
      </w:pPr>
      <w:r w:rsidRPr="001F278B">
        <w:t xml:space="preserve">**Costs were calculated using the effective Public Hospital DPMQ per pack of 84 tablets </w:t>
      </w:r>
      <w:r w:rsidR="001C3B2D">
        <w:rPr>
          <w:noProof/>
          <w:color w:val="000000"/>
          <w:highlight w:val="black"/>
        </w:rPr>
        <w:t>''''''''''''''''''''''''''''</w:t>
      </w:r>
    </w:p>
    <w:p w:rsidR="00CF7DFA" w:rsidRPr="001F278B" w:rsidRDefault="00CF7DFA" w:rsidP="00CF7DFA">
      <w:pPr>
        <w:pStyle w:val="TableFooter"/>
        <w:ind w:left="720"/>
        <w:rPr>
          <w:i/>
        </w:rPr>
      </w:pPr>
      <w:r w:rsidRPr="001F278B">
        <w:rPr>
          <w:i/>
        </w:rPr>
        <w:t>No costs to the MBS are estimated in the submission.</w:t>
      </w:r>
    </w:p>
    <w:p w:rsidR="00CF7DFA" w:rsidRPr="001F278B" w:rsidRDefault="00CF7DFA" w:rsidP="00CF7DFA">
      <w:pPr>
        <w:pStyle w:val="TableFooter"/>
        <w:ind w:left="720"/>
        <w:rPr>
          <w:szCs w:val="22"/>
        </w:rPr>
      </w:pPr>
      <w:r w:rsidRPr="001F278B">
        <w:t>Source: Table E.2-5 and Table E.2-6, p154 of the submission</w:t>
      </w:r>
    </w:p>
    <w:p w:rsidR="00474ABF" w:rsidRPr="000A27BC" w:rsidRDefault="00474ABF" w:rsidP="000A27BC">
      <w:pPr>
        <w:rPr>
          <w:szCs w:val="22"/>
        </w:rPr>
      </w:pPr>
      <w:r>
        <w:rPr>
          <w:szCs w:val="22"/>
        </w:rPr>
        <w:tab/>
      </w:r>
    </w:p>
    <w:p w:rsidR="0026175F" w:rsidRPr="001F278B" w:rsidRDefault="0026175F" w:rsidP="0026175F">
      <w:pPr>
        <w:pStyle w:val="ListParagraph"/>
        <w:widowControl/>
        <w:numPr>
          <w:ilvl w:val="1"/>
          <w:numId w:val="10"/>
        </w:numPr>
      </w:pPr>
      <w:r w:rsidRPr="001F278B">
        <w:rPr>
          <w:szCs w:val="22"/>
        </w:rPr>
        <w:t xml:space="preserve">The DUSC considered </w:t>
      </w:r>
      <w:r w:rsidRPr="001F278B">
        <w:t xml:space="preserve">that a reasonable approach was taken to derive the estimates presented in the submission. </w:t>
      </w:r>
      <w:r w:rsidR="001F278B" w:rsidRPr="001F278B">
        <w:t>The DUSC considered the main issues were</w:t>
      </w:r>
      <w:r w:rsidRPr="001F278B">
        <w:t>:</w:t>
      </w:r>
    </w:p>
    <w:p w:rsidR="00424815" w:rsidRPr="00424815" w:rsidRDefault="00424815" w:rsidP="00424815">
      <w:pPr>
        <w:pStyle w:val="ListParagraph"/>
        <w:numPr>
          <w:ilvl w:val="0"/>
          <w:numId w:val="41"/>
        </w:numPr>
      </w:pPr>
      <w:r w:rsidRPr="00424815">
        <w:t xml:space="preserve">Overall CTEPH prevalence in years 2 to 5 is likely to be significantly overestimated, as it relies on a prevalence estimate from a study by Strange et al; which, according to the submission, is likely to significantly overestimate CTEPH prevalence.  DUSC expressed some concern that the Strange et al study relied on a retrospective analysis of an echocardiography database, given that echocardiography is a less accurate method for CTEPH diagnosis than right heart catheterisation. </w:t>
      </w:r>
    </w:p>
    <w:p w:rsidR="0026175F" w:rsidRPr="001F278B" w:rsidRDefault="0026175F" w:rsidP="002B3C18">
      <w:pPr>
        <w:pStyle w:val="ListParagraph"/>
        <w:numPr>
          <w:ilvl w:val="0"/>
          <w:numId w:val="41"/>
        </w:numPr>
      </w:pPr>
      <w:r w:rsidRPr="001F278B">
        <w:t>Diagnosis rate: while CTEPH could potentially be underdiagnosed, no source is provided to justify the rapidly increasing diagnosis rate in years 2 to 5. DUSC considered the diagnosis rate</w:t>
      </w:r>
      <w:r w:rsidR="002B3C18">
        <w:t xml:space="preserve"> </w:t>
      </w:r>
      <w:r w:rsidR="002B3C18" w:rsidRPr="002B3C18">
        <w:t>in year 1 to be a reasonable estimate</w:t>
      </w:r>
      <w:r w:rsidR="000A27BC">
        <w:t xml:space="preserve"> (based on a survey of 12 </w:t>
      </w:r>
      <w:r w:rsidR="000A27BC" w:rsidRPr="001F278B">
        <w:t>physicians</w:t>
      </w:r>
      <w:r w:rsidR="000A27BC">
        <w:t>)</w:t>
      </w:r>
      <w:r w:rsidR="002B3C18">
        <w:t xml:space="preserve"> and the rates</w:t>
      </w:r>
      <w:r w:rsidRPr="001F278B">
        <w:t xml:space="preserve"> in years 2 to 5 an overestimate. </w:t>
      </w:r>
    </w:p>
    <w:p w:rsidR="0026175F" w:rsidRDefault="0026175F" w:rsidP="000A27BC">
      <w:pPr>
        <w:pStyle w:val="ListParagraph"/>
        <w:numPr>
          <w:ilvl w:val="0"/>
          <w:numId w:val="41"/>
        </w:numPr>
      </w:pPr>
      <w:r w:rsidRPr="001F278B">
        <w:t>Uptake</w:t>
      </w:r>
      <w:r w:rsidR="000A27BC">
        <w:t xml:space="preserve"> (</w:t>
      </w:r>
      <w:r w:rsidR="000A27BC" w:rsidRPr="000A27BC">
        <w:t>30% in year 1 to 90% in year 5 of the listing</w:t>
      </w:r>
      <w:r w:rsidR="0074793D">
        <w:t>)</w:t>
      </w:r>
      <w:r w:rsidRPr="001F278B">
        <w:t xml:space="preserve"> is likely to be underestimated in the first two years of listing, as there is an existing pool of patients with persistent or inoperable CTEPH appropriate for medical treatment, and this group of patients are likely to be trialled on this drug quickly.</w:t>
      </w:r>
    </w:p>
    <w:p w:rsidR="007F7309" w:rsidRPr="007F7309" w:rsidRDefault="007F7309" w:rsidP="007F7309"/>
    <w:p w:rsidR="007F7309" w:rsidRDefault="007F7309" w:rsidP="007F7309">
      <w:pPr>
        <w:pStyle w:val="ListParagraph"/>
        <w:widowControl/>
        <w:numPr>
          <w:ilvl w:val="1"/>
          <w:numId w:val="10"/>
        </w:numPr>
        <w:rPr>
          <w:szCs w:val="22"/>
        </w:rPr>
      </w:pPr>
      <w:r w:rsidRPr="007F7309">
        <w:rPr>
          <w:szCs w:val="22"/>
        </w:rPr>
        <w:t xml:space="preserve">DUSC considered the year 1 utilisation may be an underestimate; and the estimates for year 2 to year 5 </w:t>
      </w:r>
      <w:proofErr w:type="gramStart"/>
      <w:r w:rsidRPr="007F7309">
        <w:rPr>
          <w:szCs w:val="22"/>
        </w:rPr>
        <w:t>an</w:t>
      </w:r>
      <w:proofErr w:type="gramEnd"/>
      <w:r w:rsidRPr="007F7309">
        <w:rPr>
          <w:szCs w:val="22"/>
        </w:rPr>
        <w:t xml:space="preserve"> overestimate. Use may be beyond expectations in year 1 due to an underestimated uptake rate. Over the five year estimates use is not likely to be beyond the estimates.</w:t>
      </w:r>
    </w:p>
    <w:p w:rsidR="00AF1D97" w:rsidRDefault="00AF1D97" w:rsidP="00AF1D97">
      <w:pPr>
        <w:pStyle w:val="PBACHeading1"/>
        <w:numPr>
          <w:ilvl w:val="0"/>
          <w:numId w:val="0"/>
        </w:numPr>
        <w:ind w:left="720" w:hanging="720"/>
      </w:pPr>
    </w:p>
    <w:p w:rsidR="002001DD" w:rsidRPr="007F7309" w:rsidRDefault="002001DD" w:rsidP="007F7309">
      <w:pPr>
        <w:pStyle w:val="ListParagraph"/>
        <w:widowControl/>
        <w:numPr>
          <w:ilvl w:val="1"/>
          <w:numId w:val="10"/>
        </w:numPr>
        <w:rPr>
          <w:szCs w:val="22"/>
        </w:rPr>
      </w:pPr>
      <w:r>
        <w:rPr>
          <w:szCs w:val="22"/>
        </w:rPr>
        <w:t xml:space="preserve">In the pre-PBAC response, patient numbers and financial estimates were updated in line with the DUSC Advice. </w:t>
      </w:r>
      <w:r w:rsidR="00AF1D97">
        <w:rPr>
          <w:szCs w:val="22"/>
        </w:rPr>
        <w:t>The</w:t>
      </w:r>
      <w:r w:rsidR="00AF1D97" w:rsidRPr="001F278B">
        <w:t xml:space="preserve"> cost of </w:t>
      </w:r>
      <w:r w:rsidR="00AF1D97">
        <w:t>riociguat</w:t>
      </w:r>
      <w:r w:rsidR="00AF1D97" w:rsidRPr="001F278B">
        <w:t xml:space="preserve"> to the PBS </w:t>
      </w:r>
      <w:r w:rsidR="00AF1D97">
        <w:t xml:space="preserve">estimated to be </w:t>
      </w:r>
      <w:r w:rsidR="00474ABF">
        <w:t xml:space="preserve">less than $10 million per year </w:t>
      </w:r>
      <w:r w:rsidR="00AF1D97" w:rsidRPr="001F278B">
        <w:t xml:space="preserve">in Year 1, increasing to </w:t>
      </w:r>
      <w:r w:rsidR="00474ABF" w:rsidRPr="00474ABF">
        <w:t>less</w:t>
      </w:r>
      <w:r w:rsidR="00474ABF">
        <w:t xml:space="preserve"> than $10 million per year</w:t>
      </w:r>
      <w:r w:rsidR="00AF1D97" w:rsidRPr="001F278B">
        <w:t xml:space="preserve"> in Year 5 of listing.</w:t>
      </w:r>
    </w:p>
    <w:p w:rsidR="0026175F" w:rsidRPr="001F278B" w:rsidRDefault="0026175F" w:rsidP="0026175F">
      <w:pPr>
        <w:widowControl/>
        <w:rPr>
          <w:szCs w:val="22"/>
          <w:highlight w:val="yellow"/>
        </w:rPr>
      </w:pPr>
    </w:p>
    <w:p w:rsidR="00CA6777" w:rsidRPr="002662EC" w:rsidRDefault="00CA6777" w:rsidP="002662EC">
      <w:pPr>
        <w:pStyle w:val="BodyText"/>
        <w:rPr>
          <w:b/>
        </w:rPr>
      </w:pPr>
      <w:bookmarkStart w:id="20" w:name="_Toc398550905"/>
      <w:r w:rsidRPr="002662EC">
        <w:rPr>
          <w:b/>
        </w:rPr>
        <w:t>Financial Management – Risk Sharing Arrangements</w:t>
      </w:r>
      <w:bookmarkEnd w:id="20"/>
    </w:p>
    <w:p w:rsidR="00CA6777" w:rsidRPr="002557B1" w:rsidRDefault="00CA6777" w:rsidP="00CA6777">
      <w:pPr>
        <w:widowControl/>
        <w:rPr>
          <w:szCs w:val="22"/>
        </w:rPr>
      </w:pPr>
    </w:p>
    <w:p w:rsidR="00CA6777" w:rsidRPr="001C3B2D" w:rsidRDefault="001C3B2D" w:rsidP="001C3B2D">
      <w:pPr>
        <w:widowControl/>
        <w:ind w:left="720" w:hanging="720"/>
        <w:rPr>
          <w:szCs w:val="22"/>
          <w:highlight w:val="black"/>
        </w:rPr>
      </w:pPr>
      <w:r>
        <w:rPr>
          <w:noProof/>
          <w:color w:val="000000"/>
          <w:szCs w:val="22"/>
          <w:highlight w:val="black"/>
        </w:rPr>
        <w:lastRenderedPageBreak/>
        <w:t>'''''''''''''''''''' ''''''''''''''''''''''''' ''''''''''''''''''''''' ''' ''''''''''''''''''''''''''' '''''''''''''''' ''''' '''''''''''''' ''''' ''''''' ''''''''''''''''''''' ''''''''''''''' ''''''''''''''''''''''''''' ''''' ''''''''''''''''''' '''''' '''''''''''''''''' ''''''''''''''' '''' ''''''''''''''''''''''''''' ''''''''''''''' ''''' ''''''' '''''''''''' '''''' '''''''' '''''''''''''''' '''''''''''''''''''''''''''''''' ''''''''''' ''''' '''''''''''''''''''' ''''''' '''''''' '''''''''''''''''''''' ''''' '''''''''''''</w:t>
      </w:r>
    </w:p>
    <w:p w:rsidR="00066342" w:rsidRPr="002557B1" w:rsidRDefault="00066342" w:rsidP="00066342">
      <w:pPr>
        <w:pStyle w:val="PBACHeading1"/>
        <w:numPr>
          <w:ilvl w:val="0"/>
          <w:numId w:val="0"/>
        </w:numPr>
        <w:ind w:left="720" w:hanging="720"/>
      </w:pPr>
    </w:p>
    <w:p w:rsidR="00066342" w:rsidRPr="002557B1" w:rsidRDefault="00066342" w:rsidP="00066342">
      <w:pPr>
        <w:pStyle w:val="ListParagraph"/>
        <w:widowControl/>
        <w:numPr>
          <w:ilvl w:val="1"/>
          <w:numId w:val="10"/>
        </w:numPr>
      </w:pPr>
      <w:r w:rsidRPr="002557B1">
        <w:t>The ESC noted the Sponsor’s willingness to enter into a risk-share arrangement with the Commonwealth to provide further certainty regarding the financial impact of listing riociguat for the treatment of CTEPH.</w:t>
      </w:r>
    </w:p>
    <w:p w:rsidR="00FC3095" w:rsidRPr="002557B1" w:rsidRDefault="00FC3095" w:rsidP="006045B0">
      <w:pPr>
        <w:widowControl/>
        <w:rPr>
          <w:szCs w:val="22"/>
        </w:rPr>
      </w:pPr>
    </w:p>
    <w:p w:rsidR="00FC3095" w:rsidRPr="002557B1" w:rsidRDefault="00FC3095" w:rsidP="006045B0">
      <w:pPr>
        <w:widowControl/>
        <w:rPr>
          <w:szCs w:val="22"/>
        </w:rPr>
      </w:pPr>
    </w:p>
    <w:p w:rsidR="002557B1" w:rsidRPr="00CE3D3A" w:rsidRDefault="002557B1" w:rsidP="00CE3D3A">
      <w:pPr>
        <w:rPr>
          <w:i/>
          <w:szCs w:val="22"/>
        </w:rPr>
      </w:pPr>
      <w:r w:rsidRPr="00CE3D3A">
        <w:rPr>
          <w:i/>
          <w:szCs w:val="22"/>
        </w:rPr>
        <w:t>For more detail on PBAC’s view, see section 7 “PBAC outcome”</w:t>
      </w:r>
    </w:p>
    <w:p w:rsidR="00FC3095" w:rsidRDefault="00FC3095" w:rsidP="006045B0">
      <w:pPr>
        <w:widowControl/>
        <w:rPr>
          <w:szCs w:val="22"/>
        </w:rPr>
      </w:pPr>
    </w:p>
    <w:p w:rsidR="00446B09" w:rsidRPr="002557B1" w:rsidRDefault="00446B09" w:rsidP="006045B0">
      <w:pPr>
        <w:widowControl/>
        <w:rPr>
          <w:szCs w:val="22"/>
        </w:rPr>
      </w:pPr>
    </w:p>
    <w:p w:rsidR="00CF7DFA" w:rsidRPr="00CE3D3A" w:rsidRDefault="00CF7DFA" w:rsidP="00CF7DFA">
      <w:pPr>
        <w:pStyle w:val="Header"/>
        <w:widowControl/>
        <w:numPr>
          <w:ilvl w:val="0"/>
          <w:numId w:val="10"/>
        </w:numPr>
        <w:tabs>
          <w:tab w:val="clear" w:pos="4513"/>
          <w:tab w:val="clear" w:pos="9026"/>
        </w:tabs>
        <w:rPr>
          <w:b/>
          <w:bCs/>
          <w:szCs w:val="22"/>
        </w:rPr>
      </w:pPr>
      <w:r w:rsidRPr="00CE3D3A">
        <w:rPr>
          <w:b/>
          <w:bCs/>
          <w:szCs w:val="22"/>
        </w:rPr>
        <w:t>PBAC Outcome</w:t>
      </w:r>
    </w:p>
    <w:p w:rsidR="00CF7DFA" w:rsidRPr="00F449D3" w:rsidRDefault="00CF7DFA" w:rsidP="00CF7DFA">
      <w:pPr>
        <w:pStyle w:val="ListParagraph"/>
        <w:widowControl/>
        <w:rPr>
          <w:b/>
          <w:bCs/>
          <w:szCs w:val="22"/>
          <w:highlight w:val="yellow"/>
          <w:lang w:val="en-GB"/>
        </w:rPr>
      </w:pPr>
    </w:p>
    <w:p w:rsidR="001F3E0F" w:rsidRPr="004F6FF3" w:rsidRDefault="00087F07" w:rsidP="004F6FF3">
      <w:pPr>
        <w:pStyle w:val="ListParagraph"/>
        <w:widowControl/>
        <w:numPr>
          <w:ilvl w:val="1"/>
          <w:numId w:val="10"/>
        </w:numPr>
        <w:rPr>
          <w:bCs/>
          <w:szCs w:val="22"/>
          <w:lang w:val="en-GB"/>
        </w:rPr>
      </w:pPr>
      <w:r w:rsidRPr="004F6FF3">
        <w:rPr>
          <w:bCs/>
          <w:szCs w:val="22"/>
          <w:lang w:val="en-GB"/>
        </w:rPr>
        <w:t xml:space="preserve">The PBAC </w:t>
      </w:r>
      <w:r w:rsidR="00576B32">
        <w:rPr>
          <w:bCs/>
          <w:szCs w:val="22"/>
          <w:lang w:val="en-GB"/>
        </w:rPr>
        <w:t xml:space="preserve">rejected the </w:t>
      </w:r>
      <w:r w:rsidR="00576B32" w:rsidRPr="004B3DDB">
        <w:t xml:space="preserve">Authority </w:t>
      </w:r>
      <w:proofErr w:type="gramStart"/>
      <w:r w:rsidR="00576B32" w:rsidRPr="004B3DDB">
        <w:t>Required</w:t>
      </w:r>
      <w:proofErr w:type="gramEnd"/>
      <w:r w:rsidR="00576B32">
        <w:t xml:space="preserve"> </w:t>
      </w:r>
      <w:r w:rsidR="00576B32" w:rsidRPr="004B3DDB">
        <w:t xml:space="preserve">listing for </w:t>
      </w:r>
      <w:r w:rsidR="00576B32">
        <w:t xml:space="preserve">riociguat </w:t>
      </w:r>
      <w:r w:rsidR="00576B32" w:rsidRPr="004B3DDB">
        <w:t xml:space="preserve">for </w:t>
      </w:r>
      <w:r w:rsidR="00576B32">
        <w:t xml:space="preserve">the </w:t>
      </w:r>
      <w:r w:rsidR="00576B32" w:rsidRPr="004B3DDB">
        <w:t xml:space="preserve">treatment of </w:t>
      </w:r>
      <w:r w:rsidR="00576B32" w:rsidRPr="00493806">
        <w:t xml:space="preserve">inoperable or persistent/recurrent chronic thromboembolic pulmonary hypertension </w:t>
      </w:r>
      <w:r w:rsidR="00576B32">
        <w:t xml:space="preserve">after a </w:t>
      </w:r>
      <w:r w:rsidR="00576B32" w:rsidRPr="00493806">
        <w:t>pulmonary endarterectomy</w:t>
      </w:r>
      <w:r w:rsidR="00576B32">
        <w:rPr>
          <w:bCs/>
          <w:szCs w:val="22"/>
          <w:lang w:val="en-GB"/>
        </w:rPr>
        <w:t>, as the cost-effectiveness of riociguat for this indication had not been established against the appropriate comparator.</w:t>
      </w:r>
      <w:r w:rsidR="004F6FF3" w:rsidRPr="004F6FF3">
        <w:rPr>
          <w:bCs/>
          <w:szCs w:val="22"/>
          <w:lang w:val="en-GB"/>
        </w:rPr>
        <w:t xml:space="preserve"> </w:t>
      </w:r>
    </w:p>
    <w:p w:rsidR="004F6FF3" w:rsidRPr="004F6FF3" w:rsidRDefault="004F6FF3" w:rsidP="004F6FF3">
      <w:pPr>
        <w:pStyle w:val="ListParagraph"/>
        <w:widowControl/>
        <w:rPr>
          <w:b/>
          <w:bCs/>
          <w:szCs w:val="22"/>
          <w:highlight w:val="yellow"/>
          <w:lang w:val="en-GB"/>
        </w:rPr>
      </w:pPr>
    </w:p>
    <w:p w:rsidR="00096195" w:rsidRPr="008257ED" w:rsidRDefault="00087F07" w:rsidP="00096195">
      <w:pPr>
        <w:pStyle w:val="ListParagraph"/>
        <w:widowControl/>
        <w:numPr>
          <w:ilvl w:val="1"/>
          <w:numId w:val="10"/>
        </w:numPr>
        <w:rPr>
          <w:szCs w:val="22"/>
        </w:rPr>
      </w:pPr>
      <w:r w:rsidRPr="00087F07">
        <w:t>The PBAC agreed that placebo is the appropriate comp</w:t>
      </w:r>
      <w:r>
        <w:t xml:space="preserve">arator in this place of therapy, </w:t>
      </w:r>
      <w:r w:rsidR="00A879AA">
        <w:t xml:space="preserve">although </w:t>
      </w:r>
      <w:r>
        <w:t>noting that</w:t>
      </w:r>
      <w:r w:rsidRPr="002557B1">
        <w:t xml:space="preserve">, in clinical practice, other PAH treatments </w:t>
      </w:r>
      <w:r>
        <w:t xml:space="preserve">such as bosentan and sildenafil </w:t>
      </w:r>
      <w:r w:rsidRPr="002557B1">
        <w:t>may be used off-label.</w:t>
      </w:r>
      <w:r w:rsidR="00096195">
        <w:t xml:space="preserve"> </w:t>
      </w:r>
      <w:r w:rsidR="00096195">
        <w:rPr>
          <w:szCs w:val="22"/>
        </w:rPr>
        <w:t xml:space="preserve">The PBAC noted that the pre-PBAC response highlighted that </w:t>
      </w:r>
      <w:r w:rsidR="00096195" w:rsidRPr="00ED4991">
        <w:rPr>
          <w:szCs w:val="22"/>
        </w:rPr>
        <w:t>international clinical guidelines (</w:t>
      </w:r>
      <w:r w:rsidR="00096195" w:rsidRPr="008257ED">
        <w:rPr>
          <w:szCs w:val="22"/>
        </w:rPr>
        <w:t xml:space="preserve">European Society of Cardiology and the European Respiratory Society </w:t>
      </w:r>
      <w:r w:rsidR="00096195">
        <w:rPr>
          <w:szCs w:val="22"/>
        </w:rPr>
        <w:t>2009 guidelines) recommend</w:t>
      </w:r>
      <w:r w:rsidR="00096195" w:rsidRPr="008257ED">
        <w:rPr>
          <w:szCs w:val="22"/>
        </w:rPr>
        <w:t xml:space="preserve"> the use of PAH-specific therapies (predominantly </w:t>
      </w:r>
      <w:proofErr w:type="spellStart"/>
      <w:r w:rsidR="00096195" w:rsidRPr="008257ED">
        <w:rPr>
          <w:szCs w:val="22"/>
        </w:rPr>
        <w:t>endothelin</w:t>
      </w:r>
      <w:proofErr w:type="spellEnd"/>
      <w:r w:rsidR="00096195" w:rsidRPr="008257ED">
        <w:rPr>
          <w:szCs w:val="22"/>
        </w:rPr>
        <w:t xml:space="preserve"> receptor antagonists) for those patients deemed inoperable or have recurrent/persistent CTEPH.</w:t>
      </w:r>
    </w:p>
    <w:p w:rsidR="001757B7" w:rsidRPr="00096195" w:rsidRDefault="001757B7" w:rsidP="00096195">
      <w:pPr>
        <w:rPr>
          <w:szCs w:val="22"/>
        </w:rPr>
      </w:pPr>
    </w:p>
    <w:p w:rsidR="00BF5569" w:rsidRDefault="00E4744A" w:rsidP="00096195">
      <w:pPr>
        <w:pStyle w:val="ListParagraph"/>
        <w:widowControl/>
        <w:numPr>
          <w:ilvl w:val="1"/>
          <w:numId w:val="10"/>
        </w:numPr>
        <w:rPr>
          <w:szCs w:val="22"/>
        </w:rPr>
      </w:pPr>
      <w:r w:rsidRPr="00BF5569">
        <w:rPr>
          <w:szCs w:val="22"/>
        </w:rPr>
        <w:t xml:space="preserve">The PBAC noted the statistical significance of the treatment effect in terms of the primary endpoint of change in 6MWD favouring riociguat over placebo. </w:t>
      </w:r>
      <w:r w:rsidR="00A879AA" w:rsidRPr="00096195">
        <w:rPr>
          <w:szCs w:val="22"/>
        </w:rPr>
        <w:t xml:space="preserve">The PBAC </w:t>
      </w:r>
      <w:r w:rsidR="00A879AA">
        <w:rPr>
          <w:szCs w:val="22"/>
        </w:rPr>
        <w:t xml:space="preserve">recalled that it </w:t>
      </w:r>
      <w:r w:rsidR="00A879AA" w:rsidRPr="00096195">
        <w:rPr>
          <w:szCs w:val="22"/>
        </w:rPr>
        <w:t xml:space="preserve">has previously considered the 6MWD as an endpoint in a number of submissions of pulmonary arterial hypertension (PAH) treatments.  </w:t>
      </w:r>
      <w:r w:rsidRPr="00BF5569">
        <w:rPr>
          <w:szCs w:val="22"/>
        </w:rPr>
        <w:t xml:space="preserve">The committee further noted that the mean difference (45.7 metres) </w:t>
      </w:r>
      <w:r w:rsidR="00457D4C">
        <w:rPr>
          <w:szCs w:val="22"/>
        </w:rPr>
        <w:t>is</w:t>
      </w:r>
      <w:r w:rsidRPr="00BF5569">
        <w:rPr>
          <w:szCs w:val="22"/>
        </w:rPr>
        <w:t xml:space="preserve"> within the Minimal </w:t>
      </w:r>
      <w:r w:rsidR="00D92C88">
        <w:rPr>
          <w:szCs w:val="22"/>
        </w:rPr>
        <w:t>Clinically Important Difference (MCID) of 35 – 50 metres</w:t>
      </w:r>
      <w:r w:rsidR="00A879AA">
        <w:rPr>
          <w:szCs w:val="22"/>
        </w:rPr>
        <w:t xml:space="preserve"> it had</w:t>
      </w:r>
      <w:r w:rsidR="00D92C88">
        <w:rPr>
          <w:szCs w:val="22"/>
        </w:rPr>
        <w:t xml:space="preserve"> previously accepted</w:t>
      </w:r>
      <w:r w:rsidR="00A879AA">
        <w:rPr>
          <w:szCs w:val="22"/>
        </w:rPr>
        <w:t>.</w:t>
      </w:r>
      <w:r w:rsidR="009C0393">
        <w:rPr>
          <w:szCs w:val="22"/>
        </w:rPr>
        <w:t xml:space="preserve"> </w:t>
      </w:r>
      <w:r w:rsidR="00D92C88" w:rsidRPr="00D92C88">
        <w:rPr>
          <w:szCs w:val="22"/>
        </w:rPr>
        <w:t>The submission uses the change in the 6MWD from baseline as a surrogate outcome to measure the exercise capacity and functionality in patients with CTEPH disease. In addition, the submission states that there is a strong relationship between the improvement in the 6MWD and survival gain.</w:t>
      </w:r>
      <w:r w:rsidR="00ED4991">
        <w:rPr>
          <w:szCs w:val="22"/>
        </w:rPr>
        <w:t xml:space="preserve"> The PBAC noted that the submission presented </w:t>
      </w:r>
      <w:r w:rsidR="00ED4991" w:rsidRPr="00ED4991">
        <w:rPr>
          <w:szCs w:val="22"/>
        </w:rPr>
        <w:t xml:space="preserve">a post-hoc analysis to explore the predictive nature of the 6MWD </w:t>
      </w:r>
      <w:r w:rsidR="00096195">
        <w:rPr>
          <w:szCs w:val="22"/>
        </w:rPr>
        <w:t xml:space="preserve">for overall survival </w:t>
      </w:r>
      <w:r w:rsidR="00ED4991" w:rsidRPr="00ED4991">
        <w:rPr>
          <w:szCs w:val="22"/>
        </w:rPr>
        <w:t>within the CHEST trials, the results indicated that for each additional</w:t>
      </w:r>
      <w:r w:rsidR="00ED4991">
        <w:rPr>
          <w:szCs w:val="22"/>
        </w:rPr>
        <w:t xml:space="preserve"> </w:t>
      </w:r>
      <w:r w:rsidR="00ED4991" w:rsidRPr="00ED4991">
        <w:rPr>
          <w:szCs w:val="22"/>
        </w:rPr>
        <w:t>change of 40m provided by riociguat, therapy, the risk of dying is decreased by 36.2% (95%CI 12.6, 53.5).</w:t>
      </w:r>
      <w:r w:rsidR="00ED4991">
        <w:rPr>
          <w:szCs w:val="22"/>
        </w:rPr>
        <w:t xml:space="preserve"> The pre-PBAC response stated that </w:t>
      </w:r>
      <w:r w:rsidR="00ED4991" w:rsidRPr="00ED4991">
        <w:rPr>
          <w:szCs w:val="22"/>
        </w:rPr>
        <w:t>the risk of dying is decreased by 47.0% (95%CI 24.9, 62.6) for every 40m gain from baseline while on riociguat therapy</w:t>
      </w:r>
      <w:r w:rsidR="00ED4991">
        <w:rPr>
          <w:szCs w:val="22"/>
        </w:rPr>
        <w:t xml:space="preserve"> when</w:t>
      </w:r>
      <w:r w:rsidR="00ED4991" w:rsidRPr="00ED4991">
        <w:rPr>
          <w:szCs w:val="22"/>
        </w:rPr>
        <w:t xml:space="preserve"> age, gender, height, weight</w:t>
      </w:r>
      <w:r w:rsidR="00ED4991">
        <w:rPr>
          <w:szCs w:val="22"/>
        </w:rPr>
        <w:t xml:space="preserve"> are included in the analysis. The PBAC considered that </w:t>
      </w:r>
      <w:r w:rsidR="00B5083A">
        <w:rPr>
          <w:szCs w:val="22"/>
        </w:rPr>
        <w:t xml:space="preserve">changes in the 6MWD </w:t>
      </w:r>
      <w:r w:rsidR="00A879AA">
        <w:rPr>
          <w:szCs w:val="22"/>
        </w:rPr>
        <w:t>are</w:t>
      </w:r>
      <w:r w:rsidR="00B5083A">
        <w:rPr>
          <w:szCs w:val="22"/>
        </w:rPr>
        <w:t xml:space="preserve"> likely to predict a survival gain, but </w:t>
      </w:r>
      <w:r w:rsidR="00A879AA">
        <w:rPr>
          <w:szCs w:val="22"/>
        </w:rPr>
        <w:t>was not confident in the</w:t>
      </w:r>
      <w:r w:rsidR="00B5083A">
        <w:rPr>
          <w:szCs w:val="22"/>
        </w:rPr>
        <w:t xml:space="preserve"> magnitude </w:t>
      </w:r>
      <w:r w:rsidR="00096195">
        <w:rPr>
          <w:szCs w:val="22"/>
        </w:rPr>
        <w:t xml:space="preserve">of the </w:t>
      </w:r>
      <w:r w:rsidR="00A879AA">
        <w:rPr>
          <w:szCs w:val="22"/>
        </w:rPr>
        <w:t xml:space="preserve">effect </w:t>
      </w:r>
      <w:r w:rsidR="00B5083A">
        <w:rPr>
          <w:szCs w:val="22"/>
        </w:rPr>
        <w:t>due to the post-hoc nature of the analysis</w:t>
      </w:r>
      <w:r w:rsidR="00A879AA">
        <w:rPr>
          <w:szCs w:val="22"/>
        </w:rPr>
        <w:t>.</w:t>
      </w:r>
      <w:r w:rsidR="00B5083A">
        <w:rPr>
          <w:szCs w:val="22"/>
        </w:rPr>
        <w:t xml:space="preserve"> </w:t>
      </w:r>
      <w:r w:rsidR="00A879AA">
        <w:rPr>
          <w:szCs w:val="22"/>
        </w:rPr>
        <w:t>The Committee also noted that the latest</w:t>
      </w:r>
      <w:r w:rsidR="00B5083A">
        <w:rPr>
          <w:szCs w:val="22"/>
        </w:rPr>
        <w:t xml:space="preserve"> analys</w:t>
      </w:r>
      <w:r w:rsidR="00A879AA">
        <w:rPr>
          <w:szCs w:val="22"/>
        </w:rPr>
        <w:t>e</w:t>
      </w:r>
      <w:r w:rsidR="00B5083A">
        <w:rPr>
          <w:szCs w:val="22"/>
        </w:rPr>
        <w:t>s provided by the sponsor ha</w:t>
      </w:r>
      <w:r w:rsidR="00A879AA">
        <w:rPr>
          <w:szCs w:val="22"/>
        </w:rPr>
        <w:t>d</w:t>
      </w:r>
      <w:r w:rsidR="00B5083A">
        <w:rPr>
          <w:szCs w:val="22"/>
        </w:rPr>
        <w:t xml:space="preserve"> not been verified. </w:t>
      </w:r>
      <w:r w:rsidR="00096195">
        <w:rPr>
          <w:szCs w:val="22"/>
        </w:rPr>
        <w:t>The PBAC noted that t</w:t>
      </w:r>
      <w:r w:rsidR="00096195" w:rsidRPr="00096195">
        <w:rPr>
          <w:szCs w:val="22"/>
        </w:rPr>
        <w:t>here is a lack of consensus on whether the 6MWD is an acceptable or valid surrogate for overall survival</w:t>
      </w:r>
      <w:r w:rsidR="00096195">
        <w:rPr>
          <w:szCs w:val="22"/>
        </w:rPr>
        <w:t xml:space="preserve"> (</w:t>
      </w:r>
      <w:proofErr w:type="spellStart"/>
      <w:r w:rsidR="00096195" w:rsidRPr="00485B90">
        <w:rPr>
          <w:noProof/>
          <w:sz w:val="20"/>
        </w:rPr>
        <w:t>Ventetuolo</w:t>
      </w:r>
      <w:proofErr w:type="spellEnd"/>
      <w:r w:rsidR="00096195">
        <w:rPr>
          <w:noProof/>
          <w:sz w:val="20"/>
        </w:rPr>
        <w:t xml:space="preserve"> et al, </w:t>
      </w:r>
      <w:r w:rsidR="00096195" w:rsidRPr="00485B90">
        <w:rPr>
          <w:noProof/>
          <w:sz w:val="20"/>
        </w:rPr>
        <w:t>Proceedings of the American Thoracic Society</w:t>
      </w:r>
      <w:r w:rsidR="00096195">
        <w:rPr>
          <w:noProof/>
          <w:sz w:val="20"/>
        </w:rPr>
        <w:t xml:space="preserve">, </w:t>
      </w:r>
      <w:r w:rsidR="00096195" w:rsidRPr="00485B90">
        <w:rPr>
          <w:noProof/>
          <w:sz w:val="20"/>
        </w:rPr>
        <w:t>2008 Jul 15;5(5):617-22</w:t>
      </w:r>
      <w:r w:rsidR="00096195">
        <w:rPr>
          <w:noProof/>
          <w:sz w:val="20"/>
        </w:rPr>
        <w:t xml:space="preserve">). </w:t>
      </w:r>
    </w:p>
    <w:p w:rsidR="00BF5569" w:rsidRPr="00BF5569" w:rsidRDefault="00BF5569" w:rsidP="00BF5569">
      <w:pPr>
        <w:pStyle w:val="ListParagraph"/>
        <w:rPr>
          <w:highlight w:val="yellow"/>
        </w:rPr>
      </w:pPr>
    </w:p>
    <w:p w:rsidR="001E5138" w:rsidRDefault="00457D4C" w:rsidP="00B025A4">
      <w:pPr>
        <w:pStyle w:val="ListParagraph"/>
        <w:widowControl/>
        <w:numPr>
          <w:ilvl w:val="1"/>
          <w:numId w:val="10"/>
        </w:numPr>
      </w:pPr>
      <w:r>
        <w:rPr>
          <w:szCs w:val="22"/>
        </w:rPr>
        <w:lastRenderedPageBreak/>
        <w:t xml:space="preserve">The PBAC recalled </w:t>
      </w:r>
      <w:r w:rsidR="00A61AE6">
        <w:rPr>
          <w:szCs w:val="22"/>
        </w:rPr>
        <w:t xml:space="preserve">in March 2014 </w:t>
      </w:r>
      <w:r>
        <w:rPr>
          <w:szCs w:val="22"/>
        </w:rPr>
        <w:t xml:space="preserve">that listing of riociguat was </w:t>
      </w:r>
      <w:r w:rsidRPr="00190D0C">
        <w:rPr>
          <w:szCs w:val="22"/>
        </w:rPr>
        <w:t xml:space="preserve">recommended for </w:t>
      </w:r>
      <w:r w:rsidR="00B025A4" w:rsidRPr="00190D0C">
        <w:rPr>
          <w:szCs w:val="22"/>
        </w:rPr>
        <w:t>the</w:t>
      </w:r>
      <w:r w:rsidR="00B025A4" w:rsidRPr="00B025A4">
        <w:rPr>
          <w:szCs w:val="22"/>
        </w:rPr>
        <w:t xml:space="preserve"> treatment of primary pulmonary hypertension, pulmonary arterial hypertension (PAH) secondary to connective tissue disease and PAH associated with congenital heart disease (CHD) in patients with WHO Functional Class III / IV severity</w:t>
      </w:r>
      <w:r w:rsidRPr="00190D0C">
        <w:rPr>
          <w:szCs w:val="22"/>
        </w:rPr>
        <w:t>.</w:t>
      </w:r>
      <w:r>
        <w:rPr>
          <w:szCs w:val="22"/>
        </w:rPr>
        <w:t xml:space="preserve"> </w:t>
      </w:r>
      <w:r w:rsidR="00052D12" w:rsidRPr="00052D12">
        <w:rPr>
          <w:szCs w:val="22"/>
        </w:rPr>
        <w:t>The PBAC did not accept the cla</w:t>
      </w:r>
      <w:r w:rsidR="00052D12">
        <w:rPr>
          <w:szCs w:val="22"/>
        </w:rPr>
        <w:t xml:space="preserve">im that </w:t>
      </w:r>
      <w:r w:rsidR="00A61AE6">
        <w:rPr>
          <w:szCs w:val="22"/>
        </w:rPr>
        <w:t>t</w:t>
      </w:r>
      <w:r w:rsidR="00A61AE6" w:rsidRPr="00A61AE6">
        <w:rPr>
          <w:szCs w:val="22"/>
        </w:rPr>
        <w:t xml:space="preserve">he comparative effectiveness and safety for riociguat in the </w:t>
      </w:r>
      <w:r w:rsidR="00A879AA">
        <w:rPr>
          <w:szCs w:val="22"/>
        </w:rPr>
        <w:t xml:space="preserve">previously </w:t>
      </w:r>
      <w:r w:rsidR="00A61AE6" w:rsidRPr="00A61AE6">
        <w:rPr>
          <w:szCs w:val="22"/>
        </w:rPr>
        <w:t>recommended PAH population is equivalent to the effectiveness and safety for riociguat in the proposed CTEPH population</w:t>
      </w:r>
      <w:r w:rsidR="00A61AE6">
        <w:rPr>
          <w:szCs w:val="22"/>
        </w:rPr>
        <w:t xml:space="preserve">. </w:t>
      </w:r>
      <w:r w:rsidR="00A61AE6" w:rsidRPr="00A61AE6">
        <w:rPr>
          <w:szCs w:val="22"/>
        </w:rPr>
        <w:t>T</w:t>
      </w:r>
      <w:r w:rsidR="00A61AE6">
        <w:rPr>
          <w:szCs w:val="22"/>
        </w:rPr>
        <w:t>he PBAC considered that t</w:t>
      </w:r>
      <w:r w:rsidR="00A61AE6" w:rsidRPr="00A61AE6">
        <w:rPr>
          <w:szCs w:val="22"/>
        </w:rPr>
        <w:t xml:space="preserve">he same functional improvement in 6MWD from baseline in the PAH and CTEPH populations </w:t>
      </w:r>
      <w:r w:rsidR="00A61AE6">
        <w:rPr>
          <w:szCs w:val="22"/>
        </w:rPr>
        <w:t>cannot be assumed to have the same</w:t>
      </w:r>
      <w:r w:rsidR="00A61AE6" w:rsidRPr="00A61AE6">
        <w:rPr>
          <w:szCs w:val="22"/>
        </w:rPr>
        <w:t xml:space="preserve"> clinical implications in terms of functional class changes and overall survival because the diseases and </w:t>
      </w:r>
      <w:r w:rsidR="00F60F63">
        <w:rPr>
          <w:szCs w:val="22"/>
        </w:rPr>
        <w:t xml:space="preserve">trial </w:t>
      </w:r>
      <w:r w:rsidR="00A61AE6" w:rsidRPr="00A61AE6">
        <w:rPr>
          <w:szCs w:val="22"/>
        </w:rPr>
        <w:t xml:space="preserve">population characteristics are </w:t>
      </w:r>
      <w:r w:rsidR="00A61AE6">
        <w:rPr>
          <w:szCs w:val="22"/>
        </w:rPr>
        <w:t xml:space="preserve">different. </w:t>
      </w:r>
      <w:r w:rsidR="00F60F63">
        <w:rPr>
          <w:szCs w:val="22"/>
        </w:rPr>
        <w:t xml:space="preserve">Patients with </w:t>
      </w:r>
      <w:r w:rsidR="00096195" w:rsidRPr="00493806">
        <w:t xml:space="preserve">inoperable or persistent/recurrent </w:t>
      </w:r>
      <w:r w:rsidR="00096195">
        <w:t>CTEPH</w:t>
      </w:r>
      <w:r w:rsidR="00096195" w:rsidRPr="00493806">
        <w:t xml:space="preserve"> </w:t>
      </w:r>
      <w:r w:rsidR="00096195">
        <w:t xml:space="preserve">after a </w:t>
      </w:r>
      <w:r w:rsidR="00096195" w:rsidRPr="00493806">
        <w:t>pulmonary endarterectomy</w:t>
      </w:r>
      <w:r w:rsidR="00096195">
        <w:rPr>
          <w:szCs w:val="22"/>
        </w:rPr>
        <w:t xml:space="preserve"> </w:t>
      </w:r>
      <w:r w:rsidR="00F60F63">
        <w:rPr>
          <w:szCs w:val="22"/>
        </w:rPr>
        <w:t>are</w:t>
      </w:r>
      <w:r w:rsidR="00A61AE6">
        <w:rPr>
          <w:szCs w:val="22"/>
        </w:rPr>
        <w:t xml:space="preserve"> likely</w:t>
      </w:r>
      <w:r w:rsidR="00F60F63">
        <w:rPr>
          <w:szCs w:val="22"/>
        </w:rPr>
        <w:t xml:space="preserve"> to be</w:t>
      </w:r>
      <w:r w:rsidR="00A61AE6">
        <w:rPr>
          <w:szCs w:val="22"/>
        </w:rPr>
        <w:t xml:space="preserve"> </w:t>
      </w:r>
      <w:r w:rsidR="00096195">
        <w:rPr>
          <w:szCs w:val="22"/>
        </w:rPr>
        <w:t xml:space="preserve">a </w:t>
      </w:r>
      <w:r w:rsidR="00A61AE6">
        <w:rPr>
          <w:szCs w:val="22"/>
        </w:rPr>
        <w:t>more severe group</w:t>
      </w:r>
      <w:r w:rsidR="00096195">
        <w:rPr>
          <w:szCs w:val="22"/>
        </w:rPr>
        <w:t xml:space="preserve"> </w:t>
      </w:r>
      <w:r w:rsidR="00A61AE6">
        <w:rPr>
          <w:szCs w:val="22"/>
        </w:rPr>
        <w:t xml:space="preserve">and it is unlikely </w:t>
      </w:r>
      <w:r w:rsidR="00F60F63">
        <w:rPr>
          <w:szCs w:val="22"/>
        </w:rPr>
        <w:t xml:space="preserve">that </w:t>
      </w:r>
      <w:r w:rsidR="00A879AA">
        <w:rPr>
          <w:szCs w:val="22"/>
        </w:rPr>
        <w:t xml:space="preserve">the </w:t>
      </w:r>
      <w:r w:rsidR="00A61AE6">
        <w:rPr>
          <w:szCs w:val="22"/>
        </w:rPr>
        <w:t xml:space="preserve">relative risk reduction </w:t>
      </w:r>
      <w:r w:rsidR="00F60F63">
        <w:rPr>
          <w:szCs w:val="22"/>
        </w:rPr>
        <w:t xml:space="preserve">remains constant across both populations. </w:t>
      </w:r>
    </w:p>
    <w:p w:rsidR="004F6FF3" w:rsidRDefault="004F6FF3" w:rsidP="004F6FF3">
      <w:pPr>
        <w:pStyle w:val="ListParagraph"/>
      </w:pPr>
    </w:p>
    <w:p w:rsidR="00052D12" w:rsidRPr="00ED4991" w:rsidRDefault="004F6FF3" w:rsidP="001F104B">
      <w:pPr>
        <w:pStyle w:val="ListParagraph"/>
        <w:widowControl/>
        <w:numPr>
          <w:ilvl w:val="1"/>
          <w:numId w:val="10"/>
        </w:numPr>
        <w:rPr>
          <w:szCs w:val="22"/>
        </w:rPr>
      </w:pPr>
      <w:r w:rsidRPr="00BF5569">
        <w:t xml:space="preserve">The PBAC </w:t>
      </w:r>
      <w:r w:rsidR="00F60F63">
        <w:t xml:space="preserve">reiterated that </w:t>
      </w:r>
      <w:r w:rsidR="00A879AA">
        <w:t xml:space="preserve">an </w:t>
      </w:r>
      <w:r w:rsidR="00F60F63">
        <w:t xml:space="preserve">economic evaluation against the appropriate comparator was the most appropriate option for determining cost-effectiveness of a medicine for listing on the PBS.  </w:t>
      </w:r>
      <w:r w:rsidR="001F104B">
        <w:t xml:space="preserve">At this time, the value for money of </w:t>
      </w:r>
      <w:r w:rsidR="00052D12">
        <w:t>riociguat treatment of patients with CTEPH, relative to placebo, is unknown.</w:t>
      </w:r>
    </w:p>
    <w:p w:rsidR="0026175F" w:rsidRDefault="0026175F" w:rsidP="0026175F">
      <w:pPr>
        <w:pStyle w:val="CommentText"/>
      </w:pPr>
    </w:p>
    <w:p w:rsidR="0026175F" w:rsidRDefault="00FA79CD" w:rsidP="00052D12">
      <w:pPr>
        <w:pStyle w:val="ListParagraph"/>
        <w:widowControl/>
        <w:numPr>
          <w:ilvl w:val="1"/>
          <w:numId w:val="10"/>
        </w:numPr>
      </w:pPr>
      <w:r>
        <w:t xml:space="preserve">The PBAC noted </w:t>
      </w:r>
      <w:r w:rsidR="00BB5897">
        <w:t xml:space="preserve">that </w:t>
      </w:r>
      <w:r w:rsidR="00457D4C">
        <w:t xml:space="preserve">the cost-effectiveness of riociguat </w:t>
      </w:r>
      <w:r w:rsidR="00457D4C" w:rsidRPr="004B3DDB">
        <w:t xml:space="preserve">for </w:t>
      </w:r>
      <w:r w:rsidR="00457D4C">
        <w:t xml:space="preserve">the </w:t>
      </w:r>
      <w:r w:rsidR="00457D4C" w:rsidRPr="004B3DDB">
        <w:t xml:space="preserve">treatment of </w:t>
      </w:r>
      <w:r w:rsidR="00457D4C" w:rsidRPr="00493806">
        <w:t xml:space="preserve">inoperable or persistent/recurrent </w:t>
      </w:r>
      <w:r w:rsidR="00457D4C">
        <w:t>CTEPH</w:t>
      </w:r>
      <w:r w:rsidR="00457D4C" w:rsidRPr="00493806">
        <w:t xml:space="preserve"> </w:t>
      </w:r>
      <w:r w:rsidR="00457D4C">
        <w:t xml:space="preserve">after a </w:t>
      </w:r>
      <w:r w:rsidR="00457D4C" w:rsidRPr="00493806">
        <w:t>pulmonary endarterectomy</w:t>
      </w:r>
      <w:r w:rsidR="00457D4C">
        <w:t xml:space="preserve"> should be established in a major submission.</w:t>
      </w:r>
    </w:p>
    <w:p w:rsidR="00FA79CD" w:rsidRPr="00791116" w:rsidRDefault="00FA79CD" w:rsidP="0026175F">
      <w:pPr>
        <w:pStyle w:val="PBACHeading1"/>
        <w:numPr>
          <w:ilvl w:val="0"/>
          <w:numId w:val="0"/>
        </w:numPr>
        <w:ind w:left="720" w:hanging="720"/>
        <w:rPr>
          <w:highlight w:val="yellow"/>
          <w:lang w:val="en-GB"/>
        </w:rPr>
      </w:pPr>
    </w:p>
    <w:p w:rsidR="00BA0725" w:rsidRDefault="00791116" w:rsidP="00791116">
      <w:pPr>
        <w:pStyle w:val="ListParagraph"/>
        <w:widowControl/>
        <w:numPr>
          <w:ilvl w:val="1"/>
          <w:numId w:val="10"/>
        </w:numPr>
        <w:rPr>
          <w:i/>
          <w:szCs w:val="22"/>
        </w:rPr>
      </w:pPr>
      <w:r w:rsidRPr="00791116">
        <w:rPr>
          <w:szCs w:val="22"/>
        </w:rPr>
        <w:t>The PBAC noted that t</w:t>
      </w:r>
      <w:r w:rsidR="001E5138" w:rsidRPr="00791116">
        <w:rPr>
          <w:szCs w:val="22"/>
        </w:rPr>
        <w:t xml:space="preserve">his submission </w:t>
      </w:r>
      <w:r w:rsidR="007B534C">
        <w:rPr>
          <w:szCs w:val="22"/>
        </w:rPr>
        <w:t>is eligible</w:t>
      </w:r>
      <w:r w:rsidRPr="00791116">
        <w:rPr>
          <w:szCs w:val="22"/>
        </w:rPr>
        <w:t xml:space="preserve"> for an Independent Review.</w:t>
      </w:r>
    </w:p>
    <w:p w:rsidR="00CF7DFA" w:rsidRPr="00F449D3" w:rsidRDefault="00CF7DFA" w:rsidP="00CF7DFA">
      <w:pPr>
        <w:pStyle w:val="PBACHeading1"/>
        <w:numPr>
          <w:ilvl w:val="0"/>
          <w:numId w:val="0"/>
        </w:numPr>
        <w:rPr>
          <w:highlight w:val="yellow"/>
          <w:lang w:val="en-GB"/>
        </w:rPr>
      </w:pPr>
    </w:p>
    <w:p w:rsidR="00CF7DFA" w:rsidRPr="00F449D3" w:rsidRDefault="00CF7DFA" w:rsidP="00CF7DFA">
      <w:pPr>
        <w:widowControl/>
        <w:rPr>
          <w:b/>
          <w:bCs/>
          <w:szCs w:val="22"/>
          <w:highlight w:val="yellow"/>
          <w:lang w:val="en-GB"/>
        </w:rPr>
      </w:pPr>
    </w:p>
    <w:p w:rsidR="00CF7DFA" w:rsidRPr="00CE3D3A" w:rsidRDefault="00CF7DFA" w:rsidP="00CF7DFA">
      <w:pPr>
        <w:widowControl/>
        <w:rPr>
          <w:b/>
          <w:bCs/>
          <w:szCs w:val="22"/>
          <w:lang w:val="en-GB"/>
        </w:rPr>
      </w:pPr>
      <w:r w:rsidRPr="00CE3D3A">
        <w:rPr>
          <w:b/>
          <w:bCs/>
          <w:szCs w:val="22"/>
          <w:lang w:val="en-GB"/>
        </w:rPr>
        <w:t>Outcome:</w:t>
      </w:r>
    </w:p>
    <w:p w:rsidR="00CF7DFA" w:rsidRPr="00CE3D3A" w:rsidRDefault="00CF7DFA" w:rsidP="00CF7DFA">
      <w:pPr>
        <w:widowControl/>
        <w:rPr>
          <w:bCs/>
          <w:szCs w:val="22"/>
          <w:lang w:val="en-GB"/>
        </w:rPr>
      </w:pPr>
      <w:r w:rsidRPr="00CE3D3A">
        <w:rPr>
          <w:bCs/>
          <w:szCs w:val="22"/>
          <w:lang w:val="en-GB"/>
        </w:rPr>
        <w:t>Rejected</w:t>
      </w:r>
    </w:p>
    <w:p w:rsidR="00CF7DFA" w:rsidRDefault="00CF7DFA" w:rsidP="00CF7DFA">
      <w:pPr>
        <w:pStyle w:val="Header"/>
        <w:widowControl/>
        <w:tabs>
          <w:tab w:val="clear" w:pos="4513"/>
          <w:tab w:val="clear" w:pos="9026"/>
        </w:tabs>
        <w:rPr>
          <w:bCs/>
          <w:szCs w:val="22"/>
          <w:highlight w:val="yellow"/>
          <w:lang w:val="en-GB"/>
        </w:rPr>
      </w:pPr>
    </w:p>
    <w:p w:rsidR="00D41AE9" w:rsidRDefault="00D41AE9" w:rsidP="00CF7DFA">
      <w:pPr>
        <w:pStyle w:val="Header"/>
        <w:widowControl/>
        <w:tabs>
          <w:tab w:val="clear" w:pos="4513"/>
          <w:tab w:val="clear" w:pos="9026"/>
        </w:tabs>
        <w:rPr>
          <w:bCs/>
          <w:szCs w:val="22"/>
          <w:highlight w:val="yellow"/>
          <w:lang w:val="en-GB"/>
        </w:rPr>
      </w:pPr>
    </w:p>
    <w:p w:rsidR="00BA2427" w:rsidRDefault="00BA2427" w:rsidP="00BA2427">
      <w:pPr>
        <w:pStyle w:val="ListParagraph"/>
        <w:widowControl/>
        <w:numPr>
          <w:ilvl w:val="0"/>
          <w:numId w:val="10"/>
        </w:numPr>
        <w:rPr>
          <w:b/>
        </w:rPr>
      </w:pPr>
      <w:r w:rsidRPr="00D4420F">
        <w:rPr>
          <w:b/>
        </w:rPr>
        <w:t>Context for Decision</w:t>
      </w:r>
    </w:p>
    <w:p w:rsidR="00BA2427" w:rsidRPr="00D4420F" w:rsidRDefault="00BA2427" w:rsidP="00BA2427">
      <w:pPr>
        <w:pStyle w:val="ListParagraph"/>
        <w:rPr>
          <w:b/>
        </w:rPr>
      </w:pPr>
    </w:p>
    <w:p w:rsidR="00BA2427" w:rsidRPr="00D4420F" w:rsidRDefault="00BA2427" w:rsidP="00BA2427">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A2427" w:rsidRDefault="00BA2427" w:rsidP="00BA2427"/>
    <w:p w:rsidR="00D41AE9" w:rsidRPr="00D4420F" w:rsidRDefault="00D41AE9" w:rsidP="00BA2427"/>
    <w:p w:rsidR="00BA2427" w:rsidRDefault="00BA2427" w:rsidP="00BA2427">
      <w:pPr>
        <w:pStyle w:val="ListParagraph"/>
        <w:widowControl/>
        <w:numPr>
          <w:ilvl w:val="0"/>
          <w:numId w:val="10"/>
        </w:numPr>
        <w:rPr>
          <w:b/>
        </w:rPr>
      </w:pPr>
      <w:r w:rsidRPr="00D4420F">
        <w:rPr>
          <w:b/>
        </w:rPr>
        <w:t>Sponsor’s Comment</w:t>
      </w:r>
    </w:p>
    <w:bookmarkEnd w:id="1"/>
    <w:bookmarkEnd w:id="2"/>
    <w:bookmarkEnd w:id="3"/>
    <w:bookmarkEnd w:id="4"/>
    <w:bookmarkEnd w:id="5"/>
    <w:p w:rsidR="00BA2427" w:rsidRPr="00BB0BE4" w:rsidRDefault="00BA2427" w:rsidP="00CF7DFA">
      <w:pPr>
        <w:pStyle w:val="Header"/>
        <w:widowControl/>
        <w:tabs>
          <w:tab w:val="clear" w:pos="4513"/>
          <w:tab w:val="clear" w:pos="9026"/>
        </w:tabs>
        <w:rPr>
          <w:bCs/>
          <w:szCs w:val="22"/>
          <w:lang w:val="en-GB"/>
        </w:rPr>
      </w:pPr>
    </w:p>
    <w:p w:rsidR="00BB0BE4" w:rsidRPr="00BB0BE4" w:rsidRDefault="00BB0BE4" w:rsidP="00BB0BE4">
      <w:pPr>
        <w:pStyle w:val="Header"/>
        <w:widowControl/>
        <w:tabs>
          <w:tab w:val="clear" w:pos="4513"/>
          <w:tab w:val="clear" w:pos="9026"/>
        </w:tabs>
        <w:ind w:left="720"/>
        <w:rPr>
          <w:bCs/>
          <w:szCs w:val="22"/>
          <w:lang w:val="en-GB"/>
        </w:rPr>
      </w:pPr>
      <w:r w:rsidRPr="00BB0BE4">
        <w:rPr>
          <w:bCs/>
          <w:szCs w:val="22"/>
          <w:lang w:val="en-GB"/>
        </w:rPr>
        <w:t xml:space="preserve">Bayer is disappointed with the rejection, however is strongly committed to working with the PBAC and the Department of Health, in order to bring access to Australian patients who are suffering from this life threatening disease. </w:t>
      </w:r>
    </w:p>
    <w:p w:rsidR="00BB0BE4" w:rsidRPr="00BB0BE4" w:rsidRDefault="00BB0BE4" w:rsidP="00CF7DFA">
      <w:pPr>
        <w:pStyle w:val="Header"/>
        <w:widowControl/>
        <w:tabs>
          <w:tab w:val="clear" w:pos="4513"/>
          <w:tab w:val="clear" w:pos="9026"/>
        </w:tabs>
        <w:rPr>
          <w:bCs/>
          <w:szCs w:val="22"/>
          <w:lang w:val="en-GB"/>
        </w:rPr>
      </w:pPr>
    </w:p>
    <w:sectPr w:rsidR="00BB0BE4" w:rsidRPr="00BB0BE4" w:rsidSect="006F15D9">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C3657B" w15:done="0"/>
  <w15:commentEx w15:paraId="4E0C3DC4" w15:done="0"/>
  <w15:commentEx w15:paraId="74C828BF" w15:done="0"/>
  <w15:commentEx w15:paraId="72CF861B" w15:done="0"/>
  <w15:commentEx w15:paraId="29EFEA69" w15:done="0"/>
  <w15:commentEx w15:paraId="1E589F30" w15:done="0"/>
  <w15:commentEx w15:paraId="53890A9A" w15:paraIdParent="1E589F30" w15:done="0"/>
  <w15:commentEx w15:paraId="43D7FBF0" w15:done="0"/>
  <w15:commentEx w15:paraId="3FB95EFC" w15:done="0"/>
  <w15:commentEx w15:paraId="576F55E2" w15:done="0"/>
  <w15:commentEx w15:paraId="5D602D49" w15:done="0"/>
  <w15:commentEx w15:paraId="614CB958" w15:done="0"/>
  <w15:commentEx w15:paraId="31E83D59" w15:done="0"/>
  <w15:commentEx w15:paraId="1AC26184" w15:done="0"/>
  <w15:commentEx w15:paraId="6E90598F" w15:done="0"/>
  <w15:commentEx w15:paraId="0C846F0B" w15:done="0"/>
  <w15:commentEx w15:paraId="40A8A159" w15:done="0"/>
  <w15:commentEx w15:paraId="2042AE72" w15:done="0"/>
  <w15:commentEx w15:paraId="392B2075" w15:done="0"/>
  <w15:commentEx w15:paraId="169EB0E5" w15:done="0"/>
  <w15:commentEx w15:paraId="30E371B6" w15:done="0"/>
  <w15:commentEx w15:paraId="3A282ECA" w15:done="0"/>
  <w15:commentEx w15:paraId="5A105300" w15:done="0"/>
  <w15:commentEx w15:paraId="3F138233" w15:done="0"/>
  <w15:commentEx w15:paraId="7633A341" w15:done="0"/>
  <w15:commentEx w15:paraId="360ADD84" w15:done="0"/>
  <w15:commentEx w15:paraId="59E0CFD1" w15:done="0"/>
  <w15:commentEx w15:paraId="20916DFA" w15:done="0"/>
  <w15:commentEx w15:paraId="0634DCA0" w15:done="0"/>
  <w15:commentEx w15:paraId="7E787018" w15:done="0"/>
  <w15:commentEx w15:paraId="77664447" w15:done="0"/>
  <w15:commentEx w15:paraId="29563D8C" w15:done="0"/>
  <w15:commentEx w15:paraId="6C83F11C" w15:done="0"/>
  <w15:commentEx w15:paraId="2EB270BA" w15:done="0"/>
  <w15:commentEx w15:paraId="69CD915C" w15:done="0"/>
  <w15:commentEx w15:paraId="4A371C87" w15:done="0"/>
  <w15:commentEx w15:paraId="52A9E373" w15:done="0"/>
  <w15:commentEx w15:paraId="14BEF7B7" w15:done="0"/>
  <w15:commentEx w15:paraId="029D3644" w15:done="0"/>
  <w15:commentEx w15:paraId="64377A16" w15:done="0"/>
  <w15:commentEx w15:paraId="679E9C3E" w15:done="0"/>
  <w15:commentEx w15:paraId="71679DEB" w15:done="0"/>
  <w15:commentEx w15:paraId="056AE88A" w15:done="0"/>
  <w15:commentEx w15:paraId="50D1894F" w15:done="0"/>
  <w15:commentEx w15:paraId="09EA6ABC" w15:done="0"/>
  <w15:commentEx w15:paraId="7B6151BB" w15:done="0"/>
  <w15:commentEx w15:paraId="2D65E548" w15:done="0"/>
  <w15:commentEx w15:paraId="426BAA02" w15:done="0"/>
  <w15:commentEx w15:paraId="3765DA41" w15:done="0"/>
  <w15:commentEx w15:paraId="5972CD0C" w15:done="0"/>
  <w15:commentEx w15:paraId="58DEFBFD" w15:done="0"/>
  <w15:commentEx w15:paraId="254B53FC" w15:done="0"/>
  <w15:commentEx w15:paraId="5829CC48" w15:done="0"/>
  <w15:commentEx w15:paraId="4C50FDCE" w15:done="0"/>
  <w15:commentEx w15:paraId="0F8007EB" w15:done="0"/>
  <w15:commentEx w15:paraId="6419F50E" w15:done="0"/>
  <w15:commentEx w15:paraId="1EAB5001" w15:done="0"/>
  <w15:commentEx w15:paraId="423AF040" w15:done="0"/>
  <w15:commentEx w15:paraId="61778EDF" w15:done="0"/>
  <w15:commentEx w15:paraId="2479BED2" w15:done="0"/>
  <w15:commentEx w15:paraId="145841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B2D" w:rsidRDefault="001C3B2D" w:rsidP="00124A51">
      <w:r>
        <w:separator/>
      </w:r>
    </w:p>
    <w:p w:rsidR="001C3B2D" w:rsidRDefault="001C3B2D"/>
  </w:endnote>
  <w:endnote w:type="continuationSeparator" w:id="0">
    <w:p w:rsidR="001C3B2D" w:rsidRDefault="001C3B2D" w:rsidP="00124A51">
      <w:r>
        <w:continuationSeparator/>
      </w:r>
    </w:p>
    <w:p w:rsidR="001C3B2D" w:rsidRDefault="001C3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474ABF" w:rsidRPr="00541A0D" w:rsidRDefault="00474ABF" w:rsidP="002557B1">
        <w:pPr>
          <w:pStyle w:val="Footer"/>
          <w:ind w:left="360"/>
          <w:jc w:val="center"/>
          <w:rPr>
            <w:sz w:val="20"/>
          </w:rPr>
        </w:pPr>
      </w:p>
      <w:p w:rsidR="00474ABF" w:rsidRPr="00651169" w:rsidRDefault="00474ABF" w:rsidP="002557B1">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014725">
          <w:rPr>
            <w:noProof/>
            <w:sz w:val="20"/>
          </w:rPr>
          <w:t>9</w:t>
        </w:r>
        <w:r w:rsidRPr="00651169">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B2D" w:rsidRDefault="001C3B2D" w:rsidP="00124A51">
      <w:r>
        <w:separator/>
      </w:r>
    </w:p>
    <w:p w:rsidR="001C3B2D" w:rsidRDefault="001C3B2D"/>
  </w:footnote>
  <w:footnote w:type="continuationSeparator" w:id="0">
    <w:p w:rsidR="001C3B2D" w:rsidRDefault="001C3B2D" w:rsidP="00124A51">
      <w:r>
        <w:continuationSeparator/>
      </w:r>
    </w:p>
    <w:p w:rsidR="001C3B2D" w:rsidRDefault="001C3B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ABF" w:rsidRDefault="00474ABF" w:rsidP="002557B1">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474ABF" w:rsidRPr="00DF217D" w:rsidRDefault="00474ABF" w:rsidP="002557B1">
    <w:pPr>
      <w:pStyle w:val="Header"/>
      <w:ind w:left="360"/>
      <w:jc w:val="center"/>
      <w:rPr>
        <w: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23F2A"/>
    <w:multiLevelType w:val="hybridMultilevel"/>
    <w:tmpl w:val="BA76B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3B5F80"/>
    <w:multiLevelType w:val="hybridMultilevel"/>
    <w:tmpl w:val="CF744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4E0F57"/>
    <w:multiLevelType w:val="hybridMultilevel"/>
    <w:tmpl w:val="788042A8"/>
    <w:lvl w:ilvl="0" w:tplc="785C05E4">
      <w:start w:val="1"/>
      <w:numFmt w:val="bullet"/>
      <w:lvlText w:val="-"/>
      <w:lvlJc w:val="left"/>
      <w:pPr>
        <w:ind w:left="360" w:hanging="360"/>
      </w:pPr>
      <w:rPr>
        <w:rFonts w:ascii="Courier New" w:hAnsi="Courier New"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205358F3"/>
    <w:multiLevelType w:val="hybridMultilevel"/>
    <w:tmpl w:val="3856C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7">
    <w:nsid w:val="2806322B"/>
    <w:multiLevelType w:val="hybridMultilevel"/>
    <w:tmpl w:val="079C40C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9">
    <w:nsid w:val="30F43FF3"/>
    <w:multiLevelType w:val="hybridMultilevel"/>
    <w:tmpl w:val="132AB382"/>
    <w:lvl w:ilvl="0" w:tplc="08E0DBBA">
      <w:start w:val="1"/>
      <w:numFmt w:val="bullet"/>
      <w:lvlText w:val=""/>
      <w:lvlJc w:val="left"/>
      <w:pPr>
        <w:ind w:left="1070" w:hanging="360"/>
      </w:pPr>
      <w:rPr>
        <w:rFonts w:ascii="Symbol" w:hAnsi="Symbol" w:hint="default"/>
        <w:sz w:val="22"/>
        <w:szCs w:val="22"/>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0">
    <w:nsid w:val="3305734D"/>
    <w:multiLevelType w:val="hybridMultilevel"/>
    <w:tmpl w:val="4E7694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5426762"/>
    <w:multiLevelType w:val="hybridMultilevel"/>
    <w:tmpl w:val="B81A5218"/>
    <w:lvl w:ilvl="0" w:tplc="785C05E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6581735"/>
    <w:multiLevelType w:val="hybridMultilevel"/>
    <w:tmpl w:val="EC66C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7F15CE2"/>
    <w:multiLevelType w:val="multilevel"/>
    <w:tmpl w:val="5ED6B10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B7C34E2"/>
    <w:multiLevelType w:val="hybridMultilevel"/>
    <w:tmpl w:val="F14EE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663C5B"/>
    <w:multiLevelType w:val="hybridMultilevel"/>
    <w:tmpl w:val="EA14C42A"/>
    <w:lvl w:ilvl="0" w:tplc="FD00AAB8">
      <w:start w:val="1"/>
      <w:numFmt w:val="decimal"/>
      <w:lvlText w:val="%1)"/>
      <w:lvlJc w:val="left"/>
      <w:pPr>
        <w:ind w:left="495" w:hanging="360"/>
      </w:pPr>
      <w:rPr>
        <w:rFonts w:hint="default"/>
      </w:rPr>
    </w:lvl>
    <w:lvl w:ilvl="1" w:tplc="0C090019" w:tentative="1">
      <w:start w:val="1"/>
      <w:numFmt w:val="lowerLetter"/>
      <w:lvlText w:val="%2."/>
      <w:lvlJc w:val="left"/>
      <w:pPr>
        <w:ind w:left="1215" w:hanging="360"/>
      </w:pPr>
    </w:lvl>
    <w:lvl w:ilvl="2" w:tplc="0C09001B" w:tentative="1">
      <w:start w:val="1"/>
      <w:numFmt w:val="lowerRoman"/>
      <w:lvlText w:val="%3."/>
      <w:lvlJc w:val="right"/>
      <w:pPr>
        <w:ind w:left="1935" w:hanging="180"/>
      </w:pPr>
    </w:lvl>
    <w:lvl w:ilvl="3" w:tplc="0C09000F" w:tentative="1">
      <w:start w:val="1"/>
      <w:numFmt w:val="decimal"/>
      <w:lvlText w:val="%4."/>
      <w:lvlJc w:val="left"/>
      <w:pPr>
        <w:ind w:left="2655" w:hanging="360"/>
      </w:pPr>
    </w:lvl>
    <w:lvl w:ilvl="4" w:tplc="0C090019" w:tentative="1">
      <w:start w:val="1"/>
      <w:numFmt w:val="lowerLetter"/>
      <w:lvlText w:val="%5."/>
      <w:lvlJc w:val="left"/>
      <w:pPr>
        <w:ind w:left="3375" w:hanging="360"/>
      </w:pPr>
    </w:lvl>
    <w:lvl w:ilvl="5" w:tplc="0C09001B" w:tentative="1">
      <w:start w:val="1"/>
      <w:numFmt w:val="lowerRoman"/>
      <w:lvlText w:val="%6."/>
      <w:lvlJc w:val="right"/>
      <w:pPr>
        <w:ind w:left="4095" w:hanging="180"/>
      </w:pPr>
    </w:lvl>
    <w:lvl w:ilvl="6" w:tplc="0C09000F" w:tentative="1">
      <w:start w:val="1"/>
      <w:numFmt w:val="decimal"/>
      <w:lvlText w:val="%7."/>
      <w:lvlJc w:val="left"/>
      <w:pPr>
        <w:ind w:left="4815" w:hanging="360"/>
      </w:pPr>
    </w:lvl>
    <w:lvl w:ilvl="7" w:tplc="0C090019" w:tentative="1">
      <w:start w:val="1"/>
      <w:numFmt w:val="lowerLetter"/>
      <w:lvlText w:val="%8."/>
      <w:lvlJc w:val="left"/>
      <w:pPr>
        <w:ind w:left="5535" w:hanging="360"/>
      </w:pPr>
    </w:lvl>
    <w:lvl w:ilvl="8" w:tplc="0C09001B" w:tentative="1">
      <w:start w:val="1"/>
      <w:numFmt w:val="lowerRoman"/>
      <w:lvlText w:val="%9."/>
      <w:lvlJc w:val="right"/>
      <w:pPr>
        <w:ind w:left="6255" w:hanging="180"/>
      </w:p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414547E2"/>
    <w:multiLevelType w:val="hybridMultilevel"/>
    <w:tmpl w:val="F06AB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4B34CE6"/>
    <w:multiLevelType w:val="hybridMultilevel"/>
    <w:tmpl w:val="4F36644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nsid w:val="49B84FEE"/>
    <w:multiLevelType w:val="multilevel"/>
    <w:tmpl w:val="045822A4"/>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nsid w:val="4A9F708C"/>
    <w:multiLevelType w:val="hybridMultilevel"/>
    <w:tmpl w:val="EF648C98"/>
    <w:lvl w:ilvl="0" w:tplc="3A2645DA">
      <w:start w:val="1"/>
      <w:numFmt w:val="bullet"/>
      <w:lvlText w:val="•"/>
      <w:lvlJc w:val="left"/>
      <w:pPr>
        <w:tabs>
          <w:tab w:val="num" w:pos="720"/>
        </w:tabs>
        <w:ind w:left="720" w:hanging="360"/>
      </w:pPr>
      <w:rPr>
        <w:rFonts w:ascii="Arial" w:hAnsi="Arial" w:hint="default"/>
      </w:rPr>
    </w:lvl>
    <w:lvl w:ilvl="1" w:tplc="1266385A" w:tentative="1">
      <w:start w:val="1"/>
      <w:numFmt w:val="bullet"/>
      <w:lvlText w:val="•"/>
      <w:lvlJc w:val="left"/>
      <w:pPr>
        <w:tabs>
          <w:tab w:val="num" w:pos="1440"/>
        </w:tabs>
        <w:ind w:left="1440" w:hanging="360"/>
      </w:pPr>
      <w:rPr>
        <w:rFonts w:ascii="Arial" w:hAnsi="Arial" w:hint="default"/>
      </w:rPr>
    </w:lvl>
    <w:lvl w:ilvl="2" w:tplc="3F74A6A0" w:tentative="1">
      <w:start w:val="1"/>
      <w:numFmt w:val="bullet"/>
      <w:lvlText w:val="•"/>
      <w:lvlJc w:val="left"/>
      <w:pPr>
        <w:tabs>
          <w:tab w:val="num" w:pos="2160"/>
        </w:tabs>
        <w:ind w:left="2160" w:hanging="360"/>
      </w:pPr>
      <w:rPr>
        <w:rFonts w:ascii="Arial" w:hAnsi="Arial" w:hint="default"/>
      </w:rPr>
    </w:lvl>
    <w:lvl w:ilvl="3" w:tplc="EBCED942" w:tentative="1">
      <w:start w:val="1"/>
      <w:numFmt w:val="bullet"/>
      <w:lvlText w:val="•"/>
      <w:lvlJc w:val="left"/>
      <w:pPr>
        <w:tabs>
          <w:tab w:val="num" w:pos="2880"/>
        </w:tabs>
        <w:ind w:left="2880" w:hanging="360"/>
      </w:pPr>
      <w:rPr>
        <w:rFonts w:ascii="Arial" w:hAnsi="Arial" w:hint="default"/>
      </w:rPr>
    </w:lvl>
    <w:lvl w:ilvl="4" w:tplc="50C273FA" w:tentative="1">
      <w:start w:val="1"/>
      <w:numFmt w:val="bullet"/>
      <w:lvlText w:val="•"/>
      <w:lvlJc w:val="left"/>
      <w:pPr>
        <w:tabs>
          <w:tab w:val="num" w:pos="3600"/>
        </w:tabs>
        <w:ind w:left="3600" w:hanging="360"/>
      </w:pPr>
      <w:rPr>
        <w:rFonts w:ascii="Arial" w:hAnsi="Arial" w:hint="default"/>
      </w:rPr>
    </w:lvl>
    <w:lvl w:ilvl="5" w:tplc="DD9406A8" w:tentative="1">
      <w:start w:val="1"/>
      <w:numFmt w:val="bullet"/>
      <w:lvlText w:val="•"/>
      <w:lvlJc w:val="left"/>
      <w:pPr>
        <w:tabs>
          <w:tab w:val="num" w:pos="4320"/>
        </w:tabs>
        <w:ind w:left="4320" w:hanging="360"/>
      </w:pPr>
      <w:rPr>
        <w:rFonts w:ascii="Arial" w:hAnsi="Arial" w:hint="default"/>
      </w:rPr>
    </w:lvl>
    <w:lvl w:ilvl="6" w:tplc="D2E645DE" w:tentative="1">
      <w:start w:val="1"/>
      <w:numFmt w:val="bullet"/>
      <w:lvlText w:val="•"/>
      <w:lvlJc w:val="left"/>
      <w:pPr>
        <w:tabs>
          <w:tab w:val="num" w:pos="5040"/>
        </w:tabs>
        <w:ind w:left="5040" w:hanging="360"/>
      </w:pPr>
      <w:rPr>
        <w:rFonts w:ascii="Arial" w:hAnsi="Arial" w:hint="default"/>
      </w:rPr>
    </w:lvl>
    <w:lvl w:ilvl="7" w:tplc="BF84D222" w:tentative="1">
      <w:start w:val="1"/>
      <w:numFmt w:val="bullet"/>
      <w:lvlText w:val="•"/>
      <w:lvlJc w:val="left"/>
      <w:pPr>
        <w:tabs>
          <w:tab w:val="num" w:pos="5760"/>
        </w:tabs>
        <w:ind w:left="5760" w:hanging="360"/>
      </w:pPr>
      <w:rPr>
        <w:rFonts w:ascii="Arial" w:hAnsi="Arial" w:hint="default"/>
      </w:rPr>
    </w:lvl>
    <w:lvl w:ilvl="8" w:tplc="F84623D6" w:tentative="1">
      <w:start w:val="1"/>
      <w:numFmt w:val="bullet"/>
      <w:lvlText w:val="•"/>
      <w:lvlJc w:val="left"/>
      <w:pPr>
        <w:tabs>
          <w:tab w:val="num" w:pos="6480"/>
        </w:tabs>
        <w:ind w:left="6480" w:hanging="360"/>
      </w:pPr>
      <w:rPr>
        <w:rFonts w:ascii="Arial" w:hAnsi="Arial" w:hint="default"/>
      </w:rPr>
    </w:lvl>
  </w:abstractNum>
  <w:abstractNum w:abstractNumId="21">
    <w:nsid w:val="504B1F23"/>
    <w:multiLevelType w:val="hybridMultilevel"/>
    <w:tmpl w:val="8564DC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54CC52D1"/>
    <w:multiLevelType w:val="hybridMultilevel"/>
    <w:tmpl w:val="BBA64D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4E75E6B"/>
    <w:multiLevelType w:val="hybridMultilevel"/>
    <w:tmpl w:val="DBF03C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6095568"/>
    <w:multiLevelType w:val="hybridMultilevel"/>
    <w:tmpl w:val="67DE24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8947B74"/>
    <w:multiLevelType w:val="hybridMultilevel"/>
    <w:tmpl w:val="A89CF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5F325C"/>
    <w:multiLevelType w:val="hybridMultilevel"/>
    <w:tmpl w:val="3A2AE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67324837"/>
    <w:multiLevelType w:val="hybridMultilevel"/>
    <w:tmpl w:val="4D8E9FF8"/>
    <w:lvl w:ilvl="0" w:tplc="5DFE3FC6">
      <w:start w:val="1"/>
      <w:numFmt w:val="bullet"/>
      <w:lvlText w:val="•"/>
      <w:lvlJc w:val="left"/>
      <w:pPr>
        <w:tabs>
          <w:tab w:val="num" w:pos="720"/>
        </w:tabs>
        <w:ind w:left="720" w:hanging="360"/>
      </w:pPr>
      <w:rPr>
        <w:rFonts w:ascii="Times New Roman" w:hAnsi="Times New Roman" w:hint="default"/>
      </w:rPr>
    </w:lvl>
    <w:lvl w:ilvl="1" w:tplc="030A13D8" w:tentative="1">
      <w:start w:val="1"/>
      <w:numFmt w:val="bullet"/>
      <w:lvlText w:val="•"/>
      <w:lvlJc w:val="left"/>
      <w:pPr>
        <w:tabs>
          <w:tab w:val="num" w:pos="1440"/>
        </w:tabs>
        <w:ind w:left="1440" w:hanging="360"/>
      </w:pPr>
      <w:rPr>
        <w:rFonts w:ascii="Times New Roman" w:hAnsi="Times New Roman" w:hint="default"/>
      </w:rPr>
    </w:lvl>
    <w:lvl w:ilvl="2" w:tplc="AE743E28" w:tentative="1">
      <w:start w:val="1"/>
      <w:numFmt w:val="bullet"/>
      <w:lvlText w:val="•"/>
      <w:lvlJc w:val="left"/>
      <w:pPr>
        <w:tabs>
          <w:tab w:val="num" w:pos="2160"/>
        </w:tabs>
        <w:ind w:left="2160" w:hanging="360"/>
      </w:pPr>
      <w:rPr>
        <w:rFonts w:ascii="Times New Roman" w:hAnsi="Times New Roman" w:hint="default"/>
      </w:rPr>
    </w:lvl>
    <w:lvl w:ilvl="3" w:tplc="D61200CE" w:tentative="1">
      <w:start w:val="1"/>
      <w:numFmt w:val="bullet"/>
      <w:lvlText w:val="•"/>
      <w:lvlJc w:val="left"/>
      <w:pPr>
        <w:tabs>
          <w:tab w:val="num" w:pos="2880"/>
        </w:tabs>
        <w:ind w:left="2880" w:hanging="360"/>
      </w:pPr>
      <w:rPr>
        <w:rFonts w:ascii="Times New Roman" w:hAnsi="Times New Roman" w:hint="default"/>
      </w:rPr>
    </w:lvl>
    <w:lvl w:ilvl="4" w:tplc="4F8C10AA" w:tentative="1">
      <w:start w:val="1"/>
      <w:numFmt w:val="bullet"/>
      <w:lvlText w:val="•"/>
      <w:lvlJc w:val="left"/>
      <w:pPr>
        <w:tabs>
          <w:tab w:val="num" w:pos="3600"/>
        </w:tabs>
        <w:ind w:left="3600" w:hanging="360"/>
      </w:pPr>
      <w:rPr>
        <w:rFonts w:ascii="Times New Roman" w:hAnsi="Times New Roman" w:hint="default"/>
      </w:rPr>
    </w:lvl>
    <w:lvl w:ilvl="5" w:tplc="B4D0357C" w:tentative="1">
      <w:start w:val="1"/>
      <w:numFmt w:val="bullet"/>
      <w:lvlText w:val="•"/>
      <w:lvlJc w:val="left"/>
      <w:pPr>
        <w:tabs>
          <w:tab w:val="num" w:pos="4320"/>
        </w:tabs>
        <w:ind w:left="4320" w:hanging="360"/>
      </w:pPr>
      <w:rPr>
        <w:rFonts w:ascii="Times New Roman" w:hAnsi="Times New Roman" w:hint="default"/>
      </w:rPr>
    </w:lvl>
    <w:lvl w:ilvl="6" w:tplc="366E6C1E" w:tentative="1">
      <w:start w:val="1"/>
      <w:numFmt w:val="bullet"/>
      <w:lvlText w:val="•"/>
      <w:lvlJc w:val="left"/>
      <w:pPr>
        <w:tabs>
          <w:tab w:val="num" w:pos="5040"/>
        </w:tabs>
        <w:ind w:left="5040" w:hanging="360"/>
      </w:pPr>
      <w:rPr>
        <w:rFonts w:ascii="Times New Roman" w:hAnsi="Times New Roman" w:hint="default"/>
      </w:rPr>
    </w:lvl>
    <w:lvl w:ilvl="7" w:tplc="35AA2244" w:tentative="1">
      <w:start w:val="1"/>
      <w:numFmt w:val="bullet"/>
      <w:lvlText w:val="•"/>
      <w:lvlJc w:val="left"/>
      <w:pPr>
        <w:tabs>
          <w:tab w:val="num" w:pos="5760"/>
        </w:tabs>
        <w:ind w:left="5760" w:hanging="360"/>
      </w:pPr>
      <w:rPr>
        <w:rFonts w:ascii="Times New Roman" w:hAnsi="Times New Roman" w:hint="default"/>
      </w:rPr>
    </w:lvl>
    <w:lvl w:ilvl="8" w:tplc="E584794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0BE76C3"/>
    <w:multiLevelType w:val="hybridMultilevel"/>
    <w:tmpl w:val="9D4CEF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718D0255"/>
    <w:multiLevelType w:val="multilevel"/>
    <w:tmpl w:val="5CE68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C41DF3"/>
    <w:multiLevelType w:val="hybridMultilevel"/>
    <w:tmpl w:val="328A2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32D60A6"/>
    <w:multiLevelType w:val="hybridMultilevel"/>
    <w:tmpl w:val="36607F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73F268AA"/>
    <w:multiLevelType w:val="hybridMultilevel"/>
    <w:tmpl w:val="0584D1CA"/>
    <w:lvl w:ilvl="0" w:tplc="785C05E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7263877"/>
    <w:multiLevelType w:val="hybridMultilevel"/>
    <w:tmpl w:val="AFB2C8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84D033C"/>
    <w:multiLevelType w:val="multilevel"/>
    <w:tmpl w:val="59EC2EA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3370C1"/>
    <w:multiLevelType w:val="hybridMultilevel"/>
    <w:tmpl w:val="5F8AAC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CD54181"/>
    <w:multiLevelType w:val="hybridMultilevel"/>
    <w:tmpl w:val="811EFE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D817FF3"/>
    <w:multiLevelType w:val="hybridMultilevel"/>
    <w:tmpl w:val="32F686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E056891"/>
    <w:multiLevelType w:val="hybridMultilevel"/>
    <w:tmpl w:val="80604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6"/>
  </w:num>
  <w:num w:numId="3">
    <w:abstractNumId w:val="8"/>
  </w:num>
  <w:num w:numId="4">
    <w:abstractNumId w:val="6"/>
  </w:num>
  <w:num w:numId="5">
    <w:abstractNumId w:val="3"/>
  </w:num>
  <w:num w:numId="6">
    <w:abstractNumId w:val="40"/>
  </w:num>
  <w:num w:numId="7">
    <w:abstractNumId w:val="19"/>
  </w:num>
  <w:num w:numId="8">
    <w:abstractNumId w:val="14"/>
  </w:num>
  <w:num w:numId="9">
    <w:abstractNumId w:val="0"/>
  </w:num>
  <w:num w:numId="10">
    <w:abstractNumId w:val="35"/>
  </w:num>
  <w:num w:numId="11">
    <w:abstractNumId w:val="12"/>
  </w:num>
  <w:num w:numId="12">
    <w:abstractNumId w:val="34"/>
  </w:num>
  <w:num w:numId="13">
    <w:abstractNumId w:val="1"/>
  </w:num>
  <w:num w:numId="14">
    <w:abstractNumId w:val="4"/>
  </w:num>
  <w:num w:numId="15">
    <w:abstractNumId w:val="39"/>
  </w:num>
  <w:num w:numId="16">
    <w:abstractNumId w:val="10"/>
  </w:num>
  <w:num w:numId="17">
    <w:abstractNumId w:val="22"/>
  </w:num>
  <w:num w:numId="18">
    <w:abstractNumId w:val="36"/>
  </w:num>
  <w:num w:numId="19">
    <w:abstractNumId w:val="11"/>
  </w:num>
  <w:num w:numId="20">
    <w:abstractNumId w:val="27"/>
  </w:num>
  <w:num w:numId="21">
    <w:abstractNumId w:val="5"/>
  </w:num>
  <w:num w:numId="22">
    <w:abstractNumId w:val="31"/>
  </w:num>
  <w:num w:numId="23">
    <w:abstractNumId w:val="37"/>
  </w:num>
  <w:num w:numId="24">
    <w:abstractNumId w:val="24"/>
  </w:num>
  <w:num w:numId="25">
    <w:abstractNumId w:val="25"/>
  </w:num>
  <w:num w:numId="26">
    <w:abstractNumId w:val="2"/>
  </w:num>
  <w:num w:numId="27">
    <w:abstractNumId w:val="15"/>
  </w:num>
  <w:num w:numId="28">
    <w:abstractNumId w:val="21"/>
  </w:num>
  <w:num w:numId="29">
    <w:abstractNumId w:val="7"/>
  </w:num>
  <w:num w:numId="30">
    <w:abstractNumId w:val="3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7"/>
  </w:num>
  <w:num w:numId="34">
    <w:abstractNumId w:val="29"/>
  </w:num>
  <w:num w:numId="35">
    <w:abstractNumId w:val="23"/>
  </w:num>
  <w:num w:numId="36">
    <w:abstractNumId w:val="32"/>
  </w:num>
  <w:num w:numId="37">
    <w:abstractNumId w:val="38"/>
  </w:num>
  <w:num w:numId="38">
    <w:abstractNumId w:val="13"/>
  </w:num>
  <w:num w:numId="39">
    <w:abstractNumId w:val="28"/>
  </w:num>
  <w:num w:numId="40">
    <w:abstractNumId w:val="33"/>
  </w:num>
  <w:num w:numId="41">
    <w:abstractNumId w:val="9"/>
  </w:num>
  <w:num w:numId="42">
    <w:abstractNumId w:val="20"/>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chi Mittal">
    <w15:presenceInfo w15:providerId="Windows Live" w15:userId="5183fea8dffde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d0arxttw9s9awe9928vaw9sd9ap2frswezd&quot;&gt;Riociguat July 2014&lt;record-ids&gt;&lt;item&gt;2&lt;/item&gt;&lt;item&gt;116&lt;/item&gt;&lt;item&gt;284&lt;/item&gt;&lt;item&gt;298&lt;/item&gt;&lt;item&gt;299&lt;/item&gt;&lt;item&gt;301&lt;/item&gt;&lt;item&gt;305&lt;/item&gt;&lt;item&gt;307&lt;/item&gt;&lt;item&gt;308&lt;/item&gt;&lt;item&gt;309&lt;/item&gt;&lt;item&gt;310&lt;/item&gt;&lt;item&gt;312&lt;/item&gt;&lt;item&gt;314&lt;/item&gt;&lt;item&gt;315&lt;/item&gt;&lt;item&gt;317&lt;/item&gt;&lt;/record-ids&gt;&lt;/item&gt;&lt;/Libraries&gt;"/>
  </w:docVars>
  <w:rsids>
    <w:rsidRoot w:val="00E65E79"/>
    <w:rsid w:val="000004A1"/>
    <w:rsid w:val="00000790"/>
    <w:rsid w:val="00000ABB"/>
    <w:rsid w:val="0000110B"/>
    <w:rsid w:val="00003191"/>
    <w:rsid w:val="00003499"/>
    <w:rsid w:val="000066BC"/>
    <w:rsid w:val="000115ED"/>
    <w:rsid w:val="00011867"/>
    <w:rsid w:val="0001203E"/>
    <w:rsid w:val="0001228E"/>
    <w:rsid w:val="00013247"/>
    <w:rsid w:val="000133F4"/>
    <w:rsid w:val="00014725"/>
    <w:rsid w:val="0001578E"/>
    <w:rsid w:val="00015886"/>
    <w:rsid w:val="000162EF"/>
    <w:rsid w:val="00016409"/>
    <w:rsid w:val="0001649A"/>
    <w:rsid w:val="0001767E"/>
    <w:rsid w:val="0002225F"/>
    <w:rsid w:val="00022FE6"/>
    <w:rsid w:val="00023763"/>
    <w:rsid w:val="000238DE"/>
    <w:rsid w:val="00023989"/>
    <w:rsid w:val="00024FF0"/>
    <w:rsid w:val="00025029"/>
    <w:rsid w:val="00026D2E"/>
    <w:rsid w:val="00027B46"/>
    <w:rsid w:val="00031CD5"/>
    <w:rsid w:val="00031D70"/>
    <w:rsid w:val="00033BC6"/>
    <w:rsid w:val="00033C54"/>
    <w:rsid w:val="00036D66"/>
    <w:rsid w:val="00037061"/>
    <w:rsid w:val="00040895"/>
    <w:rsid w:val="00040DE6"/>
    <w:rsid w:val="00041900"/>
    <w:rsid w:val="00041915"/>
    <w:rsid w:val="00043C37"/>
    <w:rsid w:val="000440A5"/>
    <w:rsid w:val="00044EF2"/>
    <w:rsid w:val="00045803"/>
    <w:rsid w:val="0004778F"/>
    <w:rsid w:val="00052D12"/>
    <w:rsid w:val="000546D7"/>
    <w:rsid w:val="00055441"/>
    <w:rsid w:val="000559AE"/>
    <w:rsid w:val="00064AF5"/>
    <w:rsid w:val="00066342"/>
    <w:rsid w:val="00066B0C"/>
    <w:rsid w:val="000702FD"/>
    <w:rsid w:val="00070BA3"/>
    <w:rsid w:val="00070CD6"/>
    <w:rsid w:val="00071248"/>
    <w:rsid w:val="000720B9"/>
    <w:rsid w:val="0007514D"/>
    <w:rsid w:val="00080C90"/>
    <w:rsid w:val="000812CA"/>
    <w:rsid w:val="0008272F"/>
    <w:rsid w:val="000878E2"/>
    <w:rsid w:val="00087F07"/>
    <w:rsid w:val="00090C7E"/>
    <w:rsid w:val="0009205C"/>
    <w:rsid w:val="00092DEF"/>
    <w:rsid w:val="00093873"/>
    <w:rsid w:val="00095078"/>
    <w:rsid w:val="00096195"/>
    <w:rsid w:val="000A27BC"/>
    <w:rsid w:val="000A3B55"/>
    <w:rsid w:val="000A5518"/>
    <w:rsid w:val="000A6772"/>
    <w:rsid w:val="000A75EF"/>
    <w:rsid w:val="000B1D65"/>
    <w:rsid w:val="000C38CC"/>
    <w:rsid w:val="000D0D32"/>
    <w:rsid w:val="000D1BFC"/>
    <w:rsid w:val="000D2497"/>
    <w:rsid w:val="000D2E7E"/>
    <w:rsid w:val="000D4949"/>
    <w:rsid w:val="000D6410"/>
    <w:rsid w:val="000E1858"/>
    <w:rsid w:val="000E1CE7"/>
    <w:rsid w:val="000E2B58"/>
    <w:rsid w:val="000E7462"/>
    <w:rsid w:val="000F2556"/>
    <w:rsid w:val="000F4BB8"/>
    <w:rsid w:val="000F4FDA"/>
    <w:rsid w:val="000F5B5B"/>
    <w:rsid w:val="000F5B84"/>
    <w:rsid w:val="000F7127"/>
    <w:rsid w:val="0010033F"/>
    <w:rsid w:val="00100F8A"/>
    <w:rsid w:val="001060B1"/>
    <w:rsid w:val="0011032E"/>
    <w:rsid w:val="00111CB6"/>
    <w:rsid w:val="0011348B"/>
    <w:rsid w:val="00114591"/>
    <w:rsid w:val="001204B1"/>
    <w:rsid w:val="00121799"/>
    <w:rsid w:val="00121AAB"/>
    <w:rsid w:val="00121C6C"/>
    <w:rsid w:val="00121E3B"/>
    <w:rsid w:val="001222FC"/>
    <w:rsid w:val="00124A51"/>
    <w:rsid w:val="0012556E"/>
    <w:rsid w:val="00126621"/>
    <w:rsid w:val="0012768E"/>
    <w:rsid w:val="0013005B"/>
    <w:rsid w:val="001301E9"/>
    <w:rsid w:val="001315BA"/>
    <w:rsid w:val="00131A18"/>
    <w:rsid w:val="00132B03"/>
    <w:rsid w:val="00134447"/>
    <w:rsid w:val="00137645"/>
    <w:rsid w:val="0014015A"/>
    <w:rsid w:val="00140229"/>
    <w:rsid w:val="00140A1A"/>
    <w:rsid w:val="00140E99"/>
    <w:rsid w:val="0014303C"/>
    <w:rsid w:val="00145540"/>
    <w:rsid w:val="001456B0"/>
    <w:rsid w:val="00151163"/>
    <w:rsid w:val="00152E01"/>
    <w:rsid w:val="0015319D"/>
    <w:rsid w:val="00153713"/>
    <w:rsid w:val="00155A66"/>
    <w:rsid w:val="00156952"/>
    <w:rsid w:val="00157130"/>
    <w:rsid w:val="001607BE"/>
    <w:rsid w:val="001617B7"/>
    <w:rsid w:val="00162913"/>
    <w:rsid w:val="00162E32"/>
    <w:rsid w:val="00163EFF"/>
    <w:rsid w:val="00165177"/>
    <w:rsid w:val="0016571E"/>
    <w:rsid w:val="001657E0"/>
    <w:rsid w:val="001661FB"/>
    <w:rsid w:val="00166546"/>
    <w:rsid w:val="001727A6"/>
    <w:rsid w:val="001757B7"/>
    <w:rsid w:val="00177065"/>
    <w:rsid w:val="00181040"/>
    <w:rsid w:val="0018752F"/>
    <w:rsid w:val="00190798"/>
    <w:rsid w:val="00190D0C"/>
    <w:rsid w:val="00195222"/>
    <w:rsid w:val="00195AA1"/>
    <w:rsid w:val="001975D8"/>
    <w:rsid w:val="00197D47"/>
    <w:rsid w:val="001A335D"/>
    <w:rsid w:val="001A3DB6"/>
    <w:rsid w:val="001A556F"/>
    <w:rsid w:val="001B0481"/>
    <w:rsid w:val="001B0EAF"/>
    <w:rsid w:val="001B2EAA"/>
    <w:rsid w:val="001B3443"/>
    <w:rsid w:val="001C0D25"/>
    <w:rsid w:val="001C1CCE"/>
    <w:rsid w:val="001C33EA"/>
    <w:rsid w:val="001C3B2D"/>
    <w:rsid w:val="001C4271"/>
    <w:rsid w:val="001C6E66"/>
    <w:rsid w:val="001D094D"/>
    <w:rsid w:val="001D0B1E"/>
    <w:rsid w:val="001D24BC"/>
    <w:rsid w:val="001D2791"/>
    <w:rsid w:val="001D2B26"/>
    <w:rsid w:val="001D3873"/>
    <w:rsid w:val="001D3DF6"/>
    <w:rsid w:val="001D48B4"/>
    <w:rsid w:val="001D634B"/>
    <w:rsid w:val="001D662E"/>
    <w:rsid w:val="001D6898"/>
    <w:rsid w:val="001E101D"/>
    <w:rsid w:val="001E238E"/>
    <w:rsid w:val="001E2B1E"/>
    <w:rsid w:val="001E4803"/>
    <w:rsid w:val="001E4E57"/>
    <w:rsid w:val="001E5080"/>
    <w:rsid w:val="001E5138"/>
    <w:rsid w:val="001E52EB"/>
    <w:rsid w:val="001E5591"/>
    <w:rsid w:val="001E61E6"/>
    <w:rsid w:val="001E740C"/>
    <w:rsid w:val="001F0B23"/>
    <w:rsid w:val="001F0F2B"/>
    <w:rsid w:val="001F104B"/>
    <w:rsid w:val="001F1235"/>
    <w:rsid w:val="001F18A4"/>
    <w:rsid w:val="001F1CB3"/>
    <w:rsid w:val="001F278B"/>
    <w:rsid w:val="001F2C64"/>
    <w:rsid w:val="001F3E0F"/>
    <w:rsid w:val="001F446B"/>
    <w:rsid w:val="001F4ED8"/>
    <w:rsid w:val="001F5AA3"/>
    <w:rsid w:val="001F7361"/>
    <w:rsid w:val="002001DD"/>
    <w:rsid w:val="00201EA7"/>
    <w:rsid w:val="00202EB0"/>
    <w:rsid w:val="0020323A"/>
    <w:rsid w:val="0020385F"/>
    <w:rsid w:val="00203FD3"/>
    <w:rsid w:val="002056A7"/>
    <w:rsid w:val="00205940"/>
    <w:rsid w:val="002059DE"/>
    <w:rsid w:val="00206356"/>
    <w:rsid w:val="00207021"/>
    <w:rsid w:val="00207D00"/>
    <w:rsid w:val="002105C1"/>
    <w:rsid w:val="00215846"/>
    <w:rsid w:val="00221DF7"/>
    <w:rsid w:val="00223B49"/>
    <w:rsid w:val="00224DD4"/>
    <w:rsid w:val="00225DE4"/>
    <w:rsid w:val="002266B9"/>
    <w:rsid w:val="002268C3"/>
    <w:rsid w:val="002309CC"/>
    <w:rsid w:val="00233A13"/>
    <w:rsid w:val="00235181"/>
    <w:rsid w:val="002357E8"/>
    <w:rsid w:val="00236431"/>
    <w:rsid w:val="002414B5"/>
    <w:rsid w:val="002419BB"/>
    <w:rsid w:val="00244DD2"/>
    <w:rsid w:val="00245124"/>
    <w:rsid w:val="00245FC6"/>
    <w:rsid w:val="00250B6D"/>
    <w:rsid w:val="00251B6A"/>
    <w:rsid w:val="00253258"/>
    <w:rsid w:val="0025417D"/>
    <w:rsid w:val="00254DCF"/>
    <w:rsid w:val="0025534B"/>
    <w:rsid w:val="002557B1"/>
    <w:rsid w:val="00255BB7"/>
    <w:rsid w:val="002560AD"/>
    <w:rsid w:val="0026175F"/>
    <w:rsid w:val="00262739"/>
    <w:rsid w:val="00262A87"/>
    <w:rsid w:val="00262EEF"/>
    <w:rsid w:val="0026311C"/>
    <w:rsid w:val="00263A81"/>
    <w:rsid w:val="002647DE"/>
    <w:rsid w:val="0026535F"/>
    <w:rsid w:val="002662EC"/>
    <w:rsid w:val="00266E5D"/>
    <w:rsid w:val="00270090"/>
    <w:rsid w:val="002700B9"/>
    <w:rsid w:val="00274C0A"/>
    <w:rsid w:val="00275C5A"/>
    <w:rsid w:val="002770F2"/>
    <w:rsid w:val="002779D8"/>
    <w:rsid w:val="00281014"/>
    <w:rsid w:val="0028161A"/>
    <w:rsid w:val="00282000"/>
    <w:rsid w:val="002823E7"/>
    <w:rsid w:val="00282508"/>
    <w:rsid w:val="00282641"/>
    <w:rsid w:val="00284B19"/>
    <w:rsid w:val="00285581"/>
    <w:rsid w:val="002912D0"/>
    <w:rsid w:val="002940AA"/>
    <w:rsid w:val="002A14AB"/>
    <w:rsid w:val="002A20DB"/>
    <w:rsid w:val="002A3E24"/>
    <w:rsid w:val="002A4BF4"/>
    <w:rsid w:val="002A5A94"/>
    <w:rsid w:val="002A5E0D"/>
    <w:rsid w:val="002A5FA5"/>
    <w:rsid w:val="002B0768"/>
    <w:rsid w:val="002B16EF"/>
    <w:rsid w:val="002B1C1F"/>
    <w:rsid w:val="002B3793"/>
    <w:rsid w:val="002B3C18"/>
    <w:rsid w:val="002B432F"/>
    <w:rsid w:val="002B6CCE"/>
    <w:rsid w:val="002C2775"/>
    <w:rsid w:val="002C27C1"/>
    <w:rsid w:val="002C4E65"/>
    <w:rsid w:val="002C60E9"/>
    <w:rsid w:val="002D05C7"/>
    <w:rsid w:val="002D067E"/>
    <w:rsid w:val="002D0911"/>
    <w:rsid w:val="002D23E6"/>
    <w:rsid w:val="002D40BF"/>
    <w:rsid w:val="002D4960"/>
    <w:rsid w:val="002D4A67"/>
    <w:rsid w:val="002D4C45"/>
    <w:rsid w:val="002D5FA3"/>
    <w:rsid w:val="002D7A5B"/>
    <w:rsid w:val="002E5F07"/>
    <w:rsid w:val="002E6066"/>
    <w:rsid w:val="002E6C91"/>
    <w:rsid w:val="002F1A7E"/>
    <w:rsid w:val="002F2DD0"/>
    <w:rsid w:val="002F3201"/>
    <w:rsid w:val="002F3727"/>
    <w:rsid w:val="002F69C5"/>
    <w:rsid w:val="002F6A23"/>
    <w:rsid w:val="002F6FE2"/>
    <w:rsid w:val="00301017"/>
    <w:rsid w:val="00303CE2"/>
    <w:rsid w:val="00304F83"/>
    <w:rsid w:val="00305D3D"/>
    <w:rsid w:val="00306DF3"/>
    <w:rsid w:val="0030786C"/>
    <w:rsid w:val="00307B99"/>
    <w:rsid w:val="0031031A"/>
    <w:rsid w:val="00310981"/>
    <w:rsid w:val="003109E7"/>
    <w:rsid w:val="00313262"/>
    <w:rsid w:val="0031405E"/>
    <w:rsid w:val="00315498"/>
    <w:rsid w:val="00322FD2"/>
    <w:rsid w:val="0032377A"/>
    <w:rsid w:val="00323884"/>
    <w:rsid w:val="00324F79"/>
    <w:rsid w:val="00332BD9"/>
    <w:rsid w:val="003342E0"/>
    <w:rsid w:val="003366C9"/>
    <w:rsid w:val="0033707F"/>
    <w:rsid w:val="003371B0"/>
    <w:rsid w:val="00340985"/>
    <w:rsid w:val="00340E14"/>
    <w:rsid w:val="0034198B"/>
    <w:rsid w:val="00342C03"/>
    <w:rsid w:val="003440C5"/>
    <w:rsid w:val="00344EF9"/>
    <w:rsid w:val="00346CBB"/>
    <w:rsid w:val="00346F7B"/>
    <w:rsid w:val="00354916"/>
    <w:rsid w:val="0035620E"/>
    <w:rsid w:val="00357C25"/>
    <w:rsid w:val="00360EB1"/>
    <w:rsid w:val="0036446E"/>
    <w:rsid w:val="003716CB"/>
    <w:rsid w:val="00371D54"/>
    <w:rsid w:val="00373C92"/>
    <w:rsid w:val="00381F03"/>
    <w:rsid w:val="00382B34"/>
    <w:rsid w:val="00382BF0"/>
    <w:rsid w:val="00382D1F"/>
    <w:rsid w:val="0038365C"/>
    <w:rsid w:val="00383A22"/>
    <w:rsid w:val="00385F60"/>
    <w:rsid w:val="00385FE4"/>
    <w:rsid w:val="003864D3"/>
    <w:rsid w:val="003933F6"/>
    <w:rsid w:val="00393C2C"/>
    <w:rsid w:val="00395E05"/>
    <w:rsid w:val="00396EE1"/>
    <w:rsid w:val="00396FD0"/>
    <w:rsid w:val="00397C8E"/>
    <w:rsid w:val="00397F9A"/>
    <w:rsid w:val="003A1A7A"/>
    <w:rsid w:val="003A2357"/>
    <w:rsid w:val="003A2CE6"/>
    <w:rsid w:val="003A3CC2"/>
    <w:rsid w:val="003A6A39"/>
    <w:rsid w:val="003A6CFA"/>
    <w:rsid w:val="003B1D5B"/>
    <w:rsid w:val="003B40B6"/>
    <w:rsid w:val="003B59AF"/>
    <w:rsid w:val="003B5F5E"/>
    <w:rsid w:val="003B7CF1"/>
    <w:rsid w:val="003B7DBF"/>
    <w:rsid w:val="003C1C7A"/>
    <w:rsid w:val="003C41D7"/>
    <w:rsid w:val="003C7543"/>
    <w:rsid w:val="003D1828"/>
    <w:rsid w:val="003D18D3"/>
    <w:rsid w:val="003D2422"/>
    <w:rsid w:val="003D6867"/>
    <w:rsid w:val="003E0191"/>
    <w:rsid w:val="003E02DA"/>
    <w:rsid w:val="003E15A6"/>
    <w:rsid w:val="003E1AF5"/>
    <w:rsid w:val="003E680B"/>
    <w:rsid w:val="003F2EB7"/>
    <w:rsid w:val="003F4156"/>
    <w:rsid w:val="003F4B1C"/>
    <w:rsid w:val="003F69F9"/>
    <w:rsid w:val="00402D5D"/>
    <w:rsid w:val="004076AB"/>
    <w:rsid w:val="00410708"/>
    <w:rsid w:val="00410B07"/>
    <w:rsid w:val="00410EC7"/>
    <w:rsid w:val="0041110A"/>
    <w:rsid w:val="00414476"/>
    <w:rsid w:val="00415734"/>
    <w:rsid w:val="00415D3D"/>
    <w:rsid w:val="00415E76"/>
    <w:rsid w:val="00416373"/>
    <w:rsid w:val="00417680"/>
    <w:rsid w:val="00417D6F"/>
    <w:rsid w:val="00420B9F"/>
    <w:rsid w:val="00422F52"/>
    <w:rsid w:val="00424815"/>
    <w:rsid w:val="00426B18"/>
    <w:rsid w:val="00427107"/>
    <w:rsid w:val="004319F8"/>
    <w:rsid w:val="00433044"/>
    <w:rsid w:val="004331B8"/>
    <w:rsid w:val="00436FFF"/>
    <w:rsid w:val="004371D9"/>
    <w:rsid w:val="0043753D"/>
    <w:rsid w:val="00442808"/>
    <w:rsid w:val="004430A3"/>
    <w:rsid w:val="004443A7"/>
    <w:rsid w:val="004464EB"/>
    <w:rsid w:val="00446B09"/>
    <w:rsid w:val="00450B82"/>
    <w:rsid w:val="00450ED2"/>
    <w:rsid w:val="0045166E"/>
    <w:rsid w:val="00452027"/>
    <w:rsid w:val="00452EAF"/>
    <w:rsid w:val="004533FB"/>
    <w:rsid w:val="00455D45"/>
    <w:rsid w:val="00457D4C"/>
    <w:rsid w:val="00461FF3"/>
    <w:rsid w:val="0046271B"/>
    <w:rsid w:val="004638FF"/>
    <w:rsid w:val="00463BED"/>
    <w:rsid w:val="00464595"/>
    <w:rsid w:val="00465624"/>
    <w:rsid w:val="0046605D"/>
    <w:rsid w:val="00470602"/>
    <w:rsid w:val="004713E9"/>
    <w:rsid w:val="0047220D"/>
    <w:rsid w:val="00474ABF"/>
    <w:rsid w:val="00477944"/>
    <w:rsid w:val="004810E1"/>
    <w:rsid w:val="004812FC"/>
    <w:rsid w:val="00481364"/>
    <w:rsid w:val="004814C3"/>
    <w:rsid w:val="00481A2F"/>
    <w:rsid w:val="00484C5F"/>
    <w:rsid w:val="00484CB2"/>
    <w:rsid w:val="00484F8A"/>
    <w:rsid w:val="004856EE"/>
    <w:rsid w:val="00485B90"/>
    <w:rsid w:val="00485BE4"/>
    <w:rsid w:val="004867E2"/>
    <w:rsid w:val="00487C69"/>
    <w:rsid w:val="00490BE0"/>
    <w:rsid w:val="00490DBB"/>
    <w:rsid w:val="00490DDC"/>
    <w:rsid w:val="00491B3A"/>
    <w:rsid w:val="00492CFD"/>
    <w:rsid w:val="00493806"/>
    <w:rsid w:val="004953AB"/>
    <w:rsid w:val="004962D2"/>
    <w:rsid w:val="00497C13"/>
    <w:rsid w:val="004A0A1C"/>
    <w:rsid w:val="004A0DA1"/>
    <w:rsid w:val="004A226B"/>
    <w:rsid w:val="004A3372"/>
    <w:rsid w:val="004A6597"/>
    <w:rsid w:val="004B05BC"/>
    <w:rsid w:val="004B0FD9"/>
    <w:rsid w:val="004B1797"/>
    <w:rsid w:val="004B1CB4"/>
    <w:rsid w:val="004B2F18"/>
    <w:rsid w:val="004B3DDB"/>
    <w:rsid w:val="004B4122"/>
    <w:rsid w:val="004B44FD"/>
    <w:rsid w:val="004B5CFC"/>
    <w:rsid w:val="004B62A2"/>
    <w:rsid w:val="004C0E3D"/>
    <w:rsid w:val="004C3440"/>
    <w:rsid w:val="004C4AED"/>
    <w:rsid w:val="004C7E59"/>
    <w:rsid w:val="004D0D91"/>
    <w:rsid w:val="004D10C9"/>
    <w:rsid w:val="004D1430"/>
    <w:rsid w:val="004D23FE"/>
    <w:rsid w:val="004D2781"/>
    <w:rsid w:val="004D40E5"/>
    <w:rsid w:val="004D5A5B"/>
    <w:rsid w:val="004E0EB8"/>
    <w:rsid w:val="004E2ADC"/>
    <w:rsid w:val="004E3C6E"/>
    <w:rsid w:val="004E43B2"/>
    <w:rsid w:val="004E6948"/>
    <w:rsid w:val="004F1CD2"/>
    <w:rsid w:val="004F1D02"/>
    <w:rsid w:val="004F2024"/>
    <w:rsid w:val="004F2679"/>
    <w:rsid w:val="004F3981"/>
    <w:rsid w:val="004F3E70"/>
    <w:rsid w:val="004F56DC"/>
    <w:rsid w:val="004F5B4E"/>
    <w:rsid w:val="004F5EF6"/>
    <w:rsid w:val="004F6FF3"/>
    <w:rsid w:val="004F744E"/>
    <w:rsid w:val="004F7865"/>
    <w:rsid w:val="00500FC2"/>
    <w:rsid w:val="00501311"/>
    <w:rsid w:val="005026D4"/>
    <w:rsid w:val="00503E42"/>
    <w:rsid w:val="0050419A"/>
    <w:rsid w:val="005061A6"/>
    <w:rsid w:val="00506928"/>
    <w:rsid w:val="00507CDF"/>
    <w:rsid w:val="00511E5F"/>
    <w:rsid w:val="00513154"/>
    <w:rsid w:val="005142C1"/>
    <w:rsid w:val="005152B5"/>
    <w:rsid w:val="00521319"/>
    <w:rsid w:val="005226CA"/>
    <w:rsid w:val="00523210"/>
    <w:rsid w:val="00523C28"/>
    <w:rsid w:val="005248B5"/>
    <w:rsid w:val="00526E89"/>
    <w:rsid w:val="005272A1"/>
    <w:rsid w:val="005313C4"/>
    <w:rsid w:val="00533747"/>
    <w:rsid w:val="00536A2C"/>
    <w:rsid w:val="005374BD"/>
    <w:rsid w:val="005447E7"/>
    <w:rsid w:val="00551B35"/>
    <w:rsid w:val="00551CDD"/>
    <w:rsid w:val="00552BD3"/>
    <w:rsid w:val="00555109"/>
    <w:rsid w:val="005578DF"/>
    <w:rsid w:val="00557AD9"/>
    <w:rsid w:val="00562571"/>
    <w:rsid w:val="00563B71"/>
    <w:rsid w:val="0056696F"/>
    <w:rsid w:val="00567E05"/>
    <w:rsid w:val="00567FC1"/>
    <w:rsid w:val="00570DE4"/>
    <w:rsid w:val="00571E18"/>
    <w:rsid w:val="00573560"/>
    <w:rsid w:val="00573FA3"/>
    <w:rsid w:val="00574DCB"/>
    <w:rsid w:val="00574DFF"/>
    <w:rsid w:val="00574FCD"/>
    <w:rsid w:val="00575D8D"/>
    <w:rsid w:val="00576972"/>
    <w:rsid w:val="00576B32"/>
    <w:rsid w:val="00582954"/>
    <w:rsid w:val="005833B2"/>
    <w:rsid w:val="00583699"/>
    <w:rsid w:val="005836BA"/>
    <w:rsid w:val="005847EC"/>
    <w:rsid w:val="00585533"/>
    <w:rsid w:val="00585EDC"/>
    <w:rsid w:val="00586D52"/>
    <w:rsid w:val="00586D85"/>
    <w:rsid w:val="00586D8E"/>
    <w:rsid w:val="00587FBF"/>
    <w:rsid w:val="005918FC"/>
    <w:rsid w:val="00593B04"/>
    <w:rsid w:val="00593B50"/>
    <w:rsid w:val="005942CE"/>
    <w:rsid w:val="00594662"/>
    <w:rsid w:val="00594804"/>
    <w:rsid w:val="00595788"/>
    <w:rsid w:val="005958F3"/>
    <w:rsid w:val="00597211"/>
    <w:rsid w:val="00597764"/>
    <w:rsid w:val="00597F05"/>
    <w:rsid w:val="005A3E23"/>
    <w:rsid w:val="005A5D3D"/>
    <w:rsid w:val="005A5E35"/>
    <w:rsid w:val="005A6DF3"/>
    <w:rsid w:val="005B08F2"/>
    <w:rsid w:val="005B0C2B"/>
    <w:rsid w:val="005B217A"/>
    <w:rsid w:val="005B420D"/>
    <w:rsid w:val="005B54D4"/>
    <w:rsid w:val="005B56B9"/>
    <w:rsid w:val="005B5857"/>
    <w:rsid w:val="005B6341"/>
    <w:rsid w:val="005C069E"/>
    <w:rsid w:val="005C078E"/>
    <w:rsid w:val="005C147B"/>
    <w:rsid w:val="005C1B83"/>
    <w:rsid w:val="005C346B"/>
    <w:rsid w:val="005D044D"/>
    <w:rsid w:val="005D18AD"/>
    <w:rsid w:val="005D281E"/>
    <w:rsid w:val="005D2CAC"/>
    <w:rsid w:val="005D321F"/>
    <w:rsid w:val="005D4755"/>
    <w:rsid w:val="005D6175"/>
    <w:rsid w:val="005D651D"/>
    <w:rsid w:val="005D78F8"/>
    <w:rsid w:val="005D7DC8"/>
    <w:rsid w:val="005E03C1"/>
    <w:rsid w:val="005E17FA"/>
    <w:rsid w:val="005E28D1"/>
    <w:rsid w:val="005E2E9F"/>
    <w:rsid w:val="005E53F2"/>
    <w:rsid w:val="005E593B"/>
    <w:rsid w:val="005E5F07"/>
    <w:rsid w:val="005E6580"/>
    <w:rsid w:val="005E73C0"/>
    <w:rsid w:val="005F0392"/>
    <w:rsid w:val="005F10F7"/>
    <w:rsid w:val="005F14A1"/>
    <w:rsid w:val="005F1567"/>
    <w:rsid w:val="005F1C00"/>
    <w:rsid w:val="005F2706"/>
    <w:rsid w:val="005F358A"/>
    <w:rsid w:val="005F358B"/>
    <w:rsid w:val="005F4096"/>
    <w:rsid w:val="005F6A8F"/>
    <w:rsid w:val="005F7EEB"/>
    <w:rsid w:val="00603D31"/>
    <w:rsid w:val="006045B0"/>
    <w:rsid w:val="00604BD0"/>
    <w:rsid w:val="00607669"/>
    <w:rsid w:val="0061046F"/>
    <w:rsid w:val="00610EF7"/>
    <w:rsid w:val="00611A00"/>
    <w:rsid w:val="00611D60"/>
    <w:rsid w:val="00612C9C"/>
    <w:rsid w:val="00612F97"/>
    <w:rsid w:val="00613998"/>
    <w:rsid w:val="00616802"/>
    <w:rsid w:val="00617E12"/>
    <w:rsid w:val="00620AF5"/>
    <w:rsid w:val="00621477"/>
    <w:rsid w:val="00621CB2"/>
    <w:rsid w:val="00622D33"/>
    <w:rsid w:val="00624103"/>
    <w:rsid w:val="00624681"/>
    <w:rsid w:val="006246F3"/>
    <w:rsid w:val="0062797E"/>
    <w:rsid w:val="0063043E"/>
    <w:rsid w:val="006306D2"/>
    <w:rsid w:val="00631D6B"/>
    <w:rsid w:val="0063266D"/>
    <w:rsid w:val="0063479F"/>
    <w:rsid w:val="00634E4B"/>
    <w:rsid w:val="006364A1"/>
    <w:rsid w:val="00637205"/>
    <w:rsid w:val="00637BFD"/>
    <w:rsid w:val="00643880"/>
    <w:rsid w:val="006451F6"/>
    <w:rsid w:val="00646434"/>
    <w:rsid w:val="006471CC"/>
    <w:rsid w:val="0065079F"/>
    <w:rsid w:val="00651A1C"/>
    <w:rsid w:val="00651CBD"/>
    <w:rsid w:val="006523D9"/>
    <w:rsid w:val="00653846"/>
    <w:rsid w:val="00653E75"/>
    <w:rsid w:val="00655D30"/>
    <w:rsid w:val="00657CE7"/>
    <w:rsid w:val="006606B2"/>
    <w:rsid w:val="0066101C"/>
    <w:rsid w:val="00663121"/>
    <w:rsid w:val="00665032"/>
    <w:rsid w:val="0066555E"/>
    <w:rsid w:val="00673089"/>
    <w:rsid w:val="00674E42"/>
    <w:rsid w:val="00680128"/>
    <w:rsid w:val="00680411"/>
    <w:rsid w:val="00682112"/>
    <w:rsid w:val="00685527"/>
    <w:rsid w:val="006872BA"/>
    <w:rsid w:val="006907A7"/>
    <w:rsid w:val="006917D7"/>
    <w:rsid w:val="00692A1F"/>
    <w:rsid w:val="00694F44"/>
    <w:rsid w:val="00695709"/>
    <w:rsid w:val="0069576E"/>
    <w:rsid w:val="006970C8"/>
    <w:rsid w:val="00697F99"/>
    <w:rsid w:val="006A2F51"/>
    <w:rsid w:val="006A33FF"/>
    <w:rsid w:val="006A3D77"/>
    <w:rsid w:val="006A58F5"/>
    <w:rsid w:val="006A5FC3"/>
    <w:rsid w:val="006A79A1"/>
    <w:rsid w:val="006A7B0D"/>
    <w:rsid w:val="006B3F12"/>
    <w:rsid w:val="006B415E"/>
    <w:rsid w:val="006B44C5"/>
    <w:rsid w:val="006B6B8E"/>
    <w:rsid w:val="006B74AD"/>
    <w:rsid w:val="006B7A7E"/>
    <w:rsid w:val="006C1865"/>
    <w:rsid w:val="006C2499"/>
    <w:rsid w:val="006C2809"/>
    <w:rsid w:val="006C2A8E"/>
    <w:rsid w:val="006C5550"/>
    <w:rsid w:val="006C589A"/>
    <w:rsid w:val="006C69E2"/>
    <w:rsid w:val="006C7EDA"/>
    <w:rsid w:val="006D06B1"/>
    <w:rsid w:val="006D15FB"/>
    <w:rsid w:val="006D2E1F"/>
    <w:rsid w:val="006D36E1"/>
    <w:rsid w:val="006D3C7D"/>
    <w:rsid w:val="006D5591"/>
    <w:rsid w:val="006D5D5F"/>
    <w:rsid w:val="006D691E"/>
    <w:rsid w:val="006E2DE1"/>
    <w:rsid w:val="006E40A8"/>
    <w:rsid w:val="006E5298"/>
    <w:rsid w:val="006E5D20"/>
    <w:rsid w:val="006E700E"/>
    <w:rsid w:val="006E7E59"/>
    <w:rsid w:val="006F15D9"/>
    <w:rsid w:val="006F1AD7"/>
    <w:rsid w:val="006F2D70"/>
    <w:rsid w:val="006F5840"/>
    <w:rsid w:val="006F5FEE"/>
    <w:rsid w:val="006F63A5"/>
    <w:rsid w:val="006F67CC"/>
    <w:rsid w:val="006F7620"/>
    <w:rsid w:val="006F7C09"/>
    <w:rsid w:val="0070276E"/>
    <w:rsid w:val="00702F8F"/>
    <w:rsid w:val="007039C1"/>
    <w:rsid w:val="00704E13"/>
    <w:rsid w:val="00705AC8"/>
    <w:rsid w:val="007069CB"/>
    <w:rsid w:val="007071ED"/>
    <w:rsid w:val="00710B5A"/>
    <w:rsid w:val="0071193B"/>
    <w:rsid w:val="00711A36"/>
    <w:rsid w:val="007128A2"/>
    <w:rsid w:val="00713773"/>
    <w:rsid w:val="0071530A"/>
    <w:rsid w:val="0071580D"/>
    <w:rsid w:val="00716783"/>
    <w:rsid w:val="00716E23"/>
    <w:rsid w:val="007172AD"/>
    <w:rsid w:val="00717951"/>
    <w:rsid w:val="00720F1B"/>
    <w:rsid w:val="00721850"/>
    <w:rsid w:val="0072416F"/>
    <w:rsid w:val="00726FD9"/>
    <w:rsid w:val="00727569"/>
    <w:rsid w:val="00731A31"/>
    <w:rsid w:val="00733C18"/>
    <w:rsid w:val="00734EC5"/>
    <w:rsid w:val="00735328"/>
    <w:rsid w:val="0073685B"/>
    <w:rsid w:val="0073793D"/>
    <w:rsid w:val="00737F54"/>
    <w:rsid w:val="00740BFF"/>
    <w:rsid w:val="007426DF"/>
    <w:rsid w:val="00742D36"/>
    <w:rsid w:val="0074553E"/>
    <w:rsid w:val="007472C3"/>
    <w:rsid w:val="0074793D"/>
    <w:rsid w:val="00747C19"/>
    <w:rsid w:val="007516EE"/>
    <w:rsid w:val="00751C17"/>
    <w:rsid w:val="0075469F"/>
    <w:rsid w:val="0075513A"/>
    <w:rsid w:val="007556E0"/>
    <w:rsid w:val="00757589"/>
    <w:rsid w:val="00757695"/>
    <w:rsid w:val="00761FD9"/>
    <w:rsid w:val="00762F49"/>
    <w:rsid w:val="007638C6"/>
    <w:rsid w:val="00764C5C"/>
    <w:rsid w:val="0076532D"/>
    <w:rsid w:val="00766D0C"/>
    <w:rsid w:val="00780AFF"/>
    <w:rsid w:val="00786C0D"/>
    <w:rsid w:val="00787D37"/>
    <w:rsid w:val="00791116"/>
    <w:rsid w:val="00791304"/>
    <w:rsid w:val="0079209F"/>
    <w:rsid w:val="007932B8"/>
    <w:rsid w:val="00793B45"/>
    <w:rsid w:val="0079410F"/>
    <w:rsid w:val="00795714"/>
    <w:rsid w:val="00796453"/>
    <w:rsid w:val="00796AFC"/>
    <w:rsid w:val="00796E4A"/>
    <w:rsid w:val="00797692"/>
    <w:rsid w:val="007A0938"/>
    <w:rsid w:val="007A0A12"/>
    <w:rsid w:val="007A0C54"/>
    <w:rsid w:val="007A1444"/>
    <w:rsid w:val="007A261C"/>
    <w:rsid w:val="007A27F9"/>
    <w:rsid w:val="007A3454"/>
    <w:rsid w:val="007A460D"/>
    <w:rsid w:val="007A48CA"/>
    <w:rsid w:val="007A6726"/>
    <w:rsid w:val="007B0CBB"/>
    <w:rsid w:val="007B251D"/>
    <w:rsid w:val="007B367B"/>
    <w:rsid w:val="007B4905"/>
    <w:rsid w:val="007B534C"/>
    <w:rsid w:val="007B77D1"/>
    <w:rsid w:val="007C0265"/>
    <w:rsid w:val="007C02C7"/>
    <w:rsid w:val="007C0D7A"/>
    <w:rsid w:val="007C2949"/>
    <w:rsid w:val="007C3575"/>
    <w:rsid w:val="007C361D"/>
    <w:rsid w:val="007C5116"/>
    <w:rsid w:val="007C731D"/>
    <w:rsid w:val="007C791D"/>
    <w:rsid w:val="007C7BAB"/>
    <w:rsid w:val="007D061E"/>
    <w:rsid w:val="007D0B38"/>
    <w:rsid w:val="007D1053"/>
    <w:rsid w:val="007D182C"/>
    <w:rsid w:val="007D194D"/>
    <w:rsid w:val="007D40C1"/>
    <w:rsid w:val="007E00C1"/>
    <w:rsid w:val="007E3AB1"/>
    <w:rsid w:val="007F1017"/>
    <w:rsid w:val="007F451C"/>
    <w:rsid w:val="007F4A3F"/>
    <w:rsid w:val="007F7309"/>
    <w:rsid w:val="00800CD4"/>
    <w:rsid w:val="00800E86"/>
    <w:rsid w:val="00802E9A"/>
    <w:rsid w:val="00803A58"/>
    <w:rsid w:val="00803B6B"/>
    <w:rsid w:val="00803C51"/>
    <w:rsid w:val="00803DC7"/>
    <w:rsid w:val="00804C5A"/>
    <w:rsid w:val="00805142"/>
    <w:rsid w:val="00807A8B"/>
    <w:rsid w:val="0081103C"/>
    <w:rsid w:val="0081162A"/>
    <w:rsid w:val="00812149"/>
    <w:rsid w:val="008127EE"/>
    <w:rsid w:val="00813529"/>
    <w:rsid w:val="00813DC7"/>
    <w:rsid w:val="00815599"/>
    <w:rsid w:val="008166EF"/>
    <w:rsid w:val="00817DDF"/>
    <w:rsid w:val="00820F96"/>
    <w:rsid w:val="008247BA"/>
    <w:rsid w:val="008257ED"/>
    <w:rsid w:val="008264EB"/>
    <w:rsid w:val="008273A4"/>
    <w:rsid w:val="00833B05"/>
    <w:rsid w:val="00835172"/>
    <w:rsid w:val="00840CA2"/>
    <w:rsid w:val="00846D78"/>
    <w:rsid w:val="00847A06"/>
    <w:rsid w:val="00847C22"/>
    <w:rsid w:val="008509C5"/>
    <w:rsid w:val="00851B4E"/>
    <w:rsid w:val="0085251C"/>
    <w:rsid w:val="0085281F"/>
    <w:rsid w:val="00853A38"/>
    <w:rsid w:val="00853BF6"/>
    <w:rsid w:val="00856E44"/>
    <w:rsid w:val="00856E9A"/>
    <w:rsid w:val="008579E6"/>
    <w:rsid w:val="0086241E"/>
    <w:rsid w:val="00862443"/>
    <w:rsid w:val="00862502"/>
    <w:rsid w:val="008662F2"/>
    <w:rsid w:val="008703B2"/>
    <w:rsid w:val="00870A7C"/>
    <w:rsid w:val="00875B6F"/>
    <w:rsid w:val="00876252"/>
    <w:rsid w:val="00881089"/>
    <w:rsid w:val="008813EE"/>
    <w:rsid w:val="008818A4"/>
    <w:rsid w:val="00882874"/>
    <w:rsid w:val="00883179"/>
    <w:rsid w:val="00883787"/>
    <w:rsid w:val="00884D64"/>
    <w:rsid w:val="00886D30"/>
    <w:rsid w:val="008877CF"/>
    <w:rsid w:val="00891164"/>
    <w:rsid w:val="00893D5B"/>
    <w:rsid w:val="00894489"/>
    <w:rsid w:val="008963A5"/>
    <w:rsid w:val="008963DA"/>
    <w:rsid w:val="008A3C3E"/>
    <w:rsid w:val="008A6873"/>
    <w:rsid w:val="008A773D"/>
    <w:rsid w:val="008A79DE"/>
    <w:rsid w:val="008A7CEB"/>
    <w:rsid w:val="008B2294"/>
    <w:rsid w:val="008B31A6"/>
    <w:rsid w:val="008B646C"/>
    <w:rsid w:val="008B7D7E"/>
    <w:rsid w:val="008C5D6A"/>
    <w:rsid w:val="008C7E66"/>
    <w:rsid w:val="008C7ECB"/>
    <w:rsid w:val="008D1F9B"/>
    <w:rsid w:val="008D4215"/>
    <w:rsid w:val="008D463B"/>
    <w:rsid w:val="008D5684"/>
    <w:rsid w:val="008D5A5C"/>
    <w:rsid w:val="008D6005"/>
    <w:rsid w:val="008D6840"/>
    <w:rsid w:val="008D6ACE"/>
    <w:rsid w:val="008E0FA2"/>
    <w:rsid w:val="008E128B"/>
    <w:rsid w:val="008E1B9E"/>
    <w:rsid w:val="008E3DBD"/>
    <w:rsid w:val="008E58F7"/>
    <w:rsid w:val="008E6D87"/>
    <w:rsid w:val="008E7941"/>
    <w:rsid w:val="008F056A"/>
    <w:rsid w:val="008F117A"/>
    <w:rsid w:val="008F120A"/>
    <w:rsid w:val="008F13C2"/>
    <w:rsid w:val="008F3C3D"/>
    <w:rsid w:val="008F48EB"/>
    <w:rsid w:val="008F4BA4"/>
    <w:rsid w:val="008F4F0B"/>
    <w:rsid w:val="008F505D"/>
    <w:rsid w:val="008F77B7"/>
    <w:rsid w:val="009034C2"/>
    <w:rsid w:val="00903E20"/>
    <w:rsid w:val="00904400"/>
    <w:rsid w:val="0090540D"/>
    <w:rsid w:val="009062A5"/>
    <w:rsid w:val="00910794"/>
    <w:rsid w:val="00911272"/>
    <w:rsid w:val="009160E8"/>
    <w:rsid w:val="0091657D"/>
    <w:rsid w:val="0091722B"/>
    <w:rsid w:val="00920FF2"/>
    <w:rsid w:val="00921B36"/>
    <w:rsid w:val="00924CA5"/>
    <w:rsid w:val="00927D15"/>
    <w:rsid w:val="00931DC2"/>
    <w:rsid w:val="00934A62"/>
    <w:rsid w:val="00934E03"/>
    <w:rsid w:val="0093532F"/>
    <w:rsid w:val="00935E56"/>
    <w:rsid w:val="009369FA"/>
    <w:rsid w:val="009415E1"/>
    <w:rsid w:val="00941CCF"/>
    <w:rsid w:val="00943B22"/>
    <w:rsid w:val="00944950"/>
    <w:rsid w:val="00946DB1"/>
    <w:rsid w:val="009472F5"/>
    <w:rsid w:val="00950985"/>
    <w:rsid w:val="00950F70"/>
    <w:rsid w:val="00951A3A"/>
    <w:rsid w:val="00952606"/>
    <w:rsid w:val="00954548"/>
    <w:rsid w:val="00962CB9"/>
    <w:rsid w:val="009642B2"/>
    <w:rsid w:val="00964312"/>
    <w:rsid w:val="0096454A"/>
    <w:rsid w:val="009654D4"/>
    <w:rsid w:val="00965E5F"/>
    <w:rsid w:val="00966450"/>
    <w:rsid w:val="009675EB"/>
    <w:rsid w:val="0097191E"/>
    <w:rsid w:val="009737AF"/>
    <w:rsid w:val="009755F3"/>
    <w:rsid w:val="0097639F"/>
    <w:rsid w:val="00977DFA"/>
    <w:rsid w:val="00982797"/>
    <w:rsid w:val="0098306D"/>
    <w:rsid w:val="00983E57"/>
    <w:rsid w:val="00985C14"/>
    <w:rsid w:val="00986F4B"/>
    <w:rsid w:val="00987B08"/>
    <w:rsid w:val="009923B2"/>
    <w:rsid w:val="00992938"/>
    <w:rsid w:val="00993F4C"/>
    <w:rsid w:val="0099416A"/>
    <w:rsid w:val="00994704"/>
    <w:rsid w:val="00996B1A"/>
    <w:rsid w:val="00997B66"/>
    <w:rsid w:val="009A0393"/>
    <w:rsid w:val="009A13F6"/>
    <w:rsid w:val="009A2022"/>
    <w:rsid w:val="009A2348"/>
    <w:rsid w:val="009A40FD"/>
    <w:rsid w:val="009A52AA"/>
    <w:rsid w:val="009B0441"/>
    <w:rsid w:val="009B0F90"/>
    <w:rsid w:val="009B1AEB"/>
    <w:rsid w:val="009B3A94"/>
    <w:rsid w:val="009B3E26"/>
    <w:rsid w:val="009B5329"/>
    <w:rsid w:val="009B7B2E"/>
    <w:rsid w:val="009C0364"/>
    <w:rsid w:val="009C0393"/>
    <w:rsid w:val="009C19FD"/>
    <w:rsid w:val="009C2558"/>
    <w:rsid w:val="009C2EDF"/>
    <w:rsid w:val="009C5C70"/>
    <w:rsid w:val="009D00F9"/>
    <w:rsid w:val="009D5B91"/>
    <w:rsid w:val="009D7C51"/>
    <w:rsid w:val="009E1622"/>
    <w:rsid w:val="009E4C07"/>
    <w:rsid w:val="009F03DB"/>
    <w:rsid w:val="009F6A84"/>
    <w:rsid w:val="009F79FB"/>
    <w:rsid w:val="00A01089"/>
    <w:rsid w:val="00A0141B"/>
    <w:rsid w:val="00A03CA5"/>
    <w:rsid w:val="00A03D43"/>
    <w:rsid w:val="00A03F4C"/>
    <w:rsid w:val="00A04380"/>
    <w:rsid w:val="00A05142"/>
    <w:rsid w:val="00A05561"/>
    <w:rsid w:val="00A06C21"/>
    <w:rsid w:val="00A07D71"/>
    <w:rsid w:val="00A121CE"/>
    <w:rsid w:val="00A122DF"/>
    <w:rsid w:val="00A12C3B"/>
    <w:rsid w:val="00A13948"/>
    <w:rsid w:val="00A15CA8"/>
    <w:rsid w:val="00A16181"/>
    <w:rsid w:val="00A16CE6"/>
    <w:rsid w:val="00A16FBC"/>
    <w:rsid w:val="00A171B4"/>
    <w:rsid w:val="00A20C0D"/>
    <w:rsid w:val="00A2556B"/>
    <w:rsid w:val="00A255B3"/>
    <w:rsid w:val="00A27AEC"/>
    <w:rsid w:val="00A27D9B"/>
    <w:rsid w:val="00A30C36"/>
    <w:rsid w:val="00A30F64"/>
    <w:rsid w:val="00A31531"/>
    <w:rsid w:val="00A31971"/>
    <w:rsid w:val="00A326A5"/>
    <w:rsid w:val="00A35196"/>
    <w:rsid w:val="00A35D16"/>
    <w:rsid w:val="00A362EA"/>
    <w:rsid w:val="00A3645B"/>
    <w:rsid w:val="00A3645E"/>
    <w:rsid w:val="00A376B8"/>
    <w:rsid w:val="00A42A4F"/>
    <w:rsid w:val="00A43C59"/>
    <w:rsid w:val="00A44DB6"/>
    <w:rsid w:val="00A46A84"/>
    <w:rsid w:val="00A50ECD"/>
    <w:rsid w:val="00A5203A"/>
    <w:rsid w:val="00A52729"/>
    <w:rsid w:val="00A53675"/>
    <w:rsid w:val="00A5387C"/>
    <w:rsid w:val="00A54C84"/>
    <w:rsid w:val="00A56B6A"/>
    <w:rsid w:val="00A56C74"/>
    <w:rsid w:val="00A578DC"/>
    <w:rsid w:val="00A60E66"/>
    <w:rsid w:val="00A617BD"/>
    <w:rsid w:val="00A61AE6"/>
    <w:rsid w:val="00A65E31"/>
    <w:rsid w:val="00A669F7"/>
    <w:rsid w:val="00A6725B"/>
    <w:rsid w:val="00A7025F"/>
    <w:rsid w:val="00A71A47"/>
    <w:rsid w:val="00A7393B"/>
    <w:rsid w:val="00A756BF"/>
    <w:rsid w:val="00A7648E"/>
    <w:rsid w:val="00A82CB9"/>
    <w:rsid w:val="00A84B8F"/>
    <w:rsid w:val="00A856AC"/>
    <w:rsid w:val="00A85CC8"/>
    <w:rsid w:val="00A86E8B"/>
    <w:rsid w:val="00A872FE"/>
    <w:rsid w:val="00A879AA"/>
    <w:rsid w:val="00A90A01"/>
    <w:rsid w:val="00A90D57"/>
    <w:rsid w:val="00A928EB"/>
    <w:rsid w:val="00A92BE1"/>
    <w:rsid w:val="00A93072"/>
    <w:rsid w:val="00A959D8"/>
    <w:rsid w:val="00A9769C"/>
    <w:rsid w:val="00AA08B4"/>
    <w:rsid w:val="00AA1E89"/>
    <w:rsid w:val="00AA43E7"/>
    <w:rsid w:val="00AA4A84"/>
    <w:rsid w:val="00AB042A"/>
    <w:rsid w:val="00AB195B"/>
    <w:rsid w:val="00AB2386"/>
    <w:rsid w:val="00AB2D34"/>
    <w:rsid w:val="00AB309A"/>
    <w:rsid w:val="00AB309D"/>
    <w:rsid w:val="00AB3430"/>
    <w:rsid w:val="00AB4CEA"/>
    <w:rsid w:val="00AB685E"/>
    <w:rsid w:val="00AB7016"/>
    <w:rsid w:val="00AB7A26"/>
    <w:rsid w:val="00AB7CFA"/>
    <w:rsid w:val="00AC1650"/>
    <w:rsid w:val="00AC2EA6"/>
    <w:rsid w:val="00AC3377"/>
    <w:rsid w:val="00AC498A"/>
    <w:rsid w:val="00AC5631"/>
    <w:rsid w:val="00AC6BE2"/>
    <w:rsid w:val="00AC711C"/>
    <w:rsid w:val="00AD0A37"/>
    <w:rsid w:val="00AD1D3E"/>
    <w:rsid w:val="00AD1E62"/>
    <w:rsid w:val="00AD2304"/>
    <w:rsid w:val="00AD24C6"/>
    <w:rsid w:val="00AD3D59"/>
    <w:rsid w:val="00AD3D7F"/>
    <w:rsid w:val="00AD5356"/>
    <w:rsid w:val="00AD6BEC"/>
    <w:rsid w:val="00AD7C0F"/>
    <w:rsid w:val="00AD7E98"/>
    <w:rsid w:val="00AE215E"/>
    <w:rsid w:val="00AE2923"/>
    <w:rsid w:val="00AE4695"/>
    <w:rsid w:val="00AE66E1"/>
    <w:rsid w:val="00AE70C1"/>
    <w:rsid w:val="00AE7308"/>
    <w:rsid w:val="00AF06F9"/>
    <w:rsid w:val="00AF1D97"/>
    <w:rsid w:val="00AF2C16"/>
    <w:rsid w:val="00AF6FDA"/>
    <w:rsid w:val="00AF72C4"/>
    <w:rsid w:val="00AF76E2"/>
    <w:rsid w:val="00B01585"/>
    <w:rsid w:val="00B01AAB"/>
    <w:rsid w:val="00B025A4"/>
    <w:rsid w:val="00B03601"/>
    <w:rsid w:val="00B05EEB"/>
    <w:rsid w:val="00B14D41"/>
    <w:rsid w:val="00B15299"/>
    <w:rsid w:val="00B16BFF"/>
    <w:rsid w:val="00B20873"/>
    <w:rsid w:val="00B20F4C"/>
    <w:rsid w:val="00B21D71"/>
    <w:rsid w:val="00B22CEF"/>
    <w:rsid w:val="00B3042B"/>
    <w:rsid w:val="00B30BE3"/>
    <w:rsid w:val="00B33033"/>
    <w:rsid w:val="00B3349C"/>
    <w:rsid w:val="00B33647"/>
    <w:rsid w:val="00B3409B"/>
    <w:rsid w:val="00B37800"/>
    <w:rsid w:val="00B4095D"/>
    <w:rsid w:val="00B420BA"/>
    <w:rsid w:val="00B42851"/>
    <w:rsid w:val="00B42AAA"/>
    <w:rsid w:val="00B430AB"/>
    <w:rsid w:val="00B4357E"/>
    <w:rsid w:val="00B4492A"/>
    <w:rsid w:val="00B4631C"/>
    <w:rsid w:val="00B47F2F"/>
    <w:rsid w:val="00B5083A"/>
    <w:rsid w:val="00B509B0"/>
    <w:rsid w:val="00B50DB8"/>
    <w:rsid w:val="00B51105"/>
    <w:rsid w:val="00B53406"/>
    <w:rsid w:val="00B53905"/>
    <w:rsid w:val="00B54B5B"/>
    <w:rsid w:val="00B54C5D"/>
    <w:rsid w:val="00B5562E"/>
    <w:rsid w:val="00B57000"/>
    <w:rsid w:val="00B60939"/>
    <w:rsid w:val="00B60AFD"/>
    <w:rsid w:val="00B62715"/>
    <w:rsid w:val="00B678B4"/>
    <w:rsid w:val="00B701A9"/>
    <w:rsid w:val="00B733D8"/>
    <w:rsid w:val="00B76299"/>
    <w:rsid w:val="00B76479"/>
    <w:rsid w:val="00B8187C"/>
    <w:rsid w:val="00B818A4"/>
    <w:rsid w:val="00B825BD"/>
    <w:rsid w:val="00B825C4"/>
    <w:rsid w:val="00B8649C"/>
    <w:rsid w:val="00B8661A"/>
    <w:rsid w:val="00B87938"/>
    <w:rsid w:val="00B9124F"/>
    <w:rsid w:val="00B92D0B"/>
    <w:rsid w:val="00B94945"/>
    <w:rsid w:val="00B94C1D"/>
    <w:rsid w:val="00B94DCA"/>
    <w:rsid w:val="00B9556F"/>
    <w:rsid w:val="00B958C2"/>
    <w:rsid w:val="00B96D69"/>
    <w:rsid w:val="00B97F4D"/>
    <w:rsid w:val="00BA0725"/>
    <w:rsid w:val="00BA196D"/>
    <w:rsid w:val="00BA23BF"/>
    <w:rsid w:val="00BA2427"/>
    <w:rsid w:val="00BA4D5C"/>
    <w:rsid w:val="00BA5367"/>
    <w:rsid w:val="00BA5A3C"/>
    <w:rsid w:val="00BA6085"/>
    <w:rsid w:val="00BA7109"/>
    <w:rsid w:val="00BA764E"/>
    <w:rsid w:val="00BB0BE4"/>
    <w:rsid w:val="00BB0DDB"/>
    <w:rsid w:val="00BB5897"/>
    <w:rsid w:val="00BB72F2"/>
    <w:rsid w:val="00BB7405"/>
    <w:rsid w:val="00BC070C"/>
    <w:rsid w:val="00BC4812"/>
    <w:rsid w:val="00BC5694"/>
    <w:rsid w:val="00BC62FE"/>
    <w:rsid w:val="00BD1949"/>
    <w:rsid w:val="00BD644C"/>
    <w:rsid w:val="00BD6CF3"/>
    <w:rsid w:val="00BD6DE6"/>
    <w:rsid w:val="00BD7038"/>
    <w:rsid w:val="00BE176C"/>
    <w:rsid w:val="00BE2180"/>
    <w:rsid w:val="00BE32BC"/>
    <w:rsid w:val="00BE4275"/>
    <w:rsid w:val="00BE4AAC"/>
    <w:rsid w:val="00BE5C0C"/>
    <w:rsid w:val="00BE5CC6"/>
    <w:rsid w:val="00BF0E44"/>
    <w:rsid w:val="00BF1587"/>
    <w:rsid w:val="00BF188F"/>
    <w:rsid w:val="00BF196D"/>
    <w:rsid w:val="00BF2433"/>
    <w:rsid w:val="00BF24DB"/>
    <w:rsid w:val="00BF32C0"/>
    <w:rsid w:val="00BF3EBF"/>
    <w:rsid w:val="00BF5569"/>
    <w:rsid w:val="00BF61C9"/>
    <w:rsid w:val="00C0049B"/>
    <w:rsid w:val="00C0351E"/>
    <w:rsid w:val="00C03E02"/>
    <w:rsid w:val="00C045A6"/>
    <w:rsid w:val="00C04DC9"/>
    <w:rsid w:val="00C059A0"/>
    <w:rsid w:val="00C068A3"/>
    <w:rsid w:val="00C0780F"/>
    <w:rsid w:val="00C07855"/>
    <w:rsid w:val="00C07EDF"/>
    <w:rsid w:val="00C12CF6"/>
    <w:rsid w:val="00C1322E"/>
    <w:rsid w:val="00C1332E"/>
    <w:rsid w:val="00C175B0"/>
    <w:rsid w:val="00C17650"/>
    <w:rsid w:val="00C20E93"/>
    <w:rsid w:val="00C21512"/>
    <w:rsid w:val="00C21794"/>
    <w:rsid w:val="00C2180F"/>
    <w:rsid w:val="00C23314"/>
    <w:rsid w:val="00C23A7E"/>
    <w:rsid w:val="00C25093"/>
    <w:rsid w:val="00C25418"/>
    <w:rsid w:val="00C25D9C"/>
    <w:rsid w:val="00C26125"/>
    <w:rsid w:val="00C2612C"/>
    <w:rsid w:val="00C30868"/>
    <w:rsid w:val="00C313B6"/>
    <w:rsid w:val="00C31649"/>
    <w:rsid w:val="00C316AA"/>
    <w:rsid w:val="00C377D7"/>
    <w:rsid w:val="00C3797D"/>
    <w:rsid w:val="00C40385"/>
    <w:rsid w:val="00C413D2"/>
    <w:rsid w:val="00C4229B"/>
    <w:rsid w:val="00C426E5"/>
    <w:rsid w:val="00C4471D"/>
    <w:rsid w:val="00C44AA1"/>
    <w:rsid w:val="00C462C7"/>
    <w:rsid w:val="00C46830"/>
    <w:rsid w:val="00C473BC"/>
    <w:rsid w:val="00C51577"/>
    <w:rsid w:val="00C51942"/>
    <w:rsid w:val="00C52344"/>
    <w:rsid w:val="00C53606"/>
    <w:rsid w:val="00C53E4C"/>
    <w:rsid w:val="00C55175"/>
    <w:rsid w:val="00C56EE0"/>
    <w:rsid w:val="00C600A2"/>
    <w:rsid w:val="00C603F7"/>
    <w:rsid w:val="00C61971"/>
    <w:rsid w:val="00C61C9E"/>
    <w:rsid w:val="00C622FA"/>
    <w:rsid w:val="00C63072"/>
    <w:rsid w:val="00C6522F"/>
    <w:rsid w:val="00C65576"/>
    <w:rsid w:val="00C66165"/>
    <w:rsid w:val="00C664C1"/>
    <w:rsid w:val="00C664D0"/>
    <w:rsid w:val="00C6711C"/>
    <w:rsid w:val="00C70891"/>
    <w:rsid w:val="00C70C0A"/>
    <w:rsid w:val="00C70EAD"/>
    <w:rsid w:val="00C74FAD"/>
    <w:rsid w:val="00C750C8"/>
    <w:rsid w:val="00C76F66"/>
    <w:rsid w:val="00C77BDB"/>
    <w:rsid w:val="00C77BFC"/>
    <w:rsid w:val="00C8213F"/>
    <w:rsid w:val="00C82756"/>
    <w:rsid w:val="00C82A8C"/>
    <w:rsid w:val="00C8797A"/>
    <w:rsid w:val="00C90912"/>
    <w:rsid w:val="00C938CF"/>
    <w:rsid w:val="00C93A8E"/>
    <w:rsid w:val="00C951B8"/>
    <w:rsid w:val="00C96DF9"/>
    <w:rsid w:val="00CA050A"/>
    <w:rsid w:val="00CA066A"/>
    <w:rsid w:val="00CA3B6A"/>
    <w:rsid w:val="00CA45B6"/>
    <w:rsid w:val="00CA48C9"/>
    <w:rsid w:val="00CA5245"/>
    <w:rsid w:val="00CA5696"/>
    <w:rsid w:val="00CA6777"/>
    <w:rsid w:val="00CA7B09"/>
    <w:rsid w:val="00CB2B94"/>
    <w:rsid w:val="00CB4992"/>
    <w:rsid w:val="00CB5B1A"/>
    <w:rsid w:val="00CB639F"/>
    <w:rsid w:val="00CB6687"/>
    <w:rsid w:val="00CC07FF"/>
    <w:rsid w:val="00CC2089"/>
    <w:rsid w:val="00CC25B2"/>
    <w:rsid w:val="00CC25DC"/>
    <w:rsid w:val="00CC65E1"/>
    <w:rsid w:val="00CD1A0D"/>
    <w:rsid w:val="00CD262F"/>
    <w:rsid w:val="00CD2B62"/>
    <w:rsid w:val="00CD5066"/>
    <w:rsid w:val="00CD6ADC"/>
    <w:rsid w:val="00CD70B3"/>
    <w:rsid w:val="00CD7915"/>
    <w:rsid w:val="00CE0E4E"/>
    <w:rsid w:val="00CE2CDE"/>
    <w:rsid w:val="00CE3D3A"/>
    <w:rsid w:val="00CE4CB8"/>
    <w:rsid w:val="00CE6274"/>
    <w:rsid w:val="00CE7651"/>
    <w:rsid w:val="00CE7F55"/>
    <w:rsid w:val="00CF23BA"/>
    <w:rsid w:val="00CF2597"/>
    <w:rsid w:val="00CF456B"/>
    <w:rsid w:val="00CF5A22"/>
    <w:rsid w:val="00CF70C7"/>
    <w:rsid w:val="00CF7DFA"/>
    <w:rsid w:val="00D0262E"/>
    <w:rsid w:val="00D0286B"/>
    <w:rsid w:val="00D033C3"/>
    <w:rsid w:val="00D03CD1"/>
    <w:rsid w:val="00D06E27"/>
    <w:rsid w:val="00D070FE"/>
    <w:rsid w:val="00D07BB1"/>
    <w:rsid w:val="00D106E3"/>
    <w:rsid w:val="00D10FE9"/>
    <w:rsid w:val="00D110BD"/>
    <w:rsid w:val="00D1149E"/>
    <w:rsid w:val="00D13B2A"/>
    <w:rsid w:val="00D150CA"/>
    <w:rsid w:val="00D174B6"/>
    <w:rsid w:val="00D17D6C"/>
    <w:rsid w:val="00D20AA5"/>
    <w:rsid w:val="00D20F63"/>
    <w:rsid w:val="00D22DD5"/>
    <w:rsid w:val="00D2364D"/>
    <w:rsid w:val="00D23A18"/>
    <w:rsid w:val="00D24419"/>
    <w:rsid w:val="00D26315"/>
    <w:rsid w:val="00D26E99"/>
    <w:rsid w:val="00D27C60"/>
    <w:rsid w:val="00D3092C"/>
    <w:rsid w:val="00D314F6"/>
    <w:rsid w:val="00D32D56"/>
    <w:rsid w:val="00D33691"/>
    <w:rsid w:val="00D357FF"/>
    <w:rsid w:val="00D36CEE"/>
    <w:rsid w:val="00D41AE9"/>
    <w:rsid w:val="00D42A9A"/>
    <w:rsid w:val="00D44416"/>
    <w:rsid w:val="00D44C6C"/>
    <w:rsid w:val="00D44EDF"/>
    <w:rsid w:val="00D45871"/>
    <w:rsid w:val="00D52105"/>
    <w:rsid w:val="00D553AB"/>
    <w:rsid w:val="00D56A91"/>
    <w:rsid w:val="00D56D83"/>
    <w:rsid w:val="00D572BD"/>
    <w:rsid w:val="00D6039A"/>
    <w:rsid w:val="00D614A6"/>
    <w:rsid w:val="00D62356"/>
    <w:rsid w:val="00D62CDE"/>
    <w:rsid w:val="00D62E6E"/>
    <w:rsid w:val="00D62F2A"/>
    <w:rsid w:val="00D630F0"/>
    <w:rsid w:val="00D63C0C"/>
    <w:rsid w:val="00D6473B"/>
    <w:rsid w:val="00D72C15"/>
    <w:rsid w:val="00D76A44"/>
    <w:rsid w:val="00D810CE"/>
    <w:rsid w:val="00D81D37"/>
    <w:rsid w:val="00D82341"/>
    <w:rsid w:val="00D824A3"/>
    <w:rsid w:val="00D8524F"/>
    <w:rsid w:val="00D90E22"/>
    <w:rsid w:val="00D917F7"/>
    <w:rsid w:val="00D92C88"/>
    <w:rsid w:val="00D93255"/>
    <w:rsid w:val="00D9325C"/>
    <w:rsid w:val="00D93753"/>
    <w:rsid w:val="00D93EE2"/>
    <w:rsid w:val="00D94B9C"/>
    <w:rsid w:val="00DA0900"/>
    <w:rsid w:val="00DA1B4A"/>
    <w:rsid w:val="00DA3A6A"/>
    <w:rsid w:val="00DA4E3A"/>
    <w:rsid w:val="00DA7111"/>
    <w:rsid w:val="00DA77A5"/>
    <w:rsid w:val="00DB0D1C"/>
    <w:rsid w:val="00DB4271"/>
    <w:rsid w:val="00DC2D13"/>
    <w:rsid w:val="00DC53AC"/>
    <w:rsid w:val="00DC5501"/>
    <w:rsid w:val="00DD0BBC"/>
    <w:rsid w:val="00DD20F1"/>
    <w:rsid w:val="00DD2416"/>
    <w:rsid w:val="00DD3F28"/>
    <w:rsid w:val="00DD4537"/>
    <w:rsid w:val="00DD4E15"/>
    <w:rsid w:val="00DD7218"/>
    <w:rsid w:val="00DD7ED2"/>
    <w:rsid w:val="00DE2A8B"/>
    <w:rsid w:val="00DE34BE"/>
    <w:rsid w:val="00DE4FCB"/>
    <w:rsid w:val="00DE505D"/>
    <w:rsid w:val="00DE7D6D"/>
    <w:rsid w:val="00DF011E"/>
    <w:rsid w:val="00DF1896"/>
    <w:rsid w:val="00DF53BA"/>
    <w:rsid w:val="00DF5D2B"/>
    <w:rsid w:val="00DF6F7D"/>
    <w:rsid w:val="00DF7DA5"/>
    <w:rsid w:val="00E00BD9"/>
    <w:rsid w:val="00E019E2"/>
    <w:rsid w:val="00E019F5"/>
    <w:rsid w:val="00E037CF"/>
    <w:rsid w:val="00E07A8D"/>
    <w:rsid w:val="00E07E0B"/>
    <w:rsid w:val="00E07F1D"/>
    <w:rsid w:val="00E10008"/>
    <w:rsid w:val="00E10149"/>
    <w:rsid w:val="00E1052A"/>
    <w:rsid w:val="00E10955"/>
    <w:rsid w:val="00E14406"/>
    <w:rsid w:val="00E16372"/>
    <w:rsid w:val="00E20ED6"/>
    <w:rsid w:val="00E21358"/>
    <w:rsid w:val="00E21930"/>
    <w:rsid w:val="00E2249B"/>
    <w:rsid w:val="00E2257E"/>
    <w:rsid w:val="00E22A0D"/>
    <w:rsid w:val="00E25854"/>
    <w:rsid w:val="00E25D7D"/>
    <w:rsid w:val="00E26B11"/>
    <w:rsid w:val="00E2771E"/>
    <w:rsid w:val="00E27C39"/>
    <w:rsid w:val="00E308B4"/>
    <w:rsid w:val="00E3162C"/>
    <w:rsid w:val="00E32CD4"/>
    <w:rsid w:val="00E37569"/>
    <w:rsid w:val="00E4041D"/>
    <w:rsid w:val="00E40A20"/>
    <w:rsid w:val="00E4158E"/>
    <w:rsid w:val="00E41886"/>
    <w:rsid w:val="00E41E30"/>
    <w:rsid w:val="00E42C10"/>
    <w:rsid w:val="00E43D70"/>
    <w:rsid w:val="00E466B9"/>
    <w:rsid w:val="00E4744A"/>
    <w:rsid w:val="00E47B2C"/>
    <w:rsid w:val="00E51560"/>
    <w:rsid w:val="00E52A23"/>
    <w:rsid w:val="00E5410B"/>
    <w:rsid w:val="00E55424"/>
    <w:rsid w:val="00E5547F"/>
    <w:rsid w:val="00E55BB5"/>
    <w:rsid w:val="00E614B5"/>
    <w:rsid w:val="00E62C99"/>
    <w:rsid w:val="00E63472"/>
    <w:rsid w:val="00E65E79"/>
    <w:rsid w:val="00E666A0"/>
    <w:rsid w:val="00E67416"/>
    <w:rsid w:val="00E718B6"/>
    <w:rsid w:val="00E73581"/>
    <w:rsid w:val="00E75B9C"/>
    <w:rsid w:val="00E769A2"/>
    <w:rsid w:val="00E77A0D"/>
    <w:rsid w:val="00E80F41"/>
    <w:rsid w:val="00E830FE"/>
    <w:rsid w:val="00E83BDF"/>
    <w:rsid w:val="00E85072"/>
    <w:rsid w:val="00E85FC1"/>
    <w:rsid w:val="00E865D1"/>
    <w:rsid w:val="00E91C90"/>
    <w:rsid w:val="00E92034"/>
    <w:rsid w:val="00E92644"/>
    <w:rsid w:val="00E94495"/>
    <w:rsid w:val="00E94C64"/>
    <w:rsid w:val="00E975A1"/>
    <w:rsid w:val="00EA3864"/>
    <w:rsid w:val="00EA3AE4"/>
    <w:rsid w:val="00EA6331"/>
    <w:rsid w:val="00EA68A8"/>
    <w:rsid w:val="00EB0C00"/>
    <w:rsid w:val="00EB0C3B"/>
    <w:rsid w:val="00EB15B6"/>
    <w:rsid w:val="00EB3759"/>
    <w:rsid w:val="00EB4916"/>
    <w:rsid w:val="00EB4FDD"/>
    <w:rsid w:val="00EB53BC"/>
    <w:rsid w:val="00EB5575"/>
    <w:rsid w:val="00EC00C9"/>
    <w:rsid w:val="00EC3A23"/>
    <w:rsid w:val="00ED4991"/>
    <w:rsid w:val="00ED6976"/>
    <w:rsid w:val="00EE07D3"/>
    <w:rsid w:val="00EE1A98"/>
    <w:rsid w:val="00EE262E"/>
    <w:rsid w:val="00EE311E"/>
    <w:rsid w:val="00EE3215"/>
    <w:rsid w:val="00EF0C3B"/>
    <w:rsid w:val="00EF0CC5"/>
    <w:rsid w:val="00EF1230"/>
    <w:rsid w:val="00EF1311"/>
    <w:rsid w:val="00EF20A0"/>
    <w:rsid w:val="00EF2CD4"/>
    <w:rsid w:val="00EF4CED"/>
    <w:rsid w:val="00EF6264"/>
    <w:rsid w:val="00EF62E1"/>
    <w:rsid w:val="00F00F27"/>
    <w:rsid w:val="00F025E1"/>
    <w:rsid w:val="00F067A2"/>
    <w:rsid w:val="00F0699D"/>
    <w:rsid w:val="00F0738C"/>
    <w:rsid w:val="00F115E7"/>
    <w:rsid w:val="00F12A78"/>
    <w:rsid w:val="00F13F6B"/>
    <w:rsid w:val="00F14F7B"/>
    <w:rsid w:val="00F15B7A"/>
    <w:rsid w:val="00F23C50"/>
    <w:rsid w:val="00F2430C"/>
    <w:rsid w:val="00F245CE"/>
    <w:rsid w:val="00F24837"/>
    <w:rsid w:val="00F24F0C"/>
    <w:rsid w:val="00F2575F"/>
    <w:rsid w:val="00F26162"/>
    <w:rsid w:val="00F27D95"/>
    <w:rsid w:val="00F30451"/>
    <w:rsid w:val="00F312E1"/>
    <w:rsid w:val="00F31494"/>
    <w:rsid w:val="00F32EC6"/>
    <w:rsid w:val="00F33167"/>
    <w:rsid w:val="00F33DE9"/>
    <w:rsid w:val="00F3619A"/>
    <w:rsid w:val="00F43811"/>
    <w:rsid w:val="00F43EF4"/>
    <w:rsid w:val="00F449D3"/>
    <w:rsid w:val="00F46979"/>
    <w:rsid w:val="00F46CB6"/>
    <w:rsid w:val="00F509F4"/>
    <w:rsid w:val="00F517BF"/>
    <w:rsid w:val="00F55E73"/>
    <w:rsid w:val="00F60092"/>
    <w:rsid w:val="00F60F63"/>
    <w:rsid w:val="00F65185"/>
    <w:rsid w:val="00F675E4"/>
    <w:rsid w:val="00F679F9"/>
    <w:rsid w:val="00F7233F"/>
    <w:rsid w:val="00F72F41"/>
    <w:rsid w:val="00F75486"/>
    <w:rsid w:val="00F77854"/>
    <w:rsid w:val="00F802F9"/>
    <w:rsid w:val="00F804F8"/>
    <w:rsid w:val="00F80E5D"/>
    <w:rsid w:val="00F8138C"/>
    <w:rsid w:val="00F81F4A"/>
    <w:rsid w:val="00F851CE"/>
    <w:rsid w:val="00F8717D"/>
    <w:rsid w:val="00F94D1B"/>
    <w:rsid w:val="00F94F67"/>
    <w:rsid w:val="00F95682"/>
    <w:rsid w:val="00F960C1"/>
    <w:rsid w:val="00F97A78"/>
    <w:rsid w:val="00FA04AD"/>
    <w:rsid w:val="00FA1515"/>
    <w:rsid w:val="00FA196E"/>
    <w:rsid w:val="00FA2048"/>
    <w:rsid w:val="00FA2144"/>
    <w:rsid w:val="00FA24E7"/>
    <w:rsid w:val="00FA3957"/>
    <w:rsid w:val="00FA3F1B"/>
    <w:rsid w:val="00FA4D87"/>
    <w:rsid w:val="00FA5380"/>
    <w:rsid w:val="00FA79CD"/>
    <w:rsid w:val="00FB191A"/>
    <w:rsid w:val="00FB299B"/>
    <w:rsid w:val="00FB2FCB"/>
    <w:rsid w:val="00FC1074"/>
    <w:rsid w:val="00FC1884"/>
    <w:rsid w:val="00FC1A8C"/>
    <w:rsid w:val="00FC3095"/>
    <w:rsid w:val="00FD2100"/>
    <w:rsid w:val="00FD3BF6"/>
    <w:rsid w:val="00FD446D"/>
    <w:rsid w:val="00FD58D3"/>
    <w:rsid w:val="00FE2BC7"/>
    <w:rsid w:val="00FE2CD2"/>
    <w:rsid w:val="00FE3612"/>
    <w:rsid w:val="00FE75F0"/>
    <w:rsid w:val="00FF0943"/>
    <w:rsid w:val="00FF3193"/>
    <w:rsid w:val="00FF3DCF"/>
    <w:rsid w:val="00FF5458"/>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Bayer,Bayer Caption1,IB Caption1,Medical Caption1,Bayer Caption2,IB Caption2,Medical Caption2,Bayer Caption3,IB Caption3,Medical Caption3,Bayer Caption4,IB Caption4,Medical Caption4,Bayer Caption5,Baye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Bayer Char,Bayer Caption1 Char,IB Caption1 Char,Medical Caption1 Char,Bayer Caption2 Char,IB Caption2 Char,Medical Caption2 Char,Bayer Caption3 Char,IB Caption3 Char,IB Caption4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table" w:customStyle="1" w:styleId="TableGrid21">
    <w:name w:val="Table Grid21"/>
    <w:basedOn w:val="TableNormal"/>
    <w:next w:val="TableGrid"/>
    <w:rsid w:val="00883179"/>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72"/>
    <w:rsid w:val="009B1AEB"/>
    <w:rPr>
      <w:rFonts w:ascii="Arial" w:hAnsi="Arial" w:cs="Arial"/>
      <w:snapToGrid w:val="0"/>
      <w:sz w:val="22"/>
      <w:lang w:eastAsia="en-US"/>
    </w:rPr>
  </w:style>
  <w:style w:type="paragraph" w:styleId="FootnoteText">
    <w:name w:val="footnote text"/>
    <w:basedOn w:val="Normal"/>
    <w:link w:val="FootnoteTextChar"/>
    <w:rsid w:val="00595788"/>
    <w:rPr>
      <w:sz w:val="20"/>
    </w:rPr>
  </w:style>
  <w:style w:type="character" w:customStyle="1" w:styleId="FootnoteTextChar">
    <w:name w:val="Footnote Text Char"/>
    <w:basedOn w:val="DefaultParagraphFont"/>
    <w:link w:val="FootnoteText"/>
    <w:rsid w:val="00595788"/>
    <w:rPr>
      <w:rFonts w:ascii="Arial" w:hAnsi="Arial" w:cs="Arial"/>
      <w:snapToGrid w:val="0"/>
      <w:lang w:eastAsia="en-US"/>
    </w:rPr>
  </w:style>
  <w:style w:type="character" w:styleId="FootnoteReference">
    <w:name w:val="footnote reference"/>
    <w:basedOn w:val="DefaultParagraphFont"/>
    <w:rsid w:val="00595788"/>
    <w:rPr>
      <w:vertAlign w:val="superscript"/>
    </w:rPr>
  </w:style>
  <w:style w:type="table" w:customStyle="1" w:styleId="TableGrid1">
    <w:name w:val="Table Grid1"/>
    <w:basedOn w:val="TableNormal"/>
    <w:next w:val="TableGrid"/>
    <w:uiPriority w:val="59"/>
    <w:rsid w:val="00F00F27"/>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DefaultParagraphFont"/>
    <w:uiPriority w:val="4"/>
    <w:qFormat/>
    <w:rsid w:val="00D63C0C"/>
    <w:rPr>
      <w:rFonts w:ascii="Candara" w:hAnsi="Candara"/>
      <w:sz w:val="20"/>
    </w:rPr>
  </w:style>
  <w:style w:type="character" w:customStyle="1" w:styleId="SmallBold">
    <w:name w:val="Small Bold"/>
    <w:basedOn w:val="Small"/>
    <w:uiPriority w:val="4"/>
    <w:qFormat/>
    <w:rsid w:val="00D63C0C"/>
    <w:rPr>
      <w:rFonts w:ascii="Candara" w:hAnsi="Candara"/>
      <w:b/>
      <w:sz w:val="20"/>
      <w:lang w:val="en-AU"/>
    </w:rPr>
  </w:style>
  <w:style w:type="table" w:customStyle="1" w:styleId="TableGrid19">
    <w:name w:val="Table Grid19"/>
    <w:basedOn w:val="TableNormal"/>
    <w:next w:val="TableGrid"/>
    <w:rsid w:val="009C2EDF"/>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85CC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2A23"/>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A773D"/>
    <w:pPr>
      <w:jc w:val="center"/>
    </w:pPr>
    <w:rPr>
      <w:noProof/>
      <w:lang w:val="en-US"/>
    </w:rPr>
  </w:style>
  <w:style w:type="character" w:customStyle="1" w:styleId="EndNoteBibliographyTitleChar">
    <w:name w:val="EndNote Bibliography Title Char"/>
    <w:basedOn w:val="DefaultParagraphFont"/>
    <w:link w:val="EndNoteBibliographyTitle"/>
    <w:rsid w:val="008A773D"/>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8A773D"/>
    <w:rPr>
      <w:noProof/>
      <w:lang w:val="en-US"/>
    </w:rPr>
  </w:style>
  <w:style w:type="character" w:customStyle="1" w:styleId="EndNoteBibliographyChar">
    <w:name w:val="EndNote Bibliography Char"/>
    <w:basedOn w:val="DefaultParagraphFont"/>
    <w:link w:val="EndNoteBibliography"/>
    <w:rsid w:val="008A773D"/>
    <w:rPr>
      <w:rFonts w:ascii="Arial" w:hAnsi="Arial" w:cs="Arial"/>
      <w:noProof/>
      <w:snapToGrid w:val="0"/>
      <w:sz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928EB"/>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ayer Caption,IB Caption,Medical Caption,Bayer,Bayer Caption1,IB Caption1,Medical Caption1,Bayer Caption2,IB Caption2,Medical Caption2,Bayer Caption3,IB Caption3,Medical Caption3,Bayer Caption4,IB Caption4,Medical Caption4,Bayer Caption5,Baye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Bayer Char,Bayer Caption1 Char,IB Caption1 Char,Medical Caption1 Char,Bayer Caption2 Char,IB Caption2 Char,Medical Caption2 Char,Bayer Caption3 Char,IB Caption3 Char,IB Caption4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table" w:customStyle="1" w:styleId="TableGrid21">
    <w:name w:val="Table Grid21"/>
    <w:basedOn w:val="TableNormal"/>
    <w:next w:val="TableGrid"/>
    <w:rsid w:val="00883179"/>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72"/>
    <w:rsid w:val="009B1AEB"/>
    <w:rPr>
      <w:rFonts w:ascii="Arial" w:hAnsi="Arial" w:cs="Arial"/>
      <w:snapToGrid w:val="0"/>
      <w:sz w:val="22"/>
      <w:lang w:eastAsia="en-US"/>
    </w:rPr>
  </w:style>
  <w:style w:type="paragraph" w:styleId="FootnoteText">
    <w:name w:val="footnote text"/>
    <w:basedOn w:val="Normal"/>
    <w:link w:val="FootnoteTextChar"/>
    <w:rsid w:val="00595788"/>
    <w:rPr>
      <w:sz w:val="20"/>
    </w:rPr>
  </w:style>
  <w:style w:type="character" w:customStyle="1" w:styleId="FootnoteTextChar">
    <w:name w:val="Footnote Text Char"/>
    <w:basedOn w:val="DefaultParagraphFont"/>
    <w:link w:val="FootnoteText"/>
    <w:rsid w:val="00595788"/>
    <w:rPr>
      <w:rFonts w:ascii="Arial" w:hAnsi="Arial" w:cs="Arial"/>
      <w:snapToGrid w:val="0"/>
      <w:lang w:eastAsia="en-US"/>
    </w:rPr>
  </w:style>
  <w:style w:type="character" w:styleId="FootnoteReference">
    <w:name w:val="footnote reference"/>
    <w:basedOn w:val="DefaultParagraphFont"/>
    <w:rsid w:val="00595788"/>
    <w:rPr>
      <w:vertAlign w:val="superscript"/>
    </w:rPr>
  </w:style>
  <w:style w:type="table" w:customStyle="1" w:styleId="TableGrid1">
    <w:name w:val="Table Grid1"/>
    <w:basedOn w:val="TableNormal"/>
    <w:next w:val="TableGrid"/>
    <w:uiPriority w:val="59"/>
    <w:rsid w:val="00F00F27"/>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DefaultParagraphFont"/>
    <w:uiPriority w:val="4"/>
    <w:qFormat/>
    <w:rsid w:val="00D63C0C"/>
    <w:rPr>
      <w:rFonts w:ascii="Candara" w:hAnsi="Candara"/>
      <w:sz w:val="20"/>
    </w:rPr>
  </w:style>
  <w:style w:type="character" w:customStyle="1" w:styleId="SmallBold">
    <w:name w:val="Small Bold"/>
    <w:basedOn w:val="Small"/>
    <w:uiPriority w:val="4"/>
    <w:qFormat/>
    <w:rsid w:val="00D63C0C"/>
    <w:rPr>
      <w:rFonts w:ascii="Candara" w:hAnsi="Candara"/>
      <w:b/>
      <w:sz w:val="20"/>
      <w:lang w:val="en-AU"/>
    </w:rPr>
  </w:style>
  <w:style w:type="table" w:customStyle="1" w:styleId="TableGrid19">
    <w:name w:val="Table Grid19"/>
    <w:basedOn w:val="TableNormal"/>
    <w:next w:val="TableGrid"/>
    <w:rsid w:val="009C2EDF"/>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85CC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2A23"/>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A773D"/>
    <w:pPr>
      <w:jc w:val="center"/>
    </w:pPr>
    <w:rPr>
      <w:noProof/>
      <w:lang w:val="en-US"/>
    </w:rPr>
  </w:style>
  <w:style w:type="character" w:customStyle="1" w:styleId="EndNoteBibliographyTitleChar">
    <w:name w:val="EndNote Bibliography Title Char"/>
    <w:basedOn w:val="DefaultParagraphFont"/>
    <w:link w:val="EndNoteBibliographyTitle"/>
    <w:rsid w:val="008A773D"/>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8A773D"/>
    <w:rPr>
      <w:noProof/>
      <w:lang w:val="en-US"/>
    </w:rPr>
  </w:style>
  <w:style w:type="character" w:customStyle="1" w:styleId="EndNoteBibliographyChar">
    <w:name w:val="EndNote Bibliography Char"/>
    <w:basedOn w:val="DefaultParagraphFont"/>
    <w:link w:val="EndNoteBibliography"/>
    <w:rsid w:val="008A773D"/>
    <w:rPr>
      <w:rFonts w:ascii="Arial" w:hAnsi="Arial" w:cs="Arial"/>
      <w:noProof/>
      <w:snapToGrid w:val="0"/>
      <w:sz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928EB"/>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75028">
      <w:bodyDiv w:val="1"/>
      <w:marLeft w:val="0"/>
      <w:marRight w:val="0"/>
      <w:marTop w:val="0"/>
      <w:marBottom w:val="0"/>
      <w:divBdr>
        <w:top w:val="none" w:sz="0" w:space="0" w:color="auto"/>
        <w:left w:val="none" w:sz="0" w:space="0" w:color="auto"/>
        <w:bottom w:val="none" w:sz="0" w:space="0" w:color="auto"/>
        <w:right w:val="none" w:sz="0" w:space="0" w:color="auto"/>
      </w:divBdr>
    </w:div>
    <w:div w:id="407574432">
      <w:bodyDiv w:val="1"/>
      <w:marLeft w:val="0"/>
      <w:marRight w:val="0"/>
      <w:marTop w:val="0"/>
      <w:marBottom w:val="0"/>
      <w:divBdr>
        <w:top w:val="none" w:sz="0" w:space="0" w:color="auto"/>
        <w:left w:val="none" w:sz="0" w:space="0" w:color="auto"/>
        <w:bottom w:val="none" w:sz="0" w:space="0" w:color="auto"/>
        <w:right w:val="none" w:sz="0" w:space="0" w:color="auto"/>
      </w:divBdr>
      <w:divsChild>
        <w:div w:id="983511968">
          <w:marLeft w:val="547"/>
          <w:marRight w:val="0"/>
          <w:marTop w:val="115"/>
          <w:marBottom w:val="0"/>
          <w:divBdr>
            <w:top w:val="none" w:sz="0" w:space="0" w:color="auto"/>
            <w:left w:val="none" w:sz="0" w:space="0" w:color="auto"/>
            <w:bottom w:val="none" w:sz="0" w:space="0" w:color="auto"/>
            <w:right w:val="none" w:sz="0" w:space="0" w:color="auto"/>
          </w:divBdr>
        </w:div>
      </w:divsChild>
    </w:div>
    <w:div w:id="467820835">
      <w:bodyDiv w:val="1"/>
      <w:marLeft w:val="0"/>
      <w:marRight w:val="0"/>
      <w:marTop w:val="0"/>
      <w:marBottom w:val="0"/>
      <w:divBdr>
        <w:top w:val="none" w:sz="0" w:space="0" w:color="auto"/>
        <w:left w:val="none" w:sz="0" w:space="0" w:color="auto"/>
        <w:bottom w:val="none" w:sz="0" w:space="0" w:color="auto"/>
        <w:right w:val="none" w:sz="0" w:space="0" w:color="auto"/>
      </w:divBdr>
    </w:div>
    <w:div w:id="550071066">
      <w:bodyDiv w:val="1"/>
      <w:marLeft w:val="0"/>
      <w:marRight w:val="0"/>
      <w:marTop w:val="0"/>
      <w:marBottom w:val="0"/>
      <w:divBdr>
        <w:top w:val="none" w:sz="0" w:space="0" w:color="auto"/>
        <w:left w:val="none" w:sz="0" w:space="0" w:color="auto"/>
        <w:bottom w:val="none" w:sz="0" w:space="0" w:color="auto"/>
        <w:right w:val="none" w:sz="0" w:space="0" w:color="auto"/>
      </w:divBdr>
    </w:div>
    <w:div w:id="620452180">
      <w:bodyDiv w:val="1"/>
      <w:marLeft w:val="0"/>
      <w:marRight w:val="0"/>
      <w:marTop w:val="0"/>
      <w:marBottom w:val="0"/>
      <w:divBdr>
        <w:top w:val="none" w:sz="0" w:space="0" w:color="auto"/>
        <w:left w:val="none" w:sz="0" w:space="0" w:color="auto"/>
        <w:bottom w:val="none" w:sz="0" w:space="0" w:color="auto"/>
        <w:right w:val="none" w:sz="0" w:space="0" w:color="auto"/>
      </w:divBdr>
    </w:div>
    <w:div w:id="627931780">
      <w:bodyDiv w:val="1"/>
      <w:marLeft w:val="0"/>
      <w:marRight w:val="0"/>
      <w:marTop w:val="0"/>
      <w:marBottom w:val="0"/>
      <w:divBdr>
        <w:top w:val="none" w:sz="0" w:space="0" w:color="auto"/>
        <w:left w:val="none" w:sz="0" w:space="0" w:color="auto"/>
        <w:bottom w:val="none" w:sz="0" w:space="0" w:color="auto"/>
        <w:right w:val="none" w:sz="0" w:space="0" w:color="auto"/>
      </w:divBdr>
    </w:div>
    <w:div w:id="683825734">
      <w:bodyDiv w:val="1"/>
      <w:marLeft w:val="0"/>
      <w:marRight w:val="0"/>
      <w:marTop w:val="0"/>
      <w:marBottom w:val="0"/>
      <w:divBdr>
        <w:top w:val="none" w:sz="0" w:space="0" w:color="auto"/>
        <w:left w:val="none" w:sz="0" w:space="0" w:color="auto"/>
        <w:bottom w:val="none" w:sz="0" w:space="0" w:color="auto"/>
        <w:right w:val="none" w:sz="0" w:space="0" w:color="auto"/>
      </w:divBdr>
    </w:div>
    <w:div w:id="1206599385">
      <w:bodyDiv w:val="1"/>
      <w:marLeft w:val="0"/>
      <w:marRight w:val="0"/>
      <w:marTop w:val="0"/>
      <w:marBottom w:val="0"/>
      <w:divBdr>
        <w:top w:val="none" w:sz="0" w:space="0" w:color="auto"/>
        <w:left w:val="none" w:sz="0" w:space="0" w:color="auto"/>
        <w:bottom w:val="none" w:sz="0" w:space="0" w:color="auto"/>
        <w:right w:val="none" w:sz="0" w:space="0" w:color="auto"/>
      </w:divBdr>
    </w:div>
    <w:div w:id="1275016323">
      <w:bodyDiv w:val="1"/>
      <w:marLeft w:val="0"/>
      <w:marRight w:val="0"/>
      <w:marTop w:val="0"/>
      <w:marBottom w:val="0"/>
      <w:divBdr>
        <w:top w:val="none" w:sz="0" w:space="0" w:color="auto"/>
        <w:left w:val="none" w:sz="0" w:space="0" w:color="auto"/>
        <w:bottom w:val="none" w:sz="0" w:space="0" w:color="auto"/>
        <w:right w:val="none" w:sz="0" w:space="0" w:color="auto"/>
      </w:divBdr>
      <w:divsChild>
        <w:div w:id="903494685">
          <w:marLeft w:val="547"/>
          <w:marRight w:val="0"/>
          <w:marTop w:val="154"/>
          <w:marBottom w:val="0"/>
          <w:divBdr>
            <w:top w:val="none" w:sz="0" w:space="0" w:color="auto"/>
            <w:left w:val="none" w:sz="0" w:space="0" w:color="auto"/>
            <w:bottom w:val="none" w:sz="0" w:space="0" w:color="auto"/>
            <w:right w:val="none" w:sz="0" w:space="0" w:color="auto"/>
          </w:divBdr>
        </w:div>
      </w:divsChild>
    </w:div>
    <w:div w:id="1338580892">
      <w:bodyDiv w:val="1"/>
      <w:marLeft w:val="0"/>
      <w:marRight w:val="0"/>
      <w:marTop w:val="0"/>
      <w:marBottom w:val="0"/>
      <w:divBdr>
        <w:top w:val="none" w:sz="0" w:space="0" w:color="auto"/>
        <w:left w:val="none" w:sz="0" w:space="0" w:color="auto"/>
        <w:bottom w:val="none" w:sz="0" w:space="0" w:color="auto"/>
        <w:right w:val="none" w:sz="0" w:space="0" w:color="auto"/>
      </w:divBdr>
    </w:div>
    <w:div w:id="1371612217">
      <w:bodyDiv w:val="1"/>
      <w:marLeft w:val="0"/>
      <w:marRight w:val="0"/>
      <w:marTop w:val="0"/>
      <w:marBottom w:val="0"/>
      <w:divBdr>
        <w:top w:val="none" w:sz="0" w:space="0" w:color="auto"/>
        <w:left w:val="none" w:sz="0" w:space="0" w:color="auto"/>
        <w:bottom w:val="none" w:sz="0" w:space="0" w:color="auto"/>
        <w:right w:val="none" w:sz="0" w:space="0" w:color="auto"/>
      </w:divBdr>
      <w:divsChild>
        <w:div w:id="1495949476">
          <w:marLeft w:val="0"/>
          <w:marRight w:val="0"/>
          <w:marTop w:val="0"/>
          <w:marBottom w:val="0"/>
          <w:divBdr>
            <w:top w:val="none" w:sz="0" w:space="0" w:color="auto"/>
            <w:left w:val="none" w:sz="0" w:space="0" w:color="auto"/>
            <w:bottom w:val="none" w:sz="0" w:space="0" w:color="auto"/>
            <w:right w:val="none" w:sz="0" w:space="0" w:color="auto"/>
          </w:divBdr>
        </w:div>
        <w:div w:id="604849589">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sChild>
    </w:div>
    <w:div w:id="1372535385">
      <w:bodyDiv w:val="1"/>
      <w:marLeft w:val="0"/>
      <w:marRight w:val="0"/>
      <w:marTop w:val="0"/>
      <w:marBottom w:val="0"/>
      <w:divBdr>
        <w:top w:val="none" w:sz="0" w:space="0" w:color="auto"/>
        <w:left w:val="none" w:sz="0" w:space="0" w:color="auto"/>
        <w:bottom w:val="none" w:sz="0" w:space="0" w:color="auto"/>
        <w:right w:val="none" w:sz="0" w:space="0" w:color="auto"/>
      </w:divBdr>
    </w:div>
    <w:div w:id="1449399677">
      <w:bodyDiv w:val="1"/>
      <w:marLeft w:val="0"/>
      <w:marRight w:val="0"/>
      <w:marTop w:val="0"/>
      <w:marBottom w:val="0"/>
      <w:divBdr>
        <w:top w:val="none" w:sz="0" w:space="0" w:color="auto"/>
        <w:left w:val="none" w:sz="0" w:space="0" w:color="auto"/>
        <w:bottom w:val="none" w:sz="0" w:space="0" w:color="auto"/>
        <w:right w:val="none" w:sz="0" w:space="0" w:color="auto"/>
      </w:divBdr>
    </w:div>
    <w:div w:id="1539859469">
      <w:bodyDiv w:val="1"/>
      <w:marLeft w:val="0"/>
      <w:marRight w:val="0"/>
      <w:marTop w:val="0"/>
      <w:marBottom w:val="0"/>
      <w:divBdr>
        <w:top w:val="none" w:sz="0" w:space="0" w:color="auto"/>
        <w:left w:val="none" w:sz="0" w:space="0" w:color="auto"/>
        <w:bottom w:val="none" w:sz="0" w:space="0" w:color="auto"/>
        <w:right w:val="none" w:sz="0" w:space="0" w:color="auto"/>
      </w:divBdr>
    </w:div>
    <w:div w:id="1770539728">
      <w:bodyDiv w:val="1"/>
      <w:marLeft w:val="0"/>
      <w:marRight w:val="0"/>
      <w:marTop w:val="0"/>
      <w:marBottom w:val="0"/>
      <w:divBdr>
        <w:top w:val="none" w:sz="0" w:space="0" w:color="auto"/>
        <w:left w:val="none" w:sz="0" w:space="0" w:color="auto"/>
        <w:bottom w:val="none" w:sz="0" w:space="0" w:color="auto"/>
        <w:right w:val="none" w:sz="0" w:space="0" w:color="auto"/>
      </w:divBdr>
    </w:div>
    <w:div w:id="199105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8"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4DB52-4BC2-4470-BFC1-67B5D354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4623</Words>
  <Characters>27298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Yin Jun</cp:lastModifiedBy>
  <cp:revision>3</cp:revision>
  <cp:lastPrinted>2014-07-24T01:46:00Z</cp:lastPrinted>
  <dcterms:created xsi:type="dcterms:W3CDTF">2015-02-24T22:22:00Z</dcterms:created>
  <dcterms:modified xsi:type="dcterms:W3CDTF">2015-03-13T01:24:00Z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